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0"/>
              <w:rPr>
                <w:rFonts w:ascii="Times New Roman"/>
              </w:rPr>
            </w:pPr>
            <w:r>
              <mc:AlternateContent>
                <mc:Choice Requires="wps">
                  <w:drawing>
                    <wp:anchor distT="0" distB="0" distL="114300" distR="114300" simplePos="0" relativeHeight="251660288" behindDoc="1" locked="0" layoutInCell="1" allowOverlap="1">
                      <wp:simplePos x="0" y="0"/>
                      <wp:positionH relativeFrom="column">
                        <wp:posOffset>-83820</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6.6pt;margin-top:0pt;height:15.6pt;width:68.25pt;z-index:-251656192;mso-width-relative:page;mso-height-relative:page;" fillcolor="#FFFFFF" filled="t" stroked="f" coordsize="21600,21600" o:gfxdata="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wOjQNQAAAAHAQAADwAAAAAA&#10;AAABACAAAAAiAAAAZHJzL2Rvd25yZXYueG1sUEsBAhQAFAAAAAgAh07iQCt6GbKlAQAAWQMAAA4A&#10;AAAAAAAAAQAgAAAAIwEAAGRycy9lMm9Eb2MueG1sUEsFBgAAAAAGAAYAWQEAADoFAAAAAA==&#10;">
                      <v:fill on="t" focussize="0,0"/>
                      <v:stroke on="f"/>
                      <v:imagedata o:title=""/>
                      <o:lock v:ext="edit" aspectratio="f"/>
                    </v:rect>
                  </w:pict>
                </mc:Fallback>
              </mc:AlternateContent>
            </w:r>
          </w:p>
        </w:tc>
      </w:tr>
    </w:tbl>
    <w:p>
      <w:pPr>
        <w:pStyle w:val="108"/>
        <w:rPr>
          <w:rFonts w:ascii="Times New Roman"/>
        </w:rPr>
      </w:pPr>
      <w:r>
        <w:rPr>
          <w:rFonts w:ascii="Times New Roman"/>
        </w:rPr>
        <w:t>T/CECS 1000X—</w:t>
      </w:r>
      <w:bookmarkStart w:id="0"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bl>
      <w:tblPr>
        <w:tblStyle w:val="27"/>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6"/>
              <w:rPr>
                <w:rFonts w:ascii="Times New Roman"/>
              </w:r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EijFP58BAABZAwAADgAAAAAA&#10;AAABACAAAAAlAQAAZHJzL2Uyb0RvYy54bWxQSwUGAAAAAAYABgBZAQAANgUAAAAA&#10;">
                      <v:fill on="t" focussize="0,0"/>
                      <v:stroke on="f"/>
                      <v:imagedata o:title=""/>
                      <o:lock v:ext="edit" aspectratio="f"/>
                    </v:rect>
                  </w:pict>
                </mc:Fallback>
              </mc:AlternateContent>
            </w:r>
            <w:bookmarkEnd w:id="1"/>
          </w:p>
        </w:tc>
      </w:tr>
    </w:tbl>
    <w:p>
      <w:pPr>
        <w:pStyle w:val="108"/>
        <w:rPr>
          <w:rFonts w:ascii="Times New Roman"/>
        </w:rPr>
      </w:pPr>
    </w:p>
    <w:p>
      <w:pPr>
        <w:pStyle w:val="108"/>
        <w:rPr>
          <w:rFonts w:ascii="Times New Roman"/>
        </w:rPr>
      </w:pPr>
    </w:p>
    <w:p>
      <w:pPr>
        <w:pStyle w:val="56"/>
        <w:framePr w:x="1263" w:y="6378"/>
        <w:rPr>
          <w:rFonts w:ascii="Times New Roman"/>
        </w:rPr>
      </w:pPr>
      <w:bookmarkStart w:id="2" w:name="StdName"/>
      <w:r>
        <w:rPr>
          <w:rFonts w:ascii="Times New Roman"/>
        </w:rPr>
        <w:fldChar w:fldCharType="begin">
          <w:ffData>
            <w:name w:val="StdName"/>
            <w:enabled/>
            <w:calcOnExit w:val="0"/>
            <w:textInput/>
          </w:ffData>
        </w:fldChar>
      </w:r>
      <w:r>
        <w:rPr>
          <w:rFonts w:ascii="Times New Roman"/>
        </w:rPr>
        <w:instrText xml:space="preserve"> FORMTEXT </w:instrText>
      </w:r>
      <w:r>
        <w:rPr>
          <w:rFonts w:ascii="Times New Roman"/>
        </w:rPr>
        <w:fldChar w:fldCharType="separate"/>
      </w:r>
      <w:r>
        <w:rPr>
          <w:rFonts w:hint="eastAsia" w:ascii="Times New Roman"/>
        </w:rPr>
        <w:t>绿色建材评价标准</w:t>
      </w:r>
      <w:r>
        <w:rPr>
          <w:rFonts w:ascii="Times New Roman"/>
        </w:rPr>
        <w:t xml:space="preserve">  </w:t>
      </w:r>
      <w:r>
        <w:rPr>
          <w:rFonts w:hint="eastAsia" w:ascii="Times New Roman"/>
          <w:lang w:eastAsia="zh-CN"/>
        </w:rPr>
        <w:t>预埋槽道</w:t>
      </w:r>
      <w:r>
        <w:rPr>
          <w:rFonts w:ascii="Times New Roman"/>
        </w:rPr>
        <w:fldChar w:fldCharType="end"/>
      </w:r>
      <w:bookmarkEnd w:id="2"/>
    </w:p>
    <w:p>
      <w:pPr>
        <w:pStyle w:val="55"/>
        <w:framePr w:x="1263" w:y="6378"/>
      </w:pPr>
      <w:bookmarkStart w:id="3" w:name="StdEnglishName"/>
      <w:r>
        <w:fldChar w:fldCharType="begin">
          <w:ffData>
            <w:name w:val="StdEnglishName"/>
            <w:enabled/>
            <w:calcOnExit w:val="0"/>
            <w:textInput>
              <w:default w:val="Green building materials assessment -engineering restoring material"/>
            </w:textInput>
          </w:ffData>
        </w:fldChar>
      </w:r>
      <w:r>
        <w:instrText xml:space="preserve">FORMTEXT</w:instrText>
      </w:r>
      <w:r>
        <w:fldChar w:fldCharType="separate"/>
      </w:r>
      <w:r>
        <w:t>Green building materials assessment -engineering restoring material</w:t>
      </w:r>
      <w:r>
        <w:fldChar w:fldCharType="end"/>
      </w:r>
      <w:bookmarkEnd w:id="3"/>
    </w:p>
    <w:p>
      <w:pPr>
        <w:pStyle w:val="54"/>
        <w:framePr w:x="1263" w:y="6378"/>
        <w:rPr>
          <w:rFonts w:ascii="Times New Roman"/>
        </w:rPr>
      </w:pPr>
    </w:p>
    <w:tbl>
      <w:tblPr>
        <w:tblStyle w:val="27"/>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3"/>
              <w:framePr w:x="1263" w:y="6378"/>
              <w:rPr>
                <w:rFonts w:ascii="Times New Roman"/>
              </w:rPr>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D5I06S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1"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AXKK9mgAQAAWQMAAA4AAAAA&#10;AAAAAQAgAAAAJQEAAGRycy9lMm9Eb2MueG1sUEsFBgAAAAAGAAYAWQEAADcFAAAAAA==&#10;">
                      <v:fill on="t" focussize="0,0"/>
                      <v:stroke on="f"/>
                      <v:imagedata o:title=""/>
                      <o:lock v:ext="edit" aspectratio="f"/>
                      <w10:anchorlock/>
                    </v:rect>
                  </w:pict>
                </mc:Fallback>
              </mc:AlternateContent>
            </w:r>
            <w:r>
              <w:rPr>
                <w:rFonts w:hint="eastAsia" w:ascii="Times New Roman"/>
                <w:sz w:val="28"/>
              </w:rPr>
              <w:t>（</w:t>
            </w:r>
            <w:r>
              <w:rPr>
                <w:rFonts w:hint="eastAsia" w:ascii="Times New Roman"/>
                <w:sz w:val="28"/>
                <w:lang w:val="en-US" w:eastAsia="zh-CN"/>
              </w:rPr>
              <w:t>征求意见</w:t>
            </w:r>
            <w:r>
              <w:rPr>
                <w:rFonts w:hint="eastAsia" w:ascii="Times New Roman"/>
                <w:sz w:val="28"/>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framePr w:x="1263" w:y="6378"/>
              <w:rPr>
                <w:rFonts w:ascii="Times New Roman"/>
              </w:rPr>
            </w:pPr>
          </w:p>
        </w:tc>
      </w:tr>
    </w:tbl>
    <w:p>
      <w:pPr>
        <w:pStyle w:val="94"/>
        <w:framePr w:hAnchor="page" w:x="1140" w:y="13612"/>
      </w:pPr>
      <w:bookmarkStart w:id="4"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4"/>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5"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-24765</wp:posOffset>
                </wp:positionH>
                <wp:positionV relativeFrom="page">
                  <wp:posOffset>8940800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95pt;margin-top:704pt;height:0pt;width:481.9pt;mso-position-vertical-relative:page;z-index:251659264;mso-width-relative:page;mso-height-relative:page;" filled="f" stroked="t" coordsize="21600,21600" o:gfxdata="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WkSOHNgqeFP3388/fzF&#10;6iLOGLChmHu3iSRV3mHYxMz00EWb/8SBHYqgx7Og6pCYoMPbmli9Ja3Fs6+6XAwR00flLctGy412&#10;mSs0sP+EiZJR6HNIPjaOjS1/f7O4ITigweuo4WTaQMWj68td9EbLB21MvoGx396byPaQm1++3G/C&#10;/SssJ1kDDlNccU1jMSiQH5xk6RhIFkevgecSrJKcGUWPJ1tlgBJoc00kpTaOKrjomK2tl0dqwi5E&#10;3Q+kRF2qzB5qeqn3NKB5qv7cF6TL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lhin7WAAAA&#10;DAEAAA8AAAAAAAAAAQAgAAAAIgAAAGRycy9kb3ducmV2LnhtbFBLAQIUABQAAAAIAIdO4kCpFE+I&#10;5gEAANwDAAAOAAAAAAAAAAEAIAAAACUBAABkcnMvZTJvRG9jLnhtbFBLBQYAAAAABgAGAFkBAAB9&#10;BQAAAAA=&#10;">
                <v:fill on="f" focussize="0,0"/>
                <v:stroke color="#000000" joinstyle="round"/>
                <v:imagedata o:title=""/>
                <o:lock v:ext="edit" aspectratio="f"/>
                <w10:anchorlock/>
              </v:line>
            </w:pict>
          </mc:Fallback>
        </mc:AlternateContent>
      </w:r>
    </w:p>
    <w:p>
      <w:pPr>
        <w:pStyle w:val="143"/>
        <w:framePr w:hAnchor="page" w:x="6287" w:y="13525"/>
      </w:pPr>
      <w:bookmarkStart w:id="6"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6"/>
      <w:r>
        <w:t xml:space="preserve"> - </w:t>
      </w:r>
      <w:bookmarkStart w:id="7"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7"/>
      <w:r>
        <w:t xml:space="preserve"> - </w:t>
      </w:r>
      <w:bookmarkStart w:id="8"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8"/>
      <w:r>
        <w:rPr>
          <w:rFonts w:hint="eastAsia"/>
        </w:rPr>
        <w:t>实施</w:t>
      </w:r>
    </w:p>
    <w:p>
      <w:pPr>
        <w:pStyle w:val="87"/>
        <w:rPr>
          <w:rFonts w:ascii="Times New Roman"/>
        </w:rPr>
      </w:pPr>
      <w:r>
        <w:rPr>
          <w:rFonts w:hint="eastAsia" w:ascii="Times New Roman"/>
        </w:rPr>
        <w:t>中国工程建设标准化协会</w:t>
      </w:r>
      <w:r>
        <w:rPr>
          <w:rFonts w:ascii="Times New Roman" w:eastAsia="MS Mincho"/>
        </w:rPr>
        <w:t>   </w:t>
      </w:r>
      <w:r>
        <w:rPr>
          <w:rStyle w:val="52"/>
          <w:rFonts w:hint="eastAsia" w:ascii="Times New Roman"/>
          <w:szCs w:val="28"/>
        </w:rPr>
        <w:t>发布</w:t>
      </w:r>
    </w:p>
    <w:p>
      <w:pPr>
        <w:pStyle w:val="20"/>
        <w:rPr>
          <w:rFonts w:ascii="Times New Roman"/>
        </w:rPr>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1" layoutInCell="1" allowOverlap="1">
                <wp:simplePos x="0" y="0"/>
                <wp:positionH relativeFrom="column">
                  <wp:posOffset>7620</wp:posOffset>
                </wp:positionH>
                <wp:positionV relativeFrom="paragraph">
                  <wp:posOffset>979170</wp:posOffset>
                </wp:positionV>
                <wp:extent cx="6119495" cy="1903095"/>
                <wp:effectExtent l="4445" t="4445" r="10160" b="16510"/>
                <wp:wrapNone/>
                <wp:docPr id="2" name="文本框 37"/>
                <wp:cNvGraphicFramePr/>
                <a:graphic xmlns:a="http://schemas.openxmlformats.org/drawingml/2006/main">
                  <a:graphicData uri="http://schemas.microsoft.com/office/word/2010/wordprocessingShape">
                    <wps:wsp>
                      <wps:cNvSpPr txBox="1"/>
                      <wps:spPr>
                        <a:xfrm>
                          <a:off x="0" y="0"/>
                          <a:ext cx="6119495" cy="19030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upright="1">
                        <a:spAutoFit/>
                      </wps:bodyPr>
                    </wps:wsp>
                  </a:graphicData>
                </a:graphic>
              </wp:anchor>
            </w:drawing>
          </mc:Choice>
          <mc:Fallback>
            <w:pict>
              <v:shape id="文本框 37" o:spid="_x0000_s1026" o:spt="202" type="#_x0000_t202" style="position:absolute;left:0pt;margin-left:0.6pt;margin-top:77.1pt;height:149.85pt;width:481.85pt;z-index:251659264;mso-width-relative:page;mso-height-relative:page;" fillcolor="#FFFFFF" filled="t" stroked="t" coordsize="21600,21600" o:gfxdata="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D7L7ZAAAACQEAAA8AAAAA&#10;AAAAAQAgAAAAIgAAAGRycy9kb3ducmV2LnhtbFBLAQIUABQAAAAIAIdO4kCe4tdYEwIAAFIEAAAO&#10;AAAAAAAAAAEAIAAAACgBAABkcnMvZTJvRG9jLnhtbFBLBQYAAAAABgAGAFkBAACtBQAAAAA=&#10;">
                <v:fill on="t" focussize="0,0"/>
                <v:stroke color="#FFFFFF"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JgF&#10;MNLnAQAA3AMAAA4AAAAAAAAAAQAgAAAAJgEAAGRycy9lMm9Eb2MueG1sUEsFBgAAAAAGAAYAWQEA&#10;AH8FAAAAAA==&#10;">
                <v:fill on="f" focussize="0,0"/>
                <v:stroke color="#000000" joinstyle="round"/>
                <v:imagedata o:title=""/>
                <o:lock v:ext="edit" aspectratio="f"/>
                <w10:anchorlock/>
              </v:line>
            </w:pict>
          </mc:Fallback>
        </mc:AlternateContent>
      </w:r>
    </w:p>
    <w:p>
      <w:pPr>
        <w:pStyle w:val="130"/>
        <w:rPr>
          <w:rFonts w:ascii="Times New Roman"/>
        </w:rPr>
      </w:pPr>
      <w:bookmarkStart w:id="9" w:name="_Toc533518617"/>
      <w:r>
        <w:rPr>
          <w:rFonts w:hint="eastAsia" w:ascii="Times New Roman"/>
        </w:rPr>
        <w:t>目</w:t>
      </w:r>
      <w:bookmarkStart w:id="10" w:name="BKML"/>
      <w:r>
        <w:rPr>
          <w:rFonts w:ascii="Times New Roman" w:eastAsia="MS Mincho"/>
        </w:rPr>
        <w:t>  </w:t>
      </w:r>
      <w:r>
        <w:rPr>
          <w:rFonts w:hint="eastAsia" w:ascii="Times New Roman"/>
        </w:rPr>
        <w:t>次</w:t>
      </w:r>
      <w:bookmarkEnd w:id="9"/>
      <w:bookmarkEnd w:id="10"/>
    </w:p>
    <w:p>
      <w:pPr>
        <w:pStyle w:val="17"/>
        <w:spacing w:before="78" w:after="78"/>
        <w:rPr>
          <w:rFonts w:ascii="Times New Roman"/>
        </w:rPr>
      </w:pPr>
      <w:r>
        <w:rPr>
          <w:rFonts w:hint="eastAsia" w:ascii="Times New Roman"/>
        </w:rPr>
        <w:t>前言</w:t>
      </w:r>
      <w:r>
        <w:rPr>
          <w:rFonts w:ascii="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 2 \* ROMAN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p>
      <w:pPr>
        <w:pStyle w:val="69"/>
        <w:spacing w:before="78" w:after="78"/>
        <w:rPr>
          <w:rFonts w:ascii="Times New Roman" w:eastAsia="等线"/>
          <w:szCs w:val="22"/>
        </w:rPr>
      </w:pPr>
      <w:r>
        <w:rPr>
          <w:rFonts w:ascii="Times New Roman"/>
        </w:rPr>
        <w:fldChar w:fldCharType="begin"/>
      </w:r>
      <w:r>
        <w:rPr>
          <w:rFonts w:ascii="Times New Roman"/>
        </w:rPr>
        <w:instrText xml:space="preserve"> TOC \o "1-3" \h \z \u </w:instrText>
      </w:r>
      <w:r>
        <w:rPr>
          <w:rFonts w:ascii="Times New Roman"/>
        </w:rPr>
        <w:fldChar w:fldCharType="separate"/>
      </w:r>
      <w:r>
        <w:fldChar w:fldCharType="begin"/>
      </w:r>
      <w:r>
        <w:instrText xml:space="preserve"> HYPERLINK \l "_Toc533518620" </w:instrText>
      </w:r>
      <w:r>
        <w:fldChar w:fldCharType="separate"/>
      </w:r>
      <w:r>
        <w:rPr>
          <w:rStyle w:val="34"/>
          <w:rFonts w:ascii="Times New Roman"/>
        </w:rPr>
        <w:t>1</w:t>
      </w:r>
      <w:r>
        <w:rPr>
          <w:rStyle w:val="34"/>
          <w:rFonts w:hint="eastAsia" w:ascii="Times New Roman"/>
          <w:lang w:val="en-US"/>
        </w:rPr>
        <w:t xml:space="preserve"> </w:t>
      </w:r>
      <w:r>
        <w:rPr>
          <w:rStyle w:val="34"/>
          <w:rFonts w:hint="eastAsia" w:ascii="Times New Roman"/>
        </w:rPr>
        <w:t>范围</w:t>
      </w:r>
      <w:r>
        <w:rPr>
          <w:rFonts w:ascii="Times New Roman"/>
        </w:rPr>
        <w:tab/>
      </w:r>
      <w:r>
        <w:rPr>
          <w:rFonts w:ascii="Times New Roman"/>
        </w:rPr>
        <w:fldChar w:fldCharType="begin"/>
      </w:r>
      <w:r>
        <w:rPr>
          <w:rFonts w:ascii="Times New Roman"/>
        </w:rPr>
        <w:instrText xml:space="preserve"> PAGEREF _Toc533518620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64"/>
        <w:tabs>
          <w:tab w:val="left" w:pos="1470"/>
        </w:tabs>
        <w:rPr>
          <w:rFonts w:ascii="Times New Roman" w:eastAsia="等线"/>
          <w:szCs w:val="22"/>
        </w:rPr>
      </w:pPr>
      <w:r>
        <w:fldChar w:fldCharType="begin"/>
      </w:r>
      <w:r>
        <w:instrText xml:space="preserve"> HYPERLINK \l "_Toc533518621" </w:instrText>
      </w:r>
      <w:r>
        <w:fldChar w:fldCharType="separate"/>
      </w:r>
      <w:r>
        <w:rPr>
          <w:rStyle w:val="34"/>
          <w:rFonts w:ascii="Times New Roman"/>
        </w:rPr>
        <w:t>2</w:t>
      </w:r>
      <w:r>
        <w:rPr>
          <w:rStyle w:val="34"/>
          <w:rFonts w:hint="eastAsia" w:ascii="Times New Roman"/>
          <w:lang w:val="en-US"/>
        </w:rPr>
        <w:t xml:space="preserve"> </w:t>
      </w:r>
      <w:r>
        <w:rPr>
          <w:rStyle w:val="34"/>
          <w:rFonts w:hint="eastAsia" w:ascii="Times New Roman"/>
        </w:rPr>
        <w:t>规范性引用文件</w:t>
      </w:r>
      <w:r>
        <w:rPr>
          <w:rFonts w:ascii="Times New Roman"/>
        </w:rPr>
        <w:tab/>
      </w:r>
      <w:r>
        <w:rPr>
          <w:rFonts w:ascii="Times New Roman"/>
        </w:rPr>
        <w:fldChar w:fldCharType="begin"/>
      </w:r>
      <w:r>
        <w:rPr>
          <w:rFonts w:ascii="Times New Roman"/>
        </w:rPr>
        <w:instrText xml:space="preserve"> PAGEREF _Toc533518621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64"/>
        <w:rPr>
          <w:rFonts w:ascii="Times New Roman" w:eastAsia="等线"/>
          <w:szCs w:val="22"/>
        </w:rPr>
      </w:pPr>
      <w:r>
        <w:fldChar w:fldCharType="begin"/>
      </w:r>
      <w:r>
        <w:instrText xml:space="preserve"> HYPERLINK \l "_Toc533518622" </w:instrText>
      </w:r>
      <w:r>
        <w:fldChar w:fldCharType="separate"/>
      </w:r>
      <w:r>
        <w:rPr>
          <w:rStyle w:val="34"/>
          <w:rFonts w:ascii="Times New Roman"/>
        </w:rPr>
        <w:t>3</w:t>
      </w:r>
      <w:r>
        <w:rPr>
          <w:rStyle w:val="34"/>
          <w:rFonts w:hint="eastAsia" w:ascii="Times New Roman"/>
          <w:lang w:val="en-US"/>
        </w:rPr>
        <w:t xml:space="preserve"> </w:t>
      </w:r>
      <w:r>
        <w:rPr>
          <w:rStyle w:val="34"/>
          <w:rFonts w:hint="eastAsia" w:ascii="Times New Roman"/>
        </w:rPr>
        <w:t>术语和定义</w:t>
      </w:r>
      <w:r>
        <w:rPr>
          <w:rFonts w:ascii="Times New Roman"/>
        </w:rPr>
        <w:tab/>
      </w:r>
      <w:r>
        <w:rPr>
          <w:rFonts w:ascii="Times New Roman"/>
        </w:rPr>
        <w:fldChar w:fldCharType="begin"/>
      </w:r>
      <w:r>
        <w:rPr>
          <w:rFonts w:ascii="Times New Roman"/>
        </w:rPr>
        <w:instrText xml:space="preserve"> PAGEREF _Toc533518622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64"/>
        <w:rPr>
          <w:rFonts w:ascii="Times New Roman" w:eastAsia="等线"/>
          <w:szCs w:val="22"/>
        </w:rPr>
      </w:pPr>
      <w:r>
        <w:fldChar w:fldCharType="begin"/>
      </w:r>
      <w:r>
        <w:instrText xml:space="preserve"> HYPERLINK \l "_Toc533518629" </w:instrText>
      </w:r>
      <w:r>
        <w:fldChar w:fldCharType="separate"/>
      </w:r>
      <w:r>
        <w:rPr>
          <w:rStyle w:val="34"/>
          <w:rFonts w:ascii="Times New Roman"/>
        </w:rPr>
        <w:t>4</w:t>
      </w:r>
      <w:r>
        <w:rPr>
          <w:rStyle w:val="34"/>
          <w:rFonts w:hint="eastAsia" w:ascii="Times New Roman"/>
          <w:lang w:val="en-US"/>
        </w:rPr>
        <w:t xml:space="preserve"> </w:t>
      </w:r>
      <w:r>
        <w:rPr>
          <w:rStyle w:val="34"/>
          <w:rFonts w:hint="eastAsia" w:ascii="Times New Roman"/>
        </w:rPr>
        <w:t>评价要求</w:t>
      </w:r>
      <w:r>
        <w:rPr>
          <w:rFonts w:ascii="Times New Roman"/>
        </w:rPr>
        <w:tab/>
      </w:r>
      <w:r>
        <w:rPr>
          <w:rFonts w:ascii="Times New Roman"/>
        </w:rPr>
        <w:fldChar w:fldCharType="begin"/>
      </w:r>
      <w:r>
        <w:rPr>
          <w:rFonts w:ascii="Times New Roman"/>
        </w:rPr>
        <w:instrText xml:space="preserve"> PAGEREF _Toc533518629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64"/>
        <w:rPr>
          <w:rFonts w:ascii="Times New Roman" w:eastAsia="等线"/>
          <w:szCs w:val="22"/>
        </w:rPr>
      </w:pPr>
      <w:r>
        <w:fldChar w:fldCharType="begin"/>
      </w:r>
      <w:r>
        <w:instrText xml:space="preserve"> HYPERLINK \l "_Toc533518632" </w:instrText>
      </w:r>
      <w:r>
        <w:fldChar w:fldCharType="separate"/>
      </w:r>
      <w:r>
        <w:rPr>
          <w:rStyle w:val="34"/>
          <w:rFonts w:ascii="Times New Roman"/>
        </w:rPr>
        <w:t>5</w:t>
      </w:r>
      <w:r>
        <w:rPr>
          <w:rStyle w:val="34"/>
          <w:rFonts w:hint="eastAsia" w:ascii="Times New Roman"/>
          <w:lang w:val="en-US"/>
        </w:rPr>
        <w:t xml:space="preserve"> </w:t>
      </w:r>
      <w:r>
        <w:rPr>
          <w:rStyle w:val="34"/>
          <w:rFonts w:hint="eastAsia" w:ascii="Times New Roman"/>
        </w:rPr>
        <w:t>评价方法</w:t>
      </w:r>
      <w:r>
        <w:rPr>
          <w:rFonts w:ascii="Times New Roman"/>
        </w:rPr>
        <w:tab/>
      </w:r>
      <w:r>
        <w:rPr>
          <w:rFonts w:ascii="Times New Roman"/>
        </w:rPr>
        <w:fldChar w:fldCharType="begin"/>
      </w:r>
      <w:r>
        <w:rPr>
          <w:rFonts w:ascii="Times New Roman"/>
        </w:rPr>
        <w:instrText xml:space="preserve"> PAGEREF _Toc533518632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r>
        <w:fldChar w:fldCharType="end"/>
      </w: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20"/>
        <w:rPr>
          <w:rFonts w:ascii="Times New Roman"/>
        </w:rPr>
      </w:pPr>
    </w:p>
    <w:p>
      <w:pPr>
        <w:pStyle w:val="123"/>
        <w:rPr>
          <w:rFonts w:ascii="Times New Roman"/>
        </w:rPr>
      </w:pPr>
      <w:bookmarkStart w:id="11" w:name="_Toc524004770"/>
      <w:bookmarkStart w:id="12" w:name="_Toc533518618"/>
      <w:r>
        <w:rPr>
          <w:rFonts w:hint="eastAsia" w:ascii="Times New Roman"/>
        </w:rPr>
        <w:t>前</w:t>
      </w:r>
      <w:bookmarkStart w:id="13" w:name="BKQY"/>
      <w:r>
        <w:rPr>
          <w:rFonts w:ascii="Times New Roman" w:eastAsia="MS Mincho"/>
        </w:rPr>
        <w:t>  </w:t>
      </w:r>
      <w:r>
        <w:rPr>
          <w:rFonts w:hint="eastAsia" w:ascii="Times New Roman"/>
        </w:rPr>
        <w:t>言</w:t>
      </w:r>
      <w:bookmarkEnd w:id="11"/>
      <w:bookmarkEnd w:id="12"/>
      <w:bookmarkEnd w:id="13"/>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w:t>
      </w:r>
      <w:r>
        <w:rPr>
          <w:rFonts w:hint="eastAsia" w:cs="宋体"/>
          <w:color w:val="000000"/>
          <w:lang w:val="en-US" w:eastAsia="zh-CN"/>
        </w:rPr>
        <w:t>20</w:t>
      </w:r>
      <w:r>
        <w:rPr>
          <w:rFonts w:hint="eastAsia" w:cs="宋体"/>
          <w:color w:val="000000"/>
        </w:rPr>
        <w:t>年第</w:t>
      </w:r>
      <w:r>
        <w:rPr>
          <w:rFonts w:hint="eastAsia" w:cs="宋体"/>
          <w:color w:val="000000"/>
          <w:lang w:val="en-US" w:eastAsia="zh-CN"/>
        </w:rPr>
        <w:t>一</w:t>
      </w:r>
      <w:r>
        <w:rPr>
          <w:rFonts w:hint="eastAsia" w:cs="宋体"/>
          <w:color w:val="000000"/>
        </w:rPr>
        <w:t>批</w:t>
      </w:r>
      <w:r>
        <w:rPr>
          <w:rFonts w:hint="eastAsia" w:cs="宋体"/>
          <w:color w:val="000000"/>
          <w:lang w:val="en-US" w:eastAsia="zh-CN"/>
        </w:rPr>
        <w:t>协会</w:t>
      </w:r>
      <w:r>
        <w:rPr>
          <w:rFonts w:hint="eastAsia" w:cs="宋体"/>
          <w:color w:val="000000"/>
        </w:rPr>
        <w:t>标准</w:t>
      </w:r>
      <w:r>
        <w:rPr>
          <w:rFonts w:hint="eastAsia" w:cs="宋体"/>
          <w:color w:val="000000"/>
          <w:lang w:val="en-US" w:eastAsia="zh-CN"/>
        </w:rPr>
        <w:t>制定、修订</w:t>
      </w:r>
      <w:r>
        <w:rPr>
          <w:rFonts w:hint="eastAsia" w:cs="宋体"/>
          <w:color w:val="000000"/>
        </w:rPr>
        <w:t>计划&gt;的通知》（建标协字〔20</w:t>
      </w:r>
      <w:r>
        <w:rPr>
          <w:rFonts w:hint="eastAsia" w:cs="宋体"/>
          <w:color w:val="000000"/>
          <w:lang w:val="en-US" w:eastAsia="zh-CN"/>
        </w:rPr>
        <w:t>20</w:t>
      </w:r>
      <w:r>
        <w:rPr>
          <w:rFonts w:hint="eastAsia" w:cs="宋体"/>
          <w:color w:val="000000"/>
        </w:rPr>
        <w:t>〕</w:t>
      </w:r>
      <w:r>
        <w:rPr>
          <w:rFonts w:hint="eastAsia" w:cs="宋体"/>
          <w:color w:val="000000"/>
          <w:lang w:val="en-US" w:eastAsia="zh-CN"/>
        </w:rPr>
        <w:t>1</w:t>
      </w:r>
      <w:r>
        <w:rPr>
          <w:rFonts w:hint="eastAsia" w:cs="宋体"/>
          <w:color w:val="000000"/>
        </w:rPr>
        <w:t>4号）的要求制定。</w:t>
      </w:r>
    </w:p>
    <w:p>
      <w:pPr>
        <w:pStyle w:val="20"/>
      </w:pPr>
      <w:r>
        <w:t>本文件的某些内容可能涉及专利。本文件的发布机构不承担识别这些专利的责任。</w:t>
      </w:r>
    </w:p>
    <w:p>
      <w:pPr>
        <w:pStyle w:val="20"/>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20"/>
        <w:rPr>
          <w:rFonts w:ascii="Times New Roman"/>
        </w:rPr>
      </w:pPr>
      <w:r>
        <w:rPr>
          <w:rFonts w:hint="eastAsia"/>
          <w:color w:val="000000"/>
        </w:rPr>
        <w:t>本文件由中国工程建设标准化协会</w:t>
      </w:r>
      <w:r>
        <w:rPr>
          <w:rFonts w:hint="eastAsia"/>
          <w:color w:val="000000"/>
          <w:lang w:val="en-US" w:eastAsia="zh-CN"/>
        </w:rPr>
        <w:t>建筑材料</w:t>
      </w:r>
      <w:bookmarkStart w:id="118" w:name="_GoBack"/>
      <w:bookmarkEnd w:id="118"/>
      <w:r>
        <w:rPr>
          <w:rFonts w:hint="eastAsia"/>
          <w:color w:val="000000"/>
        </w:rPr>
        <w:t>分会归口管理</w:t>
      </w:r>
      <w:r>
        <w:rPr>
          <w:rFonts w:ascii="Times New Roman"/>
        </w:rPr>
        <w:t>。</w:t>
      </w:r>
    </w:p>
    <w:p>
      <w:pPr>
        <w:pStyle w:val="20"/>
      </w:pPr>
      <w:r>
        <w:rPr>
          <w:rFonts w:hint="eastAsia"/>
        </w:rPr>
        <w:t>本文件负责起草单位：住房和城乡建设部科技与产业化发展中心。</w:t>
      </w:r>
    </w:p>
    <w:p>
      <w:pPr>
        <w:pStyle w:val="20"/>
        <w:rPr>
          <w:rFonts w:ascii="Times New Roman"/>
          <w:color w:val="auto"/>
        </w:rPr>
      </w:pPr>
      <w:r>
        <w:rPr>
          <w:rFonts w:hint="eastAsia" w:ascii="Times New Roman"/>
        </w:rPr>
        <w:t>本</w:t>
      </w:r>
      <w:r>
        <w:rPr>
          <w:rFonts w:hint="eastAsia" w:ascii="Times New Roman" w:hAnsi="Times New Roman" w:cs="Times New Roman"/>
        </w:rPr>
        <w:t>文件</w:t>
      </w:r>
      <w:r>
        <w:rPr>
          <w:rFonts w:hint="eastAsia" w:ascii="Times New Roman"/>
        </w:rPr>
        <w:t>参加起草单位：</w:t>
      </w:r>
    </w:p>
    <w:p>
      <w:pPr>
        <w:spacing w:line="240" w:lineRule="auto"/>
        <w:ind w:firstLine="420" w:firstLineChars="200"/>
        <w:jc w:val="left"/>
        <w:rPr>
          <w:rFonts w:ascii="Times New Roman"/>
          <w:color w:val="auto"/>
        </w:rPr>
      </w:pPr>
      <w:r>
        <w:rPr>
          <w:rFonts w:hint="eastAsia" w:ascii="Times New Roman"/>
          <w:color w:val="auto"/>
        </w:rPr>
        <w:t>本</w:t>
      </w:r>
      <w:r>
        <w:rPr>
          <w:rFonts w:hint="eastAsia" w:ascii="Times New Roman" w:hAnsi="Times New Roman" w:cs="Times New Roman"/>
        </w:rPr>
        <w:t>文件</w:t>
      </w:r>
      <w:r>
        <w:rPr>
          <w:rFonts w:hint="eastAsia" w:ascii="Times New Roman"/>
          <w:color w:val="auto"/>
        </w:rPr>
        <w:t>主要起草人：</w:t>
      </w:r>
    </w:p>
    <w:p>
      <w:pPr>
        <w:pStyle w:val="20"/>
        <w:rPr>
          <w:rFonts w:hint="eastAsia" w:ascii="Times New Roman" w:hAnsi="Times New Roman" w:cs="Times New Roman"/>
          <w:lang w:val="en-US" w:eastAsia="zh-CN"/>
        </w:rPr>
      </w:pPr>
      <w:r>
        <w:rPr>
          <w:rFonts w:hint="eastAsia" w:ascii="Times New Roman" w:hAnsi="Times New Roman" w:cs="Times New Roman"/>
        </w:rPr>
        <w:t>本文件主要审查人</w:t>
      </w:r>
      <w:r>
        <w:rPr>
          <w:rFonts w:hint="eastAsia" w:ascii="Times New Roman" w:hAnsi="Times New Roman" w:cs="Times New Roman"/>
          <w:lang w:val="en-US" w:eastAsia="zh-CN"/>
        </w:rPr>
        <w:t>：</w:t>
      </w:r>
    </w:p>
    <w:p>
      <w:pPr>
        <w:pStyle w:val="20"/>
        <w:rPr>
          <w:rFonts w:ascii="Times New Roman"/>
        </w:rPr>
      </w:pPr>
    </w:p>
    <w:p>
      <w:pPr>
        <w:pStyle w:val="20"/>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30"/>
        <w:spacing w:before="156" w:after="156"/>
        <w:rPr>
          <w:rFonts w:hint="default" w:ascii="Times New Roman" w:eastAsia="黑体"/>
          <w:color w:val="000000"/>
          <w:lang w:val="en-US" w:eastAsia="zh-CN"/>
        </w:rPr>
      </w:pPr>
      <w:bookmarkStart w:id="14" w:name="_Toc533518619"/>
      <w:r>
        <w:rPr>
          <w:rFonts w:hint="eastAsia" w:ascii="Times New Roman"/>
          <w:color w:val="000000"/>
        </w:rPr>
        <w:t>绿色建材评价标准</w:t>
      </w:r>
      <w:r>
        <w:rPr>
          <w:rFonts w:ascii="Times New Roman"/>
          <w:color w:val="000000"/>
        </w:rPr>
        <w:t xml:space="preserve"> </w:t>
      </w:r>
      <w:bookmarkEnd w:id="14"/>
      <w:r>
        <w:rPr>
          <w:rFonts w:hint="eastAsia" w:ascii="Times New Roman"/>
          <w:color w:val="000000"/>
          <w:lang w:val="en-US" w:eastAsia="zh-CN"/>
        </w:rPr>
        <w:t>预埋槽道</w:t>
      </w:r>
    </w:p>
    <w:p>
      <w:pPr>
        <w:pStyle w:val="84"/>
        <w:numPr>
          <w:ilvl w:val="0"/>
          <w:numId w:val="18"/>
        </w:numPr>
        <w:tabs>
          <w:tab w:val="left" w:pos="0"/>
        </w:tabs>
        <w:spacing w:before="312" w:after="312"/>
        <w:ind w:left="0" w:firstLine="0"/>
        <w:rPr>
          <w:rFonts w:ascii="Times New Roman"/>
          <w:color w:val="000000"/>
        </w:rPr>
      </w:pPr>
      <w:bookmarkStart w:id="15" w:name="_Toc406486337"/>
      <w:bookmarkStart w:id="16" w:name="_Toc360436746"/>
      <w:bookmarkStart w:id="17" w:name="_Toc350863984"/>
      <w:bookmarkStart w:id="18" w:name="_Toc396134027"/>
      <w:bookmarkStart w:id="19" w:name="_Toc462063250"/>
      <w:bookmarkStart w:id="20" w:name="_Toc360632420"/>
      <w:bookmarkStart w:id="21" w:name="_Toc533518620"/>
      <w:bookmarkStart w:id="22" w:name="_Toc360436832"/>
      <w:r>
        <w:rPr>
          <w:rFonts w:hint="eastAsia" w:ascii="Times New Roman"/>
          <w:color w:val="000000"/>
        </w:rPr>
        <w:t>范围</w:t>
      </w:r>
      <w:bookmarkEnd w:id="15"/>
      <w:bookmarkEnd w:id="16"/>
      <w:bookmarkEnd w:id="17"/>
      <w:bookmarkEnd w:id="18"/>
      <w:bookmarkEnd w:id="19"/>
      <w:bookmarkEnd w:id="20"/>
      <w:bookmarkEnd w:id="21"/>
      <w:bookmarkEnd w:id="22"/>
    </w:p>
    <w:p>
      <w:pPr>
        <w:pStyle w:val="20"/>
        <w:rPr>
          <w:rFonts w:ascii="Times New Roman"/>
          <w:szCs w:val="22"/>
        </w:rPr>
      </w:pPr>
      <w:bookmarkStart w:id="23" w:name="_Toc360632421"/>
      <w:bookmarkStart w:id="24" w:name="_Toc350863985"/>
      <w:bookmarkStart w:id="25" w:name="_Toc360436833"/>
      <w:bookmarkStart w:id="26" w:name="_Toc360436747"/>
      <w:bookmarkStart w:id="27" w:name="_Toc396134028"/>
      <w:bookmarkStart w:id="28" w:name="_Toc406486338"/>
      <w:r>
        <w:rPr>
          <w:rFonts w:hint="eastAsia" w:ascii="Times New Roman"/>
        </w:rPr>
        <w:t>本标准规定了</w:t>
      </w:r>
      <w:r>
        <w:rPr>
          <w:rFonts w:hint="eastAsia" w:ascii="Times New Roman"/>
          <w:lang w:eastAsia="zh-CN"/>
        </w:rPr>
        <w:t>预埋槽道</w:t>
      </w:r>
      <w:r>
        <w:rPr>
          <w:rFonts w:hint="eastAsia" w:ascii="Times New Roman"/>
        </w:rPr>
        <w:t>绿色建材评价的术语和定义、评</w:t>
      </w:r>
      <w:r>
        <w:rPr>
          <w:rFonts w:hint="eastAsia" w:ascii="Times New Roman"/>
          <w:szCs w:val="22"/>
        </w:rPr>
        <w:t>价要求和评价方法。</w:t>
      </w:r>
    </w:p>
    <w:p>
      <w:pPr>
        <w:pStyle w:val="20"/>
        <w:rPr>
          <w:rFonts w:ascii="Times New Roman"/>
          <w:szCs w:val="22"/>
        </w:rPr>
      </w:pPr>
      <w:r>
        <w:rPr>
          <w:rFonts w:hint="eastAsia" w:ascii="Times New Roman"/>
          <w:szCs w:val="22"/>
        </w:rPr>
        <w:t>本标准适用于</w:t>
      </w:r>
      <w:r>
        <w:rPr>
          <w:rFonts w:hint="eastAsia" w:ascii="Times New Roman"/>
          <w:szCs w:val="22"/>
          <w:lang w:eastAsia="zh-CN"/>
        </w:rPr>
        <w:t>预埋槽道</w:t>
      </w:r>
      <w:r>
        <w:rPr>
          <w:rFonts w:hint="eastAsia" w:ascii="Times New Roman"/>
          <w:szCs w:val="22"/>
        </w:rPr>
        <w:t>的绿色建材评价。</w:t>
      </w:r>
    </w:p>
    <w:p>
      <w:pPr>
        <w:pStyle w:val="84"/>
        <w:numPr>
          <w:ilvl w:val="0"/>
          <w:numId w:val="18"/>
        </w:numPr>
        <w:tabs>
          <w:tab w:val="left" w:pos="0"/>
        </w:tabs>
        <w:spacing w:before="312" w:after="312"/>
        <w:ind w:left="0" w:firstLine="0"/>
        <w:rPr>
          <w:rFonts w:ascii="Times New Roman"/>
          <w:color w:val="000000"/>
        </w:rPr>
      </w:pPr>
      <w:bookmarkStart w:id="29" w:name="_Toc533518621"/>
      <w:bookmarkStart w:id="30" w:name="_Toc462063251"/>
      <w:r>
        <w:rPr>
          <w:rFonts w:hint="eastAsia" w:ascii="Times New Roman"/>
          <w:color w:val="000000"/>
        </w:rPr>
        <w:t>规范性引用文件</w:t>
      </w:r>
      <w:bookmarkEnd w:id="23"/>
      <w:bookmarkEnd w:id="24"/>
      <w:bookmarkEnd w:id="25"/>
      <w:bookmarkEnd w:id="26"/>
      <w:bookmarkEnd w:id="27"/>
      <w:bookmarkEnd w:id="28"/>
      <w:bookmarkEnd w:id="29"/>
      <w:bookmarkEnd w:id="30"/>
    </w:p>
    <w:p>
      <w:pPr>
        <w:pStyle w:val="20"/>
        <w:rPr>
          <w:rFonts w:ascii="Times New Roman"/>
          <w:bCs/>
        </w:rPr>
      </w:pPr>
      <w:bookmarkStart w:id="31" w:name="_Toc396134029"/>
      <w:bookmarkStart w:id="32" w:name="_Toc360436748"/>
      <w:bookmarkStart w:id="33" w:name="_Toc350863986"/>
      <w:bookmarkStart w:id="34" w:name="_Toc406486339"/>
      <w:bookmarkStart w:id="35" w:name="_Toc360436834"/>
      <w:bookmarkStart w:id="36" w:name="_Toc360632422"/>
      <w:bookmarkStart w:id="37" w:name="_Toc462063252"/>
      <w:r>
        <w:rPr>
          <w:rFonts w:hint="eastAsia" w:ascii="Times New Roman"/>
          <w:bCs/>
        </w:rPr>
        <w:t>下列文件对于本文件的应用是必不可少的。凡是注日期的引用文件，仅注日期的版本适用于本文件。凡是不注日期的引用文件，其最新版本（包括所有的修改单）适用于本文件。</w:t>
      </w:r>
    </w:p>
    <w:p>
      <w:pPr>
        <w:pStyle w:val="20"/>
        <w:tabs>
          <w:tab w:val="left" w:pos="2600"/>
          <w:tab w:val="clear" w:pos="4201"/>
          <w:tab w:val="clear" w:pos="9298"/>
        </w:tabs>
        <w:rPr>
          <w:rFonts w:hint="eastAsia" w:ascii="Times New Roman"/>
          <w:szCs w:val="22"/>
        </w:rPr>
      </w:pPr>
      <w:r>
        <w:rPr>
          <w:rFonts w:ascii="Times New Roman"/>
          <w:szCs w:val="22"/>
        </w:rPr>
        <w:t xml:space="preserve">GB/T 2589 </w:t>
      </w:r>
      <w:r>
        <w:rPr>
          <w:rFonts w:hint="eastAsia" w:ascii="Times New Roman"/>
          <w:szCs w:val="22"/>
        </w:rPr>
        <w:t>综合能耗计算通则</w:t>
      </w:r>
    </w:p>
    <w:p>
      <w:pPr>
        <w:pStyle w:val="20"/>
        <w:ind w:left="420" w:firstLine="0" w:firstLineChars="0"/>
        <w:rPr>
          <w:rFonts w:ascii="Times New Roman" w:hAnsi="Times New Roman" w:eastAsia="宋体" w:cs="Times New Roman"/>
        </w:rPr>
      </w:pPr>
      <w:r>
        <w:rPr>
          <w:rFonts w:ascii="Times New Roman" w:hAnsi="Times New Roman" w:eastAsia="宋体" w:cs="Times New Roman"/>
        </w:rPr>
        <w:t xml:space="preserve">GBZ 2.1 </w:t>
      </w:r>
      <w:r>
        <w:rPr>
          <w:rFonts w:hint="eastAsia" w:ascii="Times New Roman" w:hAnsi="Times New Roman" w:eastAsia="宋体" w:cs="Times New Roman"/>
          <w:lang w:val="en-US" w:eastAsia="zh-CN"/>
        </w:rPr>
        <w:t xml:space="preserve"> </w:t>
      </w:r>
      <w:r>
        <w:rPr>
          <w:rFonts w:ascii="Times New Roman" w:hAnsi="Times New Roman" w:eastAsia="宋体" w:cs="Times New Roman"/>
        </w:rPr>
        <w:t>工作场所空气中粉尘测定 第1部分:总粉尘浓度</w:t>
      </w:r>
    </w:p>
    <w:p>
      <w:pPr>
        <w:pStyle w:val="20"/>
        <w:ind w:left="420" w:firstLine="0" w:firstLineChars="0"/>
        <w:rPr>
          <w:rFonts w:ascii="Times New Roman" w:hAnsi="Times New Roman" w:eastAsia="宋体" w:cs="Times New Roman"/>
        </w:rPr>
      </w:pPr>
      <w:r>
        <w:rPr>
          <w:rFonts w:ascii="Times New Roman" w:hAnsi="Times New Roman" w:eastAsia="宋体" w:cs="Times New Roman"/>
        </w:rPr>
        <w:t>GBZ 2.2  工作场所有害因素职业接触限值 第2部分:物理因素</w:t>
      </w:r>
    </w:p>
    <w:p>
      <w:pPr>
        <w:pStyle w:val="20"/>
        <w:tabs>
          <w:tab w:val="left" w:pos="2600"/>
          <w:tab w:val="clear" w:pos="4201"/>
          <w:tab w:val="clear" w:pos="9298"/>
        </w:tabs>
        <w:rPr>
          <w:rFonts w:hint="eastAsia" w:ascii="Times New Roman"/>
          <w:szCs w:val="22"/>
        </w:rPr>
      </w:pPr>
      <w:r>
        <w:rPr>
          <w:rFonts w:ascii="Times New Roman"/>
          <w:szCs w:val="22"/>
        </w:rPr>
        <w:t xml:space="preserve">GB 16297 </w:t>
      </w:r>
      <w:r>
        <w:rPr>
          <w:rFonts w:hint="eastAsia" w:ascii="Times New Roman"/>
          <w:szCs w:val="22"/>
        </w:rPr>
        <w:t>大气污染物综合排放标准</w:t>
      </w:r>
    </w:p>
    <w:p>
      <w:pPr>
        <w:pStyle w:val="20"/>
        <w:tabs>
          <w:tab w:val="left" w:pos="2600"/>
          <w:tab w:val="clear" w:pos="4201"/>
          <w:tab w:val="clear" w:pos="9298"/>
        </w:tabs>
        <w:rPr>
          <w:rFonts w:ascii="Times New Roman"/>
          <w:szCs w:val="22"/>
        </w:rPr>
      </w:pPr>
      <w:r>
        <w:rPr>
          <w:rFonts w:ascii="Times New Roman"/>
          <w:szCs w:val="22"/>
        </w:rPr>
        <w:t xml:space="preserve">GB 18597 </w:t>
      </w:r>
      <w:r>
        <w:rPr>
          <w:rFonts w:hint="eastAsia" w:ascii="Times New Roman"/>
          <w:szCs w:val="22"/>
        </w:rPr>
        <w:t>危险废物贮存污染控制标准</w:t>
      </w:r>
    </w:p>
    <w:p>
      <w:pPr>
        <w:pStyle w:val="20"/>
        <w:tabs>
          <w:tab w:val="left" w:pos="2600"/>
          <w:tab w:val="clear" w:pos="4201"/>
          <w:tab w:val="clear" w:pos="9298"/>
        </w:tabs>
        <w:rPr>
          <w:rFonts w:ascii="Times New Roman"/>
          <w:szCs w:val="22"/>
        </w:rPr>
      </w:pPr>
      <w:r>
        <w:rPr>
          <w:rFonts w:ascii="Times New Roman"/>
          <w:szCs w:val="22"/>
        </w:rPr>
        <w:t xml:space="preserve">GB 18599 </w:t>
      </w:r>
      <w:r>
        <w:rPr>
          <w:rFonts w:hint="eastAsia" w:ascii="Times New Roman"/>
          <w:szCs w:val="22"/>
        </w:rPr>
        <w:t>一般工业固体废物贮存、处置场污染控制标准</w:t>
      </w:r>
    </w:p>
    <w:p>
      <w:pPr>
        <w:pStyle w:val="20"/>
        <w:tabs>
          <w:tab w:val="left" w:pos="2600"/>
          <w:tab w:val="clear" w:pos="4201"/>
          <w:tab w:val="clear" w:pos="9298"/>
        </w:tabs>
        <w:rPr>
          <w:rFonts w:ascii="Times New Roman"/>
          <w:szCs w:val="22"/>
        </w:rPr>
      </w:pPr>
      <w:r>
        <w:rPr>
          <w:rFonts w:ascii="Times New Roman"/>
          <w:szCs w:val="22"/>
        </w:rPr>
        <w:t xml:space="preserve">GB/T 19001 </w:t>
      </w:r>
      <w:r>
        <w:rPr>
          <w:rFonts w:hint="eastAsia" w:ascii="Times New Roman"/>
          <w:szCs w:val="22"/>
        </w:rPr>
        <w:t>质量管理体系</w:t>
      </w:r>
      <w:r>
        <w:rPr>
          <w:rFonts w:ascii="Times New Roman"/>
          <w:szCs w:val="22"/>
        </w:rPr>
        <w:t xml:space="preserve"> </w:t>
      </w:r>
      <w:r>
        <w:rPr>
          <w:rFonts w:hint="eastAsia" w:ascii="Times New Roman"/>
          <w:szCs w:val="22"/>
        </w:rPr>
        <w:t>要求</w:t>
      </w:r>
    </w:p>
    <w:p>
      <w:pPr>
        <w:pStyle w:val="20"/>
        <w:tabs>
          <w:tab w:val="left" w:pos="2600"/>
          <w:tab w:val="clear" w:pos="4201"/>
          <w:tab w:val="clear" w:pos="9298"/>
        </w:tabs>
        <w:rPr>
          <w:rFonts w:ascii="Times New Roman"/>
          <w:szCs w:val="22"/>
        </w:rPr>
      </w:pPr>
      <w:r>
        <w:rPr>
          <w:rFonts w:ascii="Times New Roman"/>
          <w:szCs w:val="22"/>
        </w:rPr>
        <w:t xml:space="preserve">GB/T 23331 </w:t>
      </w:r>
      <w:r>
        <w:rPr>
          <w:rFonts w:hint="eastAsia" w:ascii="Times New Roman"/>
          <w:szCs w:val="22"/>
        </w:rPr>
        <w:t>能源管理体系</w:t>
      </w:r>
      <w:r>
        <w:rPr>
          <w:rFonts w:ascii="Times New Roman"/>
          <w:szCs w:val="22"/>
        </w:rPr>
        <w:t xml:space="preserve"> </w:t>
      </w:r>
      <w:r>
        <w:rPr>
          <w:rFonts w:hint="eastAsia" w:ascii="Times New Roman"/>
          <w:szCs w:val="22"/>
        </w:rPr>
        <w:t>要求及使用指南</w:t>
      </w:r>
    </w:p>
    <w:p>
      <w:pPr>
        <w:pStyle w:val="20"/>
        <w:tabs>
          <w:tab w:val="left" w:pos="2600"/>
          <w:tab w:val="clear" w:pos="4201"/>
          <w:tab w:val="clear" w:pos="9298"/>
        </w:tabs>
        <w:rPr>
          <w:rFonts w:ascii="Times New Roman"/>
          <w:szCs w:val="22"/>
        </w:rPr>
      </w:pPr>
      <w:r>
        <w:rPr>
          <w:rFonts w:ascii="Times New Roman"/>
          <w:szCs w:val="22"/>
        </w:rPr>
        <w:t xml:space="preserve">GB/T 24001 </w:t>
      </w:r>
      <w:r>
        <w:rPr>
          <w:rFonts w:hint="eastAsia" w:ascii="Times New Roman"/>
          <w:szCs w:val="22"/>
        </w:rPr>
        <w:t>环境管理体系</w:t>
      </w:r>
      <w:r>
        <w:rPr>
          <w:rFonts w:ascii="Times New Roman"/>
          <w:szCs w:val="22"/>
        </w:rPr>
        <w:t xml:space="preserve"> </w:t>
      </w:r>
      <w:r>
        <w:rPr>
          <w:rFonts w:hint="eastAsia" w:ascii="Times New Roman"/>
          <w:szCs w:val="22"/>
        </w:rPr>
        <w:t>要求及使用指南</w:t>
      </w:r>
    </w:p>
    <w:p>
      <w:pPr>
        <w:pStyle w:val="20"/>
        <w:tabs>
          <w:tab w:val="left" w:pos="2600"/>
          <w:tab w:val="clear" w:pos="4201"/>
          <w:tab w:val="clear" w:pos="9298"/>
        </w:tabs>
        <w:rPr>
          <w:rFonts w:ascii="Times New Roman"/>
          <w:szCs w:val="22"/>
        </w:rPr>
      </w:pPr>
      <w:r>
        <w:rPr>
          <w:rFonts w:ascii="Times New Roman"/>
          <w:szCs w:val="22"/>
        </w:rPr>
        <w:t xml:space="preserve">GB/T 24025  </w:t>
      </w:r>
      <w:r>
        <w:rPr>
          <w:rFonts w:hint="eastAsia" w:ascii="Times New Roman"/>
          <w:szCs w:val="22"/>
        </w:rPr>
        <w:t>环境标志和声明</w:t>
      </w:r>
      <w:r>
        <w:rPr>
          <w:rFonts w:ascii="Times New Roman"/>
          <w:szCs w:val="22"/>
        </w:rPr>
        <w:t xml:space="preserve"> III</w:t>
      </w:r>
      <w:r>
        <w:rPr>
          <w:rFonts w:hint="eastAsia" w:ascii="Times New Roman"/>
          <w:szCs w:val="22"/>
        </w:rPr>
        <w:t>型环境声明</w:t>
      </w:r>
      <w:r>
        <w:rPr>
          <w:rFonts w:ascii="Times New Roman"/>
          <w:szCs w:val="22"/>
        </w:rPr>
        <w:t xml:space="preserve"> </w:t>
      </w:r>
      <w:r>
        <w:rPr>
          <w:rFonts w:hint="eastAsia" w:ascii="Times New Roman"/>
          <w:szCs w:val="22"/>
        </w:rPr>
        <w:t>原则和程序</w:t>
      </w:r>
    </w:p>
    <w:p>
      <w:pPr>
        <w:pStyle w:val="20"/>
        <w:tabs>
          <w:tab w:val="left" w:pos="2600"/>
          <w:tab w:val="clear" w:pos="4201"/>
          <w:tab w:val="clear" w:pos="9298"/>
        </w:tabs>
        <w:rPr>
          <w:rFonts w:hint="eastAsia" w:ascii="Times New Roman"/>
          <w:szCs w:val="22"/>
        </w:rPr>
      </w:pPr>
      <w:r>
        <w:rPr>
          <w:rFonts w:ascii="Times New Roman"/>
          <w:szCs w:val="22"/>
        </w:rPr>
        <w:t xml:space="preserve">GB/T 28001 </w:t>
      </w:r>
      <w:r>
        <w:rPr>
          <w:rFonts w:hint="eastAsia" w:ascii="Times New Roman"/>
          <w:szCs w:val="22"/>
        </w:rPr>
        <w:t>职业健康安全管理体系</w:t>
      </w:r>
      <w:r>
        <w:rPr>
          <w:rFonts w:ascii="Times New Roman"/>
          <w:szCs w:val="22"/>
        </w:rPr>
        <w:t xml:space="preserve"> </w:t>
      </w:r>
      <w:r>
        <w:rPr>
          <w:rFonts w:hint="eastAsia" w:ascii="Times New Roman"/>
          <w:szCs w:val="22"/>
        </w:rPr>
        <w:t>要求</w:t>
      </w:r>
    </w:p>
    <w:p>
      <w:pPr>
        <w:pStyle w:val="20"/>
        <w:ind w:left="420" w:firstLine="0" w:firstLineChars="0"/>
        <w:rPr>
          <w:rFonts w:hint="eastAsia" w:ascii="Times New Roman"/>
          <w:szCs w:val="22"/>
        </w:rPr>
      </w:pPr>
      <w:r>
        <w:rPr>
          <w:rFonts w:ascii="Times New Roman" w:hAnsi="Times New Roman" w:eastAsia="宋体" w:cs="Times New Roman"/>
          <w:color w:val="000000"/>
        </w:rPr>
        <w:t xml:space="preserve">GB/T 33000  </w:t>
      </w:r>
      <w:r>
        <w:rPr>
          <w:rFonts w:ascii="Times New Roman" w:hAnsi="Times New Roman" w:eastAsia="宋体" w:cs="Times New Roman"/>
        </w:rPr>
        <w:t>企业安全生产标准化基本规范</w:t>
      </w:r>
    </w:p>
    <w:p>
      <w:pPr>
        <w:pStyle w:val="20"/>
        <w:tabs>
          <w:tab w:val="left" w:pos="2600"/>
          <w:tab w:val="clear" w:pos="4201"/>
          <w:tab w:val="clear" w:pos="9298"/>
        </w:tabs>
        <w:rPr>
          <w:rFonts w:hint="eastAsia" w:ascii="Times New Roman"/>
          <w:szCs w:val="22"/>
        </w:rPr>
      </w:pPr>
      <w:r>
        <w:rPr>
          <w:rFonts w:hint="eastAsia" w:ascii="Times New Roman"/>
          <w:szCs w:val="22"/>
        </w:rPr>
        <w:t>TB/T 3329-2013《电气化铁路接触网隧道内预埋槽道》</w:t>
      </w:r>
    </w:p>
    <w:p>
      <w:pPr>
        <w:pStyle w:val="20"/>
        <w:tabs>
          <w:tab w:val="left" w:pos="2600"/>
          <w:tab w:val="clear" w:pos="4201"/>
          <w:tab w:val="clear" w:pos="9298"/>
        </w:tabs>
        <w:rPr>
          <w:rFonts w:hint="eastAsia" w:ascii="Times New Roman"/>
          <w:szCs w:val="22"/>
        </w:rPr>
      </w:pPr>
      <w:r>
        <w:rPr>
          <w:rFonts w:hint="eastAsia" w:ascii="Times New Roman"/>
          <w:szCs w:val="22"/>
        </w:rPr>
        <w:t>GB/T 37613-2019 《预埋槽道型钢》</w:t>
      </w:r>
    </w:p>
    <w:p>
      <w:pPr>
        <w:pStyle w:val="20"/>
        <w:rPr>
          <w:rFonts w:hint="eastAsia" w:ascii="Times New Roman"/>
          <w:color w:val="auto"/>
          <w:lang w:val="en-US" w:eastAsia="zh-CN"/>
        </w:rPr>
      </w:pPr>
      <w:r>
        <w:rPr>
          <w:rFonts w:hint="eastAsia" w:ascii="Times New Roman"/>
          <w:color w:val="auto"/>
          <w:lang w:val="en-US" w:eastAsia="zh-CN"/>
        </w:rPr>
        <w:t>GB/T 9978.1  建筑构件耐火试验方法  第1部分：通用要求</w:t>
      </w:r>
    </w:p>
    <w:p>
      <w:pPr>
        <w:pStyle w:val="20"/>
        <w:rPr>
          <w:rFonts w:hint="eastAsia" w:ascii="Times New Roman"/>
          <w:color w:val="auto"/>
          <w:lang w:val="en-US" w:eastAsia="zh-CN"/>
        </w:rPr>
      </w:pPr>
      <w:r>
        <w:rPr>
          <w:rFonts w:hint="eastAsia" w:ascii="Times New Roman"/>
          <w:color w:val="auto"/>
          <w:lang w:val="en-US" w:eastAsia="zh-CN"/>
        </w:rPr>
        <w:t>GB/T 10125  人造气氛腐蚀试验  盐雾试验</w:t>
      </w:r>
    </w:p>
    <w:p>
      <w:pPr>
        <w:pStyle w:val="20"/>
        <w:rPr>
          <w:rFonts w:hint="eastAsia" w:ascii="Times New Roman"/>
          <w:color w:val="auto"/>
          <w:lang w:val="en-US" w:eastAsia="zh-CN"/>
        </w:rPr>
      </w:pPr>
      <w:r>
        <w:rPr>
          <w:rFonts w:hint="eastAsia" w:ascii="Times New Roman"/>
          <w:color w:val="auto"/>
          <w:lang w:val="en-US" w:eastAsia="zh-CN"/>
        </w:rPr>
        <w:t>GB/T 26784 建筑构件耐火试验可供选择和附加的试验程序</w:t>
      </w:r>
    </w:p>
    <w:p>
      <w:pPr>
        <w:pStyle w:val="20"/>
        <w:rPr>
          <w:rFonts w:hint="eastAsia" w:ascii="Times New Roman"/>
          <w:color w:val="auto"/>
          <w:lang w:val="en-US" w:eastAsia="zh-CN"/>
        </w:rPr>
      </w:pPr>
      <w:r>
        <w:rPr>
          <w:rFonts w:hint="eastAsia" w:ascii="Times New Roman"/>
          <w:color w:val="auto"/>
          <w:lang w:val="en-US" w:eastAsia="zh-CN"/>
        </w:rPr>
        <w:t>GJB.150.16A 军用设备实验室环境试验方法 第16部分：振动试验</w:t>
      </w:r>
    </w:p>
    <w:p>
      <w:pPr>
        <w:pStyle w:val="20"/>
        <w:rPr>
          <w:rFonts w:hint="default" w:ascii="Times New Roman"/>
          <w:color w:val="auto"/>
          <w:lang w:val="en-US" w:eastAsia="zh-CN"/>
        </w:rPr>
      </w:pPr>
      <w:r>
        <w:rPr>
          <w:rFonts w:hint="eastAsia" w:ascii="Times New Roman"/>
          <w:color w:val="auto"/>
          <w:lang w:val="en-US" w:eastAsia="zh-CN"/>
        </w:rPr>
        <w:t>GB/T 6461 金属基体上金属和其他无机覆盖层经腐蚀试验后的试样和试件的评级</w:t>
      </w:r>
    </w:p>
    <w:p>
      <w:pPr>
        <w:pStyle w:val="84"/>
        <w:numPr>
          <w:ilvl w:val="0"/>
          <w:numId w:val="18"/>
        </w:numPr>
        <w:tabs>
          <w:tab w:val="left" w:pos="0"/>
        </w:tabs>
        <w:spacing w:before="312" w:after="312"/>
        <w:ind w:left="0" w:firstLine="0"/>
        <w:rPr>
          <w:rFonts w:ascii="Times New Roman"/>
          <w:color w:val="000000"/>
        </w:rPr>
      </w:pPr>
      <w:bookmarkStart w:id="38" w:name="_Toc533518622"/>
      <w:r>
        <w:rPr>
          <w:rFonts w:hint="eastAsia" w:ascii="Times New Roman"/>
          <w:color w:val="000000"/>
        </w:rPr>
        <w:t>术语和定义</w:t>
      </w:r>
      <w:bookmarkEnd w:id="31"/>
      <w:bookmarkEnd w:id="32"/>
      <w:bookmarkEnd w:id="33"/>
      <w:bookmarkEnd w:id="34"/>
      <w:bookmarkEnd w:id="35"/>
      <w:bookmarkEnd w:id="36"/>
      <w:bookmarkEnd w:id="37"/>
      <w:bookmarkEnd w:id="38"/>
    </w:p>
    <w:p>
      <w:pPr>
        <w:pStyle w:val="20"/>
        <w:rPr>
          <w:rFonts w:ascii="Times New Roman"/>
          <w:color w:val="000000"/>
        </w:rPr>
      </w:pPr>
      <w:r>
        <w:rPr>
          <w:rFonts w:hint="eastAsia" w:ascii="Times New Roman"/>
          <w:color w:val="000000"/>
        </w:rPr>
        <w:t>下列术语和定义适用于本文件。</w:t>
      </w:r>
    </w:p>
    <w:p>
      <w:pPr>
        <w:pStyle w:val="84"/>
        <w:numPr>
          <w:ilvl w:val="0"/>
          <w:numId w:val="0"/>
        </w:numPr>
        <w:tabs>
          <w:tab w:val="left" w:pos="0"/>
        </w:tabs>
        <w:spacing w:before="312" w:after="312"/>
        <w:outlineLvl w:val="2"/>
        <w:rPr>
          <w:rFonts w:ascii="Times New Roman"/>
          <w:color w:val="000000"/>
        </w:rPr>
      </w:pPr>
      <w:bookmarkStart w:id="39" w:name="_Toc360632423"/>
      <w:bookmarkStart w:id="40" w:name="_Toc360436749"/>
      <w:bookmarkStart w:id="41" w:name="_Toc408495873"/>
      <w:bookmarkStart w:id="42" w:name="_Toc360436835"/>
      <w:bookmarkStart w:id="43" w:name="_Toc396134030"/>
      <w:bookmarkStart w:id="44" w:name="_Toc396118199"/>
      <w:bookmarkStart w:id="45" w:name="_Toc384816546"/>
      <w:bookmarkStart w:id="46" w:name="_Toc397433558"/>
      <w:bookmarkStart w:id="47" w:name="_Toc350863987"/>
      <w:bookmarkStart w:id="48" w:name="_Toc533518623"/>
      <w:bookmarkStart w:id="49" w:name="_Toc462063253"/>
      <w:bookmarkStart w:id="50" w:name="_Toc406143963"/>
      <w:bookmarkStart w:id="51" w:name="_Toc397348586"/>
      <w:bookmarkStart w:id="52" w:name="_Toc406486340"/>
      <w:bookmarkStart w:id="53" w:name="_Toc360632654"/>
      <w:bookmarkStart w:id="54" w:name="_Toc6509"/>
      <w:r>
        <w:rPr>
          <w:rFonts w:ascii="Times New Roman"/>
          <w:color w:val="000000"/>
        </w:rPr>
        <w:t>3.1</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imes New Roman"/>
          <w:color w:val="000000"/>
        </w:rPr>
        <w:t xml:space="preserve"> </w:t>
      </w:r>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green building material</w:t>
      </w:r>
    </w:p>
    <w:p>
      <w:pPr>
        <w:widowControl/>
        <w:tabs>
          <w:tab w:val="center" w:pos="4201"/>
          <w:tab w:val="right" w:leader="dot" w:pos="9298"/>
        </w:tabs>
        <w:autoSpaceDE w:val="0"/>
        <w:autoSpaceDN w:val="0"/>
        <w:ind w:firstLine="420" w:firstLineChars="200"/>
        <w:rPr>
          <w:rFonts w:ascii="宋体"/>
          <w:kern w:val="0"/>
          <w:szCs w:val="20"/>
        </w:rPr>
      </w:pPr>
      <w:r>
        <w:rPr>
          <w:rFonts w:hint="eastAsia"/>
          <w:kern w:val="0"/>
          <w:szCs w:val="20"/>
        </w:rPr>
        <w:t>在全生命周期内可减少对天然资源消耗和减轻对生态环境影响，具有</w:t>
      </w:r>
      <w:r>
        <w:rPr>
          <w:rFonts w:hint="eastAsia" w:ascii="宋体"/>
          <w:kern w:val="0"/>
          <w:szCs w:val="20"/>
        </w:rPr>
        <w:t>“</w:t>
      </w:r>
      <w:r>
        <w:rPr>
          <w:rFonts w:hint="eastAsia" w:ascii="宋体" w:hAnsi="宋体"/>
          <w:kern w:val="0"/>
          <w:szCs w:val="20"/>
        </w:rPr>
        <w:t>节能、减排、安全、便利和可循环</w:t>
      </w:r>
      <w:r>
        <w:rPr>
          <w:rFonts w:hint="eastAsia" w:ascii="宋体"/>
          <w:kern w:val="0"/>
          <w:szCs w:val="20"/>
        </w:rPr>
        <w:t>”</w:t>
      </w:r>
      <w:r>
        <w:rPr>
          <w:rFonts w:hint="eastAsia" w:ascii="宋体" w:hAnsi="宋体"/>
          <w:kern w:val="0"/>
          <w:szCs w:val="20"/>
        </w:rPr>
        <w:t>特征的建材产品。</w:t>
      </w:r>
    </w:p>
    <w:p>
      <w:pPr>
        <w:pStyle w:val="84"/>
        <w:numPr>
          <w:ilvl w:val="0"/>
          <w:numId w:val="0"/>
        </w:numPr>
        <w:tabs>
          <w:tab w:val="left" w:pos="0"/>
        </w:tabs>
        <w:spacing w:before="312" w:after="312"/>
        <w:outlineLvl w:val="2"/>
        <w:rPr>
          <w:rFonts w:ascii="Times New Roman"/>
        </w:rPr>
      </w:pPr>
      <w:bookmarkStart w:id="55" w:name="_Toc533518624"/>
      <w:r>
        <w:rPr>
          <w:rFonts w:ascii="Times New Roman"/>
        </w:rPr>
        <w:t>3.2</w:t>
      </w:r>
      <w:bookmarkEnd w:id="55"/>
    </w:p>
    <w:p>
      <w:pPr>
        <w:widowControl/>
        <w:tabs>
          <w:tab w:val="center" w:pos="4201"/>
          <w:tab w:val="right" w:leader="dot" w:pos="9298"/>
        </w:tabs>
        <w:autoSpaceDE w:val="0"/>
        <w:autoSpaceDN w:val="0"/>
        <w:ind w:firstLine="420" w:firstLineChars="200"/>
        <w:rPr>
          <w:rFonts w:eastAsia="黑体"/>
        </w:rPr>
      </w:pPr>
      <w:r>
        <w:rPr>
          <w:rFonts w:hint="eastAsia" w:eastAsia="黑体"/>
        </w:rPr>
        <w:t>绿色建材评价</w:t>
      </w:r>
      <w:r>
        <w:rPr>
          <w:rFonts w:eastAsia="黑体"/>
        </w:rPr>
        <w:t xml:space="preserve"> green building material</w:t>
      </w:r>
      <w:r>
        <w:rPr>
          <w:sz w:val="24"/>
        </w:rPr>
        <w:t xml:space="preserve"> </w:t>
      </w:r>
      <w:r>
        <w:rPr>
          <w:rFonts w:eastAsia="黑体"/>
        </w:rPr>
        <w:t xml:space="preserve">assessment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84"/>
        <w:numPr>
          <w:ilvl w:val="0"/>
          <w:numId w:val="0"/>
        </w:numPr>
        <w:tabs>
          <w:tab w:val="left" w:pos="0"/>
        </w:tabs>
        <w:spacing w:before="312" w:after="312"/>
        <w:outlineLvl w:val="2"/>
        <w:rPr>
          <w:rFonts w:ascii="Times New Roman"/>
        </w:rPr>
      </w:pPr>
      <w:bookmarkStart w:id="56" w:name="_Toc533518625"/>
      <w:r>
        <w:rPr>
          <w:rFonts w:ascii="Times New Roman"/>
        </w:rPr>
        <w:t>3.3</w:t>
      </w:r>
      <w:bookmarkEnd w:id="56"/>
    </w:p>
    <w:p>
      <w:pPr>
        <w:widowControl/>
        <w:tabs>
          <w:tab w:val="center" w:pos="4201"/>
          <w:tab w:val="right" w:leader="dot" w:pos="9298"/>
        </w:tabs>
        <w:autoSpaceDE w:val="0"/>
        <w:autoSpaceDN w:val="0"/>
        <w:ind w:firstLine="420" w:firstLineChars="200"/>
        <w:rPr>
          <w:rFonts w:eastAsia="黑体"/>
        </w:rPr>
      </w:pPr>
      <w:r>
        <w:rPr>
          <w:rFonts w:hint="eastAsia" w:eastAsia="黑体"/>
        </w:rPr>
        <w:t>评价等级</w:t>
      </w:r>
      <w:r>
        <w:rPr>
          <w:rFonts w:eastAsia="黑体"/>
        </w:rPr>
        <w:t xml:space="preserve"> assessment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bookmarkEnd w:id="54"/>
    <w:p>
      <w:pPr>
        <w:pStyle w:val="84"/>
        <w:numPr>
          <w:ilvl w:val="0"/>
          <w:numId w:val="0"/>
        </w:numPr>
        <w:tabs>
          <w:tab w:val="left" w:pos="0"/>
        </w:tabs>
        <w:spacing w:before="312" w:after="312"/>
        <w:outlineLvl w:val="2"/>
        <w:rPr>
          <w:rFonts w:ascii="Times New Roman"/>
          <w:color w:val="000000"/>
        </w:rPr>
      </w:pPr>
      <w:bookmarkStart w:id="57" w:name="_Toc462063255"/>
      <w:bookmarkStart w:id="58" w:name="_Toc360436836"/>
      <w:bookmarkStart w:id="59" w:name="_Toc384816547"/>
      <w:bookmarkStart w:id="60" w:name="_Toc360632655"/>
      <w:bookmarkStart w:id="61" w:name="_Toc396118200"/>
      <w:bookmarkStart w:id="62" w:name="_Toc406486341"/>
      <w:bookmarkStart w:id="63" w:name="_Toc408495874"/>
      <w:bookmarkStart w:id="64" w:name="_Toc397348587"/>
      <w:bookmarkStart w:id="65" w:name="_Toc397433559"/>
      <w:bookmarkStart w:id="66" w:name="_Toc360632424"/>
      <w:bookmarkStart w:id="67" w:name="_Toc406143964"/>
      <w:bookmarkStart w:id="68" w:name="_Toc396134031"/>
      <w:bookmarkStart w:id="69" w:name="_Toc360436750"/>
      <w:bookmarkStart w:id="70" w:name="_Toc350863988"/>
      <w:bookmarkStart w:id="71" w:name="_Toc533518626"/>
      <w:bookmarkStart w:id="72" w:name="_Toc16661"/>
      <w:r>
        <w:rPr>
          <w:rFonts w:ascii="Times New Roman"/>
          <w:color w:val="000000"/>
        </w:rPr>
        <w:t>3.</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3" w:name="_Toc350863991"/>
      <w:bookmarkStart w:id="74" w:name="OLE_LINK6"/>
      <w:bookmarkStart w:id="75" w:name="_Toc406143967"/>
      <w:bookmarkStart w:id="76" w:name="_Toc397348590"/>
      <w:bookmarkStart w:id="77" w:name="_Toc363024794"/>
      <w:bookmarkStart w:id="78" w:name="_Toc382580630"/>
      <w:bookmarkStart w:id="79" w:name="_Toc396118203"/>
      <w:bookmarkStart w:id="80" w:name="_Toc396134034"/>
      <w:bookmarkStart w:id="81" w:name="_Toc384816550"/>
      <w:bookmarkStart w:id="82" w:name="OLE_LINK5"/>
      <w:bookmarkStart w:id="83" w:name="_Toc397433562"/>
      <w:r>
        <w:rPr>
          <w:rFonts w:ascii="Times New Roman"/>
          <w:color w:val="000000"/>
        </w:rPr>
        <w:t>4</w:t>
      </w:r>
      <w:bookmarkEnd w:id="71"/>
    </w:p>
    <w:bookmarkEnd w:id="72"/>
    <w:p>
      <w:pPr>
        <w:widowControl/>
        <w:tabs>
          <w:tab w:val="center" w:pos="4201"/>
          <w:tab w:val="right" w:leader="dot" w:pos="9298"/>
        </w:tabs>
        <w:autoSpaceDE w:val="0"/>
        <w:autoSpaceDN w:val="0"/>
        <w:ind w:firstLine="420" w:firstLineChars="200"/>
        <w:rPr>
          <w:rFonts w:eastAsia="黑体"/>
        </w:rPr>
      </w:pPr>
      <w:r>
        <w:rPr>
          <w:rFonts w:hint="eastAsia" w:eastAsia="黑体"/>
        </w:rPr>
        <w:t>环境产品声明</w:t>
      </w:r>
      <w:r>
        <w:rPr>
          <w:rFonts w:eastAsia="黑体"/>
        </w:rPr>
        <w:t xml:space="preserve"> environmental product declaration</w:t>
      </w:r>
    </w:p>
    <w:p>
      <w:pPr>
        <w:pStyle w:val="20"/>
        <w:rPr>
          <w:rFonts w:ascii="Times New Roman"/>
        </w:rPr>
      </w:pPr>
      <w:r>
        <w:rPr>
          <w:rFonts w:hint="eastAsia" w:ascii="Times New Roman"/>
        </w:rPr>
        <w:t>提供基于预设参数的量化环境数据的环境声明，必要时包括附加环境信息。</w:t>
      </w:r>
    </w:p>
    <w:p>
      <w:pPr>
        <w:pStyle w:val="84"/>
        <w:numPr>
          <w:ilvl w:val="0"/>
          <w:numId w:val="0"/>
        </w:numPr>
        <w:tabs>
          <w:tab w:val="left" w:pos="0"/>
        </w:tabs>
        <w:spacing w:before="312" w:after="312"/>
        <w:outlineLvl w:val="2"/>
        <w:rPr>
          <w:rFonts w:ascii="Times New Roman"/>
          <w:color w:val="000000"/>
        </w:rPr>
      </w:pPr>
      <w:bookmarkStart w:id="84" w:name="_Toc408495875"/>
      <w:bookmarkStart w:id="85" w:name="_Toc462063256"/>
      <w:bookmarkStart w:id="86" w:name="_Toc533518627"/>
      <w:bookmarkStart w:id="87" w:name="_Toc30452"/>
      <w:r>
        <w:rPr>
          <w:rFonts w:ascii="Times New Roman"/>
          <w:color w:val="000000"/>
        </w:rPr>
        <w:t>3.</w:t>
      </w:r>
      <w:bookmarkEnd w:id="84"/>
      <w:bookmarkEnd w:id="85"/>
      <w:r>
        <w:rPr>
          <w:rFonts w:ascii="Times New Roman"/>
          <w:color w:val="000000"/>
        </w:rPr>
        <w:t>5</w:t>
      </w:r>
      <w:bookmarkEnd w:id="86"/>
    </w:p>
    <w:bookmarkEnd w:id="87"/>
    <w:p>
      <w:pPr>
        <w:widowControl/>
        <w:tabs>
          <w:tab w:val="center" w:pos="4201"/>
          <w:tab w:val="right" w:leader="dot" w:pos="9298"/>
        </w:tabs>
        <w:autoSpaceDE w:val="0"/>
        <w:autoSpaceDN w:val="0"/>
        <w:ind w:firstLine="420" w:firstLineChars="200"/>
        <w:rPr>
          <w:rFonts w:eastAsia="黑体"/>
        </w:rPr>
      </w:pPr>
      <w:r>
        <w:rPr>
          <w:rFonts w:hint="eastAsia" w:eastAsia="黑体"/>
        </w:rPr>
        <w:t>碳足迹</w:t>
      </w:r>
      <w:r>
        <w:rPr>
          <w:rFonts w:eastAsia="黑体"/>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pPr>
        <w:spacing w:line="300" w:lineRule="auto"/>
        <w:ind w:firstLine="420" w:firstLineChars="200"/>
        <w:rPr>
          <w:szCs w:val="21"/>
        </w:rPr>
      </w:pPr>
      <w:r>
        <w:rPr>
          <w:rFonts w:hint="eastAsia"/>
          <w:szCs w:val="21"/>
        </w:rPr>
        <w:t>用以量化过程、过程系统或产品系统温室气体排放的参数，以表现它们对气候变化的贡献。</w:t>
      </w:r>
    </w:p>
    <w:p>
      <w:pPr>
        <w:pStyle w:val="84"/>
        <w:numPr>
          <w:ilvl w:val="0"/>
          <w:numId w:val="0"/>
        </w:numPr>
        <w:tabs>
          <w:tab w:val="left" w:pos="0"/>
        </w:tabs>
        <w:spacing w:before="312" w:after="312"/>
        <w:outlineLvl w:val="2"/>
        <w:rPr>
          <w:rFonts w:ascii="Times New Roman"/>
          <w:color w:val="000000"/>
        </w:rPr>
      </w:pPr>
      <w:r>
        <w:rPr>
          <w:rFonts w:ascii="Times New Roman"/>
          <w:color w:val="000000"/>
        </w:rPr>
        <w:t>3.6</w:t>
      </w:r>
    </w:p>
    <w:p>
      <w:pPr>
        <w:widowControl/>
        <w:tabs>
          <w:tab w:val="center" w:pos="4201"/>
          <w:tab w:val="right" w:leader="dot" w:pos="9298"/>
        </w:tabs>
        <w:autoSpaceDE w:val="0"/>
        <w:autoSpaceDN w:val="0"/>
        <w:ind w:firstLine="420" w:firstLineChars="200"/>
        <w:rPr>
          <w:rFonts w:hint="default" w:eastAsia="黑体"/>
          <w:lang w:val="en-US" w:eastAsia="zh-CN"/>
        </w:rPr>
      </w:pPr>
      <w:r>
        <w:rPr>
          <w:rFonts w:hint="eastAsia" w:eastAsia="黑体"/>
          <w:lang w:eastAsia="zh-CN"/>
        </w:rPr>
        <w:t>预埋槽道</w:t>
      </w:r>
      <w:r>
        <w:rPr>
          <w:rFonts w:eastAsia="黑体"/>
        </w:rPr>
        <w:t xml:space="preserve"> </w:t>
      </w:r>
      <w:r>
        <w:rPr>
          <w:rFonts w:hint="eastAsia" w:eastAsia="黑体"/>
          <w:lang w:val="en-US" w:eastAsia="zh-CN"/>
        </w:rPr>
        <w:t>embedded channel</w:t>
      </w:r>
    </w:p>
    <w:p>
      <w:pPr>
        <w:widowControl/>
        <w:tabs>
          <w:tab w:val="center" w:pos="4201"/>
          <w:tab w:val="right" w:leader="dot" w:pos="9298"/>
        </w:tabs>
        <w:autoSpaceDE w:val="0"/>
        <w:autoSpaceDN w:val="0"/>
        <w:ind w:firstLine="420" w:firstLineChars="200"/>
        <w:rPr>
          <w:rFonts w:hint="eastAsia"/>
        </w:rPr>
      </w:pPr>
      <w:r>
        <w:rPr>
          <w:rFonts w:hint="eastAsia"/>
          <w:shd w:val="clear" w:color="auto" w:fill="FFFFFF"/>
          <w:lang w:val="en-US" w:eastAsia="zh-CN"/>
        </w:rPr>
        <w:t>预埋在混凝土内部用于承载悬挂重物的专用金属型钢制品</w:t>
      </w:r>
      <w:r>
        <w:rPr>
          <w:rFonts w:hint="eastAsia"/>
        </w:rPr>
        <w:t>。</w:t>
      </w:r>
    </w:p>
    <w:p>
      <w:pPr>
        <w:widowControl/>
        <w:tabs>
          <w:tab w:val="center" w:pos="4201"/>
          <w:tab w:val="right" w:leader="dot" w:pos="9298"/>
        </w:tabs>
        <w:autoSpaceDE w:val="0"/>
        <w:autoSpaceDN w:val="0"/>
        <w:rPr>
          <w:rFonts w:hint="eastAsia"/>
          <w:lang w:val="en-US" w:eastAsia="zh-CN"/>
        </w:rPr>
      </w:pPr>
      <w:r>
        <w:rPr>
          <w:rFonts w:hint="eastAsia"/>
          <w:lang w:val="en-US" w:eastAsia="zh-CN"/>
        </w:rPr>
        <w:t>3.7</w:t>
      </w:r>
    </w:p>
    <w:p>
      <w:pPr>
        <w:widowControl/>
        <w:tabs>
          <w:tab w:val="center" w:pos="4201"/>
          <w:tab w:val="right" w:leader="dot" w:pos="9298"/>
        </w:tabs>
        <w:autoSpaceDE w:val="0"/>
        <w:autoSpaceDN w:val="0"/>
        <w:ind w:firstLine="420" w:firstLineChars="200"/>
        <w:rPr>
          <w:rFonts w:hint="eastAsia" w:eastAsia="黑体"/>
          <w:lang w:val="en-US" w:eastAsia="zh-CN"/>
        </w:rPr>
      </w:pPr>
      <w:r>
        <w:rPr>
          <w:rFonts w:hint="eastAsia" w:eastAsia="黑体"/>
          <w:lang w:val="en-US" w:eastAsia="zh-CN"/>
        </w:rPr>
        <w:t>锚杆 anchor</w:t>
      </w:r>
    </w:p>
    <w:p>
      <w:pPr>
        <w:widowControl/>
        <w:tabs>
          <w:tab w:val="center" w:pos="4201"/>
          <w:tab w:val="right" w:leader="dot" w:pos="9298"/>
        </w:tabs>
        <w:autoSpaceDE w:val="0"/>
        <w:autoSpaceDN w:val="0"/>
        <w:ind w:firstLine="420" w:firstLineChars="200"/>
        <w:rPr>
          <w:rFonts w:hint="default"/>
          <w:lang w:val="en-US" w:eastAsia="zh-CN"/>
        </w:rPr>
      </w:pPr>
      <w:r>
        <w:rPr>
          <w:rFonts w:hint="eastAsia"/>
          <w:lang w:val="en-US" w:eastAsia="zh-CN"/>
        </w:rPr>
        <w:t>在预埋槽道主体上经焊接或铆接后的延伸，为预埋槽道锚固的部件。</w:t>
      </w:r>
    </w:p>
    <w:bookmarkEnd w:id="73"/>
    <w:bookmarkEnd w:id="74"/>
    <w:bookmarkEnd w:id="75"/>
    <w:bookmarkEnd w:id="76"/>
    <w:bookmarkEnd w:id="77"/>
    <w:bookmarkEnd w:id="78"/>
    <w:bookmarkEnd w:id="79"/>
    <w:bookmarkEnd w:id="80"/>
    <w:bookmarkEnd w:id="81"/>
    <w:bookmarkEnd w:id="82"/>
    <w:bookmarkEnd w:id="83"/>
    <w:p>
      <w:pPr>
        <w:pStyle w:val="84"/>
        <w:numPr>
          <w:ilvl w:val="0"/>
          <w:numId w:val="18"/>
        </w:numPr>
        <w:tabs>
          <w:tab w:val="left" w:pos="0"/>
        </w:tabs>
        <w:spacing w:before="312" w:after="312"/>
        <w:ind w:left="0" w:firstLine="0"/>
      </w:pPr>
      <w:bookmarkStart w:id="88" w:name="_Toc533518629"/>
      <w:bookmarkStart w:id="89" w:name="_Toc462063257"/>
      <w:bookmarkStart w:id="90" w:name="_Toc406486353"/>
      <w:r>
        <w:rPr>
          <w:rFonts w:hint="eastAsia" w:ascii="Times New Roman"/>
          <w:color w:val="000000"/>
        </w:rPr>
        <w:t>评价要求</w:t>
      </w:r>
      <w:bookmarkEnd w:id="88"/>
      <w:bookmarkEnd w:id="89"/>
      <w:bookmarkEnd w:id="90"/>
    </w:p>
    <w:p>
      <w:pPr>
        <w:pStyle w:val="62"/>
        <w:numPr>
          <w:ilvl w:val="1"/>
          <w:numId w:val="0"/>
        </w:numPr>
        <w:rPr>
          <w:color w:val="000000"/>
        </w:rPr>
      </w:pPr>
      <w:bookmarkStart w:id="91" w:name="_Toc532906527"/>
      <w:r>
        <w:rPr>
          <w:rFonts w:hint="eastAsia"/>
          <w:color w:val="000000"/>
          <w:lang w:val="en-US" w:eastAsia="zh-CN"/>
        </w:rPr>
        <w:t>4.1</w:t>
      </w:r>
      <w:r>
        <w:rPr>
          <w:rFonts w:hint="eastAsia"/>
          <w:color w:val="000000"/>
        </w:rPr>
        <w:t>基本要求</w:t>
      </w:r>
      <w:bookmarkEnd w:id="91"/>
    </w:p>
    <w:p>
      <w:pPr>
        <w:pStyle w:val="61"/>
        <w:numPr>
          <w:ilvl w:val="0"/>
          <w:numId w:val="0"/>
        </w:numPr>
        <w:adjustRightInd w:val="0"/>
        <w:snapToGrid w:val="0"/>
        <w:spacing w:before="156" w:after="156"/>
        <w:rPr>
          <w:rFonts w:ascii="Times New Roman" w:eastAsia="宋体"/>
        </w:rPr>
      </w:pPr>
      <w:bookmarkStart w:id="92" w:name="_Toc459106415"/>
      <w:bookmarkStart w:id="93" w:name="_Toc462063258"/>
      <w:bookmarkStart w:id="94" w:name="_Toc436234466"/>
      <w:r>
        <w:rPr>
          <w:rFonts w:hint="eastAsia"/>
        </w:rPr>
        <w:t>4.1.1</w:t>
      </w:r>
      <w:r>
        <w:rPr>
          <w:rFonts w:ascii="Times New Roman" w:eastAsia="宋体"/>
        </w:rPr>
        <w:t xml:space="preserve">  </w:t>
      </w:r>
      <w:r>
        <w:rPr>
          <w:rFonts w:hint="eastAsia" w:ascii="宋体" w:eastAsia="宋体"/>
        </w:rPr>
        <w:t>生产企业应</w:t>
      </w:r>
      <w:bookmarkEnd w:id="92"/>
      <w:bookmarkEnd w:id="93"/>
      <w:r>
        <w:rPr>
          <w:rFonts w:hint="eastAsia" w:ascii="宋体" w:eastAsia="宋体"/>
        </w:rPr>
        <w:t>满足适用的国家标准、地方标准及环评批复的要求，</w:t>
      </w:r>
      <w:r>
        <w:rPr>
          <w:rFonts w:hint="eastAsia" w:ascii="Times New Roman" w:eastAsia="宋体"/>
        </w:rPr>
        <w:t>且近</w:t>
      </w:r>
      <w:r>
        <w:rPr>
          <w:rFonts w:ascii="Times New Roman" w:eastAsia="宋体"/>
        </w:rPr>
        <w:t>3</w:t>
      </w:r>
      <w:r>
        <w:rPr>
          <w:rFonts w:hint="eastAsia" w:ascii="Times New Roman" w:eastAsia="宋体"/>
        </w:rPr>
        <w:t>年无重大环境污染事件。</w:t>
      </w:r>
    </w:p>
    <w:p>
      <w:pPr>
        <w:pStyle w:val="61"/>
        <w:numPr>
          <w:ilvl w:val="0"/>
          <w:numId w:val="0"/>
        </w:numPr>
        <w:adjustRightInd w:val="0"/>
        <w:snapToGrid w:val="0"/>
        <w:spacing w:before="156" w:after="156"/>
        <w:rPr>
          <w:rFonts w:hint="eastAsia" w:ascii="Times New Roman" w:eastAsia="宋体"/>
        </w:rPr>
      </w:pPr>
      <w:r>
        <w:rPr>
          <w:rFonts w:hint="eastAsia"/>
        </w:rPr>
        <w:t>4.1.2</w:t>
      </w:r>
      <w:r>
        <w:rPr>
          <w:rFonts w:ascii="Times New Roman" w:eastAsia="宋体"/>
        </w:rPr>
        <w:t xml:space="preserve">  </w:t>
      </w:r>
      <w:r>
        <w:rPr>
          <w:rFonts w:hint="eastAsia" w:ascii="Times New Roman" w:eastAsia="宋体"/>
        </w:rPr>
        <w:t>生产企业应采用国家鼓励的先进技术工艺，不应使用国家或有关部门发布的淘汰或禁止的技术、工艺、装备及相关物质。</w:t>
      </w:r>
    </w:p>
    <w:p>
      <w:pPr>
        <w:widowControl/>
        <w:adjustRightInd w:val="0"/>
        <w:snapToGrid w:val="0"/>
        <w:spacing w:before="156" w:beforeLines="50" w:after="156" w:afterLines="50"/>
        <w:jc w:val="left"/>
        <w:outlineLvl w:val="3"/>
        <w:rPr>
          <w:kern w:val="0"/>
        </w:rPr>
      </w:pPr>
      <w:r>
        <w:rPr>
          <w:rFonts w:hint="eastAsia" w:ascii="黑体" w:hAnsi="Times New Roman" w:eastAsia="黑体" w:cs="Times New Roman"/>
          <w:kern w:val="0"/>
          <w:sz w:val="21"/>
          <w:szCs w:val="21"/>
          <w:lang w:val="en-US" w:eastAsia="zh-CN" w:bidi="ar-SA"/>
        </w:rPr>
        <w:t xml:space="preserve">4.1.3 </w:t>
      </w:r>
      <w:r>
        <w:rPr>
          <w:rFonts w:hint="eastAsia"/>
          <w:kern w:val="0"/>
        </w:rPr>
        <w:t>一般固体废弃物的收集、贮存、处置应符合</w:t>
      </w:r>
      <w:r>
        <w:rPr>
          <w:kern w:val="0"/>
        </w:rPr>
        <w:t>GB 18599</w:t>
      </w:r>
      <w:r>
        <w:rPr>
          <w:rFonts w:hint="eastAsia"/>
          <w:kern w:val="0"/>
        </w:rPr>
        <w:t>的相关规定。危险废物的贮存应符合</w:t>
      </w:r>
      <w:r>
        <w:rPr>
          <w:kern w:val="0"/>
        </w:rPr>
        <w:t>GB 18597</w:t>
      </w:r>
      <w:r>
        <w:rPr>
          <w:rFonts w:hint="eastAsia"/>
          <w:kern w:val="0"/>
        </w:rPr>
        <w:t>的相关规定，后续应交付持有危险废物经营许可证的单位处置。</w:t>
      </w:r>
    </w:p>
    <w:p>
      <w:pPr>
        <w:pStyle w:val="61"/>
        <w:numPr>
          <w:ilvl w:val="0"/>
          <w:numId w:val="0"/>
        </w:numPr>
        <w:adjustRightInd w:val="0"/>
        <w:snapToGrid w:val="0"/>
        <w:spacing w:before="156" w:after="156"/>
        <w:rPr>
          <w:rFonts w:ascii="Times New Roman" w:eastAsia="宋体"/>
        </w:rPr>
      </w:pPr>
      <w:r>
        <w:rPr>
          <w:rFonts w:hint="eastAsia"/>
        </w:rPr>
        <w:t>4.1.</w:t>
      </w:r>
      <w:r>
        <w:rPr>
          <w:rFonts w:hint="eastAsia"/>
          <w:lang w:val="en-US" w:eastAsia="zh-CN"/>
        </w:rPr>
        <w:t>4</w:t>
      </w:r>
      <w:r>
        <w:rPr>
          <w:rFonts w:ascii="Times New Roman" w:eastAsia="宋体"/>
        </w:rPr>
        <w:t xml:space="preserve"> </w:t>
      </w:r>
      <w:r>
        <w:rPr>
          <w:rFonts w:hint="eastAsia" w:ascii="Times New Roman" w:eastAsia="宋体"/>
        </w:rPr>
        <w:t xml:space="preserve"> 工作场所有害因素职业接触限值，应满足</w:t>
      </w:r>
      <w:r>
        <w:rPr>
          <w:rFonts w:ascii="Times New Roman" w:eastAsia="宋体"/>
        </w:rPr>
        <w:t>GBZ 2.1</w:t>
      </w:r>
      <w:r>
        <w:rPr>
          <w:rFonts w:hint="eastAsia" w:ascii="Times New Roman" w:eastAsia="宋体"/>
        </w:rPr>
        <w:t>和</w:t>
      </w:r>
      <w:r>
        <w:rPr>
          <w:rFonts w:ascii="Times New Roman" w:eastAsia="宋体"/>
        </w:rPr>
        <w:t>GBZ 2.2</w:t>
      </w:r>
      <w:r>
        <w:rPr>
          <w:rFonts w:hint="eastAsia" w:ascii="Times New Roman" w:eastAsia="宋体"/>
        </w:rPr>
        <w:t>要求。</w:t>
      </w:r>
    </w:p>
    <w:p>
      <w:pPr>
        <w:pStyle w:val="61"/>
        <w:numPr>
          <w:ilvl w:val="0"/>
          <w:numId w:val="0"/>
        </w:numPr>
        <w:adjustRightInd w:val="0"/>
        <w:snapToGrid w:val="0"/>
        <w:spacing w:before="156" w:after="156"/>
        <w:rPr>
          <w:rFonts w:ascii="Times New Roman" w:eastAsia="宋体"/>
        </w:rPr>
      </w:pPr>
      <w:r>
        <w:rPr>
          <w:rFonts w:hint="eastAsia"/>
        </w:rPr>
        <w:t>4.1.</w:t>
      </w:r>
      <w:r>
        <w:rPr>
          <w:rFonts w:hint="eastAsia"/>
          <w:lang w:val="en-US" w:eastAsia="zh-CN"/>
        </w:rPr>
        <w:t>5</w:t>
      </w:r>
      <w:r>
        <w:rPr>
          <w:rFonts w:ascii="Times New Roman" w:eastAsia="宋体"/>
        </w:rPr>
        <w:t xml:space="preserve"> </w:t>
      </w:r>
      <w:r>
        <w:rPr>
          <w:rFonts w:hint="eastAsia" w:ascii="Times New Roman" w:eastAsia="宋体"/>
        </w:rPr>
        <w:t xml:space="preserve"> 安全生产管理，应符合</w:t>
      </w:r>
      <w:r>
        <w:rPr>
          <w:rFonts w:hint="eastAsia" w:ascii="Times New Roman"/>
        </w:rPr>
        <w:t>GB/T 33000</w:t>
      </w:r>
      <w:r>
        <w:rPr>
          <w:rFonts w:hint="eastAsia" w:ascii="Times New Roman" w:eastAsia="宋体"/>
        </w:rPr>
        <w:t>要求，且近</w:t>
      </w:r>
      <w:r>
        <w:rPr>
          <w:rFonts w:ascii="Times New Roman" w:eastAsia="宋体"/>
        </w:rPr>
        <w:t>3</w:t>
      </w:r>
      <w:r>
        <w:rPr>
          <w:rFonts w:hint="eastAsia" w:ascii="Times New Roman" w:eastAsia="宋体"/>
        </w:rPr>
        <w:t>年无重大安全事故。</w:t>
      </w:r>
    </w:p>
    <w:bookmarkEnd w:id="94"/>
    <w:p>
      <w:pPr>
        <w:pStyle w:val="61"/>
        <w:numPr>
          <w:ilvl w:val="0"/>
          <w:numId w:val="0"/>
        </w:numPr>
        <w:adjustRightInd w:val="0"/>
        <w:snapToGrid w:val="0"/>
        <w:spacing w:before="156" w:after="156"/>
        <w:rPr>
          <w:rFonts w:ascii="Times New Roman" w:eastAsia="宋体"/>
        </w:rPr>
      </w:pPr>
      <w:bookmarkStart w:id="95" w:name="_Toc436234470"/>
      <w:r>
        <w:rPr>
          <w:rFonts w:hint="eastAsia"/>
        </w:rPr>
        <w:t>4.1.</w:t>
      </w:r>
      <w:r>
        <w:rPr>
          <w:rFonts w:hint="eastAsia"/>
          <w:lang w:val="en-US" w:eastAsia="zh-CN"/>
        </w:rPr>
        <w:t>6</w:t>
      </w:r>
      <w:r>
        <w:rPr>
          <w:rFonts w:ascii="Times New Roman" w:eastAsia="宋体"/>
        </w:rPr>
        <w:t xml:space="preserve">  </w:t>
      </w:r>
      <w:bookmarkEnd w:id="95"/>
      <w:r>
        <w:rPr>
          <w:rFonts w:hint="eastAsia" w:ascii="Times New Roman" w:eastAsia="宋体"/>
        </w:rPr>
        <w:t>生产企业应按照</w:t>
      </w:r>
      <w:r>
        <w:rPr>
          <w:rFonts w:ascii="Times New Roman" w:eastAsia="宋体"/>
        </w:rPr>
        <w:t>GB/T 19001</w:t>
      </w:r>
      <w:r>
        <w:rPr>
          <w:rFonts w:hint="eastAsia" w:ascii="Times New Roman" w:eastAsia="宋体"/>
        </w:rPr>
        <w:t>、</w:t>
      </w:r>
      <w:r>
        <w:rPr>
          <w:rFonts w:ascii="Times New Roman" w:eastAsia="宋体"/>
        </w:rPr>
        <w:t>GB/T 24001</w:t>
      </w:r>
      <w:r>
        <w:rPr>
          <w:rFonts w:hint="eastAsia" w:ascii="Times New Roman" w:eastAsia="宋体"/>
        </w:rPr>
        <w:t>、和</w:t>
      </w:r>
      <w:r>
        <w:rPr>
          <w:rFonts w:ascii="Times New Roman" w:eastAsia="宋体"/>
        </w:rPr>
        <w:t>GB/T 28001</w:t>
      </w:r>
      <w:r>
        <w:rPr>
          <w:rFonts w:hint="eastAsia" w:ascii="Times New Roman" w:eastAsia="宋体"/>
        </w:rPr>
        <w:t>分别建立并运行质量管理体系、环境管理体系和职业健康安全管理体系。</w:t>
      </w:r>
    </w:p>
    <w:p>
      <w:pPr>
        <w:pStyle w:val="61"/>
        <w:numPr>
          <w:ilvl w:val="0"/>
          <w:numId w:val="0"/>
        </w:numPr>
        <w:adjustRightInd w:val="0"/>
        <w:snapToGrid w:val="0"/>
        <w:spacing w:before="156" w:after="156"/>
        <w:rPr>
          <w:rFonts w:hint="eastAsia" w:ascii="Times New Roman" w:eastAsia="宋体"/>
        </w:rPr>
      </w:pPr>
      <w:r>
        <w:rPr>
          <w:rFonts w:hint="eastAsia"/>
        </w:rPr>
        <w:t>4.1.</w:t>
      </w:r>
      <w:r>
        <w:rPr>
          <w:rFonts w:hint="eastAsia"/>
          <w:lang w:val="en-US" w:eastAsia="zh-CN"/>
        </w:rPr>
        <w:t>7</w:t>
      </w:r>
      <w:r>
        <w:rPr>
          <w:rFonts w:hint="eastAsia" w:ascii="Times New Roman" w:eastAsia="宋体"/>
        </w:rPr>
        <w:t xml:space="preserve">  </w:t>
      </w:r>
      <w:r>
        <w:rPr>
          <w:rFonts w:hint="eastAsia" w:ascii="Times New Roman" w:eastAsia="宋体"/>
          <w:lang w:val="en-US" w:eastAsia="zh-CN"/>
        </w:rPr>
        <w:t>预埋槽道</w:t>
      </w:r>
      <w:r>
        <w:rPr>
          <w:rFonts w:hint="eastAsia" w:ascii="Times New Roman" w:eastAsia="宋体"/>
        </w:rPr>
        <w:t>基本性能应满足</w:t>
      </w:r>
      <w:r>
        <w:rPr>
          <w:rFonts w:hint="eastAsia" w:ascii="Times New Roman" w:eastAsia="宋体"/>
          <w:lang w:val="en-US" w:eastAsia="zh-CN"/>
        </w:rPr>
        <w:t>GB/T 37613或TB/T 3329</w:t>
      </w:r>
      <w:r>
        <w:rPr>
          <w:rFonts w:hint="eastAsia" w:ascii="Times New Roman" w:eastAsia="宋体"/>
        </w:rPr>
        <w:t>及其他国家和地方相关标准的要求。</w:t>
      </w:r>
    </w:p>
    <w:p>
      <w:pPr>
        <w:pStyle w:val="20"/>
      </w:pPr>
    </w:p>
    <w:p>
      <w:pPr>
        <w:widowControl/>
        <w:spacing w:before="156" w:beforeLines="50" w:after="156" w:afterLines="50"/>
        <w:jc w:val="left"/>
        <w:outlineLvl w:val="2"/>
        <w:rPr>
          <w:rFonts w:eastAsia="黑体"/>
          <w:color w:val="000000"/>
          <w:kern w:val="0"/>
        </w:rPr>
      </w:pPr>
      <w:bookmarkStart w:id="96" w:name="_Toc396134049"/>
      <w:bookmarkStart w:id="97" w:name="_Toc462063260"/>
      <w:bookmarkStart w:id="98" w:name="_Toc360632439"/>
      <w:bookmarkStart w:id="99" w:name="_Toc31135"/>
      <w:bookmarkStart w:id="100" w:name="_Toc360436761"/>
      <w:bookmarkStart w:id="101" w:name="_Toc533518631"/>
      <w:bookmarkStart w:id="102" w:name="_Toc360436848"/>
      <w:bookmarkStart w:id="103" w:name="_Toc384816564"/>
      <w:bookmarkStart w:id="104" w:name="_Toc406486355"/>
      <w:bookmarkStart w:id="105" w:name="_Toc350864000"/>
      <w:r>
        <w:rPr>
          <w:rFonts w:eastAsia="黑体"/>
          <w:color w:val="000000"/>
          <w:kern w:val="0"/>
        </w:rPr>
        <w:t>4.</w:t>
      </w:r>
      <w:r>
        <w:rPr>
          <w:rFonts w:hint="eastAsia" w:eastAsia="黑体"/>
          <w:color w:val="000000"/>
          <w:kern w:val="0"/>
          <w:lang w:val="en-US" w:eastAsia="zh-CN"/>
        </w:rPr>
        <w:t>2</w:t>
      </w:r>
      <w:r>
        <w:rPr>
          <w:rFonts w:eastAsia="黑体"/>
          <w:color w:val="000000"/>
          <w:kern w:val="0"/>
        </w:rPr>
        <w:t xml:space="preserve"> </w:t>
      </w:r>
      <w:r>
        <w:rPr>
          <w:rFonts w:hint="eastAsia" w:eastAsia="黑体"/>
          <w:color w:val="000000"/>
          <w:kern w:val="0"/>
        </w:rPr>
        <w:t>评价指标要求</w:t>
      </w:r>
      <w:bookmarkEnd w:id="96"/>
      <w:bookmarkEnd w:id="97"/>
      <w:bookmarkEnd w:id="98"/>
      <w:bookmarkEnd w:id="99"/>
      <w:bookmarkEnd w:id="100"/>
      <w:bookmarkEnd w:id="101"/>
      <w:bookmarkEnd w:id="102"/>
      <w:bookmarkEnd w:id="103"/>
      <w:bookmarkEnd w:id="104"/>
      <w:bookmarkEnd w:id="105"/>
    </w:p>
    <w:p>
      <w:pPr>
        <w:pStyle w:val="20"/>
        <w:spacing w:before="120" w:after="120"/>
        <w:rPr>
          <w:rFonts w:ascii="Times New Roman" w:eastAsia="黑体"/>
          <w:color w:val="000000"/>
        </w:rPr>
      </w:pPr>
      <w:r>
        <w:rPr>
          <w:rFonts w:hint="eastAsia" w:ascii="Times New Roman"/>
          <w:lang w:eastAsia="zh-CN"/>
        </w:rPr>
        <w:t>预埋槽道</w:t>
      </w:r>
      <w:r>
        <w:rPr>
          <w:rFonts w:hint="eastAsia" w:ascii="Times New Roman"/>
        </w:rPr>
        <w:t>评价指标包括资源属性指标、能源属性指标、环境属性指标和品质属性指标</w:t>
      </w:r>
      <w:r>
        <w:rPr>
          <w:rFonts w:hint="eastAsia" w:ascii="Times New Roman"/>
          <w:lang w:eastAsia="zh-CN"/>
        </w:rPr>
        <w:t>。</w:t>
      </w:r>
      <w:r>
        <w:rPr>
          <w:rFonts w:hint="eastAsia" w:ascii="Times New Roman"/>
          <w:lang w:val="en-US" w:eastAsia="zh-CN"/>
        </w:rPr>
        <w:t>具体</w:t>
      </w:r>
      <w:r>
        <w:rPr>
          <w:rFonts w:hint="eastAsia" w:ascii="Times New Roman"/>
        </w:rPr>
        <w:t>的评价指标要求见表</w:t>
      </w:r>
      <w:r>
        <w:rPr>
          <w:rFonts w:hint="eastAsia" w:ascii="Times New Roman"/>
          <w:lang w:val="en-US" w:eastAsia="zh-CN"/>
        </w:rPr>
        <w:t>1</w:t>
      </w:r>
      <w:r>
        <w:rPr>
          <w:rFonts w:hint="eastAsia" w:ascii="Times New Roman"/>
        </w:rPr>
        <w:t>。</w:t>
      </w:r>
    </w:p>
    <w:p>
      <w:pPr>
        <w:widowControl/>
        <w:spacing w:before="156" w:beforeLines="50" w:after="156" w:afterLines="50"/>
        <w:jc w:val="center"/>
        <w:rPr>
          <w:rFonts w:eastAsia="黑体"/>
          <w:color w:val="000000"/>
          <w:kern w:val="0"/>
        </w:rPr>
      </w:pPr>
      <w:r>
        <w:rPr>
          <w:rFonts w:hint="eastAsia" w:eastAsia="黑体"/>
          <w:color w:val="000000"/>
          <w:kern w:val="0"/>
        </w:rPr>
        <w:t>表</w:t>
      </w:r>
      <w:r>
        <w:rPr>
          <w:rFonts w:eastAsia="黑体"/>
          <w:color w:val="000000"/>
          <w:kern w:val="0"/>
        </w:rPr>
        <w:t xml:space="preserve">2 </w:t>
      </w:r>
      <w:r>
        <w:rPr>
          <w:rFonts w:hint="eastAsia" w:ascii="Times New Roman" w:hAnsi="Times New Roman" w:eastAsia="黑体" w:cs="Times New Roman"/>
          <w:color w:val="000000"/>
          <w:kern w:val="0"/>
          <w:lang w:eastAsia="zh-CN"/>
        </w:rPr>
        <w:t>预埋槽道</w:t>
      </w:r>
      <w:r>
        <w:rPr>
          <w:rFonts w:hint="eastAsia" w:ascii="Times New Roman" w:hAnsi="Times New Roman" w:eastAsia="黑体" w:cs="Times New Roman"/>
          <w:color w:val="000000"/>
          <w:kern w:val="0"/>
        </w:rPr>
        <w:t>评</w:t>
      </w:r>
      <w:r>
        <w:rPr>
          <w:rFonts w:hint="eastAsia" w:eastAsia="黑体"/>
          <w:color w:val="000000"/>
          <w:kern w:val="0"/>
        </w:rPr>
        <w:t>价指标要求</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294"/>
        <w:gridCol w:w="1461"/>
        <w:gridCol w:w="7"/>
        <w:gridCol w:w="12"/>
        <w:gridCol w:w="1420"/>
        <w:gridCol w:w="2310"/>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restart"/>
            <w:noWrap w:val="0"/>
            <w:vAlign w:val="center"/>
          </w:tcPr>
          <w:p>
            <w:pPr>
              <w:widowControl/>
              <w:jc w:val="center"/>
              <w:rPr>
                <w:color w:val="auto"/>
                <w:kern w:val="0"/>
                <w:szCs w:val="18"/>
                <w:highlight w:val="none"/>
              </w:rPr>
            </w:pPr>
            <w:r>
              <w:rPr>
                <w:rFonts w:hint="eastAsia" w:hAnsi="宋体"/>
                <w:color w:val="auto"/>
                <w:kern w:val="0"/>
                <w:szCs w:val="18"/>
                <w:highlight w:val="none"/>
              </w:rPr>
              <w:t>一级指标</w:t>
            </w:r>
          </w:p>
        </w:tc>
        <w:tc>
          <w:tcPr>
            <w:tcW w:w="1294" w:type="dxa"/>
            <w:vMerge w:val="restart"/>
            <w:noWrap w:val="0"/>
            <w:vAlign w:val="center"/>
          </w:tcPr>
          <w:p>
            <w:pPr>
              <w:widowControl/>
              <w:jc w:val="center"/>
              <w:rPr>
                <w:color w:val="auto"/>
                <w:kern w:val="0"/>
                <w:szCs w:val="18"/>
                <w:highlight w:val="none"/>
              </w:rPr>
            </w:pPr>
            <w:r>
              <w:rPr>
                <w:rFonts w:hint="eastAsia" w:hAnsi="宋体"/>
                <w:color w:val="auto"/>
                <w:kern w:val="0"/>
                <w:szCs w:val="18"/>
                <w:highlight w:val="none"/>
              </w:rPr>
              <w:t>二级指标</w:t>
            </w:r>
          </w:p>
        </w:tc>
        <w:tc>
          <w:tcPr>
            <w:tcW w:w="5210" w:type="dxa"/>
            <w:gridSpan w:val="5"/>
            <w:noWrap w:val="0"/>
            <w:vAlign w:val="center"/>
          </w:tcPr>
          <w:p>
            <w:pPr>
              <w:widowControl/>
              <w:jc w:val="center"/>
              <w:rPr>
                <w:rFonts w:hAnsi="宋体"/>
                <w:color w:val="auto"/>
                <w:kern w:val="0"/>
                <w:szCs w:val="18"/>
                <w:highlight w:val="none"/>
              </w:rPr>
            </w:pPr>
            <w:r>
              <w:rPr>
                <w:rFonts w:hint="eastAsia" w:hAnsi="宋体"/>
                <w:color w:val="auto"/>
                <w:kern w:val="0"/>
                <w:szCs w:val="18"/>
                <w:highlight w:val="none"/>
              </w:rPr>
              <w:t>基准值</w:t>
            </w:r>
          </w:p>
        </w:tc>
        <w:tc>
          <w:tcPr>
            <w:tcW w:w="1455" w:type="dxa"/>
            <w:vMerge w:val="restart"/>
            <w:noWrap w:val="0"/>
            <w:vAlign w:val="center"/>
          </w:tcPr>
          <w:p>
            <w:pPr>
              <w:jc w:val="center"/>
              <w:rPr>
                <w:rFonts w:hint="default" w:eastAsia="宋体"/>
                <w:color w:val="auto"/>
                <w:szCs w:val="18"/>
                <w:highlight w:val="none"/>
                <w:lang w:val="en-US" w:eastAsia="zh-CN"/>
              </w:rPr>
            </w:pPr>
            <w:r>
              <w:rPr>
                <w:rFonts w:hint="eastAsia"/>
                <w:color w:val="auto"/>
                <w:szCs w:val="18"/>
                <w:highlight w:val="none"/>
                <w:lang w:val="en-US" w:eastAsia="zh-CN"/>
              </w:rPr>
              <w:t>评价依据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continue"/>
            <w:noWrap w:val="0"/>
            <w:vAlign w:val="center"/>
          </w:tcPr>
          <w:p>
            <w:pPr>
              <w:jc w:val="center"/>
              <w:rPr>
                <w:rFonts w:hint="eastAsia"/>
                <w:color w:val="auto"/>
                <w:szCs w:val="18"/>
                <w:highlight w:val="none"/>
              </w:rPr>
            </w:pPr>
          </w:p>
        </w:tc>
        <w:tc>
          <w:tcPr>
            <w:tcW w:w="1294" w:type="dxa"/>
            <w:vMerge w:val="continue"/>
            <w:noWrap w:val="0"/>
            <w:vAlign w:val="center"/>
          </w:tcPr>
          <w:p>
            <w:pPr>
              <w:jc w:val="center"/>
              <w:rPr>
                <w:rFonts w:hint="eastAsia"/>
                <w:color w:val="auto"/>
                <w:szCs w:val="18"/>
                <w:highlight w:val="none"/>
              </w:rPr>
            </w:pPr>
          </w:p>
        </w:tc>
        <w:tc>
          <w:tcPr>
            <w:tcW w:w="1461" w:type="dxa"/>
            <w:noWrap w:val="0"/>
            <w:vAlign w:val="center"/>
          </w:tcPr>
          <w:p>
            <w:pPr>
              <w:jc w:val="center"/>
              <w:rPr>
                <w:rFonts w:hint="eastAsia"/>
                <w:color w:val="auto"/>
                <w:szCs w:val="18"/>
                <w:highlight w:val="none"/>
              </w:rPr>
            </w:pPr>
            <w:r>
              <w:rPr>
                <w:rFonts w:hint="eastAsia" w:hAnsi="宋体"/>
                <w:color w:val="auto"/>
                <w:kern w:val="0"/>
                <w:szCs w:val="18"/>
                <w:highlight w:val="none"/>
              </w:rPr>
              <w:t>一星级</w:t>
            </w:r>
          </w:p>
        </w:tc>
        <w:tc>
          <w:tcPr>
            <w:tcW w:w="1439" w:type="dxa"/>
            <w:gridSpan w:val="3"/>
            <w:noWrap w:val="0"/>
            <w:vAlign w:val="center"/>
          </w:tcPr>
          <w:p>
            <w:pPr>
              <w:jc w:val="center"/>
              <w:rPr>
                <w:rFonts w:hint="eastAsia"/>
                <w:color w:val="auto"/>
                <w:szCs w:val="18"/>
                <w:highlight w:val="none"/>
              </w:rPr>
            </w:pPr>
            <w:r>
              <w:rPr>
                <w:rFonts w:hint="eastAsia" w:hAnsi="宋体"/>
                <w:color w:val="auto"/>
                <w:kern w:val="0"/>
                <w:szCs w:val="18"/>
                <w:highlight w:val="none"/>
              </w:rPr>
              <w:t>二星级</w:t>
            </w:r>
          </w:p>
        </w:tc>
        <w:tc>
          <w:tcPr>
            <w:tcW w:w="2310" w:type="dxa"/>
            <w:noWrap w:val="0"/>
            <w:vAlign w:val="center"/>
          </w:tcPr>
          <w:p>
            <w:pPr>
              <w:jc w:val="center"/>
              <w:rPr>
                <w:rFonts w:hint="eastAsia"/>
                <w:color w:val="auto"/>
                <w:szCs w:val="18"/>
                <w:highlight w:val="none"/>
              </w:rPr>
            </w:pPr>
            <w:r>
              <w:rPr>
                <w:rFonts w:hint="eastAsia" w:hAnsi="宋体"/>
                <w:color w:val="auto"/>
                <w:kern w:val="0"/>
                <w:szCs w:val="18"/>
                <w:highlight w:val="none"/>
              </w:rPr>
              <w:t>三星级</w:t>
            </w:r>
          </w:p>
        </w:tc>
        <w:tc>
          <w:tcPr>
            <w:tcW w:w="1455" w:type="dxa"/>
            <w:vMerge w:val="continue"/>
            <w:noWrap w:val="0"/>
            <w:vAlign w:val="center"/>
          </w:tcPr>
          <w:p>
            <w:pPr>
              <w:jc w:val="center"/>
              <w:rPr>
                <w:rFonts w:hint="eastAsia"/>
                <w:color w:val="auto"/>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restart"/>
            <w:noWrap w:val="0"/>
            <w:vAlign w:val="center"/>
          </w:tcPr>
          <w:p>
            <w:pPr>
              <w:jc w:val="center"/>
              <w:rPr>
                <w:rFonts w:hint="eastAsia"/>
                <w:color w:val="auto"/>
                <w:szCs w:val="18"/>
                <w:highlight w:val="none"/>
              </w:rPr>
            </w:pPr>
            <w:r>
              <w:rPr>
                <w:rFonts w:hint="eastAsia" w:hAnsi="宋体"/>
                <w:color w:val="auto"/>
                <w:kern w:val="0"/>
                <w:szCs w:val="18"/>
                <w:highlight w:val="none"/>
              </w:rPr>
              <w:t>资源属性</w:t>
            </w:r>
          </w:p>
        </w:tc>
        <w:tc>
          <w:tcPr>
            <w:tcW w:w="1294" w:type="dxa"/>
            <w:noWrap w:val="0"/>
            <w:vAlign w:val="center"/>
          </w:tcPr>
          <w:p>
            <w:pPr>
              <w:jc w:val="center"/>
              <w:rPr>
                <w:rFonts w:hint="default" w:eastAsia="宋体"/>
                <w:color w:val="auto"/>
                <w:kern w:val="0"/>
                <w:szCs w:val="18"/>
                <w:highlight w:val="none"/>
                <w:lang w:val="en-US" w:eastAsia="zh-CN"/>
              </w:rPr>
            </w:pPr>
            <w:r>
              <w:rPr>
                <w:rFonts w:hint="eastAsia"/>
                <w:color w:val="auto"/>
                <w:kern w:val="0"/>
                <w:szCs w:val="18"/>
                <w:highlight w:val="none"/>
                <w:lang w:val="en-US" w:eastAsia="zh-CN"/>
              </w:rPr>
              <w:t>原材料选用</w:t>
            </w:r>
          </w:p>
        </w:tc>
        <w:tc>
          <w:tcPr>
            <w:tcW w:w="1461" w:type="dxa"/>
            <w:noWrap w:val="0"/>
            <w:vAlign w:val="center"/>
          </w:tcPr>
          <w:p>
            <w:pPr>
              <w:jc w:val="center"/>
              <w:rPr>
                <w:rFonts w:hint="default"/>
                <w:color w:val="auto"/>
                <w:kern w:val="0"/>
                <w:szCs w:val="18"/>
                <w:highlight w:val="none"/>
                <w:lang w:val="en-US" w:eastAsia="zh-CN"/>
              </w:rPr>
            </w:pPr>
            <w:r>
              <w:rPr>
                <w:rFonts w:hint="eastAsia"/>
                <w:color w:val="auto"/>
                <w:kern w:val="0"/>
                <w:szCs w:val="18"/>
                <w:highlight w:val="none"/>
                <w:lang w:val="en-US" w:eastAsia="zh-CN"/>
              </w:rPr>
              <w:t>Q235</w:t>
            </w:r>
          </w:p>
        </w:tc>
        <w:tc>
          <w:tcPr>
            <w:tcW w:w="3749" w:type="dxa"/>
            <w:gridSpan w:val="4"/>
            <w:noWrap w:val="0"/>
            <w:vAlign w:val="center"/>
          </w:tcPr>
          <w:p>
            <w:pPr>
              <w:jc w:val="center"/>
              <w:rPr>
                <w:rFonts w:hint="default"/>
                <w:color w:val="auto"/>
                <w:kern w:val="0"/>
                <w:szCs w:val="18"/>
                <w:highlight w:val="none"/>
                <w:lang w:val="en-US" w:eastAsia="zh-CN"/>
              </w:rPr>
            </w:pPr>
            <w:r>
              <w:rPr>
                <w:rFonts w:hint="eastAsia"/>
                <w:color w:val="auto"/>
                <w:kern w:val="0"/>
                <w:szCs w:val="18"/>
                <w:highlight w:val="none"/>
                <w:lang w:val="en-US" w:eastAsia="zh-CN"/>
              </w:rPr>
              <w:t>Q355或综合性能优于Q355的钢材</w:t>
            </w:r>
          </w:p>
        </w:tc>
        <w:tc>
          <w:tcPr>
            <w:tcW w:w="1455" w:type="dxa"/>
            <w:noWrap w:val="0"/>
            <w:vAlign w:val="center"/>
          </w:tcPr>
          <w:p>
            <w:pPr>
              <w:jc w:val="center"/>
              <w:rPr>
                <w:rFonts w:hint="default" w:eastAsia="宋体"/>
                <w:color w:val="auto"/>
                <w:szCs w:val="18"/>
                <w:highlight w:val="none"/>
                <w:lang w:val="en-US" w:eastAsia="zh-CN"/>
              </w:rPr>
            </w:pPr>
            <w:r>
              <w:rPr>
                <w:rFonts w:hint="eastAsia"/>
                <w:color w:val="auto"/>
                <w:szCs w:val="18"/>
                <w:highlight w:val="none"/>
                <w:lang w:val="en-US" w:eastAsia="zh-CN"/>
              </w:rPr>
              <w:t>GB/T 1591；GB/T 700或提供有资质单位出具的检测报告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continue"/>
            <w:noWrap w:val="0"/>
            <w:vAlign w:val="center"/>
          </w:tcPr>
          <w:p>
            <w:pPr>
              <w:jc w:val="center"/>
              <w:rPr>
                <w:rFonts w:hint="eastAsia" w:hAnsi="宋体"/>
                <w:color w:val="auto"/>
                <w:kern w:val="0"/>
                <w:szCs w:val="18"/>
                <w:highlight w:val="none"/>
              </w:rPr>
            </w:pPr>
          </w:p>
        </w:tc>
        <w:tc>
          <w:tcPr>
            <w:tcW w:w="1294" w:type="dxa"/>
            <w:noWrap w:val="0"/>
            <w:vAlign w:val="center"/>
          </w:tcPr>
          <w:p>
            <w:pPr>
              <w:jc w:val="center"/>
              <w:rPr>
                <w:rFonts w:hint="default" w:eastAsia="宋体"/>
                <w:color w:val="auto"/>
                <w:kern w:val="0"/>
                <w:szCs w:val="18"/>
                <w:highlight w:val="none"/>
                <w:lang w:val="en-US" w:eastAsia="zh-CN"/>
              </w:rPr>
            </w:pPr>
            <w:r>
              <w:rPr>
                <w:rFonts w:hint="eastAsia"/>
                <w:color w:val="auto"/>
                <w:kern w:val="0"/>
                <w:szCs w:val="18"/>
                <w:highlight w:val="none"/>
                <w:lang w:val="en-US" w:eastAsia="zh-CN"/>
              </w:rPr>
              <w:t>100%</w:t>
            </w:r>
            <w:r>
              <w:rPr>
                <w:sz w:val="18"/>
                <w:szCs w:val="18"/>
                <w:highlight w:val="none"/>
              </w:rPr>
              <w:t>生产废水回收</w:t>
            </w:r>
            <w:r>
              <w:rPr>
                <w:rFonts w:hint="eastAsia"/>
                <w:sz w:val="18"/>
                <w:szCs w:val="18"/>
                <w:highlight w:val="none"/>
              </w:rPr>
              <w:t>利用率（排污证）</w:t>
            </w:r>
          </w:p>
        </w:tc>
        <w:tc>
          <w:tcPr>
            <w:tcW w:w="5210" w:type="dxa"/>
            <w:gridSpan w:val="5"/>
            <w:noWrap w:val="0"/>
            <w:vAlign w:val="center"/>
          </w:tcPr>
          <w:p>
            <w:pPr>
              <w:jc w:val="center"/>
              <w:rPr>
                <w:rFonts w:hint="default"/>
                <w:color w:val="auto"/>
                <w:kern w:val="0"/>
                <w:szCs w:val="18"/>
                <w:highlight w:val="none"/>
                <w:lang w:val="en-US" w:eastAsia="zh-CN"/>
              </w:rPr>
            </w:pPr>
            <w:r>
              <w:rPr>
                <w:rFonts w:hint="eastAsia"/>
                <w:color w:val="auto"/>
                <w:kern w:val="0"/>
                <w:szCs w:val="18"/>
                <w:highlight w:val="none"/>
                <w:lang w:val="en-US" w:eastAsia="zh-CN"/>
              </w:rPr>
              <w:t>≥100%</w:t>
            </w:r>
          </w:p>
        </w:tc>
        <w:tc>
          <w:tcPr>
            <w:tcW w:w="1455" w:type="dxa"/>
            <w:noWrap w:val="0"/>
            <w:vAlign w:val="center"/>
          </w:tcPr>
          <w:p>
            <w:pPr>
              <w:jc w:val="center"/>
              <w:rPr>
                <w:rFonts w:hint="eastAsia"/>
                <w:color w:val="auto"/>
                <w:szCs w:val="18"/>
                <w:highlight w:val="none"/>
                <w:lang w:val="en-US" w:eastAsia="zh-CN"/>
              </w:rPr>
            </w:pPr>
            <w:r>
              <w:rPr>
                <w:rFonts w:hint="eastAsia" w:hAnsi="宋体"/>
                <w:kern w:val="0"/>
                <w:sz w:val="18"/>
                <w:szCs w:val="18"/>
                <w:highlight w:val="none"/>
              </w:rPr>
              <w:t>有资质处理单位证明材料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noWrap w:val="0"/>
            <w:vAlign w:val="center"/>
          </w:tcPr>
          <w:p>
            <w:pPr>
              <w:jc w:val="center"/>
              <w:rPr>
                <w:rFonts w:hint="eastAsia"/>
                <w:color w:val="auto"/>
                <w:szCs w:val="18"/>
                <w:highlight w:val="none"/>
              </w:rPr>
            </w:pPr>
            <w:r>
              <w:rPr>
                <w:rFonts w:hint="eastAsia" w:hAnsi="宋体"/>
                <w:color w:val="auto"/>
                <w:kern w:val="0"/>
                <w:szCs w:val="18"/>
                <w:highlight w:val="none"/>
              </w:rPr>
              <w:t>能源属性</w:t>
            </w:r>
          </w:p>
        </w:tc>
        <w:tc>
          <w:tcPr>
            <w:tcW w:w="1294" w:type="dxa"/>
            <w:noWrap w:val="0"/>
            <w:vAlign w:val="center"/>
          </w:tcPr>
          <w:p>
            <w:pPr>
              <w:jc w:val="center"/>
              <w:rPr>
                <w:rFonts w:hint="default" w:eastAsia="宋体"/>
                <w:color w:val="auto"/>
                <w:kern w:val="0"/>
                <w:szCs w:val="18"/>
                <w:highlight w:val="none"/>
                <w:lang w:val="en-US" w:eastAsia="zh-CN"/>
              </w:rPr>
            </w:pPr>
            <w:r>
              <w:rPr>
                <w:rFonts w:hint="eastAsia"/>
                <w:color w:val="auto"/>
                <w:kern w:val="0"/>
                <w:szCs w:val="18"/>
                <w:highlight w:val="none"/>
                <w:lang w:val="en-US" w:eastAsia="zh-CN"/>
              </w:rPr>
              <w:t>节能措施</w:t>
            </w:r>
          </w:p>
        </w:tc>
        <w:tc>
          <w:tcPr>
            <w:tcW w:w="1480" w:type="dxa"/>
            <w:gridSpan w:val="3"/>
            <w:tcBorders>
              <w:right w:val="single" w:color="auto" w:sz="4" w:space="0"/>
            </w:tcBorders>
            <w:noWrap w:val="0"/>
            <w:vAlign w:val="center"/>
          </w:tcPr>
          <w:p>
            <w:pPr>
              <w:jc w:val="center"/>
              <w:rPr>
                <w:rFonts w:hint="default" w:ascii="Arial" w:hAnsi="Arial" w:eastAsia="宋体" w:cs="Arial"/>
                <w:color w:val="auto"/>
                <w:kern w:val="0"/>
                <w:sz w:val="21"/>
                <w:szCs w:val="18"/>
                <w:highlight w:val="none"/>
                <w:lang w:val="en-US" w:eastAsia="zh-CN" w:bidi="ar-SA"/>
              </w:rPr>
            </w:pPr>
            <w:r>
              <w:rPr>
                <w:rFonts w:hint="eastAsia" w:ascii="Arial" w:hAnsi="Arial" w:cs="Arial"/>
                <w:color w:val="auto"/>
                <w:kern w:val="0"/>
                <w:szCs w:val="18"/>
                <w:highlight w:val="none"/>
                <w:lang w:val="en-US" w:eastAsia="zh-CN"/>
              </w:rPr>
              <w:t>未采用能源节能设备和措施的；</w:t>
            </w:r>
          </w:p>
        </w:tc>
        <w:tc>
          <w:tcPr>
            <w:tcW w:w="3730" w:type="dxa"/>
            <w:gridSpan w:val="2"/>
            <w:tcBorders>
              <w:left w:val="single" w:color="auto" w:sz="4" w:space="0"/>
            </w:tcBorders>
            <w:noWrap w:val="0"/>
            <w:vAlign w:val="center"/>
          </w:tcPr>
          <w:p>
            <w:pPr>
              <w:jc w:val="center"/>
              <w:rPr>
                <w:rFonts w:hint="eastAsia" w:ascii="Times New Roman" w:hAnsi="宋体" w:eastAsia="宋体" w:cs="Times New Roman"/>
                <w:color w:val="auto"/>
                <w:kern w:val="0"/>
                <w:sz w:val="21"/>
                <w:szCs w:val="18"/>
                <w:highlight w:val="none"/>
                <w:lang w:val="en-US" w:eastAsia="zh-CN" w:bidi="ar-SA"/>
              </w:rPr>
            </w:pPr>
            <w:r>
              <w:rPr>
                <w:rFonts w:hint="eastAsia" w:hAnsi="宋体"/>
                <w:color w:val="auto"/>
                <w:kern w:val="0"/>
                <w:szCs w:val="18"/>
                <w:highlight w:val="none"/>
                <w:lang w:val="en-US" w:eastAsia="zh-CN"/>
              </w:rPr>
              <w:t>采用节能设备或采取有效节能措施；</w:t>
            </w:r>
          </w:p>
          <w:p>
            <w:pPr>
              <w:numPr>
                <w:ilvl w:val="0"/>
                <w:numId w:val="0"/>
              </w:numPr>
              <w:jc w:val="center"/>
              <w:rPr>
                <w:rFonts w:hint="default" w:ascii="Times New Roman" w:hAnsi="宋体" w:eastAsia="宋体" w:cs="Times New Roman"/>
                <w:color w:val="auto"/>
                <w:kern w:val="0"/>
                <w:sz w:val="21"/>
                <w:szCs w:val="18"/>
                <w:highlight w:val="none"/>
                <w:lang w:val="en-US" w:eastAsia="zh-CN" w:bidi="ar-SA"/>
              </w:rPr>
            </w:pPr>
            <w:r>
              <w:rPr>
                <w:rFonts w:hint="eastAsia" w:hAnsi="宋体"/>
                <w:color w:val="auto"/>
                <w:kern w:val="0"/>
                <w:szCs w:val="18"/>
                <w:highlight w:val="none"/>
                <w:lang w:val="en-US" w:eastAsia="zh-CN"/>
              </w:rPr>
              <w:t>优先采用可再生能源（太阳能、风能等）</w:t>
            </w:r>
          </w:p>
        </w:tc>
        <w:tc>
          <w:tcPr>
            <w:tcW w:w="1455" w:type="dxa"/>
            <w:noWrap w:val="0"/>
            <w:vAlign w:val="center"/>
          </w:tcPr>
          <w:p>
            <w:pPr>
              <w:jc w:val="center"/>
              <w:rPr>
                <w:rFonts w:hint="default"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提供当年度与上年度工厂能耗指标及节能措施方案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restart"/>
            <w:noWrap w:val="0"/>
            <w:vAlign w:val="center"/>
          </w:tcPr>
          <w:p>
            <w:pPr>
              <w:jc w:val="center"/>
              <w:rPr>
                <w:rFonts w:hint="eastAsia" w:hAnsi="宋体"/>
                <w:color w:val="auto"/>
                <w:kern w:val="0"/>
                <w:szCs w:val="18"/>
                <w:highlight w:val="none"/>
              </w:rPr>
            </w:pPr>
            <w:r>
              <w:rPr>
                <w:rFonts w:hint="eastAsia" w:hAnsi="宋体"/>
                <w:color w:val="auto"/>
                <w:kern w:val="0"/>
                <w:szCs w:val="18"/>
                <w:highlight w:val="none"/>
              </w:rPr>
              <w:t>环境属性</w:t>
            </w:r>
          </w:p>
        </w:tc>
        <w:tc>
          <w:tcPr>
            <w:tcW w:w="1294" w:type="dxa"/>
            <w:noWrap w:val="0"/>
            <w:vAlign w:val="center"/>
          </w:tcPr>
          <w:p>
            <w:pPr>
              <w:jc w:val="center"/>
              <w:rPr>
                <w:rFonts w:hint="eastAsia"/>
                <w:color w:val="auto"/>
                <w:kern w:val="0"/>
                <w:szCs w:val="18"/>
                <w:highlight w:val="none"/>
              </w:rPr>
            </w:pPr>
            <w:r>
              <w:rPr>
                <w:rFonts w:hint="eastAsia" w:hAnsi="宋体"/>
                <w:kern w:val="0"/>
                <w:sz w:val="18"/>
                <w:szCs w:val="18"/>
                <w:highlight w:val="none"/>
              </w:rPr>
              <w:t>产品环境影响和碳足迹</w:t>
            </w:r>
          </w:p>
        </w:tc>
        <w:tc>
          <w:tcPr>
            <w:tcW w:w="5210" w:type="dxa"/>
            <w:gridSpan w:val="5"/>
            <w:noWrap w:val="0"/>
            <w:vAlign w:val="center"/>
          </w:tcPr>
          <w:p>
            <w:pPr>
              <w:jc w:val="center"/>
              <w:rPr>
                <w:rFonts w:hint="eastAsia"/>
                <w:kern w:val="0"/>
                <w:sz w:val="18"/>
                <w:szCs w:val="18"/>
                <w:highlight w:val="none"/>
                <w:lang w:val="en-US" w:eastAsia="zh-CN"/>
              </w:rPr>
            </w:pPr>
            <w:r>
              <w:rPr>
                <w:rFonts w:hint="eastAsia"/>
                <w:kern w:val="0"/>
                <w:sz w:val="18"/>
                <w:szCs w:val="18"/>
                <w:highlight w:val="none"/>
              </w:rPr>
              <w:t>进行环境产品声明（EPD）和碳足迹分析</w:t>
            </w:r>
          </w:p>
        </w:tc>
        <w:tc>
          <w:tcPr>
            <w:tcW w:w="1455" w:type="dxa"/>
            <w:noWrap w:val="0"/>
            <w:vAlign w:val="center"/>
          </w:tcPr>
          <w:p>
            <w:pPr>
              <w:jc w:val="center"/>
              <w:rPr>
                <w:rFonts w:hint="default"/>
                <w:kern w:val="0"/>
                <w:sz w:val="18"/>
                <w:szCs w:val="18"/>
                <w:highlight w:val="none"/>
                <w:lang w:val="en-US"/>
              </w:rPr>
            </w:pPr>
            <w:r>
              <w:rPr>
                <w:rFonts w:hint="eastAsia"/>
                <w:kern w:val="0"/>
                <w:sz w:val="18"/>
                <w:szCs w:val="18"/>
                <w:highlight w:val="none"/>
                <w:lang w:val="en-US" w:eastAsia="zh-CN"/>
              </w:rPr>
              <w:t>有资质单位出具的分析报告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continue"/>
            <w:noWrap w:val="0"/>
            <w:vAlign w:val="center"/>
          </w:tcPr>
          <w:p>
            <w:pPr>
              <w:jc w:val="center"/>
              <w:rPr>
                <w:rFonts w:hint="eastAsia" w:hAnsi="宋体"/>
                <w:color w:val="auto"/>
                <w:kern w:val="0"/>
                <w:szCs w:val="18"/>
                <w:highlight w:val="none"/>
              </w:rPr>
            </w:pPr>
          </w:p>
        </w:tc>
        <w:tc>
          <w:tcPr>
            <w:tcW w:w="1294" w:type="dxa"/>
            <w:noWrap w:val="0"/>
            <w:vAlign w:val="center"/>
          </w:tcPr>
          <w:p>
            <w:pPr>
              <w:jc w:val="center"/>
              <w:rPr>
                <w:rFonts w:hint="default" w:hAnsi="宋体" w:eastAsia="宋体"/>
                <w:kern w:val="0"/>
                <w:sz w:val="18"/>
                <w:szCs w:val="18"/>
                <w:highlight w:val="none"/>
                <w:lang w:val="en-US" w:eastAsia="zh-CN"/>
              </w:rPr>
            </w:pPr>
            <w:r>
              <w:rPr>
                <w:rFonts w:hint="eastAsia" w:hAnsi="宋体"/>
                <w:kern w:val="0"/>
                <w:sz w:val="18"/>
                <w:szCs w:val="18"/>
                <w:highlight w:val="none"/>
                <w:lang w:val="en-US" w:eastAsia="zh-CN"/>
              </w:rPr>
              <w:t>酸洗工序</w:t>
            </w:r>
          </w:p>
        </w:tc>
        <w:tc>
          <w:tcPr>
            <w:tcW w:w="5210" w:type="dxa"/>
            <w:gridSpan w:val="5"/>
            <w:noWrap w:val="0"/>
            <w:vAlign w:val="center"/>
          </w:tcPr>
          <w:p>
            <w:pPr>
              <w:jc w:val="center"/>
              <w:rPr>
                <w:rFonts w:hint="eastAsia"/>
                <w:kern w:val="0"/>
                <w:sz w:val="18"/>
                <w:szCs w:val="18"/>
                <w:highlight w:val="none"/>
              </w:rPr>
            </w:pPr>
            <w:r>
              <w:rPr>
                <w:rFonts w:hint="eastAsia" w:hAnsi="宋体"/>
                <w:color w:val="000000"/>
                <w:kern w:val="0"/>
                <w:sz w:val="18"/>
                <w:szCs w:val="18"/>
                <w:highlight w:val="none"/>
              </w:rPr>
              <w:t>酸洗工序</w:t>
            </w:r>
            <w:r>
              <w:rPr>
                <w:rFonts w:hAnsi="宋体"/>
                <w:color w:val="000000"/>
                <w:kern w:val="0"/>
                <w:sz w:val="18"/>
                <w:szCs w:val="18"/>
                <w:highlight w:val="none"/>
              </w:rPr>
              <w:t>应符合</w:t>
            </w:r>
            <w:r>
              <w:rPr>
                <w:rFonts w:hint="eastAsia" w:hAnsi="宋体"/>
                <w:color w:val="000000"/>
                <w:kern w:val="0"/>
                <w:sz w:val="18"/>
                <w:szCs w:val="18"/>
                <w:highlight w:val="none"/>
              </w:rPr>
              <w:t>国家及地方</w:t>
            </w:r>
            <w:r>
              <w:rPr>
                <w:rFonts w:hAnsi="宋体"/>
                <w:color w:val="000000"/>
                <w:kern w:val="0"/>
                <w:sz w:val="18"/>
                <w:szCs w:val="18"/>
                <w:highlight w:val="none"/>
              </w:rPr>
              <w:t>环境保护相关法律法规</w:t>
            </w:r>
            <w:r>
              <w:rPr>
                <w:rFonts w:hint="eastAsia" w:hAnsi="宋体"/>
                <w:color w:val="000000"/>
                <w:kern w:val="0"/>
                <w:sz w:val="18"/>
                <w:szCs w:val="18"/>
                <w:highlight w:val="none"/>
              </w:rPr>
              <w:t>的要求</w:t>
            </w:r>
          </w:p>
        </w:tc>
        <w:tc>
          <w:tcPr>
            <w:tcW w:w="1455" w:type="dxa"/>
            <w:noWrap w:val="0"/>
            <w:vAlign w:val="center"/>
          </w:tcPr>
          <w:p>
            <w:pPr>
              <w:jc w:val="center"/>
              <w:rPr>
                <w:rFonts w:hint="eastAsia"/>
                <w:kern w:val="0"/>
                <w:sz w:val="18"/>
                <w:szCs w:val="18"/>
                <w:highlight w:val="none"/>
                <w:lang w:val="en-US" w:eastAsia="zh-CN"/>
              </w:rPr>
            </w:pPr>
            <w:r>
              <w:rPr>
                <w:rFonts w:hint="eastAsia"/>
                <w:kern w:val="0"/>
                <w:sz w:val="18"/>
                <w:szCs w:val="18"/>
                <w:highlight w:val="none"/>
              </w:rPr>
              <w:t>提供证明材料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restart"/>
            <w:noWrap w:val="0"/>
            <w:vAlign w:val="center"/>
          </w:tcPr>
          <w:p>
            <w:pPr>
              <w:jc w:val="center"/>
              <w:rPr>
                <w:rFonts w:hint="eastAsia" w:hAnsi="宋体"/>
                <w:color w:val="auto"/>
                <w:kern w:val="0"/>
                <w:szCs w:val="18"/>
                <w:highlight w:val="none"/>
              </w:rPr>
            </w:pPr>
            <w:r>
              <w:rPr>
                <w:rFonts w:hint="eastAsia" w:hAnsi="宋体"/>
                <w:color w:val="auto"/>
                <w:kern w:val="0"/>
                <w:szCs w:val="18"/>
                <w:highlight w:val="none"/>
              </w:rPr>
              <w:t>品质属性</w:t>
            </w:r>
          </w:p>
        </w:tc>
        <w:tc>
          <w:tcPr>
            <w:tcW w:w="1294" w:type="dxa"/>
            <w:noWrap w:val="0"/>
            <w:vAlign w:val="center"/>
          </w:tcPr>
          <w:p>
            <w:pPr>
              <w:jc w:val="center"/>
              <w:rPr>
                <w:rFonts w:hint="default" w:eastAsia="宋体"/>
                <w:color w:val="auto"/>
                <w:kern w:val="0"/>
                <w:szCs w:val="18"/>
                <w:highlight w:val="none"/>
                <w:lang w:val="en-US" w:eastAsia="zh-CN"/>
              </w:rPr>
            </w:pPr>
            <w:r>
              <w:rPr>
                <w:rFonts w:hint="eastAsia"/>
                <w:color w:val="auto"/>
                <w:kern w:val="0"/>
                <w:szCs w:val="18"/>
                <w:highlight w:val="none"/>
                <w:lang w:val="en-US" w:eastAsia="zh-CN"/>
              </w:rPr>
              <w:t>预埋槽道耐腐蚀性能</w:t>
            </w:r>
          </w:p>
        </w:tc>
        <w:tc>
          <w:tcPr>
            <w:tcW w:w="1468" w:type="dxa"/>
            <w:gridSpan w:val="2"/>
            <w:tcBorders>
              <w:right w:val="single" w:color="auto" w:sz="4" w:space="0"/>
            </w:tcBorders>
            <w:noWrap w:val="0"/>
            <w:vAlign w:val="center"/>
          </w:tcPr>
          <w:p>
            <w:pPr>
              <w:jc w:val="center"/>
              <w:rPr>
                <w:rFonts w:hint="default" w:hAnsi="宋体" w:eastAsia="宋体"/>
                <w:color w:val="auto"/>
                <w:kern w:val="0"/>
                <w:szCs w:val="18"/>
                <w:highlight w:val="none"/>
                <w:lang w:val="en-US" w:eastAsia="zh-CN"/>
              </w:rPr>
            </w:pPr>
            <w:r>
              <w:rPr>
                <w:rFonts w:hint="eastAsia"/>
                <w:color w:val="auto"/>
                <w:kern w:val="0"/>
                <w:szCs w:val="18"/>
                <w:highlight w:val="none"/>
                <w:lang w:val="en-US" w:eastAsia="zh-CN"/>
              </w:rPr>
              <w:t>通过1200h中性盐雾试验测试后，评级不低于9级</w:t>
            </w:r>
          </w:p>
        </w:tc>
        <w:tc>
          <w:tcPr>
            <w:tcW w:w="1432" w:type="dxa"/>
            <w:gridSpan w:val="2"/>
            <w:tcBorders>
              <w:left w:val="single" w:color="auto" w:sz="4" w:space="0"/>
            </w:tcBorders>
            <w:noWrap w:val="0"/>
            <w:vAlign w:val="center"/>
          </w:tcPr>
          <w:p>
            <w:pPr>
              <w:jc w:val="center"/>
              <w:rPr>
                <w:rFonts w:hint="eastAsia"/>
                <w:color w:val="auto"/>
                <w:kern w:val="0"/>
                <w:szCs w:val="18"/>
                <w:highlight w:val="none"/>
                <w:lang w:val="en-US" w:eastAsia="zh-CN"/>
              </w:rPr>
            </w:pPr>
            <w:r>
              <w:rPr>
                <w:rFonts w:hint="eastAsia"/>
                <w:color w:val="auto"/>
                <w:kern w:val="0"/>
                <w:szCs w:val="18"/>
                <w:highlight w:val="none"/>
                <w:lang w:val="en-US" w:eastAsia="zh-CN"/>
              </w:rPr>
              <w:t>通过2400h中性盐雾试验测试后，评级不低于9级</w:t>
            </w:r>
          </w:p>
        </w:tc>
        <w:tc>
          <w:tcPr>
            <w:tcW w:w="2310" w:type="dxa"/>
            <w:noWrap w:val="0"/>
            <w:vAlign w:val="center"/>
          </w:tcPr>
          <w:p>
            <w:pPr>
              <w:jc w:val="center"/>
              <w:rPr>
                <w:rFonts w:hint="eastAsia" w:hAnsi="宋体"/>
                <w:color w:val="auto"/>
                <w:kern w:val="0"/>
                <w:szCs w:val="18"/>
                <w:highlight w:val="none"/>
              </w:rPr>
            </w:pPr>
            <w:r>
              <w:rPr>
                <w:rFonts w:hint="eastAsia"/>
                <w:color w:val="auto"/>
                <w:kern w:val="0"/>
                <w:szCs w:val="18"/>
                <w:highlight w:val="none"/>
                <w:lang w:val="en-US" w:eastAsia="zh-CN"/>
              </w:rPr>
              <w:t>通过300hCASS铜盐加速盐雾试验测试后，评级不低于9级</w:t>
            </w:r>
          </w:p>
        </w:tc>
        <w:tc>
          <w:tcPr>
            <w:tcW w:w="1455" w:type="dxa"/>
            <w:noWrap w:val="0"/>
            <w:vAlign w:val="center"/>
          </w:tcPr>
          <w:p>
            <w:pPr>
              <w:jc w:val="center"/>
              <w:rPr>
                <w:rFonts w:hint="default" w:eastAsia="宋体"/>
                <w:color w:val="auto"/>
                <w:szCs w:val="18"/>
                <w:highlight w:val="none"/>
                <w:lang w:val="en-US" w:eastAsia="zh-CN"/>
              </w:rPr>
            </w:pPr>
            <w:r>
              <w:rPr>
                <w:rFonts w:hint="eastAsia"/>
                <w:color w:val="auto"/>
                <w:kern w:val="0"/>
                <w:szCs w:val="18"/>
                <w:highlight w:val="none"/>
                <w:lang w:val="en-US" w:eastAsia="zh-CN"/>
              </w:rPr>
              <w:t>GB/T 10215；GB/T 6461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vMerge w:val="continue"/>
            <w:noWrap w:val="0"/>
            <w:vAlign w:val="center"/>
          </w:tcPr>
          <w:p>
            <w:pPr>
              <w:jc w:val="center"/>
              <w:rPr>
                <w:rFonts w:hint="eastAsia" w:hAnsi="宋体"/>
                <w:color w:val="auto"/>
                <w:kern w:val="0"/>
                <w:szCs w:val="18"/>
                <w:highlight w:val="none"/>
              </w:rPr>
            </w:pPr>
          </w:p>
        </w:tc>
        <w:tc>
          <w:tcPr>
            <w:tcW w:w="1294" w:type="dxa"/>
            <w:noWrap w:val="0"/>
            <w:vAlign w:val="center"/>
          </w:tcPr>
          <w:p>
            <w:pPr>
              <w:jc w:val="center"/>
              <w:rPr>
                <w:rFonts w:hint="default" w:eastAsia="宋体"/>
                <w:color w:val="auto"/>
                <w:kern w:val="0"/>
                <w:szCs w:val="18"/>
                <w:highlight w:val="none"/>
                <w:lang w:val="en-US" w:eastAsia="zh-CN"/>
              </w:rPr>
            </w:pPr>
            <w:r>
              <w:rPr>
                <w:rFonts w:hint="eastAsia"/>
                <w:color w:val="auto"/>
                <w:kern w:val="0"/>
                <w:szCs w:val="18"/>
                <w:highlight w:val="none"/>
                <w:lang w:val="en-US" w:eastAsia="zh-CN"/>
              </w:rPr>
              <w:t>部件防松动性能</w:t>
            </w:r>
          </w:p>
        </w:tc>
        <w:tc>
          <w:tcPr>
            <w:tcW w:w="5210" w:type="dxa"/>
            <w:gridSpan w:val="5"/>
            <w:noWrap w:val="0"/>
            <w:vAlign w:val="center"/>
          </w:tcPr>
          <w:p>
            <w:pPr>
              <w:jc w:val="center"/>
              <w:rPr>
                <w:rFonts w:hint="eastAsia" w:hAnsi="宋体"/>
                <w:color w:val="auto"/>
                <w:kern w:val="0"/>
                <w:szCs w:val="18"/>
                <w:highlight w:val="none"/>
              </w:rPr>
            </w:pPr>
            <w:r>
              <w:rPr>
                <w:rFonts w:hint="eastAsia" w:hAnsi="宋体"/>
                <w:color w:val="auto"/>
                <w:kern w:val="0"/>
                <w:szCs w:val="18"/>
                <w:highlight w:val="none"/>
                <w:lang w:val="en-US" w:eastAsia="zh-CN"/>
              </w:rPr>
              <w:t>频率100Hz，正弦波，振幅0.2mm振动300万次后，预埋槽道和螺栓螺母紧固件无松动</w:t>
            </w:r>
          </w:p>
        </w:tc>
        <w:tc>
          <w:tcPr>
            <w:tcW w:w="1455" w:type="dxa"/>
            <w:noWrap w:val="0"/>
            <w:vAlign w:val="center"/>
          </w:tcPr>
          <w:p>
            <w:pPr>
              <w:jc w:val="center"/>
              <w:rPr>
                <w:rFonts w:hint="default" w:eastAsia="宋体"/>
                <w:color w:val="auto"/>
                <w:szCs w:val="18"/>
                <w:highlight w:val="none"/>
                <w:lang w:val="en-US" w:eastAsia="zh-CN"/>
              </w:rPr>
            </w:pPr>
            <w:r>
              <w:rPr>
                <w:rFonts w:hint="eastAsia" w:hAnsi="宋体"/>
                <w:color w:val="auto"/>
                <w:kern w:val="0"/>
                <w:szCs w:val="18"/>
                <w:highlight w:val="none"/>
                <w:lang w:val="en-US" w:eastAsia="zh-CN"/>
              </w:rPr>
              <w:t>GJB 150.16A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991" w:type="dxa"/>
            <w:vMerge w:val="continue"/>
            <w:noWrap w:val="0"/>
            <w:vAlign w:val="center"/>
          </w:tcPr>
          <w:p>
            <w:pPr>
              <w:jc w:val="center"/>
              <w:rPr>
                <w:rFonts w:hint="eastAsia" w:hAnsi="宋体"/>
                <w:color w:val="auto"/>
                <w:kern w:val="0"/>
                <w:szCs w:val="18"/>
                <w:highlight w:val="none"/>
              </w:rPr>
            </w:pPr>
          </w:p>
        </w:tc>
        <w:tc>
          <w:tcPr>
            <w:tcW w:w="1294" w:type="dxa"/>
            <w:noWrap w:val="0"/>
            <w:vAlign w:val="center"/>
          </w:tcPr>
          <w:p>
            <w:pPr>
              <w:jc w:val="both"/>
              <w:rPr>
                <w:rFonts w:hint="default" w:eastAsia="宋体"/>
                <w:color w:val="auto"/>
                <w:kern w:val="0"/>
                <w:szCs w:val="18"/>
                <w:highlight w:val="none"/>
                <w:lang w:val="en-US" w:eastAsia="zh-CN"/>
              </w:rPr>
            </w:pPr>
            <w:r>
              <w:rPr>
                <w:rFonts w:hint="eastAsia" w:eastAsia="宋体"/>
                <w:color w:val="auto"/>
                <w:kern w:val="0"/>
                <w:szCs w:val="18"/>
                <w:highlight w:val="none"/>
                <w:lang w:val="en-US" w:eastAsia="zh-CN"/>
              </w:rPr>
              <w:t>疲劳性能</w:t>
            </w:r>
          </w:p>
        </w:tc>
        <w:tc>
          <w:tcPr>
            <w:tcW w:w="2900" w:type="dxa"/>
            <w:gridSpan w:val="4"/>
            <w:noWrap w:val="0"/>
            <w:vAlign w:val="center"/>
          </w:tcPr>
          <w:p>
            <w:pPr>
              <w:jc w:val="center"/>
              <w:rPr>
                <w:rFonts w:hint="default" w:hAnsi="宋体"/>
                <w:color w:val="auto"/>
                <w:kern w:val="0"/>
                <w:szCs w:val="18"/>
                <w:highlight w:val="none"/>
                <w:lang w:val="en-US" w:eastAsia="zh-CN"/>
              </w:rPr>
            </w:pPr>
            <w:r>
              <w:rPr>
                <w:rFonts w:hint="eastAsia" w:hAnsi="宋体"/>
                <w:color w:val="auto"/>
                <w:kern w:val="0"/>
                <w:szCs w:val="18"/>
                <w:highlight w:val="none"/>
                <w:lang w:val="en-US" w:eastAsia="zh-CN"/>
              </w:rPr>
              <w:t>1.预埋槽道裸件≥50万次疲劳测试；产品承载力较设计值下降不超过5%</w:t>
            </w:r>
          </w:p>
          <w:p>
            <w:pPr>
              <w:jc w:val="center"/>
              <w:rPr>
                <w:rFonts w:hint="default" w:ascii="Times New Roman" w:hAnsi="宋体" w:eastAsia="宋体" w:cs="Times New Roman"/>
                <w:color w:val="auto"/>
                <w:kern w:val="0"/>
                <w:sz w:val="21"/>
                <w:szCs w:val="18"/>
                <w:highlight w:val="none"/>
                <w:lang w:val="en-US" w:eastAsia="zh-CN" w:bidi="ar-SA"/>
              </w:rPr>
            </w:pPr>
            <w:r>
              <w:rPr>
                <w:rFonts w:hint="eastAsia" w:hAnsi="宋体"/>
                <w:color w:val="auto"/>
                <w:kern w:val="0"/>
                <w:szCs w:val="18"/>
                <w:highlight w:val="none"/>
                <w:lang w:val="en-US" w:eastAsia="zh-CN"/>
              </w:rPr>
              <w:t>2.预埋槽道预制在混凝土中≥200万次疲劳测试；产品承载力较设计值下降不超过5%</w:t>
            </w:r>
          </w:p>
        </w:tc>
        <w:tc>
          <w:tcPr>
            <w:tcW w:w="2310" w:type="dxa"/>
            <w:noWrap w:val="0"/>
            <w:vAlign w:val="center"/>
          </w:tcPr>
          <w:p>
            <w:pPr>
              <w:jc w:val="center"/>
              <w:rPr>
                <w:rFonts w:hint="default" w:hAnsi="宋体"/>
                <w:color w:val="auto"/>
                <w:kern w:val="0"/>
                <w:szCs w:val="18"/>
                <w:highlight w:val="none"/>
                <w:lang w:val="en-US" w:eastAsia="zh-CN"/>
              </w:rPr>
            </w:pPr>
            <w:r>
              <w:rPr>
                <w:rFonts w:hint="eastAsia" w:hAnsi="宋体"/>
                <w:color w:val="auto"/>
                <w:kern w:val="0"/>
                <w:szCs w:val="18"/>
                <w:highlight w:val="none"/>
                <w:lang w:val="en-US" w:eastAsia="zh-CN"/>
              </w:rPr>
              <w:t>1.预埋槽道裸件≥100万次疲劳测试，产品不产生明显塑性变形和断裂</w:t>
            </w:r>
          </w:p>
          <w:p>
            <w:pPr>
              <w:jc w:val="center"/>
              <w:rPr>
                <w:rFonts w:hint="default" w:ascii="Times New Roman" w:hAnsi="宋体" w:eastAsia="宋体" w:cs="Times New Roman"/>
                <w:color w:val="auto"/>
                <w:kern w:val="0"/>
                <w:sz w:val="21"/>
                <w:szCs w:val="18"/>
                <w:highlight w:val="none"/>
                <w:lang w:val="en-US" w:eastAsia="zh-CN" w:bidi="ar-SA"/>
              </w:rPr>
            </w:pPr>
            <w:r>
              <w:rPr>
                <w:rFonts w:hint="eastAsia" w:hAnsi="宋体"/>
                <w:color w:val="auto"/>
                <w:kern w:val="0"/>
                <w:szCs w:val="18"/>
                <w:highlight w:val="none"/>
                <w:lang w:val="en-US" w:eastAsia="zh-CN"/>
              </w:rPr>
              <w:t>2.预埋槽道预制在混凝土中≥300万次疲劳测试，产品不产生明显塑性变形和断裂</w:t>
            </w:r>
          </w:p>
        </w:tc>
        <w:tc>
          <w:tcPr>
            <w:tcW w:w="1455" w:type="dxa"/>
            <w:noWrap w:val="0"/>
            <w:vAlign w:val="center"/>
          </w:tcPr>
          <w:p>
            <w:pPr>
              <w:jc w:val="center"/>
              <w:rPr>
                <w:rFonts w:hint="eastAsia"/>
                <w:highlight w:val="none"/>
                <w:lang w:val="en-US" w:eastAsia="zh-CN"/>
              </w:rPr>
            </w:pPr>
            <w:r>
              <w:rPr>
                <w:rFonts w:hint="eastAsia"/>
                <w:highlight w:val="none"/>
                <w:lang w:val="en-US" w:eastAsia="zh-CN"/>
              </w:rPr>
              <w:t>GB/T 37613</w:t>
            </w:r>
          </w:p>
          <w:p>
            <w:pPr>
              <w:pStyle w:val="26"/>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GB/T 41217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991" w:type="dxa"/>
            <w:vMerge w:val="continue"/>
            <w:noWrap w:val="0"/>
            <w:vAlign w:val="center"/>
          </w:tcPr>
          <w:p>
            <w:pPr>
              <w:jc w:val="center"/>
              <w:rPr>
                <w:rFonts w:hint="eastAsia" w:hAnsi="宋体"/>
                <w:color w:val="auto"/>
                <w:kern w:val="0"/>
                <w:szCs w:val="18"/>
                <w:highlight w:val="none"/>
              </w:rPr>
            </w:pPr>
          </w:p>
        </w:tc>
        <w:tc>
          <w:tcPr>
            <w:tcW w:w="1294" w:type="dxa"/>
            <w:noWrap w:val="0"/>
            <w:vAlign w:val="center"/>
          </w:tcPr>
          <w:p>
            <w:pPr>
              <w:jc w:val="both"/>
              <w:rPr>
                <w:rFonts w:hint="default" w:eastAsia="宋体"/>
                <w:color w:val="auto"/>
                <w:kern w:val="0"/>
                <w:szCs w:val="18"/>
                <w:highlight w:val="none"/>
                <w:lang w:val="en-US" w:eastAsia="zh-CN"/>
              </w:rPr>
            </w:pPr>
            <w:r>
              <w:rPr>
                <w:rFonts w:hint="eastAsia" w:eastAsia="宋体"/>
                <w:color w:val="auto"/>
                <w:kern w:val="0"/>
                <w:szCs w:val="18"/>
                <w:highlight w:val="none"/>
                <w:lang w:val="en-US" w:eastAsia="zh-CN"/>
              </w:rPr>
              <w:t>耐火性能</w:t>
            </w:r>
          </w:p>
        </w:tc>
        <w:tc>
          <w:tcPr>
            <w:tcW w:w="1461" w:type="dxa"/>
            <w:noWrap w:val="0"/>
            <w:vAlign w:val="center"/>
          </w:tcPr>
          <w:p>
            <w:pPr>
              <w:jc w:val="center"/>
              <w:rPr>
                <w:rFonts w:hint="default" w:hAnsi="宋体" w:eastAsia="宋体"/>
                <w:color w:val="0000FF"/>
                <w:kern w:val="0"/>
                <w:szCs w:val="18"/>
                <w:highlight w:val="none"/>
                <w:lang w:val="en-US" w:eastAsia="zh-CN"/>
              </w:rPr>
            </w:pPr>
            <w:r>
              <w:rPr>
                <w:rFonts w:hint="eastAsia" w:hAnsi="宋体"/>
                <w:color w:val="auto"/>
                <w:kern w:val="0"/>
                <w:szCs w:val="18"/>
                <w:highlight w:val="none"/>
                <w:lang w:val="en-US" w:eastAsia="zh-CN"/>
              </w:rPr>
              <w:t>通过GB/T 9978.1标准温度-时间曲线90min耐火试验</w:t>
            </w:r>
          </w:p>
        </w:tc>
        <w:tc>
          <w:tcPr>
            <w:tcW w:w="1439" w:type="dxa"/>
            <w:gridSpan w:val="3"/>
            <w:tcBorders>
              <w:right w:val="single" w:color="auto" w:sz="4" w:space="0"/>
            </w:tcBorders>
            <w:noWrap w:val="0"/>
            <w:vAlign w:val="center"/>
          </w:tcPr>
          <w:p>
            <w:pPr>
              <w:jc w:val="center"/>
              <w:rPr>
                <w:rFonts w:hint="default" w:hAnsi="宋体" w:eastAsia="宋体"/>
                <w:color w:val="auto"/>
                <w:kern w:val="0"/>
                <w:szCs w:val="18"/>
                <w:highlight w:val="none"/>
                <w:lang w:val="en-US" w:eastAsia="zh-CN"/>
              </w:rPr>
            </w:pPr>
            <w:r>
              <w:rPr>
                <w:rFonts w:hint="eastAsia" w:hAnsi="宋体"/>
                <w:color w:val="auto"/>
                <w:kern w:val="0"/>
                <w:szCs w:val="18"/>
                <w:highlight w:val="none"/>
                <w:lang w:val="en-US" w:eastAsia="zh-CN"/>
              </w:rPr>
              <w:t>通过GB/T 9978.1标准温度-时间曲线120min耐火试验</w:t>
            </w:r>
          </w:p>
        </w:tc>
        <w:tc>
          <w:tcPr>
            <w:tcW w:w="2310" w:type="dxa"/>
            <w:tcBorders>
              <w:left w:val="single" w:color="auto" w:sz="4" w:space="0"/>
            </w:tcBorders>
            <w:noWrap w:val="0"/>
            <w:vAlign w:val="center"/>
          </w:tcPr>
          <w:p>
            <w:pPr>
              <w:jc w:val="center"/>
              <w:rPr>
                <w:rFonts w:hint="default" w:ascii="Times New Roman" w:hAnsi="宋体" w:eastAsia="宋体" w:cs="Times New Roman"/>
                <w:color w:val="auto"/>
                <w:kern w:val="0"/>
                <w:sz w:val="21"/>
                <w:szCs w:val="18"/>
                <w:highlight w:val="none"/>
                <w:lang w:val="en-US" w:eastAsia="zh-CN" w:bidi="ar-SA"/>
              </w:rPr>
            </w:pPr>
            <w:r>
              <w:rPr>
                <w:rFonts w:hint="eastAsia" w:hAnsi="宋体"/>
                <w:color w:val="auto"/>
                <w:kern w:val="0"/>
                <w:szCs w:val="18"/>
                <w:highlight w:val="none"/>
                <w:lang w:val="en-US" w:eastAsia="zh-CN"/>
              </w:rPr>
              <w:t>通过GB/T26784隧道火灾RABT-ZTV升温条件的标准温度-时间曲线120min耐火试验</w:t>
            </w:r>
          </w:p>
        </w:tc>
        <w:tc>
          <w:tcPr>
            <w:tcW w:w="1455" w:type="dxa"/>
            <w:noWrap w:val="0"/>
            <w:vAlign w:val="center"/>
          </w:tcPr>
          <w:p>
            <w:pPr>
              <w:jc w:val="center"/>
              <w:rPr>
                <w:rFonts w:hint="eastAsia" w:hAnsi="宋体"/>
                <w:color w:val="auto"/>
                <w:kern w:val="0"/>
                <w:szCs w:val="18"/>
                <w:highlight w:val="none"/>
                <w:lang w:val="en-US" w:eastAsia="zh-CN"/>
              </w:rPr>
            </w:pPr>
            <w:r>
              <w:rPr>
                <w:rFonts w:hint="eastAsia" w:hAnsi="宋体"/>
                <w:color w:val="auto"/>
                <w:kern w:val="0"/>
                <w:szCs w:val="18"/>
                <w:highlight w:val="none"/>
                <w:lang w:val="en-US" w:eastAsia="zh-CN"/>
              </w:rPr>
              <w:t>GB/T9978.1</w:t>
            </w:r>
          </w:p>
          <w:p>
            <w:pPr>
              <w:jc w:val="center"/>
              <w:rPr>
                <w:rFonts w:hint="default" w:hAnsi="宋体" w:eastAsia="宋体"/>
                <w:color w:val="auto"/>
                <w:kern w:val="0"/>
                <w:szCs w:val="18"/>
                <w:highlight w:val="none"/>
                <w:lang w:val="en-US" w:eastAsia="zh-CN"/>
              </w:rPr>
            </w:pPr>
            <w:r>
              <w:rPr>
                <w:rFonts w:hint="eastAsia" w:hAnsi="宋体"/>
                <w:color w:val="auto"/>
                <w:kern w:val="0"/>
                <w:szCs w:val="18"/>
                <w:highlight w:val="none"/>
                <w:lang w:val="en-US" w:eastAsia="zh-CN"/>
              </w:rPr>
              <w:t>GB/T 26784；GB/T 37613</w:t>
            </w:r>
          </w:p>
        </w:tc>
      </w:tr>
    </w:tbl>
    <w:p>
      <w:pPr>
        <w:widowControl/>
        <w:spacing w:before="156" w:beforeLines="50" w:after="156" w:afterLines="50"/>
        <w:jc w:val="center"/>
        <w:rPr>
          <w:rFonts w:eastAsia="黑体"/>
          <w:color w:val="000000"/>
          <w:kern w:val="0"/>
        </w:rPr>
      </w:pPr>
    </w:p>
    <w:p>
      <w:pPr>
        <w:pStyle w:val="84"/>
        <w:numPr>
          <w:ilvl w:val="0"/>
          <w:numId w:val="18"/>
        </w:numPr>
        <w:tabs>
          <w:tab w:val="left" w:pos="0"/>
        </w:tabs>
        <w:spacing w:before="312" w:after="312"/>
        <w:ind w:left="0" w:firstLine="0"/>
        <w:rPr>
          <w:rFonts w:ascii="Times New Roman"/>
          <w:color w:val="000000"/>
        </w:rPr>
      </w:pPr>
      <w:bookmarkStart w:id="106" w:name="_Toc533518632"/>
      <w:r>
        <w:rPr>
          <w:rFonts w:hint="eastAsia" w:ascii="Times New Roman"/>
          <w:color w:val="000000"/>
        </w:rPr>
        <w:t>评价方法</w:t>
      </w:r>
      <w:bookmarkEnd w:id="106"/>
    </w:p>
    <w:p>
      <w:pPr>
        <w:widowControl/>
        <w:tabs>
          <w:tab w:val="center" w:pos="4201"/>
          <w:tab w:val="right" w:leader="dot" w:pos="9298"/>
        </w:tabs>
        <w:autoSpaceDE w:val="0"/>
        <w:autoSpaceDN w:val="0"/>
        <w:rPr>
          <w:kern w:val="0"/>
          <w:szCs w:val="20"/>
        </w:rPr>
      </w:pPr>
      <w:bookmarkStart w:id="107" w:name="_Toc350864010"/>
      <w:bookmarkStart w:id="108" w:name="_Toc360632449"/>
      <w:bookmarkStart w:id="109" w:name="_Toc396134056"/>
      <w:bookmarkStart w:id="110" w:name="_Toc360436771"/>
      <w:bookmarkStart w:id="111" w:name="_Toc360436858"/>
      <w:bookmarkStart w:id="112" w:name="_Toc384816571"/>
      <w:r>
        <w:t xml:space="preserve">5.1 </w:t>
      </w:r>
      <w:r>
        <w:rPr>
          <w:rFonts w:hint="eastAsia"/>
        </w:rPr>
        <w:t>生产企业</w:t>
      </w:r>
      <w:r>
        <w:rPr>
          <w:rFonts w:hint="eastAsia"/>
          <w:kern w:val="0"/>
          <w:szCs w:val="20"/>
        </w:rPr>
        <w:t>应按第</w:t>
      </w:r>
      <w:r>
        <w:rPr>
          <w:kern w:val="0"/>
          <w:szCs w:val="20"/>
        </w:rPr>
        <w:t>4</w:t>
      </w:r>
      <w:r>
        <w:rPr>
          <w:rFonts w:hint="eastAsia"/>
          <w:kern w:val="0"/>
          <w:szCs w:val="20"/>
        </w:rPr>
        <w:t>章的规定提供相关证明文件。</w:t>
      </w:r>
    </w:p>
    <w:p>
      <w:r>
        <w:t xml:space="preserve">5.2 </w:t>
      </w:r>
      <w:r>
        <w:rPr>
          <w:rFonts w:hint="eastAsia"/>
          <w:lang w:eastAsia="zh-CN"/>
        </w:rPr>
        <w:t>预埋槽道</w:t>
      </w:r>
      <w:r>
        <w:rPr>
          <w:rFonts w:hint="eastAsia"/>
        </w:rPr>
        <w:t>相应指标的评价应按第</w:t>
      </w:r>
      <w:r>
        <w:t>4</w:t>
      </w:r>
      <w:r>
        <w:rPr>
          <w:rFonts w:hint="eastAsia"/>
        </w:rPr>
        <w:t>章表中列出的评价依据进行，产品基本性能应按相应产品的标准进行检测</w:t>
      </w:r>
      <w:bookmarkStart w:id="113" w:name="_Toc456611292"/>
      <w:bookmarkStart w:id="114" w:name="_Toc459106422"/>
      <w:bookmarkStart w:id="115" w:name="_Toc462063266"/>
      <w:r>
        <w:rPr>
          <w:rFonts w:hint="eastAsia"/>
        </w:rPr>
        <w:t>。</w:t>
      </w:r>
    </w:p>
    <w:bookmarkEnd w:id="113"/>
    <w:bookmarkEnd w:id="114"/>
    <w:bookmarkEnd w:id="115"/>
    <w:p>
      <w:pPr>
        <w:autoSpaceDE w:val="0"/>
        <w:autoSpaceDN w:val="0"/>
        <w:adjustRightInd w:val="0"/>
        <w:rPr>
          <w:kern w:val="0"/>
        </w:rPr>
      </w:pPr>
      <w:r>
        <w:t xml:space="preserve">5.3 </w:t>
      </w:r>
      <w:r>
        <w:rPr>
          <w:rFonts w:hint="eastAsia"/>
        </w:rPr>
        <w:t>采用符合性评价，</w:t>
      </w:r>
      <w:r>
        <w:rPr>
          <w:rFonts w:hint="eastAsia"/>
          <w:kern w:val="0"/>
        </w:rPr>
        <w:t>生产企业满足第</w:t>
      </w:r>
      <w:r>
        <w:rPr>
          <w:kern w:val="0"/>
        </w:rPr>
        <w:t>4</w:t>
      </w:r>
      <w:r>
        <w:rPr>
          <w:rFonts w:hint="eastAsia"/>
          <w:kern w:val="0"/>
        </w:rPr>
        <w:t>章对某一评价等级的全部要求时，</w:t>
      </w:r>
      <w:r>
        <w:rPr>
          <w:rFonts w:hint="eastAsia"/>
        </w:rPr>
        <w:t>判定评价结果</w:t>
      </w:r>
      <w:r>
        <w:rPr>
          <w:rFonts w:hint="eastAsia"/>
          <w:kern w:val="0"/>
        </w:rPr>
        <w:t>符合该等级规定。</w:t>
      </w:r>
      <w:bookmarkEnd w:id="107"/>
      <w:bookmarkEnd w:id="108"/>
      <w:bookmarkEnd w:id="109"/>
      <w:bookmarkEnd w:id="110"/>
      <w:bookmarkEnd w:id="111"/>
      <w:bookmarkEnd w:id="112"/>
    </w:p>
    <w:p>
      <w:pPr>
        <w:pStyle w:val="153"/>
      </w:pPr>
      <w:bookmarkStart w:id="116" w:name="_Toc532820840"/>
      <w:bookmarkEnd w:id="116"/>
      <w:bookmarkStart w:id="117" w:name="_Toc532820968"/>
      <w:bookmarkEnd w:id="117"/>
    </w:p>
    <w:p>
      <w:pPr>
        <w:pStyle w:val="20"/>
        <w:rPr>
          <w:rFonts w:hint="eastAsia" w:ascii="Times New Roman" w:eastAsia="宋体"/>
          <w:lang w:eastAsia="zh-CN"/>
        </w:rPr>
      </w:pPr>
      <w:r>
        <w:rPr>
          <w:rFonts w:ascii="Times New Roman"/>
        </w:rPr>
        <w:br w:type="textWrapping"/>
      </w:r>
    </w:p>
    <w:p>
      <w:pPr>
        <w:pStyle w:val="77"/>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T/ CECS 1000X—XXXX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5"/>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48"/>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149"/>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06"/>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144"/>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84"/>
      <w:suff w:val="nothing"/>
      <w:lvlText w:val="%1　"/>
      <w:lvlJc w:val="left"/>
      <w:rPr>
        <w:rFonts w:hint="eastAsia" w:ascii="黑体" w:hAnsi="Times New Roman" w:eastAsia="黑体" w:cs="Times New Roman"/>
        <w:b w:val="0"/>
        <w:i w:val="0"/>
        <w:sz w:val="21"/>
        <w:szCs w:val="21"/>
      </w:rPr>
    </w:lvl>
    <w:lvl w:ilvl="1" w:tentative="0">
      <w:start w:val="1"/>
      <w:numFmt w:val="decimal"/>
      <w:pStyle w:val="6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1"/>
      <w:suff w:val="nothing"/>
      <w:lvlText w:val="%1.%2.%3　"/>
      <w:lvlJc w:val="left"/>
      <w:pPr>
        <w:ind w:left="993"/>
      </w:pPr>
      <w:rPr>
        <w:rFonts w:hint="eastAsia" w:ascii="黑体" w:hAnsi="Times New Roman" w:eastAsia="黑体" w:cs="Times New Roman"/>
        <w:b w:val="0"/>
        <w:i w:val="0"/>
        <w:sz w:val="21"/>
      </w:rPr>
    </w:lvl>
    <w:lvl w:ilvl="3" w:tentative="0">
      <w:start w:val="1"/>
      <w:numFmt w:val="decimal"/>
      <w:pStyle w:val="60"/>
      <w:suff w:val="nothing"/>
      <w:lvlText w:val="%1.%2.%3.%4　"/>
      <w:lvlJc w:val="left"/>
      <w:rPr>
        <w:rFonts w:hint="eastAsia" w:ascii="黑体" w:hAnsi="Times New Roman" w:eastAsia="黑体" w:cs="Times New Roman"/>
        <w:b w:val="0"/>
        <w:i w:val="0"/>
        <w:sz w:val="21"/>
      </w:rPr>
    </w:lvl>
    <w:lvl w:ilvl="4" w:tentative="0">
      <w:start w:val="1"/>
      <w:numFmt w:val="decimal"/>
      <w:pStyle w:val="59"/>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34"/>
      <w:suff w:val="space"/>
      <w:lvlText w:val="%1"/>
      <w:lvlJc w:val="left"/>
      <w:pPr>
        <w:ind w:left="623" w:hanging="425"/>
      </w:pPr>
      <w:rPr>
        <w:rFonts w:hint="eastAsia" w:cs="Times New Roman"/>
      </w:rPr>
    </w:lvl>
    <w:lvl w:ilvl="1" w:tentative="0">
      <w:start w:val="1"/>
      <w:numFmt w:val="decimal"/>
      <w:pStyle w:val="86"/>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81"/>
      <w:suff w:val="nothing"/>
      <w:lvlText w:val="%1——"/>
      <w:lvlJc w:val="left"/>
      <w:pPr>
        <w:ind w:left="833" w:hanging="408"/>
      </w:pPr>
      <w:rPr>
        <w:rFonts w:hint="eastAsia" w:cs="Times New Roman"/>
      </w:rPr>
    </w:lvl>
    <w:lvl w:ilvl="1" w:tentative="0">
      <w:start w:val="1"/>
      <w:numFmt w:val="bullet"/>
      <w:pStyle w:val="148"/>
      <w:lvlText w:val=""/>
      <w:lvlJc w:val="left"/>
      <w:pPr>
        <w:tabs>
          <w:tab w:val="left" w:pos="760"/>
        </w:tabs>
        <w:ind w:left="1264" w:hanging="413"/>
      </w:pPr>
      <w:rPr>
        <w:rFonts w:hint="default" w:ascii="Symbol" w:hAnsi="Symbol"/>
        <w:color w:val="auto"/>
      </w:rPr>
    </w:lvl>
    <w:lvl w:ilvl="2" w:tentative="0">
      <w:start w:val="1"/>
      <w:numFmt w:val="bullet"/>
      <w:pStyle w:val="13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12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25"/>
      <w:lvlText w:val="%2)"/>
      <w:lvlJc w:val="left"/>
      <w:pPr>
        <w:tabs>
          <w:tab w:val="left" w:pos="1260"/>
        </w:tabs>
        <w:ind w:left="1259" w:hanging="419"/>
      </w:pPr>
      <w:rPr>
        <w:rFonts w:hint="eastAsia" w:cs="Times New Roman"/>
      </w:rPr>
    </w:lvl>
    <w:lvl w:ilvl="2" w:tentative="0">
      <w:start w:val="1"/>
      <w:numFmt w:val="decimal"/>
      <w:pStyle w:val="141"/>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122"/>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0616D8B"/>
    <w:multiLevelType w:val="multilevel"/>
    <w:tmpl w:val="50616D8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57C2AF5"/>
    <w:multiLevelType w:val="multilevel"/>
    <w:tmpl w:val="557C2AF5"/>
    <w:lvl w:ilvl="0" w:tentative="0">
      <w:start w:val="1"/>
      <w:numFmt w:val="decimal"/>
      <w:pStyle w:val="115"/>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153"/>
      <w:lvlText w:val="%1"/>
      <w:lvlJc w:val="left"/>
      <w:pPr>
        <w:tabs>
          <w:tab w:val="left" w:pos="0"/>
        </w:tabs>
        <w:ind w:hanging="425"/>
      </w:pPr>
      <w:rPr>
        <w:rFonts w:hint="eastAsia" w:cs="Times New Roman"/>
      </w:rPr>
    </w:lvl>
    <w:lvl w:ilvl="1" w:tentative="0">
      <w:start w:val="1"/>
      <w:numFmt w:val="decimal"/>
      <w:pStyle w:val="14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46260FA"/>
    <w:multiLevelType w:val="multilevel"/>
    <w:tmpl w:val="646260FA"/>
    <w:lvl w:ilvl="0" w:tentative="0">
      <w:start w:val="1"/>
      <w:numFmt w:val="decimal"/>
      <w:pStyle w:val="103"/>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57D3FBC"/>
    <w:multiLevelType w:val="multilevel"/>
    <w:tmpl w:val="657D3FBC"/>
    <w:lvl w:ilvl="0" w:tentative="0">
      <w:start w:val="1"/>
      <w:numFmt w:val="upperLetter"/>
      <w:pStyle w:val="8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7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74"/>
      <w:suff w:val="nothing"/>
      <w:lvlText w:val="%1.%2.%3　"/>
      <w:lvlJc w:val="left"/>
      <w:rPr>
        <w:rFonts w:hint="eastAsia" w:ascii="黑体" w:hAnsi="Times New Roman" w:eastAsia="黑体" w:cs="Times New Roman"/>
        <w:b w:val="0"/>
        <w:i w:val="0"/>
        <w:sz w:val="21"/>
      </w:rPr>
    </w:lvl>
    <w:lvl w:ilvl="3" w:tentative="0">
      <w:start w:val="1"/>
      <w:numFmt w:val="decimal"/>
      <w:pStyle w:val="80"/>
      <w:suff w:val="nothing"/>
      <w:lvlText w:val="%1.%2.%3.%4　"/>
      <w:lvlJc w:val="left"/>
      <w:rPr>
        <w:rFonts w:hint="eastAsia" w:ascii="黑体" w:hAnsi="Times New Roman" w:eastAsia="黑体" w:cs="Times New Roman"/>
        <w:b w:val="0"/>
        <w:i w:val="0"/>
        <w:sz w:val="21"/>
      </w:rPr>
    </w:lvl>
    <w:lvl w:ilvl="4" w:tentative="0">
      <w:start w:val="1"/>
      <w:numFmt w:val="decimal"/>
      <w:pStyle w:val="79"/>
      <w:suff w:val="nothing"/>
      <w:lvlText w:val="%1.%2.%3.%4.%5　"/>
      <w:lvlJc w:val="left"/>
      <w:rPr>
        <w:rFonts w:hint="eastAsia" w:ascii="黑体" w:hAnsi="Times New Roman" w:eastAsia="黑体" w:cs="Times New Roman"/>
        <w:b w:val="0"/>
        <w:i w:val="0"/>
        <w:sz w:val="21"/>
      </w:rPr>
    </w:lvl>
    <w:lvl w:ilvl="5" w:tentative="0">
      <w:start w:val="1"/>
      <w:numFmt w:val="decimal"/>
      <w:pStyle w:val="78"/>
      <w:suff w:val="nothing"/>
      <w:lvlText w:val="%1.%2.%3.%4.%5.%6　"/>
      <w:lvlJc w:val="left"/>
      <w:rPr>
        <w:rFonts w:hint="eastAsia" w:ascii="黑体" w:hAnsi="Times New Roman" w:eastAsia="黑体" w:cs="Times New Roman"/>
        <w:b w:val="0"/>
        <w:i w:val="0"/>
        <w:sz w:val="21"/>
      </w:rPr>
    </w:lvl>
    <w:lvl w:ilvl="6" w:tentative="0">
      <w:start w:val="1"/>
      <w:numFmt w:val="decimal"/>
      <w:pStyle w:val="8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D6C07CD"/>
    <w:multiLevelType w:val="multilevel"/>
    <w:tmpl w:val="6D6C07CD"/>
    <w:lvl w:ilvl="0" w:tentative="0">
      <w:start w:val="1"/>
      <w:numFmt w:val="lowerLetter"/>
      <w:pStyle w:val="139"/>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7">
    <w:nsid w:val="6DBF04F4"/>
    <w:multiLevelType w:val="multilevel"/>
    <w:tmpl w:val="6DBF04F4"/>
    <w:lvl w:ilvl="0" w:tentative="0">
      <w:start w:val="1"/>
      <w:numFmt w:val="none"/>
      <w:pStyle w:val="114"/>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8"/>
  </w:num>
  <w:num w:numId="2">
    <w:abstractNumId w:val="1"/>
  </w:num>
  <w:num w:numId="3">
    <w:abstractNumId w:val="5"/>
  </w:num>
  <w:num w:numId="4">
    <w:abstractNumId w:val="15"/>
  </w:num>
  <w:num w:numId="5">
    <w:abstractNumId w:val="7"/>
  </w:num>
  <w:num w:numId="6">
    <w:abstractNumId w:val="6"/>
  </w:num>
  <w:num w:numId="7">
    <w:abstractNumId w:val="16"/>
  </w:num>
  <w:num w:numId="8">
    <w:abstractNumId w:val="14"/>
  </w:num>
  <w:num w:numId="9">
    <w:abstractNumId w:val="3"/>
  </w:num>
  <w:num w:numId="10">
    <w:abstractNumId w:val="17"/>
  </w:num>
  <w:num w:numId="11">
    <w:abstractNumId w:val="12"/>
  </w:num>
  <w:num w:numId="12">
    <w:abstractNumId w:val="10"/>
  </w:num>
  <w:num w:numId="13">
    <w:abstractNumId w:val="9"/>
  </w:num>
  <w:num w:numId="14">
    <w:abstractNumId w:val="0"/>
  </w:num>
  <w:num w:numId="15">
    <w:abstractNumId w:val="13"/>
  </w:num>
  <w:num w:numId="16">
    <w:abstractNumId w:val="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244"/>
    <w:rsid w:val="0000185F"/>
    <w:rsid w:val="0000586F"/>
    <w:rsid w:val="00007D81"/>
    <w:rsid w:val="00013D86"/>
    <w:rsid w:val="00013E02"/>
    <w:rsid w:val="0002143C"/>
    <w:rsid w:val="00025A65"/>
    <w:rsid w:val="00026C31"/>
    <w:rsid w:val="00026F4A"/>
    <w:rsid w:val="00027280"/>
    <w:rsid w:val="00031803"/>
    <w:rsid w:val="000320A7"/>
    <w:rsid w:val="00035925"/>
    <w:rsid w:val="00036621"/>
    <w:rsid w:val="00040B15"/>
    <w:rsid w:val="00045561"/>
    <w:rsid w:val="0004726A"/>
    <w:rsid w:val="00047596"/>
    <w:rsid w:val="00047733"/>
    <w:rsid w:val="00050B96"/>
    <w:rsid w:val="0005187B"/>
    <w:rsid w:val="00065009"/>
    <w:rsid w:val="00067CDF"/>
    <w:rsid w:val="00074FBE"/>
    <w:rsid w:val="00083A09"/>
    <w:rsid w:val="000840F0"/>
    <w:rsid w:val="0009005E"/>
    <w:rsid w:val="00092670"/>
    <w:rsid w:val="00092857"/>
    <w:rsid w:val="000A1174"/>
    <w:rsid w:val="000A1D7C"/>
    <w:rsid w:val="000A20A9"/>
    <w:rsid w:val="000A337E"/>
    <w:rsid w:val="000A48B1"/>
    <w:rsid w:val="000A72F2"/>
    <w:rsid w:val="000B014C"/>
    <w:rsid w:val="000B3143"/>
    <w:rsid w:val="000B4E32"/>
    <w:rsid w:val="000C0FAB"/>
    <w:rsid w:val="000C6B05"/>
    <w:rsid w:val="000C6DD6"/>
    <w:rsid w:val="000C73D4"/>
    <w:rsid w:val="000D3D4C"/>
    <w:rsid w:val="000D4F51"/>
    <w:rsid w:val="000D718B"/>
    <w:rsid w:val="000E0C46"/>
    <w:rsid w:val="000F030C"/>
    <w:rsid w:val="000F129C"/>
    <w:rsid w:val="001049B7"/>
    <w:rsid w:val="001056DE"/>
    <w:rsid w:val="001069E8"/>
    <w:rsid w:val="001124C0"/>
    <w:rsid w:val="00117987"/>
    <w:rsid w:val="0013175F"/>
    <w:rsid w:val="00147666"/>
    <w:rsid w:val="001512B4"/>
    <w:rsid w:val="00157980"/>
    <w:rsid w:val="001620A5"/>
    <w:rsid w:val="00164E53"/>
    <w:rsid w:val="0016699D"/>
    <w:rsid w:val="00172A27"/>
    <w:rsid w:val="00175159"/>
    <w:rsid w:val="00176208"/>
    <w:rsid w:val="0018211B"/>
    <w:rsid w:val="001823BE"/>
    <w:rsid w:val="00182CDD"/>
    <w:rsid w:val="001840D3"/>
    <w:rsid w:val="001900F8"/>
    <w:rsid w:val="00191258"/>
    <w:rsid w:val="00192680"/>
    <w:rsid w:val="00193037"/>
    <w:rsid w:val="00193A2C"/>
    <w:rsid w:val="001A288E"/>
    <w:rsid w:val="001B6DC2"/>
    <w:rsid w:val="001C149C"/>
    <w:rsid w:val="001C21AC"/>
    <w:rsid w:val="001C47BA"/>
    <w:rsid w:val="001C4BA7"/>
    <w:rsid w:val="001C59EA"/>
    <w:rsid w:val="001C6DEA"/>
    <w:rsid w:val="001D406C"/>
    <w:rsid w:val="001D41EE"/>
    <w:rsid w:val="001E0380"/>
    <w:rsid w:val="001E13B1"/>
    <w:rsid w:val="001E2ADF"/>
    <w:rsid w:val="001F3A19"/>
    <w:rsid w:val="001F7837"/>
    <w:rsid w:val="00200052"/>
    <w:rsid w:val="00200FBA"/>
    <w:rsid w:val="00201EA8"/>
    <w:rsid w:val="00210015"/>
    <w:rsid w:val="00210FBD"/>
    <w:rsid w:val="002126D2"/>
    <w:rsid w:val="00215BC1"/>
    <w:rsid w:val="0021766A"/>
    <w:rsid w:val="00234467"/>
    <w:rsid w:val="00237D8D"/>
    <w:rsid w:val="00241DA2"/>
    <w:rsid w:val="00247FEE"/>
    <w:rsid w:val="00250E7D"/>
    <w:rsid w:val="002527AA"/>
    <w:rsid w:val="002559C1"/>
    <w:rsid w:val="002565D5"/>
    <w:rsid w:val="002622C0"/>
    <w:rsid w:val="00262E2F"/>
    <w:rsid w:val="0027064E"/>
    <w:rsid w:val="00273B5A"/>
    <w:rsid w:val="002778AE"/>
    <w:rsid w:val="0028269A"/>
    <w:rsid w:val="00283590"/>
    <w:rsid w:val="00286973"/>
    <w:rsid w:val="00293FC2"/>
    <w:rsid w:val="00294E70"/>
    <w:rsid w:val="002A1924"/>
    <w:rsid w:val="002A203D"/>
    <w:rsid w:val="002A7420"/>
    <w:rsid w:val="002B0F12"/>
    <w:rsid w:val="002B1308"/>
    <w:rsid w:val="002B4554"/>
    <w:rsid w:val="002C4BDD"/>
    <w:rsid w:val="002C6063"/>
    <w:rsid w:val="002C6184"/>
    <w:rsid w:val="002C72D8"/>
    <w:rsid w:val="002D11FA"/>
    <w:rsid w:val="002D2B1D"/>
    <w:rsid w:val="002E0DDF"/>
    <w:rsid w:val="002E2906"/>
    <w:rsid w:val="002E5635"/>
    <w:rsid w:val="002E64C3"/>
    <w:rsid w:val="002E6A2C"/>
    <w:rsid w:val="002F1D8C"/>
    <w:rsid w:val="002F21DA"/>
    <w:rsid w:val="003010DD"/>
    <w:rsid w:val="00301F39"/>
    <w:rsid w:val="00305DBA"/>
    <w:rsid w:val="00312AC2"/>
    <w:rsid w:val="003221CA"/>
    <w:rsid w:val="00325926"/>
    <w:rsid w:val="00327A8A"/>
    <w:rsid w:val="00330775"/>
    <w:rsid w:val="00336288"/>
    <w:rsid w:val="00336610"/>
    <w:rsid w:val="0034379A"/>
    <w:rsid w:val="00343F73"/>
    <w:rsid w:val="00345060"/>
    <w:rsid w:val="0035323B"/>
    <w:rsid w:val="003609D2"/>
    <w:rsid w:val="00361729"/>
    <w:rsid w:val="00363F22"/>
    <w:rsid w:val="00363FDE"/>
    <w:rsid w:val="00374C19"/>
    <w:rsid w:val="00375564"/>
    <w:rsid w:val="00377980"/>
    <w:rsid w:val="00383191"/>
    <w:rsid w:val="00386DED"/>
    <w:rsid w:val="003912E7"/>
    <w:rsid w:val="00393947"/>
    <w:rsid w:val="003A2275"/>
    <w:rsid w:val="003A443D"/>
    <w:rsid w:val="003A5925"/>
    <w:rsid w:val="003A6A4F"/>
    <w:rsid w:val="003A7088"/>
    <w:rsid w:val="003A769C"/>
    <w:rsid w:val="003B00DF"/>
    <w:rsid w:val="003B010F"/>
    <w:rsid w:val="003B1275"/>
    <w:rsid w:val="003B1778"/>
    <w:rsid w:val="003C11CB"/>
    <w:rsid w:val="003C75F3"/>
    <w:rsid w:val="003C78A3"/>
    <w:rsid w:val="003D781F"/>
    <w:rsid w:val="003E1867"/>
    <w:rsid w:val="003E5729"/>
    <w:rsid w:val="003E6933"/>
    <w:rsid w:val="003F4EE0"/>
    <w:rsid w:val="00400D43"/>
    <w:rsid w:val="00402153"/>
    <w:rsid w:val="00402FC1"/>
    <w:rsid w:val="00403130"/>
    <w:rsid w:val="00405AAC"/>
    <w:rsid w:val="00417CAD"/>
    <w:rsid w:val="004242B5"/>
    <w:rsid w:val="00425082"/>
    <w:rsid w:val="00431585"/>
    <w:rsid w:val="00431DEB"/>
    <w:rsid w:val="00433C3D"/>
    <w:rsid w:val="0043615C"/>
    <w:rsid w:val="004362A4"/>
    <w:rsid w:val="0043675B"/>
    <w:rsid w:val="00446B29"/>
    <w:rsid w:val="00450E3C"/>
    <w:rsid w:val="00453F9A"/>
    <w:rsid w:val="004570EA"/>
    <w:rsid w:val="004641CF"/>
    <w:rsid w:val="00471906"/>
    <w:rsid w:val="00471E91"/>
    <w:rsid w:val="00472D74"/>
    <w:rsid w:val="004737AE"/>
    <w:rsid w:val="00474675"/>
    <w:rsid w:val="0047470C"/>
    <w:rsid w:val="00485295"/>
    <w:rsid w:val="0049257D"/>
    <w:rsid w:val="00496011"/>
    <w:rsid w:val="004A35F9"/>
    <w:rsid w:val="004A62EE"/>
    <w:rsid w:val="004B24C1"/>
    <w:rsid w:val="004C292F"/>
    <w:rsid w:val="004C658A"/>
    <w:rsid w:val="004C7AA8"/>
    <w:rsid w:val="004D4E18"/>
    <w:rsid w:val="004F1965"/>
    <w:rsid w:val="004F37D8"/>
    <w:rsid w:val="005025DB"/>
    <w:rsid w:val="00504C27"/>
    <w:rsid w:val="00510280"/>
    <w:rsid w:val="00511F62"/>
    <w:rsid w:val="00513D73"/>
    <w:rsid w:val="00514A43"/>
    <w:rsid w:val="005174E5"/>
    <w:rsid w:val="00520866"/>
    <w:rsid w:val="00522393"/>
    <w:rsid w:val="00522620"/>
    <w:rsid w:val="005228D7"/>
    <w:rsid w:val="00525656"/>
    <w:rsid w:val="00531924"/>
    <w:rsid w:val="00534C02"/>
    <w:rsid w:val="0054264B"/>
    <w:rsid w:val="00543786"/>
    <w:rsid w:val="005533D7"/>
    <w:rsid w:val="00565E62"/>
    <w:rsid w:val="005703DE"/>
    <w:rsid w:val="00572A81"/>
    <w:rsid w:val="00583C4F"/>
    <w:rsid w:val="0058464E"/>
    <w:rsid w:val="005919D4"/>
    <w:rsid w:val="00592475"/>
    <w:rsid w:val="005A01CB"/>
    <w:rsid w:val="005A58FF"/>
    <w:rsid w:val="005A5EAF"/>
    <w:rsid w:val="005A64C0"/>
    <w:rsid w:val="005B3C11"/>
    <w:rsid w:val="005B5C51"/>
    <w:rsid w:val="005B68A2"/>
    <w:rsid w:val="005B6CD5"/>
    <w:rsid w:val="005B6FD5"/>
    <w:rsid w:val="005C1C28"/>
    <w:rsid w:val="005C6DB5"/>
    <w:rsid w:val="005C765E"/>
    <w:rsid w:val="005E19E7"/>
    <w:rsid w:val="005E288C"/>
    <w:rsid w:val="005E5FE8"/>
    <w:rsid w:val="005E68B0"/>
    <w:rsid w:val="005F1815"/>
    <w:rsid w:val="005F1DB5"/>
    <w:rsid w:val="0061716C"/>
    <w:rsid w:val="00623C6C"/>
    <w:rsid w:val="00624011"/>
    <w:rsid w:val="006243A1"/>
    <w:rsid w:val="006272C8"/>
    <w:rsid w:val="006314FC"/>
    <w:rsid w:val="00632E56"/>
    <w:rsid w:val="00635CBA"/>
    <w:rsid w:val="00636E62"/>
    <w:rsid w:val="00640EE5"/>
    <w:rsid w:val="0064338B"/>
    <w:rsid w:val="0064437C"/>
    <w:rsid w:val="00646542"/>
    <w:rsid w:val="006504F4"/>
    <w:rsid w:val="00654BC9"/>
    <w:rsid w:val="006552FD"/>
    <w:rsid w:val="00663AF3"/>
    <w:rsid w:val="00666B6C"/>
    <w:rsid w:val="00674D60"/>
    <w:rsid w:val="00675D3D"/>
    <w:rsid w:val="00682682"/>
    <w:rsid w:val="00682702"/>
    <w:rsid w:val="00690C0E"/>
    <w:rsid w:val="00691267"/>
    <w:rsid w:val="00692368"/>
    <w:rsid w:val="006964CC"/>
    <w:rsid w:val="006A2EBC"/>
    <w:rsid w:val="006A429F"/>
    <w:rsid w:val="006A5EA0"/>
    <w:rsid w:val="006A783B"/>
    <w:rsid w:val="006A7B33"/>
    <w:rsid w:val="006B3477"/>
    <w:rsid w:val="006B4E13"/>
    <w:rsid w:val="006B75DD"/>
    <w:rsid w:val="006C67E0"/>
    <w:rsid w:val="006C7ABA"/>
    <w:rsid w:val="006D0D60"/>
    <w:rsid w:val="006D1122"/>
    <w:rsid w:val="006D12FA"/>
    <w:rsid w:val="006D3C00"/>
    <w:rsid w:val="006E20C9"/>
    <w:rsid w:val="006E3675"/>
    <w:rsid w:val="006E4A7F"/>
    <w:rsid w:val="006E710E"/>
    <w:rsid w:val="006F137A"/>
    <w:rsid w:val="006F48F6"/>
    <w:rsid w:val="006F4C99"/>
    <w:rsid w:val="0070190E"/>
    <w:rsid w:val="00704DF6"/>
    <w:rsid w:val="0070651C"/>
    <w:rsid w:val="007106F5"/>
    <w:rsid w:val="007132A3"/>
    <w:rsid w:val="00716421"/>
    <w:rsid w:val="00724EFB"/>
    <w:rsid w:val="00731223"/>
    <w:rsid w:val="0073543A"/>
    <w:rsid w:val="007419C3"/>
    <w:rsid w:val="007467A7"/>
    <w:rsid w:val="007468E9"/>
    <w:rsid w:val="007469DD"/>
    <w:rsid w:val="0074741B"/>
    <w:rsid w:val="0074759E"/>
    <w:rsid w:val="007478EA"/>
    <w:rsid w:val="0075415C"/>
    <w:rsid w:val="00763502"/>
    <w:rsid w:val="00786F3A"/>
    <w:rsid w:val="007913AB"/>
    <w:rsid w:val="007914F7"/>
    <w:rsid w:val="007A5D36"/>
    <w:rsid w:val="007B1625"/>
    <w:rsid w:val="007B706E"/>
    <w:rsid w:val="007B71EB"/>
    <w:rsid w:val="007C5A49"/>
    <w:rsid w:val="007C6205"/>
    <w:rsid w:val="007C686A"/>
    <w:rsid w:val="007C728E"/>
    <w:rsid w:val="007D1689"/>
    <w:rsid w:val="007D2C53"/>
    <w:rsid w:val="007D3D60"/>
    <w:rsid w:val="007E1980"/>
    <w:rsid w:val="007E31DC"/>
    <w:rsid w:val="007E4B76"/>
    <w:rsid w:val="007E5EA8"/>
    <w:rsid w:val="007F0CF1"/>
    <w:rsid w:val="007F12A5"/>
    <w:rsid w:val="007F4CF1"/>
    <w:rsid w:val="007F61BE"/>
    <w:rsid w:val="007F758D"/>
    <w:rsid w:val="007F7D52"/>
    <w:rsid w:val="00803ADF"/>
    <w:rsid w:val="0080654C"/>
    <w:rsid w:val="008071C6"/>
    <w:rsid w:val="0080727A"/>
    <w:rsid w:val="00817A00"/>
    <w:rsid w:val="008207D9"/>
    <w:rsid w:val="008323E7"/>
    <w:rsid w:val="00835DB3"/>
    <w:rsid w:val="0083617B"/>
    <w:rsid w:val="008371BD"/>
    <w:rsid w:val="00841C3C"/>
    <w:rsid w:val="00843831"/>
    <w:rsid w:val="00844FB3"/>
    <w:rsid w:val="008504A8"/>
    <w:rsid w:val="008524F5"/>
    <w:rsid w:val="0085282E"/>
    <w:rsid w:val="00871039"/>
    <w:rsid w:val="0087198C"/>
    <w:rsid w:val="00872C1F"/>
    <w:rsid w:val="00873163"/>
    <w:rsid w:val="00873B42"/>
    <w:rsid w:val="00876179"/>
    <w:rsid w:val="0088048D"/>
    <w:rsid w:val="008821DA"/>
    <w:rsid w:val="008856D8"/>
    <w:rsid w:val="00892CB0"/>
    <w:rsid w:val="00892E82"/>
    <w:rsid w:val="008C1B58"/>
    <w:rsid w:val="008C39AE"/>
    <w:rsid w:val="008C5399"/>
    <w:rsid w:val="008C590D"/>
    <w:rsid w:val="008D13BE"/>
    <w:rsid w:val="008E031B"/>
    <w:rsid w:val="008E6A93"/>
    <w:rsid w:val="008E7029"/>
    <w:rsid w:val="008E7EF6"/>
    <w:rsid w:val="008F1F98"/>
    <w:rsid w:val="008F6758"/>
    <w:rsid w:val="009026D9"/>
    <w:rsid w:val="009040DD"/>
    <w:rsid w:val="00905B47"/>
    <w:rsid w:val="00911579"/>
    <w:rsid w:val="009123BF"/>
    <w:rsid w:val="0091331C"/>
    <w:rsid w:val="009148A7"/>
    <w:rsid w:val="009221CB"/>
    <w:rsid w:val="00925F22"/>
    <w:rsid w:val="009279DE"/>
    <w:rsid w:val="00930116"/>
    <w:rsid w:val="0094212C"/>
    <w:rsid w:val="009437F0"/>
    <w:rsid w:val="00954689"/>
    <w:rsid w:val="00955BA6"/>
    <w:rsid w:val="009617C9"/>
    <w:rsid w:val="00961C93"/>
    <w:rsid w:val="009647F2"/>
    <w:rsid w:val="00965324"/>
    <w:rsid w:val="0097091E"/>
    <w:rsid w:val="009760D3"/>
    <w:rsid w:val="00977132"/>
    <w:rsid w:val="00981A4B"/>
    <w:rsid w:val="00982501"/>
    <w:rsid w:val="00982FC8"/>
    <w:rsid w:val="009877D3"/>
    <w:rsid w:val="00994E8F"/>
    <w:rsid w:val="009951DC"/>
    <w:rsid w:val="009959BB"/>
    <w:rsid w:val="00995EBD"/>
    <w:rsid w:val="00997158"/>
    <w:rsid w:val="009A1DF1"/>
    <w:rsid w:val="009A3A7C"/>
    <w:rsid w:val="009A3B4C"/>
    <w:rsid w:val="009B2ADB"/>
    <w:rsid w:val="009B603A"/>
    <w:rsid w:val="009C2D0E"/>
    <w:rsid w:val="009C3DAC"/>
    <w:rsid w:val="009C42E0"/>
    <w:rsid w:val="009C71D9"/>
    <w:rsid w:val="009D05DB"/>
    <w:rsid w:val="009D5362"/>
    <w:rsid w:val="009E0C96"/>
    <w:rsid w:val="009E1415"/>
    <w:rsid w:val="009E6116"/>
    <w:rsid w:val="009F64E5"/>
    <w:rsid w:val="00A02E43"/>
    <w:rsid w:val="00A065F9"/>
    <w:rsid w:val="00A07F34"/>
    <w:rsid w:val="00A122BE"/>
    <w:rsid w:val="00A13966"/>
    <w:rsid w:val="00A22154"/>
    <w:rsid w:val="00A25C38"/>
    <w:rsid w:val="00A33B92"/>
    <w:rsid w:val="00A36BBE"/>
    <w:rsid w:val="00A3703F"/>
    <w:rsid w:val="00A40A53"/>
    <w:rsid w:val="00A4307A"/>
    <w:rsid w:val="00A47EBB"/>
    <w:rsid w:val="00A51CDD"/>
    <w:rsid w:val="00A56753"/>
    <w:rsid w:val="00A623EC"/>
    <w:rsid w:val="00A6730D"/>
    <w:rsid w:val="00A71625"/>
    <w:rsid w:val="00A71B9B"/>
    <w:rsid w:val="00A72F9B"/>
    <w:rsid w:val="00A751C7"/>
    <w:rsid w:val="00A87844"/>
    <w:rsid w:val="00AA038C"/>
    <w:rsid w:val="00AA7A09"/>
    <w:rsid w:val="00AB2083"/>
    <w:rsid w:val="00AB3B50"/>
    <w:rsid w:val="00AB7036"/>
    <w:rsid w:val="00AC05B1"/>
    <w:rsid w:val="00AC3F6F"/>
    <w:rsid w:val="00AD19FF"/>
    <w:rsid w:val="00AD1E4D"/>
    <w:rsid w:val="00AD356C"/>
    <w:rsid w:val="00AD4D47"/>
    <w:rsid w:val="00AD7608"/>
    <w:rsid w:val="00AE2914"/>
    <w:rsid w:val="00AE5663"/>
    <w:rsid w:val="00AE6D15"/>
    <w:rsid w:val="00B04182"/>
    <w:rsid w:val="00B05AD9"/>
    <w:rsid w:val="00B07AE3"/>
    <w:rsid w:val="00B07D68"/>
    <w:rsid w:val="00B108DC"/>
    <w:rsid w:val="00B11430"/>
    <w:rsid w:val="00B11AFD"/>
    <w:rsid w:val="00B13597"/>
    <w:rsid w:val="00B210B8"/>
    <w:rsid w:val="00B21B5D"/>
    <w:rsid w:val="00B21D0E"/>
    <w:rsid w:val="00B33643"/>
    <w:rsid w:val="00B353EB"/>
    <w:rsid w:val="00B40786"/>
    <w:rsid w:val="00B439C4"/>
    <w:rsid w:val="00B44F93"/>
    <w:rsid w:val="00B4535E"/>
    <w:rsid w:val="00B4611F"/>
    <w:rsid w:val="00B52A8C"/>
    <w:rsid w:val="00B6068D"/>
    <w:rsid w:val="00B60A3F"/>
    <w:rsid w:val="00B623D9"/>
    <w:rsid w:val="00B625BF"/>
    <w:rsid w:val="00B636A8"/>
    <w:rsid w:val="00B665C6"/>
    <w:rsid w:val="00B7748F"/>
    <w:rsid w:val="00B805AF"/>
    <w:rsid w:val="00B85C13"/>
    <w:rsid w:val="00B869EC"/>
    <w:rsid w:val="00B9397A"/>
    <w:rsid w:val="00B9633D"/>
    <w:rsid w:val="00BA27E0"/>
    <w:rsid w:val="00BA2EBE"/>
    <w:rsid w:val="00BA35A2"/>
    <w:rsid w:val="00BB0F28"/>
    <w:rsid w:val="00BB458A"/>
    <w:rsid w:val="00BD00D3"/>
    <w:rsid w:val="00BD1659"/>
    <w:rsid w:val="00BD3AA9"/>
    <w:rsid w:val="00BD4A18"/>
    <w:rsid w:val="00BD6DB2"/>
    <w:rsid w:val="00BD7C16"/>
    <w:rsid w:val="00BE11CF"/>
    <w:rsid w:val="00BE21AB"/>
    <w:rsid w:val="00BE55CB"/>
    <w:rsid w:val="00BE5A94"/>
    <w:rsid w:val="00BF617A"/>
    <w:rsid w:val="00BF6E08"/>
    <w:rsid w:val="00C00C74"/>
    <w:rsid w:val="00C0379D"/>
    <w:rsid w:val="00C03931"/>
    <w:rsid w:val="00C05FE3"/>
    <w:rsid w:val="00C143AF"/>
    <w:rsid w:val="00C2136D"/>
    <w:rsid w:val="00C214EE"/>
    <w:rsid w:val="00C2314B"/>
    <w:rsid w:val="00C24971"/>
    <w:rsid w:val="00C26BE5"/>
    <w:rsid w:val="00C26E4D"/>
    <w:rsid w:val="00C27909"/>
    <w:rsid w:val="00C27B03"/>
    <w:rsid w:val="00C314E1"/>
    <w:rsid w:val="00C34397"/>
    <w:rsid w:val="00C34DCF"/>
    <w:rsid w:val="00C4095D"/>
    <w:rsid w:val="00C54D2F"/>
    <w:rsid w:val="00C601D2"/>
    <w:rsid w:val="00C60FE7"/>
    <w:rsid w:val="00C65BCC"/>
    <w:rsid w:val="00C66970"/>
    <w:rsid w:val="00C81B4C"/>
    <w:rsid w:val="00C8691C"/>
    <w:rsid w:val="00CA168A"/>
    <w:rsid w:val="00CA357E"/>
    <w:rsid w:val="00CA44F9"/>
    <w:rsid w:val="00CA4A69"/>
    <w:rsid w:val="00CB10B3"/>
    <w:rsid w:val="00CC3E0C"/>
    <w:rsid w:val="00CC58D3"/>
    <w:rsid w:val="00CC7193"/>
    <w:rsid w:val="00CC784D"/>
    <w:rsid w:val="00CD4B67"/>
    <w:rsid w:val="00CE0AB3"/>
    <w:rsid w:val="00CE56FF"/>
    <w:rsid w:val="00D0337B"/>
    <w:rsid w:val="00D079B2"/>
    <w:rsid w:val="00D114E9"/>
    <w:rsid w:val="00D151F0"/>
    <w:rsid w:val="00D22DBC"/>
    <w:rsid w:val="00D240F8"/>
    <w:rsid w:val="00D34F5A"/>
    <w:rsid w:val="00D429C6"/>
    <w:rsid w:val="00D47748"/>
    <w:rsid w:val="00D54CC3"/>
    <w:rsid w:val="00D6041A"/>
    <w:rsid w:val="00D63371"/>
    <w:rsid w:val="00D633EB"/>
    <w:rsid w:val="00D7347B"/>
    <w:rsid w:val="00D77427"/>
    <w:rsid w:val="00D806A6"/>
    <w:rsid w:val="00D82FF7"/>
    <w:rsid w:val="00D847FE"/>
    <w:rsid w:val="00D86F80"/>
    <w:rsid w:val="00D964EA"/>
    <w:rsid w:val="00D966D0"/>
    <w:rsid w:val="00D96EA5"/>
    <w:rsid w:val="00DA0C59"/>
    <w:rsid w:val="00DA3991"/>
    <w:rsid w:val="00DB0476"/>
    <w:rsid w:val="00DB7E6C"/>
    <w:rsid w:val="00DC2D7E"/>
    <w:rsid w:val="00DC4E88"/>
    <w:rsid w:val="00DD5A29"/>
    <w:rsid w:val="00DD5D9D"/>
    <w:rsid w:val="00DE35CB"/>
    <w:rsid w:val="00DF21E9"/>
    <w:rsid w:val="00E00F14"/>
    <w:rsid w:val="00E06386"/>
    <w:rsid w:val="00E208AA"/>
    <w:rsid w:val="00E24EB4"/>
    <w:rsid w:val="00E256C0"/>
    <w:rsid w:val="00E31883"/>
    <w:rsid w:val="00E320ED"/>
    <w:rsid w:val="00E33AFB"/>
    <w:rsid w:val="00E34218"/>
    <w:rsid w:val="00E46282"/>
    <w:rsid w:val="00E5216E"/>
    <w:rsid w:val="00E60DAB"/>
    <w:rsid w:val="00E70AA3"/>
    <w:rsid w:val="00E713E3"/>
    <w:rsid w:val="00E75D30"/>
    <w:rsid w:val="00E805CA"/>
    <w:rsid w:val="00E82344"/>
    <w:rsid w:val="00E84C82"/>
    <w:rsid w:val="00E84D64"/>
    <w:rsid w:val="00E87408"/>
    <w:rsid w:val="00E9001D"/>
    <w:rsid w:val="00E914C4"/>
    <w:rsid w:val="00E934F5"/>
    <w:rsid w:val="00E94FC1"/>
    <w:rsid w:val="00E96961"/>
    <w:rsid w:val="00EA66FE"/>
    <w:rsid w:val="00EA72EC"/>
    <w:rsid w:val="00EB11CB"/>
    <w:rsid w:val="00EB275A"/>
    <w:rsid w:val="00EB786A"/>
    <w:rsid w:val="00EC1578"/>
    <w:rsid w:val="00EC1C72"/>
    <w:rsid w:val="00EC3669"/>
    <w:rsid w:val="00EC3CC9"/>
    <w:rsid w:val="00EC680A"/>
    <w:rsid w:val="00EC6968"/>
    <w:rsid w:val="00ED39D9"/>
    <w:rsid w:val="00EE2BED"/>
    <w:rsid w:val="00EE374B"/>
    <w:rsid w:val="00EF0EA7"/>
    <w:rsid w:val="00EF7970"/>
    <w:rsid w:val="00EF7F14"/>
    <w:rsid w:val="00F01C23"/>
    <w:rsid w:val="00F11BB5"/>
    <w:rsid w:val="00F1417B"/>
    <w:rsid w:val="00F16009"/>
    <w:rsid w:val="00F211F8"/>
    <w:rsid w:val="00F34B99"/>
    <w:rsid w:val="00F40752"/>
    <w:rsid w:val="00F5183C"/>
    <w:rsid w:val="00F52DAB"/>
    <w:rsid w:val="00F541D1"/>
    <w:rsid w:val="00F543F0"/>
    <w:rsid w:val="00F5748B"/>
    <w:rsid w:val="00F66ED7"/>
    <w:rsid w:val="00F81D29"/>
    <w:rsid w:val="00F91C4D"/>
    <w:rsid w:val="00F92FD9"/>
    <w:rsid w:val="00FA6684"/>
    <w:rsid w:val="00FA731E"/>
    <w:rsid w:val="00FB2B38"/>
    <w:rsid w:val="00FC5051"/>
    <w:rsid w:val="00FC6358"/>
    <w:rsid w:val="00FC7076"/>
    <w:rsid w:val="00FD320D"/>
    <w:rsid w:val="00FE23DE"/>
    <w:rsid w:val="00FE5DB5"/>
    <w:rsid w:val="00FF240B"/>
    <w:rsid w:val="00FF719C"/>
    <w:rsid w:val="010B774E"/>
    <w:rsid w:val="0307619C"/>
    <w:rsid w:val="031E5731"/>
    <w:rsid w:val="04BD3614"/>
    <w:rsid w:val="0CAF445B"/>
    <w:rsid w:val="0D9553DC"/>
    <w:rsid w:val="13CD134D"/>
    <w:rsid w:val="14A30D7D"/>
    <w:rsid w:val="162D408B"/>
    <w:rsid w:val="19FE690E"/>
    <w:rsid w:val="1A1164EF"/>
    <w:rsid w:val="1B273056"/>
    <w:rsid w:val="1C311DF6"/>
    <w:rsid w:val="1C943AB5"/>
    <w:rsid w:val="24DF460B"/>
    <w:rsid w:val="255F64AA"/>
    <w:rsid w:val="26DC707C"/>
    <w:rsid w:val="2B431E66"/>
    <w:rsid w:val="2DEF44AF"/>
    <w:rsid w:val="2E7C01C8"/>
    <w:rsid w:val="2F18485D"/>
    <w:rsid w:val="32E8420C"/>
    <w:rsid w:val="346837A5"/>
    <w:rsid w:val="35240B59"/>
    <w:rsid w:val="36602AE5"/>
    <w:rsid w:val="37874E65"/>
    <w:rsid w:val="38870784"/>
    <w:rsid w:val="3B584AA0"/>
    <w:rsid w:val="3DDE20C6"/>
    <w:rsid w:val="3FCD36F4"/>
    <w:rsid w:val="400C6ED0"/>
    <w:rsid w:val="40F660DF"/>
    <w:rsid w:val="443D61B9"/>
    <w:rsid w:val="457D0248"/>
    <w:rsid w:val="45963972"/>
    <w:rsid w:val="45C55EBD"/>
    <w:rsid w:val="46347327"/>
    <w:rsid w:val="47783DF4"/>
    <w:rsid w:val="489B393C"/>
    <w:rsid w:val="4A52472D"/>
    <w:rsid w:val="4EF34DD9"/>
    <w:rsid w:val="4F5C0A58"/>
    <w:rsid w:val="54916AD3"/>
    <w:rsid w:val="54D94398"/>
    <w:rsid w:val="54EA2661"/>
    <w:rsid w:val="56C8095E"/>
    <w:rsid w:val="57822BDF"/>
    <w:rsid w:val="5870011B"/>
    <w:rsid w:val="59FA324A"/>
    <w:rsid w:val="5BC96C1B"/>
    <w:rsid w:val="5C213D0D"/>
    <w:rsid w:val="5D0C23E9"/>
    <w:rsid w:val="5D187EE1"/>
    <w:rsid w:val="5DE913F3"/>
    <w:rsid w:val="5E8540B3"/>
    <w:rsid w:val="5F6605F1"/>
    <w:rsid w:val="5F6949EA"/>
    <w:rsid w:val="6CD64B62"/>
    <w:rsid w:val="6E58303A"/>
    <w:rsid w:val="6FDC284F"/>
    <w:rsid w:val="70B054D2"/>
    <w:rsid w:val="70D85FF2"/>
    <w:rsid w:val="76B54401"/>
    <w:rsid w:val="7718021D"/>
    <w:rsid w:val="79255412"/>
    <w:rsid w:val="79D87049"/>
    <w:rsid w:val="7B5534DD"/>
    <w:rsid w:val="7BBE1E9E"/>
    <w:rsid w:val="7D4E53CC"/>
    <w:rsid w:val="7FB86F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name="footnote reference"/>
    <w:lsdException w:qFormat="1" w:unhideWhenUsed="0" w:uiPriority="99" w:name="annotation reference"/>
    <w:lsdException w:uiPriority="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38"/>
    <w:qFormat/>
    <w:uiPriority w:val="9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semiHidden/>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semiHidden/>
    <w:qFormat/>
    <w:uiPriority w:val="99"/>
    <w:pPr>
      <w:ind w:left="1050" w:hanging="210"/>
      <w:jc w:val="left"/>
    </w:pPr>
    <w:rPr>
      <w:rFonts w:ascii="Calibri" w:hAnsi="Calibri"/>
      <w:sz w:val="20"/>
      <w:szCs w:val="20"/>
    </w:rPr>
  </w:style>
  <w:style w:type="paragraph" w:styleId="7">
    <w:name w:val="Document Map"/>
    <w:basedOn w:val="1"/>
    <w:link w:val="39"/>
    <w:semiHidden/>
    <w:qFormat/>
    <w:uiPriority w:val="99"/>
    <w:pPr>
      <w:shd w:val="clear" w:color="auto" w:fill="000080"/>
    </w:pPr>
  </w:style>
  <w:style w:type="paragraph" w:styleId="8">
    <w:name w:val="annotation text"/>
    <w:basedOn w:val="1"/>
    <w:link w:val="40"/>
    <w:semiHidden/>
    <w:qFormat/>
    <w:uiPriority w:val="99"/>
    <w:pPr>
      <w:jc w:val="left"/>
    </w:pPr>
  </w:style>
  <w:style w:type="paragraph" w:styleId="9">
    <w:name w:val="index 6"/>
    <w:basedOn w:val="1"/>
    <w:next w:val="1"/>
    <w:semiHidden/>
    <w:qFormat/>
    <w:uiPriority w:val="99"/>
    <w:pPr>
      <w:ind w:left="1260" w:hanging="210"/>
      <w:jc w:val="left"/>
    </w:pPr>
    <w:rPr>
      <w:rFonts w:ascii="Calibri" w:hAnsi="Calibri"/>
      <w:sz w:val="20"/>
      <w:szCs w:val="20"/>
    </w:rPr>
  </w:style>
  <w:style w:type="paragraph" w:styleId="10">
    <w:name w:val="Body Text Indent"/>
    <w:basedOn w:val="1"/>
    <w:qFormat/>
    <w:uiPriority w:val="0"/>
    <w:pPr>
      <w:spacing w:line="240" w:lineRule="auto"/>
      <w:ind w:left="0" w:leftChars="0" w:firstLine="0" w:firstLineChars="0"/>
    </w:pPr>
    <w:rPr>
      <w:sz w:val="21"/>
    </w:rPr>
  </w:style>
  <w:style w:type="paragraph" w:styleId="11">
    <w:name w:val="index 4"/>
    <w:basedOn w:val="1"/>
    <w:next w:val="1"/>
    <w:semiHidden/>
    <w:qFormat/>
    <w:uiPriority w:val="99"/>
    <w:pPr>
      <w:ind w:left="840" w:hanging="210"/>
      <w:jc w:val="left"/>
    </w:pPr>
    <w:rPr>
      <w:rFonts w:ascii="Calibri" w:hAnsi="Calibri"/>
      <w:sz w:val="20"/>
      <w:szCs w:val="20"/>
    </w:rPr>
  </w:style>
  <w:style w:type="paragraph" w:styleId="12">
    <w:name w:val="index 3"/>
    <w:basedOn w:val="1"/>
    <w:next w:val="1"/>
    <w:semiHidden/>
    <w:qFormat/>
    <w:uiPriority w:val="99"/>
    <w:pPr>
      <w:ind w:left="630" w:hanging="210"/>
      <w:jc w:val="left"/>
    </w:pPr>
    <w:rPr>
      <w:rFonts w:ascii="Calibri" w:hAnsi="Calibri"/>
      <w:sz w:val="20"/>
      <w:szCs w:val="20"/>
    </w:rPr>
  </w:style>
  <w:style w:type="paragraph" w:styleId="13">
    <w:name w:val="endnote text"/>
    <w:basedOn w:val="1"/>
    <w:link w:val="41"/>
    <w:semiHidden/>
    <w:qFormat/>
    <w:uiPriority w:val="99"/>
    <w:pPr>
      <w:snapToGrid w:val="0"/>
      <w:jc w:val="left"/>
    </w:pPr>
  </w:style>
  <w:style w:type="paragraph" w:styleId="14">
    <w:name w:val="Balloon Text"/>
    <w:basedOn w:val="1"/>
    <w:link w:val="42"/>
    <w:semiHidden/>
    <w:qFormat/>
    <w:uiPriority w:val="99"/>
    <w:rPr>
      <w:sz w:val="18"/>
      <w:szCs w:val="18"/>
    </w:rPr>
  </w:style>
  <w:style w:type="paragraph" w:styleId="15">
    <w:name w:val="footer"/>
    <w:basedOn w:val="1"/>
    <w:link w:val="43"/>
    <w:qFormat/>
    <w:uiPriority w:val="99"/>
    <w:pPr>
      <w:snapToGrid w:val="0"/>
      <w:ind w:right="210" w:rightChars="100"/>
      <w:jc w:val="right"/>
    </w:pPr>
    <w:rPr>
      <w:sz w:val="18"/>
      <w:szCs w:val="18"/>
    </w:rPr>
  </w:style>
  <w:style w:type="paragraph" w:styleId="16">
    <w:name w:val="header"/>
    <w:basedOn w:val="1"/>
    <w:link w:val="44"/>
    <w:qFormat/>
    <w:uiPriority w:val="99"/>
    <w:pPr>
      <w:snapToGrid w:val="0"/>
      <w:jc w:val="left"/>
    </w:pPr>
    <w:rPr>
      <w:sz w:val="18"/>
      <w:szCs w:val="18"/>
    </w:rPr>
  </w:style>
  <w:style w:type="paragraph" w:styleId="17">
    <w:name w:val="toc 1"/>
    <w:basedOn w:val="1"/>
    <w:next w:val="1"/>
    <w:qFormat/>
    <w:locked/>
    <w:uiPriority w:val="39"/>
    <w:pPr>
      <w:tabs>
        <w:tab w:val="right" w:leader="dot" w:pos="9241"/>
      </w:tabs>
      <w:spacing w:before="25" w:beforeLines="25" w:after="25" w:afterLines="25"/>
      <w:jc w:val="left"/>
    </w:pPr>
    <w:rPr>
      <w:rFonts w:ascii="宋体"/>
      <w:szCs w:val="21"/>
    </w:rPr>
  </w:style>
  <w:style w:type="paragraph" w:styleId="18">
    <w:name w:val="index heading"/>
    <w:basedOn w:val="1"/>
    <w:next w:val="19"/>
    <w:semiHidden/>
    <w:qFormat/>
    <w:uiPriority w:val="99"/>
    <w:pPr>
      <w:spacing w:before="120" w:after="120"/>
      <w:jc w:val="center"/>
    </w:pPr>
    <w:rPr>
      <w:rFonts w:ascii="Calibri" w:hAnsi="Calibri"/>
      <w:b/>
      <w:bCs/>
      <w:iCs/>
      <w:szCs w:val="20"/>
    </w:rPr>
  </w:style>
  <w:style w:type="paragraph" w:styleId="19">
    <w:name w:val="index 1"/>
    <w:basedOn w:val="1"/>
    <w:next w:val="20"/>
    <w:semiHidden/>
    <w:qFormat/>
    <w:uiPriority w:val="99"/>
    <w:pPr>
      <w:tabs>
        <w:tab w:val="right" w:leader="dot" w:pos="9299"/>
      </w:tabs>
      <w:jc w:val="left"/>
    </w:pPr>
    <w:rPr>
      <w:rFonts w:ascii="宋体"/>
      <w:szCs w:val="21"/>
    </w:rPr>
  </w:style>
  <w:style w:type="paragraph" w:customStyle="1" w:styleId="20">
    <w:name w:val="段"/>
    <w:link w:val="4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link w:val="45"/>
    <w:semiHidden/>
    <w:qFormat/>
    <w:uiPriority w:val="99"/>
    <w:pPr>
      <w:numPr>
        <w:ilvl w:val="0"/>
        <w:numId w:val="1"/>
      </w:numPr>
      <w:snapToGrid w:val="0"/>
      <w:jc w:val="left"/>
    </w:pPr>
    <w:rPr>
      <w:rFonts w:ascii="宋体"/>
      <w:sz w:val="18"/>
      <w:szCs w:val="18"/>
    </w:rPr>
  </w:style>
  <w:style w:type="paragraph" w:styleId="22">
    <w:name w:val="index 7"/>
    <w:basedOn w:val="1"/>
    <w:next w:val="1"/>
    <w:semiHidden/>
    <w:qFormat/>
    <w:uiPriority w:val="99"/>
    <w:pPr>
      <w:ind w:left="1470" w:hanging="210"/>
      <w:jc w:val="left"/>
    </w:pPr>
    <w:rPr>
      <w:rFonts w:ascii="Calibri" w:hAnsi="Calibri"/>
      <w:sz w:val="20"/>
      <w:szCs w:val="20"/>
    </w:rPr>
  </w:style>
  <w:style w:type="paragraph" w:styleId="23">
    <w:name w:val="index 9"/>
    <w:basedOn w:val="1"/>
    <w:next w:val="1"/>
    <w:semiHidden/>
    <w:qFormat/>
    <w:uiPriority w:val="99"/>
    <w:pPr>
      <w:ind w:left="1890" w:hanging="210"/>
      <w:jc w:val="left"/>
    </w:pPr>
    <w:rPr>
      <w:rFonts w:ascii="Calibri" w:hAnsi="Calibri"/>
      <w:sz w:val="20"/>
      <w:szCs w:val="20"/>
    </w:rPr>
  </w:style>
  <w:style w:type="paragraph" w:styleId="24">
    <w:name w:val="index 2"/>
    <w:basedOn w:val="1"/>
    <w:next w:val="1"/>
    <w:semiHidden/>
    <w:qFormat/>
    <w:uiPriority w:val="99"/>
    <w:pPr>
      <w:ind w:left="420" w:hanging="210"/>
      <w:jc w:val="left"/>
    </w:pPr>
    <w:rPr>
      <w:rFonts w:ascii="Calibri" w:hAnsi="Calibri"/>
      <w:sz w:val="20"/>
      <w:szCs w:val="20"/>
    </w:rPr>
  </w:style>
  <w:style w:type="paragraph" w:styleId="25">
    <w:name w:val="annotation subject"/>
    <w:basedOn w:val="8"/>
    <w:next w:val="8"/>
    <w:link w:val="46"/>
    <w:semiHidden/>
    <w:qFormat/>
    <w:uiPriority w:val="99"/>
    <w:rPr>
      <w:b/>
      <w:bCs/>
    </w:rPr>
  </w:style>
  <w:style w:type="paragraph" w:styleId="26">
    <w:name w:val="Body Text First Indent 2"/>
    <w:basedOn w:val="10"/>
    <w:unhideWhenUsed/>
    <w:qFormat/>
    <w:uiPriority w:val="99"/>
  </w:style>
  <w:style w:type="table" w:styleId="28">
    <w:name w:val="Table Grid"/>
    <w:basedOn w:val="27"/>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endnote reference"/>
    <w:semiHidden/>
    <w:qFormat/>
    <w:uiPriority w:val="99"/>
    <w:rPr>
      <w:rFonts w:cs="Times New Roman"/>
      <w:vertAlign w:val="superscript"/>
    </w:rPr>
  </w:style>
  <w:style w:type="character" w:styleId="31">
    <w:name w:val="page number"/>
    <w:qFormat/>
    <w:uiPriority w:val="99"/>
    <w:rPr>
      <w:rFonts w:ascii="Times New Roman" w:hAnsi="Times New Roman" w:eastAsia="宋体" w:cs="Times New Roman"/>
      <w:sz w:val="18"/>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iCs/>
    </w:rPr>
  </w:style>
  <w:style w:type="character" w:styleId="34">
    <w:name w:val="Hyperlink"/>
    <w:qFormat/>
    <w:uiPriority w:val="99"/>
    <w:rPr>
      <w:rFonts w:cs="Times New Roman"/>
      <w:color w:val="0000FF"/>
      <w:spacing w:val="0"/>
      <w:w w:val="100"/>
      <w:sz w:val="21"/>
      <w:u w:val="single"/>
      <w:lang w:val="en-US" w:eastAsia="zh-CN"/>
    </w:rPr>
  </w:style>
  <w:style w:type="character" w:styleId="35">
    <w:name w:val="annotation reference"/>
    <w:semiHidden/>
    <w:qFormat/>
    <w:uiPriority w:val="99"/>
    <w:rPr>
      <w:rFonts w:cs="Times New Roman"/>
      <w:sz w:val="21"/>
    </w:rPr>
  </w:style>
  <w:style w:type="character" w:styleId="36">
    <w:name w:val="footnote reference"/>
    <w:semiHidden/>
    <w:qFormat/>
    <w:uiPriority w:val="99"/>
    <w:rPr>
      <w:rFonts w:cs="Times New Roman"/>
      <w:vertAlign w:val="superscript"/>
    </w:rPr>
  </w:style>
  <w:style w:type="character" w:customStyle="1" w:styleId="37">
    <w:name w:val="标题 1 字符"/>
    <w:link w:val="2"/>
    <w:qFormat/>
    <w:locked/>
    <w:uiPriority w:val="99"/>
    <w:rPr>
      <w:b/>
      <w:kern w:val="44"/>
      <w:sz w:val="44"/>
    </w:rPr>
  </w:style>
  <w:style w:type="character" w:customStyle="1" w:styleId="38">
    <w:name w:val="标题 3 字符"/>
    <w:link w:val="3"/>
    <w:semiHidden/>
    <w:qFormat/>
    <w:locked/>
    <w:uiPriority w:val="99"/>
    <w:rPr>
      <w:b/>
      <w:kern w:val="2"/>
      <w:sz w:val="32"/>
    </w:rPr>
  </w:style>
  <w:style w:type="character" w:customStyle="1" w:styleId="39">
    <w:name w:val="文档结构图 字符"/>
    <w:link w:val="7"/>
    <w:semiHidden/>
    <w:qFormat/>
    <w:uiPriority w:val="99"/>
    <w:rPr>
      <w:sz w:val="0"/>
      <w:szCs w:val="0"/>
    </w:rPr>
  </w:style>
  <w:style w:type="character" w:customStyle="1" w:styleId="40">
    <w:name w:val="批注文字 字符"/>
    <w:link w:val="8"/>
    <w:qFormat/>
    <w:locked/>
    <w:uiPriority w:val="99"/>
    <w:rPr>
      <w:kern w:val="2"/>
      <w:sz w:val="24"/>
    </w:rPr>
  </w:style>
  <w:style w:type="character" w:customStyle="1" w:styleId="41">
    <w:name w:val="尾注文本 字符"/>
    <w:link w:val="13"/>
    <w:semiHidden/>
    <w:qFormat/>
    <w:uiPriority w:val="99"/>
    <w:rPr>
      <w:szCs w:val="24"/>
    </w:rPr>
  </w:style>
  <w:style w:type="character" w:customStyle="1" w:styleId="42">
    <w:name w:val="批注框文本 字符"/>
    <w:link w:val="14"/>
    <w:qFormat/>
    <w:locked/>
    <w:uiPriority w:val="99"/>
    <w:rPr>
      <w:kern w:val="2"/>
      <w:sz w:val="18"/>
    </w:rPr>
  </w:style>
  <w:style w:type="character" w:customStyle="1" w:styleId="43">
    <w:name w:val="页脚 字符"/>
    <w:link w:val="15"/>
    <w:semiHidden/>
    <w:qFormat/>
    <w:uiPriority w:val="99"/>
    <w:rPr>
      <w:sz w:val="18"/>
      <w:szCs w:val="18"/>
    </w:rPr>
  </w:style>
  <w:style w:type="character" w:customStyle="1" w:styleId="44">
    <w:name w:val="页眉 字符"/>
    <w:link w:val="16"/>
    <w:semiHidden/>
    <w:qFormat/>
    <w:uiPriority w:val="99"/>
    <w:rPr>
      <w:sz w:val="18"/>
      <w:szCs w:val="18"/>
    </w:rPr>
  </w:style>
  <w:style w:type="character" w:customStyle="1" w:styleId="45">
    <w:name w:val="脚注文本 字符"/>
    <w:link w:val="21"/>
    <w:semiHidden/>
    <w:qFormat/>
    <w:uiPriority w:val="99"/>
    <w:rPr>
      <w:sz w:val="18"/>
      <w:szCs w:val="18"/>
    </w:rPr>
  </w:style>
  <w:style w:type="character" w:customStyle="1" w:styleId="46">
    <w:name w:val="批注主题 字符"/>
    <w:link w:val="25"/>
    <w:qFormat/>
    <w:locked/>
    <w:uiPriority w:val="99"/>
    <w:rPr>
      <w:b/>
      <w:kern w:val="2"/>
      <w:sz w:val="24"/>
    </w:rPr>
  </w:style>
  <w:style w:type="character" w:customStyle="1" w:styleId="47">
    <w:name w:val="首示例 Char"/>
    <w:link w:val="48"/>
    <w:qFormat/>
    <w:locked/>
    <w:uiPriority w:val="99"/>
    <w:rPr>
      <w:rFonts w:ascii="宋体" w:eastAsia="宋体"/>
      <w:kern w:val="2"/>
      <w:sz w:val="18"/>
      <w:lang w:val="en-US" w:eastAsia="zh-CN"/>
    </w:rPr>
  </w:style>
  <w:style w:type="paragraph" w:customStyle="1" w:styleId="48">
    <w:name w:val="首示例"/>
    <w:next w:val="20"/>
    <w:link w:val="47"/>
    <w:qFormat/>
    <w:uiPriority w:val="99"/>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9">
    <w:name w:val="段 Char"/>
    <w:link w:val="20"/>
    <w:qFormat/>
    <w:locked/>
    <w:uiPriority w:val="99"/>
    <w:rPr>
      <w:rFonts w:ascii="宋体"/>
      <w:sz w:val="21"/>
      <w:lang w:val="en-US" w:eastAsia="zh-CN"/>
    </w:rPr>
  </w:style>
  <w:style w:type="character" w:customStyle="1" w:styleId="50">
    <w:name w:val="附录公式 Char"/>
    <w:link w:val="51"/>
    <w:qFormat/>
    <w:locked/>
    <w:uiPriority w:val="99"/>
    <w:rPr>
      <w:rFonts w:ascii="宋体" w:cs="Times New Roman"/>
      <w:sz w:val="21"/>
      <w:lang w:val="en-US" w:eastAsia="zh-CN" w:bidi="ar-SA"/>
    </w:rPr>
  </w:style>
  <w:style w:type="paragraph" w:customStyle="1" w:styleId="51">
    <w:name w:val="附录公式"/>
    <w:basedOn w:val="20"/>
    <w:next w:val="20"/>
    <w:link w:val="50"/>
    <w:qFormat/>
    <w:uiPriority w:val="99"/>
  </w:style>
  <w:style w:type="character" w:customStyle="1" w:styleId="52">
    <w:name w:val="发布"/>
    <w:qFormat/>
    <w:uiPriority w:val="99"/>
    <w:rPr>
      <w:rFonts w:ascii="黑体" w:eastAsia="黑体"/>
      <w:spacing w:val="85"/>
      <w:w w:val="100"/>
      <w:position w:val="3"/>
      <w:sz w:val="28"/>
    </w:rPr>
  </w:style>
  <w:style w:type="paragraph" w:customStyle="1" w:styleId="53">
    <w:name w:val="封面一致性程度标识2"/>
    <w:basedOn w:val="54"/>
    <w:qFormat/>
    <w:uiPriority w:val="99"/>
    <w:pPr>
      <w:framePr w:y="4469"/>
    </w:pPr>
  </w:style>
  <w:style w:type="paragraph" w:customStyle="1" w:styleId="54">
    <w:name w:val="封面一致性程度标识"/>
    <w:basedOn w:val="55"/>
    <w:qFormat/>
    <w:uiPriority w:val="99"/>
    <w:pPr>
      <w:spacing w:before="440"/>
    </w:pPr>
    <w:rPr>
      <w:rFonts w:ascii="宋体" w:eastAsia="宋体"/>
    </w:rPr>
  </w:style>
  <w:style w:type="paragraph" w:customStyle="1" w:styleId="55">
    <w:name w:val="封面标准英文名称"/>
    <w:basedOn w:val="56"/>
    <w:qFormat/>
    <w:uiPriority w:val="99"/>
    <w:pPr>
      <w:spacing w:before="370" w:line="400" w:lineRule="exact"/>
    </w:pPr>
    <w:rPr>
      <w:rFonts w:ascii="Times New Roman"/>
      <w:sz w:val="28"/>
      <w:szCs w:val="28"/>
    </w:rPr>
  </w:style>
  <w:style w:type="paragraph" w:customStyle="1" w:styleId="5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五级无"/>
    <w:basedOn w:val="58"/>
    <w:qFormat/>
    <w:uiPriority w:val="99"/>
    <w:pPr>
      <w:spacing w:beforeLines="0" w:afterLines="0"/>
    </w:pPr>
    <w:rPr>
      <w:rFonts w:ascii="宋体" w:eastAsia="宋体"/>
    </w:rPr>
  </w:style>
  <w:style w:type="paragraph" w:customStyle="1" w:styleId="58">
    <w:name w:val="五级条标题"/>
    <w:basedOn w:val="59"/>
    <w:next w:val="20"/>
    <w:qFormat/>
    <w:uiPriority w:val="99"/>
    <w:pPr>
      <w:numPr>
        <w:ilvl w:val="0"/>
        <w:numId w:val="0"/>
      </w:numPr>
      <w:outlineLvl w:val="6"/>
    </w:pPr>
  </w:style>
  <w:style w:type="paragraph" w:customStyle="1" w:styleId="59">
    <w:name w:val="四级条标题"/>
    <w:basedOn w:val="60"/>
    <w:next w:val="20"/>
    <w:qFormat/>
    <w:uiPriority w:val="99"/>
    <w:pPr>
      <w:numPr>
        <w:ilvl w:val="4"/>
      </w:numPr>
      <w:outlineLvl w:val="5"/>
    </w:pPr>
  </w:style>
  <w:style w:type="paragraph" w:customStyle="1" w:styleId="60">
    <w:name w:val="三级条标题"/>
    <w:basedOn w:val="61"/>
    <w:next w:val="20"/>
    <w:qFormat/>
    <w:uiPriority w:val="99"/>
    <w:pPr>
      <w:numPr>
        <w:ilvl w:val="3"/>
      </w:numPr>
      <w:ind w:left="0"/>
      <w:outlineLvl w:val="4"/>
    </w:pPr>
  </w:style>
  <w:style w:type="paragraph" w:customStyle="1" w:styleId="61">
    <w:name w:val="二级条标题"/>
    <w:basedOn w:val="62"/>
    <w:next w:val="20"/>
    <w:qFormat/>
    <w:uiPriority w:val="99"/>
    <w:pPr>
      <w:numPr>
        <w:ilvl w:val="2"/>
      </w:numPr>
      <w:spacing w:before="50" w:after="50"/>
      <w:outlineLvl w:val="3"/>
    </w:pPr>
  </w:style>
  <w:style w:type="paragraph" w:customStyle="1" w:styleId="62">
    <w:name w:val="一级条标题"/>
    <w:next w:val="20"/>
    <w:qFormat/>
    <w:uiPriority w:val="99"/>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3">
    <w:name w:val="目录 71"/>
    <w:basedOn w:val="1"/>
    <w:next w:val="1"/>
    <w:semiHidden/>
    <w:qFormat/>
    <w:uiPriority w:val="99"/>
    <w:pPr>
      <w:tabs>
        <w:tab w:val="right" w:leader="dot" w:pos="9241"/>
      </w:tabs>
      <w:ind w:firstLine="505" w:firstLineChars="500"/>
      <w:jc w:val="left"/>
    </w:pPr>
    <w:rPr>
      <w:rFonts w:ascii="宋体"/>
      <w:szCs w:val="21"/>
    </w:rPr>
  </w:style>
  <w:style w:type="paragraph" w:customStyle="1" w:styleId="64">
    <w:name w:val="目录 21"/>
    <w:basedOn w:val="1"/>
    <w:next w:val="1"/>
    <w:qFormat/>
    <w:uiPriority w:val="99"/>
    <w:pPr>
      <w:tabs>
        <w:tab w:val="right" w:leader="dot" w:pos="9241"/>
      </w:tabs>
    </w:pPr>
    <w:rPr>
      <w:rFonts w:ascii="宋体"/>
      <w:szCs w:val="21"/>
    </w:rPr>
  </w:style>
  <w:style w:type="paragraph" w:customStyle="1" w:styleId="65">
    <w:name w:val="目录 41"/>
    <w:basedOn w:val="1"/>
    <w:next w:val="1"/>
    <w:semiHidden/>
    <w:qFormat/>
    <w:uiPriority w:val="99"/>
    <w:pPr>
      <w:tabs>
        <w:tab w:val="right" w:leader="dot" w:pos="9241"/>
      </w:tabs>
      <w:ind w:firstLine="198" w:firstLineChars="200"/>
      <w:jc w:val="left"/>
    </w:pPr>
    <w:rPr>
      <w:rFonts w:ascii="宋体"/>
      <w:szCs w:val="21"/>
    </w:rPr>
  </w:style>
  <w:style w:type="paragraph" w:customStyle="1" w:styleId="66">
    <w:name w:val="目录 51"/>
    <w:basedOn w:val="1"/>
    <w:next w:val="1"/>
    <w:semiHidden/>
    <w:qFormat/>
    <w:uiPriority w:val="99"/>
    <w:pPr>
      <w:tabs>
        <w:tab w:val="right" w:leader="dot" w:pos="9241"/>
      </w:tabs>
      <w:ind w:firstLine="300" w:firstLineChars="300"/>
      <w:jc w:val="left"/>
    </w:pPr>
    <w:rPr>
      <w:rFonts w:ascii="宋体"/>
      <w:szCs w:val="21"/>
    </w:rPr>
  </w:style>
  <w:style w:type="paragraph" w:customStyle="1" w:styleId="67">
    <w:name w:val="目录 91"/>
    <w:basedOn w:val="1"/>
    <w:next w:val="1"/>
    <w:semiHidden/>
    <w:qFormat/>
    <w:uiPriority w:val="99"/>
    <w:pPr>
      <w:ind w:left="1470"/>
      <w:jc w:val="left"/>
    </w:pPr>
    <w:rPr>
      <w:sz w:val="20"/>
      <w:szCs w:val="20"/>
    </w:rPr>
  </w:style>
  <w:style w:type="paragraph" w:customStyle="1" w:styleId="68">
    <w:name w:val="目录 61"/>
    <w:basedOn w:val="1"/>
    <w:next w:val="1"/>
    <w:semiHidden/>
    <w:qFormat/>
    <w:uiPriority w:val="99"/>
    <w:pPr>
      <w:tabs>
        <w:tab w:val="right" w:leader="dot" w:pos="9241"/>
      </w:tabs>
      <w:ind w:firstLine="403" w:firstLineChars="400"/>
      <w:jc w:val="left"/>
    </w:pPr>
    <w:rPr>
      <w:rFonts w:ascii="宋体"/>
      <w:szCs w:val="21"/>
    </w:rPr>
  </w:style>
  <w:style w:type="paragraph" w:customStyle="1" w:styleId="69">
    <w:name w:val="目录 11"/>
    <w:basedOn w:val="1"/>
    <w:next w:val="1"/>
    <w:qFormat/>
    <w:uiPriority w:val="99"/>
    <w:pPr>
      <w:tabs>
        <w:tab w:val="right" w:leader="dot" w:pos="9241"/>
      </w:tabs>
      <w:spacing w:beforeLines="25" w:afterLines="25"/>
      <w:jc w:val="left"/>
    </w:pPr>
    <w:rPr>
      <w:rFonts w:ascii="宋体"/>
      <w:szCs w:val="21"/>
    </w:rPr>
  </w:style>
  <w:style w:type="paragraph" w:customStyle="1" w:styleId="70">
    <w:name w:val="目录 81"/>
    <w:basedOn w:val="1"/>
    <w:next w:val="1"/>
    <w:semiHidden/>
    <w:qFormat/>
    <w:uiPriority w:val="99"/>
    <w:pPr>
      <w:tabs>
        <w:tab w:val="right" w:leader="dot" w:pos="9241"/>
      </w:tabs>
      <w:ind w:firstLine="607" w:firstLineChars="600"/>
      <w:jc w:val="left"/>
    </w:pPr>
    <w:rPr>
      <w:rFonts w:ascii="宋体"/>
      <w:szCs w:val="21"/>
    </w:rPr>
  </w:style>
  <w:style w:type="paragraph" w:customStyle="1" w:styleId="71">
    <w:name w:val="目录 31"/>
    <w:basedOn w:val="1"/>
    <w:next w:val="1"/>
    <w:qFormat/>
    <w:uiPriority w:val="99"/>
    <w:pPr>
      <w:tabs>
        <w:tab w:val="right" w:leader="dot" w:pos="9241"/>
      </w:tabs>
      <w:ind w:firstLine="102" w:firstLineChars="100"/>
      <w:jc w:val="left"/>
    </w:pPr>
    <w:rPr>
      <w:rFonts w:ascii="宋体"/>
      <w:szCs w:val="21"/>
    </w:rPr>
  </w:style>
  <w:style w:type="paragraph" w:customStyle="1" w:styleId="72">
    <w:name w:val="标准书眉_偶数页"/>
    <w:basedOn w:val="73"/>
    <w:next w:val="1"/>
    <w:qFormat/>
    <w:uiPriority w:val="99"/>
    <w:pPr>
      <w:tabs>
        <w:tab w:val="center" w:pos="4154"/>
        <w:tab w:val="right" w:pos="8306"/>
      </w:tabs>
      <w:jc w:val="left"/>
    </w:pPr>
  </w:style>
  <w:style w:type="paragraph" w:customStyle="1" w:styleId="73">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
    <w:name w:val="附录一级条标题"/>
    <w:basedOn w:val="75"/>
    <w:next w:val="20"/>
    <w:qFormat/>
    <w:uiPriority w:val="99"/>
    <w:pPr>
      <w:numPr>
        <w:ilvl w:val="2"/>
      </w:numPr>
      <w:tabs>
        <w:tab w:val="left" w:pos="360"/>
      </w:tabs>
      <w:autoSpaceDN w:val="0"/>
      <w:spacing w:beforeLines="50" w:afterLines="50"/>
      <w:outlineLvl w:val="2"/>
    </w:pPr>
  </w:style>
  <w:style w:type="paragraph" w:customStyle="1" w:styleId="75">
    <w:name w:val="附录章标题"/>
    <w:next w:val="20"/>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封面标准名称2"/>
    <w:basedOn w:val="56"/>
    <w:qFormat/>
    <w:uiPriority w:val="99"/>
    <w:pPr>
      <w:framePr w:y="4469"/>
      <w:spacing w:beforeLines="630"/>
    </w:pPr>
  </w:style>
  <w:style w:type="paragraph" w:customStyle="1" w:styleId="77">
    <w:name w:val="终结线"/>
    <w:basedOn w:val="1"/>
    <w:qFormat/>
    <w:uiPriority w:val="99"/>
    <w:pPr>
      <w:framePr w:hSpace="181" w:vSpace="181" w:wrap="around" w:vAnchor="text" w:hAnchor="margin" w:xAlign="center" w:y="285"/>
    </w:pPr>
  </w:style>
  <w:style w:type="paragraph" w:customStyle="1" w:styleId="78">
    <w:name w:val="附录四级条标题"/>
    <w:basedOn w:val="79"/>
    <w:next w:val="20"/>
    <w:qFormat/>
    <w:uiPriority w:val="99"/>
    <w:pPr>
      <w:numPr>
        <w:ilvl w:val="5"/>
      </w:numPr>
      <w:tabs>
        <w:tab w:val="left" w:pos="360"/>
      </w:tabs>
      <w:outlineLvl w:val="5"/>
    </w:pPr>
  </w:style>
  <w:style w:type="paragraph" w:customStyle="1" w:styleId="79">
    <w:name w:val="附录三级条标题"/>
    <w:basedOn w:val="80"/>
    <w:next w:val="20"/>
    <w:qFormat/>
    <w:uiPriority w:val="99"/>
    <w:pPr>
      <w:numPr>
        <w:ilvl w:val="4"/>
      </w:numPr>
      <w:tabs>
        <w:tab w:val="left" w:pos="360"/>
      </w:tabs>
      <w:outlineLvl w:val="4"/>
    </w:pPr>
  </w:style>
  <w:style w:type="paragraph" w:customStyle="1" w:styleId="80">
    <w:name w:val="附录二级条标题"/>
    <w:basedOn w:val="1"/>
    <w:next w:val="20"/>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1">
    <w:name w:val="列项——（一级）"/>
    <w:qFormat/>
    <w:uiPriority w:val="99"/>
    <w:pPr>
      <w:widowControl w:val="0"/>
      <w:numPr>
        <w:ilvl w:val="0"/>
        <w:numId w:val="5"/>
      </w:numPr>
      <w:jc w:val="both"/>
    </w:pPr>
    <w:rPr>
      <w:rFonts w:ascii="宋体" w:hAnsi="Times New Roman" w:eastAsia="宋体" w:cs="Times New Roman"/>
      <w:sz w:val="21"/>
      <w:lang w:val="en-US" w:eastAsia="zh-CN" w:bidi="ar-SA"/>
    </w:rPr>
  </w:style>
  <w:style w:type="paragraph" w:customStyle="1" w:styleId="82">
    <w:name w:val="封面标准文稿类别2"/>
    <w:basedOn w:val="83"/>
    <w:qFormat/>
    <w:uiPriority w:val="99"/>
    <w:pPr>
      <w:framePr w:y="4469"/>
    </w:pPr>
  </w:style>
  <w:style w:type="paragraph" w:customStyle="1" w:styleId="83">
    <w:name w:val="封面标准文稿类别"/>
    <w:basedOn w:val="54"/>
    <w:qFormat/>
    <w:uiPriority w:val="99"/>
    <w:pPr>
      <w:spacing w:after="160" w:line="240" w:lineRule="auto"/>
    </w:pPr>
    <w:rPr>
      <w:sz w:val="24"/>
    </w:rPr>
  </w:style>
  <w:style w:type="paragraph" w:customStyle="1" w:styleId="84">
    <w:name w:val="章标题"/>
    <w:next w:val="20"/>
    <w:qFormat/>
    <w:uiPriority w:val="99"/>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5">
    <w:name w:val="附录五级条标题"/>
    <w:basedOn w:val="78"/>
    <w:next w:val="20"/>
    <w:qFormat/>
    <w:uiPriority w:val="99"/>
    <w:pPr>
      <w:numPr>
        <w:ilvl w:val="6"/>
      </w:numPr>
      <w:outlineLvl w:val="6"/>
    </w:pPr>
  </w:style>
  <w:style w:type="paragraph" w:customStyle="1" w:styleId="86">
    <w:name w:val="附录图标题"/>
    <w:basedOn w:val="1"/>
    <w:next w:val="20"/>
    <w:qFormat/>
    <w:uiPriority w:val="99"/>
    <w:pPr>
      <w:numPr>
        <w:ilvl w:val="1"/>
        <w:numId w:val="6"/>
      </w:numPr>
      <w:tabs>
        <w:tab w:val="left" w:pos="363"/>
      </w:tabs>
      <w:spacing w:beforeLines="50" w:afterLines="50"/>
      <w:ind w:left="0" w:firstLine="0"/>
      <w:jc w:val="center"/>
    </w:pPr>
    <w:rPr>
      <w:rFonts w:ascii="黑体" w:eastAsia="黑体"/>
      <w:szCs w:val="21"/>
    </w:rPr>
  </w:style>
  <w:style w:type="paragraph" w:customStyle="1" w:styleId="87">
    <w:name w:val="其他发布部门"/>
    <w:basedOn w:val="88"/>
    <w:qFormat/>
    <w:uiPriority w:val="99"/>
    <w:pPr>
      <w:framePr w:y="15310"/>
      <w:spacing w:line="240" w:lineRule="atLeast"/>
    </w:pPr>
    <w:rPr>
      <w:rFonts w:ascii="黑体" w:eastAsia="黑体"/>
      <w:b w:val="0"/>
    </w:rPr>
  </w:style>
  <w:style w:type="paragraph" w:customStyle="1" w:styleId="88">
    <w:name w:val="发布部门"/>
    <w:next w:val="20"/>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9">
    <w:name w:val="附录标识"/>
    <w:basedOn w:val="1"/>
    <w:next w:val="20"/>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91">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2">
    <w:name w:val="附录四级无"/>
    <w:basedOn w:val="78"/>
    <w:qFormat/>
    <w:uiPriority w:val="99"/>
    <w:pPr>
      <w:tabs>
        <w:tab w:val="clear" w:pos="360"/>
      </w:tabs>
      <w:spacing w:beforeLines="0" w:afterLines="0"/>
    </w:pPr>
    <w:rPr>
      <w:rFonts w:ascii="宋体" w:eastAsia="宋体"/>
      <w:szCs w:val="21"/>
    </w:rPr>
  </w:style>
  <w:style w:type="paragraph" w:customStyle="1" w:styleId="93">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4">
    <w:name w:val="其他发布日期"/>
    <w:basedOn w:val="95"/>
    <w:qFormat/>
    <w:uiPriority w:val="99"/>
    <w:pPr>
      <w:framePr w:vAnchor="page" w:hAnchor="text" w:x="1419"/>
    </w:pPr>
  </w:style>
  <w:style w:type="paragraph" w:customStyle="1" w:styleId="95">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7">
    <w:name w:val="附录一级无"/>
    <w:basedOn w:val="74"/>
    <w:qFormat/>
    <w:uiPriority w:val="99"/>
    <w:pPr>
      <w:tabs>
        <w:tab w:val="clear" w:pos="360"/>
      </w:tabs>
      <w:spacing w:beforeLines="0" w:afterLines="0"/>
    </w:pPr>
    <w:rPr>
      <w:rFonts w:ascii="宋体" w:eastAsia="宋体"/>
      <w:szCs w:val="21"/>
    </w:rPr>
  </w:style>
  <w:style w:type="paragraph" w:customStyle="1" w:styleId="98">
    <w:name w:val="附录数字编号列项（二级）"/>
    <w:qFormat/>
    <w:uiPriority w:val="99"/>
    <w:pPr>
      <w:numPr>
        <w:ilvl w:val="1"/>
        <w:numId w:val="7"/>
      </w:numPr>
    </w:pPr>
    <w:rPr>
      <w:rFonts w:ascii="宋体" w:hAnsi="Times New Roman" w:eastAsia="宋体" w:cs="Times New Roman"/>
      <w:sz w:val="21"/>
      <w:lang w:val="en-US" w:eastAsia="zh-CN" w:bidi="ar-SA"/>
    </w:rPr>
  </w:style>
  <w:style w:type="paragraph" w:customStyle="1" w:styleId="99">
    <w:name w:val="封面标准文稿编辑信息"/>
    <w:basedOn w:val="83"/>
    <w:qFormat/>
    <w:uiPriority w:val="99"/>
    <w:pPr>
      <w:spacing w:before="180" w:line="180" w:lineRule="exact"/>
    </w:pPr>
    <w:rPr>
      <w:sz w:val="21"/>
    </w:rPr>
  </w:style>
  <w:style w:type="paragraph" w:customStyle="1" w:styleId="100">
    <w:name w:val="附录五级无"/>
    <w:basedOn w:val="85"/>
    <w:qFormat/>
    <w:uiPriority w:val="99"/>
    <w:pPr>
      <w:tabs>
        <w:tab w:val="clear" w:pos="360"/>
      </w:tabs>
      <w:spacing w:beforeLines="0" w:afterLines="0"/>
    </w:pPr>
    <w:rPr>
      <w:rFonts w:ascii="宋体" w:eastAsia="宋体"/>
      <w:szCs w:val="21"/>
    </w:rPr>
  </w:style>
  <w:style w:type="paragraph" w:customStyle="1" w:styleId="10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02">
    <w:name w:val="四级无"/>
    <w:basedOn w:val="59"/>
    <w:qFormat/>
    <w:uiPriority w:val="99"/>
    <w:pPr>
      <w:spacing w:beforeLines="0" w:afterLines="0"/>
    </w:pPr>
    <w:rPr>
      <w:rFonts w:ascii="宋体" w:eastAsia="宋体"/>
    </w:rPr>
  </w:style>
  <w:style w:type="paragraph" w:customStyle="1" w:styleId="103">
    <w:name w:val="正文表标题"/>
    <w:next w:val="20"/>
    <w:qFormat/>
    <w:uiPriority w:val="99"/>
    <w:pPr>
      <w:numPr>
        <w:ilvl w:val="0"/>
        <w:numId w:val="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04">
    <w:name w:val="条文脚注"/>
    <w:basedOn w:val="21"/>
    <w:qFormat/>
    <w:uiPriority w:val="99"/>
    <w:pPr>
      <w:numPr>
        <w:numId w:val="0"/>
      </w:numPr>
      <w:jc w:val="both"/>
    </w:pPr>
  </w:style>
  <w:style w:type="paragraph" w:customStyle="1" w:styleId="10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06">
    <w:name w:val="图表脚注说明"/>
    <w:basedOn w:val="1"/>
    <w:qFormat/>
    <w:uiPriority w:val="99"/>
    <w:pPr>
      <w:numPr>
        <w:ilvl w:val="0"/>
        <w:numId w:val="9"/>
      </w:numPr>
    </w:pPr>
    <w:rPr>
      <w:rFonts w:ascii="宋体"/>
      <w:sz w:val="18"/>
      <w:szCs w:val="18"/>
    </w:rPr>
  </w:style>
  <w:style w:type="paragraph" w:customStyle="1" w:styleId="107">
    <w:name w:val="附录公式编号制表符"/>
    <w:basedOn w:val="1"/>
    <w:next w:val="20"/>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9">
    <w:name w:val="其他标准标志"/>
    <w:basedOn w:val="93"/>
    <w:qFormat/>
    <w:uiPriority w:val="99"/>
    <w:pPr>
      <w:framePr w:w="6101" w:vAnchor="page" w:hAnchor="page" w:x="4673" w:y="942"/>
    </w:pPr>
    <w:rPr>
      <w:w w:val="130"/>
    </w:rPr>
  </w:style>
  <w:style w:type="paragraph" w:customStyle="1" w:styleId="110">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11">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2">
    <w:name w:val="二级无"/>
    <w:basedOn w:val="61"/>
    <w:qFormat/>
    <w:uiPriority w:val="99"/>
    <w:pPr>
      <w:spacing w:beforeLines="0" w:afterLines="0"/>
      <w:ind w:left="0"/>
    </w:pPr>
    <w:rPr>
      <w:rFonts w:ascii="宋体" w:eastAsia="宋体"/>
    </w:rPr>
  </w:style>
  <w:style w:type="paragraph" w:customStyle="1" w:styleId="113">
    <w:name w:val="封面标准英文名称2"/>
    <w:basedOn w:val="55"/>
    <w:qFormat/>
    <w:uiPriority w:val="99"/>
    <w:pPr>
      <w:framePr w:y="4469"/>
    </w:pPr>
  </w:style>
  <w:style w:type="paragraph" w:customStyle="1" w:styleId="114">
    <w:name w:val="注："/>
    <w:next w:val="20"/>
    <w:qFormat/>
    <w:uiPriority w:val="99"/>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115">
    <w:name w:val="正文图标题"/>
    <w:next w:val="20"/>
    <w:qFormat/>
    <w:uiPriority w:val="99"/>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6">
    <w:name w:val="封面正文"/>
    <w:qFormat/>
    <w:uiPriority w:val="99"/>
    <w:pPr>
      <w:jc w:val="both"/>
    </w:pPr>
    <w:rPr>
      <w:rFonts w:ascii="Times New Roman" w:hAnsi="Times New Roman" w:eastAsia="宋体" w:cs="Times New Roman"/>
      <w:lang w:val="en-US" w:eastAsia="zh-CN" w:bidi="ar-SA"/>
    </w:rPr>
  </w:style>
  <w:style w:type="paragraph" w:customStyle="1" w:styleId="117">
    <w:name w:val="参考文献、索引标题"/>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8">
    <w:name w:val="实施日期"/>
    <w:basedOn w:val="95"/>
    <w:qFormat/>
    <w:uiPriority w:val="99"/>
    <w:pPr>
      <w:framePr w:vAnchor="page" w:hAnchor="text"/>
      <w:jc w:val="right"/>
    </w:pPr>
  </w:style>
  <w:style w:type="paragraph" w:customStyle="1" w:styleId="11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22">
    <w:name w:val="示例×："/>
    <w:basedOn w:val="84"/>
    <w:qFormat/>
    <w:uiPriority w:val="99"/>
    <w:pPr>
      <w:numPr>
        <w:numId w:val="12"/>
      </w:numPr>
      <w:spacing w:beforeLines="0" w:afterLines="0"/>
      <w:outlineLvl w:val="9"/>
    </w:pPr>
    <w:rPr>
      <w:rFonts w:ascii="宋体" w:eastAsia="宋体"/>
      <w:sz w:val="18"/>
      <w:szCs w:val="18"/>
    </w:rPr>
  </w:style>
  <w:style w:type="paragraph" w:customStyle="1" w:styleId="123">
    <w:name w:val="前言、引言标题"/>
    <w:next w:val="20"/>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4">
    <w:name w:val="图标脚注说明"/>
    <w:basedOn w:val="20"/>
    <w:qFormat/>
    <w:uiPriority w:val="99"/>
    <w:pPr>
      <w:ind w:left="840" w:hanging="420" w:firstLineChars="0"/>
    </w:pPr>
    <w:rPr>
      <w:sz w:val="18"/>
      <w:szCs w:val="18"/>
    </w:rPr>
  </w:style>
  <w:style w:type="paragraph" w:customStyle="1" w:styleId="125">
    <w:name w:val="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126">
    <w:name w:val="参考文献"/>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7">
    <w:name w:val="封面标准文稿编辑信息2"/>
    <w:basedOn w:val="99"/>
    <w:qFormat/>
    <w:uiPriority w:val="99"/>
    <w:pPr>
      <w:framePr w:y="4469"/>
    </w:pPr>
  </w:style>
  <w:style w:type="paragraph" w:customStyle="1" w:styleId="128">
    <w:name w:val="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29">
    <w:name w:val="注：（正文）"/>
    <w:basedOn w:val="114"/>
    <w:next w:val="20"/>
    <w:qFormat/>
    <w:uiPriority w:val="99"/>
  </w:style>
  <w:style w:type="paragraph" w:customStyle="1" w:styleId="130">
    <w:name w:val="目次、标准名称标题"/>
    <w:basedOn w:val="1"/>
    <w:next w:val="20"/>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1">
    <w:name w:val="图的脚注"/>
    <w:next w:val="20"/>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列项◆（三级）"/>
    <w:basedOn w:val="1"/>
    <w:qFormat/>
    <w:uiPriority w:val="99"/>
    <w:pPr>
      <w:numPr>
        <w:ilvl w:val="2"/>
        <w:numId w:val="5"/>
      </w:numPr>
    </w:pPr>
    <w:rPr>
      <w:rFonts w:ascii="宋体"/>
      <w:szCs w:val="21"/>
    </w:rPr>
  </w:style>
  <w:style w:type="paragraph" w:customStyle="1" w:styleId="133">
    <w:name w:val="示例后文字"/>
    <w:basedOn w:val="20"/>
    <w:next w:val="20"/>
    <w:qFormat/>
    <w:uiPriority w:val="99"/>
    <w:pPr>
      <w:ind w:firstLine="360"/>
    </w:pPr>
    <w:rPr>
      <w:sz w:val="18"/>
    </w:rPr>
  </w:style>
  <w:style w:type="paragraph" w:customStyle="1" w:styleId="134">
    <w:name w:val="附录图标号"/>
    <w:basedOn w:val="1"/>
    <w:qFormat/>
    <w:uiPriority w:val="99"/>
    <w:pPr>
      <w:keepNext/>
      <w:pageBreakBefore/>
      <w:widowControl/>
      <w:numPr>
        <w:ilvl w:val="0"/>
        <w:numId w:val="6"/>
      </w:numPr>
      <w:spacing w:line="14" w:lineRule="exact"/>
      <w:ind w:left="0" w:firstLine="363"/>
      <w:jc w:val="center"/>
      <w:outlineLvl w:val="0"/>
    </w:pPr>
    <w:rPr>
      <w:color w:val="FFFFFF"/>
    </w:rPr>
  </w:style>
  <w:style w:type="paragraph" w:customStyle="1" w:styleId="135">
    <w:name w:val="注×："/>
    <w:qFormat/>
    <w:uiPriority w:val="99"/>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36">
    <w:name w:val="正文公式编号制表符"/>
    <w:basedOn w:val="20"/>
    <w:next w:val="20"/>
    <w:qFormat/>
    <w:uiPriority w:val="99"/>
    <w:pPr>
      <w:ind w:firstLine="0" w:firstLineChars="0"/>
    </w:pPr>
  </w:style>
  <w:style w:type="paragraph" w:customStyle="1" w:styleId="137">
    <w:name w:val="附录二级无"/>
    <w:basedOn w:val="80"/>
    <w:qFormat/>
    <w:uiPriority w:val="99"/>
    <w:pPr>
      <w:tabs>
        <w:tab w:val="clear" w:pos="360"/>
      </w:tabs>
      <w:spacing w:beforeLines="0" w:afterLines="0"/>
    </w:pPr>
    <w:rPr>
      <w:rFonts w:ascii="宋体" w:eastAsia="宋体"/>
      <w:szCs w:val="21"/>
    </w:rPr>
  </w:style>
  <w:style w:type="paragraph" w:customStyle="1" w:styleId="138">
    <w:name w:val="附录标题"/>
    <w:basedOn w:val="20"/>
    <w:next w:val="20"/>
    <w:qFormat/>
    <w:uiPriority w:val="99"/>
    <w:pPr>
      <w:ind w:firstLine="0" w:firstLineChars="0"/>
      <w:jc w:val="center"/>
    </w:pPr>
    <w:rPr>
      <w:rFonts w:ascii="黑体" w:eastAsia="黑体"/>
    </w:rPr>
  </w:style>
  <w:style w:type="paragraph" w:customStyle="1" w:styleId="139">
    <w:name w:val="附录字母编号列项（一级）"/>
    <w:qFormat/>
    <w:uiPriority w:val="99"/>
    <w:pPr>
      <w:numPr>
        <w:ilvl w:val="0"/>
        <w:numId w:val="7"/>
      </w:numPr>
    </w:pPr>
    <w:rPr>
      <w:rFonts w:ascii="宋体" w:hAnsi="Times New Roman" w:eastAsia="宋体" w:cs="Times New Roman"/>
      <w:sz w:val="21"/>
      <w:lang w:val="en-US" w:eastAsia="zh-CN" w:bidi="ar-SA"/>
    </w:rPr>
  </w:style>
  <w:style w:type="paragraph" w:customStyle="1" w:styleId="140">
    <w:name w:val="附录表标题"/>
    <w:basedOn w:val="1"/>
    <w:next w:val="20"/>
    <w:qFormat/>
    <w:uiPriority w:val="99"/>
    <w:pPr>
      <w:numPr>
        <w:ilvl w:val="1"/>
        <w:numId w:val="15"/>
      </w:numPr>
      <w:tabs>
        <w:tab w:val="left" w:pos="180"/>
      </w:tabs>
      <w:spacing w:beforeLines="50" w:afterLines="50"/>
      <w:ind w:left="0" w:firstLine="0"/>
      <w:jc w:val="center"/>
    </w:pPr>
    <w:rPr>
      <w:rFonts w:ascii="黑体" w:eastAsia="黑体"/>
      <w:szCs w:val="21"/>
    </w:rPr>
  </w:style>
  <w:style w:type="paragraph" w:customStyle="1" w:styleId="141">
    <w:name w:val="编号列项（三级）"/>
    <w:qFormat/>
    <w:uiPriority w:val="99"/>
    <w:pPr>
      <w:numPr>
        <w:ilvl w:val="2"/>
        <w:numId w:val="13"/>
      </w:numPr>
    </w:pPr>
    <w:rPr>
      <w:rFonts w:ascii="宋体" w:hAnsi="Times New Roman" w:eastAsia="宋体" w:cs="Times New Roman"/>
      <w:sz w:val="21"/>
      <w:lang w:val="en-US" w:eastAsia="zh-CN" w:bidi="ar-SA"/>
    </w:rPr>
  </w:style>
  <w:style w:type="paragraph" w:customStyle="1" w:styleId="142">
    <w:name w:val="标准书眉一"/>
    <w:qFormat/>
    <w:uiPriority w:val="99"/>
    <w:pPr>
      <w:jc w:val="both"/>
    </w:pPr>
    <w:rPr>
      <w:rFonts w:ascii="Times New Roman" w:hAnsi="Times New Roman" w:eastAsia="宋体" w:cs="Times New Roman"/>
      <w:lang w:val="en-US" w:eastAsia="zh-CN" w:bidi="ar-SA"/>
    </w:rPr>
  </w:style>
  <w:style w:type="paragraph" w:customStyle="1" w:styleId="143">
    <w:name w:val="其他实施日期"/>
    <w:basedOn w:val="118"/>
    <w:qFormat/>
    <w:uiPriority w:val="99"/>
  </w:style>
  <w:style w:type="paragraph" w:customStyle="1" w:styleId="144">
    <w:name w:val="注×：（正文）"/>
    <w:qFormat/>
    <w:uiPriority w:val="99"/>
    <w:pPr>
      <w:numPr>
        <w:ilvl w:val="0"/>
        <w:numId w:val="16"/>
      </w:numPr>
      <w:jc w:val="both"/>
    </w:pPr>
    <w:rPr>
      <w:rFonts w:ascii="宋体" w:hAnsi="Times New Roman" w:eastAsia="宋体" w:cs="Times New Roman"/>
      <w:sz w:val="18"/>
      <w:szCs w:val="18"/>
      <w:lang w:val="en-US" w:eastAsia="zh-CN" w:bidi="ar-SA"/>
    </w:rPr>
  </w:style>
  <w:style w:type="paragraph" w:customStyle="1" w:styleId="1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6">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47">
    <w:name w:val="附录三级无"/>
    <w:basedOn w:val="79"/>
    <w:qFormat/>
    <w:uiPriority w:val="99"/>
    <w:pPr>
      <w:tabs>
        <w:tab w:val="clear" w:pos="360"/>
      </w:tabs>
      <w:spacing w:beforeLines="0" w:afterLines="0"/>
    </w:pPr>
    <w:rPr>
      <w:rFonts w:ascii="宋体" w:eastAsia="宋体"/>
      <w:szCs w:val="21"/>
    </w:rPr>
  </w:style>
  <w:style w:type="paragraph" w:customStyle="1" w:styleId="148">
    <w:name w:val="列项●（二级）"/>
    <w:qFormat/>
    <w:uiPriority w:val="99"/>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49">
    <w:name w:val="示例"/>
    <w:next w:val="90"/>
    <w:qFormat/>
    <w:uiPriority w:val="99"/>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50">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51">
    <w:name w:val="三级无"/>
    <w:basedOn w:val="60"/>
    <w:qFormat/>
    <w:uiPriority w:val="99"/>
    <w:pPr>
      <w:spacing w:beforeLines="0" w:afterLines="0"/>
    </w:pPr>
    <w:rPr>
      <w:rFonts w:ascii="宋体" w:eastAsia="宋体"/>
    </w:rPr>
  </w:style>
  <w:style w:type="paragraph" w:customStyle="1" w:styleId="152">
    <w:name w:val="一级无"/>
    <w:basedOn w:val="62"/>
    <w:qFormat/>
    <w:uiPriority w:val="99"/>
    <w:pPr>
      <w:spacing w:beforeLines="0" w:afterLines="0"/>
    </w:pPr>
    <w:rPr>
      <w:rFonts w:ascii="宋体" w:eastAsia="宋体"/>
    </w:rPr>
  </w:style>
  <w:style w:type="paragraph" w:customStyle="1" w:styleId="153">
    <w:name w:val="附录表标号"/>
    <w:basedOn w:val="1"/>
    <w:next w:val="20"/>
    <w:qFormat/>
    <w:uiPriority w:val="99"/>
    <w:pPr>
      <w:numPr>
        <w:ilvl w:val="0"/>
        <w:numId w:val="15"/>
      </w:numPr>
      <w:tabs>
        <w:tab w:val="clear" w:pos="0"/>
      </w:tabs>
      <w:spacing w:line="14" w:lineRule="exact"/>
      <w:ind w:left="811" w:hanging="448"/>
      <w:jc w:val="center"/>
      <w:outlineLvl w:val="0"/>
    </w:pPr>
    <w:rPr>
      <w:color w:val="FFFFFF"/>
    </w:rPr>
  </w:style>
  <w:style w:type="character" w:customStyle="1" w:styleId="154">
    <w:name w:val="批注文字 Char"/>
    <w:qFormat/>
    <w:uiPriority w:val="99"/>
    <w:rPr>
      <w:kern w:val="2"/>
      <w:sz w:val="24"/>
    </w:rPr>
  </w:style>
  <w:style w:type="character" w:customStyle="1" w:styleId="155">
    <w:name w:val="段 Char Char"/>
    <w:qFormat/>
    <w:uiPriority w:val="99"/>
    <w:rPr>
      <w:rFonts w:asci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Pages>
  <Words>2192</Words>
  <Characters>2823</Characters>
  <Lines>68</Lines>
  <Paragraphs>19</Paragraphs>
  <TotalTime>1</TotalTime>
  <ScaleCrop>false</ScaleCrop>
  <LinksUpToDate>false</LinksUpToDate>
  <CharactersWithSpaces>2965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2019-05-09T11:37:00Z</dcterms:created>
  <dc:creator>CNIS</dc:creator>
  <cp:lastModifiedBy>Linna</cp:lastModifiedBy>
  <cp:lastPrinted>2019-05-24T03:42:00Z</cp:lastPrinted>
  <dcterms:modified xsi:type="dcterms:W3CDTF">2023-12-04T02:29:11Z</dcterms:modified>
  <dc:title>标准名称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5CE426D5D6A648AEB9A6A2B35EDA0D0D_12</vt:lpwstr>
  </property>
</Properties>
</file>