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16"/>
              <w:framePr w:w="9286" w:h="1275" w:hRule="exact" w:wrap="around" w:hAnchor="page" w:x="1432"/>
              <w:rPr>
                <w:rFonts w:hint="eastAsia" w:ascii="Times New Roman" w:eastAsia="黑体"/>
                <w:lang w:val="en-US" w:eastAsia="zh-CN"/>
              </w:rPr>
            </w:pPr>
          </w:p>
          <w:p>
            <w:pPr>
              <w:pStyle w:val="116"/>
              <w:framePr w:w="9286" w:h="1275" w:hRule="exact" w:wrap="around" w:hAnchor="page" w:x="1432"/>
              <w:rPr>
                <w:rFonts w:hint="eastAsia" w:eastAsia="黑体"/>
                <w:lang w:eastAsia="zh-CN"/>
              </w:rPr>
            </w:pPr>
            <w:r>
              <w:rPr>
                <w:rFonts w:hint="default"/>
                <w:lang w:val="en-US"/>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746760</wp:posOffset>
                      </wp:positionV>
                      <wp:extent cx="6119495" cy="695325"/>
                      <wp:effectExtent l="9525" t="13335" r="5080" b="5715"/>
                      <wp:wrapNone/>
                      <wp:docPr id="11"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pt;margin-top:58.8pt;height:54.75pt;width:481.85pt;z-index:251668480;mso-width-relative:page;mso-height-relative:margin;mso-height-percent:200;" fillcolor="#FFFFFF" filled="t" stroked="t" coordsize="21600,21600" o:gfxdata="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&#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vKe7nZAAAACAEAAA8AAAAAAAAAAQAgAAAAIgAAAGRy&#10;cy9kb3ducmV2LnhtbFBLAQIUABQAAAAIAIdO4kAtJpd+PQIAAIkEAAAOAAAAAAAAAAEAIAAAACgB&#10;AABkcnMvZTJvRG9jLnhtbFBLBQYAAAAABgAGAFkBAADXBQ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w:rPr>
                <w:rFonts w:hint="default"/>
                <w:lang w:val="en-US"/>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2061210</wp:posOffset>
                      </wp:positionV>
                      <wp:extent cx="6120130" cy="0"/>
                      <wp:effectExtent l="13970" t="9525" r="9525" b="9525"/>
                      <wp:wrapNone/>
                      <wp:docPr id="10"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62.3pt;height:0pt;width:481.9pt;z-index:251669504;mso-width-relative:page;mso-height-relative:page;" filled="f" stroked="t" coordsize="21600,21600" o:gfxdata="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6eatYAAAAJAQAADwAAAAAAAAABACAA&#10;AAAiAAAAZHJzL2Rvd25yZXYueG1sUEsBAhQAFAAAAAgAh07iQP4h7yrWAQAAowMAAA4AAAAAAAAA&#10;AQAgAAAAJQEAAGRycy9lMm9Eb2MueG1sUEsFBgAAAAAGAAYAWQEAAG0FAAAAAA==&#10;">
                      <v:fill on="f" focussize="0,0"/>
                      <v:stroke color="#000000" joinstyle="round"/>
                      <v:imagedata o:title=""/>
                      <o:lock v:ext="edit" aspectratio="f"/>
                    </v:line>
                  </w:pict>
                </mc:Fallback>
              </mc:AlternateContent>
            </w:r>
            <w:r>
              <w:rPr>
                <w:rFonts w:hint="default"/>
                <w:lang w:val="en-US"/>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HwbF4DgIAACAEAAAOAAAAAAAAAAEA&#10;IAAAACQBAABkcnMvZTJvRG9jLnhtbFBLBQYAAAAABgAGAFkBAACkBQAAAAA=&#10;">
                      <v:fill on="t" focussize="0,0"/>
                      <v:stroke on="f"/>
                      <v:imagedata o:title=""/>
                      <o:lock v:ext="edit" aspectratio="f"/>
                    </v:rect>
                  </w:pict>
                </mc:Fallback>
              </mc:AlternateContent>
            </w:r>
          </w:p>
        </w:tc>
      </w:tr>
    </w:tbl>
    <w:p>
      <w:pPr>
        <w:pStyle w:val="86"/>
        <w:framePr w:wrap="around" w:x="1850" w:y="2836"/>
        <w:rPr>
          <w:rFonts w:hAnsi="黑体"/>
        </w:rPr>
      </w:pPr>
      <w:r>
        <w:rPr>
          <w:rFonts w:hint="eastAsia" w:hAnsi="黑体"/>
        </w:rPr>
        <w:t>T</w:t>
      </w:r>
      <w:r>
        <w:rPr>
          <w:rFonts w:hAnsi="黑体"/>
        </w:rPr>
        <w:t>/</w:t>
      </w:r>
      <w:r>
        <w:rPr>
          <w:rFonts w:hint="eastAsia" w:hAnsi="黑体"/>
        </w:rPr>
        <w:t>CECS 100</w:t>
      </w:r>
      <w:r>
        <w:rPr>
          <w:rFonts w:hAnsi="黑体"/>
        </w:rPr>
        <w:t>X</w:t>
      </w:r>
      <w:r>
        <w:rPr>
          <w:rFonts w:hint="eastAsia" w:hAnsi="黑体"/>
        </w:rPr>
        <w:t>X</w:t>
      </w:r>
      <w:r>
        <w:rPr>
          <w:rFonts w:hAnsi="黑体"/>
        </w:rPr>
        <w:t>—</w:t>
      </w:r>
      <w:r>
        <w:rPr>
          <w:rFonts w:hint="eastAsia" w:hAnsi="黑体"/>
        </w:rPr>
        <w:t>202X</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44"/>
              <w:framePr w:wrap="around" w:x="1850" w:y="2836"/>
            </w:pPr>
            <w:bookmarkStart w:id="0"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3175" t="635"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bookmarkEnd w:id="0"/>
          </w:p>
        </w:tc>
      </w:tr>
    </w:tbl>
    <w:p>
      <w:pPr>
        <w:pStyle w:val="86"/>
        <w:framePr w:wrap="around" w:x="1850" w:y="2836"/>
        <w:rPr>
          <w:rFonts w:hAnsi="黑体"/>
        </w:rPr>
      </w:pPr>
      <w:r>
        <w:rPr>
          <w:rFonts w:hint="eastAsia" w:hAnsi="黑体"/>
        </w:rPr>
        <w:tab/>
      </w:r>
    </w:p>
    <w:p>
      <w:pPr>
        <w:pStyle w:val="86"/>
        <w:framePr w:wrap="around" w:x="1850" w:y="2836"/>
        <w:rPr>
          <w:rFonts w:hAnsi="黑体"/>
        </w:rPr>
      </w:pPr>
    </w:p>
    <w:p>
      <w:pPr>
        <w:pStyle w:val="72"/>
        <w:framePr w:wrap="around" w:x="1276" w:y="6324"/>
      </w:pPr>
      <w:r>
        <mc:AlternateContent>
          <mc:Choice Requires="wps">
            <w:drawing>
              <wp:anchor distT="0" distB="0" distL="114300" distR="114300" simplePos="0" relativeHeight="251667456" behindDoc="0" locked="0" layoutInCell="1" allowOverlap="1">
                <wp:simplePos x="0" y="0"/>
                <wp:positionH relativeFrom="column">
                  <wp:posOffset>727075</wp:posOffset>
                </wp:positionH>
                <wp:positionV relativeFrom="paragraph">
                  <wp:posOffset>21258530</wp:posOffset>
                </wp:positionV>
                <wp:extent cx="6119495" cy="695325"/>
                <wp:effectExtent l="12065" t="7620" r="12065" b="11430"/>
                <wp:wrapNone/>
                <wp:docPr id="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57.25pt;margin-top:1673.9pt;height:54.75pt;width:481.85pt;z-index:251667456;mso-width-relative:page;mso-height-relative:margin;mso-height-percent:200;" fillcolor="#FFFFFF" filled="t" stroked="t" coordsize="21600,21600" o:gfxdata="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U6SGi3QAAAA4BAAAPAAAAAAAAAAEAIAAAACIA&#10;AABkcnMvZG93bnJldi54bWxQSwECFAAUAAAACACHTuJA38DDHj0CAACIBAAADgAAAAAAAAABACAA&#10;AAAsAQAAZHJzL2Uyb0RvYy54bWxQSwUGAAAAAAYABgBZAQAA2wU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8212455</wp:posOffset>
                </wp:positionV>
                <wp:extent cx="6120130" cy="0"/>
                <wp:effectExtent l="5715" t="12700" r="8255" b="6350"/>
                <wp:wrapNone/>
                <wp:docPr id="6"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18pt;margin-top:646.65pt;height:0pt;width:481.9pt;z-index:251666432;mso-width-relative:page;mso-height-relative:page;" filled="f" stroked="t" coordsize="21600,21600" o:gfxdata="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SEj+nXAAAADAEAAA8AAAAAAAAAAQAg&#10;AAAAIgAAAGRycy9kb3ducmV2LnhtbFBLAQIUABQAAAAIAIdO4kCWL4cw1gEAAKIDAAAOAAAAAAAA&#10;AAEAIAAAACYBAABkcnMvZTJvRG9jLnhtbFBLBQYAAAAABgAGAFkBAABuBQAAAAA=&#10;">
                <v:fill on="f" focussize="0,0"/>
                <v:stroke color="#000000" joinstyle="round"/>
                <v:imagedata o:title=""/>
                <o:lock v:ext="edit" aspectratio="f"/>
              </v:line>
            </w:pict>
          </mc:Fallback>
        </mc:AlternateContent>
      </w:r>
      <w:r>
        <w:rPr>
          <w:rFonts w:hint="eastAsia"/>
        </w:rPr>
        <w:t>绿色建材评价  低压开关柜</w:t>
      </w:r>
    </w:p>
    <w:p>
      <w:pPr>
        <w:pStyle w:val="84"/>
        <w:framePr w:wrap="around" w:x="1276" w:y="6324"/>
      </w:pPr>
      <w:r>
        <w:t>G</w:t>
      </w:r>
      <w:r>
        <w:rPr>
          <w:rFonts w:hint="eastAsia"/>
        </w:rPr>
        <w:t>reen building material</w:t>
      </w:r>
      <w:r>
        <w:t xml:space="preserve"> </w:t>
      </w:r>
      <w:r>
        <w:rPr>
          <w:rFonts w:hint="eastAsia"/>
        </w:rPr>
        <w:t>assessment</w:t>
      </w:r>
      <w:r>
        <w:t xml:space="preserve"> – </w:t>
      </w:r>
      <w:r>
        <w:rPr>
          <w:rFonts w:hint="eastAsia"/>
        </w:rPr>
        <w:t>Low voltage switchgear</w:t>
      </w:r>
    </w:p>
    <w:tbl>
      <w:tblPr>
        <w:tblStyle w:val="35"/>
        <w:tblW w:w="1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6"/>
              <w:framePr w:wrap="around" w:x="1276" w:y="6324"/>
              <w:rPr>
                <w:sz w:val="28"/>
              </w:rPr>
            </w:pPr>
          </w:p>
          <w:p>
            <w:pPr>
              <w:pStyle w:val="96"/>
              <w:framePr w:wrap="around" w:x="1276" w:y="6324"/>
            </w:pPr>
            <w: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3175" t="2540" r="3175"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v:rect>
                  </w:pict>
                </mc:Fallback>
              </mc:AlternateContent>
            </w:r>
            <w:r>
              <w:rPr>
                <w:rFonts w:hint="eastAsia"/>
                <w:sz w:val="28"/>
              </w:rPr>
              <w:t>（</w:t>
            </w:r>
            <w:r>
              <w:rPr>
                <w:rFonts w:hint="eastAsia"/>
                <w:sz w:val="28"/>
                <w:lang w:val="en-US" w:eastAsia="zh-CN"/>
              </w:rPr>
              <w:t>征求意见稿</w:t>
            </w:r>
            <w:r>
              <w:rPr>
                <w:rFonts w:hint="eastAsia"/>
                <w:sz w:val="28"/>
              </w:rPr>
              <w:t>）</w:t>
            </w:r>
          </w:p>
        </w:tc>
        <w:tc>
          <w:tcPr>
            <w:tcW w:w="9855" w:type="dxa"/>
            <w:tcBorders>
              <w:top w:val="nil"/>
              <w:left w:val="nil"/>
              <w:bottom w:val="nil"/>
              <w:right w:val="nil"/>
            </w:tcBorders>
          </w:tcPr>
          <w:p>
            <w:pPr>
              <w:pStyle w:val="96"/>
              <w:framePr w:wrap="around" w:x="1276" w:y="6324"/>
            </w:pPr>
            <w:r>
              <w:rPr>
                <w:sz w:val="21"/>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3"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&#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2BZfxwkCAAAgBAAADgAAAAAAAAABACAAAAAk&#10;AQAAZHJzL2Uyb0RvYy54bWxQSwUGAAAAAAYABgBZAQAAnwUAAAAA&#10;">
                      <v:fill on="t" focussize="0,0"/>
                      <v:stroke on="f"/>
                      <v:imagedata o:title=""/>
                      <o:lock v:ext="edit" aspectratio="f"/>
                      <w10:anchorlock/>
                    </v:rect>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sON18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J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Ow43XwgCAAAgBAAADgAAAAAAAAABACAAAAAl&#10;AQAAZHJzL2Uyb0RvYy54bWxQSwUGAAAAAAYABgBZAQAAnwUAAAAA&#10;">
                      <v:fill on="t" focussize="0,0"/>
                      <v:stroke on="f"/>
                      <v:imagedata o:title=""/>
                      <o:lock v:ext="edit" aspectratio="f"/>
                    </v:rect>
                  </w:pict>
                </mc:Fallback>
              </mc:AlternateContent>
            </w:r>
            <w:r>
              <w:rPr>
                <w:sz w:val="21"/>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 w:name="LB"/>
            <w:r>
              <w:rPr>
                <w:sz w:val="21"/>
              </w:rPr>
              <w:instrText xml:space="preserve"> FORMDROPDOWN </w:instrText>
            </w:r>
            <w:r>
              <w:rPr>
                <w:sz w:val="21"/>
              </w:rPr>
              <w:fldChar w:fldCharType="separate"/>
            </w:r>
            <w:r>
              <w:rPr>
                <w:sz w:val="21"/>
              </w:rPr>
              <w:fldChar w:fldCharType="end"/>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1"/>
              <w:framePr w:wrap="around" w:x="1276" w:y="6324"/>
            </w:pPr>
          </w:p>
        </w:tc>
        <w:tc>
          <w:tcPr>
            <w:tcW w:w="9855" w:type="dxa"/>
            <w:tcBorders>
              <w:top w:val="nil"/>
              <w:left w:val="nil"/>
              <w:bottom w:val="nil"/>
              <w:right w:val="nil"/>
            </w:tcBorders>
          </w:tcPr>
          <w:p>
            <w:pPr>
              <w:pStyle w:val="131"/>
              <w:framePr w:wrap="around" w:x="1276" w:y="6324"/>
            </w:pPr>
            <w:bookmarkStart w:id="2" w:name="WCRQ"/>
            <w:r>
              <w:fldChar w:fldCharType="begin">
                <w:ffData>
                  <w:name w:val="WCRQ"/>
                  <w:enabled/>
                  <w:calcOnExit w:val="0"/>
                  <w:textInput/>
                </w:ffData>
              </w:fldChar>
            </w:r>
            <w:r>
              <w:instrText xml:space="preserve"> FORMTEXT </w:instrText>
            </w:r>
            <w:r>
              <w:fldChar w:fldCharType="separate"/>
            </w:r>
            <w:r>
              <w:rPr>
                <w:rFonts w:hint="eastAsia"/>
              </w:rPr>
              <w:t>201901</w:t>
            </w:r>
            <w:r>
              <w:fldChar w:fldCharType="end"/>
            </w:r>
            <w:bookmarkEnd w:id="2"/>
            <w:r>
              <w:rPr>
                <w:rFonts w:hint="eastAsia"/>
              </w:rPr>
              <w:t>18DFSDF</w:t>
            </w:r>
          </w:p>
        </w:tc>
      </w:tr>
    </w:tbl>
    <w:p>
      <w:pPr>
        <w:pStyle w:val="64"/>
        <w:framePr w:wrap="around" w:hAnchor="page" w:x="1698" w:y="14104"/>
      </w:pPr>
      <w:bookmarkStart w:id="3"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p>
    <w:p>
      <w:pPr>
        <w:pStyle w:val="150"/>
        <w:framePr w:wrap="around" w:hAnchor="page" w:x="6631" w:y="14089"/>
      </w:pPr>
      <w:bookmarkStart w:id="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103"/>
        <w:framePr w:wrap="around" w:x="2084" w:y="15049"/>
      </w:pPr>
      <w:r>
        <w:rPr>
          <w:rFonts w:hint="eastAsia"/>
        </w:rPr>
        <w:t>中国工程建设标准化协会</w:t>
      </w:r>
      <w:r>
        <w:rPr>
          <w:rFonts w:hint="eastAsia" w:ascii="MS Mincho" w:hAnsi="MS Mincho" w:eastAsia="MS Mincho" w:cs="MS Mincho"/>
        </w:rPr>
        <w:t>   </w:t>
      </w:r>
      <w:r>
        <w:rPr>
          <w:rStyle w:val="52"/>
          <w:rFonts w:hint="eastAsia"/>
        </w:rPr>
        <w:t>发布</w:t>
      </w:r>
    </w:p>
    <w:p>
      <w:pPr>
        <w:spacing w:before="640" w:after="560" w:line="460" w:lineRule="exact"/>
        <w:jc w:val="center"/>
        <w:rPr>
          <w:rFonts w:ascii="黑体" w:hAnsi="黑体" w:eastAsia="黑体"/>
          <w:sz w:val="32"/>
          <w:szCs w:val="32"/>
        </w:rPr>
        <w:sectPr>
          <w:headerReference r:id="rId4" w:type="first"/>
          <w:headerReference r:id="rId3" w:type="default"/>
          <w:footerReference r:id="rId5" w:type="default"/>
          <w:pgSz w:w="11906" w:h="16838"/>
          <w:pgMar w:top="567" w:right="1134" w:bottom="1134" w:left="1418" w:header="1418" w:footer="567" w:gutter="0"/>
          <w:pgNumType w:fmt="upperRoman" w:start="1"/>
          <w:cols w:space="720" w:num="1"/>
          <w:formProt w:val="0"/>
          <w:titlePg/>
          <w:docGrid w:type="lines" w:linePitch="312" w:charSpace="0"/>
        </w:sectPr>
      </w:pPr>
      <w:r>
        <mc:AlternateContent>
          <mc:Choice Requires="wps">
            <w:drawing>
              <wp:anchor distT="0" distB="0" distL="114300" distR="114300" simplePos="0" relativeHeight="251671552" behindDoc="0" locked="1" layoutInCell="1" allowOverlap="1">
                <wp:simplePos x="0" y="0"/>
                <wp:positionH relativeFrom="column">
                  <wp:posOffset>-17145</wp:posOffset>
                </wp:positionH>
                <wp:positionV relativeFrom="page">
                  <wp:posOffset>9251950</wp:posOffset>
                </wp:positionV>
                <wp:extent cx="612013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5pt;margin-top:728.5pt;height:0pt;width:481.9pt;mso-position-vertical-relative:page;z-index:251671552;mso-width-relative:page;mso-height-relative:page;" filled="f" stroked="t" coordsize="21600,21600" o:gfxdata="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uNmatYAAAAMAQAADwAAAAAAAAABACAAAAAiAAAAZHJzL2Rvd25yZXYueG1sUEsBAhQAFAAA&#10;AAgAh07iQExxaCXxAQAA6AMAAA4AAAAAAAAAAQAgAAAAJQEAAGRycy9lMm9Eb2MueG1sUEsFBgAA&#10;AAAGAAYAWQEAAIgFAAAAAA==&#10;">
                <v:fill on="f" focussize="0,0"/>
                <v:stroke color="#000000" joinstyle="round"/>
                <v:imagedata o:title=""/>
                <o:lock v:ext="edit" aspectratio="f"/>
                <w10:anchorlock/>
              </v:line>
            </w:pict>
          </mc:Fallback>
        </mc:AlternateContent>
      </w:r>
    </w:p>
    <w:p>
      <w:pPr>
        <w:spacing w:before="640" w:after="560" w:line="460" w:lineRule="exact"/>
        <w:jc w:val="center"/>
        <w:rPr>
          <w:rFonts w:ascii="黑体" w:hAnsi="黑体" w:eastAsia="黑体"/>
          <w:sz w:val="32"/>
          <w:szCs w:val="32"/>
        </w:rPr>
      </w:pPr>
      <w:r>
        <w:rPr>
          <w:rFonts w:hint="eastAsia" w:ascii="黑体" w:hAnsi="黑体" w:eastAsia="黑体"/>
          <w:sz w:val="32"/>
          <w:szCs w:val="32"/>
        </w:rPr>
        <w:t>目</w:t>
      </w:r>
      <w:r>
        <w:rPr>
          <w:rFonts w:hint="eastAsia" w:ascii="MS Mincho" w:hAnsi="MS Mincho" w:eastAsia="MS Mincho" w:cs="MS Mincho"/>
          <w:sz w:val="32"/>
          <w:szCs w:val="32"/>
        </w:rPr>
        <w:t>  </w:t>
      </w:r>
      <w:r>
        <w:rPr>
          <w:rFonts w:hint="eastAsia" w:ascii="黑体" w:hAnsi="黑体" w:eastAsia="黑体"/>
          <w:sz w:val="32"/>
          <w:szCs w:val="32"/>
        </w:rPr>
        <w:t>次</w:t>
      </w: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p>
    <w:p>
      <w:pPr>
        <w:tabs>
          <w:tab w:val="right" w:leader="dot" w:pos="9240"/>
        </w:tabs>
      </w:pPr>
      <w:r>
        <w:rPr>
          <w:rFonts w:hint="eastAsia"/>
        </w:rPr>
        <w:t>前言</w:t>
      </w:r>
      <w:r>
        <w:tab/>
      </w:r>
      <w:r>
        <w:fldChar w:fldCharType="begin"/>
      </w:r>
      <w:r>
        <w:instrText xml:space="preserve"> = 3 \* ROMAN \* MERGEFORMAT </w:instrText>
      </w:r>
      <w:r>
        <w:fldChar w:fldCharType="separate"/>
      </w:r>
      <w:r>
        <w:t>II</w:t>
      </w:r>
      <w:r>
        <w:fldChar w:fldCharType="end"/>
      </w:r>
    </w:p>
    <w:p>
      <w:pPr>
        <w:tabs>
          <w:tab w:val="right" w:leader="dot" w:pos="9240"/>
        </w:tabs>
      </w:pPr>
      <w:r>
        <w:fldChar w:fldCharType="begin"/>
      </w:r>
      <w:r>
        <w:instrText xml:space="preserve"> TOC \o "1-3" \h \z \u </w:instrText>
      </w:r>
      <w:r>
        <w:fldChar w:fldCharType="separate"/>
      </w:r>
      <w:r>
        <w:fldChar w:fldCharType="begin"/>
      </w:r>
      <w:r>
        <w:instrText xml:space="preserve"> HYPERLINK \l "_Toc532992114" </w:instrText>
      </w:r>
      <w:r>
        <w:fldChar w:fldCharType="separate"/>
      </w:r>
      <w:r>
        <w:rPr>
          <w:rFonts w:hint="eastAsia"/>
        </w:rPr>
        <w:t>1 范围</w:t>
      </w:r>
      <w:r>
        <w:tab/>
      </w:r>
      <w:r>
        <w:rPr>
          <w:rFonts w:hint="eastAsia"/>
        </w:rPr>
        <w:fldChar w:fldCharType="begin"/>
      </w:r>
      <w:r>
        <w:rPr>
          <w:rFonts w:hint="eastAsia"/>
        </w:rPr>
        <w:instrText xml:space="preserve"> PAGEREF _Toc532992114 \h </w:instrText>
      </w:r>
      <w:r>
        <w:rPr>
          <w:rFonts w:hint="eastAsia"/>
        </w:rPr>
        <w:fldChar w:fldCharType="separate"/>
      </w:r>
      <w:r>
        <w:rPr>
          <w:rFonts w:hint="eastAsia"/>
        </w:rPr>
        <w:t>1</w:t>
      </w:r>
      <w:r>
        <w:rPr>
          <w:rFonts w:hint="eastAsia"/>
        </w:rPr>
        <w:fldChar w:fldCharType="end"/>
      </w:r>
      <w:r>
        <w:rPr>
          <w:rFonts w:hint="eastAsia"/>
        </w:rPr>
        <w:fldChar w:fldCharType="end"/>
      </w:r>
    </w:p>
    <w:p>
      <w:pPr>
        <w:tabs>
          <w:tab w:val="right" w:leader="dot" w:pos="9240"/>
        </w:tabs>
      </w:pPr>
      <w:r>
        <w:fldChar w:fldCharType="begin"/>
      </w:r>
      <w:r>
        <w:instrText xml:space="preserve"> HYPERLINK \l "_Toc532992115" </w:instrText>
      </w:r>
      <w:r>
        <w:fldChar w:fldCharType="separate"/>
      </w:r>
      <w:r>
        <w:rPr>
          <w:rFonts w:hint="eastAsia"/>
        </w:rPr>
        <w:t>2 规范性引用文件</w:t>
      </w:r>
      <w:r>
        <w:tab/>
      </w:r>
      <w:r>
        <w:rPr>
          <w:rFonts w:hint="eastAsia"/>
        </w:rPr>
        <w:fldChar w:fldCharType="begin"/>
      </w:r>
      <w:r>
        <w:rPr>
          <w:rFonts w:hint="eastAsia"/>
        </w:rPr>
        <w:instrText xml:space="preserve"> PAGEREF _Toc532992115 \h </w:instrText>
      </w:r>
      <w:r>
        <w:rPr>
          <w:rFonts w:hint="eastAsia"/>
        </w:rPr>
        <w:fldChar w:fldCharType="separate"/>
      </w:r>
      <w:r>
        <w:rPr>
          <w:rFonts w:hint="eastAsia"/>
        </w:rPr>
        <w:t>1</w:t>
      </w:r>
      <w:r>
        <w:rPr>
          <w:rFonts w:hint="eastAsia"/>
        </w:rPr>
        <w:fldChar w:fldCharType="end"/>
      </w:r>
      <w:r>
        <w:rPr>
          <w:rFonts w:hint="eastAsia"/>
        </w:rPr>
        <w:fldChar w:fldCharType="end"/>
      </w:r>
    </w:p>
    <w:p>
      <w:pPr>
        <w:tabs>
          <w:tab w:val="right" w:leader="dot" w:pos="9240"/>
        </w:tabs>
      </w:pPr>
      <w:r>
        <w:fldChar w:fldCharType="begin"/>
      </w:r>
      <w:r>
        <w:instrText xml:space="preserve"> HYPERLINK \l "_Toc532992116" </w:instrText>
      </w:r>
      <w:r>
        <w:fldChar w:fldCharType="separate"/>
      </w:r>
      <w:r>
        <w:rPr>
          <w:rFonts w:hint="eastAsia"/>
        </w:rPr>
        <w:t>3 术语和定义</w:t>
      </w:r>
      <w:r>
        <w:tab/>
      </w:r>
      <w:r>
        <w:t>1</w:t>
      </w:r>
      <w:r>
        <w:fldChar w:fldCharType="end"/>
      </w:r>
    </w:p>
    <w:p>
      <w:pPr>
        <w:tabs>
          <w:tab w:val="right" w:leader="dot" w:pos="9240"/>
        </w:tabs>
      </w:pPr>
      <w:r>
        <w:fldChar w:fldCharType="begin"/>
      </w:r>
      <w:r>
        <w:instrText xml:space="preserve"> HYPERLINK \l "_Toc532992145" </w:instrText>
      </w:r>
      <w:r>
        <w:fldChar w:fldCharType="separate"/>
      </w:r>
      <w:r>
        <w:rPr>
          <w:rFonts w:hint="eastAsia"/>
        </w:rPr>
        <w:t>4 评价要求</w:t>
      </w:r>
      <w:r>
        <w:rPr>
          <w:rFonts w:hint="eastAsia"/>
        </w:rPr>
        <w:fldChar w:fldCharType="end"/>
      </w:r>
      <w:r>
        <w:tab/>
      </w:r>
      <w:r>
        <w:rPr>
          <w:rFonts w:hint="eastAsia"/>
        </w:rPr>
        <w:t>2</w:t>
      </w:r>
    </w:p>
    <w:p>
      <w:pPr>
        <w:tabs>
          <w:tab w:val="right" w:leader="dot" w:pos="9240"/>
        </w:tabs>
      </w:pPr>
      <w:r>
        <w:fldChar w:fldCharType="begin"/>
      </w:r>
      <w:r>
        <w:instrText xml:space="preserve"> HYPERLINK \l "_Toc532992148" </w:instrText>
      </w:r>
      <w:r>
        <w:fldChar w:fldCharType="separate"/>
      </w:r>
      <w:r>
        <w:rPr>
          <w:rFonts w:hint="eastAsia"/>
        </w:rPr>
        <w:t>5 评价方法</w:t>
      </w:r>
      <w:r>
        <w:rPr>
          <w:rFonts w:hint="eastAsia"/>
        </w:rPr>
        <w:fldChar w:fldCharType="end"/>
      </w:r>
      <w:r>
        <w:tab/>
      </w:r>
      <w:r>
        <w:rPr>
          <w:rFonts w:hint="eastAsia"/>
        </w:rPr>
        <w:t>4</w:t>
      </w:r>
    </w:p>
    <w:p>
      <w:pPr>
        <w:tabs>
          <w:tab w:val="right" w:leader="dot" w:pos="9240"/>
        </w:tabs>
      </w:pPr>
      <w:r>
        <w:rPr>
          <w:rFonts w:hint="eastAsia"/>
        </w:rPr>
        <w:t>附录A（规范性）产品可再生利用率拆解清单</w:t>
      </w:r>
      <w:r>
        <w:tab/>
      </w:r>
      <w:r>
        <w:rPr>
          <w:rFonts w:hint="eastAsia"/>
        </w:rPr>
        <w:t>5</w:t>
      </w:r>
    </w:p>
    <w:p>
      <w:pPr>
        <w:tabs>
          <w:tab w:val="right" w:leader="dot" w:pos="9240"/>
        </w:tabs>
      </w:pPr>
      <w:r>
        <w:rPr>
          <w:rFonts w:hint="eastAsia"/>
        </w:rPr>
        <w:t>附录B（规范性）产品功耗和回路电阻的计算方法</w:t>
      </w:r>
      <w:r>
        <w:tab/>
      </w:r>
      <w:r>
        <w:rPr>
          <w:rFonts w:hint="eastAsia"/>
        </w:rPr>
        <w:t>6</w:t>
      </w: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pPr>
    </w:p>
    <w:p>
      <w:pPr>
        <w:tabs>
          <w:tab w:val="right" w:leader="dot" w:pos="9240"/>
        </w:tabs>
        <w:sectPr>
          <w:footerReference r:id="rId7" w:type="first"/>
          <w:footerReference r:id="rId6" w:type="default"/>
          <w:pgSz w:w="11906" w:h="16838"/>
          <w:pgMar w:top="567" w:right="1134" w:bottom="1134" w:left="1418" w:header="1418" w:footer="567" w:gutter="0"/>
          <w:pgNumType w:fmt="upperRoman" w:start="1"/>
          <w:cols w:space="720" w:num="1"/>
          <w:formProt w:val="0"/>
          <w:docGrid w:type="lines" w:linePitch="312" w:charSpace="0"/>
        </w:sectPr>
      </w:pPr>
    </w:p>
    <w:p>
      <w:pPr>
        <w:pStyle w:val="111"/>
        <w:keepLines w:val="0"/>
        <w:shd w:val="clear" w:color="FFFFFF" w:fill="FFFFFF"/>
        <w:tabs>
          <w:tab w:val="right" w:leader="dot" w:pos="9240"/>
        </w:tabs>
        <w:kinsoku/>
        <w:wordWrap/>
        <w:overflowPunct/>
        <w:topLinePunct w:val="0"/>
        <w:autoSpaceDE/>
        <w:autoSpaceDN/>
        <w:bidi w:val="0"/>
        <w:adjustRightInd/>
        <w:snapToGrid/>
        <w:textAlignment w:val="auto"/>
        <w:outlineLvl w:val="9"/>
      </w:pPr>
      <w:r>
        <w:rPr>
          <w:rFonts w:hint="eastAsia"/>
        </w:rPr>
        <w:t>前</w:t>
      </w:r>
      <w:bookmarkStart w:id="8" w:name="BKQY"/>
      <w:r>
        <w:rPr>
          <w:rFonts w:hint="eastAsia"/>
        </w:rPr>
        <w:t>  言</w:t>
      </w:r>
      <w:bookmarkEnd w:id="8"/>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w:t>
      </w:r>
      <w:r>
        <w:rPr>
          <w:rFonts w:hint="eastAsia" w:cs="宋体"/>
          <w:color w:val="000000"/>
          <w:lang w:val="en-US" w:eastAsia="zh-CN"/>
        </w:rPr>
        <w:t>21</w:t>
      </w:r>
      <w:r>
        <w:rPr>
          <w:rFonts w:hint="eastAsia" w:cs="宋体"/>
          <w:color w:val="000000"/>
        </w:rPr>
        <w:t>年第</w:t>
      </w:r>
      <w:r>
        <w:rPr>
          <w:rFonts w:hint="eastAsia" w:cs="宋体"/>
          <w:color w:val="000000"/>
          <w:lang w:val="en-US" w:eastAsia="zh-CN"/>
        </w:rPr>
        <w:t>一</w:t>
      </w:r>
      <w:r>
        <w:rPr>
          <w:rFonts w:hint="eastAsia" w:cs="宋体"/>
          <w:color w:val="000000"/>
        </w:rPr>
        <w:t>批</w:t>
      </w:r>
      <w:r>
        <w:rPr>
          <w:rFonts w:hint="eastAsia" w:cs="宋体"/>
          <w:color w:val="000000"/>
          <w:lang w:val="en-US" w:eastAsia="zh-CN"/>
        </w:rPr>
        <w:t>协会</w:t>
      </w:r>
      <w:r>
        <w:rPr>
          <w:rFonts w:hint="eastAsia" w:cs="宋体"/>
          <w:color w:val="000000"/>
        </w:rPr>
        <w:t>标准</w:t>
      </w:r>
      <w:r>
        <w:rPr>
          <w:rFonts w:hint="eastAsia" w:cs="宋体"/>
          <w:color w:val="000000"/>
          <w:lang w:val="en-US" w:eastAsia="zh-CN"/>
        </w:rPr>
        <w:t>制定、修订</w:t>
      </w:r>
      <w:r>
        <w:rPr>
          <w:rFonts w:hint="eastAsia" w:cs="宋体"/>
          <w:color w:val="000000"/>
        </w:rPr>
        <w:t>计划&gt;的通知》（建标协字〔20</w:t>
      </w:r>
      <w:r>
        <w:rPr>
          <w:rFonts w:hint="eastAsia" w:cs="宋体"/>
          <w:color w:val="000000"/>
          <w:lang w:val="en-US" w:eastAsia="zh-CN"/>
        </w:rPr>
        <w:t>21</w:t>
      </w:r>
      <w:r>
        <w:rPr>
          <w:rFonts w:hint="eastAsia" w:cs="宋体"/>
          <w:color w:val="000000"/>
        </w:rPr>
        <w:t>〕</w:t>
      </w:r>
      <w:r>
        <w:rPr>
          <w:rFonts w:hint="eastAsia" w:cs="宋体"/>
          <w:color w:val="000000"/>
          <w:lang w:val="en-US" w:eastAsia="zh-CN"/>
        </w:rPr>
        <w:t>11</w:t>
      </w:r>
      <w:r>
        <w:rPr>
          <w:rFonts w:hint="eastAsia" w:cs="宋体"/>
          <w:color w:val="000000"/>
        </w:rPr>
        <w:t>号）的要求制定。</w:t>
      </w:r>
    </w:p>
    <w:p>
      <w:pPr>
        <w:pStyle w:val="26"/>
      </w:pPr>
      <w:r>
        <w:t>本文件的某些内容可能涉及专利。本文件的发布机构不承担识别这些专利的责任。</w:t>
      </w:r>
    </w:p>
    <w:p>
      <w:pPr>
        <w:pStyle w:val="26"/>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w:t>
      </w:r>
      <w:bookmarkStart w:id="66" w:name="_GoBack"/>
      <w:bookmarkEnd w:id="66"/>
      <w:r>
        <w:rPr>
          <w:rFonts w:hint="eastAsia" w:ascii="Times New Roman"/>
          <w:color w:val="000000"/>
        </w:rPr>
        <w:t>出。</w:t>
      </w:r>
    </w:p>
    <w:p>
      <w:pPr>
        <w:pStyle w:val="26"/>
        <w:rPr>
          <w:rFonts w:ascii="Times New Roman"/>
        </w:rPr>
      </w:pPr>
      <w:r>
        <w:rPr>
          <w:rFonts w:hint="eastAsia"/>
          <w:color w:val="000000"/>
        </w:rPr>
        <w:t>本文件由中国工程建设标准化协会绿色建筑与生态城区分会归口管理</w:t>
      </w:r>
      <w:r>
        <w:rPr>
          <w:rFonts w:ascii="Times New Roman"/>
        </w:rPr>
        <w:t>。</w:t>
      </w:r>
    </w:p>
    <w:p>
      <w:pPr>
        <w:pStyle w:val="26"/>
      </w:pPr>
      <w:r>
        <w:rPr>
          <w:rFonts w:hint="eastAsia"/>
        </w:rPr>
        <w:t>本文件负责起草单位：住房和城乡建设部科技与产业化发展中心。</w:t>
      </w:r>
    </w:p>
    <w:p>
      <w:pPr>
        <w:pStyle w:val="11"/>
        <w:keepLines w:val="0"/>
        <w:tabs>
          <w:tab w:val="right" w:leader="dot" w:pos="9240"/>
        </w:tabs>
        <w:kinsoku/>
        <w:wordWrap/>
        <w:overflowPunct/>
        <w:topLinePunct w:val="0"/>
        <w:autoSpaceDE/>
        <w:autoSpaceDN/>
        <w:bidi w:val="0"/>
        <w:adjustRightInd/>
        <w:snapToGrid/>
        <w:ind w:firstLine="444" w:firstLineChars="200"/>
        <w:textAlignment w:val="auto"/>
        <w:rPr>
          <w:rFonts w:hint="eastAsia" w:ascii="Times New Roman" w:hAnsi="Times New Roman" w:eastAsia="宋体" w:cs="Times New Roman"/>
          <w:spacing w:val="6"/>
          <w:kern w:val="0"/>
          <w:sz w:val="21"/>
        </w:rPr>
      </w:pPr>
      <w:r>
        <w:rPr>
          <w:rFonts w:hint="eastAsia" w:ascii="Times New Roman" w:hAnsi="Times New Roman" w:eastAsia="宋体" w:cs="Times New Roman"/>
          <w:spacing w:val="6"/>
          <w:kern w:val="0"/>
          <w:sz w:val="21"/>
        </w:rPr>
        <w:t>本文件参加起草单位：中国质量认证中心</w:t>
      </w:r>
    </w:p>
    <w:p>
      <w:pPr>
        <w:pStyle w:val="11"/>
        <w:keepLines w:val="0"/>
        <w:tabs>
          <w:tab w:val="right" w:leader="dot" w:pos="9240"/>
        </w:tabs>
        <w:kinsoku/>
        <w:wordWrap/>
        <w:overflowPunct/>
        <w:topLinePunct w:val="0"/>
        <w:autoSpaceDE/>
        <w:autoSpaceDN/>
        <w:bidi w:val="0"/>
        <w:adjustRightInd/>
        <w:snapToGrid/>
        <w:ind w:firstLine="444" w:firstLineChars="200"/>
        <w:textAlignment w:val="auto"/>
        <w:rPr>
          <w:rFonts w:hint="eastAsia" w:ascii="Times New Roman" w:hAnsi="Times New Roman" w:eastAsia="宋体" w:cs="Times New Roman"/>
          <w:spacing w:val="6"/>
          <w:kern w:val="0"/>
          <w:sz w:val="21"/>
        </w:rPr>
      </w:pPr>
      <w:r>
        <w:rPr>
          <w:rFonts w:hint="eastAsia" w:ascii="Times New Roman" w:hAnsi="Times New Roman" w:eastAsia="宋体" w:cs="Times New Roman"/>
          <w:spacing w:val="6"/>
          <w:kern w:val="0"/>
          <w:sz w:val="21"/>
        </w:rPr>
        <w:t>本文件主要起草人：</w:t>
      </w:r>
    </w:p>
    <w:p>
      <w:pPr>
        <w:pStyle w:val="11"/>
        <w:keepLines w:val="0"/>
        <w:tabs>
          <w:tab w:val="right" w:leader="dot" w:pos="9240"/>
        </w:tabs>
        <w:kinsoku/>
        <w:wordWrap/>
        <w:overflowPunct/>
        <w:topLinePunct w:val="0"/>
        <w:autoSpaceDE/>
        <w:autoSpaceDN/>
        <w:bidi w:val="0"/>
        <w:adjustRightInd/>
        <w:snapToGrid/>
        <w:ind w:firstLine="444" w:firstLineChars="200"/>
        <w:textAlignment w:val="auto"/>
      </w:pPr>
      <w:r>
        <w:rPr>
          <w:rFonts w:hint="eastAsia" w:ascii="Times New Roman" w:hAnsi="Times New Roman" w:eastAsia="宋体" w:cs="Times New Roman"/>
          <w:spacing w:val="6"/>
          <w:kern w:val="0"/>
          <w:sz w:val="21"/>
        </w:rPr>
        <w:t>本文件主要审查人</w:t>
      </w:r>
      <w:r>
        <w:rPr>
          <w:rFonts w:hint="eastAsia"/>
        </w:rPr>
        <w:t>：</w:t>
      </w:r>
    </w:p>
    <w:p>
      <w:pPr>
        <w:tabs>
          <w:tab w:val="right" w:leader="dot" w:pos="9240"/>
        </w:tabs>
      </w:pPr>
    </w:p>
    <w:p>
      <w:pPr>
        <w:tabs>
          <w:tab w:val="right" w:leader="dot" w:pos="9240"/>
        </w:tabs>
        <w:rPr>
          <w:rStyle w:val="41"/>
          <w:rFonts w:ascii="MS Mincho" w:hAnsi="MS Mincho" w:eastAsia="MS Mincho"/>
        </w:rPr>
      </w:pPr>
      <w:r>
        <w:fldChar w:fldCharType="end"/>
      </w:r>
    </w:p>
    <w:p>
      <w:pPr>
        <w:pStyle w:val="31"/>
        <w:rPr>
          <w:rStyle w:val="41"/>
          <w:rFonts w:ascii="MS Mincho" w:hAnsi="MS Mincho" w:eastAsia="MS Mincho"/>
        </w:rPr>
      </w:pPr>
    </w:p>
    <w:p>
      <w:pPr>
        <w:pStyle w:val="22"/>
        <w:spacing w:before="78" w:after="78"/>
        <w:sectPr>
          <w:footerReference r:id="rId8" w:type="default"/>
          <w:pgSz w:w="11906" w:h="16838"/>
          <w:pgMar w:top="567" w:right="1134" w:bottom="1134" w:left="1418" w:header="1418" w:footer="567" w:gutter="0"/>
          <w:pgNumType w:fmt="upperRoman" w:start="3"/>
          <w:cols w:space="720" w:num="1"/>
          <w:formProt w:val="0"/>
          <w:docGrid w:type="lines" w:linePitch="312" w:charSpace="0"/>
        </w:sectPr>
      </w:pPr>
      <w:r>
        <w:rPr>
          <w:rFonts w:ascii="MS Mincho" w:hAnsi="MS Mincho" w:eastAsia="MS Mincho"/>
        </w:rPr>
        <w:fldChar w:fldCharType="end"/>
      </w:r>
    </w:p>
    <w:p>
      <w:pPr>
        <w:pStyle w:val="82"/>
      </w:pPr>
      <w:bookmarkStart w:id="9" w:name="_Toc532992113"/>
      <w:r>
        <w:rPr>
          <w:rFonts w:hint="eastAsia" w:cs="黑体"/>
          <w:sz w:val="36"/>
          <w:szCs w:val="36"/>
        </w:rPr>
        <w:t xml:space="preserve">绿色建材评价 </w:t>
      </w:r>
      <w:bookmarkEnd w:id="9"/>
      <w:r>
        <w:rPr>
          <w:rFonts w:cs="黑体"/>
          <w:sz w:val="36"/>
          <w:szCs w:val="36"/>
        </w:rPr>
        <w:t xml:space="preserve"> </w:t>
      </w:r>
      <w:r>
        <w:rPr>
          <w:rFonts w:hint="eastAsia" w:cs="黑体"/>
          <w:sz w:val="36"/>
          <w:szCs w:val="36"/>
        </w:rPr>
        <w:t>低压开关柜</w:t>
      </w:r>
    </w:p>
    <w:p>
      <w:pPr>
        <w:pStyle w:val="85"/>
        <w:outlineLvl w:val="0"/>
      </w:pPr>
      <w:bookmarkStart w:id="10" w:name="_Toc532992114"/>
      <w:bookmarkStart w:id="11" w:name="_Toc524004350"/>
      <w:bookmarkStart w:id="12" w:name="_Toc524004771"/>
      <w:r>
        <w:rPr>
          <w:rFonts w:hint="eastAsia"/>
        </w:rPr>
        <w:t>范围</w:t>
      </w:r>
      <w:bookmarkEnd w:id="10"/>
      <w:bookmarkEnd w:id="11"/>
      <w:bookmarkEnd w:id="12"/>
    </w:p>
    <w:p>
      <w:pPr>
        <w:autoSpaceDE w:val="0"/>
        <w:autoSpaceDN w:val="0"/>
        <w:ind w:firstLine="420" w:firstLineChars="200"/>
        <w:rPr>
          <w:rFonts w:ascii="宋体" w:hAnsi="宋体"/>
          <w:szCs w:val="21"/>
        </w:rPr>
      </w:pPr>
      <w:r>
        <w:rPr>
          <w:rFonts w:hint="eastAsia"/>
        </w:rPr>
        <w:t>本文件规定了低压开关柜绿色建材评价的术语和定义、评价要求和评价方法</w:t>
      </w:r>
      <w:r>
        <w:rPr>
          <w:rFonts w:ascii="宋体" w:hAnsi="宋体"/>
          <w:szCs w:val="21"/>
        </w:rPr>
        <w:t>。</w:t>
      </w:r>
    </w:p>
    <w:p>
      <w:pPr>
        <w:autoSpaceDE w:val="0"/>
        <w:autoSpaceDN w:val="0"/>
        <w:ind w:firstLine="420" w:firstLineChars="200"/>
      </w:pPr>
      <w:r>
        <w:rPr>
          <w:rFonts w:hint="eastAsia"/>
        </w:rPr>
        <w:t>本文件适用于额定电压交流不超过1000V（1140V的设备可参照采用）（直流不超过1500V）的低压成套开关设备和控制设备的绿色建材评价。</w:t>
      </w:r>
    </w:p>
    <w:p>
      <w:pPr>
        <w:pStyle w:val="85"/>
        <w:outlineLvl w:val="0"/>
      </w:pPr>
      <w:bookmarkStart w:id="13" w:name="_Toc524004351"/>
      <w:bookmarkStart w:id="14" w:name="_Toc532992115"/>
      <w:bookmarkStart w:id="15" w:name="_Toc524004772"/>
      <w:r>
        <w:rPr>
          <w:rFonts w:hint="eastAsia"/>
        </w:rPr>
        <w:t>规范性引用文件</w:t>
      </w:r>
      <w:bookmarkEnd w:id="13"/>
      <w:bookmarkEnd w:id="14"/>
      <w:bookmarkEnd w:id="15"/>
    </w:p>
    <w:p>
      <w:pPr>
        <w:pStyle w:val="11"/>
        <w:ind w:firstLine="420" w:firstLineChars="200"/>
      </w:pPr>
      <w:r>
        <w:rPr>
          <w:rFonts w:hint="eastAsia"/>
          <w:szCs w:val="24"/>
        </w:rPr>
        <w:t>下列文件对于本文件的应用是必不可少的。凡是注日期的引用文件，仅注日期的版本适用于本文件。凡是不注日期的引用文件，其最新版本（包括所有的修改单）适用于本文件。</w:t>
      </w:r>
    </w:p>
    <w:p>
      <w:pPr>
        <w:pStyle w:val="11"/>
        <w:ind w:firstLine="420" w:firstLineChars="200"/>
      </w:pPr>
      <w:r>
        <w:rPr>
          <w:rFonts w:hint="eastAsia"/>
        </w:rPr>
        <w:t>GB/T 191     包装储运图示标志</w:t>
      </w:r>
    </w:p>
    <w:p>
      <w:pPr>
        <w:pStyle w:val="11"/>
        <w:ind w:firstLine="420" w:firstLineChars="200"/>
      </w:pPr>
      <w:r>
        <w:rPr>
          <w:rFonts w:hint="eastAsia"/>
        </w:rPr>
        <w:t>GB/T 7251.3  低压成套开关设备和控制设备 第3部分 由一般人员操作的配电板（DBO）</w:t>
      </w:r>
    </w:p>
    <w:p>
      <w:pPr>
        <w:pStyle w:val="11"/>
        <w:ind w:firstLine="420" w:firstLineChars="200"/>
      </w:pPr>
      <w:r>
        <w:rPr>
          <w:rFonts w:hint="eastAsia"/>
        </w:rPr>
        <w:t>GB/T 7251.12 低压成套开关设备和控制设备 第2部分 成套电力开关和控制设备</w:t>
      </w:r>
    </w:p>
    <w:p>
      <w:pPr>
        <w:pStyle w:val="11"/>
        <w:ind w:firstLine="420" w:firstLineChars="200"/>
      </w:pPr>
      <w:r>
        <w:rPr>
          <w:rFonts w:hint="eastAsia"/>
        </w:rPr>
        <w:t>GB/T 10233   低压成套开关设备和电控设备基本试验方法</w:t>
      </w:r>
    </w:p>
    <w:p>
      <w:pPr>
        <w:pStyle w:val="11"/>
        <w:ind w:firstLine="420" w:firstLineChars="200"/>
      </w:pPr>
      <w:r>
        <w:rPr>
          <w:rFonts w:hint="eastAsia"/>
        </w:rPr>
        <w:t>GB/T 18455   包装回收标志</w:t>
      </w:r>
    </w:p>
    <w:p>
      <w:pPr>
        <w:pStyle w:val="11"/>
        <w:ind w:firstLine="420" w:firstLineChars="200"/>
      </w:pPr>
      <w:r>
        <w:rPr>
          <w:rFonts w:hint="eastAsia"/>
        </w:rPr>
        <w:t>GB/T 18597   危险废物贮存污染控制标准</w:t>
      </w:r>
    </w:p>
    <w:p>
      <w:pPr>
        <w:pStyle w:val="11"/>
        <w:ind w:firstLine="420" w:firstLineChars="200"/>
      </w:pPr>
      <w:r>
        <w:rPr>
          <w:rFonts w:hint="eastAsia"/>
        </w:rPr>
        <w:t>GB/T 18599   一般工业固体废物贮存和填埋污染控制标准</w:t>
      </w:r>
    </w:p>
    <w:p>
      <w:pPr>
        <w:pStyle w:val="11"/>
        <w:ind w:firstLine="420" w:firstLineChars="200"/>
      </w:pPr>
      <w:r>
        <w:rPr>
          <w:rFonts w:hint="eastAsia"/>
        </w:rPr>
        <w:t>GB/T 19001   质量管理体系 要求</w:t>
      </w:r>
    </w:p>
    <w:p>
      <w:pPr>
        <w:pStyle w:val="11"/>
        <w:ind w:firstLine="420" w:firstLineChars="200"/>
      </w:pPr>
      <w:r>
        <w:rPr>
          <w:rFonts w:hint="eastAsia"/>
        </w:rPr>
        <w:t>GB/T 20862   产品可回收利用率计算方法导则</w:t>
      </w:r>
    </w:p>
    <w:p>
      <w:pPr>
        <w:pStyle w:val="11"/>
        <w:ind w:firstLine="420" w:firstLineChars="200"/>
      </w:pPr>
      <w:r>
        <w:rPr>
          <w:rFonts w:hint="eastAsia"/>
        </w:rPr>
        <w:t>GB/T 23331   能源管理体系 要求及使用指南</w:t>
      </w:r>
    </w:p>
    <w:p>
      <w:pPr>
        <w:pStyle w:val="11"/>
        <w:ind w:firstLine="420" w:firstLineChars="200"/>
      </w:pPr>
      <w:r>
        <w:rPr>
          <w:rFonts w:hint="eastAsia"/>
        </w:rPr>
        <w:t>GB/T 24001   环境管理体系 要求及使用指南</w:t>
      </w:r>
    </w:p>
    <w:p>
      <w:pPr>
        <w:pStyle w:val="11"/>
        <w:ind w:firstLine="420" w:firstLineChars="200"/>
      </w:pPr>
      <w:r>
        <w:rPr>
          <w:rFonts w:hint="eastAsia"/>
        </w:rPr>
        <w:t>GB T 24025   环境标志和声明 Ⅲ型环境声明 原则和程序</w:t>
      </w:r>
    </w:p>
    <w:p>
      <w:pPr>
        <w:pStyle w:val="11"/>
        <w:ind w:firstLine="420" w:firstLineChars="200"/>
      </w:pPr>
      <w:r>
        <w:rPr>
          <w:rFonts w:hint="eastAsia"/>
        </w:rPr>
        <w:t>GB/T 24256   产品生态设计通则</w:t>
      </w:r>
    </w:p>
    <w:p>
      <w:pPr>
        <w:pStyle w:val="11"/>
        <w:ind w:firstLine="420" w:firstLineChars="200"/>
      </w:pPr>
      <w:r>
        <w:rPr>
          <w:rFonts w:hint="eastAsia"/>
        </w:rPr>
        <w:t>GB/T 45001   职业健康安全管理体系 要求及使用指南</w:t>
      </w:r>
    </w:p>
    <w:p>
      <w:pPr>
        <w:pStyle w:val="11"/>
        <w:ind w:firstLine="420" w:firstLineChars="200"/>
      </w:pPr>
      <w:r>
        <w:rPr>
          <w:rFonts w:hint="eastAsia"/>
        </w:rPr>
        <w:t>GB/T 31268   限制商品过度包装通则</w:t>
      </w:r>
    </w:p>
    <w:p>
      <w:pPr>
        <w:pStyle w:val="85"/>
        <w:outlineLvl w:val="0"/>
        <w:rPr>
          <w:bCs/>
          <w:color w:val="000000"/>
          <w:szCs w:val="21"/>
        </w:rPr>
      </w:pPr>
      <w:bookmarkStart w:id="16" w:name="_Toc524004352"/>
      <w:bookmarkEnd w:id="16"/>
      <w:bookmarkStart w:id="17" w:name="_Toc521666152"/>
      <w:bookmarkStart w:id="18" w:name="_Toc524004773"/>
      <w:bookmarkStart w:id="19" w:name="_Toc511069681"/>
      <w:bookmarkStart w:id="20" w:name="_Toc509139383"/>
      <w:bookmarkStart w:id="21" w:name="_Toc519084143"/>
      <w:bookmarkStart w:id="22" w:name="_Toc532992116"/>
      <w:bookmarkStart w:id="23" w:name="_Toc509984954"/>
      <w:r>
        <w:rPr>
          <w:rFonts w:hint="eastAsia"/>
          <w:bCs/>
          <w:color w:val="000000"/>
          <w:szCs w:val="21"/>
        </w:rPr>
        <w:t>术语和定义</w:t>
      </w:r>
      <w:bookmarkEnd w:id="17"/>
      <w:bookmarkEnd w:id="18"/>
      <w:bookmarkEnd w:id="19"/>
      <w:bookmarkEnd w:id="20"/>
      <w:bookmarkEnd w:id="21"/>
      <w:bookmarkEnd w:id="22"/>
      <w:bookmarkEnd w:id="23"/>
    </w:p>
    <w:p>
      <w:pPr>
        <w:pStyle w:val="26"/>
        <w:rPr>
          <w:color w:val="000000"/>
        </w:rPr>
      </w:pPr>
      <w:r>
        <w:rPr>
          <w:rFonts w:hint="eastAsia"/>
          <w:color w:val="000000"/>
        </w:rPr>
        <w:t>下列术语和定义适用于本文件。</w:t>
      </w:r>
    </w:p>
    <w:p>
      <w:pPr>
        <w:pStyle w:val="50"/>
        <w:numPr>
          <w:ilvl w:val="1"/>
          <w:numId w:val="18"/>
        </w:numPr>
      </w:pPr>
      <w:bookmarkStart w:id="24" w:name="_Toc509139384"/>
      <w:bookmarkEnd w:id="24"/>
      <w:bookmarkStart w:id="25" w:name="_Toc519084144"/>
      <w:bookmarkEnd w:id="25"/>
      <w:bookmarkStart w:id="26" w:name="_Toc511069682"/>
      <w:bookmarkEnd w:id="26"/>
      <w:bookmarkStart w:id="27" w:name="_Toc524004774"/>
      <w:bookmarkEnd w:id="27"/>
      <w:bookmarkStart w:id="28" w:name="_Toc509984955"/>
      <w:bookmarkEnd w:id="28"/>
      <w:bookmarkStart w:id="29" w:name="_Toc532992117"/>
      <w:bookmarkEnd w:id="29"/>
      <w:bookmarkStart w:id="30" w:name="_Toc521666153"/>
      <w:bookmarkEnd w:id="30"/>
    </w:p>
    <w:p>
      <w:pPr>
        <w:widowControl/>
        <w:tabs>
          <w:tab w:val="center" w:pos="4201"/>
          <w:tab w:val="right" w:leader="dot" w:pos="9298"/>
        </w:tabs>
        <w:autoSpaceDE w:val="0"/>
        <w:autoSpaceDN w:val="0"/>
        <w:ind w:firstLine="420" w:firstLineChars="200"/>
        <w:rPr>
          <w:sz w:val="24"/>
        </w:rPr>
      </w:pPr>
      <w:r>
        <w:rPr>
          <w:rFonts w:eastAsia="黑体"/>
        </w:rPr>
        <w:t>绿色建材  green building material</w:t>
      </w:r>
    </w:p>
    <w:p>
      <w:pPr>
        <w:widowControl/>
        <w:tabs>
          <w:tab w:val="center" w:pos="4201"/>
          <w:tab w:val="right" w:leader="dot" w:pos="9298"/>
        </w:tabs>
        <w:autoSpaceDE w:val="0"/>
        <w:autoSpaceDN w:val="0"/>
        <w:ind w:firstLine="420" w:firstLineChars="200"/>
        <w:rPr>
          <w:kern w:val="0"/>
          <w:szCs w:val="20"/>
        </w:rPr>
      </w:pPr>
      <w:r>
        <w:rPr>
          <w:kern w:val="0"/>
          <w:szCs w:val="20"/>
        </w:rPr>
        <w:t>在全生命周期内可减少对天然资源消耗和减轻对生态环境影响，具有“节能、减排、安全、便利和可循环”特征的建材产品。</w:t>
      </w:r>
    </w:p>
    <w:p>
      <w:pPr>
        <w:pStyle w:val="50"/>
        <w:numPr>
          <w:ilvl w:val="1"/>
          <w:numId w:val="18"/>
        </w:numPr>
      </w:pPr>
      <w:bookmarkStart w:id="31" w:name="_Toc524004775"/>
      <w:bookmarkEnd w:id="31"/>
      <w:bookmarkStart w:id="32" w:name="_Toc519084145"/>
      <w:bookmarkEnd w:id="32"/>
      <w:bookmarkStart w:id="33" w:name="_Toc521666154"/>
      <w:bookmarkEnd w:id="33"/>
      <w:bookmarkStart w:id="34" w:name="_Toc511069683"/>
      <w:bookmarkEnd w:id="34"/>
      <w:bookmarkStart w:id="35" w:name="_Toc532992118"/>
      <w:bookmarkEnd w:id="35"/>
    </w:p>
    <w:p>
      <w:pPr>
        <w:widowControl/>
        <w:tabs>
          <w:tab w:val="center" w:pos="4201"/>
          <w:tab w:val="right" w:leader="dot" w:pos="9298"/>
        </w:tabs>
        <w:autoSpaceDE w:val="0"/>
        <w:autoSpaceDN w:val="0"/>
        <w:ind w:firstLine="420" w:firstLineChars="200"/>
        <w:rPr>
          <w:rFonts w:eastAsia="黑体"/>
        </w:rPr>
      </w:pPr>
      <w:r>
        <w:rPr>
          <w:rFonts w:hint="eastAsia" w:eastAsia="黑体"/>
        </w:rPr>
        <w:t xml:space="preserve">绿色建材评价 </w:t>
      </w:r>
      <w:r>
        <w:rPr>
          <w:rFonts w:eastAsia="黑体"/>
        </w:rPr>
        <w:t>green building material</w:t>
      </w:r>
      <w:r>
        <w:rPr>
          <w:rFonts w:hint="eastAsia" w:eastAsia="黑体"/>
        </w:rPr>
        <w:t xml:space="preserve"> a</w:t>
      </w:r>
      <w:r>
        <w:rPr>
          <w:rFonts w:eastAsia="黑体"/>
        </w:rPr>
        <w:t xml:space="preserve">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50"/>
        <w:numPr>
          <w:ilvl w:val="1"/>
          <w:numId w:val="18"/>
        </w:numPr>
      </w:pPr>
      <w:bookmarkStart w:id="36" w:name="_Toc532992119"/>
      <w:bookmarkEnd w:id="36"/>
    </w:p>
    <w:p>
      <w:pPr>
        <w:widowControl/>
        <w:tabs>
          <w:tab w:val="center" w:pos="4201"/>
          <w:tab w:val="right" w:leader="dot" w:pos="9298"/>
        </w:tabs>
        <w:autoSpaceDE w:val="0"/>
        <w:autoSpaceDN w:val="0"/>
        <w:ind w:firstLine="420" w:firstLineChars="200"/>
        <w:rPr>
          <w:rFonts w:eastAsia="黑体"/>
        </w:rPr>
      </w:pPr>
      <w:r>
        <w:rPr>
          <w:rFonts w:hint="eastAsia" w:eastAsia="黑体"/>
        </w:rPr>
        <w:t>评价等级 a</w:t>
      </w:r>
      <w:r>
        <w:rPr>
          <w:rFonts w:eastAsia="黑体"/>
        </w:rPr>
        <w:t>ssessment</w:t>
      </w:r>
      <w:r>
        <w:rPr>
          <w:rFonts w:hint="eastAsia" w:eastAsia="黑体"/>
        </w:rPr>
        <w:t xml:space="preserve">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50"/>
        <w:numPr>
          <w:ilvl w:val="1"/>
          <w:numId w:val="18"/>
        </w:numPr>
      </w:pPr>
      <w:bookmarkStart w:id="37" w:name="_Toc532992120"/>
      <w:bookmarkEnd w:id="37"/>
    </w:p>
    <w:p>
      <w:pPr>
        <w:widowControl/>
        <w:tabs>
          <w:tab w:val="center" w:pos="4201"/>
          <w:tab w:val="right" w:leader="dot" w:pos="9298"/>
        </w:tabs>
        <w:autoSpaceDE w:val="0"/>
        <w:autoSpaceDN w:val="0"/>
        <w:ind w:firstLine="420"/>
        <w:rPr>
          <w:rFonts w:eastAsia="黑体"/>
        </w:rPr>
      </w:pPr>
      <w:r>
        <w:rPr>
          <w:rFonts w:eastAsia="黑体"/>
        </w:rPr>
        <w:t>环境产品声明</w:t>
      </w:r>
      <w:r>
        <w:rPr>
          <w:rFonts w:hint="eastAsia" w:eastAsia="黑体"/>
        </w:rPr>
        <w:t xml:space="preserve">（EPD） </w:t>
      </w:r>
      <w:r>
        <w:rPr>
          <w:rFonts w:eastAsia="黑体"/>
        </w:rPr>
        <w:t>environmental product declaration</w:t>
      </w:r>
    </w:p>
    <w:p>
      <w:pPr>
        <w:pStyle w:val="26"/>
        <w:rPr>
          <w:rFonts w:ascii="Times New Roman"/>
        </w:rPr>
      </w:pPr>
      <w:r>
        <w:rPr>
          <w:rFonts w:ascii="Times New Roman"/>
        </w:rPr>
        <w:t>提供基于预设参数的量化环境数据的环境声明，必要时包括附加环境信息。</w:t>
      </w:r>
    </w:p>
    <w:p>
      <w:pPr>
        <w:pStyle w:val="50"/>
        <w:numPr>
          <w:ilvl w:val="1"/>
          <w:numId w:val="18"/>
        </w:numPr>
        <w:rPr>
          <w:color w:val="000000"/>
        </w:rPr>
      </w:pPr>
      <w:bookmarkStart w:id="38" w:name="_Toc532992121"/>
      <w:bookmarkEnd w:id="38"/>
    </w:p>
    <w:p>
      <w:pPr>
        <w:widowControl/>
        <w:tabs>
          <w:tab w:val="center" w:pos="4201"/>
          <w:tab w:val="right" w:leader="dot" w:pos="9298"/>
        </w:tabs>
        <w:autoSpaceDE w:val="0"/>
        <w:autoSpaceDN w:val="0"/>
        <w:ind w:firstLine="420" w:firstLineChars="200"/>
        <w:rPr>
          <w:rFonts w:eastAsia="黑体"/>
        </w:rPr>
      </w:pPr>
      <w:r>
        <w:rPr>
          <w:rFonts w:eastAsia="黑体"/>
        </w:rPr>
        <w:t xml:space="preserve">碳足迹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pPr>
        <w:spacing w:line="300" w:lineRule="auto"/>
        <w:ind w:firstLine="420" w:firstLineChars="200"/>
        <w:rPr>
          <w:szCs w:val="21"/>
        </w:rPr>
      </w:pPr>
      <w:r>
        <w:rPr>
          <w:szCs w:val="21"/>
        </w:rPr>
        <w:t>用以量化过程、过程系统或产品系统温室气体排放的参数，以表现它们对气候变化的贡献。</w:t>
      </w:r>
    </w:p>
    <w:p>
      <w:pPr>
        <w:pStyle w:val="50"/>
        <w:numPr>
          <w:ilvl w:val="1"/>
          <w:numId w:val="18"/>
        </w:numPr>
      </w:pPr>
      <w:bookmarkStart w:id="39" w:name="_Toc532992122"/>
      <w:bookmarkEnd w:id="39"/>
    </w:p>
    <w:p>
      <w:pPr>
        <w:pStyle w:val="11"/>
        <w:ind w:firstLine="420" w:firstLineChars="200"/>
        <w:rPr>
          <w:rFonts w:eastAsia="Times New Roman"/>
        </w:rPr>
      </w:pPr>
      <w:r>
        <w:rPr>
          <w:rFonts w:hint="eastAsia" w:ascii="黑体" w:eastAsia="黑体"/>
        </w:rPr>
        <w:t>成套设备 Assembly</w:t>
      </w:r>
    </w:p>
    <w:p>
      <w:pPr>
        <w:pStyle w:val="11"/>
        <w:ind w:firstLine="420" w:firstLineChars="200"/>
      </w:pPr>
      <w:bookmarkStart w:id="40" w:name="_Toc532992124"/>
      <w:bookmarkEnd w:id="40"/>
      <w:r>
        <w:rPr>
          <w:rFonts w:hint="eastAsia"/>
        </w:rPr>
        <w:t>由一个或多个低压开关器件和与之相关的控制、测量、信号、保护、调节等设备以及所有内部的电气和机械的连接及结构部件组成的组合体。</w:t>
      </w:r>
    </w:p>
    <w:p>
      <w:pPr>
        <w:pStyle w:val="85"/>
        <w:outlineLvl w:val="0"/>
        <w:rPr>
          <w:rFonts w:hAnsi="黑体"/>
        </w:rPr>
      </w:pPr>
      <w:bookmarkStart w:id="41" w:name="_Toc532992126"/>
      <w:bookmarkEnd w:id="41"/>
      <w:bookmarkStart w:id="42" w:name="_Toc532992145"/>
      <w:bookmarkStart w:id="43" w:name="_Toc500159155"/>
      <w:bookmarkStart w:id="44" w:name="_Toc436234466"/>
      <w:bookmarkStart w:id="45" w:name="_Toc459106415"/>
      <w:bookmarkStart w:id="46" w:name="_Toc462063258"/>
      <w:bookmarkStart w:id="47" w:name="_Toc360632439"/>
      <w:bookmarkStart w:id="48" w:name="_Toc350864000"/>
      <w:bookmarkStart w:id="49" w:name="_Toc360436761"/>
      <w:bookmarkStart w:id="50" w:name="_Toc384816564"/>
      <w:bookmarkStart w:id="51" w:name="_Toc360436848"/>
      <w:bookmarkStart w:id="52" w:name="_Toc406486355"/>
      <w:bookmarkStart w:id="53" w:name="_Toc396134049"/>
      <w:r>
        <w:rPr>
          <w:rFonts w:hint="eastAsia" w:hAnsi="黑体"/>
        </w:rPr>
        <w:t>评价要求</w:t>
      </w:r>
      <w:bookmarkEnd w:id="42"/>
      <w:bookmarkEnd w:id="43"/>
    </w:p>
    <w:p>
      <w:pPr>
        <w:pStyle w:val="50"/>
        <w:numPr>
          <w:ilvl w:val="1"/>
          <w:numId w:val="18"/>
        </w:numPr>
        <w:outlineLvl w:val="1"/>
        <w:rPr>
          <w:spacing w:val="10"/>
        </w:rPr>
      </w:pPr>
      <w:bookmarkStart w:id="54" w:name="_Toc500159156"/>
      <w:bookmarkStart w:id="55" w:name="_Toc532992146"/>
      <w:r>
        <w:rPr>
          <w:rFonts w:hint="eastAsia"/>
          <w:spacing w:val="10"/>
        </w:rPr>
        <w:t>一般要求</w:t>
      </w:r>
      <w:bookmarkEnd w:id="54"/>
      <w:bookmarkEnd w:id="55"/>
    </w:p>
    <w:p>
      <w:pPr>
        <w:pStyle w:val="49"/>
        <w:adjustRightInd w:val="0"/>
        <w:snapToGrid w:val="0"/>
        <w:spacing w:before="156" w:after="156"/>
        <w:ind w:left="210" w:hanging="210" w:hangingChars="100"/>
        <w:outlineLvl w:val="2"/>
        <w:rPr>
          <w:rFonts w:ascii="Times New Roman" w:eastAsia="宋体"/>
          <w:color w:val="0000FF"/>
          <w:lang w:val="en-US"/>
        </w:rPr>
      </w:pPr>
      <w:bookmarkStart w:id="56" w:name="_Toc500159161"/>
      <w:bookmarkEnd w:id="56"/>
      <w:bookmarkStart w:id="57" w:name="_Toc500159157"/>
      <w:bookmarkEnd w:id="57"/>
      <w:r>
        <w:rPr>
          <w:rFonts w:ascii="Times New Roman" w:eastAsia="宋体"/>
          <w:lang w:val="en-US"/>
        </w:rPr>
        <w:t xml:space="preserve">4.1.1 </w:t>
      </w:r>
      <w:r>
        <w:rPr>
          <w:rFonts w:hint="eastAsia" w:ascii="Times New Roman" w:eastAsia="宋体"/>
          <w:lang w:val="en-US"/>
        </w:rPr>
        <w:t>生产企业近3年无重大环境污染事件和重大安全事故。</w:t>
      </w:r>
    </w:p>
    <w:p>
      <w:pPr>
        <w:pStyle w:val="49"/>
        <w:adjustRightInd w:val="0"/>
        <w:snapToGrid w:val="0"/>
        <w:spacing w:before="156" w:after="156"/>
        <w:ind w:left="0"/>
        <w:rPr>
          <w:rFonts w:ascii="Times New Roman" w:eastAsia="宋体"/>
          <w:lang w:val="en-US"/>
        </w:rPr>
      </w:pPr>
      <w:r>
        <w:rPr>
          <w:rFonts w:ascii="Times New Roman" w:eastAsia="宋体"/>
          <w:lang w:val="en-US"/>
        </w:rPr>
        <w:t>4.1.</w:t>
      </w:r>
      <w:r>
        <w:rPr>
          <w:rFonts w:hint="eastAsia" w:ascii="Times New Roman" w:eastAsia="宋体"/>
          <w:lang w:val="en-US"/>
        </w:rPr>
        <w:t>2</w:t>
      </w:r>
      <w:r>
        <w:rPr>
          <w:rFonts w:ascii="Times New Roman" w:eastAsia="宋体"/>
          <w:lang w:val="en-US"/>
        </w:rPr>
        <w:t xml:space="preserve"> </w:t>
      </w:r>
      <w:r>
        <w:rPr>
          <w:rFonts w:hint="eastAsia" w:ascii="Times New Roman" w:eastAsia="宋体"/>
          <w:lang w:val="en-US"/>
        </w:rPr>
        <w:t>生产企业应采用国家鼓励的先进技术工艺，不应使用国家或有关部门发布的淘汰或禁止的技术、工艺、装备及相关物质。</w:t>
      </w:r>
    </w:p>
    <w:p>
      <w:pPr>
        <w:pStyle w:val="49"/>
        <w:adjustRightInd w:val="0"/>
        <w:snapToGrid w:val="0"/>
        <w:spacing w:before="156" w:after="156"/>
        <w:ind w:left="0"/>
        <w:rPr>
          <w:rFonts w:ascii="Times New Roman" w:eastAsia="宋体"/>
          <w:lang w:val="en-US"/>
        </w:rPr>
      </w:pPr>
      <w:r>
        <w:rPr>
          <w:rFonts w:hint="eastAsia" w:ascii="Times New Roman" w:eastAsia="宋体"/>
          <w:lang w:val="en-US"/>
        </w:rPr>
        <w:t>4.1.</w:t>
      </w:r>
      <w:r>
        <w:rPr>
          <w:rFonts w:ascii="Times New Roman" w:eastAsia="宋体"/>
          <w:lang w:val="en-US"/>
        </w:rPr>
        <w:t xml:space="preserve">3 </w:t>
      </w:r>
      <w:r>
        <w:rPr>
          <w:rFonts w:hint="eastAsia" w:ascii="Times New Roman" w:eastAsia="宋体"/>
          <w:lang w:val="en-US"/>
        </w:rPr>
        <w:t>生产企业应按GB/T 19001、GB/T 24001和GB/T 45001的有关规定分别建立并运行质量管理体系、环境管理体系和职业健康管理体系。</w:t>
      </w:r>
    </w:p>
    <w:p>
      <w:pPr>
        <w:pStyle w:val="49"/>
        <w:adjustRightInd w:val="0"/>
        <w:snapToGrid w:val="0"/>
        <w:spacing w:before="156" w:after="156"/>
        <w:ind w:left="0"/>
        <w:rPr>
          <w:rFonts w:ascii="Times New Roman" w:eastAsia="宋体"/>
          <w:lang w:val="en-US"/>
        </w:rPr>
      </w:pPr>
      <w:r>
        <w:rPr>
          <w:rFonts w:ascii="Times New Roman" w:eastAsia="宋体"/>
          <w:lang w:val="en-US"/>
        </w:rPr>
        <w:t>4.1.</w:t>
      </w:r>
      <w:r>
        <w:rPr>
          <w:rFonts w:hint="eastAsia" w:ascii="Times New Roman" w:eastAsia="宋体"/>
          <w:lang w:val="en-US"/>
        </w:rPr>
        <w:t>4</w:t>
      </w:r>
      <w:r>
        <w:rPr>
          <w:rFonts w:ascii="Times New Roman" w:eastAsia="宋体"/>
          <w:lang w:val="en-US"/>
        </w:rPr>
        <w:t xml:space="preserve"> </w:t>
      </w:r>
      <w:r>
        <w:rPr>
          <w:rFonts w:hint="eastAsia" w:ascii="Times New Roman" w:eastAsia="宋体"/>
          <w:lang w:val="en-US"/>
        </w:rPr>
        <w:t>一般固体废弃物的收集、贮存、处置应符合GB 18599的有关规定。危险废物的贮存应符合GB 18597的有关规定，后续应交付持有危险废物经营许可证的单位处置。</w:t>
      </w:r>
    </w:p>
    <w:p>
      <w:pPr>
        <w:pStyle w:val="49"/>
        <w:adjustRightInd w:val="0"/>
        <w:snapToGrid w:val="0"/>
        <w:spacing w:before="156" w:after="156"/>
        <w:ind w:left="0"/>
        <w:rPr>
          <w:rFonts w:ascii="Times New Roman" w:eastAsia="宋体"/>
          <w:lang w:val="en-US"/>
        </w:rPr>
      </w:pPr>
      <w:r>
        <w:rPr>
          <w:rFonts w:ascii="Times New Roman" w:eastAsia="宋体"/>
          <w:lang w:val="en-US"/>
        </w:rPr>
        <w:t>4.1.</w:t>
      </w:r>
      <w:r>
        <w:rPr>
          <w:rFonts w:hint="eastAsia" w:ascii="Times New Roman" w:eastAsia="宋体"/>
          <w:lang w:val="en-US"/>
        </w:rPr>
        <w:t>5 工作场所有害因素职业接触限值应符合G</w:t>
      </w:r>
      <w:r>
        <w:rPr>
          <w:rFonts w:ascii="Times New Roman" w:eastAsia="宋体"/>
          <w:lang w:val="en-US"/>
        </w:rPr>
        <w:t>BZ 2.1</w:t>
      </w:r>
      <w:r>
        <w:rPr>
          <w:rFonts w:hint="eastAsia" w:ascii="Times New Roman" w:eastAsia="宋体"/>
          <w:lang w:val="en-US"/>
        </w:rPr>
        <w:t>和GBZ 2.2的有关规定。</w:t>
      </w:r>
    </w:p>
    <w:p>
      <w:pPr>
        <w:pStyle w:val="49"/>
        <w:adjustRightInd w:val="0"/>
        <w:snapToGrid w:val="0"/>
        <w:spacing w:before="156" w:after="156"/>
        <w:ind w:left="210" w:hanging="210" w:hangingChars="100"/>
        <w:rPr>
          <w:rFonts w:eastAsia="宋体"/>
        </w:rPr>
      </w:pPr>
      <w:r>
        <w:rPr>
          <w:rFonts w:ascii="Times New Roman" w:eastAsia="宋体"/>
          <w:lang w:val="en-US"/>
        </w:rPr>
        <w:t>4.1.6</w:t>
      </w:r>
      <w:r>
        <w:t xml:space="preserve"> </w:t>
      </w:r>
      <w:r>
        <w:rPr>
          <w:rFonts w:hint="eastAsia" w:ascii="Times New Roman" w:eastAsia="宋体"/>
          <w:lang w:val="en-US"/>
        </w:rPr>
        <w:t>产品基本性能应满足相应的现行国家、行业标准要求，强制性产品认证目录内的产品还应满足强制性产品认证的相关要求，且近 1 年无产品质量责任事故。</w:t>
      </w:r>
    </w:p>
    <w:p>
      <w:pPr>
        <w:pStyle w:val="49"/>
        <w:adjustRightInd w:val="0"/>
        <w:snapToGrid w:val="0"/>
        <w:spacing w:before="156" w:after="156"/>
        <w:ind w:left="0"/>
        <w:rPr>
          <w:rFonts w:ascii="Times New Roman" w:eastAsia="宋体"/>
          <w:lang w:val="en-US"/>
        </w:rPr>
      </w:pPr>
      <w:r>
        <w:rPr>
          <w:rFonts w:ascii="Times New Roman" w:eastAsia="宋体"/>
          <w:lang w:val="en-US"/>
        </w:rPr>
        <w:t>4.1.7</w:t>
      </w:r>
      <w:r>
        <w:rPr>
          <w:rFonts w:hint="eastAsia" w:ascii="Times New Roman" w:eastAsia="宋体"/>
          <w:lang w:val="en-US"/>
        </w:rPr>
        <w:t xml:space="preserve"> 产品包装应符合GB/T 191、GB/T 18455和GB/T 31268的要求。</w:t>
      </w:r>
    </w:p>
    <w:p>
      <w:pPr>
        <w:pStyle w:val="26"/>
        <w:spacing w:before="156" w:beforeLines="50" w:after="156" w:afterLines="50"/>
        <w:ind w:firstLine="0" w:firstLineChars="0"/>
        <w:outlineLvl w:val="2"/>
        <w:rPr>
          <w:rFonts w:ascii="Times New Roman"/>
        </w:rPr>
      </w:pPr>
      <w:r>
        <w:rPr>
          <w:rFonts w:hint="eastAsia" w:ascii="Times New Roman"/>
        </w:rPr>
        <w:t>4.1.8 申请不同等级的生产企业还应符合表1的规定。</w:t>
      </w:r>
    </w:p>
    <w:p>
      <w:pPr>
        <w:pStyle w:val="26"/>
        <w:spacing w:before="156" w:beforeLines="50"/>
        <w:ind w:firstLine="0" w:firstLineChars="0"/>
        <w:jc w:val="center"/>
        <w:rPr>
          <w:rFonts w:ascii="黑体" w:hAnsi="黑体" w:eastAsia="黑体" w:cs="黑体"/>
          <w:color w:val="000000"/>
          <w:szCs w:val="21"/>
        </w:rPr>
      </w:pPr>
      <w:r>
        <w:rPr>
          <w:rFonts w:hint="eastAsia" w:ascii="黑体" w:hAnsi="黑体" w:eastAsia="黑体" w:cs="黑体"/>
          <w:color w:val="000000"/>
          <w:szCs w:val="21"/>
        </w:rPr>
        <w:t>表1 申请企业等级规定</w:t>
      </w:r>
    </w:p>
    <w:tbl>
      <w:tblPr>
        <w:tblStyle w:val="35"/>
        <w:tblW w:w="93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88"/>
        <w:gridCol w:w="1406"/>
        <w:gridCol w:w="1406"/>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5088" w:type="dxa"/>
            <w:vMerge w:val="restart"/>
            <w:vAlign w:val="center"/>
          </w:tcPr>
          <w:p>
            <w:pPr>
              <w:widowControl/>
              <w:jc w:val="center"/>
              <w:rPr>
                <w:sz w:val="21"/>
                <w:szCs w:val="21"/>
              </w:rPr>
            </w:pPr>
            <w:r>
              <w:rPr>
                <w:rFonts w:hint="eastAsia"/>
                <w:sz w:val="21"/>
                <w:szCs w:val="21"/>
              </w:rPr>
              <w:t>具体规定</w:t>
            </w:r>
          </w:p>
        </w:tc>
        <w:tc>
          <w:tcPr>
            <w:tcW w:w="4219" w:type="dxa"/>
            <w:gridSpan w:val="3"/>
            <w:vAlign w:val="center"/>
          </w:tcPr>
          <w:p>
            <w:pPr>
              <w:widowControl/>
              <w:jc w:val="center"/>
              <w:rPr>
                <w:sz w:val="21"/>
                <w:szCs w:val="21"/>
              </w:rPr>
            </w:pPr>
            <w:r>
              <w:rPr>
                <w:rFonts w:hint="eastAsia"/>
                <w:sz w:val="21"/>
                <w:szCs w:val="21"/>
              </w:rPr>
              <w:t>不同评价等级符合项数要求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5088" w:type="dxa"/>
            <w:vMerge w:val="continue"/>
            <w:vAlign w:val="center"/>
          </w:tcPr>
          <w:p>
            <w:pPr>
              <w:widowControl/>
              <w:jc w:val="center"/>
              <w:rPr>
                <w:sz w:val="21"/>
                <w:szCs w:val="21"/>
              </w:rPr>
            </w:pPr>
          </w:p>
        </w:tc>
        <w:tc>
          <w:tcPr>
            <w:tcW w:w="1406" w:type="dxa"/>
            <w:vAlign w:val="center"/>
          </w:tcPr>
          <w:p>
            <w:pPr>
              <w:widowControl/>
              <w:jc w:val="center"/>
              <w:rPr>
                <w:rFonts w:hAnsi="宋体"/>
                <w:color w:val="000000"/>
                <w:kern w:val="0"/>
                <w:sz w:val="21"/>
                <w:szCs w:val="21"/>
              </w:rPr>
            </w:pPr>
            <w:r>
              <w:rPr>
                <w:rFonts w:hint="eastAsia" w:hAnsi="宋体"/>
                <w:color w:val="000000"/>
                <w:kern w:val="0"/>
                <w:sz w:val="21"/>
                <w:szCs w:val="21"/>
              </w:rPr>
              <w:t>一星级</w:t>
            </w:r>
          </w:p>
        </w:tc>
        <w:tc>
          <w:tcPr>
            <w:tcW w:w="1406" w:type="dxa"/>
          </w:tcPr>
          <w:p>
            <w:pPr>
              <w:widowControl/>
              <w:jc w:val="center"/>
              <w:rPr>
                <w:rFonts w:hAnsi="宋体"/>
                <w:color w:val="000000"/>
                <w:kern w:val="0"/>
                <w:sz w:val="21"/>
                <w:szCs w:val="21"/>
              </w:rPr>
            </w:pPr>
            <w:r>
              <w:rPr>
                <w:rFonts w:hint="eastAsia" w:hAnsi="宋体"/>
                <w:color w:val="000000"/>
                <w:kern w:val="0"/>
                <w:sz w:val="21"/>
                <w:szCs w:val="21"/>
              </w:rPr>
              <w:t>二星级</w:t>
            </w:r>
          </w:p>
        </w:tc>
        <w:tc>
          <w:tcPr>
            <w:tcW w:w="1407" w:type="dxa"/>
          </w:tcPr>
          <w:p>
            <w:pPr>
              <w:widowControl/>
              <w:jc w:val="center"/>
              <w:rPr>
                <w:rFonts w:hAnsi="宋体"/>
                <w:color w:val="000000"/>
                <w:kern w:val="0"/>
                <w:sz w:val="21"/>
                <w:szCs w:val="21"/>
              </w:rPr>
            </w:pPr>
            <w:r>
              <w:rPr>
                <w:rFonts w:hint="eastAsia" w:hAnsi="宋体"/>
                <w:color w:val="000000"/>
                <w:kern w:val="0"/>
                <w:sz w:val="21"/>
                <w:szCs w:val="21"/>
              </w:rPr>
              <w:t>三星级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5088" w:type="dxa"/>
            <w:vAlign w:val="center"/>
          </w:tcPr>
          <w:p>
            <w:pPr>
              <w:widowControl/>
              <w:jc w:val="left"/>
              <w:rPr>
                <w:sz w:val="21"/>
                <w:szCs w:val="21"/>
              </w:rPr>
            </w:pPr>
            <w:r>
              <w:rPr>
                <w:rFonts w:hint="eastAsia"/>
                <w:sz w:val="21"/>
                <w:szCs w:val="21"/>
              </w:rPr>
              <w:t>按照 GB/T 23331 建立并运行能源管理体系</w:t>
            </w:r>
          </w:p>
        </w:tc>
        <w:tc>
          <w:tcPr>
            <w:tcW w:w="1406" w:type="dxa"/>
            <w:vMerge w:val="restart"/>
            <w:vAlign w:val="center"/>
          </w:tcPr>
          <w:p>
            <w:pPr>
              <w:widowControl/>
              <w:jc w:val="center"/>
              <w:rPr>
                <w:sz w:val="21"/>
                <w:szCs w:val="21"/>
              </w:rPr>
            </w:pPr>
            <w:r>
              <w:rPr>
                <w:rFonts w:hint="eastAsia"/>
                <w:sz w:val="21"/>
                <w:szCs w:val="21"/>
              </w:rPr>
              <w:t>—</w:t>
            </w:r>
          </w:p>
        </w:tc>
        <w:tc>
          <w:tcPr>
            <w:tcW w:w="1406" w:type="dxa"/>
            <w:vMerge w:val="restart"/>
            <w:vAlign w:val="center"/>
          </w:tcPr>
          <w:p>
            <w:pPr>
              <w:widowControl/>
              <w:jc w:val="center"/>
              <w:rPr>
                <w:sz w:val="21"/>
                <w:szCs w:val="21"/>
              </w:rPr>
            </w:pPr>
            <w:r>
              <w:rPr>
                <w:rFonts w:hint="eastAsia"/>
                <w:sz w:val="21"/>
                <w:szCs w:val="21"/>
              </w:rPr>
              <w:t>符合</w:t>
            </w:r>
            <w:r>
              <w:rPr>
                <w:rFonts w:hint="eastAsia" w:ascii="宋体" w:hAnsi="宋体" w:cs="宋体"/>
                <w:color w:val="000000"/>
                <w:kern w:val="0"/>
                <w:sz w:val="21"/>
                <w:szCs w:val="21"/>
                <w:lang w:bidi="ar"/>
              </w:rPr>
              <w:t>1项</w:t>
            </w:r>
          </w:p>
        </w:tc>
        <w:tc>
          <w:tcPr>
            <w:tcW w:w="1407" w:type="dxa"/>
            <w:vMerge w:val="restart"/>
            <w:vAlign w:val="center"/>
          </w:tcPr>
          <w:p>
            <w:pPr>
              <w:widowControl/>
              <w:jc w:val="center"/>
              <w:rPr>
                <w:sz w:val="21"/>
                <w:szCs w:val="21"/>
              </w:rPr>
            </w:pPr>
            <w:r>
              <w:rPr>
                <w:rFonts w:hint="eastAsia"/>
                <w:sz w:val="21"/>
                <w:szCs w:val="21"/>
              </w:rPr>
              <w:t>符合2项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5088" w:type="dxa"/>
            <w:vAlign w:val="center"/>
          </w:tcPr>
          <w:p>
            <w:pPr>
              <w:widowControl/>
              <w:jc w:val="left"/>
              <w:rPr>
                <w:sz w:val="21"/>
                <w:szCs w:val="21"/>
              </w:rPr>
            </w:pPr>
            <w:r>
              <w:rPr>
                <w:rFonts w:hint="eastAsia"/>
                <w:sz w:val="21"/>
                <w:szCs w:val="21"/>
              </w:rPr>
              <w:t>按照 GB/T 24025 提交低压成套开关设备环境产品声明（EPD）或产品的碳足迹报告</w:t>
            </w:r>
          </w:p>
        </w:tc>
        <w:tc>
          <w:tcPr>
            <w:tcW w:w="1406" w:type="dxa"/>
            <w:vMerge w:val="continue"/>
            <w:vAlign w:val="center"/>
          </w:tcPr>
          <w:p>
            <w:pPr>
              <w:widowControl/>
              <w:jc w:val="center"/>
              <w:rPr>
                <w:sz w:val="18"/>
                <w:szCs w:val="18"/>
              </w:rPr>
            </w:pPr>
          </w:p>
        </w:tc>
        <w:tc>
          <w:tcPr>
            <w:tcW w:w="1406" w:type="dxa"/>
            <w:vMerge w:val="continue"/>
            <w:vAlign w:val="center"/>
          </w:tcPr>
          <w:p>
            <w:pPr>
              <w:widowControl/>
              <w:jc w:val="center"/>
              <w:rPr>
                <w:sz w:val="18"/>
                <w:szCs w:val="18"/>
              </w:rPr>
            </w:pPr>
          </w:p>
        </w:tc>
        <w:tc>
          <w:tcPr>
            <w:tcW w:w="1407" w:type="dxa"/>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5088" w:type="dxa"/>
            <w:vAlign w:val="center"/>
          </w:tcPr>
          <w:p>
            <w:pPr>
              <w:widowControl/>
              <w:jc w:val="left"/>
              <w:rPr>
                <w:sz w:val="21"/>
                <w:szCs w:val="21"/>
              </w:rPr>
            </w:pPr>
            <w:r>
              <w:rPr>
                <w:rFonts w:hint="eastAsia"/>
                <w:sz w:val="21"/>
                <w:szCs w:val="21"/>
              </w:rPr>
              <w:t>提供产品自愿性认证结果</w:t>
            </w:r>
          </w:p>
        </w:tc>
        <w:tc>
          <w:tcPr>
            <w:tcW w:w="1406" w:type="dxa"/>
            <w:vMerge w:val="continue"/>
            <w:vAlign w:val="center"/>
          </w:tcPr>
          <w:p>
            <w:pPr>
              <w:widowControl/>
              <w:jc w:val="center"/>
              <w:rPr>
                <w:sz w:val="18"/>
                <w:szCs w:val="18"/>
              </w:rPr>
            </w:pPr>
          </w:p>
        </w:tc>
        <w:tc>
          <w:tcPr>
            <w:tcW w:w="1406" w:type="dxa"/>
            <w:vMerge w:val="continue"/>
            <w:vAlign w:val="center"/>
          </w:tcPr>
          <w:p>
            <w:pPr>
              <w:widowControl/>
              <w:jc w:val="center"/>
              <w:rPr>
                <w:sz w:val="18"/>
                <w:szCs w:val="18"/>
              </w:rPr>
            </w:pPr>
          </w:p>
        </w:tc>
        <w:tc>
          <w:tcPr>
            <w:tcW w:w="1407" w:type="dxa"/>
            <w:vMerge w:val="continue"/>
            <w:vAlign w:val="center"/>
          </w:tcPr>
          <w:p>
            <w:pPr>
              <w:widowControl/>
              <w:jc w:val="center"/>
              <w:rPr>
                <w:sz w:val="18"/>
                <w:szCs w:val="18"/>
              </w:rPr>
            </w:pPr>
          </w:p>
        </w:tc>
      </w:tr>
      <w:bookmarkEnd w:id="44"/>
      <w:bookmarkEnd w:id="45"/>
      <w:bookmarkEnd w:id="46"/>
    </w:tbl>
    <w:p>
      <w:pPr>
        <w:pStyle w:val="50"/>
        <w:numPr>
          <w:ilvl w:val="1"/>
          <w:numId w:val="18"/>
        </w:numPr>
        <w:outlineLvl w:val="1"/>
        <w:rPr>
          <w:color w:val="000000"/>
        </w:rPr>
      </w:pPr>
      <w:bookmarkStart w:id="58" w:name="_Toc532992147"/>
      <w:bookmarkStart w:id="59" w:name="_Toc462063260"/>
      <w:bookmarkStart w:id="60" w:name="_Toc31135"/>
      <w:r>
        <w:rPr>
          <w:rFonts w:hint="eastAsia"/>
          <w:color w:val="000000"/>
        </w:rPr>
        <w:t>评价指标要求</w:t>
      </w:r>
      <w:bookmarkEnd w:id="47"/>
      <w:bookmarkEnd w:id="48"/>
      <w:bookmarkEnd w:id="49"/>
      <w:bookmarkEnd w:id="50"/>
      <w:bookmarkEnd w:id="51"/>
      <w:bookmarkEnd w:id="52"/>
      <w:bookmarkEnd w:id="53"/>
      <w:bookmarkEnd w:id="58"/>
      <w:bookmarkEnd w:id="59"/>
      <w:bookmarkEnd w:id="60"/>
    </w:p>
    <w:p>
      <w:pPr>
        <w:widowControl/>
        <w:tabs>
          <w:tab w:val="center" w:pos="4201"/>
          <w:tab w:val="right" w:leader="dot" w:pos="9298"/>
        </w:tabs>
        <w:autoSpaceDE w:val="0"/>
        <w:autoSpaceDN w:val="0"/>
        <w:spacing w:before="156" w:beforeLines="50" w:after="156" w:afterLines="50"/>
        <w:ind w:firstLine="420" w:firstLineChars="200"/>
      </w:pPr>
      <w:r>
        <w:rPr>
          <w:rFonts w:hint="eastAsia"/>
        </w:rPr>
        <w:t>低压成套开关设备评价指标包括资源属性指标、能源属性指标、环境属性指标和品质属性指标。评价指标要求见表2。</w:t>
      </w:r>
    </w:p>
    <w:p>
      <w:pPr>
        <w:pStyle w:val="26"/>
        <w:spacing w:before="156" w:beforeLines="50"/>
        <w:ind w:firstLine="0" w:firstLineChars="0"/>
        <w:jc w:val="center"/>
        <w:rPr>
          <w:rFonts w:ascii="黑体" w:hAnsi="黑体" w:eastAsia="黑体" w:cs="黑体"/>
          <w:color w:val="000000"/>
          <w:szCs w:val="21"/>
        </w:rPr>
      </w:pPr>
      <w:r>
        <w:rPr>
          <w:rFonts w:hint="eastAsia" w:ascii="黑体" w:hAnsi="黑体" w:eastAsia="黑体" w:cs="黑体"/>
          <w:color w:val="000000"/>
          <w:szCs w:val="21"/>
        </w:rPr>
        <w:t>表2 低压成套开关设备评价指标要求</w:t>
      </w:r>
    </w:p>
    <w:tbl>
      <w:tblPr>
        <w:tblStyle w:val="35"/>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1975"/>
        <w:gridCol w:w="972"/>
        <w:gridCol w:w="1383"/>
        <w:gridCol w:w="1454"/>
        <w:gridCol w:w="1466"/>
        <w:gridCol w:w="1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35" w:type="dxa"/>
            <w:vMerge w:val="restart"/>
            <w:vAlign w:val="center"/>
          </w:tcPr>
          <w:p>
            <w:pPr>
              <w:pStyle w:val="155"/>
              <w:spacing w:before="156"/>
              <w:jc w:val="center"/>
              <w:rPr>
                <w:sz w:val="18"/>
              </w:rPr>
            </w:pPr>
            <w:r>
              <w:rPr>
                <w:sz w:val="18"/>
              </w:rPr>
              <w:t>一级指标</w:t>
            </w:r>
          </w:p>
        </w:tc>
        <w:tc>
          <w:tcPr>
            <w:tcW w:w="1975" w:type="dxa"/>
            <w:vMerge w:val="restart"/>
            <w:vAlign w:val="center"/>
          </w:tcPr>
          <w:p>
            <w:pPr>
              <w:pStyle w:val="155"/>
              <w:spacing w:before="156"/>
              <w:jc w:val="center"/>
              <w:rPr>
                <w:sz w:val="18"/>
              </w:rPr>
            </w:pPr>
            <w:r>
              <w:rPr>
                <w:sz w:val="18"/>
              </w:rPr>
              <w:t>二级指标</w:t>
            </w:r>
          </w:p>
        </w:tc>
        <w:tc>
          <w:tcPr>
            <w:tcW w:w="972" w:type="dxa"/>
            <w:vMerge w:val="restart"/>
            <w:vAlign w:val="center"/>
          </w:tcPr>
          <w:p>
            <w:pPr>
              <w:pStyle w:val="155"/>
              <w:spacing w:before="156"/>
              <w:jc w:val="center"/>
              <w:rPr>
                <w:sz w:val="18"/>
              </w:rPr>
            </w:pPr>
            <w:r>
              <w:rPr>
                <w:sz w:val="18"/>
              </w:rPr>
              <w:t>单位</w:t>
            </w:r>
          </w:p>
        </w:tc>
        <w:tc>
          <w:tcPr>
            <w:tcW w:w="4303" w:type="dxa"/>
            <w:gridSpan w:val="3"/>
            <w:vAlign w:val="center"/>
          </w:tcPr>
          <w:p>
            <w:pPr>
              <w:pStyle w:val="155"/>
              <w:spacing w:before="156"/>
              <w:jc w:val="center"/>
              <w:rPr>
                <w:sz w:val="18"/>
              </w:rPr>
            </w:pPr>
            <w:r>
              <w:rPr>
                <w:sz w:val="18"/>
              </w:rPr>
              <w:t>基准值或要求</w:t>
            </w:r>
          </w:p>
        </w:tc>
        <w:tc>
          <w:tcPr>
            <w:tcW w:w="1378" w:type="dxa"/>
            <w:vMerge w:val="restart"/>
            <w:vAlign w:val="center"/>
          </w:tcPr>
          <w:p>
            <w:pPr>
              <w:pStyle w:val="155"/>
              <w:spacing w:before="156"/>
              <w:jc w:val="center"/>
              <w:rPr>
                <w:sz w:val="18"/>
              </w:rPr>
            </w:pPr>
            <w:r>
              <w:rPr>
                <w:sz w:val="18"/>
              </w:rPr>
              <w:t>评价依据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35" w:type="dxa"/>
            <w:vMerge w:val="continue"/>
            <w:tcBorders>
              <w:top w:val="nil"/>
            </w:tcBorders>
            <w:vAlign w:val="center"/>
          </w:tcPr>
          <w:p>
            <w:pPr>
              <w:pStyle w:val="155"/>
              <w:spacing w:before="156"/>
              <w:jc w:val="center"/>
              <w:rPr>
                <w:sz w:val="18"/>
              </w:rPr>
            </w:pPr>
          </w:p>
        </w:tc>
        <w:tc>
          <w:tcPr>
            <w:tcW w:w="1975" w:type="dxa"/>
            <w:vMerge w:val="continue"/>
            <w:tcBorders>
              <w:top w:val="nil"/>
            </w:tcBorders>
            <w:vAlign w:val="center"/>
          </w:tcPr>
          <w:p>
            <w:pPr>
              <w:pStyle w:val="155"/>
              <w:spacing w:before="156"/>
              <w:jc w:val="center"/>
              <w:rPr>
                <w:sz w:val="18"/>
              </w:rPr>
            </w:pPr>
          </w:p>
        </w:tc>
        <w:tc>
          <w:tcPr>
            <w:tcW w:w="972" w:type="dxa"/>
            <w:vMerge w:val="continue"/>
            <w:tcBorders>
              <w:top w:val="nil"/>
            </w:tcBorders>
            <w:vAlign w:val="center"/>
          </w:tcPr>
          <w:p>
            <w:pPr>
              <w:pStyle w:val="155"/>
              <w:spacing w:before="156"/>
              <w:jc w:val="center"/>
              <w:rPr>
                <w:sz w:val="18"/>
              </w:rPr>
            </w:pPr>
          </w:p>
        </w:tc>
        <w:tc>
          <w:tcPr>
            <w:tcW w:w="1383" w:type="dxa"/>
            <w:vAlign w:val="center"/>
          </w:tcPr>
          <w:p>
            <w:pPr>
              <w:pStyle w:val="155"/>
              <w:spacing w:before="156"/>
              <w:jc w:val="center"/>
              <w:rPr>
                <w:sz w:val="18"/>
              </w:rPr>
            </w:pPr>
            <w:r>
              <w:rPr>
                <w:sz w:val="18"/>
              </w:rPr>
              <w:t>一星级</w:t>
            </w:r>
          </w:p>
        </w:tc>
        <w:tc>
          <w:tcPr>
            <w:tcW w:w="1454" w:type="dxa"/>
            <w:vAlign w:val="center"/>
          </w:tcPr>
          <w:p>
            <w:pPr>
              <w:pStyle w:val="155"/>
              <w:spacing w:before="156"/>
              <w:jc w:val="center"/>
              <w:rPr>
                <w:sz w:val="18"/>
              </w:rPr>
            </w:pPr>
            <w:r>
              <w:rPr>
                <w:sz w:val="18"/>
              </w:rPr>
              <w:t>二星级</w:t>
            </w:r>
          </w:p>
        </w:tc>
        <w:tc>
          <w:tcPr>
            <w:tcW w:w="1466" w:type="dxa"/>
            <w:vAlign w:val="center"/>
          </w:tcPr>
          <w:p>
            <w:pPr>
              <w:pStyle w:val="155"/>
              <w:spacing w:before="156"/>
              <w:jc w:val="center"/>
              <w:rPr>
                <w:sz w:val="18"/>
              </w:rPr>
            </w:pPr>
            <w:r>
              <w:rPr>
                <w:sz w:val="18"/>
              </w:rPr>
              <w:t>三星级</w:t>
            </w:r>
          </w:p>
        </w:tc>
        <w:tc>
          <w:tcPr>
            <w:tcW w:w="1378" w:type="dxa"/>
            <w:vMerge w:val="continue"/>
            <w:vAlign w:val="center"/>
          </w:tcPr>
          <w:p>
            <w:pPr>
              <w:pStyle w:val="155"/>
              <w:spacing w:before="156"/>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35" w:type="dxa"/>
            <w:vMerge w:val="restart"/>
            <w:vAlign w:val="center"/>
          </w:tcPr>
          <w:p>
            <w:pPr>
              <w:pStyle w:val="155"/>
              <w:spacing w:before="156"/>
              <w:jc w:val="center"/>
              <w:rPr>
                <w:sz w:val="18"/>
              </w:rPr>
            </w:pPr>
            <w:r>
              <w:rPr>
                <w:sz w:val="18"/>
              </w:rPr>
              <w:t>资源属性</w:t>
            </w:r>
          </w:p>
        </w:tc>
        <w:tc>
          <w:tcPr>
            <w:tcW w:w="1975" w:type="dxa"/>
            <w:vAlign w:val="center"/>
          </w:tcPr>
          <w:p>
            <w:pPr>
              <w:pStyle w:val="155"/>
              <w:spacing w:before="156"/>
              <w:jc w:val="center"/>
              <w:rPr>
                <w:kern w:val="0"/>
                <w:sz w:val="18"/>
                <w:szCs w:val="18"/>
                <w:lang w:bidi="ar"/>
              </w:rPr>
            </w:pPr>
            <w:r>
              <w:rPr>
                <w:kern w:val="0"/>
                <w:sz w:val="18"/>
                <w:szCs w:val="18"/>
                <w:lang w:bidi="ar"/>
              </w:rPr>
              <w:t>产品所用断路器需满足相应绿色产品星级</w:t>
            </w:r>
          </w:p>
        </w:tc>
        <w:tc>
          <w:tcPr>
            <w:tcW w:w="972" w:type="dxa"/>
            <w:vAlign w:val="center"/>
          </w:tcPr>
          <w:p>
            <w:pPr>
              <w:pStyle w:val="155"/>
              <w:spacing w:before="156"/>
              <w:jc w:val="center"/>
              <w:rPr>
                <w:kern w:val="0"/>
                <w:sz w:val="18"/>
                <w:szCs w:val="18"/>
                <w:lang w:bidi="ar"/>
              </w:rPr>
            </w:pPr>
            <w:r>
              <w:rPr>
                <w:kern w:val="0"/>
                <w:sz w:val="18"/>
                <w:szCs w:val="18"/>
                <w:lang w:bidi="ar"/>
              </w:rPr>
              <w:t>—</w:t>
            </w:r>
          </w:p>
        </w:tc>
        <w:tc>
          <w:tcPr>
            <w:tcW w:w="1383" w:type="dxa"/>
            <w:vAlign w:val="center"/>
          </w:tcPr>
          <w:p>
            <w:pPr>
              <w:pStyle w:val="11"/>
              <w:spacing w:line="278" w:lineRule="auto"/>
              <w:ind w:right="140"/>
              <w:jc w:val="center"/>
              <w:rPr>
                <w:sz w:val="18"/>
                <w:szCs w:val="24"/>
                <w:lang w:bidi="ar"/>
              </w:rPr>
            </w:pPr>
            <w:r>
              <w:rPr>
                <w:rFonts w:hint="eastAsia" w:ascii="宋体" w:hAnsi="宋体" w:cs="宋体"/>
                <w:sz w:val="18"/>
                <w:szCs w:val="18"/>
              </w:rPr>
              <w:t>一星</w:t>
            </w:r>
          </w:p>
        </w:tc>
        <w:tc>
          <w:tcPr>
            <w:tcW w:w="1454" w:type="dxa"/>
            <w:vAlign w:val="center"/>
          </w:tcPr>
          <w:p>
            <w:pPr>
              <w:pStyle w:val="11"/>
              <w:spacing w:line="278" w:lineRule="auto"/>
              <w:ind w:right="140"/>
              <w:jc w:val="center"/>
              <w:rPr>
                <w:sz w:val="18"/>
                <w:szCs w:val="24"/>
                <w:lang w:bidi="ar"/>
              </w:rPr>
            </w:pPr>
            <w:r>
              <w:rPr>
                <w:rFonts w:hint="eastAsia" w:ascii="宋体" w:hAnsi="宋体" w:cs="宋体"/>
                <w:sz w:val="18"/>
                <w:szCs w:val="18"/>
              </w:rPr>
              <w:t xml:space="preserve"> 二星</w:t>
            </w:r>
          </w:p>
        </w:tc>
        <w:tc>
          <w:tcPr>
            <w:tcW w:w="1466" w:type="dxa"/>
            <w:vAlign w:val="center"/>
          </w:tcPr>
          <w:p>
            <w:pPr>
              <w:pStyle w:val="11"/>
              <w:spacing w:line="278" w:lineRule="auto"/>
              <w:ind w:right="140"/>
              <w:jc w:val="center"/>
              <w:rPr>
                <w:sz w:val="18"/>
                <w:szCs w:val="24"/>
                <w:lang w:bidi="ar"/>
              </w:rPr>
            </w:pPr>
            <w:r>
              <w:rPr>
                <w:rFonts w:hint="eastAsia" w:ascii="宋体" w:hAnsi="宋体" w:cs="宋体"/>
                <w:sz w:val="18"/>
                <w:szCs w:val="18"/>
              </w:rPr>
              <w:t>三星</w:t>
            </w:r>
          </w:p>
        </w:tc>
        <w:tc>
          <w:tcPr>
            <w:tcW w:w="1378" w:type="dxa"/>
            <w:vMerge w:val="continue"/>
            <w:vAlign w:val="center"/>
          </w:tcPr>
          <w:p>
            <w:pPr>
              <w:pStyle w:val="11"/>
              <w:spacing w:line="278" w:lineRule="auto"/>
              <w:ind w:right="140"/>
              <w:jc w:val="center"/>
              <w:rPr>
                <w:rFonts w:hint="default" w:eastAsia="宋体"/>
                <w:sz w:val="18"/>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35" w:type="dxa"/>
            <w:vMerge w:val="continue"/>
            <w:vAlign w:val="center"/>
          </w:tcPr>
          <w:p>
            <w:pPr>
              <w:pStyle w:val="155"/>
              <w:spacing w:before="156"/>
              <w:jc w:val="center"/>
              <w:rPr>
                <w:sz w:val="18"/>
              </w:rPr>
            </w:pPr>
          </w:p>
        </w:tc>
        <w:tc>
          <w:tcPr>
            <w:tcW w:w="1975" w:type="dxa"/>
            <w:vAlign w:val="center"/>
          </w:tcPr>
          <w:p>
            <w:pPr>
              <w:pStyle w:val="155"/>
              <w:spacing w:before="156"/>
              <w:jc w:val="center"/>
              <w:rPr>
                <w:sz w:val="18"/>
              </w:rPr>
            </w:pPr>
            <w:r>
              <w:rPr>
                <w:kern w:val="0"/>
                <w:sz w:val="18"/>
                <w:szCs w:val="18"/>
                <w:lang w:bidi="ar"/>
              </w:rPr>
              <w:t>万元产值水耗</w:t>
            </w:r>
          </w:p>
        </w:tc>
        <w:tc>
          <w:tcPr>
            <w:tcW w:w="972" w:type="dxa"/>
            <w:vAlign w:val="center"/>
          </w:tcPr>
          <w:p>
            <w:pPr>
              <w:pStyle w:val="155"/>
              <w:spacing w:before="156"/>
              <w:jc w:val="center"/>
              <w:rPr>
                <w:sz w:val="18"/>
              </w:rPr>
            </w:pPr>
            <w:r>
              <w:rPr>
                <w:kern w:val="0"/>
                <w:sz w:val="18"/>
                <w:szCs w:val="18"/>
                <w:lang w:bidi="ar"/>
              </w:rPr>
              <w:t>m³/万元</w:t>
            </w:r>
          </w:p>
        </w:tc>
        <w:tc>
          <w:tcPr>
            <w:tcW w:w="4303" w:type="dxa"/>
            <w:gridSpan w:val="3"/>
            <w:vAlign w:val="center"/>
          </w:tcPr>
          <w:p>
            <w:pPr>
              <w:pStyle w:val="155"/>
              <w:spacing w:before="156"/>
              <w:jc w:val="center"/>
              <w:rPr>
                <w:sz w:val="18"/>
              </w:rPr>
            </w:pPr>
            <w:r>
              <w:rPr>
                <w:sz w:val="18"/>
                <w:lang w:bidi="ar"/>
              </w:rPr>
              <w:t>近3年逐年递减</w:t>
            </w:r>
          </w:p>
        </w:tc>
        <w:tc>
          <w:tcPr>
            <w:tcW w:w="1378" w:type="dxa"/>
            <w:vAlign w:val="center"/>
          </w:tcPr>
          <w:p>
            <w:pPr>
              <w:pStyle w:val="155"/>
              <w:spacing w:before="156"/>
              <w:jc w:val="center"/>
              <w:rPr>
                <w:sz w:val="18"/>
                <w:lang w:bidi="ar"/>
              </w:rPr>
            </w:pPr>
            <w:r>
              <w:rPr>
                <w:sz w:val="18"/>
                <w:lang w:bidi="ar"/>
              </w:rPr>
              <w:t>提供证明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35" w:type="dxa"/>
            <w:vMerge w:val="restart"/>
            <w:vAlign w:val="center"/>
          </w:tcPr>
          <w:p>
            <w:pPr>
              <w:pStyle w:val="155"/>
              <w:spacing w:before="156"/>
              <w:jc w:val="center"/>
              <w:rPr>
                <w:sz w:val="18"/>
              </w:rPr>
            </w:pPr>
            <w:r>
              <w:rPr>
                <w:sz w:val="18"/>
              </w:rPr>
              <w:t>能源属性</w:t>
            </w:r>
          </w:p>
        </w:tc>
        <w:tc>
          <w:tcPr>
            <w:tcW w:w="1975" w:type="dxa"/>
            <w:vAlign w:val="center"/>
          </w:tcPr>
          <w:p>
            <w:pPr>
              <w:pStyle w:val="11"/>
              <w:spacing w:line="278" w:lineRule="auto"/>
              <w:ind w:right="140"/>
              <w:jc w:val="center"/>
              <w:rPr>
                <w:kern w:val="0"/>
                <w:sz w:val="18"/>
                <w:szCs w:val="18"/>
                <w:lang w:bidi="ar"/>
              </w:rPr>
            </w:pPr>
            <w:r>
              <w:rPr>
                <w:rFonts w:hint="eastAsia" w:ascii="宋体" w:hAnsi="宋体" w:cs="宋体"/>
                <w:sz w:val="18"/>
                <w:szCs w:val="18"/>
              </w:rPr>
              <w:t>产品功耗和回路电阻值</w:t>
            </w:r>
          </w:p>
        </w:tc>
        <w:tc>
          <w:tcPr>
            <w:tcW w:w="972" w:type="dxa"/>
            <w:vAlign w:val="center"/>
          </w:tcPr>
          <w:p>
            <w:pPr>
              <w:pStyle w:val="11"/>
              <w:spacing w:line="278" w:lineRule="auto"/>
              <w:ind w:right="140"/>
              <w:jc w:val="center"/>
              <w:rPr>
                <w:sz w:val="18"/>
                <w:lang w:bidi="ar"/>
              </w:rPr>
            </w:pPr>
            <w:r>
              <w:rPr>
                <w:rFonts w:hint="eastAsia"/>
                <w:kern w:val="0"/>
                <w:sz w:val="18"/>
                <w:szCs w:val="18"/>
                <w:lang w:bidi="ar"/>
              </w:rPr>
              <w:t xml:space="preserve"> </w:t>
            </w:r>
            <w:r>
              <w:rPr>
                <w:kern w:val="0"/>
                <w:sz w:val="18"/>
                <w:szCs w:val="18"/>
                <w:lang w:bidi="ar"/>
              </w:rPr>
              <w:t>—</w:t>
            </w:r>
          </w:p>
        </w:tc>
        <w:tc>
          <w:tcPr>
            <w:tcW w:w="1383" w:type="dxa"/>
            <w:vAlign w:val="center"/>
          </w:tcPr>
          <w:p>
            <w:pPr>
              <w:jc w:val="center"/>
              <w:rPr>
                <w:sz w:val="18"/>
                <w:lang w:bidi="ar"/>
              </w:rPr>
            </w:pPr>
            <w:r>
              <w:rPr>
                <w:rFonts w:hint="eastAsia" w:ascii="宋体" w:hAnsi="宋体" w:cs="宋体"/>
                <w:sz w:val="18"/>
                <w:szCs w:val="18"/>
              </w:rPr>
              <w:t>—</w:t>
            </w:r>
          </w:p>
        </w:tc>
        <w:tc>
          <w:tcPr>
            <w:tcW w:w="1454" w:type="dxa"/>
            <w:vAlign w:val="center"/>
          </w:tcPr>
          <w:p>
            <w:pPr>
              <w:jc w:val="center"/>
              <w:rPr>
                <w:sz w:val="18"/>
                <w:lang w:bidi="ar"/>
              </w:rPr>
            </w:pPr>
            <w:r>
              <w:rPr>
                <w:rFonts w:hint="eastAsia" w:ascii="宋体" w:hAnsi="宋体" w:cs="宋体"/>
                <w:sz w:val="18"/>
                <w:szCs w:val="18"/>
              </w:rPr>
              <w:t>提供检测报告</w:t>
            </w:r>
          </w:p>
        </w:tc>
        <w:tc>
          <w:tcPr>
            <w:tcW w:w="1466" w:type="dxa"/>
            <w:vAlign w:val="center"/>
          </w:tcPr>
          <w:p>
            <w:pPr>
              <w:jc w:val="center"/>
              <w:rPr>
                <w:sz w:val="18"/>
                <w:lang w:bidi="ar"/>
              </w:rPr>
            </w:pPr>
            <w:r>
              <w:rPr>
                <w:rFonts w:hint="eastAsia" w:ascii="宋体" w:hAnsi="宋体" w:cs="宋体"/>
                <w:sz w:val="18"/>
                <w:szCs w:val="18"/>
              </w:rPr>
              <w:t>提供认证结果</w:t>
            </w:r>
          </w:p>
        </w:tc>
        <w:tc>
          <w:tcPr>
            <w:tcW w:w="1378" w:type="dxa"/>
            <w:vAlign w:val="center"/>
          </w:tcPr>
          <w:p>
            <w:pPr>
              <w:jc w:val="center"/>
              <w:rPr>
                <w:sz w:val="18"/>
                <w:lang w:bidi="ar"/>
              </w:rPr>
            </w:pPr>
            <w:r>
              <w:rPr>
                <w:rFonts w:hint="eastAsia" w:ascii="宋体" w:hAnsi="宋体" w:cs="宋体"/>
                <w:sz w:val="18"/>
                <w:szCs w:val="18"/>
              </w:rPr>
              <w:t xml:space="preserve">附录 </w:t>
            </w:r>
            <w:r>
              <w:rPr>
                <w:rFonts w:hint="eastAsia" w:ascii="Times New Roman" w:hAnsi="Times New Roman" w:eastAsia="宋体" w:cs="Times New Roman"/>
                <w:kern w:val="2"/>
                <w:sz w:val="18"/>
                <w:szCs w:val="24"/>
                <w:lang w:val="en-US" w:eastAsia="zh-CN" w:bidi="ar"/>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35" w:type="dxa"/>
            <w:vMerge w:val="continue"/>
            <w:vAlign w:val="center"/>
          </w:tcPr>
          <w:p>
            <w:pPr>
              <w:pStyle w:val="155"/>
              <w:spacing w:before="156"/>
              <w:jc w:val="center"/>
              <w:rPr>
                <w:sz w:val="18"/>
              </w:rPr>
            </w:pPr>
          </w:p>
        </w:tc>
        <w:tc>
          <w:tcPr>
            <w:tcW w:w="1975" w:type="dxa"/>
            <w:vAlign w:val="center"/>
          </w:tcPr>
          <w:p>
            <w:pPr>
              <w:pStyle w:val="155"/>
              <w:spacing w:before="156"/>
              <w:jc w:val="center"/>
              <w:rPr>
                <w:sz w:val="18"/>
              </w:rPr>
            </w:pPr>
            <w:r>
              <w:rPr>
                <w:kern w:val="0"/>
                <w:sz w:val="18"/>
                <w:szCs w:val="18"/>
                <w:lang w:bidi="ar"/>
              </w:rPr>
              <w:t>万元产值能耗</w:t>
            </w:r>
          </w:p>
        </w:tc>
        <w:tc>
          <w:tcPr>
            <w:tcW w:w="972" w:type="dxa"/>
            <w:vAlign w:val="center"/>
          </w:tcPr>
          <w:p>
            <w:pPr>
              <w:pStyle w:val="155"/>
              <w:spacing w:before="156"/>
              <w:jc w:val="center"/>
              <w:rPr>
                <w:sz w:val="18"/>
              </w:rPr>
            </w:pPr>
            <w:r>
              <w:rPr>
                <w:sz w:val="18"/>
                <w:lang w:bidi="ar"/>
              </w:rPr>
              <w:t>kW·h/万元</w:t>
            </w:r>
          </w:p>
        </w:tc>
        <w:tc>
          <w:tcPr>
            <w:tcW w:w="4303" w:type="dxa"/>
            <w:gridSpan w:val="3"/>
            <w:vAlign w:val="center"/>
          </w:tcPr>
          <w:p>
            <w:pPr>
              <w:pStyle w:val="155"/>
              <w:spacing w:before="156"/>
              <w:jc w:val="center"/>
              <w:rPr>
                <w:sz w:val="18"/>
              </w:rPr>
            </w:pPr>
            <w:r>
              <w:rPr>
                <w:sz w:val="18"/>
                <w:lang w:bidi="ar"/>
              </w:rPr>
              <w:t>近3年逐年递减</w:t>
            </w:r>
          </w:p>
        </w:tc>
        <w:tc>
          <w:tcPr>
            <w:tcW w:w="1378" w:type="dxa"/>
            <w:vAlign w:val="center"/>
          </w:tcPr>
          <w:p>
            <w:pPr>
              <w:pStyle w:val="155"/>
              <w:spacing w:before="156"/>
              <w:jc w:val="center"/>
              <w:rPr>
                <w:sz w:val="18"/>
                <w:lang w:bidi="ar"/>
              </w:rPr>
            </w:pPr>
            <w:r>
              <w:rPr>
                <w:sz w:val="18"/>
                <w:lang w:bidi="ar"/>
              </w:rPr>
              <w:t>提供证明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035" w:type="dxa"/>
            <w:vMerge w:val="restart"/>
            <w:vAlign w:val="center"/>
          </w:tcPr>
          <w:p>
            <w:pPr>
              <w:pStyle w:val="155"/>
              <w:spacing w:before="156"/>
              <w:jc w:val="center"/>
              <w:rPr>
                <w:sz w:val="18"/>
              </w:rPr>
            </w:pPr>
            <w:r>
              <w:rPr>
                <w:sz w:val="18"/>
              </w:rPr>
              <w:t>环境属性</w:t>
            </w:r>
          </w:p>
        </w:tc>
        <w:tc>
          <w:tcPr>
            <w:tcW w:w="1975" w:type="dxa"/>
            <w:tcBorders>
              <w:bottom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产品可回收利用率</w:t>
            </w:r>
          </w:p>
        </w:tc>
        <w:tc>
          <w:tcPr>
            <w:tcW w:w="972" w:type="dxa"/>
            <w:tcBorders>
              <w:bottom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w:t>
            </w:r>
            <w:r>
              <w:rPr>
                <w:kern w:val="0"/>
                <w:sz w:val="18"/>
                <w:szCs w:val="18"/>
                <w:lang w:bidi="ar"/>
              </w:rPr>
              <w:t>—</w:t>
            </w:r>
          </w:p>
        </w:tc>
        <w:tc>
          <w:tcPr>
            <w:tcW w:w="1383" w:type="dxa"/>
            <w:tcBorders>
              <w:bottom w:val="single" w:color="auto" w:sz="4" w:space="0"/>
            </w:tcBorders>
            <w:vAlign w:val="center"/>
          </w:tcPr>
          <w:p>
            <w:pPr>
              <w:pStyle w:val="11"/>
              <w:spacing w:line="278" w:lineRule="auto"/>
              <w:ind w:right="140"/>
              <w:jc w:val="center"/>
              <w:rPr>
                <w:rFonts w:hint="eastAsia" w:ascii="Times New Roman" w:hAnsi="Times New Roman" w:eastAsia="宋体" w:cs="Times New Roman"/>
                <w:kern w:val="2"/>
                <w:sz w:val="18"/>
                <w:szCs w:val="24"/>
                <w:lang w:val="en-US" w:eastAsia="zh-CN" w:bidi="ar"/>
              </w:rPr>
            </w:pPr>
            <w:r>
              <w:rPr>
                <w:rFonts w:hint="eastAsia" w:ascii="Times New Roman" w:hAnsi="Times New Roman" w:eastAsia="宋体" w:cs="Times New Roman"/>
                <w:kern w:val="2"/>
                <w:sz w:val="18"/>
                <w:szCs w:val="24"/>
                <w:lang w:val="en-US" w:eastAsia="zh-CN" w:bidi="ar"/>
              </w:rPr>
              <w:t xml:space="preserve"> ≥50%</w:t>
            </w:r>
          </w:p>
        </w:tc>
        <w:tc>
          <w:tcPr>
            <w:tcW w:w="1454" w:type="dxa"/>
            <w:tcBorders>
              <w:bottom w:val="single" w:color="auto" w:sz="4" w:space="0"/>
            </w:tcBorders>
            <w:vAlign w:val="center"/>
          </w:tcPr>
          <w:p>
            <w:pPr>
              <w:pStyle w:val="11"/>
              <w:spacing w:line="278" w:lineRule="auto"/>
              <w:ind w:right="140"/>
              <w:jc w:val="center"/>
              <w:rPr>
                <w:rFonts w:hint="eastAsia" w:ascii="Times New Roman" w:hAnsi="Times New Roman" w:eastAsia="宋体" w:cs="Times New Roman"/>
                <w:kern w:val="2"/>
                <w:sz w:val="18"/>
                <w:szCs w:val="24"/>
                <w:lang w:val="en-US" w:eastAsia="zh-CN" w:bidi="ar"/>
              </w:rPr>
            </w:pPr>
            <w:r>
              <w:rPr>
                <w:rFonts w:hint="eastAsia" w:ascii="Times New Roman" w:hAnsi="Times New Roman" w:eastAsia="宋体" w:cs="Times New Roman"/>
                <w:kern w:val="2"/>
                <w:sz w:val="18"/>
                <w:szCs w:val="24"/>
                <w:lang w:val="en-US" w:eastAsia="zh-CN" w:bidi="ar"/>
              </w:rPr>
              <w:t xml:space="preserve"> ≥60%</w:t>
            </w:r>
          </w:p>
        </w:tc>
        <w:tc>
          <w:tcPr>
            <w:tcW w:w="1466" w:type="dxa"/>
            <w:tcBorders>
              <w:bottom w:val="single" w:color="auto" w:sz="4" w:space="0"/>
            </w:tcBorders>
            <w:vAlign w:val="center"/>
          </w:tcPr>
          <w:p>
            <w:pPr>
              <w:pStyle w:val="11"/>
              <w:spacing w:line="278" w:lineRule="auto"/>
              <w:ind w:right="140"/>
              <w:jc w:val="center"/>
              <w:rPr>
                <w:rFonts w:hint="eastAsia" w:ascii="Times New Roman" w:hAnsi="Times New Roman" w:eastAsia="宋体" w:cs="Times New Roman"/>
                <w:kern w:val="2"/>
                <w:sz w:val="18"/>
                <w:szCs w:val="24"/>
                <w:lang w:val="en-US" w:eastAsia="zh-CN" w:bidi="ar"/>
              </w:rPr>
            </w:pPr>
            <w:r>
              <w:rPr>
                <w:rFonts w:hint="eastAsia" w:ascii="Times New Roman" w:hAnsi="Times New Roman" w:eastAsia="宋体" w:cs="Times New Roman"/>
                <w:kern w:val="2"/>
                <w:sz w:val="18"/>
                <w:szCs w:val="24"/>
                <w:lang w:val="en-US" w:eastAsia="zh-CN" w:bidi="ar"/>
              </w:rPr>
              <w:t>≥80%</w:t>
            </w:r>
          </w:p>
        </w:tc>
        <w:tc>
          <w:tcPr>
            <w:tcW w:w="1378" w:type="dxa"/>
            <w:tcBorders>
              <w:bottom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w:t>
            </w:r>
            <w:r>
              <w:rPr>
                <w:rFonts w:hint="eastAsia"/>
                <w:sz w:val="18"/>
                <w:szCs w:val="24"/>
                <w:lang w:bidi="ar"/>
              </w:rPr>
              <w:t>GB/T 20862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035" w:type="dxa"/>
            <w:vMerge w:val="continue"/>
            <w:tcBorders>
              <w:bottom w:val="single" w:color="auto" w:sz="4" w:space="0"/>
            </w:tcBorders>
            <w:vAlign w:val="center"/>
          </w:tcPr>
          <w:p>
            <w:pPr>
              <w:pStyle w:val="155"/>
              <w:spacing w:before="156"/>
              <w:jc w:val="center"/>
              <w:rPr>
                <w:sz w:val="18"/>
              </w:rPr>
            </w:pPr>
          </w:p>
        </w:tc>
        <w:tc>
          <w:tcPr>
            <w:tcW w:w="1975" w:type="dxa"/>
            <w:tcBorders>
              <w:bottom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环保要求</w:t>
            </w:r>
          </w:p>
        </w:tc>
        <w:tc>
          <w:tcPr>
            <w:tcW w:w="972" w:type="dxa"/>
            <w:tcBorders>
              <w:bottom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w:t>
            </w:r>
            <w:r>
              <w:rPr>
                <w:kern w:val="0"/>
                <w:sz w:val="18"/>
                <w:szCs w:val="18"/>
                <w:lang w:bidi="ar"/>
              </w:rPr>
              <w:t>—</w:t>
            </w:r>
          </w:p>
        </w:tc>
        <w:tc>
          <w:tcPr>
            <w:tcW w:w="4303" w:type="dxa"/>
            <w:gridSpan w:val="3"/>
            <w:tcBorders>
              <w:bottom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生产过程中的废气、废水、恶臭污染物、工业固体废物、厂界噪音等应符合当地污染物综合排放标准要求</w:t>
            </w:r>
          </w:p>
        </w:tc>
        <w:tc>
          <w:tcPr>
            <w:tcW w:w="1378" w:type="dxa"/>
            <w:tcBorders>
              <w:bottom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提供证明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035" w:type="dxa"/>
            <w:vMerge w:val="continue"/>
            <w:tcBorders>
              <w:bottom w:val="single" w:color="auto" w:sz="4" w:space="0"/>
            </w:tcBorders>
            <w:vAlign w:val="center"/>
          </w:tcPr>
          <w:p>
            <w:pPr>
              <w:pStyle w:val="155"/>
              <w:spacing w:before="156"/>
              <w:jc w:val="center"/>
              <w:rPr>
                <w:sz w:val="18"/>
              </w:rPr>
            </w:pPr>
          </w:p>
        </w:tc>
        <w:tc>
          <w:tcPr>
            <w:tcW w:w="1975" w:type="dxa"/>
            <w:tcBorders>
              <w:bottom w:val="single" w:color="auto" w:sz="4" w:space="0"/>
            </w:tcBorders>
            <w:vAlign w:val="center"/>
          </w:tcPr>
          <w:p>
            <w:pPr>
              <w:pStyle w:val="11"/>
              <w:spacing w:line="278" w:lineRule="auto"/>
              <w:ind w:right="140"/>
              <w:jc w:val="center"/>
              <w:rPr>
                <w:sz w:val="18"/>
              </w:rPr>
            </w:pPr>
            <w:r>
              <w:rPr>
                <w:rFonts w:hint="eastAsia" w:ascii="宋体" w:hAnsi="宋体" w:cs="宋体"/>
                <w:sz w:val="18"/>
                <w:szCs w:val="18"/>
              </w:rPr>
              <w:t>产品绿色设计</w:t>
            </w:r>
          </w:p>
        </w:tc>
        <w:tc>
          <w:tcPr>
            <w:tcW w:w="972" w:type="dxa"/>
            <w:tcBorders>
              <w:bottom w:val="single" w:color="auto" w:sz="4" w:space="0"/>
            </w:tcBorders>
            <w:vAlign w:val="center"/>
          </w:tcPr>
          <w:p>
            <w:pPr>
              <w:pStyle w:val="11"/>
              <w:spacing w:line="278" w:lineRule="auto"/>
              <w:ind w:right="140"/>
              <w:jc w:val="center"/>
              <w:rPr>
                <w:sz w:val="18"/>
              </w:rPr>
            </w:pPr>
            <w:r>
              <w:rPr>
                <w:rFonts w:hint="eastAsia" w:ascii="宋体" w:hAnsi="宋体" w:cs="宋体"/>
                <w:sz w:val="18"/>
                <w:szCs w:val="18"/>
              </w:rPr>
              <w:t xml:space="preserve"> </w:t>
            </w:r>
            <w:r>
              <w:rPr>
                <w:kern w:val="0"/>
                <w:sz w:val="18"/>
                <w:szCs w:val="18"/>
                <w:lang w:bidi="ar"/>
              </w:rPr>
              <w:t>—</w:t>
            </w:r>
          </w:p>
        </w:tc>
        <w:tc>
          <w:tcPr>
            <w:tcW w:w="4303" w:type="dxa"/>
            <w:gridSpan w:val="3"/>
            <w:tcBorders>
              <w:bottom w:val="single" w:color="auto" w:sz="4" w:space="0"/>
            </w:tcBorders>
            <w:vAlign w:val="center"/>
          </w:tcPr>
          <w:p>
            <w:pPr>
              <w:pStyle w:val="11"/>
              <w:spacing w:line="278" w:lineRule="auto"/>
              <w:ind w:right="140"/>
              <w:jc w:val="center"/>
              <w:rPr>
                <w:sz w:val="18"/>
              </w:rPr>
            </w:pPr>
            <w:r>
              <w:rPr>
                <w:rFonts w:hint="eastAsia" w:ascii="宋体" w:hAnsi="宋体" w:cs="宋体"/>
                <w:sz w:val="18"/>
                <w:szCs w:val="18"/>
              </w:rPr>
              <w:t>提供产品绿色设计自我声明</w:t>
            </w:r>
          </w:p>
        </w:tc>
        <w:tc>
          <w:tcPr>
            <w:tcW w:w="1378" w:type="dxa"/>
            <w:tcBorders>
              <w:bottom w:val="single" w:color="auto" w:sz="4" w:space="0"/>
            </w:tcBorders>
            <w:vAlign w:val="center"/>
          </w:tcPr>
          <w:p>
            <w:pPr>
              <w:pStyle w:val="11"/>
              <w:spacing w:line="278" w:lineRule="auto"/>
              <w:ind w:right="140"/>
              <w:jc w:val="center"/>
              <w:rPr>
                <w:sz w:val="18"/>
              </w:rPr>
            </w:pPr>
            <w:r>
              <w:rPr>
                <w:rFonts w:hint="eastAsia"/>
                <w:sz w:val="18"/>
                <w:szCs w:val="24"/>
                <w:lang w:bidi="ar"/>
              </w:rPr>
              <w:t xml:space="preserve"> GB/T 24256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35" w:type="dxa"/>
            <w:vMerge w:val="restart"/>
            <w:tcBorders>
              <w:left w:val="single" w:color="auto" w:sz="4" w:space="0"/>
              <w:right w:val="single" w:color="auto" w:sz="4" w:space="0"/>
            </w:tcBorders>
            <w:vAlign w:val="center"/>
          </w:tcPr>
          <w:p>
            <w:pPr>
              <w:pStyle w:val="155"/>
              <w:spacing w:before="156"/>
              <w:jc w:val="center"/>
              <w:rPr>
                <w:sz w:val="18"/>
              </w:rPr>
            </w:pPr>
            <w:r>
              <w:rPr>
                <w:sz w:val="18"/>
              </w:rPr>
              <w:t>品质属性</w:t>
            </w:r>
          </w:p>
        </w:tc>
        <w:tc>
          <w:tcPr>
            <w:tcW w:w="1975" w:type="dxa"/>
            <w:tcBorders>
              <w:top w:val="single" w:color="auto" w:sz="4" w:space="0"/>
              <w:left w:val="single" w:color="auto" w:sz="4" w:space="0"/>
              <w:bottom w:val="single" w:color="auto" w:sz="4" w:space="0"/>
              <w:right w:val="single" w:color="auto" w:sz="4" w:space="0"/>
            </w:tcBorders>
            <w:vAlign w:val="center"/>
          </w:tcPr>
          <w:p>
            <w:pPr>
              <w:pStyle w:val="155"/>
              <w:spacing w:before="120"/>
              <w:jc w:val="center"/>
              <w:rPr>
                <w:sz w:val="18"/>
              </w:rPr>
            </w:pPr>
            <w:r>
              <w:rPr>
                <w:rFonts w:hint="eastAsia" w:ascii="宋体" w:hAnsi="宋体" w:cs="宋体"/>
                <w:sz w:val="18"/>
                <w:szCs w:val="18"/>
              </w:rPr>
              <w:t>产品温升实测值应低于相应温升限值</w:t>
            </w:r>
          </w:p>
        </w:tc>
        <w:tc>
          <w:tcPr>
            <w:tcW w:w="972" w:type="dxa"/>
            <w:tcBorders>
              <w:top w:val="single" w:color="auto" w:sz="4" w:space="0"/>
              <w:left w:val="single" w:color="auto" w:sz="4" w:space="0"/>
              <w:bottom w:val="single" w:color="auto" w:sz="4" w:space="0"/>
              <w:right w:val="single" w:color="auto" w:sz="4" w:space="0"/>
            </w:tcBorders>
            <w:vAlign w:val="center"/>
          </w:tcPr>
          <w:p>
            <w:pPr>
              <w:pStyle w:val="155"/>
              <w:spacing w:before="156"/>
              <w:jc w:val="center"/>
              <w:rPr>
                <w:sz w:val="18"/>
              </w:rPr>
            </w:pPr>
            <w:r>
              <w:rPr>
                <w:rFonts w:hint="eastAsia" w:ascii="Times New Roman" w:hAnsi="Times New Roman" w:eastAsia="宋体" w:cs="Times New Roman"/>
                <w:kern w:val="2"/>
                <w:sz w:val="18"/>
                <w:szCs w:val="24"/>
                <w:lang w:val="en-US" w:eastAsia="zh-CN" w:bidi="ar"/>
              </w:rPr>
              <w:t>K</w:t>
            </w:r>
          </w:p>
        </w:tc>
        <w:tc>
          <w:tcPr>
            <w:tcW w:w="1383" w:type="dxa"/>
            <w:tcBorders>
              <w:top w:val="single" w:color="auto" w:sz="4" w:space="0"/>
              <w:left w:val="single" w:color="auto" w:sz="4" w:space="0"/>
              <w:bottom w:val="single" w:color="auto" w:sz="4" w:space="0"/>
              <w:right w:val="single" w:color="auto" w:sz="4" w:space="0"/>
            </w:tcBorders>
            <w:vAlign w:val="center"/>
          </w:tcPr>
          <w:p>
            <w:pPr>
              <w:pStyle w:val="155"/>
              <w:spacing w:before="156"/>
              <w:jc w:val="center"/>
              <w:rPr>
                <w:sz w:val="18"/>
              </w:rPr>
            </w:pPr>
            <w:r>
              <w:rPr>
                <w:kern w:val="0"/>
                <w:sz w:val="18"/>
                <w:szCs w:val="18"/>
                <w:lang w:bidi="ar"/>
              </w:rPr>
              <w:t>—</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pStyle w:val="155"/>
              <w:spacing w:before="156"/>
              <w:jc w:val="center"/>
              <w:rPr>
                <w:sz w:val="18"/>
              </w:rPr>
            </w:pPr>
            <w:r>
              <w:rPr>
                <w:rFonts w:hint="eastAsia" w:ascii="Times New Roman" w:hAnsi="Times New Roman" w:eastAsia="宋体" w:cs="Times New Roman"/>
                <w:kern w:val="2"/>
                <w:sz w:val="18"/>
                <w:szCs w:val="24"/>
                <w:lang w:val="en-US" w:eastAsia="zh-CN" w:bidi="ar"/>
              </w:rPr>
              <w:t>≥5</w:t>
            </w:r>
          </w:p>
        </w:tc>
        <w:tc>
          <w:tcPr>
            <w:tcW w:w="1378" w:type="dxa"/>
            <w:tcBorders>
              <w:top w:val="single" w:color="auto" w:sz="4" w:space="0"/>
              <w:left w:val="single" w:color="auto" w:sz="4" w:space="0"/>
              <w:bottom w:val="single" w:color="auto" w:sz="4" w:space="0"/>
              <w:right w:val="single" w:color="auto" w:sz="4" w:space="0"/>
            </w:tcBorders>
            <w:vAlign w:val="center"/>
          </w:tcPr>
          <w:p>
            <w:pPr>
              <w:pStyle w:val="155"/>
              <w:spacing w:before="156"/>
              <w:jc w:val="center"/>
              <w:rPr>
                <w:sz w:val="18"/>
              </w:rPr>
            </w:pPr>
            <w:r>
              <w:rPr>
                <w:sz w:val="18"/>
              </w:rPr>
              <w:t>GB/T 7251.1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35" w:type="dxa"/>
            <w:vMerge w:val="continue"/>
            <w:tcBorders>
              <w:left w:val="single" w:color="auto" w:sz="4" w:space="0"/>
              <w:right w:val="single" w:color="auto" w:sz="4" w:space="0"/>
            </w:tcBorders>
            <w:vAlign w:val="center"/>
          </w:tcPr>
          <w:p>
            <w:pPr>
              <w:pStyle w:val="155"/>
              <w:spacing w:before="156"/>
              <w:jc w:val="center"/>
              <w:rPr>
                <w:sz w:val="18"/>
              </w:rPr>
            </w:pPr>
          </w:p>
        </w:tc>
        <w:tc>
          <w:tcPr>
            <w:tcW w:w="1975" w:type="dxa"/>
            <w:tcBorders>
              <w:top w:val="single" w:color="auto" w:sz="4" w:space="0"/>
              <w:left w:val="single" w:color="auto" w:sz="4" w:space="0"/>
              <w:bottom w:val="single" w:color="auto" w:sz="4" w:space="0"/>
              <w:right w:val="single" w:color="auto" w:sz="4" w:space="0"/>
            </w:tcBorders>
            <w:vAlign w:val="center"/>
          </w:tcPr>
          <w:p>
            <w:pPr>
              <w:pStyle w:val="155"/>
              <w:spacing w:before="120"/>
              <w:jc w:val="center"/>
              <w:rPr>
                <w:sz w:val="18"/>
              </w:rPr>
            </w:pPr>
            <w:r>
              <w:rPr>
                <w:rFonts w:hint="eastAsia" w:ascii="宋体" w:hAnsi="宋体" w:cs="宋体"/>
                <w:sz w:val="18"/>
                <w:szCs w:val="18"/>
              </w:rPr>
              <w:t>保护电路最大电阻值</w:t>
            </w:r>
          </w:p>
        </w:tc>
        <w:tc>
          <w:tcPr>
            <w:tcW w:w="972" w:type="dxa"/>
            <w:tcBorders>
              <w:top w:val="single" w:color="auto" w:sz="4" w:space="0"/>
              <w:left w:val="single" w:color="auto" w:sz="4" w:space="0"/>
              <w:bottom w:val="single" w:color="auto" w:sz="4" w:space="0"/>
              <w:right w:val="single" w:color="auto" w:sz="4" w:space="0"/>
            </w:tcBorders>
            <w:vAlign w:val="center"/>
          </w:tcPr>
          <w:p>
            <w:pPr>
              <w:pStyle w:val="155"/>
              <w:spacing w:before="156"/>
              <w:jc w:val="center"/>
              <w:rPr>
                <w:rFonts w:hint="eastAsia" w:eastAsia="宋体"/>
                <w:sz w:val="18"/>
                <w:lang w:eastAsia="zh-CN"/>
              </w:rPr>
            </w:pPr>
            <w:r>
              <w:rPr>
                <w:rFonts w:hint="default"/>
                <w:sz w:val="18"/>
                <w:lang w:val="en-US" w:eastAsia="zh-CN" w:bidi="ar"/>
              </w:rPr>
              <w:t>mΩ</w:t>
            </w:r>
          </w:p>
        </w:tc>
        <w:tc>
          <w:tcPr>
            <w:tcW w:w="1383"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hint="eastAsia" w:ascii="Times New Roman" w:hAnsi="Times New Roman" w:eastAsia="宋体" w:cs="Times New Roman"/>
                <w:kern w:val="2"/>
                <w:sz w:val="18"/>
                <w:szCs w:val="24"/>
                <w:lang w:val="en-US" w:eastAsia="zh-CN" w:bidi="ar"/>
              </w:rPr>
            </w:pPr>
            <w:r>
              <w:rPr>
                <w:rFonts w:hint="eastAsia" w:ascii="Times New Roman" w:hAnsi="Times New Roman" w:eastAsia="宋体" w:cs="Times New Roman"/>
                <w:kern w:val="2"/>
                <w:sz w:val="18"/>
                <w:szCs w:val="24"/>
                <w:lang w:val="en-US" w:eastAsia="zh-CN" w:bidi="ar"/>
              </w:rPr>
              <w:t xml:space="preserve"> ≤50</w:t>
            </w:r>
          </w:p>
        </w:tc>
        <w:tc>
          <w:tcPr>
            <w:tcW w:w="1454"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hint="eastAsia" w:ascii="Times New Roman" w:hAnsi="Times New Roman" w:eastAsia="宋体" w:cs="Times New Roman"/>
                <w:kern w:val="2"/>
                <w:sz w:val="18"/>
                <w:szCs w:val="24"/>
                <w:lang w:val="en-US" w:eastAsia="zh-CN" w:bidi="ar"/>
              </w:rPr>
            </w:pPr>
            <w:r>
              <w:rPr>
                <w:rFonts w:hint="eastAsia" w:ascii="Times New Roman" w:hAnsi="Times New Roman" w:eastAsia="宋体" w:cs="Times New Roman"/>
                <w:kern w:val="2"/>
                <w:sz w:val="18"/>
                <w:szCs w:val="24"/>
                <w:lang w:val="en-US" w:eastAsia="zh-CN" w:bidi="ar"/>
              </w:rPr>
              <w:t xml:space="preserve"> ≤20</w:t>
            </w:r>
          </w:p>
        </w:tc>
        <w:tc>
          <w:tcPr>
            <w:tcW w:w="1466"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hint="eastAsia" w:ascii="Times New Roman" w:hAnsi="Times New Roman" w:eastAsia="宋体" w:cs="Times New Roman"/>
                <w:kern w:val="2"/>
                <w:sz w:val="18"/>
                <w:szCs w:val="24"/>
                <w:lang w:val="en-US" w:eastAsia="zh-CN" w:bidi="ar"/>
              </w:rPr>
            </w:pPr>
            <w:r>
              <w:rPr>
                <w:rFonts w:hint="eastAsia" w:ascii="Times New Roman" w:hAnsi="Times New Roman" w:eastAsia="宋体" w:cs="Times New Roman"/>
                <w:kern w:val="2"/>
                <w:sz w:val="18"/>
                <w:szCs w:val="24"/>
                <w:lang w:val="en-US" w:eastAsia="zh-CN" w:bidi="ar"/>
              </w:rPr>
              <w:t xml:space="preserve"> ≤10</w:t>
            </w:r>
          </w:p>
        </w:tc>
        <w:tc>
          <w:tcPr>
            <w:tcW w:w="1378"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rFonts w:hint="eastAsia"/>
                <w:sz w:val="18"/>
              </w:rPr>
              <w:t xml:space="preserve"> GB/T 7251.12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35" w:type="dxa"/>
            <w:vMerge w:val="continue"/>
            <w:tcBorders>
              <w:left w:val="single" w:color="auto" w:sz="4" w:space="0"/>
              <w:right w:val="single" w:color="auto" w:sz="4" w:space="0"/>
            </w:tcBorders>
            <w:vAlign w:val="center"/>
          </w:tcPr>
          <w:p>
            <w:pPr>
              <w:pStyle w:val="155"/>
              <w:spacing w:before="156"/>
              <w:jc w:val="center"/>
              <w:rPr>
                <w:sz w:val="18"/>
              </w:rPr>
            </w:pPr>
          </w:p>
        </w:tc>
        <w:tc>
          <w:tcPr>
            <w:tcW w:w="1975"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元器件外部的电气间隙及爬电距离</w:t>
            </w:r>
          </w:p>
        </w:tc>
        <w:tc>
          <w:tcPr>
            <w:tcW w:w="972"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w:t>
            </w:r>
            <w:r>
              <w:rPr>
                <w:rFonts w:hint="eastAsia" w:ascii="Times New Roman" w:hAnsi="Times New Roman" w:eastAsia="宋体" w:cs="Times New Roman"/>
                <w:kern w:val="2"/>
                <w:sz w:val="18"/>
                <w:szCs w:val="24"/>
                <w:lang w:val="en-US" w:eastAsia="zh-CN" w:bidi="ar"/>
              </w:rPr>
              <w:t>mm</w:t>
            </w:r>
          </w:p>
        </w:tc>
        <w:tc>
          <w:tcPr>
            <w:tcW w:w="1383"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电气间隙</w:t>
            </w:r>
            <w:r>
              <w:rPr>
                <w:rFonts w:hint="eastAsia" w:ascii="Times New Roman" w:hAnsi="Times New Roman" w:eastAsia="宋体" w:cs="Times New Roman"/>
                <w:kern w:val="2"/>
                <w:sz w:val="18"/>
                <w:szCs w:val="24"/>
                <w:lang w:val="en-US" w:eastAsia="zh-CN" w:bidi="ar"/>
              </w:rPr>
              <w:t>≥5.5</w:t>
            </w:r>
          </w:p>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爬电距离</w:t>
            </w:r>
            <w:r>
              <w:rPr>
                <w:rFonts w:hint="eastAsia" w:ascii="Times New Roman" w:hAnsi="Times New Roman" w:eastAsia="宋体" w:cs="Times New Roman"/>
                <w:kern w:val="2"/>
                <w:sz w:val="18"/>
                <w:szCs w:val="24"/>
                <w:lang w:val="en-US" w:eastAsia="zh-CN" w:bidi="ar"/>
              </w:rPr>
              <w:t>≥6.3</w:t>
            </w:r>
          </w:p>
        </w:tc>
        <w:tc>
          <w:tcPr>
            <w:tcW w:w="1454"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电气间隙</w:t>
            </w:r>
            <w:r>
              <w:rPr>
                <w:rFonts w:hint="eastAsia" w:ascii="Times New Roman" w:hAnsi="Times New Roman" w:eastAsia="宋体" w:cs="Times New Roman"/>
                <w:kern w:val="2"/>
                <w:sz w:val="18"/>
                <w:szCs w:val="24"/>
                <w:lang w:val="en-US" w:eastAsia="zh-CN" w:bidi="ar"/>
              </w:rPr>
              <w:t>≥6.3</w:t>
            </w:r>
          </w:p>
          <w:p>
            <w:pPr>
              <w:pStyle w:val="11"/>
              <w:spacing w:line="278" w:lineRule="auto"/>
              <w:ind w:right="140"/>
              <w:jc w:val="center"/>
              <w:rPr>
                <w:rFonts w:ascii="宋体" w:hAnsi="宋体" w:cs="宋体"/>
                <w:sz w:val="18"/>
                <w:szCs w:val="18"/>
              </w:rPr>
            </w:pPr>
            <w:r>
              <w:rPr>
                <w:rFonts w:hint="eastAsia" w:ascii="宋体" w:hAnsi="宋体" w:cs="宋体"/>
                <w:sz w:val="18"/>
                <w:szCs w:val="18"/>
              </w:rPr>
              <w:t>爬电距离</w:t>
            </w:r>
            <w:r>
              <w:rPr>
                <w:rFonts w:hint="eastAsia" w:ascii="Times New Roman" w:hAnsi="Times New Roman" w:eastAsia="宋体" w:cs="Times New Roman"/>
                <w:kern w:val="2"/>
                <w:sz w:val="18"/>
                <w:szCs w:val="24"/>
                <w:lang w:val="en-US" w:eastAsia="zh-CN" w:bidi="ar"/>
              </w:rPr>
              <w:t>≥8</w:t>
            </w:r>
          </w:p>
        </w:tc>
        <w:tc>
          <w:tcPr>
            <w:tcW w:w="1466"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电气间隙</w:t>
            </w:r>
            <w:r>
              <w:rPr>
                <w:rFonts w:hint="eastAsia" w:ascii="Times New Roman" w:hAnsi="Times New Roman" w:eastAsia="宋体" w:cs="Times New Roman"/>
                <w:kern w:val="2"/>
                <w:sz w:val="18"/>
                <w:szCs w:val="24"/>
                <w:lang w:val="en-US" w:eastAsia="zh-CN" w:bidi="ar"/>
              </w:rPr>
              <w:t>≥8</w:t>
            </w:r>
          </w:p>
          <w:p>
            <w:pPr>
              <w:pStyle w:val="11"/>
              <w:spacing w:line="278" w:lineRule="auto"/>
              <w:ind w:right="140"/>
              <w:jc w:val="center"/>
              <w:rPr>
                <w:rFonts w:ascii="宋体" w:hAnsi="宋体" w:cs="宋体"/>
                <w:sz w:val="18"/>
                <w:szCs w:val="18"/>
              </w:rPr>
            </w:pPr>
            <w:r>
              <w:rPr>
                <w:rFonts w:hint="eastAsia" w:ascii="宋体" w:hAnsi="宋体" w:cs="宋体"/>
                <w:sz w:val="18"/>
                <w:szCs w:val="18"/>
              </w:rPr>
              <w:t xml:space="preserve"> 爬电距离</w:t>
            </w:r>
            <w:r>
              <w:rPr>
                <w:rFonts w:hint="eastAsia" w:ascii="Times New Roman" w:hAnsi="Times New Roman" w:eastAsia="宋体" w:cs="Times New Roman"/>
                <w:kern w:val="2"/>
                <w:sz w:val="18"/>
                <w:szCs w:val="24"/>
                <w:lang w:val="en-US" w:eastAsia="zh-CN" w:bidi="ar"/>
              </w:rPr>
              <w:t>≥10</w:t>
            </w:r>
          </w:p>
        </w:tc>
        <w:tc>
          <w:tcPr>
            <w:tcW w:w="1378"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rFonts w:hint="eastAsia"/>
                <w:sz w:val="18"/>
                <w:szCs w:val="24"/>
              </w:rPr>
              <w:t xml:space="preserve"> GB/T 7251.3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1035" w:type="dxa"/>
            <w:vMerge w:val="continue"/>
            <w:tcBorders>
              <w:left w:val="single" w:color="auto" w:sz="4" w:space="0"/>
              <w:right w:val="single" w:color="auto" w:sz="4" w:space="0"/>
            </w:tcBorders>
            <w:vAlign w:val="center"/>
          </w:tcPr>
          <w:p>
            <w:pPr>
              <w:pStyle w:val="155"/>
              <w:spacing w:before="156"/>
              <w:jc w:val="center"/>
              <w:rPr>
                <w:sz w:val="18"/>
              </w:rPr>
            </w:pPr>
          </w:p>
        </w:tc>
        <w:tc>
          <w:tcPr>
            <w:tcW w:w="1975"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rFonts w:hint="eastAsia" w:ascii="宋体" w:hAnsi="宋体" w:cs="宋体"/>
                <w:sz w:val="18"/>
                <w:szCs w:val="18"/>
              </w:rPr>
              <w:t>产品安全和性能</w:t>
            </w:r>
          </w:p>
        </w:tc>
        <w:tc>
          <w:tcPr>
            <w:tcW w:w="972"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rFonts w:hint="eastAsia"/>
                <w:kern w:val="0"/>
                <w:sz w:val="18"/>
                <w:szCs w:val="18"/>
                <w:lang w:bidi="ar"/>
              </w:rPr>
              <w:t xml:space="preserve"> </w:t>
            </w:r>
            <w:r>
              <w:rPr>
                <w:kern w:val="0"/>
                <w:sz w:val="18"/>
                <w:szCs w:val="18"/>
                <w:lang w:bidi="ar"/>
              </w:rPr>
              <w:t>—</w:t>
            </w:r>
          </w:p>
        </w:tc>
        <w:tc>
          <w:tcPr>
            <w:tcW w:w="1383"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kern w:val="0"/>
                <w:sz w:val="18"/>
                <w:szCs w:val="18"/>
                <w:lang w:bidi="ar"/>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rFonts w:hint="eastAsia" w:ascii="宋体" w:hAnsi="宋体" w:cs="宋体"/>
                <w:sz w:val="18"/>
                <w:szCs w:val="18"/>
              </w:rPr>
              <w:t>具备产品使用工况或特定用途等的性能检测或评价结果</w:t>
            </w:r>
          </w:p>
        </w:tc>
        <w:tc>
          <w:tcPr>
            <w:tcW w:w="1466"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rFonts w:hint="eastAsia" w:ascii="宋体" w:hAnsi="宋体" w:cs="宋体"/>
                <w:sz w:val="18"/>
                <w:szCs w:val="18"/>
              </w:rPr>
              <w:t>具备产品使用工况或特定用途等的认证结果</w:t>
            </w:r>
          </w:p>
        </w:tc>
        <w:tc>
          <w:tcPr>
            <w:tcW w:w="1378" w:type="dxa"/>
            <w:tcBorders>
              <w:top w:val="single" w:color="auto" w:sz="4" w:space="0"/>
              <w:left w:val="single" w:color="auto" w:sz="4" w:space="0"/>
              <w:bottom w:val="single" w:color="auto" w:sz="4" w:space="0"/>
              <w:right w:val="single" w:color="auto" w:sz="4" w:space="0"/>
            </w:tcBorders>
            <w:vAlign w:val="center"/>
          </w:tcPr>
          <w:p>
            <w:pPr>
              <w:pStyle w:val="11"/>
              <w:spacing w:line="278" w:lineRule="auto"/>
              <w:ind w:right="140"/>
              <w:jc w:val="center"/>
              <w:rPr>
                <w:sz w:val="18"/>
              </w:rPr>
            </w:pPr>
            <w:r>
              <w:rPr>
                <w:rFonts w:hint="eastAsia" w:ascii="宋体" w:hAnsi="宋体" w:cs="宋体"/>
                <w:sz w:val="18"/>
                <w:szCs w:val="18"/>
              </w:rPr>
              <w:t>提供证明</w:t>
            </w:r>
          </w:p>
        </w:tc>
      </w:tr>
    </w:tbl>
    <w:p>
      <w:pPr>
        <w:pStyle w:val="26"/>
        <w:spacing w:before="156" w:beforeLines="50"/>
        <w:ind w:firstLine="0" w:firstLineChars="0"/>
        <w:jc w:val="center"/>
        <w:rPr>
          <w:rFonts w:ascii="黑体" w:hAnsi="黑体" w:eastAsia="黑体" w:cs="黑体"/>
          <w:color w:val="000000"/>
          <w:szCs w:val="21"/>
        </w:rPr>
      </w:pPr>
    </w:p>
    <w:p>
      <w:pPr>
        <w:pStyle w:val="85"/>
        <w:outlineLvl w:val="0"/>
        <w:rPr>
          <w:rFonts w:hAnsi="黑体"/>
        </w:rPr>
      </w:pPr>
      <w:bookmarkStart w:id="61" w:name="_Toc532992148"/>
      <w:r>
        <w:rPr>
          <w:rFonts w:hint="eastAsia" w:hAnsi="黑体"/>
        </w:rPr>
        <w:t>评价</w:t>
      </w:r>
      <w:bookmarkEnd w:id="61"/>
      <w:r>
        <w:rPr>
          <w:rFonts w:hint="eastAsia" w:hAnsi="黑体"/>
        </w:rPr>
        <w:t>方法</w:t>
      </w:r>
    </w:p>
    <w:p>
      <w:pPr>
        <w:pStyle w:val="50"/>
        <w:numPr>
          <w:ilvl w:val="1"/>
          <w:numId w:val="18"/>
        </w:numPr>
        <w:spacing w:before="0" w:beforeLines="0" w:after="0" w:afterLines="0"/>
        <w:rPr>
          <w:rFonts w:ascii="Times New Roman" w:eastAsia="宋体"/>
          <w:szCs w:val="20"/>
        </w:rPr>
      </w:pPr>
      <w:bookmarkStart w:id="62" w:name="_Toc532992149"/>
      <w:r>
        <w:rPr>
          <w:rFonts w:ascii="Times New Roman" w:eastAsia="宋体"/>
          <w:szCs w:val="20"/>
        </w:rPr>
        <w:t>生</w:t>
      </w:r>
      <w:r>
        <w:rPr>
          <w:rFonts w:ascii="Times New Roman" w:eastAsia="宋体"/>
        </w:rPr>
        <w:t>产企业</w:t>
      </w:r>
      <w:r>
        <w:rPr>
          <w:rFonts w:hint="eastAsia" w:ascii="Times New Roman" w:eastAsia="宋体"/>
        </w:rPr>
        <w:t>符合</w:t>
      </w:r>
      <w:r>
        <w:rPr>
          <w:rFonts w:ascii="Times New Roman" w:eastAsia="宋体"/>
        </w:rPr>
        <w:t>第4章对应评价等级的全部要求时，判定评价结果符合该评价等级规定。</w:t>
      </w:r>
    </w:p>
    <w:bookmarkEnd w:id="62"/>
    <w:p>
      <w:pPr>
        <w:pStyle w:val="50"/>
        <w:numPr>
          <w:ilvl w:val="1"/>
          <w:numId w:val="18"/>
        </w:numPr>
        <w:spacing w:before="0" w:beforeLines="0" w:after="0" w:afterLines="0"/>
        <w:outlineLvl w:val="1"/>
      </w:pPr>
      <w:bookmarkStart w:id="63" w:name="_Toc532992150"/>
      <w:r>
        <w:rPr>
          <w:rFonts w:ascii="Times New Roman" w:eastAsia="宋体"/>
        </w:rPr>
        <w:t>生</w:t>
      </w:r>
      <w:bookmarkEnd w:id="63"/>
      <w:r>
        <w:rPr>
          <w:rFonts w:ascii="Times New Roman" w:eastAsia="宋体"/>
          <w:szCs w:val="20"/>
        </w:rPr>
        <w:t>产企业应按第4章的规定提供相关证明文件。</w:t>
      </w:r>
    </w:p>
    <w:p>
      <w:pPr>
        <w:pStyle w:val="11"/>
        <w:tabs>
          <w:tab w:val="left" w:pos="419"/>
          <w:tab w:val="left" w:pos="839"/>
        </w:tabs>
        <w:spacing w:before="70"/>
        <w:ind w:right="360"/>
        <w:jc w:val="center"/>
        <w:outlineLvl w:val="0"/>
        <w:rPr>
          <w:rFonts w:ascii="黑体" w:eastAsia="黑体"/>
        </w:rPr>
      </w:pPr>
    </w:p>
    <w:p>
      <w:pPr>
        <w:pStyle w:val="11"/>
        <w:tabs>
          <w:tab w:val="left" w:pos="419"/>
          <w:tab w:val="left" w:pos="839"/>
        </w:tabs>
        <w:spacing w:before="70"/>
        <w:ind w:right="360"/>
        <w:jc w:val="center"/>
        <w:outlineLvl w:val="0"/>
        <w:rPr>
          <w:rFonts w:ascii="黑体" w:eastAsia="黑体"/>
        </w:rPr>
      </w:pPr>
    </w:p>
    <w:p>
      <w:pPr>
        <w:pStyle w:val="11"/>
        <w:tabs>
          <w:tab w:val="left" w:pos="419"/>
          <w:tab w:val="left" w:pos="839"/>
        </w:tabs>
        <w:spacing w:before="70"/>
        <w:ind w:right="360"/>
        <w:jc w:val="center"/>
        <w:outlineLvl w:val="0"/>
        <w:rPr>
          <w:rFonts w:ascii="黑体" w:eastAsia="黑体"/>
        </w:rPr>
      </w:pPr>
      <w:r>
        <w:rPr>
          <w:rFonts w:hint="eastAsia" w:ascii="黑体" w:eastAsia="黑体"/>
        </w:rPr>
        <w:t>附</w:t>
      </w:r>
      <w:r>
        <w:rPr>
          <w:rFonts w:hint="eastAsia" w:ascii="黑体" w:eastAsia="黑体"/>
        </w:rPr>
        <w:tab/>
      </w:r>
      <w:r>
        <w:rPr>
          <w:rFonts w:hint="eastAsia" w:ascii="黑体" w:eastAsia="黑体"/>
        </w:rPr>
        <w:t>录</w:t>
      </w:r>
      <w:r>
        <w:rPr>
          <w:rFonts w:hint="eastAsia" w:ascii="黑体" w:eastAsia="黑体"/>
        </w:rPr>
        <w:tab/>
      </w:r>
      <w:bookmarkStart w:id="64" w:name="附_录_B（规范性）产品可再生利用率计算方法"/>
      <w:bookmarkEnd w:id="64"/>
      <w:bookmarkStart w:id="65" w:name="_bookmark23"/>
      <w:bookmarkEnd w:id="65"/>
      <w:r>
        <w:rPr>
          <w:rFonts w:ascii="黑体" w:eastAsia="黑体"/>
        </w:rPr>
        <w:t>A</w:t>
      </w:r>
    </w:p>
    <w:p>
      <w:pPr>
        <w:pStyle w:val="11"/>
        <w:tabs>
          <w:tab w:val="left" w:pos="419"/>
          <w:tab w:val="left" w:pos="839"/>
        </w:tabs>
        <w:spacing w:before="70"/>
        <w:ind w:right="360"/>
        <w:jc w:val="center"/>
        <w:rPr>
          <w:rFonts w:ascii="黑体" w:eastAsia="黑体"/>
        </w:rPr>
      </w:pPr>
      <w:r>
        <w:rPr>
          <w:rFonts w:hint="eastAsia" w:ascii="黑体" w:eastAsia="黑体"/>
        </w:rPr>
        <w:t>（规范性）</w:t>
      </w:r>
    </w:p>
    <w:p>
      <w:pPr>
        <w:pStyle w:val="11"/>
        <w:tabs>
          <w:tab w:val="left" w:pos="419"/>
          <w:tab w:val="left" w:pos="839"/>
        </w:tabs>
        <w:spacing w:before="70"/>
        <w:ind w:right="360"/>
        <w:jc w:val="center"/>
      </w:pPr>
      <w:r>
        <w:rPr>
          <w:rFonts w:hint="eastAsia" w:ascii="黑体" w:eastAsia="黑体"/>
        </w:rPr>
        <w:t>产品可再生利用率拆解清单</w:t>
      </w:r>
    </w:p>
    <w:p>
      <w:pPr>
        <w:pStyle w:val="11"/>
        <w:tabs>
          <w:tab w:val="left" w:pos="987"/>
        </w:tabs>
        <w:spacing w:before="124"/>
        <w:ind w:left="202"/>
        <w:jc w:val="center"/>
        <w:rPr>
          <w:rFonts w:ascii="黑体" w:eastAsia="黑体"/>
        </w:rPr>
      </w:pPr>
      <w:r>
        <w:rPr>
          <w:rFonts w:hint="eastAsia" w:ascii="黑体" w:eastAsia="黑体"/>
        </w:rPr>
        <w:t>表</w:t>
      </w:r>
      <w:r>
        <w:rPr>
          <w:rFonts w:ascii="黑体" w:eastAsia="黑体"/>
        </w:rPr>
        <w:t>A</w:t>
      </w:r>
      <w:r>
        <w:rPr>
          <w:rFonts w:hint="eastAsia" w:ascii="黑体" w:eastAsia="黑体"/>
        </w:rPr>
        <w:tab/>
      </w:r>
      <w:r>
        <w:rPr>
          <w:rFonts w:hint="eastAsia" w:ascii="黑体" w:eastAsia="黑体"/>
        </w:rPr>
        <w:t xml:space="preserve"> 产品可再生利用率的拆解清单示例</w:t>
      </w:r>
    </w:p>
    <w:p>
      <w:pPr>
        <w:pStyle w:val="11"/>
        <w:spacing w:before="6"/>
        <w:rPr>
          <w:rFonts w:ascii="黑体"/>
          <w:sz w:val="9"/>
        </w:r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036"/>
        <w:gridCol w:w="1288"/>
        <w:gridCol w:w="658"/>
        <w:gridCol w:w="1106"/>
        <w:gridCol w:w="1497"/>
        <w:gridCol w:w="84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605" w:type="dxa"/>
            <w:gridSpan w:val="2"/>
            <w:vMerge w:val="restart"/>
            <w:vAlign w:val="center"/>
          </w:tcPr>
          <w:p>
            <w:pPr>
              <w:pStyle w:val="155"/>
              <w:spacing w:before="1"/>
              <w:ind w:left="57" w:right="57"/>
              <w:jc w:val="center"/>
              <w:rPr>
                <w:sz w:val="18"/>
              </w:rPr>
            </w:pPr>
            <w:r>
              <w:rPr>
                <w:sz w:val="18"/>
              </w:rPr>
              <w:t>类型</w:t>
            </w:r>
          </w:p>
        </w:tc>
        <w:tc>
          <w:tcPr>
            <w:tcW w:w="1288" w:type="dxa"/>
            <w:vMerge w:val="restart"/>
            <w:vAlign w:val="center"/>
          </w:tcPr>
          <w:p>
            <w:pPr>
              <w:pStyle w:val="155"/>
              <w:spacing w:before="1"/>
              <w:ind w:left="89" w:right="83"/>
              <w:jc w:val="center"/>
              <w:rPr>
                <w:sz w:val="18"/>
              </w:rPr>
            </w:pPr>
            <w:r>
              <w:rPr>
                <w:sz w:val="18"/>
              </w:rPr>
              <w:t>零部件名称（示例）</w:t>
            </w:r>
          </w:p>
        </w:tc>
        <w:tc>
          <w:tcPr>
            <w:tcW w:w="1764" w:type="dxa"/>
            <w:gridSpan w:val="2"/>
            <w:tcBorders>
              <w:bottom w:val="single" w:color="auto" w:sz="4" w:space="0"/>
              <w:right w:val="single" w:color="auto" w:sz="4" w:space="0"/>
            </w:tcBorders>
            <w:vAlign w:val="center"/>
          </w:tcPr>
          <w:p>
            <w:pPr>
              <w:pStyle w:val="155"/>
              <w:spacing w:before="1"/>
              <w:ind w:left="136"/>
              <w:jc w:val="center"/>
              <w:rPr>
                <w:sz w:val="18"/>
              </w:rPr>
            </w:pPr>
            <w:r>
              <w:rPr>
                <w:rFonts w:hint="eastAsia"/>
                <w:sz w:val="18"/>
              </w:rPr>
              <w:t>物料属性</w:t>
            </w:r>
          </w:p>
        </w:tc>
        <w:tc>
          <w:tcPr>
            <w:tcW w:w="1497" w:type="dxa"/>
            <w:vMerge w:val="restart"/>
            <w:tcBorders>
              <w:left w:val="single" w:color="auto" w:sz="4" w:space="0"/>
            </w:tcBorders>
            <w:vAlign w:val="center"/>
          </w:tcPr>
          <w:p>
            <w:pPr>
              <w:pStyle w:val="155"/>
              <w:spacing w:before="1"/>
              <w:jc w:val="center"/>
              <w:rPr>
                <w:sz w:val="18"/>
              </w:rPr>
            </w:pPr>
            <w:r>
              <w:rPr>
                <w:sz w:val="18"/>
              </w:rPr>
              <w:t>材料种类</w:t>
            </w:r>
          </w:p>
        </w:tc>
        <w:tc>
          <w:tcPr>
            <w:tcW w:w="840" w:type="dxa"/>
            <w:vMerge w:val="restart"/>
            <w:vAlign w:val="center"/>
          </w:tcPr>
          <w:p>
            <w:pPr>
              <w:pStyle w:val="155"/>
              <w:spacing w:before="1"/>
              <w:jc w:val="center"/>
              <w:rPr>
                <w:sz w:val="18"/>
              </w:rPr>
            </w:pPr>
            <w:r>
              <w:rPr>
                <w:sz w:val="18"/>
              </w:rPr>
              <w:t>数量</w:t>
            </w:r>
          </w:p>
        </w:tc>
        <w:tc>
          <w:tcPr>
            <w:tcW w:w="1134" w:type="dxa"/>
            <w:vMerge w:val="restart"/>
            <w:vAlign w:val="center"/>
          </w:tcPr>
          <w:p>
            <w:pPr>
              <w:pStyle w:val="155"/>
              <w:spacing w:before="1"/>
              <w:ind w:left="108"/>
              <w:jc w:val="center"/>
              <w:rPr>
                <w:sz w:val="18"/>
              </w:rPr>
            </w:pPr>
            <w:r>
              <w:rPr>
                <w:sz w:val="18"/>
              </w:rPr>
              <w:t>单件质量（kg）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605" w:type="dxa"/>
            <w:gridSpan w:val="2"/>
            <w:vMerge w:val="continue"/>
            <w:vAlign w:val="center"/>
          </w:tcPr>
          <w:p>
            <w:pPr>
              <w:pStyle w:val="155"/>
              <w:spacing w:before="1"/>
              <w:ind w:left="891" w:right="885"/>
              <w:jc w:val="center"/>
              <w:rPr>
                <w:sz w:val="18"/>
              </w:rPr>
            </w:pPr>
          </w:p>
        </w:tc>
        <w:tc>
          <w:tcPr>
            <w:tcW w:w="1288" w:type="dxa"/>
            <w:vMerge w:val="continue"/>
            <w:vAlign w:val="center"/>
          </w:tcPr>
          <w:p>
            <w:pPr>
              <w:pStyle w:val="155"/>
              <w:spacing w:before="1"/>
              <w:ind w:left="89" w:right="83"/>
              <w:jc w:val="center"/>
              <w:rPr>
                <w:sz w:val="18"/>
              </w:rPr>
            </w:pPr>
          </w:p>
        </w:tc>
        <w:tc>
          <w:tcPr>
            <w:tcW w:w="658" w:type="dxa"/>
            <w:tcBorders>
              <w:top w:val="single" w:color="auto" w:sz="4" w:space="0"/>
              <w:right w:val="single" w:color="auto" w:sz="4" w:space="0"/>
            </w:tcBorders>
            <w:vAlign w:val="center"/>
          </w:tcPr>
          <w:p>
            <w:pPr>
              <w:pStyle w:val="155"/>
              <w:spacing w:before="1"/>
              <w:ind w:left="136"/>
              <w:jc w:val="center"/>
              <w:rPr>
                <w:sz w:val="18"/>
              </w:rPr>
            </w:pPr>
            <w:r>
              <w:rPr>
                <w:rFonts w:hint="eastAsia"/>
                <w:sz w:val="18"/>
              </w:rPr>
              <w:t>自制</w:t>
            </w:r>
          </w:p>
        </w:tc>
        <w:tc>
          <w:tcPr>
            <w:tcW w:w="1106" w:type="dxa"/>
            <w:tcBorders>
              <w:top w:val="single" w:color="auto" w:sz="4" w:space="0"/>
              <w:right w:val="single" w:color="auto" w:sz="4" w:space="0"/>
            </w:tcBorders>
            <w:vAlign w:val="center"/>
          </w:tcPr>
          <w:p>
            <w:pPr>
              <w:pStyle w:val="155"/>
              <w:spacing w:before="1"/>
              <w:ind w:left="136"/>
              <w:jc w:val="center"/>
              <w:rPr>
                <w:sz w:val="18"/>
              </w:rPr>
            </w:pPr>
            <w:r>
              <w:rPr>
                <w:rFonts w:hint="eastAsia"/>
                <w:sz w:val="18"/>
              </w:rPr>
              <w:t>外制、外购</w:t>
            </w:r>
          </w:p>
        </w:tc>
        <w:tc>
          <w:tcPr>
            <w:tcW w:w="1497" w:type="dxa"/>
            <w:vMerge w:val="continue"/>
            <w:tcBorders>
              <w:left w:val="single" w:color="auto" w:sz="4" w:space="0"/>
            </w:tcBorders>
            <w:vAlign w:val="center"/>
          </w:tcPr>
          <w:p>
            <w:pPr>
              <w:pStyle w:val="155"/>
              <w:spacing w:before="1"/>
              <w:jc w:val="center"/>
              <w:rPr>
                <w:sz w:val="18"/>
              </w:rPr>
            </w:pPr>
          </w:p>
        </w:tc>
        <w:tc>
          <w:tcPr>
            <w:tcW w:w="840" w:type="dxa"/>
            <w:vMerge w:val="continue"/>
            <w:vAlign w:val="center"/>
          </w:tcPr>
          <w:p>
            <w:pPr>
              <w:pStyle w:val="155"/>
              <w:spacing w:before="1"/>
              <w:ind w:left="315"/>
              <w:jc w:val="center"/>
              <w:rPr>
                <w:sz w:val="18"/>
              </w:rPr>
            </w:pPr>
          </w:p>
        </w:tc>
        <w:tc>
          <w:tcPr>
            <w:tcW w:w="1134" w:type="dxa"/>
            <w:vMerge w:val="continue"/>
            <w:vAlign w:val="center"/>
          </w:tcPr>
          <w:p>
            <w:pPr>
              <w:pStyle w:val="155"/>
              <w:spacing w:before="1"/>
              <w:ind w:left="108"/>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569" w:type="dxa"/>
            <w:vMerge w:val="restart"/>
            <w:vAlign w:val="center"/>
          </w:tcPr>
          <w:p>
            <w:pPr>
              <w:pStyle w:val="155"/>
              <w:spacing w:before="2" w:line="242" w:lineRule="auto"/>
              <w:ind w:left="165" w:right="155"/>
              <w:jc w:val="center"/>
              <w:rPr>
                <w:sz w:val="18"/>
              </w:rPr>
            </w:pPr>
            <w:r>
              <w:rPr>
                <w:rFonts w:hint="eastAsia"/>
                <w:sz w:val="18"/>
              </w:rPr>
              <w:t>低压成套开关设备</w:t>
            </w:r>
          </w:p>
        </w:tc>
        <w:tc>
          <w:tcPr>
            <w:tcW w:w="1036" w:type="dxa"/>
            <w:vMerge w:val="restart"/>
            <w:vAlign w:val="center"/>
          </w:tcPr>
          <w:p>
            <w:pPr>
              <w:pStyle w:val="155"/>
              <w:spacing w:before="2"/>
              <w:jc w:val="center"/>
              <w:rPr>
                <w:sz w:val="18"/>
              </w:rPr>
            </w:pPr>
            <w:r>
              <w:rPr>
                <w:rFonts w:hint="eastAsia"/>
                <w:sz w:val="18"/>
              </w:rPr>
              <w:t>绝缘件</w:t>
            </w:r>
          </w:p>
        </w:tc>
        <w:tc>
          <w:tcPr>
            <w:tcW w:w="1288" w:type="dxa"/>
            <w:vAlign w:val="center"/>
          </w:tcPr>
          <w:p>
            <w:pPr>
              <w:pStyle w:val="155"/>
              <w:spacing w:before="2" w:line="212" w:lineRule="exact"/>
              <w:ind w:left="89" w:right="81"/>
              <w:jc w:val="center"/>
              <w:rPr>
                <w:sz w:val="18"/>
              </w:rPr>
            </w:pPr>
            <w:r>
              <w:rPr>
                <w:rFonts w:hint="eastAsia"/>
                <w:sz w:val="18"/>
              </w:rPr>
              <w:t>门楣</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jc w:val="center"/>
              <w:rPr>
                <w:sz w:val="16"/>
              </w:rPr>
            </w:pPr>
          </w:p>
        </w:tc>
        <w:tc>
          <w:tcPr>
            <w:tcW w:w="840" w:type="dxa"/>
            <w:vAlign w:val="center"/>
          </w:tcPr>
          <w:p>
            <w:pPr>
              <w:pStyle w:val="155"/>
              <w:jc w:val="center"/>
              <w:rPr>
                <w:sz w:val="16"/>
              </w:rPr>
            </w:pPr>
          </w:p>
        </w:tc>
        <w:tc>
          <w:tcPr>
            <w:tcW w:w="1134" w:type="dxa"/>
            <w:vAlign w:val="center"/>
          </w:tcPr>
          <w:p>
            <w:pPr>
              <w:pStyle w:val="155"/>
              <w:jc w:val="center"/>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line="212" w:lineRule="exact"/>
              <w:ind w:left="89" w:right="81"/>
              <w:jc w:val="center"/>
              <w:rPr>
                <w:sz w:val="18"/>
              </w:rPr>
            </w:pPr>
            <w:r>
              <w:rPr>
                <w:rFonts w:hint="eastAsia"/>
                <w:sz w:val="18"/>
              </w:rPr>
              <w:t>绝缘子</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before="2" w:line="212" w:lineRule="exact"/>
              <w:ind w:left="89" w:right="83"/>
              <w:jc w:val="center"/>
              <w:rPr>
                <w:sz w:val="18"/>
              </w:rPr>
            </w:pPr>
            <w:r>
              <w:rPr>
                <w:rFonts w:hint="eastAsia"/>
                <w:sz w:val="18"/>
              </w:rPr>
              <w:t>......</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569" w:type="dxa"/>
            <w:vMerge w:val="continue"/>
            <w:tcBorders>
              <w:top w:val="nil"/>
            </w:tcBorders>
            <w:vAlign w:val="center"/>
          </w:tcPr>
          <w:p>
            <w:pPr>
              <w:rPr>
                <w:sz w:val="2"/>
                <w:szCs w:val="2"/>
              </w:rPr>
            </w:pPr>
          </w:p>
        </w:tc>
        <w:tc>
          <w:tcPr>
            <w:tcW w:w="1036" w:type="dxa"/>
            <w:vMerge w:val="restart"/>
            <w:vAlign w:val="center"/>
          </w:tcPr>
          <w:p>
            <w:pPr>
              <w:pStyle w:val="155"/>
              <w:jc w:val="center"/>
              <w:rPr>
                <w:sz w:val="18"/>
              </w:rPr>
            </w:pPr>
            <w:r>
              <w:rPr>
                <w:sz w:val="18"/>
              </w:rPr>
              <w:t>金属件</w:t>
            </w:r>
          </w:p>
        </w:tc>
        <w:tc>
          <w:tcPr>
            <w:tcW w:w="1288" w:type="dxa"/>
            <w:vAlign w:val="center"/>
          </w:tcPr>
          <w:p>
            <w:pPr>
              <w:pStyle w:val="155"/>
              <w:spacing w:line="213" w:lineRule="exact"/>
              <w:ind w:left="89" w:right="81"/>
              <w:jc w:val="center"/>
              <w:rPr>
                <w:sz w:val="18"/>
              </w:rPr>
            </w:pPr>
            <w:r>
              <w:rPr>
                <w:rFonts w:hint="eastAsia"/>
                <w:sz w:val="18"/>
              </w:rPr>
              <w:t>托板</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569" w:type="dxa"/>
            <w:vMerge w:val="continue"/>
            <w:tcBorders>
              <w:top w:val="nil"/>
            </w:tcBorders>
            <w:vAlign w:val="center"/>
          </w:tcPr>
          <w:p>
            <w:pPr>
              <w:rPr>
                <w:sz w:val="2"/>
                <w:szCs w:val="2"/>
              </w:rPr>
            </w:pPr>
          </w:p>
        </w:tc>
        <w:tc>
          <w:tcPr>
            <w:tcW w:w="1036" w:type="dxa"/>
            <w:vMerge w:val="continue"/>
            <w:vAlign w:val="center"/>
          </w:tcPr>
          <w:p>
            <w:pPr>
              <w:pStyle w:val="155"/>
              <w:ind w:left="295"/>
              <w:jc w:val="center"/>
              <w:rPr>
                <w:sz w:val="18"/>
              </w:rPr>
            </w:pPr>
          </w:p>
        </w:tc>
        <w:tc>
          <w:tcPr>
            <w:tcW w:w="1288" w:type="dxa"/>
            <w:vAlign w:val="center"/>
          </w:tcPr>
          <w:p>
            <w:pPr>
              <w:pStyle w:val="155"/>
              <w:spacing w:line="213" w:lineRule="exact"/>
              <w:ind w:left="89" w:right="81"/>
              <w:jc w:val="center"/>
              <w:rPr>
                <w:sz w:val="18"/>
              </w:rPr>
            </w:pPr>
            <w:r>
              <w:rPr>
                <w:rFonts w:hint="eastAsia"/>
                <w:sz w:val="18"/>
              </w:rPr>
              <w:t>母排</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line="213" w:lineRule="exact"/>
              <w:ind w:left="89" w:right="81"/>
              <w:jc w:val="center"/>
              <w:rPr>
                <w:sz w:val="18"/>
              </w:rPr>
            </w:pPr>
            <w:r>
              <w:rPr>
                <w:rFonts w:hint="eastAsia"/>
                <w:sz w:val="18"/>
              </w:rPr>
              <w:t>电缆支件</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before="2" w:line="212" w:lineRule="exact"/>
              <w:ind w:left="89" w:right="81"/>
              <w:jc w:val="center"/>
              <w:rPr>
                <w:sz w:val="18"/>
              </w:rPr>
            </w:pPr>
            <w:r>
              <w:rPr>
                <w:rFonts w:hint="eastAsia"/>
                <w:sz w:val="18"/>
              </w:rPr>
              <w:t>顶侧板</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line="212" w:lineRule="exact"/>
              <w:ind w:left="89" w:right="81"/>
              <w:jc w:val="center"/>
              <w:rPr>
                <w:sz w:val="18"/>
              </w:rPr>
            </w:pPr>
            <w:r>
              <w:rPr>
                <w:rFonts w:hint="eastAsia"/>
                <w:sz w:val="18"/>
              </w:rPr>
              <w:t>横梁</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before="2" w:line="212" w:lineRule="exact"/>
              <w:ind w:left="89" w:right="81"/>
              <w:jc w:val="center"/>
              <w:rPr>
                <w:sz w:val="18"/>
              </w:rPr>
            </w:pPr>
            <w:r>
              <w:rPr>
                <w:rFonts w:hint="eastAsia"/>
                <w:sz w:val="18"/>
              </w:rPr>
              <w:t>门</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before="1" w:line="212" w:lineRule="exact"/>
              <w:ind w:left="89" w:right="81"/>
              <w:jc w:val="center"/>
              <w:rPr>
                <w:sz w:val="18"/>
              </w:rPr>
            </w:pPr>
            <w:r>
              <w:rPr>
                <w:rFonts w:hint="eastAsia"/>
                <w:sz w:val="18"/>
              </w:rPr>
              <w:t>......</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restart"/>
            <w:vAlign w:val="center"/>
          </w:tcPr>
          <w:p>
            <w:pPr>
              <w:pStyle w:val="155"/>
              <w:spacing w:before="2" w:line="242" w:lineRule="auto"/>
              <w:ind w:left="57" w:right="57"/>
              <w:jc w:val="center"/>
              <w:rPr>
                <w:sz w:val="18"/>
              </w:rPr>
            </w:pPr>
            <w:r>
              <w:rPr>
                <w:sz w:val="18"/>
              </w:rPr>
              <w:t>多种材料复合件（不可拆解）</w:t>
            </w:r>
          </w:p>
        </w:tc>
        <w:tc>
          <w:tcPr>
            <w:tcW w:w="1288" w:type="dxa"/>
            <w:vAlign w:val="center"/>
          </w:tcPr>
          <w:p>
            <w:pPr>
              <w:pStyle w:val="155"/>
              <w:spacing w:before="2" w:line="210" w:lineRule="exact"/>
              <w:ind w:left="89" w:right="83"/>
              <w:jc w:val="center"/>
              <w:rPr>
                <w:sz w:val="18"/>
              </w:rPr>
            </w:pPr>
            <w:r>
              <w:rPr>
                <w:rFonts w:hint="eastAsia"/>
                <w:sz w:val="18"/>
              </w:rPr>
              <w:t>电流互感器</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line="213" w:lineRule="exact"/>
              <w:ind w:left="89" w:right="83"/>
              <w:jc w:val="center"/>
              <w:rPr>
                <w:sz w:val="18"/>
              </w:rPr>
            </w:pPr>
            <w:r>
              <w:rPr>
                <w:rFonts w:hint="eastAsia"/>
                <w:sz w:val="18"/>
              </w:rPr>
              <w:t>电缆线</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jc w:val="center"/>
              <w:rPr>
                <w:sz w:val="2"/>
                <w:szCs w:val="2"/>
              </w:rPr>
            </w:pPr>
          </w:p>
        </w:tc>
        <w:tc>
          <w:tcPr>
            <w:tcW w:w="1288" w:type="dxa"/>
            <w:vAlign w:val="center"/>
          </w:tcPr>
          <w:p>
            <w:pPr>
              <w:pStyle w:val="155"/>
              <w:spacing w:before="2" w:line="212" w:lineRule="exact"/>
              <w:ind w:left="89" w:right="81"/>
              <w:jc w:val="center"/>
              <w:rPr>
                <w:sz w:val="18"/>
              </w:rPr>
            </w:pPr>
            <w:r>
              <w:rPr>
                <w:sz w:val="18"/>
              </w:rPr>
              <w:t>……</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restart"/>
            <w:vAlign w:val="center"/>
          </w:tcPr>
          <w:p>
            <w:pPr>
              <w:pStyle w:val="155"/>
              <w:spacing w:before="2" w:line="224" w:lineRule="exact"/>
              <w:jc w:val="center"/>
              <w:rPr>
                <w:sz w:val="18"/>
              </w:rPr>
            </w:pPr>
            <w:r>
              <w:rPr>
                <w:rFonts w:hint="eastAsia"/>
                <w:sz w:val="18"/>
              </w:rPr>
              <w:t>元器件（断路器、仪表）</w:t>
            </w:r>
            <w:r>
              <w:rPr>
                <w:sz w:val="18"/>
              </w:rPr>
              <w:t>等</w:t>
            </w:r>
          </w:p>
        </w:tc>
        <w:tc>
          <w:tcPr>
            <w:tcW w:w="1288" w:type="dxa"/>
            <w:vAlign w:val="center"/>
          </w:tcPr>
          <w:p>
            <w:pPr>
              <w:pStyle w:val="155"/>
              <w:spacing w:line="212" w:lineRule="exact"/>
              <w:ind w:left="89" w:right="83"/>
              <w:jc w:val="center"/>
              <w:rPr>
                <w:sz w:val="18"/>
              </w:rPr>
            </w:pPr>
            <w:r>
              <w:rPr>
                <w:rFonts w:hint="eastAsia"/>
                <w:sz w:val="18"/>
              </w:rPr>
              <w:t>万能式断路器</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continue"/>
            <w:vAlign w:val="center"/>
          </w:tcPr>
          <w:p>
            <w:pPr>
              <w:pStyle w:val="155"/>
              <w:spacing w:before="2" w:line="224" w:lineRule="exact"/>
              <w:rPr>
                <w:sz w:val="18"/>
              </w:rPr>
            </w:pPr>
          </w:p>
        </w:tc>
        <w:tc>
          <w:tcPr>
            <w:tcW w:w="1288" w:type="dxa"/>
            <w:vAlign w:val="center"/>
          </w:tcPr>
          <w:p>
            <w:pPr>
              <w:pStyle w:val="155"/>
              <w:spacing w:line="212" w:lineRule="exact"/>
              <w:ind w:left="89" w:right="83"/>
              <w:jc w:val="center"/>
              <w:rPr>
                <w:sz w:val="18"/>
              </w:rPr>
            </w:pPr>
            <w:r>
              <w:rPr>
                <w:rFonts w:hint="eastAsia"/>
                <w:sz w:val="18"/>
              </w:rPr>
              <w:t>塑料外壳式断路器</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continue"/>
            <w:vAlign w:val="center"/>
          </w:tcPr>
          <w:p>
            <w:pPr>
              <w:pStyle w:val="155"/>
              <w:spacing w:before="2" w:line="224" w:lineRule="exact"/>
              <w:rPr>
                <w:sz w:val="18"/>
              </w:rPr>
            </w:pPr>
          </w:p>
        </w:tc>
        <w:tc>
          <w:tcPr>
            <w:tcW w:w="1288" w:type="dxa"/>
            <w:vAlign w:val="center"/>
          </w:tcPr>
          <w:p>
            <w:pPr>
              <w:pStyle w:val="155"/>
              <w:spacing w:line="212" w:lineRule="exact"/>
              <w:ind w:left="89" w:right="83"/>
              <w:jc w:val="center"/>
              <w:rPr>
                <w:sz w:val="18"/>
              </w:rPr>
            </w:pPr>
            <w:r>
              <w:rPr>
                <w:rFonts w:hint="eastAsia"/>
                <w:sz w:val="18"/>
              </w:rPr>
              <w:t>小型断路器</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continue"/>
            <w:vAlign w:val="center"/>
          </w:tcPr>
          <w:p>
            <w:pPr>
              <w:pStyle w:val="155"/>
              <w:spacing w:before="2" w:line="224" w:lineRule="exact"/>
              <w:rPr>
                <w:sz w:val="18"/>
              </w:rPr>
            </w:pPr>
          </w:p>
        </w:tc>
        <w:tc>
          <w:tcPr>
            <w:tcW w:w="1288" w:type="dxa"/>
            <w:vAlign w:val="center"/>
          </w:tcPr>
          <w:p>
            <w:pPr>
              <w:pStyle w:val="155"/>
              <w:spacing w:line="212" w:lineRule="exact"/>
              <w:ind w:left="89" w:right="83"/>
              <w:jc w:val="center"/>
              <w:rPr>
                <w:sz w:val="18"/>
              </w:rPr>
            </w:pPr>
            <w:r>
              <w:rPr>
                <w:rFonts w:hint="eastAsia"/>
                <w:sz w:val="18"/>
              </w:rPr>
              <w:t>漏电断路器</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continue"/>
            <w:vAlign w:val="center"/>
          </w:tcPr>
          <w:p>
            <w:pPr>
              <w:pStyle w:val="155"/>
              <w:spacing w:before="2" w:line="224" w:lineRule="exact"/>
              <w:rPr>
                <w:sz w:val="18"/>
              </w:rPr>
            </w:pPr>
          </w:p>
        </w:tc>
        <w:tc>
          <w:tcPr>
            <w:tcW w:w="1288" w:type="dxa"/>
            <w:vAlign w:val="center"/>
          </w:tcPr>
          <w:p>
            <w:pPr>
              <w:pStyle w:val="155"/>
              <w:spacing w:line="212" w:lineRule="exact"/>
              <w:ind w:left="89" w:right="83"/>
              <w:jc w:val="center"/>
              <w:rPr>
                <w:sz w:val="18"/>
              </w:rPr>
            </w:pPr>
            <w:r>
              <w:rPr>
                <w:rFonts w:hint="eastAsia"/>
                <w:sz w:val="18"/>
              </w:rPr>
              <w:t>电流表</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569" w:type="dxa"/>
            <w:vMerge w:val="continue"/>
            <w:tcBorders>
              <w:top w:val="nil"/>
            </w:tcBorders>
            <w:vAlign w:val="center"/>
          </w:tcPr>
          <w:p>
            <w:pPr>
              <w:rPr>
                <w:sz w:val="2"/>
                <w:szCs w:val="2"/>
              </w:rPr>
            </w:pPr>
          </w:p>
        </w:tc>
        <w:tc>
          <w:tcPr>
            <w:tcW w:w="1036" w:type="dxa"/>
            <w:vMerge w:val="continue"/>
            <w:vAlign w:val="center"/>
          </w:tcPr>
          <w:p>
            <w:pPr>
              <w:pStyle w:val="155"/>
              <w:spacing w:before="2" w:line="224" w:lineRule="exact"/>
              <w:rPr>
                <w:sz w:val="18"/>
              </w:rPr>
            </w:pPr>
          </w:p>
        </w:tc>
        <w:tc>
          <w:tcPr>
            <w:tcW w:w="1288" w:type="dxa"/>
            <w:vAlign w:val="center"/>
          </w:tcPr>
          <w:p>
            <w:pPr>
              <w:pStyle w:val="155"/>
              <w:spacing w:line="212" w:lineRule="exact"/>
              <w:ind w:left="89" w:right="83"/>
              <w:jc w:val="center"/>
              <w:rPr>
                <w:sz w:val="18"/>
              </w:rPr>
            </w:pPr>
            <w:r>
              <w:rPr>
                <w:rFonts w:hint="eastAsia"/>
                <w:sz w:val="18"/>
              </w:rPr>
              <w:t>按钮</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69" w:type="dxa"/>
            <w:vMerge w:val="continue"/>
            <w:tcBorders>
              <w:top w:val="nil"/>
            </w:tcBorders>
            <w:vAlign w:val="center"/>
          </w:tcPr>
          <w:p>
            <w:pPr>
              <w:rPr>
                <w:sz w:val="2"/>
                <w:szCs w:val="2"/>
              </w:rPr>
            </w:pPr>
          </w:p>
        </w:tc>
        <w:tc>
          <w:tcPr>
            <w:tcW w:w="1036" w:type="dxa"/>
            <w:vMerge w:val="continue"/>
            <w:tcBorders>
              <w:top w:val="nil"/>
            </w:tcBorders>
            <w:vAlign w:val="center"/>
          </w:tcPr>
          <w:p>
            <w:pPr>
              <w:rPr>
                <w:sz w:val="2"/>
                <w:szCs w:val="2"/>
              </w:rPr>
            </w:pPr>
          </w:p>
        </w:tc>
        <w:tc>
          <w:tcPr>
            <w:tcW w:w="1288" w:type="dxa"/>
            <w:vAlign w:val="center"/>
          </w:tcPr>
          <w:p>
            <w:pPr>
              <w:pStyle w:val="155"/>
              <w:spacing w:before="2" w:line="212" w:lineRule="exact"/>
              <w:ind w:left="89" w:right="81"/>
              <w:jc w:val="center"/>
              <w:rPr>
                <w:sz w:val="18"/>
              </w:rPr>
            </w:pPr>
            <w:r>
              <w:rPr>
                <w:sz w:val="18"/>
              </w:rPr>
              <w:t>……</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605" w:type="dxa"/>
            <w:gridSpan w:val="2"/>
            <w:vMerge w:val="restart"/>
            <w:vAlign w:val="center"/>
          </w:tcPr>
          <w:p>
            <w:pPr>
              <w:pStyle w:val="155"/>
              <w:ind w:left="57" w:right="57"/>
              <w:jc w:val="center"/>
              <w:rPr>
                <w:sz w:val="18"/>
              </w:rPr>
            </w:pPr>
            <w:r>
              <w:rPr>
                <w:rFonts w:hint="eastAsia"/>
                <w:sz w:val="18"/>
              </w:rPr>
              <w:t>其他配用件</w:t>
            </w:r>
          </w:p>
        </w:tc>
        <w:tc>
          <w:tcPr>
            <w:tcW w:w="1288" w:type="dxa"/>
            <w:vAlign w:val="center"/>
          </w:tcPr>
          <w:p>
            <w:pPr>
              <w:pStyle w:val="155"/>
              <w:spacing w:line="212" w:lineRule="exact"/>
              <w:ind w:left="89" w:right="81"/>
              <w:jc w:val="center"/>
              <w:rPr>
                <w:sz w:val="18"/>
              </w:rPr>
            </w:pPr>
            <w:r>
              <w:rPr>
                <w:sz w:val="18"/>
              </w:rPr>
              <w:t>操作手柄</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1605" w:type="dxa"/>
            <w:gridSpan w:val="2"/>
            <w:vMerge w:val="continue"/>
            <w:tcBorders>
              <w:top w:val="nil"/>
            </w:tcBorders>
            <w:vAlign w:val="center"/>
          </w:tcPr>
          <w:p>
            <w:pPr>
              <w:jc w:val="center"/>
              <w:rPr>
                <w:sz w:val="2"/>
                <w:szCs w:val="2"/>
              </w:rPr>
            </w:pPr>
          </w:p>
        </w:tc>
        <w:tc>
          <w:tcPr>
            <w:tcW w:w="1288" w:type="dxa"/>
            <w:vAlign w:val="center"/>
          </w:tcPr>
          <w:p>
            <w:pPr>
              <w:pStyle w:val="155"/>
              <w:spacing w:before="2" w:line="211" w:lineRule="exact"/>
              <w:ind w:left="89" w:right="81"/>
              <w:jc w:val="center"/>
              <w:rPr>
                <w:sz w:val="18"/>
              </w:rPr>
            </w:pPr>
            <w:r>
              <w:rPr>
                <w:sz w:val="18"/>
              </w:rPr>
              <w:t>柜门钥匙</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1605" w:type="dxa"/>
            <w:gridSpan w:val="2"/>
            <w:vMerge w:val="continue"/>
            <w:tcBorders>
              <w:top w:val="nil"/>
            </w:tcBorders>
            <w:vAlign w:val="center"/>
          </w:tcPr>
          <w:p>
            <w:pPr>
              <w:jc w:val="center"/>
              <w:rPr>
                <w:sz w:val="2"/>
                <w:szCs w:val="2"/>
              </w:rPr>
            </w:pPr>
          </w:p>
        </w:tc>
        <w:tc>
          <w:tcPr>
            <w:tcW w:w="1288" w:type="dxa"/>
            <w:vAlign w:val="center"/>
          </w:tcPr>
          <w:p>
            <w:pPr>
              <w:pStyle w:val="155"/>
              <w:spacing w:before="1" w:line="212" w:lineRule="exact"/>
              <w:ind w:left="89" w:right="81"/>
              <w:jc w:val="center"/>
              <w:rPr>
                <w:sz w:val="18"/>
              </w:rPr>
            </w:pPr>
            <w:r>
              <w:rPr>
                <w:sz w:val="18"/>
              </w:rPr>
              <w:t>……</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605" w:type="dxa"/>
            <w:gridSpan w:val="2"/>
            <w:vMerge w:val="restart"/>
            <w:vAlign w:val="center"/>
          </w:tcPr>
          <w:p>
            <w:pPr>
              <w:pStyle w:val="155"/>
              <w:ind w:left="57" w:right="57"/>
              <w:jc w:val="center"/>
              <w:rPr>
                <w:sz w:val="18"/>
              </w:rPr>
            </w:pPr>
            <w:r>
              <w:rPr>
                <w:sz w:val="18"/>
              </w:rPr>
              <w:t>包装材料</w:t>
            </w:r>
          </w:p>
        </w:tc>
        <w:tc>
          <w:tcPr>
            <w:tcW w:w="1288" w:type="dxa"/>
            <w:vAlign w:val="center"/>
          </w:tcPr>
          <w:p>
            <w:pPr>
              <w:pStyle w:val="155"/>
              <w:spacing w:line="213" w:lineRule="exact"/>
              <w:ind w:left="89" w:right="81"/>
              <w:jc w:val="center"/>
              <w:rPr>
                <w:sz w:val="18"/>
              </w:rPr>
            </w:pPr>
            <w:r>
              <w:rPr>
                <w:sz w:val="18"/>
              </w:rPr>
              <w:t>木箱</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605" w:type="dxa"/>
            <w:gridSpan w:val="2"/>
            <w:vMerge w:val="continue"/>
            <w:tcBorders>
              <w:top w:val="nil"/>
            </w:tcBorders>
            <w:vAlign w:val="center"/>
          </w:tcPr>
          <w:p>
            <w:pPr>
              <w:rPr>
                <w:sz w:val="2"/>
                <w:szCs w:val="2"/>
              </w:rPr>
            </w:pPr>
          </w:p>
        </w:tc>
        <w:tc>
          <w:tcPr>
            <w:tcW w:w="1288" w:type="dxa"/>
            <w:vAlign w:val="center"/>
          </w:tcPr>
          <w:p>
            <w:pPr>
              <w:pStyle w:val="155"/>
              <w:spacing w:before="2" w:line="212" w:lineRule="exact"/>
              <w:ind w:left="89" w:right="83"/>
              <w:jc w:val="center"/>
              <w:rPr>
                <w:sz w:val="18"/>
              </w:rPr>
            </w:pPr>
            <w:r>
              <w:rPr>
                <w:sz w:val="18"/>
              </w:rPr>
              <w:t>包装袋</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1605" w:type="dxa"/>
            <w:gridSpan w:val="2"/>
            <w:vMerge w:val="continue"/>
            <w:tcBorders>
              <w:top w:val="nil"/>
            </w:tcBorders>
            <w:vAlign w:val="center"/>
          </w:tcPr>
          <w:p>
            <w:pPr>
              <w:rPr>
                <w:sz w:val="2"/>
                <w:szCs w:val="2"/>
              </w:rPr>
            </w:pPr>
          </w:p>
        </w:tc>
        <w:tc>
          <w:tcPr>
            <w:tcW w:w="1288" w:type="dxa"/>
            <w:vAlign w:val="center"/>
          </w:tcPr>
          <w:p>
            <w:pPr>
              <w:pStyle w:val="155"/>
              <w:spacing w:line="212" w:lineRule="exact"/>
              <w:ind w:left="89" w:right="83"/>
              <w:jc w:val="center"/>
              <w:rPr>
                <w:sz w:val="18"/>
              </w:rPr>
            </w:pPr>
            <w:r>
              <w:rPr>
                <w:sz w:val="18"/>
              </w:rPr>
              <w:t>包装塑料膜</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1605" w:type="dxa"/>
            <w:gridSpan w:val="2"/>
            <w:vMerge w:val="continue"/>
            <w:tcBorders>
              <w:top w:val="nil"/>
            </w:tcBorders>
            <w:vAlign w:val="center"/>
          </w:tcPr>
          <w:p>
            <w:pPr>
              <w:rPr>
                <w:sz w:val="2"/>
                <w:szCs w:val="2"/>
              </w:rPr>
            </w:pPr>
          </w:p>
        </w:tc>
        <w:tc>
          <w:tcPr>
            <w:tcW w:w="1288" w:type="dxa"/>
            <w:vAlign w:val="center"/>
          </w:tcPr>
          <w:p>
            <w:pPr>
              <w:pStyle w:val="155"/>
              <w:spacing w:before="2" w:line="212" w:lineRule="exact"/>
              <w:ind w:left="89" w:right="81"/>
              <w:jc w:val="center"/>
              <w:rPr>
                <w:sz w:val="18"/>
              </w:rPr>
            </w:pPr>
            <w:r>
              <w:rPr>
                <w:sz w:val="18"/>
              </w:rPr>
              <w:t>……</w:t>
            </w:r>
          </w:p>
        </w:tc>
        <w:tc>
          <w:tcPr>
            <w:tcW w:w="658" w:type="dxa"/>
            <w:tcBorders>
              <w:right w:val="single" w:color="auto" w:sz="4" w:space="0"/>
            </w:tcBorders>
            <w:vAlign w:val="center"/>
          </w:tcPr>
          <w:p>
            <w:pPr>
              <w:pStyle w:val="155"/>
              <w:rPr>
                <w:sz w:val="16"/>
              </w:rPr>
            </w:pPr>
          </w:p>
        </w:tc>
        <w:tc>
          <w:tcPr>
            <w:tcW w:w="1106" w:type="dxa"/>
            <w:tcBorders>
              <w:right w:val="single" w:color="auto" w:sz="4" w:space="0"/>
            </w:tcBorders>
            <w:vAlign w:val="center"/>
          </w:tcPr>
          <w:p>
            <w:pPr>
              <w:pStyle w:val="155"/>
              <w:rPr>
                <w:sz w:val="16"/>
              </w:rPr>
            </w:pPr>
          </w:p>
        </w:tc>
        <w:tc>
          <w:tcPr>
            <w:tcW w:w="1497" w:type="dxa"/>
            <w:tcBorders>
              <w:left w:val="single" w:color="auto" w:sz="4" w:space="0"/>
            </w:tcBorders>
            <w:vAlign w:val="center"/>
          </w:tcPr>
          <w:p>
            <w:pPr>
              <w:pStyle w:val="155"/>
              <w:rPr>
                <w:sz w:val="16"/>
              </w:rPr>
            </w:pPr>
          </w:p>
        </w:tc>
        <w:tc>
          <w:tcPr>
            <w:tcW w:w="840" w:type="dxa"/>
            <w:vAlign w:val="center"/>
          </w:tcPr>
          <w:p>
            <w:pPr>
              <w:pStyle w:val="155"/>
              <w:rPr>
                <w:sz w:val="16"/>
              </w:rPr>
            </w:pPr>
          </w:p>
        </w:tc>
        <w:tc>
          <w:tcPr>
            <w:tcW w:w="1134" w:type="dxa"/>
            <w:vAlign w:val="center"/>
          </w:tcPr>
          <w:p>
            <w:pPr>
              <w:pStyle w:val="155"/>
              <w:rPr>
                <w:sz w:val="16"/>
              </w:rPr>
            </w:pPr>
          </w:p>
        </w:tc>
      </w:tr>
    </w:tbl>
    <w:p>
      <w:pPr>
        <w:pStyle w:val="11"/>
        <w:spacing w:before="7"/>
        <w:rPr>
          <w:strike/>
          <w:color w:val="FF0000"/>
          <w:sz w:val="29"/>
        </w:rPr>
      </w:pPr>
    </w:p>
    <w:p>
      <w:pPr>
        <w:widowControl/>
        <w:rPr>
          <w:rFonts w:asciiTheme="minorEastAsia" w:hAnsiTheme="minorEastAsia" w:eastAsiaTheme="minorEastAsia"/>
          <w:strike/>
          <w:color w:val="FF0000"/>
          <w:szCs w:val="21"/>
        </w:rPr>
      </w:pPr>
    </w:p>
    <w:p>
      <w:pPr>
        <w:widowControl/>
        <w:rPr>
          <w:rFonts w:asciiTheme="minorEastAsia" w:hAnsiTheme="minorEastAsia" w:eastAsiaTheme="minorEastAsia"/>
          <w:strike/>
          <w:color w:val="FF0000"/>
          <w:szCs w:val="21"/>
        </w:rPr>
      </w:pPr>
    </w:p>
    <w:p>
      <w:pPr>
        <w:pStyle w:val="11"/>
        <w:tabs>
          <w:tab w:val="left" w:pos="419"/>
          <w:tab w:val="left" w:pos="839"/>
        </w:tabs>
        <w:spacing w:before="70"/>
        <w:ind w:right="360"/>
        <w:rPr>
          <w:rFonts w:ascii="黑体" w:eastAsia="黑体"/>
        </w:rPr>
      </w:pPr>
    </w:p>
    <w:p>
      <w:pPr>
        <w:pStyle w:val="11"/>
        <w:tabs>
          <w:tab w:val="left" w:pos="419"/>
          <w:tab w:val="left" w:pos="839"/>
        </w:tabs>
        <w:spacing w:before="70"/>
        <w:ind w:right="360"/>
        <w:rPr>
          <w:rFonts w:ascii="黑体" w:eastAsia="黑体"/>
        </w:rPr>
      </w:pPr>
    </w:p>
    <w:p>
      <w:pPr>
        <w:tabs>
          <w:tab w:val="left" w:pos="419"/>
          <w:tab w:val="left" w:pos="839"/>
        </w:tabs>
        <w:autoSpaceDE w:val="0"/>
        <w:autoSpaceDN w:val="0"/>
        <w:spacing w:before="70"/>
        <w:ind w:right="360"/>
        <w:jc w:val="center"/>
        <w:rPr>
          <w:rFonts w:ascii="黑体" w:hAnsi="宋体" w:eastAsia="黑体" w:cs="宋体"/>
          <w:szCs w:val="21"/>
          <w:lang w:val="zh-CN" w:bidi="zh-CN"/>
        </w:rPr>
      </w:pPr>
    </w:p>
    <w:p>
      <w:pPr>
        <w:tabs>
          <w:tab w:val="left" w:pos="419"/>
          <w:tab w:val="left" w:pos="839"/>
        </w:tabs>
        <w:autoSpaceDE w:val="0"/>
        <w:autoSpaceDN w:val="0"/>
        <w:spacing w:before="70"/>
        <w:ind w:right="360"/>
        <w:jc w:val="center"/>
        <w:outlineLvl w:val="0"/>
        <w:rPr>
          <w:rFonts w:ascii="黑体" w:hAnsi="宋体" w:eastAsia="黑体" w:cs="宋体"/>
          <w:szCs w:val="21"/>
          <w:lang w:val="zh-CN" w:bidi="zh-CN"/>
        </w:rPr>
      </w:pPr>
      <w:r>
        <w:rPr>
          <w:rFonts w:hint="eastAsia" w:ascii="黑体" w:hAnsi="宋体" w:eastAsia="黑体" w:cs="宋体"/>
          <w:szCs w:val="21"/>
          <w:lang w:val="zh-CN" w:bidi="zh-CN"/>
        </w:rPr>
        <w:t>附</w:t>
      </w:r>
      <w:r>
        <w:rPr>
          <w:rFonts w:hint="eastAsia" w:ascii="黑体" w:hAnsi="宋体" w:eastAsia="黑体" w:cs="宋体"/>
          <w:szCs w:val="21"/>
          <w:lang w:val="zh-CN" w:bidi="zh-CN"/>
        </w:rPr>
        <w:tab/>
      </w:r>
      <w:r>
        <w:rPr>
          <w:rFonts w:hint="eastAsia" w:ascii="黑体" w:hAnsi="宋体" w:eastAsia="黑体" w:cs="宋体"/>
          <w:szCs w:val="21"/>
          <w:lang w:val="zh-CN" w:bidi="zh-CN"/>
        </w:rPr>
        <w:t>录</w:t>
      </w:r>
      <w:r>
        <w:rPr>
          <w:rFonts w:hint="eastAsia" w:ascii="黑体" w:hAnsi="宋体" w:eastAsia="黑体" w:cs="宋体"/>
          <w:szCs w:val="21"/>
          <w:lang w:val="zh-CN" w:bidi="zh-CN"/>
        </w:rPr>
        <w:tab/>
      </w:r>
      <w:r>
        <w:rPr>
          <w:rFonts w:ascii="黑体" w:hAnsi="宋体" w:eastAsia="黑体" w:cs="宋体"/>
          <w:szCs w:val="21"/>
          <w:lang w:bidi="zh-CN"/>
        </w:rPr>
        <w:t>B</w:t>
      </w:r>
    </w:p>
    <w:p>
      <w:pPr>
        <w:autoSpaceDE w:val="0"/>
        <w:autoSpaceDN w:val="0"/>
        <w:spacing w:before="2"/>
        <w:ind w:left="2" w:right="368"/>
        <w:jc w:val="center"/>
        <w:rPr>
          <w:rFonts w:ascii="黑体" w:hAnsi="宋体" w:eastAsia="黑体" w:cs="宋体"/>
          <w:szCs w:val="21"/>
          <w:lang w:val="zh-CN" w:bidi="zh-CN"/>
        </w:rPr>
      </w:pPr>
      <w:r>
        <w:rPr>
          <w:rFonts w:hint="eastAsia" w:ascii="黑体" w:hAnsi="宋体" w:eastAsia="黑体" w:cs="宋体"/>
          <w:szCs w:val="21"/>
          <w:lang w:val="zh-CN" w:bidi="zh-CN"/>
        </w:rPr>
        <w:t>（规范性）</w:t>
      </w:r>
    </w:p>
    <w:p>
      <w:pPr>
        <w:autoSpaceDE w:val="0"/>
        <w:autoSpaceDN w:val="0"/>
        <w:spacing w:before="5"/>
        <w:ind w:left="2" w:right="368"/>
        <w:jc w:val="center"/>
        <w:rPr>
          <w:rFonts w:ascii="黑体" w:hAnsi="宋体" w:eastAsia="黑体" w:cs="宋体"/>
          <w:szCs w:val="21"/>
          <w:lang w:val="zh-CN" w:bidi="zh-CN"/>
        </w:rPr>
      </w:pPr>
      <w:r>
        <w:rPr>
          <w:rFonts w:hint="eastAsia" w:ascii="黑体" w:hAnsi="宋体" w:eastAsia="黑体" w:cs="宋体"/>
          <w:szCs w:val="21"/>
          <w:lang w:bidi="zh-CN"/>
        </w:rPr>
        <w:t xml:space="preserve">  </w:t>
      </w:r>
      <w:r>
        <w:rPr>
          <w:rFonts w:hint="eastAsia" w:ascii="黑体" w:hAnsi="宋体" w:eastAsia="黑体" w:cs="宋体"/>
          <w:szCs w:val="21"/>
          <w:lang w:val="zh-CN" w:bidi="zh-CN"/>
        </w:rPr>
        <w:t>产品功耗</w:t>
      </w:r>
      <w:r>
        <w:rPr>
          <w:rFonts w:hint="eastAsia" w:ascii="黑体" w:hAnsi="宋体" w:eastAsia="黑体" w:cs="宋体"/>
          <w:szCs w:val="21"/>
          <w:lang w:bidi="zh-CN"/>
        </w:rPr>
        <w:t>和回路电阻的</w:t>
      </w:r>
      <w:r>
        <w:rPr>
          <w:rFonts w:hint="eastAsia" w:ascii="黑体" w:hAnsi="宋体" w:eastAsia="黑体" w:cs="宋体"/>
          <w:szCs w:val="21"/>
          <w:lang w:val="zh-CN" w:bidi="zh-CN"/>
        </w:rPr>
        <w:t>计算方法</w:t>
      </w:r>
    </w:p>
    <w:p>
      <w:pPr>
        <w:widowControl/>
        <w:jc w:val="left"/>
        <w:rPr>
          <w:rFonts w:ascii="等线" w:hAnsi="等线" w:eastAsia="等线" w:cs="宋体"/>
          <w:color w:val="0070C0"/>
          <w:kern w:val="0"/>
          <w:szCs w:val="21"/>
          <w:lang w:val="zh-CN" w:bidi="zh-CN"/>
        </w:rPr>
      </w:pPr>
    </w:p>
    <w:p>
      <w:pPr>
        <w:tabs>
          <w:tab w:val="left" w:pos="758"/>
          <w:tab w:val="left" w:pos="759"/>
        </w:tabs>
        <w:autoSpaceDE w:val="0"/>
        <w:autoSpaceDN w:val="0"/>
        <w:spacing w:before="156" w:beforeLines="50" w:after="156" w:afterLines="50"/>
        <w:ind w:left="221"/>
        <w:rPr>
          <w:rFonts w:ascii="黑体" w:hAnsi="宋体" w:eastAsia="黑体" w:cs="宋体"/>
          <w:szCs w:val="22"/>
          <w:lang w:val="zh-CN" w:bidi="zh-CN"/>
        </w:rPr>
      </w:pPr>
      <w:r>
        <w:rPr>
          <w:rFonts w:hint="eastAsia" w:ascii="黑体" w:hAnsi="宋体" w:eastAsia="黑体" w:cs="宋体"/>
          <w:szCs w:val="22"/>
          <w:lang w:val="zh-CN" w:bidi="zh-CN"/>
        </w:rPr>
        <w:t>B</w:t>
      </w:r>
      <w:r>
        <w:rPr>
          <w:rFonts w:ascii="黑体" w:hAnsi="宋体" w:eastAsia="黑体" w:cs="宋体"/>
          <w:szCs w:val="22"/>
          <w:lang w:val="zh-CN" w:bidi="zh-CN"/>
        </w:rPr>
        <w:t xml:space="preserve">.1 </w:t>
      </w:r>
      <w:r>
        <w:rPr>
          <w:rFonts w:hint="eastAsia" w:ascii="黑体" w:hAnsi="宋体" w:eastAsia="黑体" w:cs="宋体"/>
          <w:szCs w:val="22"/>
          <w:lang w:val="zh-CN" w:bidi="zh-CN"/>
        </w:rPr>
        <w:t>试验要求</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default" w:ascii="Times New Roman" w:hAnsi="Times New Roman" w:cs="Times New Roman"/>
          <w:szCs w:val="22"/>
          <w:lang w:val="zh-CN" w:bidi="zh-CN"/>
        </w:rPr>
        <w:t>B.1.1</w:t>
      </w:r>
      <w:r>
        <w:rPr>
          <w:rFonts w:ascii="宋体" w:hAnsi="宋体" w:cs="宋体"/>
          <w:szCs w:val="22"/>
          <w:lang w:val="zh-CN" w:bidi="zh-CN"/>
        </w:rPr>
        <w:t xml:space="preserve"> 试验在温升测试合格基础上进行。</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default" w:ascii="Times New Roman" w:hAnsi="Times New Roman" w:cs="Times New Roman"/>
          <w:szCs w:val="22"/>
          <w:lang w:val="zh-CN" w:bidi="zh-CN"/>
        </w:rPr>
        <w:t>B.1.2</w:t>
      </w:r>
      <w:r>
        <w:rPr>
          <w:rFonts w:ascii="宋体" w:hAnsi="宋体" w:cs="宋体"/>
          <w:szCs w:val="22"/>
          <w:lang w:val="zh-CN" w:bidi="zh-CN"/>
        </w:rPr>
        <w:t xml:space="preserve"> 低压成套设备功率损耗的测试。功率损耗包括主电路的功率损耗和控制电路辅助电路功率损</w:t>
      </w:r>
      <w:r>
        <w:rPr>
          <w:rFonts w:hint="eastAsia" w:ascii="宋体" w:hAnsi="宋体" w:cs="宋体"/>
          <w:szCs w:val="22"/>
          <w:lang w:val="zh-CN" w:bidi="zh-CN"/>
        </w:rPr>
        <w:t>耗。</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default" w:ascii="Times New Roman" w:hAnsi="Times New Roman" w:cs="Times New Roman"/>
          <w:szCs w:val="22"/>
          <w:lang w:val="zh-CN" w:bidi="zh-CN"/>
        </w:rPr>
        <w:t>B.1.3</w:t>
      </w:r>
      <w:r>
        <w:rPr>
          <w:rFonts w:ascii="宋体" w:hAnsi="宋体" w:cs="宋体"/>
          <w:szCs w:val="22"/>
          <w:lang w:val="zh-CN" w:bidi="zh-CN"/>
        </w:rPr>
        <w:t xml:space="preserve"> 回路电阻测试。回路电阻测试可以在温升试验前,或者在功率损耗测试完成后将试品冷却到室</w:t>
      </w:r>
      <w:r>
        <w:rPr>
          <w:rFonts w:hint="eastAsia" w:ascii="宋体" w:hAnsi="宋体" w:cs="宋体"/>
          <w:szCs w:val="22"/>
          <w:lang w:val="zh-CN" w:bidi="zh-CN"/>
        </w:rPr>
        <w:t>温后进行。测试采用直流电流测试。</w:t>
      </w:r>
    </w:p>
    <w:p>
      <w:pPr>
        <w:tabs>
          <w:tab w:val="left" w:pos="758"/>
          <w:tab w:val="left" w:pos="759"/>
        </w:tabs>
        <w:autoSpaceDE w:val="0"/>
        <w:autoSpaceDN w:val="0"/>
        <w:spacing w:before="156" w:beforeLines="50" w:after="156" w:afterLines="50"/>
        <w:ind w:left="221" w:firstLine="136" w:firstLineChars="65"/>
        <w:rPr>
          <w:rFonts w:ascii="宋体" w:hAnsi="宋体" w:cs="宋体"/>
          <w:kern w:val="0"/>
          <w:szCs w:val="22"/>
          <w:lang w:val="zh-CN" w:bidi="zh-CN"/>
        </w:rPr>
      </w:pPr>
      <w:r>
        <w:rPr>
          <w:rFonts w:hint="eastAsia" w:ascii="Times New Roman" w:hAnsi="Times New Roman" w:cs="Times New Roman"/>
          <w:szCs w:val="22"/>
          <w:lang w:val="zh-CN" w:bidi="zh-CN"/>
        </w:rPr>
        <w:t>B</w:t>
      </w:r>
      <w:r>
        <w:rPr>
          <w:rFonts w:hint="default" w:ascii="Times New Roman" w:hAnsi="Times New Roman" w:cs="Times New Roman"/>
          <w:szCs w:val="22"/>
          <w:lang w:val="zh-CN" w:bidi="zh-CN"/>
        </w:rPr>
        <w:t>.1.4</w:t>
      </w:r>
      <w:r>
        <w:rPr>
          <w:rFonts w:ascii="宋体" w:hAnsi="宋体" w:cs="宋体"/>
          <w:szCs w:val="22"/>
          <w:lang w:val="zh-CN" w:bidi="zh-CN"/>
        </w:rPr>
        <w:t xml:space="preserve"> 试验用电压表、电流表或功率表的精度应为</w:t>
      </w:r>
      <w:r>
        <w:rPr>
          <w:rFonts w:hint="eastAsia" w:ascii="Times New Roman" w:hAnsi="Times New Roman" w:eastAsia="宋体" w:cs="Times New Roman"/>
          <w:kern w:val="2"/>
          <w:sz w:val="21"/>
          <w:szCs w:val="21"/>
          <w:lang w:val="zh-CN" w:eastAsia="zh-CN" w:bidi="ar"/>
        </w:rPr>
        <w:t>0.5</w:t>
      </w:r>
      <w:r>
        <w:rPr>
          <w:rFonts w:ascii="宋体" w:hAnsi="宋体" w:cs="宋体"/>
          <w:szCs w:val="22"/>
          <w:lang w:val="zh-CN" w:bidi="zh-CN"/>
        </w:rPr>
        <w:t>级以上，电流互感器在</w:t>
      </w:r>
      <w:r>
        <w:rPr>
          <w:rFonts w:hint="eastAsia" w:ascii="Times New Roman" w:hAnsi="Times New Roman" w:eastAsia="宋体" w:cs="Times New Roman"/>
          <w:kern w:val="2"/>
          <w:sz w:val="21"/>
          <w:szCs w:val="21"/>
          <w:lang w:val="zh-CN" w:eastAsia="zh-CN" w:bidi="ar"/>
        </w:rPr>
        <w:t>0.2</w:t>
      </w:r>
      <w:r>
        <w:rPr>
          <w:rFonts w:ascii="宋体" w:hAnsi="宋体" w:cs="宋体"/>
          <w:szCs w:val="22"/>
          <w:lang w:val="zh-CN" w:bidi="zh-CN"/>
        </w:rPr>
        <w:t>级以上。</w:t>
      </w:r>
    </w:p>
    <w:p>
      <w:pPr>
        <w:tabs>
          <w:tab w:val="left" w:pos="758"/>
          <w:tab w:val="left" w:pos="759"/>
        </w:tabs>
        <w:autoSpaceDE w:val="0"/>
        <w:autoSpaceDN w:val="0"/>
        <w:spacing w:before="156" w:beforeLines="50" w:after="156" w:afterLines="50"/>
        <w:ind w:left="221"/>
        <w:rPr>
          <w:rFonts w:ascii="黑体" w:hAnsi="宋体" w:eastAsia="黑体" w:cs="宋体"/>
          <w:szCs w:val="22"/>
          <w:lang w:val="zh-CN" w:bidi="zh-CN"/>
        </w:rPr>
      </w:pPr>
      <w:r>
        <w:rPr>
          <w:rFonts w:hint="eastAsia" w:ascii="黑体" w:hAnsi="宋体" w:eastAsia="黑体" w:cs="宋体"/>
          <w:szCs w:val="22"/>
          <w:lang w:val="zh-CN" w:bidi="zh-CN"/>
        </w:rPr>
        <w:t>B</w:t>
      </w:r>
      <w:r>
        <w:rPr>
          <w:rFonts w:ascii="黑体" w:hAnsi="宋体" w:eastAsia="黑体" w:cs="宋体"/>
          <w:szCs w:val="22"/>
          <w:lang w:val="zh-CN" w:bidi="zh-CN"/>
        </w:rPr>
        <w:t xml:space="preserve">.2 </w:t>
      </w:r>
      <w:r>
        <w:rPr>
          <w:rFonts w:hint="eastAsia" w:ascii="黑体" w:hAnsi="宋体" w:eastAsia="黑体" w:cs="宋体"/>
          <w:szCs w:val="22"/>
          <w:lang w:val="zh-CN" w:bidi="zh-CN"/>
        </w:rPr>
        <w:t>试验条件</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eastAsia" w:ascii="Times New Roman" w:hAnsi="Times New Roman" w:cs="Times New Roman"/>
          <w:szCs w:val="22"/>
          <w:lang w:val="zh-CN" w:bidi="zh-CN"/>
        </w:rPr>
        <w:t>B.2.1</w:t>
      </w:r>
      <w:r>
        <w:rPr>
          <w:rFonts w:ascii="宋体" w:hAnsi="宋体" w:cs="宋体"/>
          <w:szCs w:val="22"/>
          <w:lang w:val="zh-CN" w:bidi="zh-CN"/>
        </w:rPr>
        <w:t xml:space="preserve"> 环境条件：按</w:t>
      </w:r>
      <w:r>
        <w:rPr>
          <w:rFonts w:hint="eastAsia" w:ascii="Times New Roman" w:hAnsi="Times New Roman" w:eastAsia="宋体" w:cs="Times New Roman"/>
          <w:kern w:val="2"/>
          <w:sz w:val="18"/>
          <w:szCs w:val="24"/>
          <w:lang w:val="zh-CN" w:eastAsia="zh-CN" w:bidi="ar"/>
        </w:rPr>
        <w:t xml:space="preserve"> GB/T 10233</w:t>
      </w:r>
      <w:r>
        <w:rPr>
          <w:rFonts w:ascii="宋体" w:hAnsi="宋体" w:cs="宋体"/>
          <w:szCs w:val="22"/>
          <w:lang w:val="zh-CN" w:bidi="zh-CN"/>
        </w:rPr>
        <w:t xml:space="preserve"> 条款 </w:t>
      </w:r>
      <w:r>
        <w:rPr>
          <w:rFonts w:hint="eastAsia" w:ascii="Times New Roman" w:hAnsi="Times New Roman" w:eastAsia="宋体" w:cs="Times New Roman"/>
          <w:kern w:val="2"/>
          <w:sz w:val="21"/>
          <w:szCs w:val="21"/>
          <w:lang w:val="zh-CN" w:eastAsia="zh-CN" w:bidi="ar"/>
        </w:rPr>
        <w:t>4.9.1.6</w:t>
      </w:r>
      <w:r>
        <w:rPr>
          <w:rFonts w:ascii="宋体" w:hAnsi="宋体" w:cs="宋体"/>
          <w:szCs w:val="22"/>
          <w:lang w:val="zh-CN" w:bidi="zh-CN"/>
        </w:rPr>
        <w:t>。</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eastAsia" w:ascii="Times New Roman" w:hAnsi="Times New Roman" w:cs="Times New Roman"/>
          <w:szCs w:val="22"/>
          <w:lang w:val="zh-CN" w:bidi="zh-CN"/>
        </w:rPr>
        <w:t>B.2.2</w:t>
      </w:r>
      <w:r>
        <w:rPr>
          <w:rFonts w:ascii="宋体" w:hAnsi="宋体" w:cs="宋体"/>
          <w:szCs w:val="22"/>
          <w:lang w:val="zh-CN" w:bidi="zh-CN"/>
        </w:rPr>
        <w:t xml:space="preserve"> 安装方式按 </w:t>
      </w:r>
      <w:r>
        <w:rPr>
          <w:rFonts w:hint="eastAsia" w:ascii="Times New Roman" w:hAnsi="Times New Roman" w:eastAsia="宋体" w:cs="Times New Roman"/>
          <w:kern w:val="2"/>
          <w:sz w:val="21"/>
          <w:szCs w:val="21"/>
          <w:lang w:val="zh-CN" w:eastAsia="zh-CN" w:bidi="ar"/>
        </w:rPr>
        <w:t>GB/T 7251.1</w:t>
      </w:r>
      <w:r>
        <w:rPr>
          <w:rFonts w:ascii="宋体" w:hAnsi="宋体" w:cs="宋体"/>
          <w:szCs w:val="22"/>
          <w:lang w:val="zh-CN" w:bidi="zh-CN"/>
        </w:rPr>
        <w:t xml:space="preserve">和 </w:t>
      </w:r>
      <w:r>
        <w:rPr>
          <w:rFonts w:hint="eastAsia" w:ascii="Times New Roman" w:hAnsi="Times New Roman" w:eastAsia="宋体" w:cs="Times New Roman"/>
          <w:kern w:val="2"/>
          <w:sz w:val="21"/>
          <w:szCs w:val="21"/>
          <w:lang w:val="zh-CN" w:eastAsia="zh-CN" w:bidi="ar"/>
        </w:rPr>
        <w:t>GB/T 10233</w:t>
      </w:r>
      <w:r>
        <w:rPr>
          <w:rFonts w:ascii="宋体" w:hAnsi="宋体" w:cs="宋体"/>
          <w:szCs w:val="22"/>
          <w:lang w:val="zh-CN" w:bidi="zh-CN"/>
        </w:rPr>
        <w:t>。</w:t>
      </w:r>
    </w:p>
    <w:p>
      <w:pPr>
        <w:tabs>
          <w:tab w:val="left" w:pos="758"/>
          <w:tab w:val="left" w:pos="759"/>
        </w:tabs>
        <w:autoSpaceDE w:val="0"/>
        <w:autoSpaceDN w:val="0"/>
        <w:spacing w:before="156" w:beforeLines="50" w:after="156" w:afterLines="50"/>
        <w:ind w:left="221"/>
        <w:rPr>
          <w:rFonts w:ascii="黑体" w:hAnsi="宋体" w:eastAsia="黑体" w:cs="宋体"/>
          <w:szCs w:val="22"/>
          <w:lang w:val="zh-CN" w:bidi="zh-CN"/>
        </w:rPr>
      </w:pPr>
      <w:r>
        <w:rPr>
          <w:rFonts w:ascii="黑体" w:hAnsi="宋体" w:eastAsia="黑体" w:cs="宋体"/>
          <w:szCs w:val="22"/>
          <w:lang w:val="zh-CN" w:bidi="zh-CN"/>
        </w:rPr>
        <w:t>B.3 试验方法</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eastAsia" w:ascii="Times New Roman" w:hAnsi="Times New Roman" w:cs="Times New Roman"/>
          <w:szCs w:val="22"/>
          <w:lang w:val="zh-CN" w:bidi="zh-CN"/>
        </w:rPr>
        <w:t xml:space="preserve">B.3.1 </w:t>
      </w:r>
      <w:r>
        <w:rPr>
          <w:rFonts w:hint="eastAsia" w:ascii="宋体" w:hAnsi="宋体" w:cs="宋体"/>
          <w:szCs w:val="22"/>
          <w:lang w:val="zh-CN" w:bidi="zh-CN"/>
        </w:rPr>
        <w:t xml:space="preserve">低压成套开关设备消耗功率的测试方法 </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eastAsia" w:ascii="Times New Roman" w:hAnsi="Times New Roman" w:cs="Times New Roman"/>
          <w:szCs w:val="22"/>
          <w:lang w:val="zh-CN" w:bidi="zh-CN"/>
        </w:rPr>
        <w:t xml:space="preserve">B.3.1.1 </w:t>
      </w:r>
      <w:r>
        <w:rPr>
          <w:rFonts w:hint="eastAsia" w:ascii="宋体" w:hAnsi="宋体" w:cs="宋体"/>
          <w:szCs w:val="22"/>
          <w:lang w:val="zh-CN" w:bidi="zh-CN"/>
        </w:rPr>
        <w:t xml:space="preserve">测试基本要求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宋体" w:hAnsi="宋体" w:cs="宋体"/>
          <w:szCs w:val="21"/>
          <w:lang w:val="zh-CN" w:bidi="zh-CN"/>
        </w:rPr>
        <w:t xml:space="preserve">低压成套开关设备的自身消耗功率 </w:t>
      </w:r>
      <w:r>
        <w:rPr>
          <w:rFonts w:hint="eastAsia" w:ascii="Times New Roman" w:hAnsi="Times New Roman" w:eastAsia="宋体" w:cs="Times New Roman"/>
          <w:kern w:val="2"/>
          <w:sz w:val="21"/>
          <w:szCs w:val="21"/>
          <w:lang w:val="zh-CN" w:eastAsia="zh-CN" w:bidi="ar"/>
        </w:rPr>
        <w:t>P</w:t>
      </w:r>
      <w:r>
        <w:rPr>
          <w:rFonts w:hint="eastAsia" w:ascii="宋体" w:hAnsi="宋体" w:cs="宋体"/>
          <w:szCs w:val="21"/>
          <w:lang w:val="zh-CN" w:bidi="zh-CN"/>
        </w:rPr>
        <w:t xml:space="preserve"> 可以分为两部分，一部分是主电路中每条支路（包含母排、导线及元器件的）消耗有功功率的总和，记为 </w:t>
      </w:r>
      <w:r>
        <w:rPr>
          <w:rFonts w:hint="eastAsia" w:ascii="Times New Roman" w:hAnsi="Times New Roman" w:eastAsia="宋体" w:cs="Times New Roman"/>
          <w:kern w:val="2"/>
          <w:sz w:val="21"/>
          <w:szCs w:val="21"/>
          <w:lang w:val="zh-CN" w:eastAsia="zh-CN" w:bidi="ar"/>
        </w:rPr>
        <w:t>P1</w:t>
      </w:r>
      <w:r>
        <w:rPr>
          <w:rFonts w:hint="eastAsia" w:ascii="宋体" w:hAnsi="宋体" w:cs="宋体"/>
          <w:szCs w:val="21"/>
          <w:lang w:val="zh-CN" w:bidi="zh-CN"/>
        </w:rPr>
        <w:t>；另一部分是二次回路（控制电路和辅助电路）线路及各元器</w:t>
      </w:r>
      <w:r>
        <w:rPr>
          <w:rFonts w:hint="eastAsia" w:ascii="宋体" w:hAnsi="宋体" w:cs="宋体"/>
          <w:color w:val="000000"/>
          <w:szCs w:val="21"/>
        </w:rPr>
        <w:t xml:space="preserve">件（包括仪表、风机、线圈、指示灯等）的消耗功率总和，记为 </w:t>
      </w:r>
      <w:r>
        <w:rPr>
          <w:rFonts w:hint="eastAsia" w:ascii="Times New Roman" w:hAnsi="Times New Roman" w:eastAsia="宋体" w:cs="Times New Roman"/>
          <w:kern w:val="2"/>
          <w:sz w:val="21"/>
          <w:szCs w:val="21"/>
          <w:lang w:val="zh-CN" w:eastAsia="zh-CN" w:bidi="ar"/>
        </w:rPr>
        <w:t>P2</w:t>
      </w:r>
      <w:r>
        <w:rPr>
          <w:rFonts w:hint="eastAsia" w:ascii="宋体" w:hAnsi="宋体" w:cs="宋体"/>
          <w:color w:val="000000"/>
          <w:szCs w:val="21"/>
        </w:rPr>
        <w:t xml:space="preserve">。低压配电柜的功率损耗 </w:t>
      </w:r>
      <w:r>
        <w:rPr>
          <w:rFonts w:hint="eastAsia" w:ascii="Times New Roman" w:hAnsi="Times New Roman" w:eastAsia="宋体" w:cs="Times New Roman"/>
          <w:kern w:val="2"/>
          <w:sz w:val="21"/>
          <w:szCs w:val="21"/>
          <w:lang w:val="zh-CN" w:eastAsia="zh-CN" w:bidi="ar"/>
        </w:rPr>
        <w:t>P = P1+ P2</w:t>
      </w:r>
      <w:r>
        <w:rPr>
          <w:rFonts w:hint="eastAsia" w:ascii="宋体" w:hAnsi="宋体" w:cs="宋体"/>
          <w:color w:val="000000"/>
          <w:szCs w:val="21"/>
        </w:rPr>
        <w:t xml:space="preserve">。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宋体" w:hAnsi="宋体" w:cs="宋体"/>
          <w:szCs w:val="21"/>
          <w:lang w:val="zh-CN" w:bidi="zh-CN"/>
        </w:rPr>
        <w:t xml:space="preserve">一次电路的通电方案，与温升试验方案一致，主电流采用低压大电流方法。总电流通低压成套设备的额定电流。如果有多次温升试验方案，取功率损耗最大值。功率损耗测试在温升试验后进行。对温升测试合格的试品，继续通电进行。测试时，允许开门进行功耗测量。 </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eastAsia" w:ascii="Times New Roman" w:hAnsi="Times New Roman" w:cs="Times New Roman"/>
          <w:szCs w:val="22"/>
          <w:lang w:val="zh-CN" w:bidi="zh-CN"/>
        </w:rPr>
        <w:t xml:space="preserve">B.3.1.2 </w:t>
      </w:r>
      <w:r>
        <w:rPr>
          <w:rFonts w:hint="eastAsia" w:ascii="宋体" w:hAnsi="宋体" w:cs="宋体"/>
          <w:szCs w:val="22"/>
          <w:lang w:val="zh-CN" w:bidi="zh-CN"/>
        </w:rPr>
        <w:t xml:space="preserve">主电路功率损耗的测试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Times New Roman" w:hAnsi="Times New Roman" w:cs="Times New Roman"/>
          <w:szCs w:val="22"/>
          <w:lang w:val="zh-CN" w:bidi="zh-CN"/>
        </w:rPr>
        <w:t xml:space="preserve">B.3.1.2.1 </w:t>
      </w:r>
      <w:r>
        <w:rPr>
          <w:rFonts w:hint="eastAsia" w:ascii="宋体" w:hAnsi="宋体" w:cs="宋体"/>
          <w:szCs w:val="21"/>
          <w:lang w:val="zh-CN" w:bidi="zh-CN"/>
        </w:rPr>
        <w:t xml:space="preserve">消耗功率的测量点位于低压成套柜的进线端子与出线端子之间，不包含因电路连接需要的外部导线（或母排）消耗的功率。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Times New Roman" w:hAnsi="Times New Roman" w:cs="Times New Roman"/>
          <w:szCs w:val="22"/>
          <w:lang w:val="zh-CN" w:bidi="zh-CN"/>
        </w:rPr>
        <w:t xml:space="preserve">B.3.1.2.2 </w:t>
      </w:r>
      <w:r>
        <w:rPr>
          <w:rFonts w:hint="eastAsia" w:ascii="宋体" w:hAnsi="宋体" w:cs="宋体"/>
          <w:szCs w:val="21"/>
          <w:lang w:val="zh-CN" w:bidi="zh-CN"/>
        </w:rPr>
        <w:t>功率损耗以瓦特（</w:t>
      </w:r>
      <w:r>
        <w:rPr>
          <w:rFonts w:hint="eastAsia" w:ascii="Times New Roman" w:hAnsi="Times New Roman" w:cs="Times New Roman"/>
          <w:szCs w:val="22"/>
          <w:lang w:val="zh-CN" w:bidi="zh-CN"/>
        </w:rPr>
        <w:t>W</w:t>
      </w:r>
      <w:r>
        <w:rPr>
          <w:rFonts w:hint="eastAsia" w:ascii="宋体" w:hAnsi="宋体" w:cs="宋体"/>
          <w:szCs w:val="21"/>
          <w:lang w:val="zh-CN" w:bidi="zh-CN"/>
        </w:rPr>
        <w:t>）为单位，采用数据修约方法保留小数</w:t>
      </w:r>
      <w:r>
        <w:rPr>
          <w:rFonts w:hint="eastAsia" w:ascii="Times New Roman" w:hAnsi="Times New Roman" w:cs="Times New Roman"/>
          <w:szCs w:val="22"/>
          <w:lang w:val="zh-CN" w:bidi="zh-CN"/>
        </w:rPr>
        <w:t>1</w:t>
      </w:r>
      <w:r>
        <w:rPr>
          <w:rFonts w:hint="eastAsia" w:ascii="宋体" w:hAnsi="宋体" w:cs="宋体"/>
          <w:szCs w:val="21"/>
          <w:lang w:val="zh-CN" w:bidi="zh-CN"/>
        </w:rPr>
        <w:t xml:space="preserve">位。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Times New Roman" w:hAnsi="Times New Roman" w:cs="Times New Roman"/>
          <w:szCs w:val="22"/>
          <w:lang w:val="zh-CN" w:bidi="zh-CN"/>
        </w:rPr>
        <w:t xml:space="preserve">B.3.1.2.3 </w:t>
      </w:r>
      <w:r>
        <w:rPr>
          <w:rFonts w:hint="eastAsia" w:ascii="宋体" w:hAnsi="宋体" w:cs="宋体"/>
          <w:szCs w:val="21"/>
          <w:lang w:val="zh-CN" w:bidi="zh-CN"/>
        </w:rPr>
        <w:t>功率损耗的测量时的通电方法，可以采用正向通电和反向通电方法。正向通电方法是总进线侧通成套装置的额定电流，电流方向从进线侧流向各支路，各支路电流采用稳流的方法保证各支路试验电流等于支路额定电流。</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宋体" w:hAnsi="宋体" w:cs="宋体"/>
          <w:color w:val="000000"/>
          <w:szCs w:val="21"/>
        </w:rPr>
        <w:t xml:space="preserve">反向通电方法是指各支路电流采用稳流的方法，保证各支路试验电流等于支路额定电流，电流从各支路流向总进线侧，使总进线侧电流达到成套装置的额定电流。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Times New Roman" w:hAnsi="Times New Roman" w:cs="Times New Roman"/>
          <w:szCs w:val="22"/>
          <w:lang w:val="zh-CN" w:bidi="zh-CN"/>
        </w:rPr>
        <w:t xml:space="preserve">B.3.1.2.4 </w:t>
      </w:r>
      <w:r>
        <w:rPr>
          <w:rFonts w:hint="eastAsia" w:ascii="宋体" w:hAnsi="宋体" w:cs="宋体"/>
          <w:szCs w:val="21"/>
          <w:lang w:val="zh-CN" w:bidi="zh-CN"/>
        </w:rPr>
        <w:t>主电路功率损耗的测试方法</w:t>
      </w:r>
      <w:r>
        <w:rPr>
          <w:rFonts w:hint="eastAsia" w:ascii="宋体" w:hAnsi="宋体" w:cs="宋体"/>
          <w:color w:val="000000"/>
          <w:szCs w:val="21"/>
        </w:rPr>
        <w:t>功率损耗等于所有输入端的有功功率（</w:t>
      </w:r>
      <w:r>
        <w:rPr>
          <w:rFonts w:hint="eastAsia" w:ascii="Times New Roman" w:hAnsi="Times New Roman" w:cs="Times New Roman"/>
          <w:szCs w:val="22"/>
          <w:lang w:val="zh-CN" w:bidi="zh-CN"/>
        </w:rPr>
        <w:t>P</w:t>
      </w:r>
      <w:r>
        <w:rPr>
          <w:rFonts w:hint="eastAsia" w:ascii="宋体" w:hAnsi="宋体" w:cs="宋体"/>
          <w:color w:val="000000"/>
          <w:szCs w:val="21"/>
        </w:rPr>
        <w:t>输入）减去所有输出端有功功率（</w:t>
      </w:r>
      <w:r>
        <w:rPr>
          <w:rFonts w:hint="eastAsia" w:ascii="Times New Roman" w:hAnsi="Times New Roman" w:cs="Times New Roman"/>
          <w:szCs w:val="22"/>
          <w:lang w:val="zh-CN" w:bidi="zh-CN"/>
        </w:rPr>
        <w:t>P</w:t>
      </w:r>
      <w:r>
        <w:rPr>
          <w:rFonts w:hint="eastAsia" w:ascii="宋体" w:hAnsi="宋体" w:cs="宋体"/>
          <w:color w:val="000000"/>
          <w:szCs w:val="21"/>
        </w:rPr>
        <w:t>输出），</w:t>
      </w:r>
      <w:r>
        <w:rPr>
          <w:rFonts w:hint="eastAsia" w:ascii="Times New Roman" w:hAnsi="Times New Roman" w:cs="Times New Roman"/>
          <w:szCs w:val="22"/>
          <w:lang w:val="zh-CN" w:bidi="zh-CN"/>
        </w:rPr>
        <w:t>P1</w:t>
      </w:r>
      <w:r>
        <w:rPr>
          <w:rFonts w:hint="eastAsia" w:ascii="宋体" w:hAnsi="宋体" w:cs="宋体"/>
          <w:color w:val="000000"/>
          <w:szCs w:val="21"/>
        </w:rPr>
        <w:t>=</w:t>
      </w:r>
      <w:r>
        <w:rPr>
          <w:rFonts w:hint="eastAsia" w:ascii="Times New Roman" w:hAnsi="Times New Roman" w:cs="Times New Roman"/>
          <w:szCs w:val="22"/>
          <w:lang w:val="zh-CN" w:bidi="zh-CN"/>
        </w:rPr>
        <w:t>P</w:t>
      </w:r>
      <w:r>
        <w:rPr>
          <w:rFonts w:hint="eastAsia" w:ascii="宋体" w:hAnsi="宋体" w:cs="宋体"/>
          <w:color w:val="000000"/>
          <w:szCs w:val="21"/>
        </w:rPr>
        <w:t>输入-</w:t>
      </w:r>
      <w:r>
        <w:rPr>
          <w:rFonts w:hint="eastAsia" w:ascii="Times New Roman" w:hAnsi="Times New Roman" w:cs="Times New Roman"/>
          <w:szCs w:val="22"/>
          <w:lang w:val="zh-CN" w:bidi="zh-CN"/>
        </w:rPr>
        <w:t>P</w:t>
      </w:r>
      <w:r>
        <w:rPr>
          <w:rFonts w:hint="eastAsia" w:ascii="宋体" w:hAnsi="宋体" w:cs="宋体"/>
          <w:color w:val="000000"/>
          <w:szCs w:val="21"/>
        </w:rPr>
        <w:t xml:space="preserve">输出。 </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eastAsia" w:ascii="Times New Roman" w:hAnsi="Times New Roman" w:cs="Times New Roman"/>
          <w:szCs w:val="22"/>
          <w:lang w:val="zh-CN" w:bidi="zh-CN"/>
        </w:rPr>
        <w:t>B.3.1.3</w:t>
      </w:r>
      <w:r>
        <w:rPr>
          <w:rFonts w:ascii="宋体" w:hAnsi="宋体" w:cs="宋体"/>
          <w:szCs w:val="22"/>
          <w:lang w:val="zh-CN" w:bidi="zh-CN"/>
        </w:rPr>
        <w:t xml:space="preserve"> </w:t>
      </w:r>
      <w:r>
        <w:rPr>
          <w:rFonts w:hint="eastAsia" w:ascii="宋体" w:hAnsi="宋体" w:cs="宋体"/>
          <w:szCs w:val="22"/>
          <w:lang w:val="zh-CN" w:bidi="zh-CN"/>
        </w:rPr>
        <w:t xml:space="preserve">二次回路（控制电路和辅助电路）消耗功率的测试方法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宋体" w:hAnsi="宋体" w:cs="宋体"/>
          <w:szCs w:val="21"/>
          <w:lang w:val="zh-CN" w:bidi="zh-CN"/>
        </w:rPr>
        <w:t xml:space="preserve">辅助电路（含辅助设备）消耗功率包含低压成套设备正常工作时所需辅助设备的消耗功率，如控制变压器指示灯、冷却风扇、电能表、电压表、电流表等。若测试条件限制，二次电路的消耗功率测试，允许主电路不通电，仅对二次电路通额定电压额定负载，用功率表直接测量消耗功率。 </w:t>
      </w:r>
    </w:p>
    <w:p>
      <w:pPr>
        <w:tabs>
          <w:tab w:val="left" w:pos="758"/>
          <w:tab w:val="left" w:pos="759"/>
        </w:tabs>
        <w:autoSpaceDE w:val="0"/>
        <w:autoSpaceDN w:val="0"/>
        <w:spacing w:before="156" w:beforeLines="50" w:after="156" w:afterLines="50"/>
        <w:ind w:left="221" w:firstLine="136" w:firstLineChars="65"/>
        <w:rPr>
          <w:rFonts w:ascii="宋体" w:hAnsi="宋体" w:cs="宋体"/>
          <w:szCs w:val="22"/>
          <w:lang w:val="zh-CN" w:bidi="zh-CN"/>
        </w:rPr>
      </w:pPr>
      <w:r>
        <w:rPr>
          <w:rFonts w:hint="eastAsia" w:ascii="Times New Roman" w:hAnsi="Times New Roman" w:cs="Times New Roman"/>
          <w:szCs w:val="22"/>
          <w:lang w:val="zh-CN" w:bidi="zh-CN"/>
        </w:rPr>
        <w:t>B.3.2</w:t>
      </w:r>
      <w:r>
        <w:rPr>
          <w:rFonts w:ascii="宋体" w:hAnsi="宋体" w:cs="宋体"/>
          <w:szCs w:val="22"/>
          <w:lang w:val="zh-CN" w:bidi="zh-CN"/>
        </w:rPr>
        <w:t xml:space="preserve"> </w:t>
      </w:r>
      <w:r>
        <w:rPr>
          <w:rFonts w:hint="eastAsia" w:ascii="宋体" w:hAnsi="宋体" w:cs="宋体"/>
          <w:szCs w:val="22"/>
          <w:lang w:val="zh-CN" w:bidi="zh-CN"/>
        </w:rPr>
        <w:t xml:space="preserve">回路电阻的测试方法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宋体" w:hAnsi="宋体" w:cs="宋体"/>
          <w:szCs w:val="21"/>
          <w:lang w:val="zh-CN" w:bidi="zh-CN"/>
        </w:rPr>
        <w:t>试验电流取</w:t>
      </w:r>
      <w:r>
        <w:rPr>
          <w:rFonts w:hint="eastAsia" w:ascii="Times New Roman" w:hAnsi="Times New Roman" w:cs="Times New Roman"/>
          <w:szCs w:val="22"/>
          <w:lang w:val="zh-CN" w:bidi="zh-CN"/>
        </w:rPr>
        <w:t>100A</w:t>
      </w:r>
      <w:r>
        <w:rPr>
          <w:rFonts w:hint="eastAsia" w:ascii="宋体" w:hAnsi="宋体" w:cs="宋体"/>
          <w:szCs w:val="21"/>
          <w:lang w:val="zh-CN" w:bidi="zh-CN"/>
        </w:rPr>
        <w:t xml:space="preserve">至额定电流的任一方便值。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宋体" w:hAnsi="宋体" w:cs="宋体"/>
          <w:szCs w:val="21"/>
          <w:lang w:val="zh-CN" w:bidi="zh-CN"/>
        </w:rPr>
        <w:t xml:space="preserve">采用直流回路电阻测试仪测量各回路电阻。测量各主电路每一相的回路电阻值；测量部位与每个回路功耗测量部位相同。测量时，断开其他关联电路，电阻值稳定时读出。 </w:t>
      </w:r>
    </w:p>
    <w:p>
      <w:pPr>
        <w:autoSpaceDE w:val="0"/>
        <w:autoSpaceDN w:val="0"/>
        <w:spacing w:before="156" w:beforeLines="50" w:after="156" w:afterLines="50"/>
        <w:ind w:left="238" w:right="140" w:firstLine="420"/>
        <w:rPr>
          <w:rFonts w:ascii="宋体" w:hAnsi="宋体" w:cs="宋体"/>
          <w:szCs w:val="21"/>
          <w:lang w:val="zh-CN" w:bidi="zh-CN"/>
        </w:rPr>
      </w:pPr>
      <w:r>
        <w:rPr>
          <w:rFonts w:hint="eastAsia" w:ascii="宋体" w:hAnsi="宋体" w:cs="宋体"/>
          <w:szCs w:val="21"/>
          <w:lang w:val="zh-CN" w:bidi="zh-CN"/>
        </w:rPr>
        <w:t>记录回路电阻测量值以及试验时的电流、周围环境温度、测量部位。并将回路电阻值换算至环境温度为</w:t>
      </w:r>
      <w:r>
        <w:rPr>
          <w:rFonts w:hint="default" w:ascii="Times New Roman" w:hAnsi="Times New Roman" w:cs="Times New Roman"/>
          <w:szCs w:val="22"/>
          <w:lang w:val="zh-CN" w:bidi="zh-CN"/>
        </w:rPr>
        <w:t>20℃</w:t>
      </w:r>
      <w:r>
        <w:rPr>
          <w:rFonts w:hint="eastAsia" w:ascii="宋体" w:hAnsi="宋体" w:cs="宋体"/>
          <w:szCs w:val="21"/>
          <w:lang w:val="zh-CN" w:bidi="zh-CN"/>
        </w:rPr>
        <w:t>时的电阻值。</w:t>
      </w:r>
    </w:p>
    <w:p>
      <w:pPr>
        <w:pStyle w:val="11"/>
        <w:tabs>
          <w:tab w:val="left" w:pos="419"/>
          <w:tab w:val="left" w:pos="839"/>
        </w:tabs>
        <w:spacing w:before="70"/>
        <w:ind w:right="360"/>
        <w:jc w:val="center"/>
        <w:rPr>
          <w:rFonts w:ascii="黑体" w:eastAsia="黑体"/>
        </w:rPr>
      </w:pPr>
    </w:p>
    <w:p>
      <w:pPr>
        <w:pStyle w:val="11"/>
        <w:tabs>
          <w:tab w:val="left" w:pos="419"/>
          <w:tab w:val="left" w:pos="839"/>
        </w:tabs>
        <w:spacing w:before="70"/>
        <w:ind w:right="360"/>
        <w:jc w:val="center"/>
        <w:rPr>
          <w:rFonts w:ascii="黑体" w:eastAsia="黑体"/>
        </w:rPr>
      </w:pPr>
    </w:p>
    <w:p>
      <w:pPr>
        <w:pStyle w:val="11"/>
      </w:pPr>
    </w:p>
    <w:sectPr>
      <w:footerReference r:id="rId9" w:type="default"/>
      <w:pgSz w:w="11906" w:h="16838"/>
      <w:pgMar w:top="567" w:right="1134" w:bottom="1134" w:left="1418" w:header="1418" w:footer="737"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sdt>
      <w:sdtPr>
        <w:id w:val="-1812861081"/>
      </w:sdtPr>
      <w:sdtContent/>
    </w:sdt>
  </w:p>
  <w:p>
    <w:pPr>
      <w:pStyle w:val="1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sdt>
      <w:sdtPr>
        <w:id w:val="-639028734"/>
      </w:sdtPr>
      <w:sdtContent/>
    </w:sdt>
  </w:p>
  <w:p>
    <w:pPr>
      <w:pStyle w:val="1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en-US"/>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en-US"/>
      </w:rPr>
      <mc:AlternateContent>
        <mc:Choice Requires="wps">
          <w:drawing>
            <wp:anchor distT="0" distB="0" distL="114300" distR="114300" simplePos="0" relativeHeight="251670528" behindDoc="0" locked="0" layoutInCell="1" allowOverlap="1">
              <wp:simplePos x="0" y="0"/>
              <wp:positionH relativeFrom="margin">
                <wp:posOffset>2875915</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lang w:val="en-US"/>
                            </w:rPr>
                          </w:pPr>
                          <w:r>
                            <w:rPr>
                              <w:rFonts w:hint="eastAsia"/>
                              <w:lang w:val="en-US"/>
                            </w:rPr>
                            <w:t>II</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6.45pt;margin-top:0pt;height:144pt;width:144pt;mso-position-horizontal-relative:margin;mso-wrap-style:none;z-index:251670528;mso-width-relative:page;mso-height-relative:page;" filled="f" stroked="f" coordsize="21600,21600" o:gfxdata="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BTYnNUAAAAIAQAADwAAAAAAAAABACAAAAAiAAAAZHJzL2Rvd25yZXYueG1sUEsBAhQAFAAA&#10;AAgAh07iQJpGcYwrAgAAVwQAAA4AAAAAAAAAAQAgAAAAJAEAAGRycy9lMm9Eb2MueG1sUEsFBgAA&#10;AAAGAAYAWQEAAMEFAAAAAA==&#10;">
              <v:fill on="f" focussize="0,0"/>
              <v:stroke on="f" weight="0.5pt"/>
              <v:imagedata o:title=""/>
              <o:lock v:ext="edit" aspectratio="f"/>
              <v:textbox inset="0mm,0mm,0mm,0mm" style="mso-fit-shape-to-text:t;">
                <w:txbxContent>
                  <w:p>
                    <w:pPr>
                      <w:pStyle w:val="20"/>
                      <w:rPr>
                        <w:lang w:val="en-US"/>
                      </w:rPr>
                    </w:pPr>
                    <w:r>
                      <w:rPr>
                        <w:rFonts w:hint="eastAsia"/>
                        <w:lang w:val="en-US"/>
                      </w:rPr>
                      <w:t>II</w:t>
                    </w:r>
                  </w:p>
                </w:txbxContent>
              </v:textbox>
            </v:shape>
          </w:pict>
        </mc:Fallback>
      </mc:AlternateContent>
    </w:r>
    <w:sdt>
      <w:sdtPr>
        <w:id w:val="-1154687060"/>
      </w:sdtPr>
      <w:sdtContent/>
    </w:sdt>
  </w:p>
  <w:p>
    <w:pPr>
      <w:pStyle w:val="1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ind w:right="288"/>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tabs>
        <w:tab w:val="center" w:pos="4677"/>
        <w:tab w:val="clear" w:pos="4154"/>
        <w:tab w:val="clear" w:pos="8306"/>
      </w:tabs>
      <w:jc w:val="center"/>
    </w:pPr>
    <w:r>
      <w:rPr>
        <w:rFonts w:hint="eastAsia"/>
      </w:rPr>
      <w:t xml:space="preserve">                                                                    </w:t>
    </w:r>
    <w:r>
      <w:t>T/ CECS 100</w:t>
    </w:r>
    <w:r>
      <w:rPr>
        <w:rFonts w:hint="eastAsia"/>
      </w:rPr>
      <w:t>X</w:t>
    </w:r>
    <w:r>
      <w:t>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85"/>
      <w:suff w:val="nothing"/>
      <w:lvlText w:val="%1　"/>
      <w:lvlJc w:val="left"/>
      <w:pPr>
        <w:ind w:left="0" w:firstLine="0"/>
      </w:pPr>
      <w:rPr>
        <w:rFonts w:hint="eastAsia" w:ascii="黑体" w:hAnsi="Times New Roman" w:eastAsia="黑体"/>
        <w:b w:val="0"/>
        <w:i w:val="0"/>
        <w:sz w:val="21"/>
        <w:szCs w:val="21"/>
        <w:lang w:val="en-US"/>
      </w:rPr>
    </w:lvl>
    <w:lvl w:ilvl="1" w:tentative="0">
      <w:start w:val="1"/>
      <w:numFmt w:val="decimal"/>
      <w:pStyle w:val="5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7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45"/>
      <w:suff w:val="nothing"/>
      <w:lvlText w:val="%1——"/>
      <w:lvlJc w:val="left"/>
      <w:pPr>
        <w:ind w:left="833" w:hanging="408"/>
      </w:pPr>
      <w:rPr>
        <w:rFonts w:hint="eastAsia"/>
      </w:rPr>
    </w:lvl>
    <w:lvl w:ilvl="1" w:tentative="0">
      <w:start w:val="1"/>
      <w:numFmt w:val="bullet"/>
      <w:pStyle w:val="146"/>
      <w:lvlText w:val=""/>
      <w:lvlJc w:val="left"/>
      <w:pPr>
        <w:tabs>
          <w:tab w:val="left" w:pos="760"/>
        </w:tabs>
        <w:ind w:left="1264" w:hanging="413"/>
      </w:pPr>
      <w:rPr>
        <w:rFonts w:hint="default" w:ascii="Symbol" w:hAnsi="Symbol"/>
        <w:color w:val="auto"/>
      </w:rPr>
    </w:lvl>
    <w:lvl w:ilvl="2" w:tentative="0">
      <w:start w:val="1"/>
      <w:numFmt w:val="bullet"/>
      <w:pStyle w:val="9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4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2"/>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1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4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48"/>
      <w:lvlText w:val="%1"/>
      <w:lvlJc w:val="left"/>
      <w:pPr>
        <w:tabs>
          <w:tab w:val="left" w:pos="0"/>
        </w:tabs>
        <w:ind w:left="0" w:hanging="425"/>
      </w:pPr>
      <w:rPr>
        <w:rFonts w:hint="eastAsia"/>
      </w:rPr>
    </w:lvl>
    <w:lvl w:ilvl="1" w:tentative="0">
      <w:start w:val="1"/>
      <w:numFmt w:val="decimal"/>
      <w:pStyle w:val="14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5"/>
  </w:num>
  <w:num w:numId="4">
    <w:abstractNumId w:val="16"/>
  </w:num>
  <w:num w:numId="5">
    <w:abstractNumId w:val="14"/>
  </w:num>
  <w:num w:numId="6">
    <w:abstractNumId w:val="4"/>
  </w:num>
  <w:num w:numId="7">
    <w:abstractNumId w:val="6"/>
  </w:num>
  <w:num w:numId="8">
    <w:abstractNumId w:val="7"/>
  </w:num>
  <w:num w:numId="9">
    <w:abstractNumId w:val="9"/>
  </w:num>
  <w:num w:numId="10">
    <w:abstractNumId w:val="15"/>
  </w:num>
  <w:num w:numId="11">
    <w:abstractNumId w:val="10"/>
  </w:num>
  <w:num w:numId="12">
    <w:abstractNumId w:val="2"/>
  </w:num>
  <w:num w:numId="13">
    <w:abstractNumId w:val="3"/>
  </w:num>
  <w:num w:numId="14">
    <w:abstractNumId w:val="0"/>
  </w:num>
  <w:num w:numId="15">
    <w:abstractNumId w:val="11"/>
  </w:num>
  <w:num w:numId="16">
    <w:abstractNumId w:val="12"/>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40CB"/>
    <w:rsid w:val="00004CED"/>
    <w:rsid w:val="0000586F"/>
    <w:rsid w:val="00007D81"/>
    <w:rsid w:val="00013D86"/>
    <w:rsid w:val="00013E02"/>
    <w:rsid w:val="00014E9F"/>
    <w:rsid w:val="0002143C"/>
    <w:rsid w:val="00025A65"/>
    <w:rsid w:val="00026C31"/>
    <w:rsid w:val="00026F4A"/>
    <w:rsid w:val="00027280"/>
    <w:rsid w:val="00031DEA"/>
    <w:rsid w:val="000320A7"/>
    <w:rsid w:val="00035925"/>
    <w:rsid w:val="0004726A"/>
    <w:rsid w:val="00050467"/>
    <w:rsid w:val="00056234"/>
    <w:rsid w:val="000601C9"/>
    <w:rsid w:val="00061582"/>
    <w:rsid w:val="00067CDF"/>
    <w:rsid w:val="000708ED"/>
    <w:rsid w:val="00074F83"/>
    <w:rsid w:val="00074FBE"/>
    <w:rsid w:val="00083A09"/>
    <w:rsid w:val="0009005E"/>
    <w:rsid w:val="00092857"/>
    <w:rsid w:val="00093844"/>
    <w:rsid w:val="00095EC5"/>
    <w:rsid w:val="000A20A9"/>
    <w:rsid w:val="000A48B1"/>
    <w:rsid w:val="000A721B"/>
    <w:rsid w:val="000B3143"/>
    <w:rsid w:val="000C0A5C"/>
    <w:rsid w:val="000C6B05"/>
    <w:rsid w:val="000C6DD6"/>
    <w:rsid w:val="000C73D4"/>
    <w:rsid w:val="000C791F"/>
    <w:rsid w:val="000D3D4C"/>
    <w:rsid w:val="000D4F51"/>
    <w:rsid w:val="000D5793"/>
    <w:rsid w:val="000D718B"/>
    <w:rsid w:val="000E0C46"/>
    <w:rsid w:val="000E1508"/>
    <w:rsid w:val="000E1FE4"/>
    <w:rsid w:val="000E5FC3"/>
    <w:rsid w:val="000F030C"/>
    <w:rsid w:val="000F129C"/>
    <w:rsid w:val="000F6496"/>
    <w:rsid w:val="00104FA6"/>
    <w:rsid w:val="0010537B"/>
    <w:rsid w:val="001056DE"/>
    <w:rsid w:val="001060F2"/>
    <w:rsid w:val="001124C0"/>
    <w:rsid w:val="00116640"/>
    <w:rsid w:val="001209CF"/>
    <w:rsid w:val="001300CC"/>
    <w:rsid w:val="0013175F"/>
    <w:rsid w:val="0013246D"/>
    <w:rsid w:val="001512B4"/>
    <w:rsid w:val="001620A5"/>
    <w:rsid w:val="00164E53"/>
    <w:rsid w:val="0016699D"/>
    <w:rsid w:val="0017132C"/>
    <w:rsid w:val="001733DD"/>
    <w:rsid w:val="00175159"/>
    <w:rsid w:val="00176208"/>
    <w:rsid w:val="00176896"/>
    <w:rsid w:val="0018211B"/>
    <w:rsid w:val="001840D3"/>
    <w:rsid w:val="00187FEC"/>
    <w:rsid w:val="001900F8"/>
    <w:rsid w:val="00191258"/>
    <w:rsid w:val="00192680"/>
    <w:rsid w:val="00193037"/>
    <w:rsid w:val="00193A2C"/>
    <w:rsid w:val="001A288E"/>
    <w:rsid w:val="001A2C51"/>
    <w:rsid w:val="001A349B"/>
    <w:rsid w:val="001A3C42"/>
    <w:rsid w:val="001A7A96"/>
    <w:rsid w:val="001B6607"/>
    <w:rsid w:val="001B6DC2"/>
    <w:rsid w:val="001C149C"/>
    <w:rsid w:val="001C21AC"/>
    <w:rsid w:val="001C47BA"/>
    <w:rsid w:val="001C4C43"/>
    <w:rsid w:val="001C4E55"/>
    <w:rsid w:val="001C59EA"/>
    <w:rsid w:val="001C6DEA"/>
    <w:rsid w:val="001D406C"/>
    <w:rsid w:val="001D41EE"/>
    <w:rsid w:val="001D69EC"/>
    <w:rsid w:val="001E0380"/>
    <w:rsid w:val="001E13B1"/>
    <w:rsid w:val="001F3A19"/>
    <w:rsid w:val="00210FBD"/>
    <w:rsid w:val="002159C0"/>
    <w:rsid w:val="00216BF1"/>
    <w:rsid w:val="00232BF4"/>
    <w:rsid w:val="00234467"/>
    <w:rsid w:val="00237D8D"/>
    <w:rsid w:val="00240FBD"/>
    <w:rsid w:val="00241DA2"/>
    <w:rsid w:val="00247D2B"/>
    <w:rsid w:val="00247FEE"/>
    <w:rsid w:val="00250E7D"/>
    <w:rsid w:val="002565D5"/>
    <w:rsid w:val="002622C0"/>
    <w:rsid w:val="00262E2F"/>
    <w:rsid w:val="002632FF"/>
    <w:rsid w:val="002700CC"/>
    <w:rsid w:val="002778AE"/>
    <w:rsid w:val="0028269A"/>
    <w:rsid w:val="00283590"/>
    <w:rsid w:val="00286973"/>
    <w:rsid w:val="00294E70"/>
    <w:rsid w:val="002A1924"/>
    <w:rsid w:val="002A2783"/>
    <w:rsid w:val="002A6AD0"/>
    <w:rsid w:val="002A7420"/>
    <w:rsid w:val="002B0F12"/>
    <w:rsid w:val="002B1308"/>
    <w:rsid w:val="002B4554"/>
    <w:rsid w:val="002C72D8"/>
    <w:rsid w:val="002D11FA"/>
    <w:rsid w:val="002D69FA"/>
    <w:rsid w:val="002E0DDF"/>
    <w:rsid w:val="002E19A6"/>
    <w:rsid w:val="002E2906"/>
    <w:rsid w:val="002E5635"/>
    <w:rsid w:val="002E64C3"/>
    <w:rsid w:val="002E6A2C"/>
    <w:rsid w:val="002E72C2"/>
    <w:rsid w:val="002F1D8C"/>
    <w:rsid w:val="002F21DA"/>
    <w:rsid w:val="002F6E45"/>
    <w:rsid w:val="003010DD"/>
    <w:rsid w:val="00301F39"/>
    <w:rsid w:val="00303D8C"/>
    <w:rsid w:val="003040EF"/>
    <w:rsid w:val="003116A6"/>
    <w:rsid w:val="00312AC2"/>
    <w:rsid w:val="00325926"/>
    <w:rsid w:val="00327A8A"/>
    <w:rsid w:val="00330775"/>
    <w:rsid w:val="00330FAC"/>
    <w:rsid w:val="00336610"/>
    <w:rsid w:val="00343F73"/>
    <w:rsid w:val="00345060"/>
    <w:rsid w:val="00345E04"/>
    <w:rsid w:val="0035323B"/>
    <w:rsid w:val="003609D2"/>
    <w:rsid w:val="00363F22"/>
    <w:rsid w:val="00375564"/>
    <w:rsid w:val="00377980"/>
    <w:rsid w:val="00383191"/>
    <w:rsid w:val="00386DED"/>
    <w:rsid w:val="003912E7"/>
    <w:rsid w:val="003919F8"/>
    <w:rsid w:val="00393947"/>
    <w:rsid w:val="003A03AF"/>
    <w:rsid w:val="003A2275"/>
    <w:rsid w:val="003A6A4F"/>
    <w:rsid w:val="003A7088"/>
    <w:rsid w:val="003B00DF"/>
    <w:rsid w:val="003B1275"/>
    <w:rsid w:val="003B1778"/>
    <w:rsid w:val="003C11CB"/>
    <w:rsid w:val="003C75F3"/>
    <w:rsid w:val="003C78A3"/>
    <w:rsid w:val="003D1346"/>
    <w:rsid w:val="003D2C0E"/>
    <w:rsid w:val="003D3505"/>
    <w:rsid w:val="003E1867"/>
    <w:rsid w:val="003E4E3F"/>
    <w:rsid w:val="003E5729"/>
    <w:rsid w:val="003E72D5"/>
    <w:rsid w:val="003F384C"/>
    <w:rsid w:val="003F4EE0"/>
    <w:rsid w:val="00402153"/>
    <w:rsid w:val="00402FC1"/>
    <w:rsid w:val="00403130"/>
    <w:rsid w:val="004178B2"/>
    <w:rsid w:val="00417CAD"/>
    <w:rsid w:val="00425082"/>
    <w:rsid w:val="00431585"/>
    <w:rsid w:val="00431DEB"/>
    <w:rsid w:val="00432A40"/>
    <w:rsid w:val="004362A4"/>
    <w:rsid w:val="004466E0"/>
    <w:rsid w:val="00446B29"/>
    <w:rsid w:val="00450E3C"/>
    <w:rsid w:val="00453F9A"/>
    <w:rsid w:val="004641CF"/>
    <w:rsid w:val="00467875"/>
    <w:rsid w:val="0047028C"/>
    <w:rsid w:val="00471E91"/>
    <w:rsid w:val="00474675"/>
    <w:rsid w:val="0047470C"/>
    <w:rsid w:val="00487A16"/>
    <w:rsid w:val="00496011"/>
    <w:rsid w:val="004A35F9"/>
    <w:rsid w:val="004B24C1"/>
    <w:rsid w:val="004B4FC8"/>
    <w:rsid w:val="004B5F58"/>
    <w:rsid w:val="004C16F9"/>
    <w:rsid w:val="004C292F"/>
    <w:rsid w:val="004C658A"/>
    <w:rsid w:val="004C7101"/>
    <w:rsid w:val="004C7AA8"/>
    <w:rsid w:val="004F0677"/>
    <w:rsid w:val="00501CD8"/>
    <w:rsid w:val="00510280"/>
    <w:rsid w:val="00513D73"/>
    <w:rsid w:val="00514A43"/>
    <w:rsid w:val="005169C1"/>
    <w:rsid w:val="005174E5"/>
    <w:rsid w:val="005215DF"/>
    <w:rsid w:val="00522393"/>
    <w:rsid w:val="00522620"/>
    <w:rsid w:val="00525656"/>
    <w:rsid w:val="00534C02"/>
    <w:rsid w:val="0054264B"/>
    <w:rsid w:val="00543786"/>
    <w:rsid w:val="005533D7"/>
    <w:rsid w:val="00553D4A"/>
    <w:rsid w:val="00556EC3"/>
    <w:rsid w:val="00562906"/>
    <w:rsid w:val="00564D46"/>
    <w:rsid w:val="005703DE"/>
    <w:rsid w:val="0058464E"/>
    <w:rsid w:val="005919D4"/>
    <w:rsid w:val="005A01CB"/>
    <w:rsid w:val="005A3D4A"/>
    <w:rsid w:val="005A58FF"/>
    <w:rsid w:val="005A5EAF"/>
    <w:rsid w:val="005A64C0"/>
    <w:rsid w:val="005B3C11"/>
    <w:rsid w:val="005C1C28"/>
    <w:rsid w:val="005C6DB5"/>
    <w:rsid w:val="005D4FE3"/>
    <w:rsid w:val="005E19E7"/>
    <w:rsid w:val="005E2F66"/>
    <w:rsid w:val="005E7757"/>
    <w:rsid w:val="005F1815"/>
    <w:rsid w:val="00605CCF"/>
    <w:rsid w:val="006139F9"/>
    <w:rsid w:val="00616B82"/>
    <w:rsid w:val="0061716C"/>
    <w:rsid w:val="0061717F"/>
    <w:rsid w:val="00621BC5"/>
    <w:rsid w:val="006226BD"/>
    <w:rsid w:val="006239D0"/>
    <w:rsid w:val="006243A1"/>
    <w:rsid w:val="00630B25"/>
    <w:rsid w:val="00632322"/>
    <w:rsid w:val="00632E56"/>
    <w:rsid w:val="00635CBA"/>
    <w:rsid w:val="00636E62"/>
    <w:rsid w:val="006400E7"/>
    <w:rsid w:val="00640D0F"/>
    <w:rsid w:val="0064338B"/>
    <w:rsid w:val="00646542"/>
    <w:rsid w:val="006504F4"/>
    <w:rsid w:val="00654BC9"/>
    <w:rsid w:val="006552FD"/>
    <w:rsid w:val="00663AF3"/>
    <w:rsid w:val="00665923"/>
    <w:rsid w:val="00666B6C"/>
    <w:rsid w:val="00674D60"/>
    <w:rsid w:val="00675F03"/>
    <w:rsid w:val="00682682"/>
    <w:rsid w:val="00682702"/>
    <w:rsid w:val="00685071"/>
    <w:rsid w:val="00692368"/>
    <w:rsid w:val="006A2EBC"/>
    <w:rsid w:val="006A429F"/>
    <w:rsid w:val="006A5EA0"/>
    <w:rsid w:val="006A6A9D"/>
    <w:rsid w:val="006A783B"/>
    <w:rsid w:val="006A7B33"/>
    <w:rsid w:val="006B4E13"/>
    <w:rsid w:val="006B75DD"/>
    <w:rsid w:val="006C37AE"/>
    <w:rsid w:val="006C67E0"/>
    <w:rsid w:val="006C7ABA"/>
    <w:rsid w:val="006D0D60"/>
    <w:rsid w:val="006D1122"/>
    <w:rsid w:val="006D12FA"/>
    <w:rsid w:val="006D3C00"/>
    <w:rsid w:val="006E3675"/>
    <w:rsid w:val="006E4A7F"/>
    <w:rsid w:val="006E6662"/>
    <w:rsid w:val="006E73BD"/>
    <w:rsid w:val="006F137A"/>
    <w:rsid w:val="006F339F"/>
    <w:rsid w:val="00704DF6"/>
    <w:rsid w:val="0070651C"/>
    <w:rsid w:val="00712E99"/>
    <w:rsid w:val="007132A3"/>
    <w:rsid w:val="00716421"/>
    <w:rsid w:val="00720EE0"/>
    <w:rsid w:val="00724EFB"/>
    <w:rsid w:val="00725A5F"/>
    <w:rsid w:val="007419C3"/>
    <w:rsid w:val="00745D23"/>
    <w:rsid w:val="007467A7"/>
    <w:rsid w:val="007469DD"/>
    <w:rsid w:val="0074741B"/>
    <w:rsid w:val="0074759E"/>
    <w:rsid w:val="007478EA"/>
    <w:rsid w:val="0075415C"/>
    <w:rsid w:val="00763502"/>
    <w:rsid w:val="00772AAD"/>
    <w:rsid w:val="007817F3"/>
    <w:rsid w:val="007913AB"/>
    <w:rsid w:val="007914F7"/>
    <w:rsid w:val="00793F18"/>
    <w:rsid w:val="007B1625"/>
    <w:rsid w:val="007B706E"/>
    <w:rsid w:val="007B71EB"/>
    <w:rsid w:val="007C405E"/>
    <w:rsid w:val="007C6205"/>
    <w:rsid w:val="007C686A"/>
    <w:rsid w:val="007C728E"/>
    <w:rsid w:val="007D1CCE"/>
    <w:rsid w:val="007D2C53"/>
    <w:rsid w:val="007D3D60"/>
    <w:rsid w:val="007E1980"/>
    <w:rsid w:val="007E237F"/>
    <w:rsid w:val="007E4B76"/>
    <w:rsid w:val="007E5EA8"/>
    <w:rsid w:val="007F0CF1"/>
    <w:rsid w:val="007F12A5"/>
    <w:rsid w:val="007F4CF1"/>
    <w:rsid w:val="007F758D"/>
    <w:rsid w:val="007F7D52"/>
    <w:rsid w:val="00801F6F"/>
    <w:rsid w:val="0080654C"/>
    <w:rsid w:val="008071C6"/>
    <w:rsid w:val="00817A00"/>
    <w:rsid w:val="00821739"/>
    <w:rsid w:val="00826469"/>
    <w:rsid w:val="00834A90"/>
    <w:rsid w:val="00835DB3"/>
    <w:rsid w:val="0083617B"/>
    <w:rsid w:val="008371BD"/>
    <w:rsid w:val="00843831"/>
    <w:rsid w:val="008504A8"/>
    <w:rsid w:val="0085282E"/>
    <w:rsid w:val="008578E9"/>
    <w:rsid w:val="00871039"/>
    <w:rsid w:val="0087198C"/>
    <w:rsid w:val="00872C1F"/>
    <w:rsid w:val="00873163"/>
    <w:rsid w:val="00873B42"/>
    <w:rsid w:val="00875310"/>
    <w:rsid w:val="008761DC"/>
    <w:rsid w:val="008856D8"/>
    <w:rsid w:val="00892E82"/>
    <w:rsid w:val="008A0C3C"/>
    <w:rsid w:val="008A2DDE"/>
    <w:rsid w:val="008A4AF1"/>
    <w:rsid w:val="008B55AE"/>
    <w:rsid w:val="008B5F3F"/>
    <w:rsid w:val="008C1B58"/>
    <w:rsid w:val="008C39AE"/>
    <w:rsid w:val="008C590D"/>
    <w:rsid w:val="008D3D03"/>
    <w:rsid w:val="008D62FD"/>
    <w:rsid w:val="008D6B30"/>
    <w:rsid w:val="008D72AF"/>
    <w:rsid w:val="008E031B"/>
    <w:rsid w:val="008E3A92"/>
    <w:rsid w:val="008E7029"/>
    <w:rsid w:val="008E7EF6"/>
    <w:rsid w:val="008F1F98"/>
    <w:rsid w:val="008F6758"/>
    <w:rsid w:val="009040DD"/>
    <w:rsid w:val="00905B47"/>
    <w:rsid w:val="00905D4D"/>
    <w:rsid w:val="0090646C"/>
    <w:rsid w:val="00907854"/>
    <w:rsid w:val="00911579"/>
    <w:rsid w:val="009116F7"/>
    <w:rsid w:val="0091331C"/>
    <w:rsid w:val="009148A7"/>
    <w:rsid w:val="009236BB"/>
    <w:rsid w:val="00925F22"/>
    <w:rsid w:val="009279DE"/>
    <w:rsid w:val="00930116"/>
    <w:rsid w:val="0094212C"/>
    <w:rsid w:val="009437F0"/>
    <w:rsid w:val="0094613C"/>
    <w:rsid w:val="00954689"/>
    <w:rsid w:val="00955DAA"/>
    <w:rsid w:val="00956E14"/>
    <w:rsid w:val="00960A16"/>
    <w:rsid w:val="009617C9"/>
    <w:rsid w:val="00961C93"/>
    <w:rsid w:val="00964E7B"/>
    <w:rsid w:val="00965324"/>
    <w:rsid w:val="0097091E"/>
    <w:rsid w:val="009760D3"/>
    <w:rsid w:val="00977132"/>
    <w:rsid w:val="00981A4B"/>
    <w:rsid w:val="00982501"/>
    <w:rsid w:val="009877D3"/>
    <w:rsid w:val="00994E8F"/>
    <w:rsid w:val="009951DC"/>
    <w:rsid w:val="009959BB"/>
    <w:rsid w:val="00997158"/>
    <w:rsid w:val="00997D1F"/>
    <w:rsid w:val="009A3A7C"/>
    <w:rsid w:val="009A6CEF"/>
    <w:rsid w:val="009B2ADB"/>
    <w:rsid w:val="009B603A"/>
    <w:rsid w:val="009C2D0E"/>
    <w:rsid w:val="009C3DAC"/>
    <w:rsid w:val="009C42E0"/>
    <w:rsid w:val="009C64BF"/>
    <w:rsid w:val="009D4A83"/>
    <w:rsid w:val="009D5362"/>
    <w:rsid w:val="009E0C96"/>
    <w:rsid w:val="009E1415"/>
    <w:rsid w:val="009E556A"/>
    <w:rsid w:val="009E6116"/>
    <w:rsid w:val="00A02E43"/>
    <w:rsid w:val="00A065F9"/>
    <w:rsid w:val="00A07F34"/>
    <w:rsid w:val="00A22154"/>
    <w:rsid w:val="00A25C38"/>
    <w:rsid w:val="00A33B92"/>
    <w:rsid w:val="00A36BBE"/>
    <w:rsid w:val="00A40305"/>
    <w:rsid w:val="00A40910"/>
    <w:rsid w:val="00A4307A"/>
    <w:rsid w:val="00A45556"/>
    <w:rsid w:val="00A47EBB"/>
    <w:rsid w:val="00A51CDD"/>
    <w:rsid w:val="00A527F9"/>
    <w:rsid w:val="00A53331"/>
    <w:rsid w:val="00A56753"/>
    <w:rsid w:val="00A6730D"/>
    <w:rsid w:val="00A715E5"/>
    <w:rsid w:val="00A71625"/>
    <w:rsid w:val="00A71B9B"/>
    <w:rsid w:val="00A751C7"/>
    <w:rsid w:val="00A851A5"/>
    <w:rsid w:val="00A87844"/>
    <w:rsid w:val="00A9096C"/>
    <w:rsid w:val="00A94519"/>
    <w:rsid w:val="00AA038C"/>
    <w:rsid w:val="00AA4D7F"/>
    <w:rsid w:val="00AA7950"/>
    <w:rsid w:val="00AA7A09"/>
    <w:rsid w:val="00AB3B50"/>
    <w:rsid w:val="00AB6B7D"/>
    <w:rsid w:val="00AC05B1"/>
    <w:rsid w:val="00AC5D92"/>
    <w:rsid w:val="00AD19FF"/>
    <w:rsid w:val="00AD356C"/>
    <w:rsid w:val="00AD3FAC"/>
    <w:rsid w:val="00AD4D47"/>
    <w:rsid w:val="00AE2914"/>
    <w:rsid w:val="00AE3F6C"/>
    <w:rsid w:val="00AE6D15"/>
    <w:rsid w:val="00AF7932"/>
    <w:rsid w:val="00B033E3"/>
    <w:rsid w:val="00B04182"/>
    <w:rsid w:val="00B066AD"/>
    <w:rsid w:val="00B07AE3"/>
    <w:rsid w:val="00B11430"/>
    <w:rsid w:val="00B13597"/>
    <w:rsid w:val="00B2081B"/>
    <w:rsid w:val="00B23F29"/>
    <w:rsid w:val="00B332E4"/>
    <w:rsid w:val="00B353EB"/>
    <w:rsid w:val="00B439C4"/>
    <w:rsid w:val="00B4428E"/>
    <w:rsid w:val="00B44F93"/>
    <w:rsid w:val="00B4535E"/>
    <w:rsid w:val="00B47646"/>
    <w:rsid w:val="00B52A8C"/>
    <w:rsid w:val="00B6068D"/>
    <w:rsid w:val="00B623D9"/>
    <w:rsid w:val="00B625BF"/>
    <w:rsid w:val="00B636A8"/>
    <w:rsid w:val="00B665C6"/>
    <w:rsid w:val="00B7487A"/>
    <w:rsid w:val="00B805AF"/>
    <w:rsid w:val="00B849E9"/>
    <w:rsid w:val="00B84B31"/>
    <w:rsid w:val="00B869EC"/>
    <w:rsid w:val="00B9397A"/>
    <w:rsid w:val="00B9633D"/>
    <w:rsid w:val="00BA2993"/>
    <w:rsid w:val="00BA2EBE"/>
    <w:rsid w:val="00BB0F28"/>
    <w:rsid w:val="00BB3CC2"/>
    <w:rsid w:val="00BB458A"/>
    <w:rsid w:val="00BB6DDA"/>
    <w:rsid w:val="00BC6148"/>
    <w:rsid w:val="00BD00D3"/>
    <w:rsid w:val="00BD1659"/>
    <w:rsid w:val="00BD3AA9"/>
    <w:rsid w:val="00BD4A18"/>
    <w:rsid w:val="00BD6DB2"/>
    <w:rsid w:val="00BE11CF"/>
    <w:rsid w:val="00BE21AB"/>
    <w:rsid w:val="00BE55CB"/>
    <w:rsid w:val="00BF617A"/>
    <w:rsid w:val="00C014F8"/>
    <w:rsid w:val="00C0379D"/>
    <w:rsid w:val="00C03931"/>
    <w:rsid w:val="00C05FE3"/>
    <w:rsid w:val="00C12670"/>
    <w:rsid w:val="00C1549D"/>
    <w:rsid w:val="00C2136D"/>
    <w:rsid w:val="00C214EE"/>
    <w:rsid w:val="00C2314B"/>
    <w:rsid w:val="00C24971"/>
    <w:rsid w:val="00C258D0"/>
    <w:rsid w:val="00C26BE5"/>
    <w:rsid w:val="00C26E4D"/>
    <w:rsid w:val="00C27909"/>
    <w:rsid w:val="00C27B03"/>
    <w:rsid w:val="00C314E1"/>
    <w:rsid w:val="00C34397"/>
    <w:rsid w:val="00C4095D"/>
    <w:rsid w:val="00C42D24"/>
    <w:rsid w:val="00C53A71"/>
    <w:rsid w:val="00C601D2"/>
    <w:rsid w:val="00C65044"/>
    <w:rsid w:val="00C65BCC"/>
    <w:rsid w:val="00C66970"/>
    <w:rsid w:val="00C702DA"/>
    <w:rsid w:val="00C71096"/>
    <w:rsid w:val="00C81B4C"/>
    <w:rsid w:val="00C8691C"/>
    <w:rsid w:val="00CA168A"/>
    <w:rsid w:val="00CA357E"/>
    <w:rsid w:val="00CA44F9"/>
    <w:rsid w:val="00CA4A69"/>
    <w:rsid w:val="00CB10B3"/>
    <w:rsid w:val="00CC0802"/>
    <w:rsid w:val="00CC3E0C"/>
    <w:rsid w:val="00CC58D3"/>
    <w:rsid w:val="00CC5FA9"/>
    <w:rsid w:val="00CC784D"/>
    <w:rsid w:val="00CD30E7"/>
    <w:rsid w:val="00CE3630"/>
    <w:rsid w:val="00CE3A11"/>
    <w:rsid w:val="00CF3EAB"/>
    <w:rsid w:val="00CF7310"/>
    <w:rsid w:val="00D0337B"/>
    <w:rsid w:val="00D079B2"/>
    <w:rsid w:val="00D114E9"/>
    <w:rsid w:val="00D17B14"/>
    <w:rsid w:val="00D304E1"/>
    <w:rsid w:val="00D30606"/>
    <w:rsid w:val="00D42555"/>
    <w:rsid w:val="00D429C6"/>
    <w:rsid w:val="00D44D6A"/>
    <w:rsid w:val="00D47748"/>
    <w:rsid w:val="00D50118"/>
    <w:rsid w:val="00D50B1F"/>
    <w:rsid w:val="00D54CC3"/>
    <w:rsid w:val="00D550CC"/>
    <w:rsid w:val="00D6041A"/>
    <w:rsid w:val="00D633EB"/>
    <w:rsid w:val="00D6425A"/>
    <w:rsid w:val="00D72B92"/>
    <w:rsid w:val="00D73C01"/>
    <w:rsid w:val="00D80573"/>
    <w:rsid w:val="00D806A6"/>
    <w:rsid w:val="00D82FF7"/>
    <w:rsid w:val="00D83C7C"/>
    <w:rsid w:val="00D847FE"/>
    <w:rsid w:val="00D8504A"/>
    <w:rsid w:val="00D964EA"/>
    <w:rsid w:val="00D966D0"/>
    <w:rsid w:val="00DA0C59"/>
    <w:rsid w:val="00DA3991"/>
    <w:rsid w:val="00DA3EE0"/>
    <w:rsid w:val="00DB0476"/>
    <w:rsid w:val="00DB0DDD"/>
    <w:rsid w:val="00DB7E6C"/>
    <w:rsid w:val="00DB7FCD"/>
    <w:rsid w:val="00DC66EF"/>
    <w:rsid w:val="00DD5A29"/>
    <w:rsid w:val="00DD5D9D"/>
    <w:rsid w:val="00DE35CB"/>
    <w:rsid w:val="00DE5C68"/>
    <w:rsid w:val="00DF21E9"/>
    <w:rsid w:val="00E00F14"/>
    <w:rsid w:val="00E019A1"/>
    <w:rsid w:val="00E04491"/>
    <w:rsid w:val="00E06386"/>
    <w:rsid w:val="00E24EB4"/>
    <w:rsid w:val="00E320ED"/>
    <w:rsid w:val="00E33AFB"/>
    <w:rsid w:val="00E34218"/>
    <w:rsid w:val="00E46282"/>
    <w:rsid w:val="00E5216E"/>
    <w:rsid w:val="00E53AFC"/>
    <w:rsid w:val="00E56B9C"/>
    <w:rsid w:val="00E62954"/>
    <w:rsid w:val="00E70AA3"/>
    <w:rsid w:val="00E75D30"/>
    <w:rsid w:val="00E80E15"/>
    <w:rsid w:val="00E81D13"/>
    <w:rsid w:val="00E82344"/>
    <w:rsid w:val="00E84C82"/>
    <w:rsid w:val="00E84D64"/>
    <w:rsid w:val="00E87408"/>
    <w:rsid w:val="00E8780E"/>
    <w:rsid w:val="00E906F2"/>
    <w:rsid w:val="00E914C4"/>
    <w:rsid w:val="00E934F5"/>
    <w:rsid w:val="00E95E30"/>
    <w:rsid w:val="00E96961"/>
    <w:rsid w:val="00EA235A"/>
    <w:rsid w:val="00EA66FE"/>
    <w:rsid w:val="00EA72EC"/>
    <w:rsid w:val="00EB07DC"/>
    <w:rsid w:val="00EB11CB"/>
    <w:rsid w:val="00EB275A"/>
    <w:rsid w:val="00EB786A"/>
    <w:rsid w:val="00EC1578"/>
    <w:rsid w:val="00EC1C72"/>
    <w:rsid w:val="00EC3669"/>
    <w:rsid w:val="00EC3CC9"/>
    <w:rsid w:val="00EC680A"/>
    <w:rsid w:val="00EE2BED"/>
    <w:rsid w:val="00EE374B"/>
    <w:rsid w:val="00EF7970"/>
    <w:rsid w:val="00F10886"/>
    <w:rsid w:val="00F11BB5"/>
    <w:rsid w:val="00F1417B"/>
    <w:rsid w:val="00F21DB1"/>
    <w:rsid w:val="00F27F9C"/>
    <w:rsid w:val="00F34B99"/>
    <w:rsid w:val="00F45ECE"/>
    <w:rsid w:val="00F516D9"/>
    <w:rsid w:val="00F52DAB"/>
    <w:rsid w:val="00F543F0"/>
    <w:rsid w:val="00F65812"/>
    <w:rsid w:val="00F66ED7"/>
    <w:rsid w:val="00F75389"/>
    <w:rsid w:val="00F81D29"/>
    <w:rsid w:val="00F902FB"/>
    <w:rsid w:val="00F91C4D"/>
    <w:rsid w:val="00F92313"/>
    <w:rsid w:val="00F92FD9"/>
    <w:rsid w:val="00FA6684"/>
    <w:rsid w:val="00FA731E"/>
    <w:rsid w:val="00FB2B38"/>
    <w:rsid w:val="00FB4F93"/>
    <w:rsid w:val="00FC6358"/>
    <w:rsid w:val="00FD320D"/>
    <w:rsid w:val="00FE23DE"/>
    <w:rsid w:val="00FE3883"/>
    <w:rsid w:val="00FE5929"/>
    <w:rsid w:val="00FE5A40"/>
    <w:rsid w:val="00FF240B"/>
    <w:rsid w:val="00FF46E5"/>
    <w:rsid w:val="02354384"/>
    <w:rsid w:val="029C7A57"/>
    <w:rsid w:val="043064A1"/>
    <w:rsid w:val="04D24398"/>
    <w:rsid w:val="055F100B"/>
    <w:rsid w:val="057365F4"/>
    <w:rsid w:val="058201CC"/>
    <w:rsid w:val="06A15F7C"/>
    <w:rsid w:val="088D0817"/>
    <w:rsid w:val="09680F8A"/>
    <w:rsid w:val="0A41792F"/>
    <w:rsid w:val="0AD204D7"/>
    <w:rsid w:val="0AFD0711"/>
    <w:rsid w:val="0B1F63F1"/>
    <w:rsid w:val="0C245871"/>
    <w:rsid w:val="0C8A0524"/>
    <w:rsid w:val="0D9D0734"/>
    <w:rsid w:val="0E7B0A75"/>
    <w:rsid w:val="0EA17C11"/>
    <w:rsid w:val="100E2D08"/>
    <w:rsid w:val="10727854"/>
    <w:rsid w:val="10AE3162"/>
    <w:rsid w:val="114C54A9"/>
    <w:rsid w:val="127361A1"/>
    <w:rsid w:val="12D06F1B"/>
    <w:rsid w:val="12E357E5"/>
    <w:rsid w:val="13832505"/>
    <w:rsid w:val="145242A8"/>
    <w:rsid w:val="155A6FA3"/>
    <w:rsid w:val="158D2802"/>
    <w:rsid w:val="16481E5D"/>
    <w:rsid w:val="171C628A"/>
    <w:rsid w:val="1A0756A3"/>
    <w:rsid w:val="1A3B281B"/>
    <w:rsid w:val="1C3B1EC2"/>
    <w:rsid w:val="1DC03956"/>
    <w:rsid w:val="1F9D3857"/>
    <w:rsid w:val="206F2805"/>
    <w:rsid w:val="237F1BE6"/>
    <w:rsid w:val="23A7229D"/>
    <w:rsid w:val="25EB0168"/>
    <w:rsid w:val="26207658"/>
    <w:rsid w:val="26AB3B7F"/>
    <w:rsid w:val="28B73268"/>
    <w:rsid w:val="291607AD"/>
    <w:rsid w:val="29784745"/>
    <w:rsid w:val="2ADC5842"/>
    <w:rsid w:val="2BA7174B"/>
    <w:rsid w:val="2BAD3D0C"/>
    <w:rsid w:val="2C7733BC"/>
    <w:rsid w:val="2CD67FD1"/>
    <w:rsid w:val="2CFE2BCE"/>
    <w:rsid w:val="2D960108"/>
    <w:rsid w:val="2EEE14BE"/>
    <w:rsid w:val="2F4C5E62"/>
    <w:rsid w:val="300F4888"/>
    <w:rsid w:val="30707DF8"/>
    <w:rsid w:val="30CB406F"/>
    <w:rsid w:val="31550DA9"/>
    <w:rsid w:val="32CE06F3"/>
    <w:rsid w:val="33F50898"/>
    <w:rsid w:val="350B5E00"/>
    <w:rsid w:val="350F5547"/>
    <w:rsid w:val="36F34253"/>
    <w:rsid w:val="37BF3981"/>
    <w:rsid w:val="37D826DD"/>
    <w:rsid w:val="39165139"/>
    <w:rsid w:val="3B280EBA"/>
    <w:rsid w:val="3B652A33"/>
    <w:rsid w:val="3C315EC8"/>
    <w:rsid w:val="3D670B50"/>
    <w:rsid w:val="403A345A"/>
    <w:rsid w:val="41611564"/>
    <w:rsid w:val="41625A35"/>
    <w:rsid w:val="41881FFB"/>
    <w:rsid w:val="41997070"/>
    <w:rsid w:val="43704458"/>
    <w:rsid w:val="441B575F"/>
    <w:rsid w:val="448C6219"/>
    <w:rsid w:val="44B35D1C"/>
    <w:rsid w:val="45071D72"/>
    <w:rsid w:val="457120EB"/>
    <w:rsid w:val="4631143E"/>
    <w:rsid w:val="4A8052BD"/>
    <w:rsid w:val="4AE20106"/>
    <w:rsid w:val="4CB86358"/>
    <w:rsid w:val="4D9F4073"/>
    <w:rsid w:val="4DAE4D40"/>
    <w:rsid w:val="4DC81894"/>
    <w:rsid w:val="4E5D3B1E"/>
    <w:rsid w:val="4F0B1437"/>
    <w:rsid w:val="500C43F2"/>
    <w:rsid w:val="501D5FD2"/>
    <w:rsid w:val="50D8625D"/>
    <w:rsid w:val="51476E0E"/>
    <w:rsid w:val="51C42CBE"/>
    <w:rsid w:val="523B1F17"/>
    <w:rsid w:val="52EB793B"/>
    <w:rsid w:val="544E7D12"/>
    <w:rsid w:val="57B32A12"/>
    <w:rsid w:val="59761CC1"/>
    <w:rsid w:val="5A0043B8"/>
    <w:rsid w:val="5A7F2D25"/>
    <w:rsid w:val="5A9E56BD"/>
    <w:rsid w:val="5AF07FB3"/>
    <w:rsid w:val="5B1012DA"/>
    <w:rsid w:val="5C922CA1"/>
    <w:rsid w:val="5D110C83"/>
    <w:rsid w:val="5DD27DAD"/>
    <w:rsid w:val="5DE913F3"/>
    <w:rsid w:val="61906AB2"/>
    <w:rsid w:val="657C215B"/>
    <w:rsid w:val="6688294D"/>
    <w:rsid w:val="66F6500B"/>
    <w:rsid w:val="67D86181"/>
    <w:rsid w:val="68FD7361"/>
    <w:rsid w:val="69BC42F0"/>
    <w:rsid w:val="6AA17756"/>
    <w:rsid w:val="6DC65906"/>
    <w:rsid w:val="6FB23584"/>
    <w:rsid w:val="71737DD7"/>
    <w:rsid w:val="73BC39D9"/>
    <w:rsid w:val="741540D3"/>
    <w:rsid w:val="753D69CC"/>
    <w:rsid w:val="75DF51F2"/>
    <w:rsid w:val="760F78E6"/>
    <w:rsid w:val="7631289F"/>
    <w:rsid w:val="776F0294"/>
    <w:rsid w:val="77860297"/>
    <w:rsid w:val="784014E8"/>
    <w:rsid w:val="78E2185D"/>
    <w:rsid w:val="7A1C583F"/>
    <w:rsid w:val="7B353BFD"/>
    <w:rsid w:val="7CB61BA2"/>
    <w:rsid w:val="7DB06B11"/>
    <w:rsid w:val="7E566724"/>
    <w:rsid w:val="7EBC6C86"/>
    <w:rsid w:val="7FEA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lang w:val="zh-CN"/>
    </w:rPr>
  </w:style>
  <w:style w:type="paragraph" w:styleId="3">
    <w:name w:val="heading 3"/>
    <w:basedOn w:val="1"/>
    <w:next w:val="1"/>
    <w:link w:val="51"/>
    <w:qFormat/>
    <w:uiPriority w:val="9"/>
    <w:pPr>
      <w:widowControl/>
      <w:spacing w:before="100" w:beforeAutospacing="1" w:after="100" w:afterAutospacing="1"/>
      <w:jc w:val="left"/>
      <w:outlineLvl w:val="2"/>
    </w:pPr>
    <w:rPr>
      <w:rFonts w:ascii="宋体" w:hAnsi="宋体"/>
      <w:b/>
      <w:bCs/>
      <w:kern w:val="0"/>
      <w:sz w:val="27"/>
      <w:szCs w:val="27"/>
      <w:lang w:val="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59"/>
    <w:qFormat/>
    <w:uiPriority w:val="0"/>
    <w:pPr>
      <w:jc w:val="left"/>
    </w:pPr>
    <w:rPr>
      <w:lang w:val="zh-CN"/>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1"/>
    <w:rPr>
      <w:szCs w:val="21"/>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Plain Text"/>
    <w:basedOn w:val="1"/>
    <w:link w:val="53"/>
    <w:qFormat/>
    <w:uiPriority w:val="0"/>
    <w:rPr>
      <w:rFonts w:ascii="宋体" w:hAnsi="Courier New"/>
      <w:szCs w:val="21"/>
      <w:lang w:val="zh-CN"/>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60"/>
    <w:qFormat/>
    <w:uiPriority w:val="0"/>
    <w:rPr>
      <w:sz w:val="18"/>
      <w:szCs w:val="18"/>
      <w:lang w:val="zh-CN"/>
    </w:rPr>
  </w:style>
  <w:style w:type="paragraph" w:styleId="20">
    <w:name w:val="footer"/>
    <w:basedOn w:val="1"/>
    <w:link w:val="58"/>
    <w:qFormat/>
    <w:uiPriority w:val="99"/>
    <w:pPr>
      <w:snapToGrid w:val="0"/>
      <w:ind w:right="210" w:rightChars="100"/>
      <w:jc w:val="right"/>
    </w:pPr>
    <w:rPr>
      <w:sz w:val="18"/>
      <w:szCs w:val="18"/>
      <w:lang w:val="zh-CN"/>
    </w:rPr>
  </w:style>
  <w:style w:type="paragraph" w:styleId="21">
    <w:name w:val="header"/>
    <w:basedOn w:val="1"/>
    <w:link w:val="62"/>
    <w:qFormat/>
    <w:uiPriority w:val="99"/>
    <w:pPr>
      <w:snapToGrid w:val="0"/>
      <w:jc w:val="left"/>
    </w:pPr>
    <w:rPr>
      <w:sz w:val="18"/>
      <w:szCs w:val="18"/>
      <w:lang w:val="zh-CN"/>
    </w:rPr>
  </w:style>
  <w:style w:type="paragraph" w:styleId="2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9"/>
    <w:next w:val="9"/>
    <w:link w:val="61"/>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Emphasis"/>
    <w:qFormat/>
    <w:uiPriority w:val="20"/>
    <w:rPr>
      <w:i/>
      <w:iCs/>
    </w:rPr>
  </w:style>
  <w:style w:type="character" w:styleId="41">
    <w:name w:val="Hyperlink"/>
    <w:qFormat/>
    <w:uiPriority w:val="99"/>
    <w:rPr>
      <w:color w:val="0000FF"/>
      <w:spacing w:val="0"/>
      <w:w w:val="100"/>
      <w:szCs w:val="21"/>
      <w:u w:val="single"/>
      <w:lang w:val="en-US" w:eastAsia="zh-CN"/>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
    <w:link w:val="2"/>
    <w:qFormat/>
    <w:uiPriority w:val="0"/>
    <w:rPr>
      <w:b/>
      <w:bCs/>
      <w:kern w:val="44"/>
      <w:sz w:val="44"/>
      <w:szCs w:val="44"/>
    </w:rPr>
  </w:style>
  <w:style w:type="character" w:customStyle="1" w:styleId="45">
    <w:name w:val="已访问的超链接1"/>
    <w:qFormat/>
    <w:uiPriority w:val="0"/>
    <w:rPr>
      <w:color w:val="800080"/>
      <w:u w:val="single"/>
    </w:rPr>
  </w:style>
  <w:style w:type="character" w:customStyle="1" w:styleId="46">
    <w:name w:val="首示例 Char"/>
    <w:link w:val="47"/>
    <w:qFormat/>
    <w:uiPriority w:val="0"/>
    <w:rPr>
      <w:rFonts w:ascii="宋体" w:hAnsi="宋体"/>
      <w:kern w:val="2"/>
      <w:sz w:val="18"/>
      <w:szCs w:val="18"/>
      <w:lang w:val="en-US" w:eastAsia="zh-CN" w:bidi="ar-SA"/>
    </w:rPr>
  </w:style>
  <w:style w:type="paragraph" w:customStyle="1" w:styleId="47">
    <w:name w:val="首示例"/>
    <w:next w:val="26"/>
    <w:link w:val="46"/>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8">
    <w:name w:val="二级条标题 Char Char"/>
    <w:link w:val="49"/>
    <w:qFormat/>
    <w:uiPriority w:val="0"/>
    <w:rPr>
      <w:rFonts w:ascii="黑体" w:eastAsia="黑体"/>
      <w:sz w:val="21"/>
      <w:szCs w:val="21"/>
      <w:lang w:val="zh-CN" w:eastAsia="zh-CN"/>
    </w:rPr>
  </w:style>
  <w:style w:type="paragraph" w:customStyle="1" w:styleId="49">
    <w:name w:val="二级条标题"/>
    <w:basedOn w:val="50"/>
    <w:next w:val="26"/>
    <w:link w:val="48"/>
    <w:qFormat/>
    <w:uiPriority w:val="0"/>
    <w:pPr>
      <w:numPr>
        <w:ilvl w:val="0"/>
        <w:numId w:val="0"/>
      </w:numPr>
      <w:spacing w:before="50" w:after="50"/>
      <w:ind w:left="993"/>
      <w:outlineLvl w:val="3"/>
    </w:pPr>
    <w:rPr>
      <w:lang w:val="zh-CN"/>
    </w:rPr>
  </w:style>
  <w:style w:type="paragraph" w:customStyle="1" w:styleId="50">
    <w:name w:val="一级条标题"/>
    <w:next w:val="26"/>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1">
    <w:name w:val="标题 3 字符"/>
    <w:link w:val="3"/>
    <w:qFormat/>
    <w:uiPriority w:val="9"/>
    <w:rPr>
      <w:rFonts w:ascii="宋体" w:hAnsi="宋体"/>
      <w:b/>
      <w:bCs/>
      <w:sz w:val="27"/>
      <w:szCs w:val="27"/>
    </w:rPr>
  </w:style>
  <w:style w:type="character" w:customStyle="1" w:styleId="52">
    <w:name w:val="发布"/>
    <w:qFormat/>
    <w:uiPriority w:val="0"/>
    <w:rPr>
      <w:rFonts w:ascii="黑体" w:eastAsia="黑体"/>
      <w:spacing w:val="85"/>
      <w:w w:val="100"/>
      <w:position w:val="3"/>
      <w:sz w:val="28"/>
      <w:szCs w:val="28"/>
    </w:rPr>
  </w:style>
  <w:style w:type="character" w:customStyle="1" w:styleId="53">
    <w:name w:val="纯文本 字符"/>
    <w:link w:val="15"/>
    <w:qFormat/>
    <w:locked/>
    <w:uiPriority w:val="0"/>
    <w:rPr>
      <w:rFonts w:ascii="宋体" w:hAnsi="Courier New"/>
      <w:kern w:val="2"/>
      <w:sz w:val="21"/>
      <w:szCs w:val="21"/>
    </w:rPr>
  </w:style>
  <w:style w:type="character" w:customStyle="1" w:styleId="54">
    <w:name w:val="纯文本 Char1"/>
    <w:qFormat/>
    <w:uiPriority w:val="0"/>
    <w:rPr>
      <w:rFonts w:ascii="宋体" w:hAnsi="Courier New" w:cs="Courier New"/>
      <w:kern w:val="2"/>
      <w:sz w:val="21"/>
      <w:szCs w:val="21"/>
    </w:rPr>
  </w:style>
  <w:style w:type="character" w:customStyle="1" w:styleId="55">
    <w:name w:val="附录公式 Char"/>
    <w:basedOn w:val="56"/>
    <w:link w:val="57"/>
    <w:qFormat/>
    <w:uiPriority w:val="0"/>
    <w:rPr>
      <w:rFonts w:ascii="宋体"/>
      <w:sz w:val="21"/>
      <w:lang w:val="en-US" w:eastAsia="zh-CN" w:bidi="ar-SA"/>
    </w:rPr>
  </w:style>
  <w:style w:type="character" w:customStyle="1" w:styleId="56">
    <w:name w:val="段 Char"/>
    <w:link w:val="26"/>
    <w:qFormat/>
    <w:uiPriority w:val="0"/>
    <w:rPr>
      <w:rFonts w:ascii="宋体"/>
      <w:sz w:val="21"/>
      <w:lang w:val="en-US" w:eastAsia="zh-CN" w:bidi="ar-SA"/>
    </w:rPr>
  </w:style>
  <w:style w:type="paragraph" w:customStyle="1" w:styleId="57">
    <w:name w:val="附录公式"/>
    <w:basedOn w:val="26"/>
    <w:next w:val="26"/>
    <w:link w:val="55"/>
    <w:qFormat/>
    <w:uiPriority w:val="0"/>
  </w:style>
  <w:style w:type="character" w:customStyle="1" w:styleId="58">
    <w:name w:val="页脚 字符"/>
    <w:link w:val="20"/>
    <w:qFormat/>
    <w:uiPriority w:val="99"/>
    <w:rPr>
      <w:kern w:val="2"/>
      <w:sz w:val="18"/>
      <w:szCs w:val="18"/>
    </w:rPr>
  </w:style>
  <w:style w:type="character" w:customStyle="1" w:styleId="59">
    <w:name w:val="批注文字 字符"/>
    <w:link w:val="9"/>
    <w:qFormat/>
    <w:uiPriority w:val="0"/>
    <w:rPr>
      <w:kern w:val="2"/>
      <w:sz w:val="21"/>
      <w:szCs w:val="24"/>
    </w:rPr>
  </w:style>
  <w:style w:type="character" w:customStyle="1" w:styleId="60">
    <w:name w:val="批注框文本 字符"/>
    <w:link w:val="19"/>
    <w:qFormat/>
    <w:uiPriority w:val="0"/>
    <w:rPr>
      <w:kern w:val="2"/>
      <w:sz w:val="18"/>
      <w:szCs w:val="18"/>
    </w:rPr>
  </w:style>
  <w:style w:type="character" w:customStyle="1" w:styleId="61">
    <w:name w:val="批注主题 字符"/>
    <w:link w:val="34"/>
    <w:qFormat/>
    <w:uiPriority w:val="0"/>
    <w:rPr>
      <w:b/>
      <w:bCs/>
      <w:kern w:val="2"/>
      <w:sz w:val="21"/>
      <w:szCs w:val="24"/>
    </w:rPr>
  </w:style>
  <w:style w:type="character" w:customStyle="1" w:styleId="62">
    <w:name w:val="页眉 字符"/>
    <w:link w:val="21"/>
    <w:qFormat/>
    <w:uiPriority w:val="99"/>
    <w:rPr>
      <w:kern w:val="2"/>
      <w:sz w:val="18"/>
      <w:szCs w:val="18"/>
    </w:rPr>
  </w:style>
  <w:style w:type="paragraph" w:customStyle="1" w:styleId="6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4">
    <w:name w:val="其他发布日期"/>
    <w:basedOn w:val="65"/>
    <w:qFormat/>
    <w:uiPriority w:val="0"/>
    <w:pPr>
      <w:framePr w:wrap="around" w:vAnchor="page" w:hAnchor="text" w:x="1419"/>
    </w:pPr>
  </w:style>
  <w:style w:type="paragraph" w:customStyle="1" w:styleId="6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6">
    <w:name w:val="注："/>
    <w:next w:val="26"/>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67">
    <w:name w:val="其他标准标志"/>
    <w:basedOn w:val="68"/>
    <w:qFormat/>
    <w:uiPriority w:val="0"/>
    <w:pPr>
      <w:framePr w:w="6101" w:wrap="around" w:vAnchor="page" w:hAnchor="page" w:x="4673" w:y="942"/>
    </w:pPr>
    <w:rPr>
      <w:w w:val="130"/>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附录章标题"/>
    <w:next w:val="26"/>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注：（正文）"/>
    <w:basedOn w:val="66"/>
    <w:next w:val="26"/>
    <w:qFormat/>
    <w:uiPriority w:val="0"/>
  </w:style>
  <w:style w:type="paragraph" w:customStyle="1" w:styleId="74">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5">
    <w:name w:val="附录一级无"/>
    <w:basedOn w:val="76"/>
    <w:qFormat/>
    <w:uiPriority w:val="0"/>
    <w:pPr>
      <w:tabs>
        <w:tab w:val="left" w:pos="360"/>
      </w:tabs>
      <w:spacing w:before="0" w:beforeLines="0" w:after="0" w:afterLines="0"/>
    </w:pPr>
    <w:rPr>
      <w:rFonts w:ascii="宋体" w:eastAsia="宋体"/>
      <w:szCs w:val="21"/>
    </w:rPr>
  </w:style>
  <w:style w:type="paragraph" w:customStyle="1" w:styleId="76">
    <w:name w:val="附录一级条标题"/>
    <w:basedOn w:val="69"/>
    <w:next w:val="26"/>
    <w:qFormat/>
    <w:uiPriority w:val="0"/>
    <w:pPr>
      <w:numPr>
        <w:ilvl w:val="0"/>
        <w:numId w:val="0"/>
      </w:numPr>
      <w:autoSpaceDN w:val="0"/>
      <w:spacing w:before="50" w:beforeLines="50" w:after="50" w:afterLines="50"/>
      <w:outlineLvl w:val="2"/>
    </w:pPr>
  </w:style>
  <w:style w:type="paragraph" w:customStyle="1" w:styleId="77">
    <w:name w:val="附录图标题"/>
    <w:basedOn w:val="1"/>
    <w:next w:val="26"/>
    <w:qFormat/>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三级无"/>
    <w:basedOn w:val="80"/>
    <w:qFormat/>
    <w:uiPriority w:val="0"/>
    <w:pPr>
      <w:spacing w:before="0" w:beforeLines="0" w:after="0" w:afterLines="0"/>
    </w:pPr>
    <w:rPr>
      <w:rFonts w:ascii="宋体" w:eastAsia="宋体"/>
    </w:rPr>
  </w:style>
  <w:style w:type="paragraph" w:customStyle="1" w:styleId="80">
    <w:name w:val="三级条标题"/>
    <w:basedOn w:val="49"/>
    <w:next w:val="26"/>
    <w:qFormat/>
    <w:uiPriority w:val="0"/>
    <w:pPr>
      <w:ind w:left="0"/>
      <w:outlineLvl w:val="4"/>
    </w:pPr>
  </w:style>
  <w:style w:type="paragraph" w:customStyle="1" w:styleId="81">
    <w:name w:val="正文公式编号制表符"/>
    <w:basedOn w:val="26"/>
    <w:next w:val="26"/>
    <w:qFormat/>
    <w:uiPriority w:val="0"/>
    <w:pPr>
      <w:ind w:firstLine="0" w:firstLineChars="0"/>
    </w:pPr>
  </w:style>
  <w:style w:type="paragraph" w:customStyle="1" w:styleId="8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3">
    <w:name w:val="封面标准英文名称2"/>
    <w:basedOn w:val="84"/>
    <w:qFormat/>
    <w:uiPriority w:val="0"/>
    <w:pPr>
      <w:framePr w:wrap="around" w:y="4469"/>
    </w:pPr>
  </w:style>
  <w:style w:type="paragraph" w:customStyle="1" w:styleId="84">
    <w:name w:val="封面标准英文名称"/>
    <w:basedOn w:val="72"/>
    <w:qFormat/>
    <w:uiPriority w:val="0"/>
    <w:pPr>
      <w:framePr w:wrap="around"/>
      <w:spacing w:before="370" w:line="400" w:lineRule="exact"/>
    </w:pPr>
    <w:rPr>
      <w:rFonts w:ascii="Times New Roman"/>
      <w:sz w:val="28"/>
      <w:szCs w:val="28"/>
    </w:rPr>
  </w:style>
  <w:style w:type="paragraph" w:customStyle="1" w:styleId="85">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附录标识"/>
    <w:basedOn w:val="1"/>
    <w:next w:val="26"/>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封面一致性程度标识"/>
    <w:basedOn w:val="84"/>
    <w:qFormat/>
    <w:uiPriority w:val="0"/>
    <w:pPr>
      <w:framePr w:wrap="around"/>
      <w:spacing w:before="440"/>
    </w:pPr>
    <w:rPr>
      <w:rFonts w:ascii="宋体" w:eastAsia="宋体"/>
    </w:rPr>
  </w:style>
  <w:style w:type="paragraph" w:customStyle="1" w:styleId="90">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91">
    <w:name w:val="列项◆（三级）"/>
    <w:basedOn w:val="1"/>
    <w:qFormat/>
    <w:uiPriority w:val="0"/>
    <w:pPr>
      <w:numPr>
        <w:ilvl w:val="2"/>
        <w:numId w:val="8"/>
      </w:numPr>
    </w:pPr>
    <w:rPr>
      <w:rFonts w:ascii="宋体"/>
      <w:szCs w:val="21"/>
    </w:rPr>
  </w:style>
  <w:style w:type="paragraph" w:customStyle="1" w:styleId="92">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9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一级无"/>
    <w:basedOn w:val="50"/>
    <w:qFormat/>
    <w:uiPriority w:val="0"/>
    <w:pPr>
      <w:spacing w:before="0" w:beforeLines="0" w:after="0" w:afterLines="0"/>
    </w:pPr>
    <w:rPr>
      <w:rFonts w:ascii="宋体" w:eastAsia="宋体"/>
    </w:rPr>
  </w:style>
  <w:style w:type="paragraph" w:customStyle="1" w:styleId="95">
    <w:name w:val="封面标准文稿类别2"/>
    <w:basedOn w:val="96"/>
    <w:qFormat/>
    <w:uiPriority w:val="0"/>
    <w:pPr>
      <w:framePr w:wrap="around" w:y="4469"/>
    </w:pPr>
  </w:style>
  <w:style w:type="paragraph" w:customStyle="1" w:styleId="96">
    <w:name w:val="封面标准文稿类别"/>
    <w:basedOn w:val="89"/>
    <w:qFormat/>
    <w:uiPriority w:val="0"/>
    <w:pPr>
      <w:framePr w:wrap="around"/>
      <w:spacing w:after="160" w:line="240" w:lineRule="auto"/>
    </w:pPr>
    <w:rPr>
      <w:sz w:val="24"/>
    </w:rPr>
  </w:style>
  <w:style w:type="paragraph" w:customStyle="1" w:styleId="97">
    <w:name w:val="附录标题"/>
    <w:basedOn w:val="26"/>
    <w:next w:val="26"/>
    <w:qFormat/>
    <w:uiPriority w:val="0"/>
    <w:pPr>
      <w:ind w:firstLine="0" w:firstLineChars="0"/>
      <w:jc w:val="center"/>
    </w:pPr>
    <w:rPr>
      <w:rFonts w:ascii="黑体" w:eastAsia="黑体"/>
    </w:rPr>
  </w:style>
  <w:style w:type="paragraph" w:customStyle="1" w:styleId="98">
    <w:name w:val="标准书眉_偶数页"/>
    <w:basedOn w:val="99"/>
    <w:next w:val="1"/>
    <w:qFormat/>
    <w:uiPriority w:val="0"/>
    <w:pPr>
      <w:tabs>
        <w:tab w:val="center" w:pos="4154"/>
        <w:tab w:val="right" w:pos="8306"/>
      </w:tabs>
      <w:jc w:val="left"/>
    </w:pPr>
  </w:style>
  <w:style w:type="paragraph" w:customStyle="1" w:styleId="9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0">
    <w:name w:val="二级无"/>
    <w:basedOn w:val="49"/>
    <w:qFormat/>
    <w:uiPriority w:val="0"/>
    <w:pPr>
      <w:spacing w:before="0" w:beforeLines="0" w:after="0" w:afterLines="0"/>
      <w:ind w:left="0"/>
    </w:pPr>
    <w:rPr>
      <w:rFonts w:ascii="宋体" w:eastAsia="宋体"/>
    </w:rPr>
  </w:style>
  <w:style w:type="paragraph" w:customStyle="1" w:styleId="101">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02">
    <w:name w:val="图标脚注说明"/>
    <w:basedOn w:val="26"/>
    <w:qFormat/>
    <w:uiPriority w:val="0"/>
    <w:pPr>
      <w:ind w:left="840" w:hanging="420" w:firstLineChars="0"/>
    </w:pPr>
    <w:rPr>
      <w:sz w:val="18"/>
      <w:szCs w:val="18"/>
    </w:rPr>
  </w:style>
  <w:style w:type="paragraph" w:customStyle="1" w:styleId="103">
    <w:name w:val="其他发布部门"/>
    <w:basedOn w:val="104"/>
    <w:qFormat/>
    <w:uiPriority w:val="0"/>
    <w:pPr>
      <w:framePr w:wrap="around" w:y="15310"/>
      <w:spacing w:line="0" w:lineRule="atLeast"/>
    </w:pPr>
    <w:rPr>
      <w:rFonts w:ascii="黑体" w:eastAsia="黑体"/>
      <w:b w:val="0"/>
    </w:rPr>
  </w:style>
  <w:style w:type="paragraph" w:customStyle="1" w:styleId="104">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7">
    <w:name w:val="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108">
    <w:name w:val="四级无"/>
    <w:basedOn w:val="109"/>
    <w:qFormat/>
    <w:uiPriority w:val="0"/>
    <w:pPr>
      <w:spacing w:before="0" w:beforeLines="0" w:after="0" w:afterLines="0"/>
    </w:pPr>
    <w:rPr>
      <w:rFonts w:ascii="宋体" w:eastAsia="宋体"/>
    </w:rPr>
  </w:style>
  <w:style w:type="paragraph" w:customStyle="1" w:styleId="109">
    <w:name w:val="四级条标题"/>
    <w:basedOn w:val="80"/>
    <w:next w:val="26"/>
    <w:qFormat/>
    <w:uiPriority w:val="0"/>
    <w:pPr>
      <w:outlineLvl w:val="5"/>
    </w:pPr>
  </w:style>
  <w:style w:type="paragraph" w:customStyle="1" w:styleId="110">
    <w:name w:val="示例×："/>
    <w:basedOn w:val="85"/>
    <w:qFormat/>
    <w:uiPriority w:val="0"/>
    <w:pPr>
      <w:numPr>
        <w:numId w:val="11"/>
      </w:numPr>
      <w:spacing w:before="0" w:beforeLines="0" w:after="0" w:afterLines="0"/>
      <w:outlineLvl w:val="9"/>
    </w:pPr>
    <w:rPr>
      <w:rFonts w:ascii="宋体" w:eastAsia="宋体"/>
      <w:sz w:val="18"/>
      <w:szCs w:val="18"/>
    </w:rPr>
  </w:style>
  <w:style w:type="paragraph" w:customStyle="1" w:styleId="11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示例"/>
    <w:next w:val="113"/>
    <w:qFormat/>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11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4">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7">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18">
    <w:name w:val="封面正文"/>
    <w:qFormat/>
    <w:uiPriority w:val="0"/>
    <w:pPr>
      <w:jc w:val="both"/>
    </w:pPr>
    <w:rPr>
      <w:rFonts w:ascii="Times New Roman" w:hAnsi="Times New Roman" w:eastAsia="宋体" w:cs="Times New Roman"/>
      <w:lang w:val="en-US" w:eastAsia="zh-CN" w:bidi="ar-SA"/>
    </w:rPr>
  </w:style>
  <w:style w:type="paragraph" w:customStyle="1" w:styleId="11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示例后文字"/>
    <w:basedOn w:val="26"/>
    <w:next w:val="26"/>
    <w:qFormat/>
    <w:uiPriority w:val="0"/>
    <w:pPr>
      <w:ind w:firstLine="360"/>
    </w:pPr>
    <w:rPr>
      <w:sz w:val="18"/>
    </w:rPr>
  </w:style>
  <w:style w:type="paragraph" w:customStyle="1" w:styleId="121">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条文脚注"/>
    <w:basedOn w:val="27"/>
    <w:qFormat/>
    <w:uiPriority w:val="0"/>
    <w:pPr>
      <w:numPr>
        <w:numId w:val="0"/>
      </w:numPr>
      <w:jc w:val="both"/>
    </w:pPr>
  </w:style>
  <w:style w:type="paragraph" w:customStyle="1" w:styleId="123">
    <w:name w:val="图表脚注说明"/>
    <w:basedOn w:val="1"/>
    <w:qFormat/>
    <w:uiPriority w:val="0"/>
    <w:pPr>
      <w:numPr>
        <w:ilvl w:val="0"/>
        <w:numId w:val="13"/>
      </w:numPr>
    </w:pPr>
    <w:rPr>
      <w:rFonts w:ascii="宋体"/>
      <w:sz w:val="18"/>
      <w:szCs w:val="18"/>
    </w:rPr>
  </w:style>
  <w:style w:type="paragraph" w:customStyle="1" w:styleId="124">
    <w:name w:val="附录二级条标题"/>
    <w:basedOn w:val="1"/>
    <w:next w:val="26"/>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25">
    <w:name w:val="封面一致性程度标识2"/>
    <w:basedOn w:val="89"/>
    <w:qFormat/>
    <w:uiPriority w:val="0"/>
    <w:pPr>
      <w:framePr w:wrap="around" w:y="4469"/>
    </w:pPr>
  </w:style>
  <w:style w:type="paragraph" w:customStyle="1" w:styleId="126">
    <w:name w:val="实施日期"/>
    <w:basedOn w:val="65"/>
    <w:qFormat/>
    <w:uiPriority w:val="0"/>
    <w:pPr>
      <w:framePr w:wrap="around" w:vAnchor="page" w:hAnchor="text"/>
      <w:jc w:val="right"/>
    </w:pPr>
  </w:style>
  <w:style w:type="paragraph" w:customStyle="1" w:styleId="127">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28">
    <w:name w:val="五级无"/>
    <w:basedOn w:val="129"/>
    <w:qFormat/>
    <w:uiPriority w:val="0"/>
    <w:pPr>
      <w:spacing w:before="0" w:beforeLines="0" w:after="0" w:afterLines="0"/>
    </w:pPr>
    <w:rPr>
      <w:rFonts w:ascii="宋体" w:eastAsia="宋体"/>
    </w:rPr>
  </w:style>
  <w:style w:type="paragraph" w:customStyle="1" w:styleId="129">
    <w:name w:val="五级条标题"/>
    <w:basedOn w:val="109"/>
    <w:next w:val="26"/>
    <w:qFormat/>
    <w:uiPriority w:val="0"/>
    <w:pPr>
      <w:numPr>
        <w:ilvl w:val="5"/>
      </w:numPr>
      <w:outlineLvl w:val="6"/>
    </w:pPr>
  </w:style>
  <w:style w:type="paragraph" w:customStyle="1" w:styleId="130">
    <w:name w:val="封面标准文稿编辑信息2"/>
    <w:basedOn w:val="131"/>
    <w:qFormat/>
    <w:uiPriority w:val="0"/>
    <w:pPr>
      <w:framePr w:wrap="around" w:y="4469"/>
    </w:pPr>
  </w:style>
  <w:style w:type="paragraph" w:customStyle="1" w:styleId="131">
    <w:name w:val="封面标准文稿编辑信息"/>
    <w:basedOn w:val="96"/>
    <w:qFormat/>
    <w:uiPriority w:val="0"/>
    <w:pPr>
      <w:framePr w:wrap="around"/>
      <w:spacing w:before="180" w:line="180" w:lineRule="exact"/>
    </w:pPr>
    <w:rPr>
      <w:sz w:val="21"/>
    </w:rPr>
  </w:style>
  <w:style w:type="paragraph" w:customStyle="1" w:styleId="132">
    <w:name w:val="附录三级无"/>
    <w:basedOn w:val="133"/>
    <w:qFormat/>
    <w:uiPriority w:val="0"/>
    <w:pPr>
      <w:tabs>
        <w:tab w:val="left" w:pos="360"/>
      </w:tabs>
      <w:spacing w:before="0" w:beforeLines="0" w:after="0" w:afterLines="0"/>
    </w:pPr>
    <w:rPr>
      <w:rFonts w:ascii="宋体" w:eastAsia="宋体"/>
      <w:szCs w:val="21"/>
    </w:rPr>
  </w:style>
  <w:style w:type="paragraph" w:customStyle="1" w:styleId="133">
    <w:name w:val="附录三级条标题"/>
    <w:basedOn w:val="124"/>
    <w:next w:val="26"/>
    <w:qFormat/>
    <w:uiPriority w:val="0"/>
    <w:pPr>
      <w:numPr>
        <w:ilvl w:val="0"/>
        <w:numId w:val="0"/>
      </w:numPr>
      <w:outlineLvl w:val="4"/>
    </w:pPr>
  </w:style>
  <w:style w:type="paragraph" w:customStyle="1" w:styleId="134">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附录四级条标题"/>
    <w:basedOn w:val="133"/>
    <w:next w:val="26"/>
    <w:qFormat/>
    <w:uiPriority w:val="0"/>
    <w:pPr>
      <w:numPr>
        <w:ilvl w:val="5"/>
      </w:numPr>
      <w:outlineLvl w:val="5"/>
    </w:pPr>
  </w:style>
  <w:style w:type="paragraph" w:customStyle="1" w:styleId="137">
    <w:name w:val="附录四级无"/>
    <w:basedOn w:val="136"/>
    <w:qFormat/>
    <w:uiPriority w:val="0"/>
    <w:pPr>
      <w:tabs>
        <w:tab w:val="clear" w:pos="360"/>
      </w:tabs>
      <w:spacing w:before="0" w:beforeLines="0" w:after="0" w:afterLines="0"/>
    </w:pPr>
    <w:rPr>
      <w:rFonts w:ascii="宋体" w:eastAsia="宋体"/>
      <w:szCs w:val="21"/>
    </w:rPr>
  </w:style>
  <w:style w:type="paragraph" w:customStyle="1" w:styleId="138">
    <w:name w:val="附录五级无"/>
    <w:basedOn w:val="139"/>
    <w:qFormat/>
    <w:uiPriority w:val="0"/>
    <w:pPr>
      <w:tabs>
        <w:tab w:val="left" w:pos="360"/>
      </w:tabs>
      <w:spacing w:before="0" w:beforeLines="0" w:after="0" w:afterLines="0"/>
    </w:pPr>
    <w:rPr>
      <w:rFonts w:ascii="宋体" w:eastAsia="宋体"/>
      <w:szCs w:val="21"/>
    </w:rPr>
  </w:style>
  <w:style w:type="paragraph" w:customStyle="1" w:styleId="139">
    <w:name w:val="附录五级条标题"/>
    <w:basedOn w:val="136"/>
    <w:next w:val="26"/>
    <w:qFormat/>
    <w:uiPriority w:val="0"/>
    <w:pPr>
      <w:numPr>
        <w:ilvl w:val="6"/>
      </w:numPr>
      <w:outlineLvl w:val="6"/>
    </w:pPr>
  </w:style>
  <w:style w:type="paragraph" w:customStyle="1" w:styleId="140">
    <w:name w:val="正文图标题"/>
    <w:next w:val="26"/>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42">
    <w:name w:val="附录二级无"/>
    <w:basedOn w:val="124"/>
    <w:qFormat/>
    <w:uiPriority w:val="0"/>
    <w:pPr>
      <w:tabs>
        <w:tab w:val="clear" w:pos="360"/>
      </w:tabs>
      <w:spacing w:before="0" w:beforeLines="0" w:after="0" w:afterLines="0"/>
    </w:pPr>
    <w:rPr>
      <w:rFonts w:ascii="宋体" w:eastAsia="宋体"/>
      <w:szCs w:val="21"/>
    </w:rPr>
  </w:style>
  <w:style w:type="paragraph" w:customStyle="1" w:styleId="143">
    <w:name w:val="标准书眉一"/>
    <w:qFormat/>
    <w:uiPriority w:val="0"/>
    <w:pPr>
      <w:jc w:val="both"/>
    </w:pPr>
    <w:rPr>
      <w:rFonts w:ascii="Times New Roman" w:hAnsi="Times New Roman" w:eastAsia="宋体" w:cs="Times New Roman"/>
      <w:lang w:val="en-US" w:eastAsia="zh-CN" w:bidi="ar-SA"/>
    </w:rPr>
  </w:style>
  <w:style w:type="paragraph" w:customStyle="1" w:styleId="1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5">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46">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47">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48">
    <w:name w:val="附录表标号"/>
    <w:basedOn w:val="1"/>
    <w:next w:val="26"/>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149">
    <w:name w:val="附录表标题"/>
    <w:basedOn w:val="1"/>
    <w:next w:val="26"/>
    <w:qFormat/>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50">
    <w:name w:val="其他实施日期"/>
    <w:basedOn w:val="126"/>
    <w:qFormat/>
    <w:uiPriority w:val="0"/>
    <w:pPr>
      <w:framePr w:wrap="around"/>
    </w:pPr>
  </w:style>
  <w:style w:type="paragraph" w:customStyle="1" w:styleId="151">
    <w:name w:val="封面标准名称2"/>
    <w:basedOn w:val="72"/>
    <w:qFormat/>
    <w:uiPriority w:val="0"/>
    <w:pPr>
      <w:framePr w:wrap="around" w:y="4469"/>
      <w:spacing w:before="630" w:beforeLines="630"/>
    </w:pPr>
  </w:style>
  <w:style w:type="paragraph" w:customStyle="1" w:styleId="152">
    <w:name w:val="正文表标题"/>
    <w:next w:val="26"/>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3">
    <w:name w:val="p0"/>
    <w:basedOn w:val="1"/>
    <w:qFormat/>
    <w:uiPriority w:val="0"/>
    <w:pPr>
      <w:widowControl/>
    </w:pPr>
    <w:rPr>
      <w:kern w:val="0"/>
      <w:szCs w:val="21"/>
    </w:rPr>
  </w:style>
  <w:style w:type="paragraph" w:styleId="154">
    <w:name w:val="List Paragraph"/>
    <w:basedOn w:val="1"/>
    <w:qFormat/>
    <w:uiPriority w:val="34"/>
    <w:pPr>
      <w:ind w:left="840" w:leftChars="400"/>
    </w:pPr>
    <w:rPr>
      <w:rFonts w:ascii="Century" w:hAnsi="Century" w:eastAsia="MS Mincho"/>
      <w:szCs w:val="22"/>
      <w:lang w:eastAsia="ja-JP"/>
    </w:rPr>
  </w:style>
  <w:style w:type="paragraph" w:customStyle="1" w:styleId="155">
    <w:name w:val="Table Paragraph"/>
    <w:basedOn w:val="1"/>
    <w:qFormat/>
    <w:uiPriority w:val="1"/>
  </w:style>
  <w:style w:type="paragraph" w:customStyle="1" w:styleId="156">
    <w:name w:val="修订1"/>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EF224-261F-4FC1-909C-F0E5F11CEBAE}">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9</Pages>
  <Words>3619</Words>
  <Characters>4278</Characters>
  <Lines>40</Lines>
  <Paragraphs>11</Paragraphs>
  <TotalTime>1</TotalTime>
  <ScaleCrop>false</ScaleCrop>
  <LinksUpToDate>false</LinksUpToDate>
  <CharactersWithSpaces>4583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2020-09-30T06:44:00Z</dcterms:created>
  <dc:creator>CNIS</dc:creator>
  <cp:lastModifiedBy>Linna</cp:lastModifiedBy>
  <cp:lastPrinted>2023-05-19T07:17:00Z</cp:lastPrinted>
  <dcterms:modified xsi:type="dcterms:W3CDTF">2023-12-04T02:24:16Z</dcterms:modified>
  <dc:title>标准名称</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4580D6AF35BD4C63947D8B25BB1DAC60_13</vt:lpwstr>
  </property>
</Properties>
</file>