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framePr w:wrap="around"/>
        <w:rPr>
          <w:rFonts w:ascii="Times New Roman" w:eastAsiaTheme="minorEastAsia"/>
        </w:rPr>
      </w:pPr>
      <w:r>
        <w:rPr>
          <w:rFonts w:ascii="Times New Roman"/>
        </w:rPr>
        <w:t>ICS</w:t>
      </w:r>
      <w:r>
        <w:rPr>
          <w:rFonts w:ascii="Times New Roman" w:eastAsia="MS Mincho"/>
        </w:rPr>
        <w:t> </w:t>
      </w:r>
      <w:r>
        <w:rPr>
          <w:rFonts w:ascii="Times New Roman" w:eastAsiaTheme="minorEastAsia"/>
        </w:rPr>
        <w:t>91.100.99</w:t>
      </w:r>
    </w:p>
    <w:tbl>
      <w:tblPr>
        <w:tblStyle w:val="9"/>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8"/>
              <w:framePr w:wrap="around"/>
              <w:rPr>
                <w:rFonts w:ascii="Times New Roman"/>
              </w:r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r>
              <w:rPr>
                <w:rFonts w:ascii="Times New Roman"/>
              </w:rPr>
              <w:t xml:space="preserve">Q 21 </w:t>
            </w:r>
          </w:p>
        </w:tc>
      </w:tr>
    </w:tbl>
    <w:p>
      <w:pPr>
        <w:pStyle w:val="19"/>
        <w:framePr w:wrap="around"/>
        <w:rPr>
          <w:rFonts w:hAnsi="黑体"/>
        </w:rPr>
      </w:pPr>
      <w:r>
        <w:rPr>
          <w:rFonts w:hAnsi="黑体"/>
        </w:rPr>
        <w:t>T/CECS 1000X—2022</w:t>
      </w:r>
    </w:p>
    <w:tbl>
      <w:tblPr>
        <w:tblStyle w:val="9"/>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0"/>
              <w:framePr w:wrap="around"/>
            </w:pPr>
            <w:bookmarkStart w:id="0" w:name="DT"/>
            <w: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0"/>
          </w:p>
        </w:tc>
        <w:tc>
          <w:tcPr>
            <w:tcW w:w="9356" w:type="dxa"/>
            <w:tcBorders>
              <w:top w:val="nil"/>
              <w:left w:val="nil"/>
              <w:bottom w:val="nil"/>
              <w:right w:val="nil"/>
            </w:tcBorders>
          </w:tcPr>
          <w:p>
            <w:pPr>
              <w:pStyle w:val="20"/>
              <w:framePr w:wrap="around"/>
            </w:pPr>
          </w:p>
        </w:tc>
      </w:tr>
    </w:tbl>
    <w:p>
      <w:pPr>
        <w:pStyle w:val="19"/>
        <w:framePr w:wrap="around"/>
        <w:rPr>
          <w:rFonts w:hAnsi="黑体"/>
        </w:rPr>
      </w:pPr>
    </w:p>
    <w:p>
      <w:pPr>
        <w:pStyle w:val="19"/>
        <w:framePr w:wrap="around"/>
        <w:rPr>
          <w:rFonts w:hAnsi="黑体"/>
        </w:rPr>
      </w:pPr>
    </w:p>
    <w:p>
      <w:pPr>
        <w:pStyle w:val="21"/>
        <w:framePr w:wrap="around" w:x="1346" w:y="6336"/>
      </w:pPr>
      <w:r>
        <w:rPr>
          <w:rFonts w:hint="eastAsia"/>
        </w:rPr>
        <w:t xml:space="preserve">绿色建材评价  </w:t>
      </w:r>
      <w:r>
        <w:rPr>
          <w:rFonts w:hint="eastAsia"/>
          <w:lang w:eastAsia="zh-CN"/>
        </w:rPr>
        <w:t>双面不锈钢复合钢板</w:t>
      </w:r>
    </w:p>
    <w:p>
      <w:pPr>
        <w:pStyle w:val="22"/>
        <w:framePr w:wrap="around" w:x="1346" w:y="6336"/>
      </w:pPr>
      <w:r>
        <w:rPr>
          <w:rFonts w:hint="eastAsia"/>
        </w:rPr>
        <w:t>Green building material assessment</w:t>
      </w:r>
      <w:r>
        <w:t>—</w:t>
      </w:r>
      <w:r>
        <w:rPr>
          <w:rFonts w:hint="eastAsia"/>
        </w:rPr>
        <w:t xml:space="preserve"> Duplex stainless steel composite</w:t>
      </w:r>
    </w:p>
    <w:p>
      <w:pPr>
        <w:pStyle w:val="23"/>
        <w:framePr w:wrap="around" w:x="1346" w:y="6336"/>
      </w:pPr>
      <w:bookmarkStart w:id="80" w:name="_GoBack"/>
      <w:bookmarkEnd w:id="80"/>
    </w:p>
    <w:tbl>
      <w:tblPr>
        <w:tblStyle w:val="9"/>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framePr w:wrap="around" w:x="1346" w:y="633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1"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w10:anchorlock/>
                    </v:rect>
                  </w:pict>
                </mc:Fallback>
              </mc:AlternateContent>
            </w:r>
            <w:r>
              <w:rPr>
                <w:rFonts w:hint="eastAsia"/>
              </w:rPr>
              <w:t>（</w:t>
            </w:r>
            <w:r>
              <w:rPr>
                <w:rFonts w:hint="eastAsia"/>
                <w:lang w:val="en-US" w:eastAsia="zh-CN"/>
              </w:rPr>
              <w:t>征求意见</w:t>
            </w:r>
            <w:r>
              <w:rPr>
                <w:rFonts w:hint="eastAsia"/>
              </w:rPr>
              <w:t>稿）</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5"/>
              <w:framePr w:wrap="around" w:x="1346" w:y="6336"/>
            </w:pPr>
          </w:p>
        </w:tc>
      </w:tr>
    </w:tbl>
    <w:p>
      <w:pPr>
        <w:pStyle w:val="26"/>
        <w:framePr w:wrap="around" w:hAnchor="page" w:x="1454" w:y="14138"/>
      </w:pPr>
      <w:bookmarkStart w:id="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w1QfZyAEAAJ8DAAAOAAAAAAAAAAEAIAAAACUBAABkcnMv&#10;ZTJvRG9jLnhtbFBLBQYAAAAABgAGAFkBAABfBQAAAAA=&#10;">
                <v:fill on="f" focussize="0,0"/>
                <v:stroke color="#000000" joinstyle="round"/>
                <v:imagedata o:title=""/>
                <o:lock v:ext="edit" aspectratio="f"/>
                <w10:anchorlock/>
              </v:line>
            </w:pict>
          </mc:Fallback>
        </mc:AlternateContent>
      </w:r>
    </w:p>
    <w:p>
      <w:pPr>
        <w:pStyle w:val="28"/>
        <w:framePr w:wrap="around" w:hAnchor="page" w:x="7051" w:y="14113"/>
      </w:pPr>
      <w:bookmarkStart w:id="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30"/>
        <w:framePr w:wrap="around"/>
      </w:pPr>
      <w:r>
        <w:rPr>
          <w:rFonts w:hint="eastAsia"/>
        </w:rPr>
        <w:t>中国工程建设标准化协会</w:t>
      </w:r>
      <w:r>
        <w:rPr>
          <w:rFonts w:hint="eastAsia" w:ascii="MS Mincho" w:hAnsi="MS Mincho" w:eastAsia="MS Mincho" w:cs="MS Mincho"/>
        </w:rPr>
        <w:t>   </w:t>
      </w:r>
      <w:r>
        <w:rPr>
          <w:rStyle w:val="33"/>
          <w:rFonts w:hint="eastAsia"/>
          <w:szCs w:val="28"/>
        </w:rPr>
        <w:t>发布</w:t>
      </w:r>
    </w:p>
    <w:p>
      <w:pPr>
        <w:pStyle w:val="32"/>
        <w:sectPr>
          <w:pgSz w:w="11906" w:h="16838"/>
          <w:pgMar w:top="567" w:right="850"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8917305</wp:posOffset>
                </wp:positionV>
                <wp:extent cx="6120130" cy="28575"/>
                <wp:effectExtent l="0" t="4445" r="6350" b="12700"/>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702.15pt;height:2.25pt;width:481.9pt;z-index:251664384;mso-width-relative:page;mso-height-relative:page;" filled="f" stroked="t" coordsize="21600,21600" o:gfxdata="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Izw7X&#10;AAAACwEAAA8AAAAAAAAAAQAgAAAAIgAAAGRycy9kb3ducmV2LnhtbFBLAQIUABQAAAAIAIdO4kCt&#10;hZ+K6AEAALIDAAAOAAAAAAAAAAEAIAAAACYBAABkcnMvZTJvRG9jLnhtbFBLBQYAAAAABgAGAFkB&#10;AACABQAAAAA=&#10;">
                <v:fill on="f" focussize="0,0"/>
                <v:stroke color="#000000 [3213]" miterlimit="8"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7620</wp:posOffset>
                </wp:positionH>
                <wp:positionV relativeFrom="paragraph">
                  <wp:posOffset>979170</wp:posOffset>
                </wp:positionV>
                <wp:extent cx="6119495" cy="695325"/>
                <wp:effectExtent l="4445" t="4445" r="17780" b="1651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61312;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NfiPZAAAACQEAAA8AAAAAAAAAAQAgAAAAIgAAAGRycy9kb3ducmV2LnhtbFBLAQIU&#10;ABQAAAAIAIdO4kAcRxoMKwIAAIYEAAAOAAAAAAAAAAEAIAAAACgBAABkcnMvZTJvRG9jLnhtbFBL&#10;BQYAAAAABgAGAFkBAADF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2339975</wp:posOffset>
                </wp:positionV>
                <wp:extent cx="6120130" cy="0"/>
                <wp:effectExtent l="0" t="4445" r="0" b="508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LobEcgBAACfAwAADgAAAAAAAAABACAAAAAmAQAAZHJz&#10;L2Uyb0RvYy54bWxQSwUGAAAAAAYABgBZAQAAYAUAAAAA&#10;">
                <v:fill on="f" focussize="0,0"/>
                <v:stroke color="#000000" joinstyle="round"/>
                <v:imagedata o:title=""/>
                <o:lock v:ext="edit" aspectratio="f"/>
                <w10:anchorlock/>
              </v:line>
            </w:pict>
          </mc:Fallback>
        </mc:AlternateContent>
      </w:r>
    </w:p>
    <w:p>
      <w:pPr>
        <w:pStyle w:val="34"/>
        <w:jc w:val="center"/>
      </w:pPr>
      <w:r>
        <w:rPr>
          <w:rFonts w:hint="eastAsia" w:ascii="黑体" w:hAnsi="Times New Roman" w:eastAsia="黑体"/>
          <w:b w:val="0"/>
          <w:bCs w:val="0"/>
          <w:color w:val="auto"/>
          <w:sz w:val="32"/>
          <w:szCs w:val="20"/>
        </w:rPr>
        <w:t>目</w:t>
      </w:r>
      <w:r>
        <w:rPr>
          <w:rFonts w:ascii="黑体" w:hAnsi="Times New Roman" w:eastAsia="黑体"/>
          <w:b w:val="0"/>
          <w:bCs w:val="0"/>
          <w:color w:val="auto"/>
          <w:sz w:val="32"/>
          <w:szCs w:val="20"/>
        </w:rPr>
        <w:t xml:space="preserve">  </w:t>
      </w:r>
      <w:r>
        <w:rPr>
          <w:rFonts w:hint="eastAsia" w:ascii="黑体" w:hAnsi="Times New Roman" w:eastAsia="黑体"/>
          <w:b w:val="0"/>
          <w:bCs w:val="0"/>
          <w:color w:val="auto"/>
          <w:sz w:val="32"/>
          <w:szCs w:val="20"/>
        </w:rPr>
        <w:t>次</w:t>
      </w: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pPr>
        <w:pStyle w:val="7"/>
        <w:spacing w:before="78" w:after="78"/>
        <w:rPr>
          <w:rFonts w:hint="default" w:ascii="Times New Roman" w:eastAsia="宋体"/>
          <w:szCs w:val="22"/>
          <w:lang w:val="en-US" w:eastAsia="zh-CN"/>
        </w:rPr>
      </w:pPr>
    </w:p>
    <w:p>
      <w:pPr>
        <w:pStyle w:val="7"/>
        <w:spacing w:before="78" w:after="78"/>
        <w:rPr>
          <w:rFonts w:hint="default" w:ascii="Times New Roman" w:hAnsi="Times New Roman" w:cs="Times New Roman" w:eastAsiaTheme="minorEastAsia"/>
          <w:szCs w:val="22"/>
        </w:rPr>
      </w:pPr>
      <w:r>
        <w:fldChar w:fldCharType="begin"/>
      </w:r>
      <w:r>
        <w:instrText xml:space="preserve"> HYPERLINK \l "_Toc104389727" </w:instrText>
      </w:r>
      <w:r>
        <w:fldChar w:fldCharType="separate"/>
      </w:r>
      <w:r>
        <w:rPr>
          <w:rStyle w:val="11"/>
          <w:rFonts w:ascii="Times New Roman"/>
        </w:rPr>
        <w:t>1 范围</w:t>
      </w:r>
      <w:r>
        <w:rPr>
          <w:rFonts w:ascii="Times New Roman"/>
        </w:rPr>
        <w:tab/>
      </w:r>
      <w:r>
        <w:rPr>
          <w:rFonts w:ascii="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p>
      <w:pPr>
        <w:pStyle w:val="7"/>
        <w:spacing w:before="78" w:after="78"/>
        <w:rPr>
          <w:rFonts w:ascii="Times New Roman" w:eastAsiaTheme="minorEastAsia"/>
          <w:szCs w:val="22"/>
        </w:rPr>
      </w:pPr>
      <w:r>
        <w:fldChar w:fldCharType="begin"/>
      </w:r>
      <w:r>
        <w:instrText xml:space="preserve"> HYPERLINK \l "_Toc104389728" </w:instrText>
      </w:r>
      <w:r>
        <w:fldChar w:fldCharType="separate"/>
      </w:r>
      <w:r>
        <w:rPr>
          <w:rStyle w:val="11"/>
          <w:rFonts w:ascii="Times New Roman"/>
        </w:rPr>
        <w:t>2 规范性引用文件</w:t>
      </w:r>
      <w:r>
        <w:rPr>
          <w:rFonts w:ascii="Times New Roman"/>
        </w:rPr>
        <w:tab/>
      </w:r>
      <w:r>
        <w:rPr>
          <w:rFonts w:ascii="Times New Roman"/>
        </w:rPr>
        <w:fldChar w:fldCharType="begin"/>
      </w:r>
      <w:r>
        <w:rPr>
          <w:rFonts w:ascii="Times New Roman"/>
        </w:rPr>
        <w:instrText xml:space="preserve"> PAGEREF _Toc104389728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"_Toc104389729" </w:instrText>
      </w:r>
      <w:r>
        <w:fldChar w:fldCharType="separate"/>
      </w:r>
      <w:r>
        <w:rPr>
          <w:rStyle w:val="11"/>
          <w:rFonts w:ascii="Times New Roman"/>
          <w:bCs/>
        </w:rPr>
        <w:t>3 术语和定义</w:t>
      </w:r>
      <w:r>
        <w:rPr>
          <w:rFonts w:ascii="Times New Roman"/>
        </w:rPr>
        <w:tab/>
      </w:r>
      <w:r>
        <w:rPr>
          <w:rFonts w:ascii="Times New Roman"/>
        </w:rPr>
        <w:fldChar w:fldCharType="begin"/>
      </w:r>
      <w:r>
        <w:rPr>
          <w:rFonts w:ascii="Times New Roman"/>
        </w:rPr>
        <w:instrText xml:space="preserve"> PAGEREF _Toc104389729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"_Toc104389730" </w:instrText>
      </w:r>
      <w:r>
        <w:fldChar w:fldCharType="separate"/>
      </w:r>
      <w:r>
        <w:rPr>
          <w:rStyle w:val="11"/>
          <w:rFonts w:ascii="Times New Roman"/>
          <w:bCs/>
        </w:rPr>
        <w:t>4 评价要求</w:t>
      </w:r>
      <w:r>
        <w:rPr>
          <w:rFonts w:ascii="Times New Roman"/>
        </w:rPr>
        <w:tab/>
      </w:r>
      <w:r>
        <w:rPr>
          <w:rFonts w:ascii="Times New Roman"/>
        </w:rPr>
        <w:fldChar w:fldCharType="begin"/>
      </w:r>
      <w:r>
        <w:rPr>
          <w:rFonts w:ascii="Times New Roman"/>
        </w:rPr>
        <w:instrText xml:space="preserve"> PAGEREF _Toc104389730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"_Toc104389731" </w:instrText>
      </w:r>
      <w:r>
        <w:fldChar w:fldCharType="separate"/>
      </w:r>
      <w:r>
        <w:rPr>
          <w:rStyle w:val="11"/>
          <w:rFonts w:ascii="Times New Roman"/>
          <w:bCs/>
        </w:rPr>
        <w:t>5 评价方法</w:t>
      </w:r>
      <w:r>
        <w:rPr>
          <w:rFonts w:ascii="Times New Roman"/>
        </w:rPr>
        <w:tab/>
      </w:r>
      <w:r>
        <w:rPr>
          <w:rFonts w:ascii="Times New Roman"/>
        </w:rPr>
        <w:fldChar w:fldCharType="begin"/>
      </w:r>
      <w:r>
        <w:rPr>
          <w:rFonts w:ascii="Times New Roman"/>
        </w:rPr>
        <w:instrText xml:space="preserve"> PAGEREF _Toc104389731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34"/>
        <w:rPr>
          <w:rFonts w:ascii="Times New Roman" w:hAns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hAnsi="Times New Roman"/>
        </w:rPr>
        <w:fldChar w:fldCharType="end"/>
      </w:r>
    </w:p>
    <w:p>
      <w:pPr>
        <w:pStyle w:val="35"/>
        <w:tabs>
          <w:tab w:val="center" w:pos="4677"/>
          <w:tab w:val="right" w:pos="9354"/>
        </w:tabs>
        <w:jc w:val="left"/>
      </w:pPr>
      <w:bookmarkStart w:id="6" w:name="_Toc524004770"/>
      <w:bookmarkStart w:id="7" w:name="_Toc532820944"/>
      <w:bookmarkStart w:id="8" w:name="_Toc104389726"/>
      <w:bookmarkStart w:id="9" w:name="_Toc532820816"/>
      <w:r>
        <w:tab/>
      </w:r>
      <w:r>
        <w:rPr>
          <w:rFonts w:hint="eastAsia"/>
        </w:rPr>
        <w:t>前</w:t>
      </w:r>
      <w:bookmarkStart w:id="10" w:name="BKQY"/>
      <w:r>
        <w:rPr>
          <w:rFonts w:hint="eastAsia" w:ascii="MS Mincho" w:hAnsi="MS Mincho" w:eastAsia="MS Mincho" w:cs="MS Mincho"/>
        </w:rPr>
        <w:t>  </w:t>
      </w:r>
      <w:r>
        <w:rPr>
          <w:rFonts w:hint="eastAsia"/>
        </w:rPr>
        <w:t>言</w:t>
      </w:r>
      <w:bookmarkEnd w:id="6"/>
      <w:bookmarkEnd w:id="7"/>
      <w:bookmarkEnd w:id="8"/>
      <w:bookmarkEnd w:id="9"/>
      <w:bookmarkEnd w:id="10"/>
      <w:r>
        <w:tab/>
      </w:r>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w:t>
      </w:r>
      <w:r>
        <w:rPr>
          <w:rFonts w:hint="eastAsia" w:cs="宋体"/>
          <w:color w:val="000000"/>
          <w:lang w:val="en-US" w:eastAsia="zh-CN"/>
        </w:rPr>
        <w:t>21</w:t>
      </w:r>
      <w:r>
        <w:rPr>
          <w:rFonts w:hint="eastAsia" w:cs="宋体"/>
          <w:color w:val="000000"/>
        </w:rPr>
        <w:t>年第</w:t>
      </w:r>
      <w:r>
        <w:rPr>
          <w:rFonts w:hint="eastAsia" w:cs="宋体"/>
          <w:color w:val="000000"/>
          <w:lang w:val="en-US" w:eastAsia="zh-CN"/>
        </w:rPr>
        <w:t>二</w:t>
      </w:r>
      <w:r>
        <w:rPr>
          <w:rFonts w:hint="eastAsia" w:cs="宋体"/>
          <w:color w:val="000000"/>
        </w:rPr>
        <w:t>批</w:t>
      </w:r>
      <w:r>
        <w:rPr>
          <w:rFonts w:hint="eastAsia" w:cs="宋体"/>
          <w:color w:val="000000"/>
          <w:lang w:val="en-US" w:eastAsia="zh-CN"/>
        </w:rPr>
        <w:t>协会</w:t>
      </w:r>
      <w:r>
        <w:rPr>
          <w:rFonts w:hint="eastAsia" w:cs="宋体"/>
          <w:color w:val="000000"/>
        </w:rPr>
        <w:t>标准</w:t>
      </w:r>
      <w:r>
        <w:rPr>
          <w:rFonts w:hint="eastAsia" w:cs="宋体"/>
          <w:color w:val="000000"/>
          <w:lang w:val="en-US" w:eastAsia="zh-CN"/>
        </w:rPr>
        <w:t>制定、修订</w:t>
      </w:r>
      <w:r>
        <w:rPr>
          <w:rFonts w:hint="eastAsia" w:cs="宋体"/>
          <w:color w:val="000000"/>
        </w:rPr>
        <w:t>计划&gt;的通知》（建标协字〔20</w:t>
      </w:r>
      <w:r>
        <w:rPr>
          <w:rFonts w:hint="eastAsia" w:cs="宋体"/>
          <w:color w:val="000000"/>
          <w:lang w:val="en-US" w:eastAsia="zh-CN"/>
        </w:rPr>
        <w:t>21</w:t>
      </w:r>
      <w:r>
        <w:rPr>
          <w:rFonts w:hint="eastAsia" w:cs="宋体"/>
          <w:color w:val="000000"/>
        </w:rPr>
        <w:t>〕</w:t>
      </w:r>
      <w:r>
        <w:rPr>
          <w:rFonts w:hint="eastAsia" w:cs="宋体"/>
          <w:color w:val="000000"/>
          <w:lang w:val="en-US" w:eastAsia="zh-CN"/>
        </w:rPr>
        <w:t>20</w:t>
      </w:r>
      <w:r>
        <w:rPr>
          <w:rFonts w:hint="eastAsia" w:cs="宋体"/>
          <w:color w:val="000000"/>
        </w:rPr>
        <w:t>号）的要求制定。</w:t>
      </w:r>
    </w:p>
    <w:p>
      <w:pPr>
        <w:pStyle w:val="32"/>
      </w:pPr>
      <w:r>
        <w:t>本文件的某些内容可能涉及专利。本文件的发布机构不承担识别这些专利的责任。</w:t>
      </w:r>
    </w:p>
    <w:p>
      <w:pPr>
        <w:pStyle w:val="32"/>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32"/>
        <w:rPr>
          <w:rFonts w:ascii="Times New Roman"/>
        </w:rPr>
      </w:pPr>
      <w:r>
        <w:rPr>
          <w:rFonts w:hint="eastAsia"/>
          <w:color w:val="000000"/>
        </w:rPr>
        <w:t>本文件由中国工程建设标准化协会绿色建筑与生态城区分会归口管理</w:t>
      </w:r>
      <w:r>
        <w:rPr>
          <w:rFonts w:ascii="Times New Roman"/>
        </w:rPr>
        <w:t>。</w:t>
      </w:r>
    </w:p>
    <w:p>
      <w:pPr>
        <w:pStyle w:val="32"/>
      </w:pPr>
      <w:r>
        <w:rPr>
          <w:rFonts w:hint="eastAsia"/>
        </w:rPr>
        <w:t>本文件负责起草单位：住房和城乡建设部科技与产业化发展中心。</w:t>
      </w:r>
    </w:p>
    <w:p>
      <w:pPr>
        <w:pStyle w:val="32"/>
      </w:pPr>
      <w:r>
        <w:rPr>
          <w:rFonts w:hint="eastAsia"/>
        </w:rPr>
        <w:t>本文件参加起草单位：</w:t>
      </w:r>
    </w:p>
    <w:p>
      <w:pPr>
        <w:pStyle w:val="32"/>
      </w:pPr>
      <w:r>
        <w:rPr>
          <w:rFonts w:hint="eastAsia"/>
        </w:rPr>
        <w:t>本文件主要起草人：</w:t>
      </w:r>
    </w:p>
    <w:p>
      <w:pPr>
        <w:pStyle w:val="32"/>
      </w:pPr>
      <w:r>
        <w:rPr>
          <w:rFonts w:hint="eastAsia"/>
        </w:rPr>
        <w:t>本文件主要审查人：</w:t>
      </w:r>
    </w:p>
    <w:p>
      <w:pPr>
        <w:pStyle w:val="32"/>
      </w:pPr>
    </w:p>
    <w:p>
      <w:pPr>
        <w:pStyle w:val="32"/>
        <w:rPr>
          <w:color w:val="000000"/>
        </w:rPr>
        <w:sectPr>
          <w:pgSz w:w="11906" w:h="16838"/>
          <w:pgMar w:top="567" w:right="1134" w:bottom="1134" w:left="1418" w:header="1418" w:footer="1134" w:gutter="0"/>
          <w:pgNumType w:fmt="upperRoman" w:start="3"/>
          <w:cols w:space="720" w:num="1"/>
          <w:formProt w:val="0"/>
          <w:docGrid w:type="lines" w:linePitch="312" w:charSpace="0"/>
        </w:sectPr>
      </w:pPr>
    </w:p>
    <w:p>
      <w:pPr>
        <w:pStyle w:val="36"/>
        <w:outlineLvl w:val="9"/>
        <w:rPr>
          <w:rFonts w:cs="黑体"/>
          <w:sz w:val="36"/>
          <w:szCs w:val="36"/>
        </w:rPr>
      </w:pPr>
      <w:bookmarkStart w:id="11" w:name="_Toc532820945"/>
      <w:bookmarkStart w:id="12" w:name="_Toc532820817"/>
      <w:r>
        <w:rPr>
          <w:rFonts w:hint="eastAsia" w:cs="黑体"/>
          <w:sz w:val="36"/>
          <w:szCs w:val="36"/>
        </w:rPr>
        <w:t>绿色建材评价</w:t>
      </w:r>
      <w:r>
        <w:rPr>
          <w:rFonts w:cs="黑体"/>
          <w:sz w:val="36"/>
          <w:szCs w:val="36"/>
        </w:rPr>
        <w:t xml:space="preserve"> </w:t>
      </w:r>
      <w:bookmarkEnd w:id="11"/>
      <w:bookmarkEnd w:id="12"/>
      <w:r>
        <w:rPr>
          <w:rFonts w:cs="黑体"/>
          <w:sz w:val="36"/>
          <w:szCs w:val="36"/>
        </w:rPr>
        <w:t>双面不锈钢复合</w:t>
      </w:r>
      <w:r>
        <w:rPr>
          <w:rFonts w:hint="eastAsia" w:cs="黑体"/>
          <w:sz w:val="36"/>
          <w:szCs w:val="36"/>
          <w:lang w:eastAsia="zh-CN"/>
        </w:rPr>
        <w:t>钢板</w:t>
      </w:r>
    </w:p>
    <w:p>
      <w:pPr>
        <w:pStyle w:val="37"/>
        <w:spacing w:before="312" w:after="312"/>
        <w:outlineLvl w:val="0"/>
      </w:pPr>
      <w:bookmarkStart w:id="13" w:name="_Toc524004771"/>
      <w:bookmarkStart w:id="14" w:name="_Toc104389727"/>
      <w:bookmarkStart w:id="15" w:name="_Toc532820818"/>
      <w:bookmarkStart w:id="16" w:name="_Toc524004350"/>
      <w:r>
        <w:rPr>
          <w:rFonts w:hint="eastAsia"/>
        </w:rPr>
        <w:t>范围</w:t>
      </w:r>
      <w:bookmarkEnd w:id="13"/>
      <w:bookmarkEnd w:id="14"/>
      <w:bookmarkEnd w:id="15"/>
      <w:bookmarkEnd w:id="16"/>
    </w:p>
    <w:p>
      <w:pPr>
        <w:pStyle w:val="32"/>
        <w:rPr>
          <w:rFonts w:ascii="Times New Roman"/>
        </w:rPr>
      </w:pPr>
      <w:r>
        <w:rPr>
          <w:rFonts w:hint="eastAsia" w:ascii="Times New Roman"/>
        </w:rPr>
        <w:t>本文件规定了</w:t>
      </w:r>
      <w:r>
        <w:t>双面不锈钢复合</w:t>
      </w:r>
      <w:r>
        <w:rPr>
          <w:rFonts w:hint="eastAsia"/>
          <w:lang w:eastAsia="zh-CN"/>
        </w:rPr>
        <w:t>钢板</w:t>
      </w:r>
      <w:r>
        <w:rPr>
          <w:rFonts w:hint="eastAsia" w:ascii="Times New Roman"/>
        </w:rPr>
        <w:t>绿色建材评价的术语定义、评价要求、评价方法等。</w:t>
      </w:r>
    </w:p>
    <w:p>
      <w:pPr>
        <w:ind w:firstLine="420" w:firstLineChars="200"/>
        <w:jc w:val="left"/>
        <w:rPr>
          <w:rFonts w:hAnsi="Calibri"/>
          <w:color w:val="000000" w:themeColor="text1"/>
          <w:szCs w:val="22"/>
          <w14:textFill>
            <w14:solidFill>
              <w14:schemeClr w14:val="tx1"/>
            </w14:solidFill>
          </w14:textFill>
        </w:rPr>
      </w:pPr>
      <w:r>
        <w:rPr>
          <w:rFonts w:hint="eastAsia" w:hAnsi="Calibri"/>
          <w:color w:val="000000" w:themeColor="text1"/>
          <w:szCs w:val="22"/>
          <w14:textFill>
            <w14:solidFill>
              <w14:schemeClr w14:val="tx1"/>
            </w14:solidFill>
          </w14:textFill>
        </w:rPr>
        <w:t>本文件适用于</w:t>
      </w:r>
      <w:r>
        <w:t>金属复合钢板（带）</w:t>
      </w:r>
      <w:r>
        <w:rPr>
          <w:rFonts w:hint="eastAsia" w:hAnsi="Calibri"/>
          <w:color w:val="000000" w:themeColor="text1"/>
          <w:szCs w:val="22"/>
          <w14:textFill>
            <w14:solidFill>
              <w14:schemeClr w14:val="tx1"/>
            </w14:solidFill>
          </w14:textFill>
        </w:rPr>
        <w:t>的绿色建材评价。</w:t>
      </w:r>
    </w:p>
    <w:p>
      <w:pPr>
        <w:pStyle w:val="37"/>
        <w:spacing w:before="312" w:after="312"/>
        <w:outlineLvl w:val="0"/>
      </w:pPr>
      <w:bookmarkStart w:id="17" w:name="_Toc524004772"/>
      <w:bookmarkStart w:id="18" w:name="_Toc104389728"/>
      <w:bookmarkStart w:id="19" w:name="_Toc524004351"/>
      <w:bookmarkStart w:id="20" w:name="_Toc532820819"/>
      <w:r>
        <w:rPr>
          <w:rFonts w:hint="eastAsia"/>
        </w:rPr>
        <w:t>规范性引用文件</w:t>
      </w:r>
      <w:bookmarkEnd w:id="17"/>
      <w:bookmarkEnd w:id="18"/>
      <w:bookmarkEnd w:id="19"/>
      <w:bookmarkEnd w:id="20"/>
    </w:p>
    <w:p>
      <w:pPr>
        <w:pStyle w:val="3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sz w:val="21"/>
          <w:szCs w:val="21"/>
          <w:lang w:eastAsia="zh-CN"/>
        </w:rPr>
      </w:pPr>
      <w:bookmarkStart w:id="21" w:name="_Toc524004352"/>
      <w:bookmarkEnd w:id="21"/>
      <w:bookmarkStart w:id="22" w:name="_Toc532820820"/>
      <w:bookmarkStart w:id="23" w:name="_Toc104389729"/>
      <w:bookmarkStart w:id="24" w:name="_Toc524004773"/>
      <w:bookmarkStart w:id="25" w:name="_Toc509984954"/>
      <w:bookmarkStart w:id="26" w:name="_Toc519084143"/>
      <w:bookmarkStart w:id="27" w:name="_Toc511069681"/>
      <w:bookmarkStart w:id="28" w:name="_Toc509139383"/>
      <w:bookmarkStart w:id="29" w:name="_Toc521666152"/>
      <w:r>
        <w:rPr>
          <w:rFonts w:hint="eastAsia"/>
          <w:sz w:val="21"/>
          <w:szCs w:val="21"/>
          <w:lang w:eastAsia="zh-CN"/>
        </w:rPr>
        <w:t>NB/T47002-2019压力容器用复合板</w:t>
      </w:r>
    </w:p>
    <w:p>
      <w:pPr>
        <w:spacing w:line="360" w:lineRule="auto"/>
        <w:ind w:firstLine="420" w:firstLineChars="200"/>
        <w:rPr>
          <w:sz w:val="21"/>
          <w:szCs w:val="21"/>
          <w:lang w:eastAsia="zh-CN"/>
        </w:rPr>
      </w:pPr>
      <w:r>
        <w:rPr>
          <w:rFonts w:hint="eastAsia"/>
          <w:sz w:val="21"/>
          <w:szCs w:val="21"/>
          <w:lang w:eastAsia="zh-CN"/>
        </w:rPr>
        <w:t>GB/T8165-2008不锈钢复台钢板和钢带</w:t>
      </w:r>
    </w:p>
    <w:p>
      <w:pPr>
        <w:spacing w:line="360" w:lineRule="auto"/>
        <w:ind w:firstLine="420" w:firstLineChars="200"/>
        <w:rPr>
          <w:sz w:val="21"/>
          <w:szCs w:val="21"/>
          <w:lang w:eastAsia="zh-CN"/>
        </w:rPr>
      </w:pPr>
      <w:r>
        <w:rPr>
          <w:rFonts w:hint="eastAsia"/>
          <w:sz w:val="21"/>
          <w:szCs w:val="21"/>
          <w:lang w:eastAsia="zh-CN"/>
        </w:rPr>
        <w:t>GB/T 6396-2008复合板力学及工艺性能试验方法</w:t>
      </w:r>
    </w:p>
    <w:p>
      <w:pPr>
        <w:spacing w:line="360" w:lineRule="auto"/>
        <w:ind w:firstLine="420" w:firstLineChars="200"/>
        <w:rPr>
          <w:sz w:val="21"/>
          <w:szCs w:val="21"/>
          <w:lang w:eastAsia="zh-CN"/>
        </w:rPr>
      </w:pPr>
      <w:r>
        <w:rPr>
          <w:rFonts w:hint="eastAsia"/>
          <w:sz w:val="21"/>
          <w:szCs w:val="21"/>
          <w:lang w:eastAsia="zh-CN"/>
        </w:rPr>
        <w:t>GB/T 13148-2008不锈钢复台钢板焊接技术要求</w:t>
      </w:r>
    </w:p>
    <w:p>
      <w:pPr>
        <w:spacing w:line="360" w:lineRule="auto"/>
        <w:ind w:firstLine="420" w:firstLineChars="200"/>
        <w:rPr>
          <w:sz w:val="21"/>
          <w:szCs w:val="21"/>
          <w:lang w:eastAsia="zh-CN"/>
        </w:rPr>
      </w:pPr>
      <w:r>
        <w:rPr>
          <w:rFonts w:hint="eastAsia"/>
          <w:sz w:val="21"/>
          <w:szCs w:val="21"/>
          <w:lang w:eastAsia="zh-CN"/>
        </w:rPr>
        <w:t>SH/T 3527-2009石油化工不锈钢复台钢焊接规程</w:t>
      </w:r>
    </w:p>
    <w:p>
      <w:pPr>
        <w:spacing w:line="360" w:lineRule="auto"/>
        <w:ind w:firstLine="420" w:firstLineChars="200"/>
        <w:rPr>
          <w:sz w:val="21"/>
          <w:szCs w:val="21"/>
          <w:lang w:eastAsia="zh-CN"/>
        </w:rPr>
      </w:pPr>
      <w:r>
        <w:rPr>
          <w:rFonts w:hint="eastAsia"/>
          <w:sz w:val="21"/>
          <w:szCs w:val="21"/>
          <w:lang w:eastAsia="zh-CN"/>
        </w:rPr>
        <w:t>CJ/T192-2017内衬不锈钢复合钢管</w:t>
      </w:r>
    </w:p>
    <w:p>
      <w:pPr>
        <w:spacing w:line="360" w:lineRule="auto"/>
        <w:ind w:firstLine="420" w:firstLineChars="200"/>
        <w:rPr>
          <w:sz w:val="21"/>
          <w:szCs w:val="21"/>
          <w:lang w:eastAsia="zh-CN"/>
        </w:rPr>
      </w:pPr>
      <w:r>
        <w:rPr>
          <w:rFonts w:hint="eastAsia"/>
          <w:sz w:val="21"/>
          <w:szCs w:val="21"/>
          <w:lang w:eastAsia="zh-CN"/>
        </w:rPr>
        <w:t>GB/T31940-2015流体输送用双金属复合耐腐蚀钢管</w:t>
      </w:r>
    </w:p>
    <w:p>
      <w:pPr>
        <w:spacing w:line="360" w:lineRule="auto"/>
        <w:ind w:firstLine="420" w:firstLineChars="200"/>
        <w:rPr>
          <w:sz w:val="21"/>
          <w:szCs w:val="21"/>
          <w:lang w:eastAsia="zh-CN"/>
        </w:rPr>
      </w:pPr>
      <w:r>
        <w:rPr>
          <w:rFonts w:hint="eastAsia"/>
          <w:sz w:val="21"/>
          <w:szCs w:val="21"/>
          <w:lang w:eastAsia="zh-CN"/>
        </w:rPr>
        <w:t>SY/T 6623-2018内覆或衬里耐腐蚀合金复合钢管</w:t>
      </w:r>
    </w:p>
    <w:p>
      <w:pPr>
        <w:spacing w:line="360" w:lineRule="auto"/>
        <w:ind w:firstLine="420" w:firstLineChars="200"/>
        <w:rPr>
          <w:sz w:val="21"/>
          <w:szCs w:val="21"/>
          <w:lang w:eastAsia="zh-CN"/>
        </w:rPr>
      </w:pPr>
      <w:r>
        <w:rPr>
          <w:rFonts w:hint="eastAsia"/>
          <w:sz w:val="21"/>
          <w:szCs w:val="21"/>
          <w:lang w:eastAsia="zh-CN"/>
        </w:rPr>
        <w:t>YB/T 4335-2013流体输送用冶金复合双金属无缝钢管</w:t>
      </w:r>
    </w:p>
    <w:p>
      <w:pPr>
        <w:spacing w:line="360" w:lineRule="auto"/>
        <w:ind w:firstLine="420" w:firstLineChars="200"/>
        <w:rPr>
          <w:sz w:val="21"/>
          <w:szCs w:val="21"/>
          <w:lang w:eastAsia="zh-CN"/>
        </w:rPr>
      </w:pPr>
      <w:r>
        <w:rPr>
          <w:rFonts w:hint="eastAsia"/>
          <w:sz w:val="21"/>
          <w:szCs w:val="21"/>
          <w:lang w:eastAsia="zh-CN"/>
        </w:rPr>
        <w:t>GB/T28883-2012承压用复合无缝钢管</w:t>
      </w:r>
    </w:p>
    <w:p>
      <w:pPr>
        <w:spacing w:line="360" w:lineRule="auto"/>
        <w:ind w:firstLine="420" w:firstLineChars="200"/>
        <w:rPr>
          <w:sz w:val="21"/>
          <w:szCs w:val="21"/>
          <w:lang w:eastAsia="zh-CN"/>
        </w:rPr>
      </w:pPr>
      <w:r>
        <w:rPr>
          <w:rFonts w:hint="eastAsia"/>
          <w:sz w:val="21"/>
          <w:szCs w:val="21"/>
          <w:lang w:eastAsia="zh-CN"/>
        </w:rPr>
        <w:t>GB/T17219-1998水设备及防护材料卫生安全评价规范</w:t>
      </w:r>
    </w:p>
    <w:p>
      <w:pPr>
        <w:spacing w:line="360" w:lineRule="auto"/>
        <w:ind w:firstLine="420" w:firstLineChars="200"/>
        <w:rPr>
          <w:sz w:val="21"/>
          <w:szCs w:val="21"/>
          <w:lang w:eastAsia="zh-CN"/>
        </w:rPr>
      </w:pPr>
      <w:r>
        <w:rPr>
          <w:rFonts w:hint="eastAsia"/>
          <w:sz w:val="21"/>
          <w:szCs w:val="21"/>
          <w:lang w:eastAsia="zh-CN"/>
        </w:rPr>
        <w:t xml:space="preserve">GB/T 32958-2016流体输送用不锈钢复合钢管(260MPa) </w:t>
      </w:r>
    </w:p>
    <w:p>
      <w:pPr>
        <w:spacing w:line="360" w:lineRule="auto"/>
        <w:ind w:firstLine="420" w:firstLineChars="200"/>
        <w:rPr>
          <w:sz w:val="21"/>
          <w:szCs w:val="21"/>
          <w:lang w:eastAsia="zh-CN"/>
        </w:rPr>
      </w:pPr>
      <w:r>
        <w:rPr>
          <w:rFonts w:hint="eastAsia"/>
          <w:sz w:val="21"/>
          <w:szCs w:val="21"/>
          <w:lang w:eastAsia="zh-CN"/>
        </w:rPr>
        <w:t>GB/T4334晶间腐蚀试验方法</w:t>
      </w:r>
    </w:p>
    <w:p>
      <w:pPr>
        <w:spacing w:line="360" w:lineRule="auto"/>
        <w:ind w:firstLine="420" w:firstLineChars="200"/>
        <w:rPr>
          <w:sz w:val="21"/>
          <w:szCs w:val="21"/>
          <w:lang w:eastAsia="zh-CN"/>
        </w:rPr>
      </w:pPr>
      <w:r>
        <w:rPr>
          <w:rFonts w:hint="eastAsia"/>
          <w:sz w:val="21"/>
          <w:szCs w:val="21"/>
          <w:lang w:eastAsia="zh-CN"/>
        </w:rPr>
        <w:t>CECS 205-2015《内衬(覆)不锈钢复合钢管管道工程技术规程》</w:t>
      </w:r>
    </w:p>
    <w:p>
      <w:pPr>
        <w:spacing w:line="360" w:lineRule="auto"/>
        <w:ind w:firstLine="420" w:firstLineChars="200"/>
        <w:rPr>
          <w:sz w:val="21"/>
          <w:szCs w:val="21"/>
          <w:lang w:eastAsia="zh-CN"/>
        </w:rPr>
      </w:pPr>
      <w:r>
        <w:rPr>
          <w:rFonts w:hint="eastAsia"/>
          <w:sz w:val="21"/>
          <w:szCs w:val="21"/>
          <w:lang w:eastAsia="zh-CN"/>
        </w:rPr>
        <w:t>GB/T10125-2006人造气氛腐蚀试验盐雾试验</w:t>
      </w:r>
    </w:p>
    <w:p>
      <w:pPr>
        <w:spacing w:line="360" w:lineRule="auto"/>
        <w:ind w:firstLine="420" w:firstLineChars="200"/>
        <w:rPr>
          <w:sz w:val="21"/>
          <w:szCs w:val="21"/>
          <w:lang w:eastAsia="zh-CN"/>
        </w:rPr>
      </w:pPr>
      <w:r>
        <w:rPr>
          <w:rFonts w:hint="eastAsia"/>
          <w:sz w:val="21"/>
          <w:szCs w:val="21"/>
          <w:lang w:eastAsia="zh-CN"/>
        </w:rPr>
        <w:t>GB/T4334.5硫酸铜晶间腐蚀试验方法</w:t>
      </w:r>
    </w:p>
    <w:p>
      <w:pPr>
        <w:spacing w:line="360" w:lineRule="auto"/>
        <w:ind w:firstLine="420" w:firstLineChars="200"/>
        <w:rPr>
          <w:rFonts w:hint="eastAsia"/>
          <w:sz w:val="21"/>
          <w:szCs w:val="21"/>
          <w:lang w:eastAsia="zh-CN"/>
        </w:rPr>
      </w:pPr>
      <w:r>
        <w:rPr>
          <w:rFonts w:hint="eastAsia"/>
          <w:sz w:val="21"/>
          <w:szCs w:val="21"/>
          <w:lang w:eastAsia="zh-CN"/>
        </w:rPr>
        <w:t>GB/T6461-2002金属覆层腐蚀试验评级标</w:t>
      </w:r>
    </w:p>
    <w:p>
      <w:pPr>
        <w:spacing w:line="360" w:lineRule="auto"/>
        <w:ind w:firstLine="420" w:firstLineChars="200"/>
        <w:rPr>
          <w:rFonts w:hint="eastAsia"/>
          <w:sz w:val="21"/>
          <w:szCs w:val="21"/>
          <w:lang w:eastAsia="zh-CN"/>
        </w:rPr>
      </w:pPr>
      <w:r>
        <w:rPr>
          <w:rFonts w:hint="eastAsia"/>
          <w:sz w:val="21"/>
          <w:szCs w:val="21"/>
          <w:lang w:val="en-US" w:eastAsia="zh-CN"/>
        </w:rPr>
        <w:t>DBJ/TB-394-2021 给排水工程双面不锈钢复合钢管应用技术标准。</w:t>
      </w:r>
    </w:p>
    <w:p>
      <w:pPr>
        <w:pStyle w:val="37"/>
        <w:spacing w:before="312" w:after="312"/>
        <w:outlineLvl w:val="0"/>
        <w:rPr>
          <w:bCs/>
          <w:color w:val="000000"/>
          <w:szCs w:val="21"/>
        </w:rPr>
      </w:pPr>
      <w:r>
        <w:rPr>
          <w:rFonts w:hint="eastAsia"/>
          <w:bCs/>
          <w:color w:val="000000"/>
          <w:szCs w:val="21"/>
        </w:rPr>
        <w:t>术语和定义</w:t>
      </w:r>
      <w:bookmarkEnd w:id="22"/>
      <w:bookmarkEnd w:id="23"/>
      <w:bookmarkEnd w:id="24"/>
      <w:bookmarkEnd w:id="25"/>
      <w:bookmarkEnd w:id="26"/>
      <w:bookmarkEnd w:id="27"/>
      <w:bookmarkEnd w:id="28"/>
      <w:bookmarkEnd w:id="29"/>
    </w:p>
    <w:p>
      <w:pPr>
        <w:pStyle w:val="32"/>
        <w:ind w:left="420" w:firstLine="0" w:firstLineChars="0"/>
        <w:rPr>
          <w:color w:val="000000"/>
        </w:rPr>
      </w:pPr>
      <w:bookmarkStart w:id="30" w:name="_Toc6509"/>
      <w:r>
        <w:rPr>
          <w:rFonts w:hint="eastAsia"/>
          <w:color w:val="000000"/>
        </w:rPr>
        <w:t>下列术语和定义适用于本文件。</w:t>
      </w:r>
    </w:p>
    <w:p>
      <w:pPr>
        <w:pStyle w:val="39"/>
        <w:spacing w:before="156" w:after="156"/>
      </w:pPr>
      <w:bookmarkStart w:id="31" w:name="_Toc532820821"/>
      <w:bookmarkEnd w:id="31"/>
      <w:bookmarkStart w:id="32" w:name="_Toc532820949"/>
      <w:bookmarkEnd w:id="32"/>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materials</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在全生命周期内可减少对天然资源消耗和减轻对生态环境影响，具有</w:t>
      </w:r>
      <w:r>
        <w:rPr>
          <w:rFonts w:hint="eastAsia" w:asciiTheme="minorEastAsia" w:hAnsiTheme="minorEastAsia" w:eastAsiaTheme="minorEastAsia"/>
          <w:kern w:val="0"/>
          <w:szCs w:val="20"/>
        </w:rPr>
        <w:t>“</w:t>
      </w:r>
      <w:r>
        <w:rPr>
          <w:rFonts w:hint="eastAsia"/>
          <w:kern w:val="0"/>
          <w:szCs w:val="20"/>
        </w:rPr>
        <w:t>节能、减排、安全、便利和可循环</w:t>
      </w:r>
      <w:r>
        <w:rPr>
          <w:rFonts w:hint="eastAsia" w:asciiTheme="minorEastAsia" w:hAnsiTheme="minorEastAsia" w:eastAsiaTheme="minorEastAsia"/>
          <w:kern w:val="0"/>
          <w:szCs w:val="20"/>
        </w:rPr>
        <w:t>”</w:t>
      </w:r>
      <w:r>
        <w:rPr>
          <w:rFonts w:hint="eastAsia"/>
          <w:kern w:val="0"/>
          <w:szCs w:val="20"/>
        </w:rPr>
        <w:t>特征的建材产品。</w:t>
      </w:r>
    </w:p>
    <w:p>
      <w:pPr>
        <w:pStyle w:val="39"/>
        <w:spacing w:before="156" w:after="156"/>
      </w:pPr>
      <w:bookmarkStart w:id="33" w:name="_Toc532820822"/>
      <w:bookmarkEnd w:id="33"/>
      <w:bookmarkStart w:id="34" w:name="_Toc532820950"/>
      <w:bookmarkEnd w:id="34"/>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w:t>
      </w:r>
      <w:r>
        <w:rPr>
          <w:rFonts w:eastAsia="黑体"/>
        </w:rPr>
        <w:t xml:space="preserve"> green building materials</w:t>
      </w:r>
      <w:r>
        <w:rPr>
          <w:sz w:val="24"/>
        </w:rPr>
        <w:t xml:space="preserve"> </w:t>
      </w:r>
      <w:r>
        <w:rPr>
          <w:rFonts w:eastAsia="黑体"/>
        </w:rPr>
        <w:t xml:space="preserve">assessment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39"/>
        <w:spacing w:before="156" w:after="156"/>
      </w:pPr>
      <w:bookmarkStart w:id="35" w:name="_Toc532820823"/>
      <w:bookmarkEnd w:id="35"/>
      <w:bookmarkStart w:id="36" w:name="_Toc532820951"/>
      <w:bookmarkEnd w:id="36"/>
    </w:p>
    <w:p>
      <w:pPr>
        <w:widowControl/>
        <w:tabs>
          <w:tab w:val="center" w:pos="4201"/>
          <w:tab w:val="right" w:leader="dot" w:pos="9298"/>
        </w:tabs>
        <w:autoSpaceDE w:val="0"/>
        <w:autoSpaceDN w:val="0"/>
        <w:ind w:firstLine="420" w:firstLineChars="200"/>
        <w:rPr>
          <w:rFonts w:eastAsia="黑体"/>
        </w:rPr>
      </w:pPr>
      <w:r>
        <w:rPr>
          <w:rFonts w:hint="eastAsia" w:eastAsia="黑体"/>
        </w:rPr>
        <w:t>评价等级</w:t>
      </w:r>
      <w:r>
        <w:rPr>
          <w:rFonts w:eastAsia="黑体"/>
        </w:rPr>
        <w:t xml:space="preserve"> 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39"/>
        <w:spacing w:before="156" w:after="156"/>
      </w:pPr>
      <w:bookmarkStart w:id="37" w:name="_Toc532820824"/>
      <w:bookmarkEnd w:id="37"/>
      <w:bookmarkStart w:id="38" w:name="_Toc532820952"/>
      <w:bookmarkEnd w:id="38"/>
      <w:bookmarkStart w:id="39" w:name="_Toc16661"/>
      <w:bookmarkStart w:id="40" w:name="_Toc396118203"/>
      <w:bookmarkStart w:id="41" w:name="_Toc350863991"/>
      <w:bookmarkStart w:id="42" w:name="_Toc397348590"/>
      <w:bookmarkStart w:id="43" w:name="OLE_LINK6"/>
      <w:bookmarkStart w:id="44" w:name="_Toc406143967"/>
      <w:bookmarkStart w:id="45" w:name="_Toc397433562"/>
      <w:bookmarkStart w:id="46" w:name="_Toc363024794"/>
      <w:bookmarkStart w:id="47" w:name="_Toc396134034"/>
      <w:bookmarkStart w:id="48" w:name="_Toc382580630"/>
      <w:bookmarkStart w:id="49" w:name="_Toc384816550"/>
      <w:bookmarkStart w:id="50" w:name="OLE_LINK5"/>
    </w:p>
    <w:bookmarkEnd w:id="39"/>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32"/>
        <w:rPr>
          <w:rFonts w:ascii="Times New Roman"/>
        </w:rPr>
      </w:pPr>
      <w:r>
        <w:rPr>
          <w:rFonts w:hint="eastAsia" w:ascii="Times New Roman"/>
        </w:rPr>
        <w:t>提供基于预设参数的量化环境数据的环境声明，必要时包括附加环境信息。</w:t>
      </w:r>
    </w:p>
    <w:p>
      <w:pPr>
        <w:pStyle w:val="39"/>
        <w:spacing w:before="156" w:after="156"/>
        <w:rPr>
          <w:color w:val="FF0000"/>
        </w:rPr>
      </w:pPr>
      <w:bookmarkStart w:id="51" w:name="_Toc30452"/>
    </w:p>
    <w:bookmarkEnd w:id="51"/>
    <w:p>
      <w:pPr>
        <w:widowControl/>
        <w:tabs>
          <w:tab w:val="center" w:pos="4201"/>
          <w:tab w:val="right" w:leader="dot" w:pos="9298"/>
        </w:tabs>
        <w:autoSpaceDE w:val="0"/>
        <w:autoSpaceDN w:val="0"/>
        <w:ind w:firstLine="420" w:firstLineChars="2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碳足迹</w:t>
      </w:r>
      <w:r>
        <w:rPr>
          <w:rFonts w:eastAsia="黑体"/>
          <w:color w:val="000000" w:themeColor="text1"/>
          <w14:textFill>
            <w14:solidFill>
              <w14:schemeClr w14:val="tx1"/>
            </w14:solidFill>
          </w14:textFill>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color w:val="000000" w:themeColor="text1"/>
          <w14:textFill>
            <w14:solidFill>
              <w14:schemeClr w14:val="tx1"/>
            </w14:solidFill>
          </w14:textFill>
        </w:rPr>
        <w:t>carbon footprint</w:t>
      </w:r>
      <w:r>
        <w:rPr>
          <w:rFonts w:eastAsia="黑体"/>
          <w:color w:val="000000" w:themeColor="text1"/>
          <w14:textFill>
            <w14:solidFill>
              <w14:schemeClr w14:val="tx1"/>
            </w14:solidFill>
          </w14:textFill>
        </w:rPr>
        <w:fldChar w:fldCharType="end"/>
      </w:r>
    </w:p>
    <w:p>
      <w:pPr>
        <w:pStyle w:val="32"/>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用以量化过程、过程系统或产品系统温室气体排放的参数，以表现它们对气候变化的贡献。</w:t>
      </w:r>
    </w:p>
    <w:p>
      <w:pPr>
        <w:pStyle w:val="39"/>
        <w:spacing w:before="156" w:after="156"/>
      </w:pPr>
    </w:p>
    <w:p>
      <w:pPr>
        <w:widowControl/>
        <w:tabs>
          <w:tab w:val="center" w:pos="4201"/>
          <w:tab w:val="right" w:leader="dot" w:pos="9298"/>
        </w:tabs>
        <w:autoSpaceDE w:val="0"/>
        <w:autoSpaceDN w:val="0"/>
        <w:ind w:firstLine="420" w:firstLineChars="200"/>
        <w:rPr>
          <w:rFonts w:hint="eastAsia" w:ascii="Times New Roman" w:hAnsi="Times New Roman" w:eastAsia="黑体" w:cs="Times New Roman"/>
          <w:color w:val="000000" w:themeColor="text1"/>
          <w:lang w:eastAsia="zh-TW"/>
          <w14:textFill>
            <w14:solidFill>
              <w14:schemeClr w14:val="tx1"/>
            </w14:solidFill>
          </w14:textFill>
        </w:rPr>
      </w:pPr>
      <w:r>
        <w:rPr>
          <w:rFonts w:hint="eastAsia" w:ascii="Times New Roman" w:hAnsi="Times New Roman" w:eastAsia="黑体" w:cs="Times New Roman"/>
          <w:color w:val="000000" w:themeColor="text1"/>
          <w:lang w:val="zh-TW" w:eastAsia="zh-TW"/>
          <w14:textFill>
            <w14:solidFill>
              <w14:schemeClr w14:val="tx1"/>
            </w14:solidFill>
          </w14:textFill>
        </w:rPr>
        <w:t>双面不锈钢</w:t>
      </w:r>
      <w:r>
        <w:rPr>
          <w:rFonts w:hint="eastAsia" w:ascii="Times New Roman" w:hAnsi="Times New Roman" w:eastAsia="黑体" w:cs="Times New Roman"/>
          <w:color w:val="000000" w:themeColor="text1"/>
          <w:lang w:val="en-US" w:eastAsia="zh-CN"/>
          <w14:textFill>
            <w14:solidFill>
              <w14:schemeClr w14:val="tx1"/>
            </w14:solidFill>
          </w14:textFill>
        </w:rPr>
        <w:t xml:space="preserve">复合钢板 </w:t>
      </w:r>
      <w:r>
        <w:rPr>
          <w:rFonts w:hint="eastAsia" w:ascii="Times New Roman" w:hAnsi="Times New Roman" w:eastAsia="黑体" w:cs="Times New Roman"/>
          <w:color w:val="000000" w:themeColor="text1"/>
          <w:lang w:eastAsia="zh-CN"/>
          <w14:textFill>
            <w14:solidFill>
              <w14:schemeClr w14:val="tx1"/>
            </w14:solidFill>
          </w14:textFill>
        </w:rPr>
        <w:t>d</w:t>
      </w:r>
      <w:r>
        <w:rPr>
          <w:rFonts w:hint="eastAsia" w:ascii="Times New Roman" w:hAnsi="Times New Roman" w:eastAsia="黑体" w:cs="Times New Roman"/>
          <w:color w:val="000000" w:themeColor="text1"/>
          <w14:textFill>
            <w14:solidFill>
              <w14:schemeClr w14:val="tx1"/>
            </w14:solidFill>
          </w14:textFill>
        </w:rPr>
        <w:t>uplex stainless steel composite</w:t>
      </w:r>
    </w:p>
    <w:p>
      <w:pPr>
        <w:pStyle w:val="48"/>
        <w:spacing w:after="80" w:line="307" w:lineRule="exact"/>
        <w:ind w:firstLine="420"/>
        <w:rPr>
          <w:rFonts w:hint="eastAsia" w:ascii="Times New Roman" w:hAnsi="Times New Roman" w:eastAsia="宋体" w:cs="Times New Roman"/>
          <w:color w:val="000000" w:themeColor="text1"/>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0"/>
          <w:lang w:val="en-US" w:eastAsia="zh-CN" w:bidi="ar-SA"/>
          <w14:textFill>
            <w14:solidFill>
              <w14:schemeClr w14:val="tx1"/>
            </w14:solidFill>
          </w14:textFill>
        </w:rPr>
        <w:t>以碳钢或低合金钢为基层，采用热轧法或其他方法，在两面整体包覆一定厚度不锈钢的三层复合钢板。</w:t>
      </w:r>
    </w:p>
    <w:bookmarkEnd w:id="30"/>
    <w:bookmarkEnd w:id="40"/>
    <w:bookmarkEnd w:id="41"/>
    <w:bookmarkEnd w:id="42"/>
    <w:bookmarkEnd w:id="43"/>
    <w:bookmarkEnd w:id="44"/>
    <w:bookmarkEnd w:id="45"/>
    <w:bookmarkEnd w:id="46"/>
    <w:bookmarkEnd w:id="47"/>
    <w:bookmarkEnd w:id="48"/>
    <w:bookmarkEnd w:id="49"/>
    <w:bookmarkEnd w:id="50"/>
    <w:p>
      <w:pPr>
        <w:pStyle w:val="37"/>
        <w:spacing w:before="312" w:after="312"/>
        <w:outlineLvl w:val="0"/>
        <w:rPr>
          <w:rFonts w:hAnsi="黑体"/>
          <w:bCs/>
          <w:color w:val="000000"/>
          <w:szCs w:val="21"/>
        </w:rPr>
      </w:pPr>
      <w:bookmarkStart w:id="52" w:name="_Toc532820829"/>
      <w:bookmarkStart w:id="53" w:name="_Toc406486353"/>
      <w:bookmarkStart w:id="54" w:name="_Toc462063257"/>
      <w:bookmarkStart w:id="55" w:name="_Toc104389730"/>
      <w:r>
        <w:rPr>
          <w:rFonts w:hint="eastAsia" w:hAnsi="黑体"/>
          <w:bCs/>
          <w:color w:val="000000"/>
          <w:szCs w:val="21"/>
        </w:rPr>
        <w:t>评价要求</w:t>
      </w:r>
      <w:bookmarkEnd w:id="52"/>
      <w:bookmarkEnd w:id="53"/>
      <w:bookmarkEnd w:id="54"/>
      <w:bookmarkEnd w:id="55"/>
    </w:p>
    <w:p>
      <w:pPr>
        <w:pStyle w:val="39"/>
        <w:spacing w:before="156" w:after="156"/>
        <w:rPr>
          <w:rFonts w:hAnsi="黑体"/>
          <w:bCs/>
          <w:color w:val="000000"/>
        </w:rPr>
      </w:pPr>
      <w:bookmarkStart w:id="56" w:name="_Toc22141"/>
      <w:bookmarkStart w:id="57" w:name="_Toc406486354"/>
      <w:bookmarkStart w:id="58" w:name="_Toc459107153"/>
      <w:bookmarkStart w:id="59" w:name="_Toc532820958"/>
      <w:bookmarkStart w:id="60" w:name="_Toc532820830"/>
      <w:bookmarkStart w:id="61" w:name="_Toc456611366"/>
      <w:bookmarkStart w:id="62" w:name="_Toc396134049"/>
      <w:bookmarkStart w:id="63" w:name="_Toc350864000"/>
      <w:bookmarkStart w:id="64" w:name="_Toc360436761"/>
      <w:bookmarkStart w:id="65" w:name="_Toc406486355"/>
      <w:bookmarkStart w:id="66" w:name="_Toc384816564"/>
      <w:bookmarkStart w:id="67" w:name="_Toc360632439"/>
      <w:bookmarkStart w:id="68" w:name="_Toc360436848"/>
      <w:r>
        <w:rPr>
          <w:rFonts w:hint="eastAsia" w:hAnsi="黑体"/>
          <w:bCs/>
          <w:color w:val="000000"/>
        </w:rPr>
        <w:t>一般要求</w:t>
      </w:r>
      <w:bookmarkEnd w:id="56"/>
      <w:bookmarkEnd w:id="57"/>
      <w:bookmarkEnd w:id="58"/>
      <w:bookmarkEnd w:id="59"/>
      <w:bookmarkEnd w:id="60"/>
      <w:bookmarkEnd w:id="61"/>
    </w:p>
    <w:p>
      <w:pPr>
        <w:pStyle w:val="40"/>
        <w:spacing w:before="156" w:after="156"/>
        <w:ind w:left="0"/>
        <w:rPr>
          <w:rFonts w:ascii="Times New Roman" w:hAnsi="宋体" w:eastAsia="宋体"/>
          <w:bCs/>
          <w:color w:val="000000" w:themeColor="text1"/>
          <w14:textFill>
            <w14:solidFill>
              <w14:schemeClr w14:val="tx1"/>
            </w14:solidFill>
          </w14:textFill>
        </w:rPr>
      </w:pPr>
      <w:bookmarkStart w:id="69" w:name="_Toc436234466"/>
      <w:r>
        <w:rPr>
          <w:rFonts w:hint="eastAsia" w:ascii="Times New Roman" w:hAnsi="宋体" w:eastAsia="宋体"/>
          <w:bCs/>
          <w:color w:val="000000" w:themeColor="text1"/>
          <w14:textFill>
            <w14:solidFill>
              <w14:schemeClr w14:val="tx1"/>
            </w14:solidFill>
          </w14:textFill>
        </w:rPr>
        <w:t>生产企业近3年无重大环境污染事件和重大安全事故。</w:t>
      </w:r>
    </w:p>
    <w:p>
      <w:pPr>
        <w:pStyle w:val="40"/>
        <w:spacing w:before="156" w:after="156"/>
        <w:ind w:left="0"/>
        <w:rPr>
          <w:rFonts w:ascii="Times New Roman" w:hAnsi="宋体" w:eastAsia="宋体"/>
          <w:bCs/>
          <w:color w:val="000000" w:themeColor="text1"/>
          <w14:textFill>
            <w14:solidFill>
              <w14:schemeClr w14:val="tx1"/>
            </w14:solidFill>
          </w14:textFill>
        </w:rPr>
      </w:pPr>
      <w:r>
        <w:rPr>
          <w:rFonts w:hint="eastAsia" w:ascii="Times New Roman" w:hAnsi="宋体" w:eastAsia="宋体"/>
          <w:bCs/>
          <w:color w:val="000000"/>
        </w:rPr>
        <w:t>生产企业应采用国家鼓励的先进技术工艺，</w:t>
      </w:r>
      <w:r>
        <w:rPr>
          <w:rFonts w:hint="eastAsia" w:ascii="Times New Roman" w:hAnsi="宋体" w:eastAsia="宋体"/>
          <w:bCs/>
          <w:color w:val="000000" w:themeColor="text1"/>
          <w14:textFill>
            <w14:solidFill>
              <w14:schemeClr w14:val="tx1"/>
            </w14:solidFill>
          </w14:textFill>
        </w:rPr>
        <w:t>不应使用国家或有关部门发布的淘汰或禁止的技术、工艺、装备及相关物质。</w:t>
      </w:r>
    </w:p>
    <w:p>
      <w:pPr>
        <w:pStyle w:val="40"/>
        <w:spacing w:before="156" w:after="156"/>
        <w:ind w:left="0"/>
        <w:rPr>
          <w:rFonts w:ascii="Times New Roman" w:hAnsi="宋体" w:eastAsia="宋体"/>
          <w:bCs/>
          <w:color w:val="000000"/>
        </w:rPr>
      </w:pPr>
      <w:r>
        <w:rPr>
          <w:rFonts w:hint="eastAsia" w:ascii="Times New Roman" w:hAnsi="宋体" w:eastAsia="宋体"/>
          <w:bCs/>
          <w:color w:val="000000"/>
        </w:rPr>
        <w:t>生产企业应按</w:t>
      </w:r>
      <w:r>
        <w:rPr>
          <w:rFonts w:ascii="Times New Roman" w:hAnsi="宋体" w:eastAsia="宋体"/>
          <w:bCs/>
          <w:color w:val="000000"/>
        </w:rPr>
        <w:t>GB/T 19001</w:t>
      </w:r>
      <w:r>
        <w:rPr>
          <w:rFonts w:hint="eastAsia" w:ascii="Times New Roman" w:hAnsi="宋体" w:eastAsia="宋体"/>
          <w:bCs/>
          <w:color w:val="000000"/>
        </w:rPr>
        <w:t>和</w:t>
      </w:r>
      <w:r>
        <w:rPr>
          <w:rFonts w:ascii="Times New Roman" w:hAnsi="宋体" w:eastAsia="宋体"/>
          <w:bCs/>
          <w:color w:val="000000"/>
        </w:rPr>
        <w:t>GB/T 24001</w:t>
      </w:r>
      <w:r>
        <w:rPr>
          <w:rFonts w:hint="eastAsia" w:ascii="Times New Roman" w:hAnsi="宋体" w:eastAsia="宋体"/>
          <w:bCs/>
          <w:color w:val="000000"/>
        </w:rPr>
        <w:t>的</w:t>
      </w:r>
      <w:r>
        <w:rPr>
          <w:rFonts w:ascii="Times New Roman" w:hAnsi="宋体" w:eastAsia="宋体"/>
          <w:bCs/>
          <w:color w:val="000000"/>
        </w:rPr>
        <w:t>有关规定</w:t>
      </w:r>
      <w:r>
        <w:rPr>
          <w:rFonts w:hint="eastAsia" w:ascii="Times New Roman" w:hAnsi="宋体" w:eastAsia="宋体"/>
          <w:bCs/>
          <w:color w:val="000000"/>
        </w:rPr>
        <w:t>分别建立并运行质量管理体系和环境管理体系。</w:t>
      </w:r>
    </w:p>
    <w:p>
      <w:pPr>
        <w:pStyle w:val="40"/>
        <w:spacing w:before="156" w:after="156"/>
        <w:ind w:left="0"/>
        <w:rPr>
          <w:rFonts w:ascii="Times New Roman" w:hAnsi="宋体" w:eastAsia="宋体"/>
          <w:bCs/>
          <w:color w:val="000000"/>
        </w:rPr>
      </w:pPr>
      <w:r>
        <w:rPr>
          <w:rFonts w:hint="eastAsia" w:ascii="Times New Roman" w:hAnsi="宋体" w:eastAsia="宋体"/>
          <w:bCs/>
          <w:color w:val="000000"/>
        </w:rPr>
        <w:t>一般固体废弃物的收集、贮存、处置应符合</w:t>
      </w:r>
      <w:r>
        <w:rPr>
          <w:rFonts w:ascii="Times New Roman" w:hAnsi="宋体" w:eastAsia="宋体"/>
          <w:bCs/>
          <w:color w:val="000000"/>
        </w:rPr>
        <w:t>GB 18599</w:t>
      </w:r>
      <w:r>
        <w:rPr>
          <w:rFonts w:hint="eastAsia" w:ascii="Times New Roman" w:hAnsi="宋体" w:eastAsia="宋体"/>
          <w:bCs/>
          <w:color w:val="000000"/>
        </w:rPr>
        <w:t>的有关规定。危险废物的贮存应符合</w:t>
      </w:r>
      <w:r>
        <w:rPr>
          <w:rFonts w:ascii="Times New Roman" w:hAnsi="宋体" w:eastAsia="宋体"/>
          <w:bCs/>
          <w:color w:val="000000"/>
        </w:rPr>
        <w:t>GB 18597</w:t>
      </w:r>
      <w:r>
        <w:rPr>
          <w:rFonts w:hint="eastAsia" w:ascii="Times New Roman" w:hAnsi="宋体" w:eastAsia="宋体"/>
          <w:bCs/>
          <w:color w:val="000000"/>
        </w:rPr>
        <w:t>的有关规定，后续应交付持有危险废物经营许可证的单位处置。</w:t>
      </w:r>
    </w:p>
    <w:p>
      <w:pPr>
        <w:pStyle w:val="40"/>
        <w:spacing w:before="156" w:after="156"/>
        <w:ind w:left="0"/>
        <w:rPr>
          <w:rFonts w:hint="eastAsia" w:ascii="Times New Roman" w:hAnsi="宋体" w:eastAsia="宋体"/>
          <w:bCs/>
          <w:color w:val="000000" w:themeColor="text1"/>
          <w:lang w:eastAsia="zh-TW"/>
          <w14:textFill>
            <w14:solidFill>
              <w14:schemeClr w14:val="tx1"/>
            </w14:solidFill>
          </w14:textFill>
        </w:rPr>
      </w:pPr>
      <w:r>
        <w:rPr>
          <w:rFonts w:hint="eastAsia" w:ascii="Times New Roman" w:hAnsi="宋体" w:eastAsia="宋体"/>
          <w:bCs/>
          <w:color w:val="000000" w:themeColor="text1"/>
          <w:lang w:val="zh-TW" w:eastAsia="zh-TW"/>
          <w14:textFill>
            <w14:solidFill>
              <w14:schemeClr w14:val="tx1"/>
            </w14:solidFill>
          </w14:textFill>
        </w:rPr>
        <w:t>双面不锈钢复合材料基本性能应符合</w:t>
      </w:r>
      <w:r>
        <w:rPr>
          <w:rFonts w:hint="eastAsia" w:ascii="Times New Roman" w:hAnsi="宋体" w:eastAsia="宋体"/>
          <w:bCs/>
          <w:color w:val="000000" w:themeColor="text1"/>
          <w:lang w:eastAsia="zh-TW"/>
          <w14:textFill>
            <w14:solidFill>
              <w14:schemeClr w14:val="tx1"/>
            </w14:solidFill>
          </w14:textFill>
        </w:rPr>
        <w:t>NB/T47002、GB/T8165、GB/T 6396、GB/T 13148、SH/T 3527、CJ/T192、GB/T31940、SY/T 6623-2018、YB/T 4335、GB/T28883、GB/T17219、GB/T 32958、GB/T4334、CECS 205-2015、GB/T10125、GB/T4334、GB/T6461</w:t>
      </w:r>
      <w:r>
        <w:rPr>
          <w:rFonts w:hint="eastAsia" w:ascii="Times New Roman" w:hAnsi="宋体" w:eastAsia="宋体"/>
          <w:bCs/>
          <w:color w:val="000000" w:themeColor="text1"/>
          <w:lang w:val="zh-TW" w:eastAsia="zh-TW"/>
          <w14:textFill>
            <w14:solidFill>
              <w14:schemeClr w14:val="tx1"/>
            </w14:solidFill>
          </w14:textFill>
        </w:rPr>
        <w:t>等相应的现行国家或行业标准要求。</w:t>
      </w:r>
    </w:p>
    <w:bookmarkEnd w:id="69"/>
    <w:p>
      <w:pPr>
        <w:pStyle w:val="39"/>
        <w:spacing w:before="156" w:after="156"/>
        <w:rPr>
          <w:color w:val="000000"/>
        </w:rPr>
      </w:pPr>
      <w:bookmarkStart w:id="70" w:name="_Toc31135"/>
      <w:bookmarkStart w:id="71" w:name="_Toc462063260"/>
      <w:bookmarkStart w:id="72" w:name="_Toc532820831"/>
      <w:bookmarkStart w:id="73" w:name="_Toc532820959"/>
      <w:r>
        <w:rPr>
          <w:rFonts w:hint="eastAsia"/>
          <w:color w:val="000000"/>
        </w:rPr>
        <w:t>评价指标要求</w:t>
      </w:r>
      <w:bookmarkEnd w:id="62"/>
      <w:bookmarkEnd w:id="63"/>
      <w:bookmarkEnd w:id="64"/>
      <w:bookmarkEnd w:id="65"/>
      <w:bookmarkEnd w:id="66"/>
      <w:bookmarkEnd w:id="67"/>
      <w:bookmarkEnd w:id="68"/>
      <w:bookmarkEnd w:id="70"/>
      <w:bookmarkEnd w:id="71"/>
      <w:bookmarkEnd w:id="72"/>
      <w:bookmarkEnd w:id="73"/>
    </w:p>
    <w:p>
      <w:pPr>
        <w:pStyle w:val="32"/>
        <w:rPr>
          <w:rFonts w:hint="eastAsia" w:ascii="Times New Roman"/>
        </w:rPr>
      </w:pPr>
      <w:r>
        <w:t>双面不锈钢复合</w:t>
      </w:r>
      <w:r>
        <w:rPr>
          <w:rFonts w:hint="eastAsia"/>
          <w:lang w:eastAsia="zh-CN"/>
        </w:rPr>
        <w:t>钢</w:t>
      </w:r>
      <w:r>
        <w:t>板</w:t>
      </w:r>
      <w:r>
        <w:rPr>
          <w:rFonts w:hint="eastAsia" w:ascii="Times New Roman"/>
        </w:rPr>
        <w:t>评价指标包括资源属性指标、能源属性指标、环境属性指标和品质属性指标。</w:t>
      </w:r>
    </w:p>
    <w:p>
      <w:pPr>
        <w:pStyle w:val="32"/>
        <w:rPr>
          <w:rFonts w:hint="eastAsia" w:ascii="Times New Roman"/>
        </w:rPr>
      </w:pPr>
    </w:p>
    <w:p>
      <w:pPr>
        <w:pStyle w:val="37"/>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1</w:t>
      </w:r>
      <w:r>
        <w:rPr>
          <w:rFonts w:hint="eastAsia" w:ascii="Times New Roman"/>
        </w:rPr>
        <w:t xml:space="preserve"> 双面不锈钢复合钢板评价指标要求</w:t>
      </w:r>
    </w:p>
    <w:tbl>
      <w:tblPr>
        <w:tblStyle w:val="9"/>
        <w:tblW w:w="1013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69"/>
        <w:gridCol w:w="756"/>
        <w:gridCol w:w="924"/>
        <w:gridCol w:w="1212"/>
        <w:gridCol w:w="900"/>
        <w:gridCol w:w="1296"/>
        <w:gridCol w:w="1224"/>
        <w:gridCol w:w="1248"/>
        <w:gridCol w:w="1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一级</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指标</w:t>
            </w: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单位</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基准值</w:t>
            </w:r>
          </w:p>
        </w:tc>
        <w:tc>
          <w:tcPr>
            <w:tcW w:w="1802"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Theme="minorEastAsia" w:hAnsiTheme="minorEastAsia" w:eastAsiaTheme="minorEastAsia"/>
                <w:sz w:val="17"/>
                <w:szCs w:val="17"/>
                <w:lang w:val="en-US" w:eastAsia="zh-CN"/>
              </w:rPr>
            </w:pPr>
            <w:r>
              <w:rPr>
                <w:rFonts w:hint="eastAsia" w:asciiTheme="minorEastAsia" w:hAnsiTheme="minorEastAsia" w:eastAsiaTheme="minorEastAsia"/>
                <w:sz w:val="17"/>
                <w:szCs w:val="17"/>
                <w:lang w:val="en-US" w:eastAsia="zh-CN"/>
              </w:rPr>
              <w:t>评价依据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vMerge w:val="continue"/>
            <w:tcBorders>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rPr>
                <w:rFonts w:asciiTheme="minorEastAsia" w:hAnsiTheme="minorEastAsia" w:eastAsiaTheme="minorEastAsia"/>
              </w:rPr>
            </w:pPr>
            <w:r>
              <w:rPr>
                <w:rFonts w:hint="eastAsia" w:asciiTheme="minorEastAsia" w:hAnsiTheme="minorEastAsia" w:eastAsiaTheme="minorEastAsia"/>
              </w:rPr>
              <w:t>资源</w:t>
            </w:r>
          </w:p>
          <w:p>
            <w:pPr>
              <w:pStyle w:val="49"/>
              <w:spacing w:line="240" w:lineRule="auto"/>
              <w:ind w:firstLine="180"/>
              <w:rPr>
                <w:rFonts w:asciiTheme="minorEastAsia" w:hAnsiTheme="minorEastAsia" w:eastAsiaTheme="minorEastAsia"/>
              </w:rPr>
            </w:pPr>
            <w:r>
              <w:rPr>
                <w:rFonts w:hint="eastAsia" w:asciiTheme="minorEastAsia" w:hAnsiTheme="minorEastAsia" w:eastAsiaTheme="minorEastAsia"/>
              </w:rPr>
              <w:t>属性</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单位产品用水量</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t/</w:t>
            </w:r>
            <w:r>
              <w:rPr>
                <w:rFonts w:hint="eastAsia" w:asciiTheme="minorEastAsia" w:hAnsiTheme="minorEastAsia" w:eastAsiaTheme="minorEastAsia"/>
              </w:rPr>
              <w:t xml:space="preserve">万 </w:t>
            </w:r>
            <w:r>
              <w:rPr>
                <w:rFonts w:asciiTheme="minorEastAsia" w:hAnsiTheme="minorEastAsia" w:eastAsiaTheme="minorEastAsia"/>
                <w:lang w:val="en-US"/>
              </w:rPr>
              <w:t>m</w:t>
            </w:r>
            <w:r>
              <w:rPr>
                <w:rFonts w:asciiTheme="minorEastAsia" w:hAnsiTheme="minorEastAsia" w:eastAsiaTheme="minorEastAsia"/>
                <w:vertAlign w:val="superscript"/>
                <w:lang w:val="en-US"/>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≤2.1</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9"/>
              <w:spacing w:line="240" w:lineRule="auto"/>
              <w:ind w:firstLine="0" w:firstLineChars="0"/>
              <w:jc w:val="center"/>
              <w:rPr>
                <w:rFonts w:asciiTheme="minorEastAsia" w:hAnsiTheme="minorEastAsia" w:eastAsiaTheme="minorEastAsia"/>
                <w:lang w:val="en-US"/>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80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9"/>
              <w:spacing w:line="240" w:lineRule="auto"/>
              <w:ind w:firstLine="0" w:firstLineChars="0"/>
              <w:jc w:val="center"/>
              <w:rPr>
                <w:rFonts w:asciiTheme="minorEastAsia" w:hAnsiTheme="minorEastAsia" w:eastAsiaTheme="minorEastAsia"/>
                <w:lang w:val="en-US"/>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hint="eastAsia" w:asciiTheme="minorEastAsia" w:hAnsiTheme="minorEastAsia" w:eastAsiaTheme="minorEastAsia"/>
                <w:color w:val="auto"/>
              </w:rPr>
              <w:t>相同力学指标节省金属消耗</w:t>
            </w:r>
          </w:p>
        </w:tc>
        <w:tc>
          <w:tcPr>
            <w:tcW w:w="900" w:type="dxa"/>
            <w:tcBorders>
              <w:top w:val="single" w:color="000000" w:sz="4" w:space="0"/>
              <w:left w:val="single" w:color="000000" w:sz="4" w:space="0"/>
              <w:bottom w:val="single" w:color="000000" w:sz="2"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color w:val="auto"/>
              </w:rPr>
            </w:pPr>
            <w:r>
              <w:rPr>
                <w:rFonts w:cs="宋体" w:asciiTheme="minorEastAsia" w:hAnsiTheme="minorEastAsia" w:eastAsiaTheme="minorEastAsia"/>
                <w:color w:val="auto"/>
                <w:sz w:val="18"/>
                <w:szCs w:val="18"/>
                <w:u w:color="000000"/>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≥15</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asciiTheme="minorEastAsia" w:hAnsiTheme="minorEastAsia" w:eastAsiaTheme="minorEastAsia"/>
                <w:color w:val="auto"/>
              </w:rPr>
            </w:pPr>
            <w:r>
              <w:rPr>
                <w:rFonts w:hint="default" w:ascii="Calibri" w:hAnsi="Calibri" w:cs="Calibri" w:eastAsiaTheme="minorEastAsia"/>
                <w:color w:val="auto"/>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能源</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83" w:lineRule="exact"/>
              <w:ind w:firstLine="0"/>
              <w:jc w:val="center"/>
              <w:rPr>
                <w:rFonts w:asciiTheme="minorEastAsia" w:hAnsiTheme="minorEastAsia" w:eastAsiaTheme="minorEastAsia"/>
              </w:rPr>
            </w:pPr>
            <w:r>
              <w:rPr>
                <w:rFonts w:hint="eastAsia" w:asciiTheme="minorEastAsia" w:hAnsiTheme="minorEastAsia" w:eastAsiaTheme="minorEastAsia"/>
                <w:sz w:val="17"/>
                <w:szCs w:val="17"/>
              </w:rPr>
              <w:t>单位产品综合能耗</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lang w:val="zh-CN" w:eastAsia="zh-CN"/>
              </w:rPr>
              <w:t>轧制</w:t>
            </w:r>
            <w:r>
              <w:rPr>
                <w:rFonts w:hint="eastAsia" w:asciiTheme="minorEastAsia" w:hAnsiTheme="minorEastAsia" w:eastAsiaTheme="minorEastAsia"/>
                <w:sz w:val="17"/>
                <w:szCs w:val="17"/>
              </w:rPr>
              <w:t>复合工艺</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00" w:type="dxa"/>
            <w:vMerge w:val="restart"/>
            <w:tcBorders>
              <w:top w:val="single" w:color="000000" w:sz="2"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kgce/</w:t>
            </w:r>
            <w:r>
              <w:rPr>
                <w:rFonts w:hint="eastAsia" w:asciiTheme="minorEastAsia" w:hAnsiTheme="minorEastAsia" w:eastAsiaTheme="minorEastAsia"/>
                <w:sz w:val="17"/>
                <w:szCs w:val="17"/>
              </w:rPr>
              <w:t xml:space="preserve">万 </w:t>
            </w:r>
            <w:r>
              <w:rPr>
                <w:rFonts w:asciiTheme="minorEastAsia" w:hAnsiTheme="minorEastAsia" w:eastAsiaTheme="minorEastAsia"/>
                <w:sz w:val="17"/>
                <w:szCs w:val="17"/>
                <w:lang w:val="en-US"/>
              </w:rPr>
              <w:t>m</w:t>
            </w:r>
            <w:r>
              <w:rPr>
                <w:rFonts w:asciiTheme="minorEastAsia" w:hAnsiTheme="minorEastAsia" w:eastAsiaTheme="minorEastAsia"/>
                <w:sz w:val="17"/>
                <w:szCs w:val="17"/>
                <w:vertAlign w:val="superscript"/>
                <w:lang w:val="en-US"/>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≤3 000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00" w:type="dxa"/>
            <w:vMerge w:val="continue"/>
            <w:tcBorders>
              <w:top w:val="single" w:color="000000" w:sz="2"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≤5 500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其他复合工艺</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00" w:type="dxa"/>
            <w:vMerge w:val="continue"/>
            <w:tcBorders>
              <w:top w:val="single" w:color="000000" w:sz="2"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≤1 800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00" w:type="dxa"/>
            <w:vMerge w:val="continue"/>
            <w:tcBorders>
              <w:top w:val="single" w:color="000000" w:sz="2"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≤4 500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环境</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89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产品环境影响和碳足迹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进行环境产品声明</w:t>
            </w:r>
            <w:r>
              <w:rPr>
                <w:rFonts w:asciiTheme="minorEastAsia" w:hAnsiTheme="minorEastAsia" w:eastAsiaTheme="minorEastAsia"/>
                <w:sz w:val="17"/>
                <w:szCs w:val="17"/>
                <w:lang w:val="en-US"/>
              </w:rPr>
              <w:t>(EPD)</w:t>
            </w:r>
            <w:r>
              <w:rPr>
                <w:rFonts w:hint="eastAsia" w:asciiTheme="minorEastAsia" w:hAnsiTheme="minorEastAsia" w:eastAsiaTheme="minorEastAsia"/>
                <w:sz w:val="17"/>
                <w:szCs w:val="17"/>
              </w:rPr>
              <w:t>和碳足迹分析</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lang w:eastAsia="zh-CN"/>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表面处理工艺方法</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喷丸处理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机械抛光</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Theme="minorEastAsia" w:hAnsiTheme="minorEastAsia" w:eastAsiaTheme="minorEastAsia"/>
                <w:lang w:val="en-US" w:eastAsia="zh-CN"/>
              </w:rPr>
            </w:pPr>
            <w:r>
              <w:rPr>
                <w:rFonts w:hint="eastAsia" w:asciiTheme="minorEastAsia" w:hAnsiTheme="minorEastAsia" w:eastAsiaTheme="minorEastAsia"/>
              </w:rPr>
              <w:t>光亮轧制</w:t>
            </w:r>
            <w:r>
              <w:rPr>
                <w:rFonts w:hint="eastAsia" w:asciiTheme="minorEastAsia" w:hAnsiTheme="minorEastAsia" w:eastAsiaTheme="minorEastAsia"/>
                <w:lang w:val="en-US" w:eastAsia="zh-CN"/>
              </w:rPr>
              <w:t>+    简单机械抛光</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rPr>
            </w:pPr>
            <w:r>
              <w:rPr>
                <w:rFonts w:hint="default" w:ascii="Calibri" w:hAnsi="Calibri" w:cs="Calibri" w:eastAsiaTheme="minorEastAsia"/>
                <w:lang w:val="en-US" w:eastAsia="zh-CN"/>
              </w:rPr>
              <w:t>GB/T17101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卫生安全等级（</w:t>
            </w:r>
            <w:r>
              <w:rPr>
                <w:rFonts w:asciiTheme="minorEastAsia" w:hAnsiTheme="minorEastAsia" w:eastAsiaTheme="minorEastAsia"/>
              </w:rPr>
              <w:t>a</w:t>
            </w:r>
            <w:r>
              <w:rPr>
                <w:rFonts w:hint="eastAsia" w:asciiTheme="minorEastAsia" w:hAnsiTheme="minorEastAsia" w:eastAsiaTheme="minorEastAsia"/>
              </w:rPr>
              <w:t>）</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满足基本项目卫生要求</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满足增测项目卫生要求</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满足直饮水</w:t>
            </w:r>
          </w:p>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卫生要求</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cs="宋体"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GB/T17219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lang w:val="zh-CN" w:eastAsia="zh-CN"/>
              </w:rPr>
              <w:t>品质</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复合材料级别（b）</w:t>
            </w:r>
          </w:p>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（未结合率）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cs="宋体" w:asciiTheme="minorEastAsia" w:hAnsiTheme="minorEastAsia" w:eastAsiaTheme="minorEastAsia"/>
                <w:sz w:val="18"/>
                <w:szCs w:val="18"/>
                <w:u w:color="000000"/>
              </w:rPr>
            </w:pPr>
            <w:r>
              <w:rPr>
                <w:rFonts w:ascii="Times"/>
                <w:color w:val="FF2C21"/>
                <w:sz w:val="17"/>
                <w:szCs w:val="17"/>
                <w:rtl w:val="0"/>
                <w:lang w:val="zh-TW" w:eastAsia="zh-TW"/>
              </w:rPr>
              <w:t>NB/T47002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复层与基材结合强度（c、d、e）</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MPa</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≥140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≥260</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GB/T8165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耐中性盐雾试验（f、g）</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h</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≥480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≥720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≥1000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bidi w:val="0"/>
              <w:ind w:left="0" w:right="0" w:firstLine="0"/>
              <w:jc w:val="center"/>
              <w:rPr>
                <w:rtl w:val="0"/>
              </w:rPr>
            </w:pPr>
            <w:r>
              <w:rPr>
                <w:rFonts w:ascii="Calibri" w:hAnsi="Calibri" w:eastAsia="Calibri" w:cs="Calibri"/>
                <w:color w:val="FF2C21"/>
                <w:sz w:val="18"/>
                <w:szCs w:val="18"/>
                <w:u w:color="000000"/>
                <w:rtl w:val="0"/>
              </w:rPr>
              <w:t>GB/T10125</w:t>
            </w:r>
          </w:p>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GB/T6461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耐晶间腐蚀试验（h）</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A</w:t>
            </w:r>
            <w:r>
              <w:rPr>
                <w:rFonts w:hint="eastAsia" w:asciiTheme="minorEastAsia" w:hAnsiTheme="minorEastAsia" w:eastAsiaTheme="minorEastAsia"/>
                <w:sz w:val="18"/>
                <w:szCs w:val="18"/>
                <w:u w:color="000000"/>
              </w:rPr>
              <w:t>法</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B</w:t>
            </w:r>
            <w:r>
              <w:rPr>
                <w:rFonts w:hint="eastAsia" w:asciiTheme="minorEastAsia" w:hAnsiTheme="minorEastAsia" w:eastAsiaTheme="minorEastAsia"/>
                <w:sz w:val="18"/>
                <w:szCs w:val="18"/>
                <w:u w:color="000000"/>
              </w:rPr>
              <w:t>法</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E</w:t>
            </w:r>
            <w:r>
              <w:rPr>
                <w:rFonts w:hint="eastAsia" w:asciiTheme="minorEastAsia" w:hAnsiTheme="minorEastAsia" w:eastAsiaTheme="minorEastAsia"/>
                <w:sz w:val="18"/>
                <w:szCs w:val="18"/>
                <w:u w:color="000000"/>
              </w:rPr>
              <w:t>法</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GB/T4334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restart"/>
            <w:tcBorders>
              <w:top w:val="single" w:color="000000" w:sz="4" w:space="0"/>
              <w:left w:val="single" w:color="000000" w:sz="4" w:space="0"/>
              <w:bottom w:val="single" w:color="000000" w:sz="2"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28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超探检验等级（i）</w:t>
            </w:r>
          </w:p>
        </w:tc>
        <w:tc>
          <w:tcPr>
            <w:tcW w:w="900" w:type="dxa"/>
            <w:vMerge w:val="restart"/>
            <w:tcBorders>
              <w:top w:val="single" w:color="000000" w:sz="4" w:space="0"/>
              <w:left w:val="single" w:color="000000" w:sz="4" w:space="0"/>
              <w:bottom w:val="single" w:color="000000" w:sz="2"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35" w:hRule="atLeast"/>
        </w:trPr>
        <w:tc>
          <w:tcPr>
            <w:tcW w:w="769" w:type="dxa"/>
            <w:vMerge w:val="continue"/>
            <w:tcBorders>
              <w:top w:val="single" w:color="000000" w:sz="4" w:space="0"/>
              <w:left w:val="single" w:color="000000" w:sz="4" w:space="0"/>
              <w:bottom w:val="single" w:color="000000" w:sz="2" w:space="0"/>
              <w:right w:val="single" w:color="000000" w:sz="4" w:space="0"/>
            </w:tcBorders>
            <w:shd w:val="clear" w:color="auto" w:fill="FFFFFF"/>
          </w:tcPr>
          <w:p>
            <w:pPr>
              <w:rPr>
                <w:rFonts w:asciiTheme="minorEastAsia" w:hAnsiTheme="minorEastAsia" w:eastAsiaTheme="minorEastAsia"/>
              </w:rPr>
            </w:pPr>
          </w:p>
        </w:tc>
        <w:tc>
          <w:tcPr>
            <w:tcW w:w="28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00" w:type="dxa"/>
            <w:vMerge w:val="continue"/>
            <w:tcBorders>
              <w:top w:val="single" w:color="000000" w:sz="4" w:space="0"/>
              <w:left w:val="single" w:color="000000" w:sz="4" w:space="0"/>
              <w:bottom w:val="single" w:color="000000" w:sz="2" w:space="0"/>
              <w:right w:val="single" w:color="000000" w:sz="4" w:space="0"/>
            </w:tcBorders>
            <w:shd w:val="clear" w:color="auto" w:fill="FFFFFF"/>
          </w:tcPr>
          <w:p>
            <w:pPr>
              <w:rPr>
                <w:rFonts w:asciiTheme="minorEastAsia" w:hAnsiTheme="minorEastAsia" w:eastAsiaTheme="minorEastAsia"/>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A</w:t>
            </w:r>
            <w:r>
              <w:rPr>
                <w:rFonts w:hint="eastAsia" w:asciiTheme="minorEastAsia" w:hAnsiTheme="minorEastAsia" w:eastAsiaTheme="minorEastAsia"/>
                <w:sz w:val="18"/>
                <w:szCs w:val="18"/>
                <w:u w:color="000000"/>
              </w:rPr>
              <w:t>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B</w:t>
            </w:r>
            <w:r>
              <w:rPr>
                <w:rFonts w:hint="eastAsia" w:asciiTheme="minorEastAsia" w:hAnsiTheme="minorEastAsia" w:eastAsiaTheme="minorEastAsia"/>
                <w:sz w:val="18"/>
                <w:szCs w:val="18"/>
                <w:u w:color="000000"/>
              </w:rPr>
              <w:t>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C</w:t>
            </w:r>
            <w:r>
              <w:rPr>
                <w:rFonts w:hint="eastAsia" w:asciiTheme="minorEastAsia" w:hAnsiTheme="minorEastAsia" w:eastAsiaTheme="minorEastAsia"/>
                <w:sz w:val="18"/>
                <w:szCs w:val="18"/>
                <w:u w:color="000000"/>
              </w:rPr>
              <w:t>级</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sz w:val="18"/>
                <w:szCs w:val="18"/>
                <w:u w:color="000000"/>
              </w:rPr>
            </w:pPr>
            <w:r>
              <w:rPr>
                <w:rFonts w:ascii="Calibri" w:hAnsi="Calibri" w:eastAsia="Calibri" w:cs="Calibri"/>
                <w:color w:val="FF2C21"/>
                <w:sz w:val="18"/>
                <w:szCs w:val="18"/>
                <w:u w:color="000000"/>
                <w:rtl w:val="0"/>
              </w:rPr>
              <w:t>SY/T 6623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156" w:hRule="exact"/>
        </w:trPr>
        <w:tc>
          <w:tcPr>
            <w:tcW w:w="10131"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100" w:line="240" w:lineRule="auto"/>
              <w:ind w:firstLine="460"/>
              <w:rPr>
                <w:rFonts w:asciiTheme="minorEastAsia" w:hAnsiTheme="minorEastAsia" w:eastAsiaTheme="minorEastAsia"/>
              </w:rPr>
            </w:pPr>
            <w:r>
              <w:rPr>
                <w:rFonts w:asciiTheme="minorEastAsia" w:hAnsiTheme="minorEastAsia" w:eastAsiaTheme="minorEastAsia"/>
                <w:sz w:val="17"/>
                <w:szCs w:val="17"/>
              </w:rPr>
              <w:t>a</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GB/T17219-1998  </w:t>
            </w:r>
            <w:r>
              <w:rPr>
                <w:rFonts w:hint="eastAsia" w:asciiTheme="minorEastAsia" w:hAnsiTheme="minorEastAsia" w:eastAsiaTheme="minorEastAsia"/>
                <w:sz w:val="17"/>
                <w:szCs w:val="17"/>
              </w:rPr>
              <w:t>水设备及防护材料卫生安全评价规范；</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lang w:val="zh-CN" w:eastAsia="zh-CN"/>
              </w:rPr>
              <w:t>b</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NB/T47002-2019  </w:t>
            </w:r>
            <w:r>
              <w:rPr>
                <w:rFonts w:hint="eastAsia" w:asciiTheme="minorEastAsia" w:hAnsiTheme="minorEastAsia" w:eastAsiaTheme="minorEastAsia"/>
                <w:sz w:val="17"/>
                <w:szCs w:val="17"/>
              </w:rPr>
              <w:t>压力容器用复合板；</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c</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CJ/T192-2017  </w:t>
            </w:r>
            <w:r>
              <w:rPr>
                <w:rFonts w:hint="eastAsia" w:asciiTheme="minorEastAsia" w:hAnsiTheme="minorEastAsia" w:eastAsiaTheme="minorEastAsia"/>
                <w:sz w:val="17"/>
                <w:szCs w:val="17"/>
              </w:rPr>
              <w:t>内衬不锈钢复合钢管；</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d</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 32958-2016  </w:t>
            </w:r>
            <w:r>
              <w:rPr>
                <w:rFonts w:hint="eastAsia" w:asciiTheme="minorEastAsia" w:hAnsiTheme="minorEastAsia" w:eastAsiaTheme="minorEastAsia"/>
                <w:sz w:val="17"/>
                <w:szCs w:val="17"/>
              </w:rPr>
              <w:t>流体输送用不锈钢复合钢管；</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e</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GB/T8165-2008  </w:t>
            </w:r>
            <w:r>
              <w:rPr>
                <w:rFonts w:hint="eastAsia" w:asciiTheme="minorEastAsia" w:hAnsiTheme="minorEastAsia" w:eastAsiaTheme="minorEastAsia"/>
                <w:sz w:val="17"/>
                <w:szCs w:val="17"/>
              </w:rPr>
              <w:t>不锈钢复合钢板和钢带；</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f</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GB/T10125-2006  </w:t>
            </w:r>
            <w:r>
              <w:rPr>
                <w:rFonts w:hint="eastAsia" w:asciiTheme="minorEastAsia" w:hAnsiTheme="minorEastAsia" w:eastAsiaTheme="minorEastAsia"/>
                <w:sz w:val="17"/>
                <w:szCs w:val="17"/>
              </w:rPr>
              <w:t>人造气氛腐蚀试验</w:t>
            </w:r>
            <w:r>
              <w:rPr>
                <w:rFonts w:asciiTheme="minorEastAsia" w:hAnsiTheme="minorEastAsia" w:eastAsiaTheme="minorEastAsia"/>
                <w:sz w:val="17"/>
                <w:szCs w:val="17"/>
              </w:rPr>
              <w:t>-</w:t>
            </w:r>
            <w:r>
              <w:rPr>
                <w:rFonts w:hint="eastAsia" w:asciiTheme="minorEastAsia" w:hAnsiTheme="minorEastAsia" w:eastAsiaTheme="minorEastAsia"/>
                <w:sz w:val="17"/>
                <w:szCs w:val="17"/>
              </w:rPr>
              <w:t>盐雾试验；</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g</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GB/T6461-2002  </w:t>
            </w:r>
            <w:r>
              <w:rPr>
                <w:rFonts w:hint="eastAsia" w:asciiTheme="minorEastAsia" w:hAnsiTheme="minorEastAsia" w:eastAsiaTheme="minorEastAsia"/>
                <w:sz w:val="17"/>
                <w:szCs w:val="17"/>
              </w:rPr>
              <w:t>金属基体上金属和其他无机覆盖层经腐蚀试验后的试样和试件的评级；</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h</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GB/T4334-2020  </w:t>
            </w:r>
            <w:r>
              <w:rPr>
                <w:rFonts w:hint="eastAsia" w:asciiTheme="minorEastAsia" w:hAnsiTheme="minorEastAsia" w:eastAsiaTheme="minorEastAsia"/>
                <w:sz w:val="17"/>
                <w:szCs w:val="17"/>
              </w:rPr>
              <w:t>金属和合金的腐蚀  奥氏体及铁素体</w:t>
            </w:r>
            <w:r>
              <w:rPr>
                <w:rFonts w:asciiTheme="minorEastAsia" w:hAnsiTheme="minorEastAsia" w:eastAsiaTheme="minorEastAsia"/>
                <w:sz w:val="17"/>
                <w:szCs w:val="17"/>
              </w:rPr>
              <w:t>-</w:t>
            </w:r>
            <w:r>
              <w:rPr>
                <w:rFonts w:hint="eastAsia" w:asciiTheme="minorEastAsia" w:hAnsiTheme="minorEastAsia" w:eastAsiaTheme="minorEastAsia"/>
                <w:sz w:val="17"/>
                <w:szCs w:val="17"/>
              </w:rPr>
              <w:t>奥氏体（双相）不锈钢晶间腐蚀试验方法；</w:t>
            </w:r>
          </w:p>
          <w:p>
            <w:pPr>
              <w:pStyle w:val="49"/>
              <w:spacing w:after="100" w:line="240" w:lineRule="auto"/>
              <w:ind w:firstLine="460"/>
              <w:rPr>
                <w:rFonts w:asciiTheme="minorEastAsia" w:hAnsiTheme="minorEastAsia" w:eastAsiaTheme="minorEastAsia"/>
              </w:rPr>
            </w:pPr>
            <w:r>
              <w:rPr>
                <w:rFonts w:asciiTheme="minorEastAsia" w:hAnsiTheme="minorEastAsia" w:eastAsiaTheme="minorEastAsia"/>
                <w:sz w:val="17"/>
                <w:szCs w:val="17"/>
              </w:rPr>
              <w:t>i</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SY/T 6623-2018  </w:t>
            </w:r>
            <w:r>
              <w:rPr>
                <w:rFonts w:hint="eastAsia" w:asciiTheme="minorEastAsia" w:hAnsiTheme="minorEastAsia" w:eastAsiaTheme="minorEastAsia"/>
                <w:sz w:val="17"/>
                <w:szCs w:val="17"/>
              </w:rPr>
              <w:t>内覆或衬里耐腐蚀合金复合钢管。</w:t>
            </w:r>
          </w:p>
        </w:tc>
      </w:tr>
    </w:tbl>
    <w:p>
      <w:pPr>
        <w:pStyle w:val="37"/>
        <w:numPr>
          <w:ilvl w:val="0"/>
          <w:numId w:val="0"/>
        </w:numPr>
        <w:spacing w:before="156" w:beforeLines="50" w:after="156" w:afterLines="50"/>
        <w:outlineLvl w:val="9"/>
      </w:pPr>
    </w:p>
    <w:p>
      <w:pPr>
        <w:pStyle w:val="37"/>
        <w:spacing w:before="312" w:after="312"/>
        <w:outlineLvl w:val="0"/>
        <w:rPr>
          <w:rFonts w:hAnsi="黑体"/>
          <w:bCs/>
          <w:color w:val="000000"/>
          <w:szCs w:val="21"/>
        </w:rPr>
      </w:pPr>
      <w:bookmarkStart w:id="74" w:name="_Toc532820832"/>
      <w:bookmarkStart w:id="75" w:name="_Toc104389731"/>
      <w:r>
        <w:rPr>
          <w:rFonts w:hint="eastAsia" w:hAnsi="黑体"/>
          <w:bCs/>
          <w:color w:val="000000"/>
          <w:szCs w:val="21"/>
        </w:rPr>
        <w:t>评价方法</w:t>
      </w:r>
      <w:bookmarkEnd w:id="74"/>
      <w:bookmarkEnd w:id="75"/>
    </w:p>
    <w:p>
      <w:pPr>
        <w:pStyle w:val="39"/>
        <w:spacing w:before="156" w:after="156"/>
        <w:rPr>
          <w:rFonts w:ascii="Times New Roman" w:eastAsia="宋体"/>
        </w:rPr>
      </w:pPr>
      <w:r>
        <w:rPr>
          <w:rFonts w:hint="eastAsia" w:ascii="宋体" w:hAnsi="宋体" w:eastAsia="宋体"/>
          <w:color w:val="000000"/>
        </w:rPr>
        <w:t>生产企业满足第</w:t>
      </w:r>
      <w:r>
        <w:rPr>
          <w:rFonts w:ascii="Times New Roman" w:eastAsia="宋体"/>
          <w:color w:val="000000"/>
        </w:rPr>
        <w:t>4</w:t>
      </w:r>
      <w:r>
        <w:rPr>
          <w:rFonts w:hint="eastAsia" w:ascii="宋体" w:hAnsi="宋体" w:eastAsia="宋体"/>
          <w:color w:val="000000"/>
        </w:rPr>
        <w:t>章对应评价等级的全部要求时，判定评价结果符合该评价等级规定</w:t>
      </w:r>
      <w:r>
        <w:rPr>
          <w:rFonts w:hint="eastAsia" w:ascii="Times New Roman" w:eastAsia="宋体"/>
        </w:rPr>
        <w:t>。</w:t>
      </w:r>
    </w:p>
    <w:p>
      <w:pPr>
        <w:pStyle w:val="39"/>
        <w:spacing w:before="156" w:after="156"/>
      </w:pPr>
      <w:r>
        <w:rPr>
          <w:rFonts w:hint="eastAsia" w:ascii="Times New Roman" w:eastAsia="宋体"/>
        </w:rPr>
        <w:t>生产企业应按第4章的规定提供相关证明文件。</w:t>
      </w:r>
      <w:bookmarkStart w:id="76" w:name="_Toc532820840"/>
      <w:bookmarkEnd w:id="76"/>
      <w:bookmarkStart w:id="77" w:name="_Toc532820968"/>
      <w:bookmarkEnd w:id="77"/>
      <w:bookmarkStart w:id="78" w:name="_Toc532820967"/>
      <w:bookmarkEnd w:id="78"/>
      <w:bookmarkStart w:id="79" w:name="_Toc532820839"/>
      <w:bookmarkEnd w:id="79"/>
    </w:p>
    <w:sectPr>
      <w:footerReference r:id="rId5"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Times">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 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rPr>
        <w:rFonts w:hint="eastAsia" w:ascii="黑体" w:hAnsi="Times New Roman" w:eastAsia="黑体" w:cs="Times New Roman"/>
        <w:b w:val="0"/>
        <w:i w:val="0"/>
        <w:sz w:val="21"/>
        <w:szCs w:val="21"/>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0"/>
      <w:suff w:val="nothing"/>
      <w:lvlText w:val="%1.%2.%3　"/>
      <w:lvlJc w:val="left"/>
      <w:pPr>
        <w:ind w:left="141"/>
      </w:pPr>
      <w:rPr>
        <w:rFonts w:hint="default" w:ascii="Times New Roman"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57D3FBC"/>
    <w:multiLevelType w:val="multilevel"/>
    <w:tmpl w:val="657D3FBC"/>
    <w:lvl w:ilvl="0" w:tentative="0">
      <w:start w:val="1"/>
      <w:numFmt w:val="upperLetter"/>
      <w:pStyle w:val="42"/>
      <w:suff w:val="nothing"/>
      <w:lvlText w:val="附　录　%1"/>
      <w:lvlJc w:val="left"/>
      <w:pPr>
        <w:ind w:left="3119"/>
      </w:pPr>
      <w:rPr>
        <w:rFonts w:hint="eastAsia" w:ascii="黑体" w:hAnsi="Times New Roman" w:eastAsia="黑体" w:cs="Times New Roman"/>
        <w:b w:val="0"/>
        <w:i w:val="0"/>
        <w:spacing w:val="0"/>
        <w:w w:val="100"/>
        <w:sz w:val="21"/>
      </w:rPr>
    </w:lvl>
    <w:lvl w:ilvl="1" w:tentative="0">
      <w:start w:val="1"/>
      <w:numFmt w:val="decimal"/>
      <w:pStyle w:val="4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D1C216D"/>
    <w:rsid w:val="00D30A99"/>
    <w:rsid w:val="01FF1E15"/>
    <w:rsid w:val="0317446A"/>
    <w:rsid w:val="03DF3D4E"/>
    <w:rsid w:val="04705938"/>
    <w:rsid w:val="04DC74B3"/>
    <w:rsid w:val="056C5D70"/>
    <w:rsid w:val="08DF1F79"/>
    <w:rsid w:val="0B1A34E5"/>
    <w:rsid w:val="0FA45DAA"/>
    <w:rsid w:val="14394E19"/>
    <w:rsid w:val="156601C9"/>
    <w:rsid w:val="17DF3E28"/>
    <w:rsid w:val="18360C3D"/>
    <w:rsid w:val="1B800E7A"/>
    <w:rsid w:val="1C434003"/>
    <w:rsid w:val="1C8833EB"/>
    <w:rsid w:val="1DED1999"/>
    <w:rsid w:val="1F317B77"/>
    <w:rsid w:val="20EF1353"/>
    <w:rsid w:val="22B71A8D"/>
    <w:rsid w:val="23BC4944"/>
    <w:rsid w:val="244D4110"/>
    <w:rsid w:val="261834B5"/>
    <w:rsid w:val="278E0967"/>
    <w:rsid w:val="285B69D3"/>
    <w:rsid w:val="2B477185"/>
    <w:rsid w:val="2D1C216D"/>
    <w:rsid w:val="2E8F2AA0"/>
    <w:rsid w:val="2F727210"/>
    <w:rsid w:val="33F73CD2"/>
    <w:rsid w:val="35763B96"/>
    <w:rsid w:val="36AF6C5F"/>
    <w:rsid w:val="3DCF64F7"/>
    <w:rsid w:val="3F5A49DE"/>
    <w:rsid w:val="3FCB3FB0"/>
    <w:rsid w:val="481E3F27"/>
    <w:rsid w:val="49D86DC3"/>
    <w:rsid w:val="4CD14302"/>
    <w:rsid w:val="51B61DE8"/>
    <w:rsid w:val="52A25A07"/>
    <w:rsid w:val="54624511"/>
    <w:rsid w:val="57683660"/>
    <w:rsid w:val="587839C7"/>
    <w:rsid w:val="5F3538F6"/>
    <w:rsid w:val="624A7A89"/>
    <w:rsid w:val="63227F63"/>
    <w:rsid w:val="63CB19EC"/>
    <w:rsid w:val="65F962C7"/>
    <w:rsid w:val="664A5B6D"/>
    <w:rsid w:val="669A559F"/>
    <w:rsid w:val="67D258B6"/>
    <w:rsid w:val="6894141D"/>
    <w:rsid w:val="6BD64B8C"/>
    <w:rsid w:val="6CC336FC"/>
    <w:rsid w:val="6E005F8D"/>
    <w:rsid w:val="734B7F05"/>
    <w:rsid w:val="78850FF2"/>
    <w:rsid w:val="7AA11D77"/>
    <w:rsid w:val="7AF642ED"/>
    <w:rsid w:val="7D982ECD"/>
    <w:rsid w:val="7F61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ind w:left="0" w:firstLine="0" w:firstLineChars="0"/>
      <w:outlineLvl w:val="0"/>
    </w:pPr>
    <w:rPr>
      <w:rFonts w:ascii="Times New Roman" w:hAnsi="Times New Roman" w:eastAsia="宋体" w:cs="宋体"/>
      <w:bCs/>
      <w:sz w:val="30"/>
      <w:szCs w:val="30"/>
    </w:rPr>
  </w:style>
  <w:style w:type="paragraph" w:styleId="3">
    <w:name w:val="heading 2"/>
    <w:basedOn w:val="1"/>
    <w:next w:val="1"/>
    <w:link w:val="13"/>
    <w:semiHidden/>
    <w:unhideWhenUsed/>
    <w:qFormat/>
    <w:uiPriority w:val="0"/>
    <w:pPr>
      <w:spacing w:line="360" w:lineRule="auto"/>
      <w:ind w:left="0" w:firstLine="0" w:firstLineChars="0"/>
      <w:jc w:val="center"/>
      <w:outlineLvl w:val="1"/>
    </w:pPr>
    <w:rPr>
      <w:b/>
      <w:bCs/>
      <w:szCs w:val="28"/>
    </w:rPr>
  </w:style>
  <w:style w:type="paragraph" w:styleId="4">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rFonts w:ascii="Times New Roman" w:hAnsi="Times New Roman" w:cs="Times New Roman"/>
      <w:b/>
      <w:szCs w:val="28"/>
    </w:rPr>
  </w:style>
  <w:style w:type="paragraph" w:styleId="5">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center"/>
      <w:outlineLvl w:val="3"/>
    </w:pPr>
    <w:rPr>
      <w:rFonts w:eastAsia="黑体" w:cs="Times New Roman"/>
      <w:sz w:val="21"/>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ind w:firstLine="0" w:firstLineChars="0"/>
    </w:pPr>
    <w:rPr>
      <w:rFonts w:ascii="宋体" w:hAnsi="宋体" w:eastAsia="黑体"/>
      <w:sz w:val="21"/>
      <w:szCs w:val="28"/>
    </w:rPr>
  </w:style>
  <w:style w:type="paragraph" w:styleId="7">
    <w:name w:val="toc 1"/>
    <w:basedOn w:val="1"/>
    <w:next w:val="1"/>
    <w:qFormat/>
    <w:uiPriority w:val="39"/>
    <w:pPr>
      <w:tabs>
        <w:tab w:val="right" w:leader="dot" w:pos="9241"/>
      </w:tabs>
      <w:spacing w:beforeLines="25" w:afterLines="25"/>
      <w:jc w:val="left"/>
    </w:pPr>
    <w:rPr>
      <w:rFonts w:ascii="宋体"/>
      <w:szCs w:val="21"/>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Hyperlink"/>
    <w:qFormat/>
    <w:uiPriority w:val="99"/>
    <w:rPr>
      <w:rFonts w:cs="Times New Roman"/>
      <w:color w:val="0000FF"/>
      <w:spacing w:val="0"/>
      <w:w w:val="100"/>
      <w:sz w:val="21"/>
      <w:u w:val="single"/>
      <w:lang w:val="en-US" w:eastAsia="zh-CN"/>
    </w:rPr>
  </w:style>
  <w:style w:type="character" w:customStyle="1" w:styleId="12">
    <w:name w:val="标题 1 字符"/>
    <w:basedOn w:val="10"/>
    <w:link w:val="2"/>
    <w:qFormat/>
    <w:uiPriority w:val="9"/>
    <w:rPr>
      <w:rFonts w:ascii="Times New Roman" w:hAnsi="Times New Roman" w:eastAsia="宋体"/>
      <w:b/>
      <w:bCs/>
      <w:kern w:val="44"/>
      <w:sz w:val="32"/>
      <w:szCs w:val="32"/>
      <w:lang w:val="zh-CN" w:bidi="zh-CN"/>
    </w:rPr>
  </w:style>
  <w:style w:type="character" w:customStyle="1" w:styleId="13">
    <w:name w:val="标题 2 Char"/>
    <w:link w:val="3"/>
    <w:qFormat/>
    <w:uiPriority w:val="0"/>
    <w:rPr>
      <w:rFonts w:ascii="Times New Roman" w:hAnsi="Times New Roman" w:eastAsia="宋体" w:cs="宋体"/>
      <w:b/>
      <w:bCs/>
      <w:sz w:val="28"/>
      <w:szCs w:val="28"/>
      <w:lang w:val="zh-CN" w:bidi="zh-CN"/>
    </w:rPr>
  </w:style>
  <w:style w:type="character" w:customStyle="1" w:styleId="14">
    <w:name w:val="标题 3 Char"/>
    <w:link w:val="4"/>
    <w:qFormat/>
    <w:uiPriority w:val="0"/>
    <w:rPr>
      <w:rFonts w:ascii="Times New Roman" w:hAnsi="Times New Roman" w:eastAsia="宋体" w:cs="Times New Roman"/>
      <w:b/>
      <w:sz w:val="30"/>
      <w:szCs w:val="28"/>
    </w:rPr>
  </w:style>
  <w:style w:type="character" w:customStyle="1" w:styleId="15">
    <w:name w:val="标题 4 Char"/>
    <w:link w:val="5"/>
    <w:qFormat/>
    <w:uiPriority w:val="0"/>
    <w:rPr>
      <w:rFonts w:ascii="Times New Roman" w:hAnsi="Times New Roman" w:eastAsia="宋体" w:cs="Times New Roman"/>
      <w:sz w:val="24"/>
    </w:rPr>
  </w:style>
  <w:style w:type="paragraph" w:customStyle="1" w:styleId="16">
    <w:name w:val="表头"/>
    <w:basedOn w:val="1"/>
    <w:qFormat/>
    <w:uiPriority w:val="0"/>
    <w:pPr>
      <w:ind w:firstLine="0" w:firstLineChars="0"/>
      <w:jc w:val="center"/>
    </w:pPr>
    <w:rPr>
      <w:rFonts w:ascii="Times New Roman" w:hAnsi="Times New Roman" w:eastAsia="黑体" w:cs="Times New Roman"/>
      <w:sz w:val="21"/>
      <w:szCs w:val="21"/>
    </w:rPr>
  </w:style>
  <w:style w:type="paragraph" w:customStyle="1" w:styleId="17">
    <w:name w:val="表文"/>
    <w:basedOn w:val="1"/>
    <w:qFormat/>
    <w:uiPriority w:val="0"/>
    <w:pPr>
      <w:ind w:firstLine="0" w:firstLineChars="0"/>
      <w:jc w:val="center"/>
    </w:pPr>
    <w:rPr>
      <w:rFonts w:ascii="Times New Roman" w:hAnsi="Times New Roman" w:eastAsia="宋体" w:cs="Times New Roman"/>
      <w:sz w:val="21"/>
      <w:szCs w:val="21"/>
    </w:rPr>
  </w:style>
  <w:style w:type="paragraph" w:customStyle="1" w:styleId="1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99"/>
    <w:pPr>
      <w:framePr w:wrap="around"/>
      <w:spacing w:before="370" w:line="400" w:lineRule="exact"/>
    </w:pPr>
    <w:rPr>
      <w:rFonts w:ascii="Times New Roman"/>
      <w:sz w:val="28"/>
      <w:szCs w:val="28"/>
    </w:rPr>
  </w:style>
  <w:style w:type="paragraph" w:customStyle="1" w:styleId="23">
    <w:name w:val="封面一致性程度标识"/>
    <w:basedOn w:val="22"/>
    <w:qFormat/>
    <w:uiPriority w:val="99"/>
    <w:pPr>
      <w:framePr w:wrap="around"/>
      <w:spacing w:before="440"/>
    </w:pPr>
    <w:rPr>
      <w:rFonts w:ascii="宋体" w:eastAsia="宋体"/>
    </w:rPr>
  </w:style>
  <w:style w:type="paragraph" w:customStyle="1" w:styleId="24">
    <w:name w:val="封面标准文稿类别"/>
    <w:basedOn w:val="23"/>
    <w:qFormat/>
    <w:uiPriority w:val="99"/>
    <w:pPr>
      <w:framePr w:wrap="around"/>
      <w:spacing w:after="160" w:line="240" w:lineRule="auto"/>
    </w:pPr>
    <w:rPr>
      <w:sz w:val="24"/>
    </w:rPr>
  </w:style>
  <w:style w:type="paragraph" w:customStyle="1" w:styleId="25">
    <w:name w:val="封面标准文稿编辑信息"/>
    <w:basedOn w:val="24"/>
    <w:qFormat/>
    <w:uiPriority w:val="99"/>
    <w:pPr>
      <w:framePr w:wrap="around"/>
      <w:spacing w:before="180" w:line="180" w:lineRule="exact"/>
    </w:pPr>
    <w:rPr>
      <w:sz w:val="21"/>
    </w:rPr>
  </w:style>
  <w:style w:type="paragraph" w:customStyle="1" w:styleId="26">
    <w:name w:val="其他发布日期"/>
    <w:basedOn w:val="27"/>
    <w:qFormat/>
    <w:uiPriority w:val="99"/>
    <w:pPr>
      <w:framePr w:wrap="around" w:vAnchor="page" w:hAnchor="text" w:x="1419"/>
    </w:pPr>
  </w:style>
  <w:style w:type="paragraph" w:customStyle="1" w:styleId="2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99"/>
    <w:pPr>
      <w:framePr w:wrap="around"/>
    </w:pPr>
  </w:style>
  <w:style w:type="paragraph" w:customStyle="1" w:styleId="29">
    <w:name w:val="实施日期"/>
    <w:basedOn w:val="27"/>
    <w:qFormat/>
    <w:uiPriority w:val="99"/>
    <w:pPr>
      <w:framePr w:wrap="around" w:vAnchor="page" w:hAnchor="text"/>
      <w:jc w:val="right"/>
    </w:pPr>
  </w:style>
  <w:style w:type="paragraph" w:customStyle="1" w:styleId="30">
    <w:name w:val="其他发布部门"/>
    <w:basedOn w:val="31"/>
    <w:qFormat/>
    <w:uiPriority w:val="99"/>
    <w:pPr>
      <w:framePr w:wrap="around" w:y="15310"/>
      <w:spacing w:line="240" w:lineRule="atLeast"/>
    </w:pPr>
    <w:rPr>
      <w:rFonts w:ascii="黑体" w:eastAsia="黑体"/>
      <w:b w:val="0"/>
    </w:rPr>
  </w:style>
  <w:style w:type="paragraph" w:customStyle="1" w:styleId="31">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2">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发布"/>
    <w:qFormat/>
    <w:uiPriority w:val="99"/>
    <w:rPr>
      <w:rFonts w:ascii="黑体" w:eastAsia="黑体"/>
      <w:spacing w:val="85"/>
      <w:w w:val="100"/>
      <w:position w:val="3"/>
      <w:sz w:val="28"/>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前言、引言标题"/>
    <w:next w:val="3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目次、标准名称标题"/>
    <w:basedOn w:val="1"/>
    <w:next w:val="3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章标题"/>
    <w:next w:val="32"/>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38">
    <w:name w:val="List Paragraph"/>
    <w:basedOn w:val="1"/>
    <w:qFormat/>
    <w:uiPriority w:val="99"/>
    <w:pPr>
      <w:ind w:firstLine="420" w:firstLineChars="200"/>
    </w:pPr>
  </w:style>
  <w:style w:type="paragraph" w:customStyle="1" w:styleId="39">
    <w:name w:val="一级条标题"/>
    <w:next w:val="32"/>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二级条标题"/>
    <w:basedOn w:val="39"/>
    <w:next w:val="32"/>
    <w:qFormat/>
    <w:uiPriority w:val="99"/>
    <w:pPr>
      <w:numPr>
        <w:ilvl w:val="2"/>
      </w:numPr>
      <w:spacing w:before="50" w:after="50"/>
      <w:outlineLvl w:val="3"/>
    </w:pPr>
  </w:style>
  <w:style w:type="paragraph" w:customStyle="1" w:styleId="4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附录标识"/>
    <w:basedOn w:val="1"/>
    <w:next w:val="32"/>
    <w:qFormat/>
    <w:uiPriority w:val="99"/>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3">
    <w:name w:val="附录章标题"/>
    <w:next w:val="32"/>
    <w:qFormat/>
    <w:uiPriority w:val="99"/>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4">
    <w:name w:val="终结线"/>
    <w:basedOn w:val="1"/>
    <w:qFormat/>
    <w:uiPriority w:val="99"/>
    <w:pPr>
      <w:framePr w:hSpace="181" w:vSpace="181" w:wrap="around" w:vAnchor="text" w:hAnchor="margin" w:xAlign="center" w:y="285"/>
    </w:pPr>
  </w:style>
  <w:style w:type="paragraph" w:customStyle="1" w:styleId="4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7">
    <w:name w:val="Body text|2"/>
    <w:basedOn w:val="1"/>
    <w:qFormat/>
    <w:uiPriority w:val="0"/>
    <w:pPr>
      <w:spacing w:line="338" w:lineRule="auto"/>
    </w:pPr>
    <w:rPr>
      <w:b/>
      <w:bCs/>
      <w:sz w:val="19"/>
      <w:szCs w:val="19"/>
    </w:rPr>
  </w:style>
  <w:style w:type="paragraph" w:customStyle="1" w:styleId="48">
    <w:name w:val="Body text|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49">
    <w:name w:val="Other|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50">
    <w:name w:val="表格样式 2"/>
    <w:qFormat/>
    <w:uiPriority w:val="0"/>
    <w:pPr>
      <w:framePr w:wrap="around" w:vAnchor="margin" w:hAnchor="text" w:y="1"/>
    </w:pPr>
    <w:rPr>
      <w:rFonts w:ascii="Helvetica" w:hAnsi="Helvetica" w:eastAsia="Helvetica" w:cs="Helvetica"/>
      <w:color w:val="000000"/>
      <w:lang w:val="en-US" w:eastAsia="zh-CN" w:bidi="ar-SA"/>
    </w:rPr>
  </w:style>
  <w:style w:type="paragraph" w:customStyle="1" w:styleId="51">
    <w:name w:val="默认"/>
    <w:qFormat/>
    <w:uiPriority w:val="0"/>
    <w:pPr>
      <w:framePr w:wrap="around" w:vAnchor="margin" w:hAnchor="text" w:y="1"/>
    </w:pPr>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2023-12-04T03:15:00Z</dcterms:created>
  <dc:creator>Linna</dc:creator>
  <cp:lastModifiedBy>Linna</cp:lastModifiedBy>
  <dcterms:modified xsi:type="dcterms:W3CDTF">2023-12-05T10:34:33Z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D90C720A88A0403992B386AE9800A4EE_13</vt:lpwstr>
  </property>
</Properties>
</file>