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080" w:hanging="1080"/>
        <w:jc w:val="center"/>
        <w:rPr>
          <w:rFonts w:cs="Times New Roman"/>
        </w:rPr>
      </w:pPr>
    </w:p>
    <w:p>
      <w:pPr>
        <w:ind w:left="1080" w:hanging="1080"/>
        <w:jc w:val="center"/>
        <w:rPr>
          <w:rFonts w:cs="Times New Roman"/>
        </w:rPr>
      </w:pPr>
    </w:p>
    <w:p>
      <w:pPr>
        <w:ind w:left="1080" w:hanging="1080"/>
        <w:jc w:val="center"/>
        <w:rPr>
          <w:rFonts w:cs="Times New Roman"/>
        </w:rPr>
      </w:pPr>
      <w:r>
        <w:rPr>
          <w:rFonts w:cs="Times New Roman"/>
        </w:rPr>
        <w:drawing>
          <wp:inline distT="0" distB="0" distL="0" distR="0">
            <wp:extent cx="5048250" cy="7085965"/>
            <wp:effectExtent l="0" t="0" r="0" b="635"/>
            <wp:docPr id="15899038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8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49463" cy="7088025"/>
                    </a:xfrm>
                    <a:prstGeom prst="rect">
                      <a:avLst/>
                    </a:prstGeom>
                    <a:noFill/>
                    <a:ln>
                      <a:noFill/>
                    </a:ln>
                  </pic:spPr>
                </pic:pic>
              </a:graphicData>
            </a:graphic>
          </wp:inline>
        </w:drawing>
      </w:r>
    </w:p>
    <w:p>
      <w:pPr>
        <w:ind w:left="1080" w:hanging="1080"/>
        <w:jc w:val="center"/>
        <w:rPr>
          <w:rFonts w:cs="Times New Roman"/>
        </w:rPr>
      </w:pPr>
    </w:p>
    <w:p>
      <w:pPr>
        <w:ind w:left="1080" w:hanging="1080"/>
        <w:jc w:val="center"/>
        <w:rPr>
          <w:rFonts w:cs="Times New Roman"/>
        </w:rPr>
      </w:pPr>
    </w:p>
    <w:p>
      <w:pPr>
        <w:ind w:left="1080" w:hanging="1080"/>
        <w:jc w:val="center"/>
        <w:rPr>
          <w:rFonts w:cs="Times New Roman"/>
        </w:rPr>
      </w:pPr>
    </w:p>
    <w:p>
      <w:pPr>
        <w:ind w:left="1080" w:hanging="1080"/>
        <w:jc w:val="center"/>
        <w:rPr>
          <w:rFonts w:cs="Times New Roman"/>
        </w:rPr>
      </w:pPr>
    </w:p>
    <w:p>
      <w:pPr>
        <w:jc w:val="center"/>
        <w:rPr>
          <w:sz w:val="32"/>
          <w:szCs w:val="32"/>
        </w:rPr>
      </w:pPr>
      <w:bookmarkStart w:id="0" w:name="_Toc20904"/>
      <w:bookmarkStart w:id="1" w:name="_Toc124956590"/>
      <w:bookmarkStart w:id="2" w:name="_Toc13690"/>
      <w:bookmarkStart w:id="3" w:name="_Toc124955383"/>
      <w:r>
        <w:rPr>
          <w:sz w:val="32"/>
          <w:szCs w:val="32"/>
        </w:rPr>
        <w:t>前言</w:t>
      </w:r>
      <w:bookmarkEnd w:id="0"/>
      <w:bookmarkEnd w:id="1"/>
      <w:bookmarkEnd w:id="2"/>
      <w:bookmarkEnd w:id="3"/>
    </w:p>
    <w:p>
      <w:pPr>
        <w:adjustRightInd w:val="0"/>
        <w:snapToGrid w:val="0"/>
        <w:ind w:firstLine="480" w:firstLineChars="200"/>
        <w:rPr>
          <w:rFonts w:eastAsia="仿宋_GB2312" w:cs="Times New Roman"/>
          <w:sz w:val="24"/>
          <w:szCs w:val="24"/>
        </w:rPr>
      </w:pPr>
    </w:p>
    <w:p>
      <w:pPr>
        <w:ind w:firstLine="420" w:firstLineChars="200"/>
      </w:pPr>
      <w:r>
        <w:t>根据中国工程建设标准化协会xxxxxx文的要求，编制CECS《预应力铝合金结构技术规程》。</w:t>
      </w:r>
    </w:p>
    <w:p>
      <w:pPr>
        <w:ind w:firstLine="420" w:firstLineChars="200"/>
      </w:pPr>
      <w:r>
        <w:t>本标准的主要内容是：1.总则；2.术语和符号；3.基本设计规定；4.材料和锚具；5.结构体系与基本构造；6.结构设计与分析；7.节点设计与构造；8.施工及验收；9. 防护和检测监测。</w:t>
      </w:r>
    </w:p>
    <w:p>
      <w:pPr>
        <w:ind w:firstLine="420" w:firstLineChars="200"/>
      </w:pPr>
      <w:r>
        <w:t>本标准由中国工程建设标准化协会负责管理。</w:t>
      </w:r>
    </w:p>
    <w:p>
      <w:r>
        <w:t>本标准起草单位：</w:t>
      </w:r>
    </w:p>
    <w:p>
      <w:pPr>
        <w:rPr>
          <w:rFonts w:eastAsia="仿宋"/>
        </w:rPr>
      </w:pPr>
      <w:r>
        <w:rPr>
          <w:rFonts w:eastAsia="仿宋"/>
        </w:rPr>
        <w:t>亚太</w:t>
      </w:r>
    </w:p>
    <w:p>
      <w:pPr>
        <w:rPr>
          <w:rFonts w:eastAsia="仿宋"/>
        </w:rPr>
      </w:pPr>
      <w:r>
        <w:rPr>
          <w:rFonts w:eastAsia="仿宋"/>
        </w:rPr>
        <w:t>同济大学</w:t>
      </w:r>
    </w:p>
    <w:p>
      <w:pPr>
        <w:rPr>
          <w:rFonts w:eastAsiaTheme="majorEastAsia"/>
        </w:rPr>
        <w:sectPr>
          <w:footerReference r:id="rId5" w:type="default"/>
          <w:pgSz w:w="11906" w:h="16838"/>
          <w:pgMar w:top="1440" w:right="1800" w:bottom="1440" w:left="1800" w:header="851" w:footer="992" w:gutter="0"/>
          <w:cols w:space="425" w:num="1"/>
          <w:docGrid w:type="lines" w:linePitch="312" w:charSpace="0"/>
        </w:sectPr>
      </w:pPr>
      <w:r>
        <w:rPr>
          <w:rFonts w:eastAsiaTheme="majorEastAsia"/>
        </w:rPr>
        <w:t>本标准主要起草人员：</w:t>
      </w:r>
    </w:p>
    <w:p>
      <w:pPr>
        <w:pStyle w:val="17"/>
        <w:tabs>
          <w:tab w:val="right" w:leader="dot" w:pos="8296"/>
        </w:tabs>
        <w:jc w:val="center"/>
        <w:rPr>
          <w:rFonts w:eastAsia="黑体" w:cs="Times New Roman"/>
          <w:b w:val="0"/>
          <w:bCs w:val="0"/>
          <w:spacing w:val="12"/>
          <w:szCs w:val="21"/>
        </w:rPr>
      </w:pPr>
      <w:r>
        <w:rPr>
          <w:rFonts w:hint="eastAsia" w:eastAsia="黑体" w:cs="Times New Roman"/>
          <w:b w:val="0"/>
          <w:bCs w:val="0"/>
          <w:spacing w:val="12"/>
          <w:szCs w:val="21"/>
        </w:rPr>
        <w:t xml:space="preserve">目 </w:t>
      </w:r>
      <w:r>
        <w:rPr>
          <w:rFonts w:eastAsia="黑体" w:cs="Times New Roman"/>
          <w:b w:val="0"/>
          <w:bCs w:val="0"/>
          <w:spacing w:val="12"/>
          <w:szCs w:val="21"/>
        </w:rPr>
        <w:t xml:space="preserve"> </w:t>
      </w:r>
      <w:r>
        <w:rPr>
          <w:rFonts w:hint="eastAsia" w:eastAsia="黑体" w:cs="Times New Roman"/>
          <w:b w:val="0"/>
          <w:bCs w:val="0"/>
          <w:spacing w:val="12"/>
          <w:szCs w:val="21"/>
        </w:rPr>
        <w:t>录</w:t>
      </w:r>
    </w:p>
    <w:p>
      <w:pPr>
        <w:pStyle w:val="17"/>
        <w:tabs>
          <w:tab w:val="right" w:leader="dot" w:pos="8296"/>
        </w:tabs>
        <w:rPr>
          <w:rFonts w:cstheme="minorBidi"/>
          <w:b w:val="0"/>
          <w:bCs w:val="0"/>
          <w:caps w:val="0"/>
          <w:sz w:val="21"/>
          <w:szCs w:val="22"/>
        </w:rPr>
      </w:pPr>
      <w:r>
        <w:rPr>
          <w:rFonts w:eastAsia="黑体" w:cs="Times New Roman"/>
          <w:b w:val="0"/>
          <w:bCs w:val="0"/>
          <w:spacing w:val="12"/>
          <w:szCs w:val="21"/>
        </w:rPr>
        <w:fldChar w:fldCharType="begin"/>
      </w:r>
      <w:r>
        <w:rPr>
          <w:rFonts w:eastAsia="黑体" w:cs="Times New Roman"/>
          <w:b w:val="0"/>
          <w:bCs w:val="0"/>
          <w:spacing w:val="12"/>
          <w:szCs w:val="21"/>
        </w:rPr>
        <w:instrText xml:space="preserve"> TOC \o "1-2" \h \z \u </w:instrText>
      </w:r>
      <w:r>
        <w:rPr>
          <w:rFonts w:eastAsia="黑体" w:cs="Times New Roman"/>
          <w:b w:val="0"/>
          <w:bCs w:val="0"/>
          <w:spacing w:val="12"/>
          <w:szCs w:val="21"/>
        </w:rPr>
        <w:fldChar w:fldCharType="separate"/>
      </w:r>
      <w:r>
        <w:fldChar w:fldCharType="begin"/>
      </w:r>
      <w:r>
        <w:instrText xml:space="preserve"> HYPERLINK \l "_Toc152589544" </w:instrText>
      </w:r>
      <w:r>
        <w:fldChar w:fldCharType="separate"/>
      </w:r>
      <w:r>
        <w:rPr>
          <w:rStyle w:val="33"/>
        </w:rPr>
        <w:t xml:space="preserve">1 </w:t>
      </w:r>
      <w:r>
        <w:rPr>
          <w:rStyle w:val="33"/>
          <w:rFonts w:hint="eastAsia"/>
        </w:rPr>
        <w:t>总则</w:t>
      </w:r>
      <w:r>
        <w:tab/>
      </w:r>
      <w:r>
        <w:fldChar w:fldCharType="begin"/>
      </w:r>
      <w:r>
        <w:instrText xml:space="preserve"> PAGEREF _Toc152589544 \h </w:instrText>
      </w:r>
      <w:r>
        <w:fldChar w:fldCharType="separate"/>
      </w:r>
      <w:r>
        <w:t>1</w:t>
      </w:r>
      <w:r>
        <w:fldChar w:fldCharType="end"/>
      </w:r>
      <w:r>
        <w:fldChar w:fldCharType="end"/>
      </w:r>
    </w:p>
    <w:p>
      <w:pPr>
        <w:pStyle w:val="17"/>
        <w:tabs>
          <w:tab w:val="right" w:leader="dot" w:pos="8296"/>
        </w:tabs>
        <w:rPr>
          <w:rFonts w:cstheme="minorBidi"/>
          <w:b w:val="0"/>
          <w:bCs w:val="0"/>
          <w:caps w:val="0"/>
          <w:sz w:val="21"/>
          <w:szCs w:val="22"/>
        </w:rPr>
      </w:pPr>
      <w:r>
        <w:fldChar w:fldCharType="begin"/>
      </w:r>
      <w:r>
        <w:instrText xml:space="preserve"> HYPERLINK \l "_Toc152589545" </w:instrText>
      </w:r>
      <w:r>
        <w:fldChar w:fldCharType="separate"/>
      </w:r>
      <w:r>
        <w:rPr>
          <w:rStyle w:val="33"/>
        </w:rPr>
        <w:t xml:space="preserve">2 </w:t>
      </w:r>
      <w:r>
        <w:rPr>
          <w:rStyle w:val="33"/>
          <w:rFonts w:hint="eastAsia"/>
        </w:rPr>
        <w:t>术语和符号</w:t>
      </w:r>
      <w:r>
        <w:tab/>
      </w:r>
      <w:r>
        <w:fldChar w:fldCharType="begin"/>
      </w:r>
      <w:r>
        <w:instrText xml:space="preserve"> PAGEREF _Toc152589545 \h </w:instrText>
      </w:r>
      <w:r>
        <w:fldChar w:fldCharType="separate"/>
      </w:r>
      <w:r>
        <w:t>2</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"_Toc152589546" </w:instrText>
      </w:r>
      <w:r>
        <w:fldChar w:fldCharType="separate"/>
      </w:r>
      <w:r>
        <w:rPr>
          <w:rStyle w:val="33"/>
        </w:rPr>
        <w:t xml:space="preserve">2.1 </w:t>
      </w:r>
      <w:r>
        <w:rPr>
          <w:rStyle w:val="33"/>
          <w:rFonts w:hint="eastAsia"/>
        </w:rPr>
        <w:t>术语</w:t>
      </w:r>
      <w:r>
        <w:tab/>
      </w:r>
      <w:r>
        <w:fldChar w:fldCharType="begin"/>
      </w:r>
      <w:r>
        <w:instrText xml:space="preserve"> PAGEREF _Toc152589546 \h </w:instrText>
      </w:r>
      <w:r>
        <w:fldChar w:fldCharType="separate"/>
      </w:r>
      <w:r>
        <w:t>2</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"_Toc152589547" </w:instrText>
      </w:r>
      <w:r>
        <w:fldChar w:fldCharType="separate"/>
      </w:r>
      <w:r>
        <w:rPr>
          <w:rStyle w:val="33"/>
        </w:rPr>
        <w:t xml:space="preserve">2.2 </w:t>
      </w:r>
      <w:r>
        <w:rPr>
          <w:rStyle w:val="33"/>
          <w:rFonts w:hint="eastAsia"/>
        </w:rPr>
        <w:t>符号</w:t>
      </w:r>
      <w:r>
        <w:tab/>
      </w:r>
      <w:r>
        <w:fldChar w:fldCharType="begin"/>
      </w:r>
      <w:r>
        <w:instrText xml:space="preserve"> PAGEREF _Toc152589547 \h </w:instrText>
      </w:r>
      <w:r>
        <w:fldChar w:fldCharType="separate"/>
      </w:r>
      <w:r>
        <w:t>4</w:t>
      </w:r>
      <w:r>
        <w:fldChar w:fldCharType="end"/>
      </w:r>
      <w:r>
        <w:fldChar w:fldCharType="end"/>
      </w:r>
    </w:p>
    <w:p>
      <w:pPr>
        <w:pStyle w:val="17"/>
        <w:tabs>
          <w:tab w:val="right" w:leader="dot" w:pos="8296"/>
        </w:tabs>
        <w:rPr>
          <w:rFonts w:cstheme="minorBidi"/>
          <w:b w:val="0"/>
          <w:bCs w:val="0"/>
          <w:caps w:val="0"/>
          <w:sz w:val="21"/>
          <w:szCs w:val="22"/>
        </w:rPr>
      </w:pPr>
      <w:r>
        <w:fldChar w:fldCharType="begin"/>
      </w:r>
      <w:r>
        <w:instrText xml:space="preserve"> HYPERLINK \l "_Toc152589548" </w:instrText>
      </w:r>
      <w:r>
        <w:fldChar w:fldCharType="separate"/>
      </w:r>
      <w:r>
        <w:rPr>
          <w:rStyle w:val="33"/>
        </w:rPr>
        <w:t xml:space="preserve">3 </w:t>
      </w:r>
      <w:r>
        <w:rPr>
          <w:rStyle w:val="33"/>
          <w:rFonts w:hint="eastAsia"/>
        </w:rPr>
        <w:t>材料</w:t>
      </w:r>
      <w:r>
        <w:tab/>
      </w:r>
      <w:r>
        <w:fldChar w:fldCharType="begin"/>
      </w:r>
      <w:r>
        <w:instrText xml:space="preserve"> PAGEREF _Toc152589548 \h </w:instrText>
      </w:r>
      <w:r>
        <w:fldChar w:fldCharType="separate"/>
      </w:r>
      <w:r>
        <w:t>5</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"_Toc152589549" </w:instrText>
      </w:r>
      <w:r>
        <w:fldChar w:fldCharType="separate"/>
      </w:r>
      <w:r>
        <w:rPr>
          <w:rStyle w:val="33"/>
        </w:rPr>
        <w:t xml:space="preserve">3.1 </w:t>
      </w:r>
      <w:r>
        <w:rPr>
          <w:rStyle w:val="33"/>
          <w:rFonts w:hint="eastAsia"/>
        </w:rPr>
        <w:t>结构铝</w:t>
      </w:r>
      <w:r>
        <w:tab/>
      </w:r>
      <w:r>
        <w:fldChar w:fldCharType="begin"/>
      </w:r>
      <w:r>
        <w:instrText xml:space="preserve"> PAGEREF _Toc152589549 \h </w:instrText>
      </w:r>
      <w:r>
        <w:fldChar w:fldCharType="separate"/>
      </w:r>
      <w:r>
        <w:t>5</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"_Toc152589550" </w:instrText>
      </w:r>
      <w:r>
        <w:fldChar w:fldCharType="separate"/>
      </w:r>
      <w:r>
        <w:rPr>
          <w:rStyle w:val="33"/>
        </w:rPr>
        <w:t xml:space="preserve">3.2 </w:t>
      </w:r>
      <w:r>
        <w:rPr>
          <w:rStyle w:val="33"/>
          <w:rFonts w:hint="eastAsia"/>
        </w:rPr>
        <w:t>不锈钢</w:t>
      </w:r>
      <w:r>
        <w:tab/>
      </w:r>
      <w:r>
        <w:fldChar w:fldCharType="begin"/>
      </w:r>
      <w:r>
        <w:instrText xml:space="preserve"> PAGEREF _Toc152589550 \h </w:instrText>
      </w:r>
      <w:r>
        <w:fldChar w:fldCharType="separate"/>
      </w:r>
      <w:r>
        <w:t>5</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"_Toc152589551" </w:instrText>
      </w:r>
      <w:r>
        <w:fldChar w:fldCharType="separate"/>
      </w:r>
      <w:r>
        <w:rPr>
          <w:rStyle w:val="33"/>
        </w:rPr>
        <w:t>3.3</w:t>
      </w:r>
      <w:r>
        <w:rPr>
          <w:rStyle w:val="33"/>
          <w:rFonts w:hint="eastAsia"/>
        </w:rPr>
        <w:t>连接材料</w:t>
      </w:r>
      <w:r>
        <w:tab/>
      </w:r>
      <w:r>
        <w:fldChar w:fldCharType="begin"/>
      </w:r>
      <w:r>
        <w:instrText xml:space="preserve"> PAGEREF _Toc152589551 \h </w:instrText>
      </w:r>
      <w:r>
        <w:fldChar w:fldCharType="separate"/>
      </w:r>
      <w:r>
        <w:t>5</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"_Toc152589552" </w:instrText>
      </w:r>
      <w:r>
        <w:fldChar w:fldCharType="separate"/>
      </w:r>
      <w:r>
        <w:rPr>
          <w:rStyle w:val="33"/>
        </w:rPr>
        <w:t xml:space="preserve">3.4 </w:t>
      </w:r>
      <w:r>
        <w:rPr>
          <w:rStyle w:val="33"/>
          <w:rFonts w:hint="eastAsia"/>
        </w:rPr>
        <w:t>索体材料</w:t>
      </w:r>
      <w:r>
        <w:tab/>
      </w:r>
      <w:r>
        <w:fldChar w:fldCharType="begin"/>
      </w:r>
      <w:r>
        <w:instrText xml:space="preserve"> PAGEREF _Toc152589552 \h </w:instrText>
      </w:r>
      <w:r>
        <w:fldChar w:fldCharType="separate"/>
      </w:r>
      <w:r>
        <w:t>6</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"_Toc152589553" </w:instrText>
      </w:r>
      <w:r>
        <w:fldChar w:fldCharType="separate"/>
      </w:r>
      <w:r>
        <w:rPr>
          <w:rStyle w:val="33"/>
        </w:rPr>
        <w:t xml:space="preserve">3.5 </w:t>
      </w:r>
      <w:r>
        <w:rPr>
          <w:rStyle w:val="33"/>
          <w:rFonts w:hint="eastAsia"/>
        </w:rPr>
        <w:t>锚具</w:t>
      </w:r>
      <w:r>
        <w:tab/>
      </w:r>
      <w:r>
        <w:fldChar w:fldCharType="begin"/>
      </w:r>
      <w:r>
        <w:instrText xml:space="preserve"> PAGEREF _Toc152589553 \h </w:instrText>
      </w:r>
      <w:r>
        <w:fldChar w:fldCharType="separate"/>
      </w:r>
      <w:r>
        <w:t>7</w:t>
      </w:r>
      <w:r>
        <w:fldChar w:fldCharType="end"/>
      </w:r>
      <w:r>
        <w:fldChar w:fldCharType="end"/>
      </w:r>
    </w:p>
    <w:p>
      <w:pPr>
        <w:pStyle w:val="17"/>
        <w:tabs>
          <w:tab w:val="right" w:leader="dot" w:pos="8296"/>
        </w:tabs>
        <w:rPr>
          <w:rFonts w:cstheme="minorBidi"/>
          <w:b w:val="0"/>
          <w:bCs w:val="0"/>
          <w:caps w:val="0"/>
          <w:sz w:val="21"/>
          <w:szCs w:val="22"/>
        </w:rPr>
      </w:pPr>
      <w:r>
        <w:fldChar w:fldCharType="begin"/>
      </w:r>
      <w:r>
        <w:instrText xml:space="preserve"> HYPERLINK \l "_Toc152589554" </w:instrText>
      </w:r>
      <w:r>
        <w:fldChar w:fldCharType="separate"/>
      </w:r>
      <w:r>
        <w:rPr>
          <w:rStyle w:val="33"/>
        </w:rPr>
        <w:t xml:space="preserve">4 </w:t>
      </w:r>
      <w:r>
        <w:rPr>
          <w:rStyle w:val="33"/>
          <w:rFonts w:hint="eastAsia"/>
        </w:rPr>
        <w:t>设计基本规定</w:t>
      </w:r>
      <w:r>
        <w:tab/>
      </w:r>
      <w:r>
        <w:fldChar w:fldCharType="begin"/>
      </w:r>
      <w:r>
        <w:instrText xml:space="preserve"> PAGEREF _Toc152589554 \h </w:instrText>
      </w:r>
      <w:r>
        <w:fldChar w:fldCharType="separate"/>
      </w:r>
      <w:r>
        <w:t>8</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"_Toc152589555" </w:instrText>
      </w:r>
      <w:r>
        <w:fldChar w:fldCharType="separate"/>
      </w:r>
      <w:r>
        <w:rPr>
          <w:rStyle w:val="33"/>
        </w:rPr>
        <w:t>4.1</w:t>
      </w:r>
      <w:r>
        <w:rPr>
          <w:rStyle w:val="33"/>
          <w:rFonts w:hint="eastAsia"/>
        </w:rPr>
        <w:t>设计原则</w:t>
      </w:r>
      <w:r>
        <w:tab/>
      </w:r>
      <w:r>
        <w:fldChar w:fldCharType="begin"/>
      </w:r>
      <w:r>
        <w:instrText xml:space="preserve"> PAGEREF _Toc152589555 \h </w:instrText>
      </w:r>
      <w:r>
        <w:fldChar w:fldCharType="separate"/>
      </w:r>
      <w:r>
        <w:t>8</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"_Toc152589556" </w:instrText>
      </w:r>
      <w:r>
        <w:fldChar w:fldCharType="separate"/>
      </w:r>
      <w:r>
        <w:rPr>
          <w:rStyle w:val="33"/>
        </w:rPr>
        <w:t>4.2</w:t>
      </w:r>
      <w:r>
        <w:rPr>
          <w:rStyle w:val="33"/>
          <w:rFonts w:hint="eastAsia"/>
        </w:rPr>
        <w:t>荷载与作用</w:t>
      </w:r>
      <w:r>
        <w:tab/>
      </w:r>
      <w:r>
        <w:fldChar w:fldCharType="begin"/>
      </w:r>
      <w:r>
        <w:instrText xml:space="preserve"> PAGEREF _Toc152589556 \h </w:instrText>
      </w:r>
      <w:r>
        <w:fldChar w:fldCharType="separate"/>
      </w:r>
      <w:r>
        <w:t>9</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"_Toc152589557" </w:instrText>
      </w:r>
      <w:r>
        <w:fldChar w:fldCharType="separate"/>
      </w:r>
      <w:r>
        <w:rPr>
          <w:rStyle w:val="33"/>
        </w:rPr>
        <w:t>4.3</w:t>
      </w:r>
      <w:r>
        <w:rPr>
          <w:rStyle w:val="33"/>
          <w:rFonts w:hint="eastAsia"/>
        </w:rPr>
        <w:t>结构变形</w:t>
      </w:r>
      <w:r>
        <w:tab/>
      </w:r>
      <w:r>
        <w:fldChar w:fldCharType="begin"/>
      </w:r>
      <w:r>
        <w:instrText xml:space="preserve"> PAGEREF _Toc152589557 \h </w:instrText>
      </w:r>
      <w:r>
        <w:fldChar w:fldCharType="separate"/>
      </w:r>
      <w:r>
        <w:t>9</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"_Toc152589558" </w:instrText>
      </w:r>
      <w:r>
        <w:fldChar w:fldCharType="separate"/>
      </w:r>
      <w:r>
        <w:rPr>
          <w:rStyle w:val="33"/>
        </w:rPr>
        <w:t xml:space="preserve">4.4 </w:t>
      </w:r>
      <w:r>
        <w:rPr>
          <w:rStyle w:val="33"/>
          <w:rFonts w:hint="eastAsia"/>
        </w:rPr>
        <w:t>结构分析</w:t>
      </w:r>
      <w:r>
        <w:tab/>
      </w:r>
      <w:r>
        <w:fldChar w:fldCharType="begin"/>
      </w:r>
      <w:r>
        <w:instrText xml:space="preserve"> PAGEREF _Toc152589558 \h </w:instrText>
      </w:r>
      <w:r>
        <w:fldChar w:fldCharType="separate"/>
      </w:r>
      <w:r>
        <w:t>10</w:t>
      </w:r>
      <w:r>
        <w:fldChar w:fldCharType="end"/>
      </w:r>
      <w:r>
        <w:fldChar w:fldCharType="end"/>
      </w:r>
    </w:p>
    <w:p>
      <w:pPr>
        <w:pStyle w:val="17"/>
        <w:tabs>
          <w:tab w:val="right" w:leader="dot" w:pos="8296"/>
        </w:tabs>
        <w:rPr>
          <w:rFonts w:cstheme="minorBidi"/>
          <w:b w:val="0"/>
          <w:bCs w:val="0"/>
          <w:caps w:val="0"/>
          <w:sz w:val="21"/>
          <w:szCs w:val="22"/>
        </w:rPr>
      </w:pPr>
      <w:r>
        <w:fldChar w:fldCharType="begin"/>
      </w:r>
      <w:r>
        <w:instrText xml:space="preserve"> HYPERLINK \l "_Toc152589559" </w:instrText>
      </w:r>
      <w:r>
        <w:fldChar w:fldCharType="separate"/>
      </w:r>
      <w:r>
        <w:rPr>
          <w:rStyle w:val="33"/>
        </w:rPr>
        <w:t xml:space="preserve">5 </w:t>
      </w:r>
      <w:r>
        <w:rPr>
          <w:rStyle w:val="33"/>
          <w:rFonts w:hint="eastAsia"/>
        </w:rPr>
        <w:t>结构体系与基本构造</w:t>
      </w:r>
      <w:r>
        <w:tab/>
      </w:r>
      <w:r>
        <w:fldChar w:fldCharType="begin"/>
      </w:r>
      <w:r>
        <w:instrText xml:space="preserve"> PAGEREF _Toc152589559 \h </w:instrText>
      </w:r>
      <w:r>
        <w:fldChar w:fldCharType="separate"/>
      </w:r>
      <w:r>
        <w:t>11</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"_Toc152589560" </w:instrText>
      </w:r>
      <w:r>
        <w:fldChar w:fldCharType="separate"/>
      </w:r>
      <w:r>
        <w:rPr>
          <w:rStyle w:val="33"/>
        </w:rPr>
        <w:t xml:space="preserve">5.1 </w:t>
      </w:r>
      <w:r>
        <w:rPr>
          <w:rStyle w:val="33"/>
          <w:rFonts w:hint="eastAsia"/>
        </w:rPr>
        <w:t>一般规定</w:t>
      </w:r>
      <w:r>
        <w:tab/>
      </w:r>
      <w:r>
        <w:fldChar w:fldCharType="begin"/>
      </w:r>
      <w:r>
        <w:instrText xml:space="preserve"> PAGEREF _Toc152589560 \h </w:instrText>
      </w:r>
      <w:r>
        <w:fldChar w:fldCharType="separate"/>
      </w:r>
      <w:r>
        <w:t>11</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"_Toc152589561" </w:instrText>
      </w:r>
      <w:r>
        <w:fldChar w:fldCharType="separate"/>
      </w:r>
      <w:r>
        <w:rPr>
          <w:rStyle w:val="33"/>
        </w:rPr>
        <w:t xml:space="preserve">5.2 </w:t>
      </w:r>
      <w:r>
        <w:rPr>
          <w:rStyle w:val="33"/>
          <w:rFonts w:hint="eastAsia"/>
        </w:rPr>
        <w:t>索支承铝合金结构</w:t>
      </w:r>
      <w:r>
        <w:tab/>
      </w:r>
      <w:r>
        <w:fldChar w:fldCharType="begin"/>
      </w:r>
      <w:r>
        <w:instrText xml:space="preserve"> PAGEREF _Toc152589561 \h </w:instrText>
      </w:r>
      <w:r>
        <w:fldChar w:fldCharType="separate"/>
      </w:r>
      <w:r>
        <w:t>11</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"_Toc152589562" </w:instrText>
      </w:r>
      <w:r>
        <w:fldChar w:fldCharType="separate"/>
      </w:r>
      <w:r>
        <w:rPr>
          <w:rStyle w:val="33"/>
        </w:rPr>
        <w:t xml:space="preserve">5.3 </w:t>
      </w:r>
      <w:r>
        <w:rPr>
          <w:rStyle w:val="33"/>
          <w:rFonts w:hint="eastAsia"/>
        </w:rPr>
        <w:t>斜拉和吊挂铝合金结构</w:t>
      </w:r>
      <w:r>
        <w:tab/>
      </w:r>
      <w:r>
        <w:fldChar w:fldCharType="begin"/>
      </w:r>
      <w:r>
        <w:instrText xml:space="preserve"> PAGEREF _Toc152589562 \h </w:instrText>
      </w:r>
      <w:r>
        <w:fldChar w:fldCharType="separate"/>
      </w:r>
      <w:r>
        <w:t>12</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"_Toc152589563" </w:instrText>
      </w:r>
      <w:r>
        <w:fldChar w:fldCharType="separate"/>
      </w:r>
      <w:r>
        <w:rPr>
          <w:rStyle w:val="33"/>
        </w:rPr>
        <w:t xml:space="preserve">5.4 </w:t>
      </w:r>
      <w:r>
        <w:rPr>
          <w:rStyle w:val="33"/>
          <w:rFonts w:hint="eastAsia"/>
        </w:rPr>
        <w:t>张拉铝合金塔架和桅杆</w:t>
      </w:r>
      <w:r>
        <w:tab/>
      </w:r>
      <w:r>
        <w:fldChar w:fldCharType="begin"/>
      </w:r>
      <w:r>
        <w:instrText xml:space="preserve"> PAGEREF _Toc152589563 \h </w:instrText>
      </w:r>
      <w:r>
        <w:fldChar w:fldCharType="separate"/>
      </w:r>
      <w:r>
        <w:t>12</w:t>
      </w:r>
      <w:r>
        <w:fldChar w:fldCharType="end"/>
      </w:r>
      <w:r>
        <w:fldChar w:fldCharType="end"/>
      </w:r>
    </w:p>
    <w:p>
      <w:pPr>
        <w:pStyle w:val="17"/>
        <w:tabs>
          <w:tab w:val="right" w:leader="dot" w:pos="8296"/>
        </w:tabs>
        <w:rPr>
          <w:rFonts w:cstheme="minorBidi"/>
          <w:b w:val="0"/>
          <w:bCs w:val="0"/>
          <w:caps w:val="0"/>
          <w:sz w:val="21"/>
          <w:szCs w:val="22"/>
        </w:rPr>
      </w:pPr>
      <w:r>
        <w:fldChar w:fldCharType="begin"/>
      </w:r>
      <w:r>
        <w:instrText xml:space="preserve"> HYPERLINK \l "_Toc152589564" </w:instrText>
      </w:r>
      <w:r>
        <w:fldChar w:fldCharType="separate"/>
      </w:r>
      <w:r>
        <w:rPr>
          <w:rStyle w:val="33"/>
        </w:rPr>
        <w:t xml:space="preserve">6 </w:t>
      </w:r>
      <w:r>
        <w:rPr>
          <w:rStyle w:val="33"/>
          <w:rFonts w:hint="eastAsia"/>
        </w:rPr>
        <w:t>结构设计与计算</w:t>
      </w:r>
      <w:r>
        <w:tab/>
      </w:r>
      <w:r>
        <w:fldChar w:fldCharType="begin"/>
      </w:r>
      <w:r>
        <w:instrText xml:space="preserve"> PAGEREF _Toc152589564 \h </w:instrText>
      </w:r>
      <w:r>
        <w:fldChar w:fldCharType="separate"/>
      </w:r>
      <w:r>
        <w:t>13</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"_Toc152589565" </w:instrText>
      </w:r>
      <w:r>
        <w:fldChar w:fldCharType="separate"/>
      </w:r>
      <w:r>
        <w:rPr>
          <w:rStyle w:val="33"/>
        </w:rPr>
        <w:t xml:space="preserve">6.1 </w:t>
      </w:r>
      <w:r>
        <w:rPr>
          <w:rStyle w:val="33"/>
          <w:rFonts w:hint="eastAsia"/>
        </w:rPr>
        <w:t>一般规定</w:t>
      </w:r>
      <w:r>
        <w:tab/>
      </w:r>
      <w:r>
        <w:fldChar w:fldCharType="begin"/>
      </w:r>
      <w:r>
        <w:instrText xml:space="preserve"> PAGEREF _Toc152589565 \h </w:instrText>
      </w:r>
      <w:r>
        <w:fldChar w:fldCharType="separate"/>
      </w:r>
      <w:r>
        <w:t>13</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"_Toc152589566" </w:instrText>
      </w:r>
      <w:r>
        <w:fldChar w:fldCharType="separate"/>
      </w:r>
      <w:r>
        <w:rPr>
          <w:rStyle w:val="33"/>
        </w:rPr>
        <w:t xml:space="preserve">6.2 </w:t>
      </w:r>
      <w:r>
        <w:rPr>
          <w:rStyle w:val="33"/>
          <w:rFonts w:hint="eastAsia"/>
        </w:rPr>
        <w:t>结构设计</w:t>
      </w:r>
      <w:r>
        <w:tab/>
      </w:r>
      <w:r>
        <w:fldChar w:fldCharType="begin"/>
      </w:r>
      <w:r>
        <w:instrText xml:space="preserve"> PAGEREF _Toc152589566 \h </w:instrText>
      </w:r>
      <w:r>
        <w:fldChar w:fldCharType="separate"/>
      </w:r>
      <w:r>
        <w:t>13</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"_Toc152589567" </w:instrText>
      </w:r>
      <w:r>
        <w:fldChar w:fldCharType="separate"/>
      </w:r>
      <w:r>
        <w:rPr>
          <w:rStyle w:val="33"/>
        </w:rPr>
        <w:t xml:space="preserve">6.3 </w:t>
      </w:r>
      <w:r>
        <w:rPr>
          <w:rStyle w:val="33"/>
          <w:rFonts w:hint="eastAsia"/>
        </w:rPr>
        <w:t>结构初始状态的计算分析</w:t>
      </w:r>
      <w:r>
        <w:tab/>
      </w:r>
      <w:r>
        <w:fldChar w:fldCharType="begin"/>
      </w:r>
      <w:r>
        <w:instrText xml:space="preserve"> PAGEREF _Toc152589567 \h </w:instrText>
      </w:r>
      <w:r>
        <w:fldChar w:fldCharType="separate"/>
      </w:r>
      <w:r>
        <w:t>14</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"_Toc152589568" </w:instrText>
      </w:r>
      <w:r>
        <w:fldChar w:fldCharType="separate"/>
      </w:r>
      <w:r>
        <w:rPr>
          <w:rStyle w:val="33"/>
        </w:rPr>
        <w:t xml:space="preserve">6.4 </w:t>
      </w:r>
      <w:r>
        <w:rPr>
          <w:rStyle w:val="33"/>
          <w:rFonts w:hint="eastAsia"/>
        </w:rPr>
        <w:t>结构工作状态的计算分析</w:t>
      </w:r>
      <w:r>
        <w:tab/>
      </w:r>
      <w:r>
        <w:fldChar w:fldCharType="begin"/>
      </w:r>
      <w:r>
        <w:instrText xml:space="preserve"> PAGEREF _Toc152589568 \h </w:instrText>
      </w:r>
      <w:r>
        <w:fldChar w:fldCharType="separate"/>
      </w:r>
      <w:r>
        <w:t>14</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"_Toc152589569" </w:instrText>
      </w:r>
      <w:r>
        <w:fldChar w:fldCharType="separate"/>
      </w:r>
      <w:r>
        <w:rPr>
          <w:rStyle w:val="33"/>
        </w:rPr>
        <w:t xml:space="preserve">6.5 </w:t>
      </w:r>
      <w:r>
        <w:rPr>
          <w:rStyle w:val="33"/>
          <w:rFonts w:hint="eastAsia"/>
        </w:rPr>
        <w:t>结构施工过程的计算分析</w:t>
      </w:r>
      <w:r>
        <w:tab/>
      </w:r>
      <w:r>
        <w:fldChar w:fldCharType="begin"/>
      </w:r>
      <w:r>
        <w:instrText xml:space="preserve"> PAGEREF _Toc152589569 \h </w:instrText>
      </w:r>
      <w:r>
        <w:fldChar w:fldCharType="separate"/>
      </w:r>
      <w:r>
        <w:t>15</w:t>
      </w:r>
      <w:r>
        <w:fldChar w:fldCharType="end"/>
      </w:r>
      <w:r>
        <w:fldChar w:fldCharType="end"/>
      </w:r>
    </w:p>
    <w:p>
      <w:pPr>
        <w:pStyle w:val="17"/>
        <w:tabs>
          <w:tab w:val="right" w:leader="dot" w:pos="8296"/>
        </w:tabs>
        <w:rPr>
          <w:rFonts w:cstheme="minorBidi"/>
          <w:b w:val="0"/>
          <w:bCs w:val="0"/>
          <w:caps w:val="0"/>
          <w:sz w:val="21"/>
          <w:szCs w:val="22"/>
        </w:rPr>
      </w:pPr>
      <w:r>
        <w:fldChar w:fldCharType="begin"/>
      </w:r>
      <w:r>
        <w:instrText xml:space="preserve"> HYPERLINK \l "_Toc152589570" </w:instrText>
      </w:r>
      <w:r>
        <w:fldChar w:fldCharType="separate"/>
      </w:r>
      <w:r>
        <w:rPr>
          <w:rStyle w:val="33"/>
        </w:rPr>
        <w:t>7.</w:t>
      </w:r>
      <w:r>
        <w:rPr>
          <w:rStyle w:val="33"/>
          <w:rFonts w:hint="eastAsia"/>
        </w:rPr>
        <w:t>节点设计与构造</w:t>
      </w:r>
      <w:r>
        <w:tab/>
      </w:r>
      <w:r>
        <w:fldChar w:fldCharType="begin"/>
      </w:r>
      <w:r>
        <w:instrText xml:space="preserve"> PAGEREF _Toc152589570 \h </w:instrText>
      </w:r>
      <w:r>
        <w:fldChar w:fldCharType="separate"/>
      </w:r>
      <w:r>
        <w:t>16</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"_Toc152589571" </w:instrText>
      </w:r>
      <w:r>
        <w:fldChar w:fldCharType="separate"/>
      </w:r>
      <w:r>
        <w:rPr>
          <w:rStyle w:val="33"/>
        </w:rPr>
        <w:t>7.1</w:t>
      </w:r>
      <w:r>
        <w:rPr>
          <w:rStyle w:val="33"/>
          <w:rFonts w:hint="eastAsia"/>
        </w:rPr>
        <w:t>一般规定</w:t>
      </w:r>
      <w:r>
        <w:tab/>
      </w:r>
      <w:r>
        <w:fldChar w:fldCharType="begin"/>
      </w:r>
      <w:r>
        <w:instrText xml:space="preserve"> PAGEREF _Toc152589571 \h </w:instrText>
      </w:r>
      <w:r>
        <w:fldChar w:fldCharType="separate"/>
      </w:r>
      <w:r>
        <w:t>16</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"_Toc152589572" </w:instrText>
      </w:r>
      <w:r>
        <w:fldChar w:fldCharType="separate"/>
      </w:r>
      <w:r>
        <w:rPr>
          <w:rStyle w:val="33"/>
        </w:rPr>
        <w:t xml:space="preserve">7.2 </w:t>
      </w:r>
      <w:r>
        <w:rPr>
          <w:rStyle w:val="33"/>
          <w:rFonts w:hint="eastAsia"/>
        </w:rPr>
        <w:t>铝合金构件与其他构件的连接</w:t>
      </w:r>
      <w:r>
        <w:tab/>
      </w:r>
      <w:r>
        <w:fldChar w:fldCharType="begin"/>
      </w:r>
      <w:r>
        <w:instrText xml:space="preserve"> PAGEREF _Toc152589572 \h </w:instrText>
      </w:r>
      <w:r>
        <w:fldChar w:fldCharType="separate"/>
      </w:r>
      <w:r>
        <w:t>16</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"_Toc152589573" </w:instrText>
      </w:r>
      <w:r>
        <w:fldChar w:fldCharType="separate"/>
      </w:r>
      <w:r>
        <w:rPr>
          <w:rStyle w:val="33"/>
        </w:rPr>
        <w:t xml:space="preserve">7.3 </w:t>
      </w:r>
      <w:r>
        <w:rPr>
          <w:rStyle w:val="33"/>
          <w:rFonts w:hint="eastAsia"/>
        </w:rPr>
        <w:t>节点计算与设计</w:t>
      </w:r>
      <w:r>
        <w:tab/>
      </w:r>
      <w:r>
        <w:fldChar w:fldCharType="begin"/>
      </w:r>
      <w:r>
        <w:instrText xml:space="preserve"> PAGEREF _Toc152589573 \h </w:instrText>
      </w:r>
      <w:r>
        <w:fldChar w:fldCharType="separate"/>
      </w:r>
      <w:r>
        <w:t>17</w:t>
      </w:r>
      <w:r>
        <w:fldChar w:fldCharType="end"/>
      </w:r>
      <w:r>
        <w:fldChar w:fldCharType="end"/>
      </w:r>
    </w:p>
    <w:p>
      <w:pPr>
        <w:pStyle w:val="17"/>
        <w:tabs>
          <w:tab w:val="right" w:leader="dot" w:pos="8296"/>
        </w:tabs>
        <w:rPr>
          <w:rFonts w:cstheme="minorBidi"/>
          <w:b w:val="0"/>
          <w:bCs w:val="0"/>
          <w:caps w:val="0"/>
          <w:sz w:val="21"/>
          <w:szCs w:val="22"/>
        </w:rPr>
      </w:pPr>
      <w:r>
        <w:fldChar w:fldCharType="begin"/>
      </w:r>
      <w:r>
        <w:instrText xml:space="preserve"> HYPERLINK \l "_Toc152589574" </w:instrText>
      </w:r>
      <w:r>
        <w:fldChar w:fldCharType="separate"/>
      </w:r>
      <w:r>
        <w:rPr>
          <w:rStyle w:val="33"/>
        </w:rPr>
        <w:t xml:space="preserve">8  </w:t>
      </w:r>
      <w:r>
        <w:rPr>
          <w:rStyle w:val="33"/>
          <w:rFonts w:hint="eastAsia"/>
        </w:rPr>
        <w:t>施工与验收</w:t>
      </w:r>
      <w:r>
        <w:tab/>
      </w:r>
      <w:r>
        <w:fldChar w:fldCharType="begin"/>
      </w:r>
      <w:r>
        <w:instrText xml:space="preserve"> PAGEREF _Toc152589574 \h </w:instrText>
      </w:r>
      <w:r>
        <w:fldChar w:fldCharType="separate"/>
      </w:r>
      <w:r>
        <w:t>19</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"_Toc152589575" </w:instrText>
      </w:r>
      <w:r>
        <w:fldChar w:fldCharType="separate"/>
      </w:r>
      <w:r>
        <w:rPr>
          <w:rStyle w:val="33"/>
        </w:rPr>
        <w:t>8.1</w:t>
      </w:r>
      <w:r>
        <w:rPr>
          <w:rStyle w:val="33"/>
          <w:rFonts w:hint="eastAsia"/>
        </w:rPr>
        <w:t>一般规定</w:t>
      </w:r>
      <w:r>
        <w:tab/>
      </w:r>
      <w:r>
        <w:fldChar w:fldCharType="begin"/>
      </w:r>
      <w:r>
        <w:instrText xml:space="preserve"> PAGEREF _Toc152589575 \h </w:instrText>
      </w:r>
      <w:r>
        <w:fldChar w:fldCharType="separate"/>
      </w:r>
      <w:r>
        <w:t>19</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"_Toc152589576" </w:instrText>
      </w:r>
      <w:r>
        <w:fldChar w:fldCharType="separate"/>
      </w:r>
      <w:r>
        <w:rPr>
          <w:rStyle w:val="33"/>
        </w:rPr>
        <w:t>8.2</w:t>
      </w:r>
      <w:r>
        <w:rPr>
          <w:rStyle w:val="33"/>
          <w:rFonts w:hint="eastAsia"/>
        </w:rPr>
        <w:t>包装、运输与存放</w:t>
      </w:r>
      <w:r>
        <w:tab/>
      </w:r>
      <w:r>
        <w:fldChar w:fldCharType="begin"/>
      </w:r>
      <w:r>
        <w:instrText xml:space="preserve"> PAGEREF _Toc152589576 \h </w:instrText>
      </w:r>
      <w:r>
        <w:fldChar w:fldCharType="separate"/>
      </w:r>
      <w:r>
        <w:t>19</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"_Toc152589577" </w:instrText>
      </w:r>
      <w:r>
        <w:fldChar w:fldCharType="separate"/>
      </w:r>
      <w:r>
        <w:rPr>
          <w:rStyle w:val="33"/>
        </w:rPr>
        <w:t>8.3</w:t>
      </w:r>
      <w:r>
        <w:rPr>
          <w:rStyle w:val="33"/>
          <w:rFonts w:hint="eastAsia"/>
        </w:rPr>
        <w:t>索的安装</w:t>
      </w:r>
      <w:r>
        <w:tab/>
      </w:r>
      <w:r>
        <w:fldChar w:fldCharType="begin"/>
      </w:r>
      <w:r>
        <w:instrText xml:space="preserve"> PAGEREF _Toc152589577 \h </w:instrText>
      </w:r>
      <w:r>
        <w:fldChar w:fldCharType="separate"/>
      </w:r>
      <w:r>
        <w:t>20</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"_Toc152589578" </w:instrText>
      </w:r>
      <w:r>
        <w:fldChar w:fldCharType="separate"/>
      </w:r>
      <w:r>
        <w:rPr>
          <w:rStyle w:val="33"/>
        </w:rPr>
        <w:t>8.4</w:t>
      </w:r>
      <w:r>
        <w:rPr>
          <w:rStyle w:val="33"/>
          <w:rFonts w:hint="eastAsia"/>
        </w:rPr>
        <w:t>索的张拉</w:t>
      </w:r>
      <w:r>
        <w:tab/>
      </w:r>
      <w:r>
        <w:fldChar w:fldCharType="begin"/>
      </w:r>
      <w:r>
        <w:instrText xml:space="preserve"> PAGEREF _Toc152589578 \h </w:instrText>
      </w:r>
      <w:r>
        <w:fldChar w:fldCharType="separate"/>
      </w:r>
      <w:r>
        <w:t>20</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"_Toc152589579" </w:instrText>
      </w:r>
      <w:r>
        <w:fldChar w:fldCharType="separate"/>
      </w:r>
      <w:r>
        <w:rPr>
          <w:rStyle w:val="33"/>
        </w:rPr>
        <w:t>8.5</w:t>
      </w:r>
      <w:r>
        <w:rPr>
          <w:rStyle w:val="33"/>
          <w:rFonts w:hint="eastAsia"/>
        </w:rPr>
        <w:t>安装和张拉质量要求</w:t>
      </w:r>
      <w:r>
        <w:tab/>
      </w:r>
      <w:r>
        <w:fldChar w:fldCharType="begin"/>
      </w:r>
      <w:r>
        <w:instrText xml:space="preserve"> PAGEREF _Toc152589579 \h </w:instrText>
      </w:r>
      <w:r>
        <w:fldChar w:fldCharType="separate"/>
      </w:r>
      <w:r>
        <w:t>21</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"_Toc152589580" </w:instrText>
      </w:r>
      <w:r>
        <w:fldChar w:fldCharType="separate"/>
      </w:r>
      <w:r>
        <w:rPr>
          <w:rStyle w:val="33"/>
        </w:rPr>
        <w:t>8.6</w:t>
      </w:r>
      <w:r>
        <w:rPr>
          <w:rStyle w:val="33"/>
          <w:rFonts w:hint="eastAsia"/>
        </w:rPr>
        <w:t>验收</w:t>
      </w:r>
      <w:r>
        <w:tab/>
      </w:r>
      <w:r>
        <w:fldChar w:fldCharType="begin"/>
      </w:r>
      <w:r>
        <w:instrText xml:space="preserve"> PAGEREF _Toc152589580 \h </w:instrText>
      </w:r>
      <w:r>
        <w:fldChar w:fldCharType="separate"/>
      </w:r>
      <w:r>
        <w:t>22</w:t>
      </w:r>
      <w:r>
        <w:fldChar w:fldCharType="end"/>
      </w:r>
      <w:r>
        <w:fldChar w:fldCharType="end"/>
      </w:r>
    </w:p>
    <w:p>
      <w:pPr>
        <w:pStyle w:val="17"/>
        <w:tabs>
          <w:tab w:val="right" w:leader="dot" w:pos="8296"/>
        </w:tabs>
        <w:rPr>
          <w:rFonts w:cstheme="minorBidi"/>
          <w:b w:val="0"/>
          <w:bCs w:val="0"/>
          <w:caps w:val="0"/>
          <w:sz w:val="21"/>
          <w:szCs w:val="22"/>
        </w:rPr>
      </w:pPr>
      <w:r>
        <w:fldChar w:fldCharType="begin"/>
      </w:r>
      <w:r>
        <w:instrText xml:space="preserve"> HYPERLINK \l "_Toc152589581" </w:instrText>
      </w:r>
      <w:r>
        <w:fldChar w:fldCharType="separate"/>
      </w:r>
      <w:r>
        <w:rPr>
          <w:rStyle w:val="33"/>
        </w:rPr>
        <w:t xml:space="preserve">9  </w:t>
      </w:r>
      <w:r>
        <w:rPr>
          <w:rStyle w:val="33"/>
          <w:rFonts w:hint="eastAsia"/>
        </w:rPr>
        <w:t>防护与检测监测</w:t>
      </w:r>
      <w:r>
        <w:tab/>
      </w:r>
      <w:r>
        <w:fldChar w:fldCharType="begin"/>
      </w:r>
      <w:r>
        <w:instrText xml:space="preserve"> PAGEREF _Toc152589581 \h </w:instrText>
      </w:r>
      <w:r>
        <w:fldChar w:fldCharType="separate"/>
      </w:r>
      <w:r>
        <w:t>25</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"_Toc152589582" </w:instrText>
      </w:r>
      <w:r>
        <w:fldChar w:fldCharType="separate"/>
      </w:r>
      <w:r>
        <w:rPr>
          <w:rStyle w:val="33"/>
        </w:rPr>
        <w:t>9.1</w:t>
      </w:r>
      <w:r>
        <w:rPr>
          <w:rStyle w:val="33"/>
          <w:rFonts w:hint="eastAsia"/>
        </w:rPr>
        <w:t>防腐</w:t>
      </w:r>
      <w:r>
        <w:tab/>
      </w:r>
      <w:r>
        <w:fldChar w:fldCharType="begin"/>
      </w:r>
      <w:r>
        <w:instrText xml:space="preserve"> PAGEREF _Toc152589582 \h </w:instrText>
      </w:r>
      <w:r>
        <w:fldChar w:fldCharType="separate"/>
      </w:r>
      <w:r>
        <w:t>25</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"_Toc152589583" </w:instrText>
      </w:r>
      <w:r>
        <w:fldChar w:fldCharType="separate"/>
      </w:r>
      <w:r>
        <w:rPr>
          <w:rStyle w:val="33"/>
        </w:rPr>
        <w:t>9.2</w:t>
      </w:r>
      <w:r>
        <w:rPr>
          <w:rStyle w:val="33"/>
          <w:rFonts w:hint="eastAsia"/>
        </w:rPr>
        <w:t>防火</w:t>
      </w:r>
      <w:r>
        <w:tab/>
      </w:r>
      <w:r>
        <w:fldChar w:fldCharType="begin"/>
      </w:r>
      <w:r>
        <w:instrText xml:space="preserve"> PAGEREF _Toc152589583 \h </w:instrText>
      </w:r>
      <w:r>
        <w:fldChar w:fldCharType="separate"/>
      </w:r>
      <w:r>
        <w:t>26</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"_Toc152589584" </w:instrText>
      </w:r>
      <w:r>
        <w:fldChar w:fldCharType="separate"/>
      </w:r>
      <w:r>
        <w:rPr>
          <w:rStyle w:val="33"/>
        </w:rPr>
        <w:t>9.3</w:t>
      </w:r>
      <w:r>
        <w:rPr>
          <w:rStyle w:val="33"/>
          <w:rFonts w:hint="eastAsia"/>
        </w:rPr>
        <w:t>维护</w:t>
      </w:r>
      <w:r>
        <w:tab/>
      </w:r>
      <w:r>
        <w:fldChar w:fldCharType="begin"/>
      </w:r>
      <w:r>
        <w:instrText xml:space="preserve"> PAGEREF _Toc152589584 \h </w:instrText>
      </w:r>
      <w:r>
        <w:fldChar w:fldCharType="separate"/>
      </w:r>
      <w:r>
        <w:t>26</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"_Toc152589585" </w:instrText>
      </w:r>
      <w:r>
        <w:fldChar w:fldCharType="separate"/>
      </w:r>
      <w:r>
        <w:rPr>
          <w:rStyle w:val="33"/>
        </w:rPr>
        <w:t>9.4</w:t>
      </w:r>
      <w:r>
        <w:rPr>
          <w:rStyle w:val="33"/>
          <w:rFonts w:hint="eastAsia"/>
        </w:rPr>
        <w:t>检测</w:t>
      </w:r>
      <w:r>
        <w:tab/>
      </w:r>
      <w:r>
        <w:fldChar w:fldCharType="begin"/>
      </w:r>
      <w:r>
        <w:instrText xml:space="preserve"> PAGEREF _Toc152589585 \h </w:instrText>
      </w:r>
      <w:r>
        <w:fldChar w:fldCharType="separate"/>
      </w:r>
      <w:r>
        <w:t>27</w:t>
      </w:r>
      <w:r>
        <w:fldChar w:fldCharType="end"/>
      </w:r>
      <w:r>
        <w:fldChar w:fldCharType="end"/>
      </w:r>
    </w:p>
    <w:p>
      <w:pPr>
        <w:pStyle w:val="21"/>
        <w:tabs>
          <w:tab w:val="right" w:leader="dot" w:pos="8296"/>
        </w:tabs>
        <w:rPr>
          <w:rFonts w:cstheme="minorBidi"/>
          <w:smallCaps w:val="0"/>
          <w:sz w:val="21"/>
          <w:szCs w:val="22"/>
        </w:rPr>
      </w:pPr>
      <w:r>
        <w:fldChar w:fldCharType="begin"/>
      </w:r>
      <w:r>
        <w:instrText xml:space="preserve"> HYPERLINK \l "_Toc152589586" </w:instrText>
      </w:r>
      <w:r>
        <w:fldChar w:fldCharType="separate"/>
      </w:r>
      <w:r>
        <w:rPr>
          <w:rStyle w:val="33"/>
        </w:rPr>
        <w:t xml:space="preserve">9.5 </w:t>
      </w:r>
      <w:r>
        <w:rPr>
          <w:rStyle w:val="33"/>
          <w:rFonts w:hint="eastAsia"/>
        </w:rPr>
        <w:t>监测</w:t>
      </w:r>
      <w:r>
        <w:tab/>
      </w:r>
      <w:r>
        <w:fldChar w:fldCharType="begin"/>
      </w:r>
      <w:r>
        <w:instrText xml:space="preserve"> PAGEREF _Toc152589586 \h </w:instrText>
      </w:r>
      <w:r>
        <w:fldChar w:fldCharType="separate"/>
      </w:r>
      <w:r>
        <w:t>27</w:t>
      </w:r>
      <w:r>
        <w:fldChar w:fldCharType="end"/>
      </w:r>
      <w:r>
        <w:fldChar w:fldCharType="end"/>
      </w:r>
    </w:p>
    <w:p>
      <w:pPr>
        <w:pStyle w:val="17"/>
        <w:tabs>
          <w:tab w:val="right" w:leader="dot" w:pos="8296"/>
        </w:tabs>
        <w:rPr>
          <w:rFonts w:cstheme="minorBidi"/>
          <w:b w:val="0"/>
          <w:bCs w:val="0"/>
          <w:caps w:val="0"/>
          <w:sz w:val="21"/>
          <w:szCs w:val="22"/>
        </w:rPr>
      </w:pPr>
    </w:p>
    <w:p>
      <w:pPr>
        <w:tabs>
          <w:tab w:val="right" w:leader="dot" w:pos="9180"/>
        </w:tabs>
        <w:adjustRightInd w:val="0"/>
        <w:snapToGrid w:val="0"/>
        <w:rPr>
          <w:rFonts w:eastAsia="黑体" w:cs="Times New Roman"/>
          <w:b/>
          <w:bCs/>
          <w:spacing w:val="12"/>
          <w:szCs w:val="21"/>
        </w:rPr>
      </w:pPr>
      <w:r>
        <w:rPr>
          <w:rFonts w:eastAsia="黑体" w:cs="Times New Roman"/>
          <w:b/>
          <w:bCs/>
          <w:spacing w:val="12"/>
          <w:szCs w:val="21"/>
        </w:rPr>
        <w:fldChar w:fldCharType="end"/>
      </w: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pStyle w:val="17"/>
        <w:tabs>
          <w:tab w:val="right" w:leader="dot" w:pos="8296"/>
        </w:tabs>
        <w:jc w:val="center"/>
        <w:rPr>
          <w:rFonts w:ascii="Times New Roman" w:hAnsi="Times New Roman" w:eastAsia="黑体" w:cs="Times New Roman"/>
          <w:bCs w:val="0"/>
          <w:caps w:val="0"/>
          <w:spacing w:val="12"/>
          <w:sz w:val="30"/>
          <w:szCs w:val="30"/>
        </w:rPr>
      </w:pPr>
      <w:r>
        <w:rPr>
          <w:rFonts w:ascii="Times New Roman" w:hAnsi="Times New Roman" w:eastAsia="黑体" w:cs="Times New Roman"/>
          <w:bCs w:val="0"/>
          <w:caps w:val="0"/>
          <w:spacing w:val="12"/>
          <w:sz w:val="30"/>
          <w:szCs w:val="30"/>
        </w:rPr>
        <w:t>Contents</w:t>
      </w:r>
    </w:p>
    <w:p>
      <w:pPr>
        <w:pStyle w:val="17"/>
        <w:tabs>
          <w:tab w:val="right" w:leader="dot" w:pos="8296"/>
        </w:tabs>
        <w:rPr>
          <w:rFonts w:ascii="Times New Roman" w:hAnsi="Times New Roman" w:cs="Times New Roman"/>
          <w:b w:val="0"/>
          <w:bCs w:val="0"/>
          <w:caps w:val="0"/>
          <w:sz w:val="21"/>
          <w:szCs w:val="22"/>
        </w:rPr>
      </w:pPr>
      <w:r>
        <w:rPr>
          <w:rFonts w:eastAsia="黑体" w:cs="Times New Roman"/>
          <w:b w:val="0"/>
          <w:bCs w:val="0"/>
          <w:spacing w:val="12"/>
          <w:szCs w:val="21"/>
        </w:rPr>
        <w:fldChar w:fldCharType="begin"/>
      </w:r>
      <w:r>
        <w:rPr>
          <w:rFonts w:eastAsia="黑体" w:cs="Times New Roman"/>
          <w:b w:val="0"/>
          <w:bCs w:val="0"/>
          <w:spacing w:val="12"/>
          <w:szCs w:val="21"/>
        </w:rPr>
        <w:instrText xml:space="preserve"> TOC \o "1-2" \h \z \u </w:instrText>
      </w:r>
      <w:r>
        <w:rPr>
          <w:rFonts w:eastAsia="黑体" w:cs="Times New Roman"/>
          <w:b w:val="0"/>
          <w:bCs w:val="0"/>
          <w:spacing w:val="12"/>
          <w:szCs w:val="21"/>
        </w:rPr>
        <w:fldChar w:fldCharType="separate"/>
      </w:r>
      <w:r>
        <w:fldChar w:fldCharType="begin"/>
      </w:r>
      <w:r>
        <w:instrText xml:space="preserve"> HYPERLINK \l "_Toc152589544" </w:instrText>
      </w:r>
      <w:r>
        <w:fldChar w:fldCharType="separate"/>
      </w:r>
      <w:r>
        <w:rPr>
          <w:rStyle w:val="33"/>
          <w:rFonts w:ascii="Times New Roman" w:hAnsi="Times New Roman" w:cs="Times New Roman"/>
          <w:caps w:val="0"/>
        </w:rPr>
        <w:t>1 General Provision</w:t>
      </w:r>
      <w:r>
        <w:rPr>
          <w:rFonts w:ascii="Times New Roman" w:hAnsi="Times New Roman" w:cs="Times New Roman"/>
          <w:caps w:val="0"/>
        </w:rPr>
        <w:tab/>
      </w:r>
      <w:r>
        <w:rPr>
          <w:rFonts w:ascii="Times New Roman" w:hAnsi="Times New Roman" w:cs="Times New Roman"/>
          <w:caps w:val="0"/>
        </w:rPr>
        <w:fldChar w:fldCharType="begin"/>
      </w:r>
      <w:r>
        <w:rPr>
          <w:rFonts w:ascii="Times New Roman" w:hAnsi="Times New Roman" w:cs="Times New Roman"/>
          <w:caps w:val="0"/>
        </w:rPr>
        <w:instrText xml:space="preserve"> PAGEREF _Toc152589544 \h </w:instrText>
      </w:r>
      <w:r>
        <w:rPr>
          <w:rFonts w:ascii="Times New Roman" w:hAnsi="Times New Roman" w:cs="Times New Roman"/>
          <w:caps w:val="0"/>
        </w:rPr>
        <w:fldChar w:fldCharType="separate"/>
      </w:r>
      <w:r>
        <w:rPr>
          <w:rFonts w:ascii="Times New Roman" w:hAnsi="Times New Roman" w:cs="Times New Roman"/>
          <w:caps w:val="0"/>
        </w:rPr>
        <w:t>1</w:t>
      </w:r>
      <w:r>
        <w:rPr>
          <w:rFonts w:ascii="Times New Roman" w:hAnsi="Times New Roman" w:cs="Times New Roman"/>
          <w:caps w:val="0"/>
        </w:rPr>
        <w:fldChar w:fldCharType="end"/>
      </w:r>
      <w:r>
        <w:rPr>
          <w:rFonts w:ascii="Times New Roman" w:hAnsi="Times New Roman" w:cs="Times New Roman"/>
          <w:caps w:val="0"/>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"_Toc152589545" </w:instrText>
      </w:r>
      <w:r>
        <w:fldChar w:fldCharType="separate"/>
      </w:r>
      <w:r>
        <w:rPr>
          <w:rStyle w:val="33"/>
          <w:rFonts w:ascii="Times New Roman" w:hAnsi="Times New Roman" w:cs="Times New Roman"/>
          <w:caps w:val="0"/>
        </w:rPr>
        <w:t xml:space="preserve">2 </w:t>
      </w:r>
      <w:r>
        <w:rPr>
          <w:rStyle w:val="33"/>
          <w:rFonts w:hint="eastAsia" w:ascii="Times New Roman" w:hAnsi="Times New Roman" w:cs="Times New Roman"/>
          <w:caps w:val="0"/>
        </w:rPr>
        <w:t>T</w:t>
      </w:r>
      <w:r>
        <w:rPr>
          <w:rStyle w:val="33"/>
          <w:rFonts w:ascii="Times New Roman" w:hAnsi="Times New Roman" w:cs="Times New Roman"/>
          <w:caps w:val="0"/>
        </w:rPr>
        <w:t>erms and symbols</w:t>
      </w:r>
      <w:r>
        <w:rPr>
          <w:rFonts w:ascii="Times New Roman" w:hAnsi="Times New Roman" w:cs="Times New Roman"/>
          <w:caps w:val="0"/>
        </w:rPr>
        <w:tab/>
      </w:r>
      <w:r>
        <w:rPr>
          <w:rFonts w:ascii="Times New Roman" w:hAnsi="Times New Roman" w:cs="Times New Roman"/>
          <w:caps w:val="0"/>
        </w:rPr>
        <w:fldChar w:fldCharType="begin"/>
      </w:r>
      <w:r>
        <w:rPr>
          <w:rFonts w:ascii="Times New Roman" w:hAnsi="Times New Roman" w:cs="Times New Roman"/>
          <w:caps w:val="0"/>
        </w:rPr>
        <w:instrText xml:space="preserve"> PAGEREF _Toc152589545 \h </w:instrText>
      </w:r>
      <w:r>
        <w:rPr>
          <w:rFonts w:ascii="Times New Roman" w:hAnsi="Times New Roman" w:cs="Times New Roman"/>
          <w:caps w:val="0"/>
        </w:rPr>
        <w:fldChar w:fldCharType="separate"/>
      </w:r>
      <w:r>
        <w:rPr>
          <w:rFonts w:ascii="Times New Roman" w:hAnsi="Times New Roman" w:cs="Times New Roman"/>
          <w:caps w:val="0"/>
        </w:rPr>
        <w:t>2</w:t>
      </w:r>
      <w:r>
        <w:rPr>
          <w:rFonts w:ascii="Times New Roman" w:hAnsi="Times New Roman" w:cs="Times New Roman"/>
          <w:caps w:val="0"/>
        </w:rPr>
        <w:fldChar w:fldCharType="end"/>
      </w:r>
      <w:r>
        <w:rPr>
          <w:rFonts w:ascii="Times New Roman" w:hAnsi="Times New Roman" w:cs="Times New Roman"/>
          <w: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"_Toc152589546" </w:instrText>
      </w:r>
      <w:r>
        <w:fldChar w:fldCharType="separate"/>
      </w:r>
      <w:r>
        <w:rPr>
          <w:rStyle w:val="33"/>
          <w:rFonts w:ascii="Times New Roman" w:hAnsi="Times New Roman" w:cs="Times New Roman"/>
          <w:smallCaps w:val="0"/>
        </w:rPr>
        <w:t>2.1 Terms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_Toc152589546 \h </w:instrText>
      </w:r>
      <w:r>
        <w:rPr>
          <w:rFonts w:ascii="Times New Roman" w:hAnsi="Times New Roman" w:cs="Times New Roman"/>
          <w:smallCaps w:val="0"/>
        </w:rPr>
        <w:fldChar w:fldCharType="separate"/>
      </w:r>
      <w:r>
        <w:rPr>
          <w:rFonts w:ascii="Times New Roman" w:hAnsi="Times New Roman" w:cs="Times New Roman"/>
          <w:smallCaps w:val="0"/>
        </w:rPr>
        <w:t>2</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"_Toc152589547" </w:instrText>
      </w:r>
      <w:r>
        <w:fldChar w:fldCharType="separate"/>
      </w:r>
      <w:r>
        <w:rPr>
          <w:rStyle w:val="33"/>
          <w:rFonts w:ascii="Times New Roman" w:hAnsi="Times New Roman" w:cs="Times New Roman"/>
          <w:smallCaps w:val="0"/>
        </w:rPr>
        <w:t>2.2 Symbols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_Toc152589547 \h </w:instrText>
      </w:r>
      <w:r>
        <w:rPr>
          <w:rFonts w:ascii="Times New Roman" w:hAnsi="Times New Roman" w:cs="Times New Roman"/>
          <w:smallCaps w:val="0"/>
        </w:rPr>
        <w:fldChar w:fldCharType="separate"/>
      </w:r>
      <w:r>
        <w:rPr>
          <w:rFonts w:ascii="Times New Roman" w:hAnsi="Times New Roman" w:cs="Times New Roman"/>
          <w:smallCaps w:val="0"/>
        </w:rPr>
        <w:t>4</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"_Toc152589548" </w:instrText>
      </w:r>
      <w:r>
        <w:fldChar w:fldCharType="separate"/>
      </w:r>
      <w:r>
        <w:rPr>
          <w:rStyle w:val="33"/>
          <w:rFonts w:ascii="Times New Roman" w:hAnsi="Times New Roman" w:cs="Times New Roman"/>
          <w:caps w:val="0"/>
        </w:rPr>
        <w:t xml:space="preserve">3 </w:t>
      </w:r>
      <w:r>
        <w:rPr>
          <w:rStyle w:val="33"/>
          <w:rFonts w:hint="eastAsia" w:ascii="Times New Roman" w:hAnsi="Times New Roman" w:cs="Times New Roman"/>
          <w:caps w:val="0"/>
        </w:rPr>
        <w:t>M</w:t>
      </w:r>
      <w:r>
        <w:rPr>
          <w:rStyle w:val="33"/>
          <w:rFonts w:ascii="Times New Roman" w:hAnsi="Times New Roman" w:cs="Times New Roman"/>
          <w:caps w:val="0"/>
        </w:rPr>
        <w:t>aterials</w:t>
      </w:r>
      <w:r>
        <w:rPr>
          <w:rFonts w:ascii="Times New Roman" w:hAnsi="Times New Roman" w:cs="Times New Roman"/>
          <w:caps w:val="0"/>
        </w:rPr>
        <w:tab/>
      </w:r>
      <w:r>
        <w:rPr>
          <w:rFonts w:ascii="Times New Roman" w:hAnsi="Times New Roman" w:cs="Times New Roman"/>
          <w:caps w:val="0"/>
        </w:rPr>
        <w:fldChar w:fldCharType="begin"/>
      </w:r>
      <w:r>
        <w:rPr>
          <w:rFonts w:ascii="Times New Roman" w:hAnsi="Times New Roman" w:cs="Times New Roman"/>
          <w:caps w:val="0"/>
        </w:rPr>
        <w:instrText xml:space="preserve"> PAGEREF _Toc152589548 \h </w:instrText>
      </w:r>
      <w:r>
        <w:rPr>
          <w:rFonts w:ascii="Times New Roman" w:hAnsi="Times New Roman" w:cs="Times New Roman"/>
          <w:caps w:val="0"/>
        </w:rPr>
        <w:fldChar w:fldCharType="separate"/>
      </w:r>
      <w:r>
        <w:rPr>
          <w:rFonts w:ascii="Times New Roman" w:hAnsi="Times New Roman" w:cs="Times New Roman"/>
          <w:caps w:val="0"/>
        </w:rPr>
        <w:t>5</w:t>
      </w:r>
      <w:r>
        <w:rPr>
          <w:rFonts w:ascii="Times New Roman" w:hAnsi="Times New Roman" w:cs="Times New Roman"/>
          <w:caps w:val="0"/>
        </w:rPr>
        <w:fldChar w:fldCharType="end"/>
      </w:r>
      <w:r>
        <w:rPr>
          <w:rFonts w:ascii="Times New Roman" w:hAnsi="Times New Roman" w:cs="Times New Roman"/>
          <w: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"_Toc152589549" </w:instrText>
      </w:r>
      <w:r>
        <w:fldChar w:fldCharType="separate"/>
      </w:r>
      <w:r>
        <w:rPr>
          <w:rStyle w:val="33"/>
          <w:rFonts w:ascii="Times New Roman" w:hAnsi="Times New Roman" w:cs="Times New Roman"/>
          <w:smallCaps w:val="0"/>
        </w:rPr>
        <w:t xml:space="preserve">3.1 </w:t>
      </w:r>
      <w:r>
        <w:rPr>
          <w:rStyle w:val="33"/>
          <w:rFonts w:hint="eastAsia" w:ascii="Times New Roman" w:hAnsi="Times New Roman" w:cs="Times New Roman"/>
          <w:smallCaps w:val="0"/>
        </w:rPr>
        <w:t>S</w:t>
      </w:r>
      <w:r>
        <w:rPr>
          <w:rStyle w:val="33"/>
          <w:rFonts w:ascii="Times New Roman" w:hAnsi="Times New Roman" w:cs="Times New Roman"/>
          <w:smallCaps w:val="0"/>
        </w:rPr>
        <w:t>tructural aluminium alloys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_Toc152589549 \h </w:instrText>
      </w:r>
      <w:r>
        <w:rPr>
          <w:rFonts w:ascii="Times New Roman" w:hAnsi="Times New Roman" w:cs="Times New Roman"/>
          <w:smallCaps w:val="0"/>
        </w:rPr>
        <w:fldChar w:fldCharType="separate"/>
      </w:r>
      <w:r>
        <w:rPr>
          <w:rFonts w:ascii="Times New Roman" w:hAnsi="Times New Roman" w:cs="Times New Roman"/>
          <w:smallCaps w:val="0"/>
        </w:rPr>
        <w:t>5</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"_Toc152589550" </w:instrText>
      </w:r>
      <w:r>
        <w:fldChar w:fldCharType="separate"/>
      </w:r>
      <w:r>
        <w:rPr>
          <w:rStyle w:val="33"/>
          <w:rFonts w:ascii="Times New Roman" w:hAnsi="Times New Roman" w:cs="Times New Roman"/>
          <w:smallCaps w:val="0"/>
        </w:rPr>
        <w:t>3.2 Stainless steels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_Toc152589550 \h </w:instrText>
      </w:r>
      <w:r>
        <w:rPr>
          <w:rFonts w:ascii="Times New Roman" w:hAnsi="Times New Roman" w:cs="Times New Roman"/>
          <w:smallCaps w:val="0"/>
        </w:rPr>
        <w:fldChar w:fldCharType="separate"/>
      </w:r>
      <w:r>
        <w:rPr>
          <w:rFonts w:ascii="Times New Roman" w:hAnsi="Times New Roman" w:cs="Times New Roman"/>
          <w:smallCaps w:val="0"/>
        </w:rPr>
        <w:t>5</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"_Toc152589551" </w:instrText>
      </w:r>
      <w:r>
        <w:fldChar w:fldCharType="separate"/>
      </w:r>
      <w:r>
        <w:rPr>
          <w:rStyle w:val="33"/>
          <w:rFonts w:ascii="Times New Roman" w:hAnsi="Times New Roman" w:cs="Times New Roman"/>
          <w:smallCaps w:val="0"/>
        </w:rPr>
        <w:t xml:space="preserve">3.3 </w:t>
      </w:r>
      <w:r>
        <w:rPr>
          <w:rStyle w:val="33"/>
          <w:rFonts w:hint="eastAsia" w:ascii="Times New Roman" w:hAnsi="Times New Roman" w:cs="Times New Roman"/>
          <w:smallCaps w:val="0"/>
        </w:rPr>
        <w:t>C</w:t>
      </w:r>
      <w:r>
        <w:rPr>
          <w:rStyle w:val="33"/>
          <w:rFonts w:ascii="Times New Roman" w:hAnsi="Times New Roman" w:cs="Times New Roman"/>
          <w:smallCaps w:val="0"/>
        </w:rPr>
        <w:t>onnection materials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_Toc152589551 \h </w:instrText>
      </w:r>
      <w:r>
        <w:rPr>
          <w:rFonts w:ascii="Times New Roman" w:hAnsi="Times New Roman" w:cs="Times New Roman"/>
          <w:smallCaps w:val="0"/>
        </w:rPr>
        <w:fldChar w:fldCharType="separate"/>
      </w:r>
      <w:r>
        <w:rPr>
          <w:rFonts w:ascii="Times New Roman" w:hAnsi="Times New Roman" w:cs="Times New Roman"/>
          <w:smallCaps w:val="0"/>
        </w:rPr>
        <w:t>5</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"_Toc152589552" </w:instrText>
      </w:r>
      <w:r>
        <w:fldChar w:fldCharType="separate"/>
      </w:r>
      <w:r>
        <w:rPr>
          <w:rStyle w:val="33"/>
          <w:rFonts w:ascii="Times New Roman" w:hAnsi="Times New Roman" w:cs="Times New Roman"/>
          <w:smallCaps w:val="0"/>
        </w:rPr>
        <w:t>3.4 Cables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_Toc152589552 \h </w:instrText>
      </w:r>
      <w:r>
        <w:rPr>
          <w:rFonts w:ascii="Times New Roman" w:hAnsi="Times New Roman" w:cs="Times New Roman"/>
          <w:smallCaps w:val="0"/>
        </w:rPr>
        <w:fldChar w:fldCharType="separate"/>
      </w:r>
      <w:r>
        <w:rPr>
          <w:rFonts w:ascii="Times New Roman" w:hAnsi="Times New Roman" w:cs="Times New Roman"/>
          <w:smallCaps w:val="0"/>
        </w:rPr>
        <w:t>6</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"_Toc152589553" </w:instrText>
      </w:r>
      <w:r>
        <w:fldChar w:fldCharType="separate"/>
      </w:r>
      <w:r>
        <w:rPr>
          <w:rStyle w:val="33"/>
          <w:rFonts w:ascii="Times New Roman" w:hAnsi="Times New Roman" w:cs="Times New Roman"/>
          <w:smallCaps w:val="0"/>
        </w:rPr>
        <w:t xml:space="preserve">3.5 </w:t>
      </w:r>
      <w:r>
        <w:rPr>
          <w:rStyle w:val="33"/>
          <w:rFonts w:hint="eastAsia" w:ascii="Times New Roman" w:hAnsi="Times New Roman" w:cs="Times New Roman"/>
          <w:smallCaps w:val="0"/>
        </w:rPr>
        <w:t>A</w:t>
      </w:r>
      <w:r>
        <w:rPr>
          <w:rStyle w:val="33"/>
          <w:rFonts w:ascii="Times New Roman" w:hAnsi="Times New Roman" w:cs="Times New Roman"/>
          <w:smallCaps w:val="0"/>
        </w:rPr>
        <w:t>nchorages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_Toc152589553 \h </w:instrText>
      </w:r>
      <w:r>
        <w:rPr>
          <w:rFonts w:ascii="Times New Roman" w:hAnsi="Times New Roman" w:cs="Times New Roman"/>
          <w:smallCaps w:val="0"/>
        </w:rPr>
        <w:fldChar w:fldCharType="separate"/>
      </w:r>
      <w:r>
        <w:rPr>
          <w:rFonts w:ascii="Times New Roman" w:hAnsi="Times New Roman" w:cs="Times New Roman"/>
          <w:smallCaps w:val="0"/>
        </w:rPr>
        <w:t>7</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"_Toc152589554" </w:instrText>
      </w:r>
      <w:r>
        <w:fldChar w:fldCharType="separate"/>
      </w:r>
      <w:r>
        <w:rPr>
          <w:rStyle w:val="33"/>
          <w:rFonts w:ascii="Times New Roman" w:hAnsi="Times New Roman" w:cs="Times New Roman"/>
          <w:caps w:val="0"/>
        </w:rPr>
        <w:t xml:space="preserve">4 </w:t>
      </w:r>
      <w:r>
        <w:rPr>
          <w:rStyle w:val="33"/>
          <w:rFonts w:hint="eastAsia" w:ascii="Times New Roman" w:hAnsi="Times New Roman" w:cs="Times New Roman"/>
          <w:caps w:val="0"/>
        </w:rPr>
        <w:t>D</w:t>
      </w:r>
      <w:r>
        <w:rPr>
          <w:rStyle w:val="33"/>
          <w:rFonts w:ascii="Times New Roman" w:hAnsi="Times New Roman" w:cs="Times New Roman"/>
          <w:caps w:val="0"/>
        </w:rPr>
        <w:t>esign basic requirements</w:t>
      </w:r>
      <w:r>
        <w:rPr>
          <w:rFonts w:ascii="Times New Roman" w:hAnsi="Times New Roman" w:cs="Times New Roman"/>
          <w:caps w:val="0"/>
        </w:rPr>
        <w:tab/>
      </w:r>
      <w:r>
        <w:rPr>
          <w:rFonts w:ascii="Times New Roman" w:hAnsi="Times New Roman" w:cs="Times New Roman"/>
          <w:caps w:val="0"/>
        </w:rPr>
        <w:fldChar w:fldCharType="begin"/>
      </w:r>
      <w:r>
        <w:rPr>
          <w:rFonts w:ascii="Times New Roman" w:hAnsi="Times New Roman" w:cs="Times New Roman"/>
          <w:caps w:val="0"/>
        </w:rPr>
        <w:instrText xml:space="preserve"> PAGEREF _Toc152589554 \h </w:instrText>
      </w:r>
      <w:r>
        <w:rPr>
          <w:rFonts w:ascii="Times New Roman" w:hAnsi="Times New Roman" w:cs="Times New Roman"/>
          <w:caps w:val="0"/>
        </w:rPr>
        <w:fldChar w:fldCharType="separate"/>
      </w:r>
      <w:r>
        <w:rPr>
          <w:rFonts w:ascii="Times New Roman" w:hAnsi="Times New Roman" w:cs="Times New Roman"/>
          <w:caps w:val="0"/>
        </w:rPr>
        <w:t>8</w:t>
      </w:r>
      <w:r>
        <w:rPr>
          <w:rFonts w:ascii="Times New Roman" w:hAnsi="Times New Roman" w:cs="Times New Roman"/>
          <w:caps w:val="0"/>
        </w:rPr>
        <w:fldChar w:fldCharType="end"/>
      </w:r>
      <w:r>
        <w:rPr>
          <w:rFonts w:ascii="Times New Roman" w:hAnsi="Times New Roman" w:cs="Times New Roman"/>
          <w: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"_Toc152589555" </w:instrText>
      </w:r>
      <w:r>
        <w:fldChar w:fldCharType="separate"/>
      </w:r>
      <w:r>
        <w:rPr>
          <w:rStyle w:val="33"/>
          <w:rFonts w:ascii="Times New Roman" w:hAnsi="Times New Roman" w:cs="Times New Roman"/>
          <w:smallCaps w:val="0"/>
        </w:rPr>
        <w:t>4.1 Design principles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_Toc152589555 \h </w:instrText>
      </w:r>
      <w:r>
        <w:rPr>
          <w:rFonts w:ascii="Times New Roman" w:hAnsi="Times New Roman" w:cs="Times New Roman"/>
          <w:smallCaps w:val="0"/>
        </w:rPr>
        <w:fldChar w:fldCharType="separate"/>
      </w:r>
      <w:r>
        <w:rPr>
          <w:rFonts w:ascii="Times New Roman" w:hAnsi="Times New Roman" w:cs="Times New Roman"/>
          <w:smallCaps w:val="0"/>
        </w:rPr>
        <w:t>8</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"_Toc152589556" </w:instrText>
      </w:r>
      <w:r>
        <w:fldChar w:fldCharType="separate"/>
      </w:r>
      <w:r>
        <w:rPr>
          <w:rStyle w:val="33"/>
          <w:rFonts w:ascii="Times New Roman" w:hAnsi="Times New Roman" w:cs="Times New Roman"/>
          <w:smallCaps w:val="0"/>
        </w:rPr>
        <w:t xml:space="preserve">4.2 </w:t>
      </w:r>
      <w:r>
        <w:rPr>
          <w:rStyle w:val="33"/>
          <w:rFonts w:hint="eastAsia" w:ascii="Times New Roman" w:hAnsi="Times New Roman" w:cs="Times New Roman"/>
          <w:smallCaps w:val="0"/>
        </w:rPr>
        <w:t>L</w:t>
      </w:r>
      <w:r>
        <w:rPr>
          <w:rStyle w:val="33"/>
          <w:rFonts w:ascii="Times New Roman" w:hAnsi="Times New Roman" w:cs="Times New Roman"/>
          <w:smallCaps w:val="0"/>
        </w:rPr>
        <w:t>oad and action</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_Toc152589556 \h </w:instrText>
      </w:r>
      <w:r>
        <w:rPr>
          <w:rFonts w:ascii="Times New Roman" w:hAnsi="Times New Roman" w:cs="Times New Roman"/>
          <w:smallCaps w:val="0"/>
        </w:rPr>
        <w:fldChar w:fldCharType="separate"/>
      </w:r>
      <w:r>
        <w:rPr>
          <w:rFonts w:ascii="Times New Roman" w:hAnsi="Times New Roman" w:cs="Times New Roman"/>
          <w:smallCaps w:val="0"/>
        </w:rPr>
        <w:t>9</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"_Toc152589557" </w:instrText>
      </w:r>
      <w:r>
        <w:fldChar w:fldCharType="separate"/>
      </w:r>
      <w:r>
        <w:rPr>
          <w:rStyle w:val="33"/>
          <w:rFonts w:ascii="Times New Roman" w:hAnsi="Times New Roman" w:cs="Times New Roman"/>
          <w:smallCaps w:val="0"/>
        </w:rPr>
        <w:t xml:space="preserve">4.3 </w:t>
      </w:r>
      <w:r>
        <w:rPr>
          <w:rStyle w:val="33"/>
          <w:rFonts w:hint="eastAsia" w:ascii="Times New Roman" w:hAnsi="Times New Roman" w:cs="Times New Roman"/>
          <w:smallCaps w:val="0"/>
        </w:rPr>
        <w:t>S</w:t>
      </w:r>
      <w:r>
        <w:rPr>
          <w:rStyle w:val="33"/>
          <w:rFonts w:ascii="Times New Roman" w:hAnsi="Times New Roman" w:cs="Times New Roman"/>
          <w:smallCaps w:val="0"/>
        </w:rPr>
        <w:t>tructural deformation</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_Toc152589557 \h </w:instrText>
      </w:r>
      <w:r>
        <w:rPr>
          <w:rFonts w:ascii="Times New Roman" w:hAnsi="Times New Roman" w:cs="Times New Roman"/>
          <w:smallCaps w:val="0"/>
        </w:rPr>
        <w:fldChar w:fldCharType="separate"/>
      </w:r>
      <w:r>
        <w:rPr>
          <w:rFonts w:ascii="Times New Roman" w:hAnsi="Times New Roman" w:cs="Times New Roman"/>
          <w:smallCaps w:val="0"/>
        </w:rPr>
        <w:t>9</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"_Toc152589558" </w:instrText>
      </w:r>
      <w:r>
        <w:fldChar w:fldCharType="separate"/>
      </w:r>
      <w:r>
        <w:rPr>
          <w:rStyle w:val="33"/>
          <w:rFonts w:ascii="Times New Roman" w:hAnsi="Times New Roman" w:cs="Times New Roman"/>
          <w:smallCaps w:val="0"/>
        </w:rPr>
        <w:t xml:space="preserve">4.4 </w:t>
      </w:r>
      <w:r>
        <w:rPr>
          <w:rStyle w:val="33"/>
          <w:rFonts w:hint="eastAsia" w:ascii="Times New Roman" w:hAnsi="Times New Roman" w:cs="Times New Roman"/>
          <w:smallCaps w:val="0"/>
        </w:rPr>
        <w:t>S</w:t>
      </w:r>
      <w:r>
        <w:rPr>
          <w:rStyle w:val="33"/>
          <w:rFonts w:ascii="Times New Roman" w:hAnsi="Times New Roman" w:cs="Times New Roman"/>
          <w:smallCaps w:val="0"/>
        </w:rPr>
        <w:t>tructural analysis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_Toc152589558 \h </w:instrText>
      </w:r>
      <w:r>
        <w:rPr>
          <w:rFonts w:ascii="Times New Roman" w:hAnsi="Times New Roman" w:cs="Times New Roman"/>
          <w:smallCaps w:val="0"/>
        </w:rPr>
        <w:fldChar w:fldCharType="separate"/>
      </w:r>
      <w:r>
        <w:rPr>
          <w:rFonts w:ascii="Times New Roman" w:hAnsi="Times New Roman" w:cs="Times New Roman"/>
          <w:smallCaps w:val="0"/>
        </w:rPr>
        <w:t>10</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"_Toc152589559" </w:instrText>
      </w:r>
      <w:r>
        <w:fldChar w:fldCharType="separate"/>
      </w:r>
      <w:r>
        <w:rPr>
          <w:rStyle w:val="33"/>
          <w:rFonts w:ascii="Times New Roman" w:hAnsi="Times New Roman" w:cs="Times New Roman"/>
          <w:caps w:val="0"/>
        </w:rPr>
        <w:t xml:space="preserve">5 </w:t>
      </w:r>
      <w:r>
        <w:rPr>
          <w:rStyle w:val="33"/>
          <w:rFonts w:hint="eastAsia" w:ascii="Times New Roman" w:hAnsi="Times New Roman" w:cs="Times New Roman"/>
          <w:caps w:val="0"/>
        </w:rPr>
        <w:t>S</w:t>
      </w:r>
      <w:r>
        <w:rPr>
          <w:rStyle w:val="33"/>
          <w:rFonts w:ascii="Times New Roman" w:hAnsi="Times New Roman" w:cs="Times New Roman"/>
          <w:caps w:val="0"/>
        </w:rPr>
        <w:t>ystem and construction details</w:t>
      </w:r>
      <w:r>
        <w:rPr>
          <w:rFonts w:ascii="Times New Roman" w:hAnsi="Times New Roman" w:cs="Times New Roman"/>
          <w:caps w:val="0"/>
        </w:rPr>
        <w:tab/>
      </w:r>
      <w:r>
        <w:rPr>
          <w:rFonts w:ascii="Times New Roman" w:hAnsi="Times New Roman" w:cs="Times New Roman"/>
          <w:caps w:val="0"/>
        </w:rPr>
        <w:fldChar w:fldCharType="begin"/>
      </w:r>
      <w:r>
        <w:rPr>
          <w:rFonts w:ascii="Times New Roman" w:hAnsi="Times New Roman" w:cs="Times New Roman"/>
          <w:caps w:val="0"/>
        </w:rPr>
        <w:instrText xml:space="preserve"> PAGEREF _Toc152589559 \h </w:instrText>
      </w:r>
      <w:r>
        <w:rPr>
          <w:rFonts w:ascii="Times New Roman" w:hAnsi="Times New Roman" w:cs="Times New Roman"/>
          <w:caps w:val="0"/>
        </w:rPr>
        <w:fldChar w:fldCharType="separate"/>
      </w:r>
      <w:r>
        <w:rPr>
          <w:rFonts w:ascii="Times New Roman" w:hAnsi="Times New Roman" w:cs="Times New Roman"/>
          <w:caps w:val="0"/>
        </w:rPr>
        <w:t>11</w:t>
      </w:r>
      <w:r>
        <w:rPr>
          <w:rFonts w:ascii="Times New Roman" w:hAnsi="Times New Roman" w:cs="Times New Roman"/>
          <w:caps w:val="0"/>
        </w:rPr>
        <w:fldChar w:fldCharType="end"/>
      </w:r>
      <w:r>
        <w:rPr>
          <w:rFonts w:ascii="Times New Roman" w:hAnsi="Times New Roman" w:cs="Times New Roman"/>
          <w: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"_Toc152589560" </w:instrText>
      </w:r>
      <w:r>
        <w:fldChar w:fldCharType="separate"/>
      </w:r>
      <w:r>
        <w:rPr>
          <w:rStyle w:val="33"/>
          <w:rFonts w:ascii="Times New Roman" w:hAnsi="Times New Roman" w:cs="Times New Roman"/>
          <w:smallCaps w:val="0"/>
        </w:rPr>
        <w:t xml:space="preserve">5.1 </w:t>
      </w:r>
      <w:r>
        <w:rPr>
          <w:rStyle w:val="33"/>
          <w:rFonts w:hint="eastAsia" w:ascii="Times New Roman" w:hAnsi="Times New Roman" w:cs="Times New Roman"/>
          <w:smallCaps w:val="0"/>
        </w:rPr>
        <w:t>G</w:t>
      </w:r>
      <w:r>
        <w:rPr>
          <w:rStyle w:val="33"/>
          <w:rFonts w:ascii="Times New Roman" w:hAnsi="Times New Roman" w:cs="Times New Roman"/>
          <w:smallCaps w:val="0"/>
        </w:rPr>
        <w:t>eneral requirements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_Toc152589560 \h </w:instrText>
      </w:r>
      <w:r>
        <w:rPr>
          <w:rFonts w:ascii="Times New Roman" w:hAnsi="Times New Roman" w:cs="Times New Roman"/>
          <w:smallCaps w:val="0"/>
        </w:rPr>
        <w:fldChar w:fldCharType="separate"/>
      </w:r>
      <w:r>
        <w:rPr>
          <w:rFonts w:ascii="Times New Roman" w:hAnsi="Times New Roman" w:cs="Times New Roman"/>
          <w:smallCaps w:val="0"/>
        </w:rPr>
        <w:t>11</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"_Toc152589561" </w:instrText>
      </w:r>
      <w:r>
        <w:fldChar w:fldCharType="separate"/>
      </w:r>
      <w:r>
        <w:rPr>
          <w:rStyle w:val="33"/>
          <w:rFonts w:ascii="Times New Roman" w:hAnsi="Times New Roman" w:cs="Times New Roman"/>
          <w:smallCaps w:val="0"/>
        </w:rPr>
        <w:t xml:space="preserve">5.2 </w:t>
      </w:r>
      <w:r>
        <w:rPr>
          <w:rStyle w:val="33"/>
          <w:rFonts w:hint="eastAsia" w:ascii="Times New Roman" w:hAnsi="Times New Roman" w:cs="Times New Roman"/>
          <w:smallCaps w:val="0"/>
        </w:rPr>
        <w:t>C</w:t>
      </w:r>
      <w:r>
        <w:rPr>
          <w:rStyle w:val="33"/>
          <w:rFonts w:ascii="Times New Roman" w:hAnsi="Times New Roman" w:cs="Times New Roman"/>
          <w:smallCaps w:val="0"/>
        </w:rPr>
        <w:t>able-supported aluminium alloy structures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_Toc152589561 \h </w:instrText>
      </w:r>
      <w:r>
        <w:rPr>
          <w:rFonts w:ascii="Times New Roman" w:hAnsi="Times New Roman" w:cs="Times New Roman"/>
          <w:smallCaps w:val="0"/>
        </w:rPr>
        <w:fldChar w:fldCharType="separate"/>
      </w:r>
      <w:r>
        <w:rPr>
          <w:rFonts w:ascii="Times New Roman" w:hAnsi="Times New Roman" w:cs="Times New Roman"/>
          <w:smallCaps w:val="0"/>
        </w:rPr>
        <w:t>11</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"_Toc152589562" </w:instrText>
      </w:r>
      <w:r>
        <w:fldChar w:fldCharType="separate"/>
      </w:r>
      <w:r>
        <w:rPr>
          <w:rStyle w:val="33"/>
          <w:rFonts w:ascii="Times New Roman" w:hAnsi="Times New Roman" w:cs="Times New Roman"/>
          <w:smallCaps w:val="0"/>
        </w:rPr>
        <w:t>5.3 Cable-stayed and hanger aluminium alloy structures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_Toc152589562 \h </w:instrText>
      </w:r>
      <w:r>
        <w:rPr>
          <w:rFonts w:ascii="Times New Roman" w:hAnsi="Times New Roman" w:cs="Times New Roman"/>
          <w:smallCaps w:val="0"/>
        </w:rPr>
        <w:fldChar w:fldCharType="separate"/>
      </w:r>
      <w:r>
        <w:rPr>
          <w:rFonts w:ascii="Times New Roman" w:hAnsi="Times New Roman" w:cs="Times New Roman"/>
          <w:smallCaps w:val="0"/>
        </w:rPr>
        <w:t>12</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"_Toc152589563" </w:instrText>
      </w:r>
      <w:r>
        <w:fldChar w:fldCharType="separate"/>
      </w:r>
      <w:r>
        <w:rPr>
          <w:rStyle w:val="33"/>
          <w:rFonts w:ascii="Times New Roman" w:hAnsi="Times New Roman" w:cs="Times New Roman"/>
          <w:smallCaps w:val="0"/>
        </w:rPr>
        <w:t>5.4 Aluminium alloy tension towers and masts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_Toc152589563 \h </w:instrText>
      </w:r>
      <w:r>
        <w:rPr>
          <w:rFonts w:ascii="Times New Roman" w:hAnsi="Times New Roman" w:cs="Times New Roman"/>
          <w:smallCaps w:val="0"/>
        </w:rPr>
        <w:fldChar w:fldCharType="separate"/>
      </w:r>
      <w:r>
        <w:rPr>
          <w:rFonts w:ascii="Times New Roman" w:hAnsi="Times New Roman" w:cs="Times New Roman"/>
          <w:smallCaps w:val="0"/>
        </w:rPr>
        <w:t>12</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"_Toc152589564" </w:instrText>
      </w:r>
      <w:r>
        <w:fldChar w:fldCharType="separate"/>
      </w:r>
      <w:r>
        <w:rPr>
          <w:rStyle w:val="33"/>
          <w:rFonts w:ascii="Times New Roman" w:hAnsi="Times New Roman" w:cs="Times New Roman"/>
          <w:caps w:val="0"/>
        </w:rPr>
        <w:t xml:space="preserve">6 </w:t>
      </w:r>
      <w:r>
        <w:rPr>
          <w:rStyle w:val="33"/>
          <w:rFonts w:hint="eastAsia" w:ascii="Times New Roman" w:hAnsi="Times New Roman" w:cs="Times New Roman"/>
          <w:caps w:val="0"/>
        </w:rPr>
        <w:t>S</w:t>
      </w:r>
      <w:r>
        <w:rPr>
          <w:rStyle w:val="33"/>
          <w:rFonts w:ascii="Times New Roman" w:hAnsi="Times New Roman" w:cs="Times New Roman"/>
          <w:caps w:val="0"/>
        </w:rPr>
        <w:t>tuctural design and analysis</w:t>
      </w:r>
      <w:r>
        <w:rPr>
          <w:rFonts w:ascii="Times New Roman" w:hAnsi="Times New Roman" w:cs="Times New Roman"/>
          <w:caps w:val="0"/>
        </w:rPr>
        <w:tab/>
      </w:r>
      <w:r>
        <w:rPr>
          <w:rFonts w:ascii="Times New Roman" w:hAnsi="Times New Roman" w:cs="Times New Roman"/>
          <w:caps w:val="0"/>
        </w:rPr>
        <w:fldChar w:fldCharType="begin"/>
      </w:r>
      <w:r>
        <w:rPr>
          <w:rFonts w:ascii="Times New Roman" w:hAnsi="Times New Roman" w:cs="Times New Roman"/>
          <w:caps w:val="0"/>
        </w:rPr>
        <w:instrText xml:space="preserve"> PAGEREF _Toc152589564 \h </w:instrText>
      </w:r>
      <w:r>
        <w:rPr>
          <w:rFonts w:ascii="Times New Roman" w:hAnsi="Times New Roman" w:cs="Times New Roman"/>
          <w:caps w:val="0"/>
        </w:rPr>
        <w:fldChar w:fldCharType="separate"/>
      </w:r>
      <w:r>
        <w:rPr>
          <w:rFonts w:ascii="Times New Roman" w:hAnsi="Times New Roman" w:cs="Times New Roman"/>
          <w:caps w:val="0"/>
        </w:rPr>
        <w:t>13</w:t>
      </w:r>
      <w:r>
        <w:rPr>
          <w:rFonts w:ascii="Times New Roman" w:hAnsi="Times New Roman" w:cs="Times New Roman"/>
          <w:caps w:val="0"/>
        </w:rPr>
        <w:fldChar w:fldCharType="end"/>
      </w:r>
      <w:r>
        <w:rPr>
          <w:rFonts w:ascii="Times New Roman" w:hAnsi="Times New Roman" w:cs="Times New Roman"/>
          <w: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"_Toc152589565" </w:instrText>
      </w:r>
      <w:r>
        <w:fldChar w:fldCharType="separate"/>
      </w:r>
      <w:r>
        <w:rPr>
          <w:rStyle w:val="33"/>
          <w:rFonts w:ascii="Times New Roman" w:hAnsi="Times New Roman" w:cs="Times New Roman"/>
          <w:smallCaps w:val="0"/>
        </w:rPr>
        <w:t xml:space="preserve">6.1 </w:t>
      </w:r>
      <w:r>
        <w:rPr>
          <w:rStyle w:val="33"/>
          <w:rFonts w:hint="eastAsia" w:ascii="Times New Roman" w:hAnsi="Times New Roman" w:cs="Times New Roman"/>
          <w:smallCaps w:val="0"/>
        </w:rPr>
        <w:t>G</w:t>
      </w:r>
      <w:r>
        <w:rPr>
          <w:rStyle w:val="33"/>
          <w:rFonts w:ascii="Times New Roman" w:hAnsi="Times New Roman" w:cs="Times New Roman"/>
          <w:smallCaps w:val="0"/>
        </w:rPr>
        <w:t>eneral requirements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_Toc152589565 \h </w:instrText>
      </w:r>
      <w:r>
        <w:rPr>
          <w:rFonts w:ascii="Times New Roman" w:hAnsi="Times New Roman" w:cs="Times New Roman"/>
          <w:smallCaps w:val="0"/>
        </w:rPr>
        <w:fldChar w:fldCharType="separate"/>
      </w:r>
      <w:r>
        <w:rPr>
          <w:rFonts w:ascii="Times New Roman" w:hAnsi="Times New Roman" w:cs="Times New Roman"/>
          <w:smallCaps w:val="0"/>
        </w:rPr>
        <w:t>13</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"_Toc152589566" </w:instrText>
      </w:r>
      <w:r>
        <w:fldChar w:fldCharType="separate"/>
      </w:r>
      <w:r>
        <w:rPr>
          <w:rStyle w:val="33"/>
          <w:rFonts w:ascii="Times New Roman" w:hAnsi="Times New Roman" w:cs="Times New Roman"/>
          <w:smallCaps w:val="0"/>
        </w:rPr>
        <w:t xml:space="preserve">6.2 </w:t>
      </w:r>
      <w:r>
        <w:rPr>
          <w:rStyle w:val="33"/>
          <w:rFonts w:hint="eastAsia" w:ascii="Times New Roman" w:hAnsi="Times New Roman" w:cs="Times New Roman"/>
          <w:smallCaps w:val="0"/>
        </w:rPr>
        <w:t>S</w:t>
      </w:r>
      <w:r>
        <w:rPr>
          <w:rStyle w:val="33"/>
          <w:rFonts w:ascii="Times New Roman" w:hAnsi="Times New Roman" w:cs="Times New Roman"/>
          <w:smallCaps w:val="0"/>
        </w:rPr>
        <w:t>tructural design</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_Toc152589566 \h </w:instrText>
      </w:r>
      <w:r>
        <w:rPr>
          <w:rFonts w:ascii="Times New Roman" w:hAnsi="Times New Roman" w:cs="Times New Roman"/>
          <w:smallCaps w:val="0"/>
        </w:rPr>
        <w:fldChar w:fldCharType="separate"/>
      </w:r>
      <w:r>
        <w:rPr>
          <w:rFonts w:ascii="Times New Roman" w:hAnsi="Times New Roman" w:cs="Times New Roman"/>
          <w:smallCaps w:val="0"/>
        </w:rPr>
        <w:t>13</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"_Toc152589567" </w:instrText>
      </w:r>
      <w:r>
        <w:fldChar w:fldCharType="separate"/>
      </w:r>
      <w:r>
        <w:rPr>
          <w:rStyle w:val="33"/>
          <w:rFonts w:ascii="Times New Roman" w:hAnsi="Times New Roman" w:cs="Times New Roman"/>
          <w:smallCaps w:val="0"/>
        </w:rPr>
        <w:t xml:space="preserve">6.3 </w:t>
      </w:r>
      <w:r>
        <w:rPr>
          <w:rStyle w:val="33"/>
          <w:rFonts w:hint="eastAsia" w:ascii="Times New Roman" w:hAnsi="Times New Roman" w:cs="Times New Roman"/>
          <w:smallCaps w:val="0"/>
        </w:rPr>
        <w:t>A</w:t>
      </w:r>
      <w:r>
        <w:rPr>
          <w:rStyle w:val="33"/>
          <w:rFonts w:ascii="Times New Roman" w:hAnsi="Times New Roman" w:cs="Times New Roman"/>
          <w:smallCaps w:val="0"/>
        </w:rPr>
        <w:t>nalysis of structural initial state</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_Toc152589567 \h </w:instrText>
      </w:r>
      <w:r>
        <w:rPr>
          <w:rFonts w:ascii="Times New Roman" w:hAnsi="Times New Roman" w:cs="Times New Roman"/>
          <w:smallCaps w:val="0"/>
        </w:rPr>
        <w:fldChar w:fldCharType="separate"/>
      </w:r>
      <w:r>
        <w:rPr>
          <w:rFonts w:ascii="Times New Roman" w:hAnsi="Times New Roman" w:cs="Times New Roman"/>
          <w:smallCaps w:val="0"/>
        </w:rPr>
        <w:t>14</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"_Toc152589568" </w:instrText>
      </w:r>
      <w:r>
        <w:fldChar w:fldCharType="separate"/>
      </w:r>
      <w:r>
        <w:rPr>
          <w:rStyle w:val="33"/>
          <w:rFonts w:ascii="Times New Roman" w:hAnsi="Times New Roman" w:cs="Times New Roman"/>
          <w:smallCaps w:val="0"/>
        </w:rPr>
        <w:t xml:space="preserve">6.4 </w:t>
      </w:r>
      <w:r>
        <w:rPr>
          <w:rStyle w:val="33"/>
          <w:rFonts w:hint="eastAsia" w:ascii="Times New Roman" w:hAnsi="Times New Roman" w:cs="Times New Roman"/>
          <w:smallCaps w:val="0"/>
        </w:rPr>
        <w:t>A</w:t>
      </w:r>
      <w:r>
        <w:rPr>
          <w:rStyle w:val="33"/>
          <w:rFonts w:ascii="Times New Roman" w:hAnsi="Times New Roman" w:cs="Times New Roman"/>
          <w:smallCaps w:val="0"/>
        </w:rPr>
        <w:t>nalysis of structural working state</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_Toc152589568 \h </w:instrText>
      </w:r>
      <w:r>
        <w:rPr>
          <w:rFonts w:ascii="Times New Roman" w:hAnsi="Times New Roman" w:cs="Times New Roman"/>
          <w:smallCaps w:val="0"/>
        </w:rPr>
        <w:fldChar w:fldCharType="separate"/>
      </w:r>
      <w:r>
        <w:rPr>
          <w:rFonts w:ascii="Times New Roman" w:hAnsi="Times New Roman" w:cs="Times New Roman"/>
          <w:smallCaps w:val="0"/>
        </w:rPr>
        <w:t>14</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"_Toc152589569" </w:instrText>
      </w:r>
      <w:r>
        <w:fldChar w:fldCharType="separate"/>
      </w:r>
      <w:r>
        <w:rPr>
          <w:rStyle w:val="33"/>
          <w:rFonts w:ascii="Times New Roman" w:hAnsi="Times New Roman" w:cs="Times New Roman"/>
          <w:smallCaps w:val="0"/>
        </w:rPr>
        <w:t xml:space="preserve">6.5 </w:t>
      </w:r>
      <w:r>
        <w:rPr>
          <w:rStyle w:val="33"/>
          <w:rFonts w:hint="eastAsia" w:ascii="Times New Roman" w:hAnsi="Times New Roman" w:cs="Times New Roman"/>
          <w:smallCaps w:val="0"/>
        </w:rPr>
        <w:t>A</w:t>
      </w:r>
      <w:r>
        <w:rPr>
          <w:rStyle w:val="33"/>
          <w:rFonts w:ascii="Times New Roman" w:hAnsi="Times New Roman" w:cs="Times New Roman"/>
          <w:smallCaps w:val="0"/>
        </w:rPr>
        <w:t>nalysis of structural construction process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_Toc152589569 \h </w:instrText>
      </w:r>
      <w:r>
        <w:rPr>
          <w:rFonts w:ascii="Times New Roman" w:hAnsi="Times New Roman" w:cs="Times New Roman"/>
          <w:smallCaps w:val="0"/>
        </w:rPr>
        <w:fldChar w:fldCharType="separate"/>
      </w:r>
      <w:r>
        <w:rPr>
          <w:rFonts w:ascii="Times New Roman" w:hAnsi="Times New Roman" w:cs="Times New Roman"/>
          <w:smallCaps w:val="0"/>
        </w:rPr>
        <w:t>15</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"_Toc152589570" </w:instrText>
      </w:r>
      <w:r>
        <w:fldChar w:fldCharType="separate"/>
      </w:r>
      <w:r>
        <w:rPr>
          <w:rStyle w:val="33"/>
          <w:rFonts w:ascii="Times New Roman" w:hAnsi="Times New Roman" w:cs="Times New Roman"/>
          <w:caps w:val="0"/>
        </w:rPr>
        <w:t>7.</w:t>
      </w:r>
      <w:r>
        <w:rPr>
          <w:rStyle w:val="33"/>
          <w:rFonts w:hint="eastAsia" w:ascii="Times New Roman" w:hAnsi="Times New Roman" w:cs="Times New Roman"/>
          <w:caps w:val="0"/>
        </w:rPr>
        <w:t>D</w:t>
      </w:r>
      <w:r>
        <w:rPr>
          <w:rStyle w:val="33"/>
          <w:rFonts w:ascii="Times New Roman" w:hAnsi="Times New Roman" w:cs="Times New Roman"/>
          <w:caps w:val="0"/>
        </w:rPr>
        <w:t>esign and detailing of members and joints</w:t>
      </w:r>
      <w:r>
        <w:rPr>
          <w:rFonts w:ascii="Times New Roman" w:hAnsi="Times New Roman" w:cs="Times New Roman"/>
          <w:caps w:val="0"/>
        </w:rPr>
        <w:tab/>
      </w:r>
      <w:r>
        <w:rPr>
          <w:rFonts w:ascii="Times New Roman" w:hAnsi="Times New Roman" w:cs="Times New Roman"/>
          <w:caps w:val="0"/>
        </w:rPr>
        <w:fldChar w:fldCharType="begin"/>
      </w:r>
      <w:r>
        <w:rPr>
          <w:rFonts w:ascii="Times New Roman" w:hAnsi="Times New Roman" w:cs="Times New Roman"/>
          <w:caps w:val="0"/>
        </w:rPr>
        <w:instrText xml:space="preserve"> PAGEREF _Toc152589570 \h </w:instrText>
      </w:r>
      <w:r>
        <w:rPr>
          <w:rFonts w:ascii="Times New Roman" w:hAnsi="Times New Roman" w:cs="Times New Roman"/>
          <w:caps w:val="0"/>
        </w:rPr>
        <w:fldChar w:fldCharType="separate"/>
      </w:r>
      <w:r>
        <w:rPr>
          <w:rFonts w:ascii="Times New Roman" w:hAnsi="Times New Roman" w:cs="Times New Roman"/>
          <w:caps w:val="0"/>
        </w:rPr>
        <w:t>16</w:t>
      </w:r>
      <w:r>
        <w:rPr>
          <w:rFonts w:ascii="Times New Roman" w:hAnsi="Times New Roman" w:cs="Times New Roman"/>
          <w:caps w:val="0"/>
        </w:rPr>
        <w:fldChar w:fldCharType="end"/>
      </w:r>
      <w:r>
        <w:rPr>
          <w:rFonts w:ascii="Times New Roman" w:hAnsi="Times New Roman" w:cs="Times New Roman"/>
          <w: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"_Toc152589571" </w:instrText>
      </w:r>
      <w:r>
        <w:fldChar w:fldCharType="separate"/>
      </w:r>
      <w:r>
        <w:rPr>
          <w:rStyle w:val="33"/>
          <w:rFonts w:ascii="Times New Roman" w:hAnsi="Times New Roman" w:cs="Times New Roman"/>
          <w:smallCaps w:val="0"/>
        </w:rPr>
        <w:t>7.1</w:t>
      </w:r>
      <w:r>
        <w:rPr>
          <w:rFonts w:hint="eastAsia"/>
        </w:rPr>
        <w:t xml:space="preserve"> </w:t>
      </w:r>
      <w:r>
        <w:rPr>
          <w:rStyle w:val="33"/>
          <w:rFonts w:hint="eastAsia" w:ascii="Times New Roman" w:hAnsi="Times New Roman" w:cs="Times New Roman"/>
          <w:smallCaps w:val="0"/>
        </w:rPr>
        <w:t>G</w:t>
      </w:r>
      <w:r>
        <w:rPr>
          <w:rStyle w:val="33"/>
          <w:rFonts w:ascii="Times New Roman" w:hAnsi="Times New Roman" w:cs="Times New Roman"/>
          <w:smallCaps w:val="0"/>
        </w:rPr>
        <w:t>eneral requirements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_Toc152589571 \h </w:instrText>
      </w:r>
      <w:r>
        <w:rPr>
          <w:rFonts w:ascii="Times New Roman" w:hAnsi="Times New Roman" w:cs="Times New Roman"/>
          <w:smallCaps w:val="0"/>
        </w:rPr>
        <w:fldChar w:fldCharType="separate"/>
      </w:r>
      <w:r>
        <w:rPr>
          <w:rFonts w:ascii="Times New Roman" w:hAnsi="Times New Roman" w:cs="Times New Roman"/>
          <w:smallCaps w:val="0"/>
        </w:rPr>
        <w:t>16</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"_Toc152589572" </w:instrText>
      </w:r>
      <w:r>
        <w:fldChar w:fldCharType="separate"/>
      </w:r>
      <w:r>
        <w:rPr>
          <w:rStyle w:val="33"/>
          <w:rFonts w:ascii="Times New Roman" w:hAnsi="Times New Roman" w:cs="Times New Roman"/>
          <w:smallCaps w:val="0"/>
        </w:rPr>
        <w:t>7.2 Connections between aluminium alloy members and other members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_Toc152589572 \h </w:instrText>
      </w:r>
      <w:r>
        <w:rPr>
          <w:rFonts w:ascii="Times New Roman" w:hAnsi="Times New Roman" w:cs="Times New Roman"/>
          <w:smallCaps w:val="0"/>
        </w:rPr>
        <w:fldChar w:fldCharType="separate"/>
      </w:r>
      <w:r>
        <w:rPr>
          <w:rFonts w:ascii="Times New Roman" w:hAnsi="Times New Roman" w:cs="Times New Roman"/>
          <w:smallCaps w:val="0"/>
        </w:rPr>
        <w:t>16</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"_Toc152589573" </w:instrText>
      </w:r>
      <w:r>
        <w:fldChar w:fldCharType="separate"/>
      </w:r>
      <w:r>
        <w:rPr>
          <w:rStyle w:val="33"/>
          <w:rFonts w:ascii="Times New Roman" w:hAnsi="Times New Roman" w:cs="Times New Roman"/>
          <w:smallCaps w:val="0"/>
        </w:rPr>
        <w:t xml:space="preserve">7.3 </w:t>
      </w:r>
      <w:r>
        <w:rPr>
          <w:rStyle w:val="33"/>
          <w:rFonts w:hint="eastAsia" w:ascii="Times New Roman" w:hAnsi="Times New Roman" w:cs="Times New Roman"/>
          <w:smallCaps w:val="0"/>
        </w:rPr>
        <w:t>C</w:t>
      </w:r>
      <w:r>
        <w:rPr>
          <w:rStyle w:val="33"/>
          <w:rFonts w:ascii="Times New Roman" w:hAnsi="Times New Roman" w:cs="Times New Roman"/>
          <w:smallCaps w:val="0"/>
        </w:rPr>
        <w:t>onnection calculation and detailing</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_Toc152589573 \h </w:instrText>
      </w:r>
      <w:r>
        <w:rPr>
          <w:rFonts w:ascii="Times New Roman" w:hAnsi="Times New Roman" w:cs="Times New Roman"/>
          <w:smallCaps w:val="0"/>
        </w:rPr>
        <w:fldChar w:fldCharType="separate"/>
      </w:r>
      <w:r>
        <w:rPr>
          <w:rFonts w:ascii="Times New Roman" w:hAnsi="Times New Roman" w:cs="Times New Roman"/>
          <w:smallCaps w:val="0"/>
        </w:rPr>
        <w:t>17</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"_Toc152589574" </w:instrText>
      </w:r>
      <w:r>
        <w:fldChar w:fldCharType="separate"/>
      </w:r>
      <w:r>
        <w:rPr>
          <w:rStyle w:val="33"/>
          <w:rFonts w:ascii="Times New Roman" w:hAnsi="Times New Roman" w:cs="Times New Roman"/>
          <w:caps w:val="0"/>
        </w:rPr>
        <w:t xml:space="preserve">8  </w:t>
      </w:r>
      <w:r>
        <w:rPr>
          <w:rStyle w:val="33"/>
          <w:rFonts w:hint="eastAsia" w:ascii="Times New Roman" w:hAnsi="Times New Roman" w:cs="Times New Roman"/>
          <w:caps w:val="0"/>
        </w:rPr>
        <w:t>C</w:t>
      </w:r>
      <w:r>
        <w:rPr>
          <w:rStyle w:val="33"/>
          <w:rFonts w:ascii="Times New Roman" w:hAnsi="Times New Roman" w:cs="Times New Roman"/>
          <w:caps w:val="0"/>
        </w:rPr>
        <w:t>onstruction and acceptance</w:t>
      </w:r>
      <w:r>
        <w:rPr>
          <w:rFonts w:ascii="Times New Roman" w:hAnsi="Times New Roman" w:cs="Times New Roman"/>
          <w:caps w:val="0"/>
        </w:rPr>
        <w:tab/>
      </w:r>
      <w:r>
        <w:rPr>
          <w:rFonts w:ascii="Times New Roman" w:hAnsi="Times New Roman" w:cs="Times New Roman"/>
          <w:caps w:val="0"/>
        </w:rPr>
        <w:fldChar w:fldCharType="begin"/>
      </w:r>
      <w:r>
        <w:rPr>
          <w:rFonts w:ascii="Times New Roman" w:hAnsi="Times New Roman" w:cs="Times New Roman"/>
          <w:caps w:val="0"/>
        </w:rPr>
        <w:instrText xml:space="preserve"> PAGEREF _Toc152589574 \h </w:instrText>
      </w:r>
      <w:r>
        <w:rPr>
          <w:rFonts w:ascii="Times New Roman" w:hAnsi="Times New Roman" w:cs="Times New Roman"/>
          <w:caps w:val="0"/>
        </w:rPr>
        <w:fldChar w:fldCharType="separate"/>
      </w:r>
      <w:r>
        <w:rPr>
          <w:rFonts w:ascii="Times New Roman" w:hAnsi="Times New Roman" w:cs="Times New Roman"/>
          <w:caps w:val="0"/>
        </w:rPr>
        <w:t>19</w:t>
      </w:r>
      <w:r>
        <w:rPr>
          <w:rFonts w:ascii="Times New Roman" w:hAnsi="Times New Roman" w:cs="Times New Roman"/>
          <w:caps w:val="0"/>
        </w:rPr>
        <w:fldChar w:fldCharType="end"/>
      </w:r>
      <w:r>
        <w:rPr>
          <w:rFonts w:ascii="Times New Roman" w:hAnsi="Times New Roman" w:cs="Times New Roman"/>
          <w: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"_Toc152589575" </w:instrText>
      </w:r>
      <w:r>
        <w:fldChar w:fldCharType="separate"/>
      </w:r>
      <w:r>
        <w:rPr>
          <w:rStyle w:val="33"/>
          <w:rFonts w:ascii="Times New Roman" w:hAnsi="Times New Roman" w:cs="Times New Roman"/>
          <w:smallCaps w:val="0"/>
        </w:rPr>
        <w:t>8.1</w:t>
      </w:r>
      <w:r>
        <w:rPr>
          <w:rFonts w:hint="eastAsia"/>
        </w:rPr>
        <w:t xml:space="preserve"> </w:t>
      </w:r>
      <w:r>
        <w:rPr>
          <w:rStyle w:val="33"/>
          <w:rFonts w:hint="eastAsia" w:ascii="Times New Roman" w:hAnsi="Times New Roman" w:cs="Times New Roman"/>
          <w:smallCaps w:val="0"/>
        </w:rPr>
        <w:t>G</w:t>
      </w:r>
      <w:r>
        <w:rPr>
          <w:rStyle w:val="33"/>
          <w:rFonts w:ascii="Times New Roman" w:hAnsi="Times New Roman" w:cs="Times New Roman"/>
          <w:smallCaps w:val="0"/>
        </w:rPr>
        <w:t>eneral requirements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_Toc152589575 \h </w:instrText>
      </w:r>
      <w:r>
        <w:rPr>
          <w:rFonts w:ascii="Times New Roman" w:hAnsi="Times New Roman" w:cs="Times New Roman"/>
          <w:smallCaps w:val="0"/>
        </w:rPr>
        <w:fldChar w:fldCharType="separate"/>
      </w:r>
      <w:r>
        <w:rPr>
          <w:rFonts w:ascii="Times New Roman" w:hAnsi="Times New Roman" w:cs="Times New Roman"/>
          <w:smallCaps w:val="0"/>
        </w:rPr>
        <w:t>19</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"_Toc152589576" </w:instrText>
      </w:r>
      <w:r>
        <w:fldChar w:fldCharType="separate"/>
      </w:r>
      <w:r>
        <w:rPr>
          <w:rStyle w:val="33"/>
          <w:rFonts w:ascii="Times New Roman" w:hAnsi="Times New Roman" w:cs="Times New Roman"/>
          <w:smallCaps w:val="0"/>
        </w:rPr>
        <w:t xml:space="preserve">8.2 Package, transportation and </w:t>
      </w:r>
      <w:r>
        <w:rPr>
          <w:rStyle w:val="33"/>
          <w:rFonts w:hint="eastAsia" w:ascii="Times New Roman" w:hAnsi="Times New Roman" w:cs="Times New Roman"/>
          <w:smallCaps w:val="0"/>
        </w:rPr>
        <w:t>s</w:t>
      </w:r>
      <w:r>
        <w:rPr>
          <w:rStyle w:val="33"/>
          <w:rFonts w:ascii="Times New Roman" w:hAnsi="Times New Roman" w:cs="Times New Roman"/>
          <w:smallCaps w:val="0"/>
        </w:rPr>
        <w:t>torage</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_Toc152589576 \h </w:instrText>
      </w:r>
      <w:r>
        <w:rPr>
          <w:rFonts w:ascii="Times New Roman" w:hAnsi="Times New Roman" w:cs="Times New Roman"/>
          <w:smallCaps w:val="0"/>
        </w:rPr>
        <w:fldChar w:fldCharType="separate"/>
      </w:r>
      <w:r>
        <w:rPr>
          <w:rFonts w:ascii="Times New Roman" w:hAnsi="Times New Roman" w:cs="Times New Roman"/>
          <w:smallCaps w:val="0"/>
        </w:rPr>
        <w:t>19</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"_Toc152589577" </w:instrText>
      </w:r>
      <w:r>
        <w:fldChar w:fldCharType="separate"/>
      </w:r>
      <w:r>
        <w:rPr>
          <w:rStyle w:val="33"/>
          <w:rFonts w:ascii="Times New Roman" w:hAnsi="Times New Roman" w:cs="Times New Roman"/>
          <w:smallCaps w:val="0"/>
        </w:rPr>
        <w:t xml:space="preserve">8.3 </w:t>
      </w:r>
      <w:r>
        <w:rPr>
          <w:rStyle w:val="33"/>
          <w:rFonts w:hint="eastAsia" w:ascii="Times New Roman" w:hAnsi="Times New Roman" w:cs="Times New Roman"/>
          <w:smallCaps w:val="0"/>
        </w:rPr>
        <w:t>I</w:t>
      </w:r>
      <w:r>
        <w:rPr>
          <w:rStyle w:val="33"/>
          <w:rFonts w:ascii="Times New Roman" w:hAnsi="Times New Roman" w:cs="Times New Roman"/>
          <w:smallCaps w:val="0"/>
        </w:rPr>
        <w:t>nstallation of cables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_Toc152589577 \h </w:instrText>
      </w:r>
      <w:r>
        <w:rPr>
          <w:rFonts w:ascii="Times New Roman" w:hAnsi="Times New Roman" w:cs="Times New Roman"/>
          <w:smallCaps w:val="0"/>
        </w:rPr>
        <w:fldChar w:fldCharType="separate"/>
      </w:r>
      <w:r>
        <w:rPr>
          <w:rFonts w:ascii="Times New Roman" w:hAnsi="Times New Roman" w:cs="Times New Roman"/>
          <w:smallCaps w:val="0"/>
        </w:rPr>
        <w:t>20</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"_Toc152589578" </w:instrText>
      </w:r>
      <w:r>
        <w:fldChar w:fldCharType="separate"/>
      </w:r>
      <w:r>
        <w:rPr>
          <w:rStyle w:val="33"/>
          <w:rFonts w:ascii="Times New Roman" w:hAnsi="Times New Roman" w:cs="Times New Roman"/>
          <w:smallCaps w:val="0"/>
        </w:rPr>
        <w:t xml:space="preserve">8.4 </w:t>
      </w:r>
      <w:r>
        <w:rPr>
          <w:rStyle w:val="33"/>
          <w:rFonts w:hint="eastAsia" w:ascii="Times New Roman" w:hAnsi="Times New Roman" w:cs="Times New Roman"/>
          <w:smallCaps w:val="0"/>
        </w:rPr>
        <w:t>T</w:t>
      </w:r>
      <w:r>
        <w:rPr>
          <w:rStyle w:val="33"/>
          <w:rFonts w:ascii="Times New Roman" w:hAnsi="Times New Roman" w:cs="Times New Roman"/>
          <w:smallCaps w:val="0"/>
        </w:rPr>
        <w:t>ensioning of cables</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_Toc152589578 \h </w:instrText>
      </w:r>
      <w:r>
        <w:rPr>
          <w:rFonts w:ascii="Times New Roman" w:hAnsi="Times New Roman" w:cs="Times New Roman"/>
          <w:smallCaps w:val="0"/>
        </w:rPr>
        <w:fldChar w:fldCharType="separate"/>
      </w:r>
      <w:r>
        <w:rPr>
          <w:rFonts w:ascii="Times New Roman" w:hAnsi="Times New Roman" w:cs="Times New Roman"/>
          <w:smallCaps w:val="0"/>
        </w:rPr>
        <w:t>20</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"_Toc152589579" </w:instrText>
      </w:r>
      <w:r>
        <w:fldChar w:fldCharType="separate"/>
      </w:r>
      <w:r>
        <w:rPr>
          <w:rStyle w:val="33"/>
          <w:rFonts w:ascii="Times New Roman" w:hAnsi="Times New Roman" w:cs="Times New Roman"/>
          <w:smallCaps w:val="0"/>
        </w:rPr>
        <w:t xml:space="preserve">8.5 </w:t>
      </w:r>
      <w:r>
        <w:rPr>
          <w:rStyle w:val="33"/>
          <w:rFonts w:hint="eastAsia" w:ascii="Times New Roman" w:hAnsi="Times New Roman" w:cs="Times New Roman"/>
          <w:smallCaps w:val="0"/>
        </w:rPr>
        <w:t>Q</w:t>
      </w:r>
      <w:r>
        <w:rPr>
          <w:rStyle w:val="33"/>
          <w:rFonts w:ascii="Times New Roman" w:hAnsi="Times New Roman" w:cs="Times New Roman"/>
          <w:smallCaps w:val="0"/>
        </w:rPr>
        <w:t>uality requirements of installation</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_Toc152589579 \h </w:instrText>
      </w:r>
      <w:r>
        <w:rPr>
          <w:rFonts w:ascii="Times New Roman" w:hAnsi="Times New Roman" w:cs="Times New Roman"/>
          <w:smallCaps w:val="0"/>
        </w:rPr>
        <w:fldChar w:fldCharType="separate"/>
      </w:r>
      <w:r>
        <w:rPr>
          <w:rFonts w:ascii="Times New Roman" w:hAnsi="Times New Roman" w:cs="Times New Roman"/>
          <w:smallCaps w:val="0"/>
        </w:rPr>
        <w:t>21</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"_Toc152589580" </w:instrText>
      </w:r>
      <w:r>
        <w:fldChar w:fldCharType="separate"/>
      </w:r>
      <w:r>
        <w:rPr>
          <w:rStyle w:val="33"/>
          <w:rFonts w:ascii="Times New Roman" w:hAnsi="Times New Roman" w:cs="Times New Roman"/>
          <w:smallCaps w:val="0"/>
        </w:rPr>
        <w:t xml:space="preserve">8.6 </w:t>
      </w:r>
      <w:r>
        <w:rPr>
          <w:rStyle w:val="33"/>
          <w:rFonts w:hint="eastAsia" w:ascii="Times New Roman" w:hAnsi="Times New Roman" w:cs="Times New Roman"/>
          <w:smallCaps w:val="0"/>
        </w:rPr>
        <w:t>A</w:t>
      </w:r>
      <w:r>
        <w:rPr>
          <w:rStyle w:val="33"/>
          <w:rFonts w:ascii="Times New Roman" w:hAnsi="Times New Roman" w:cs="Times New Roman"/>
          <w:smallCaps w:val="0"/>
        </w:rPr>
        <w:t>cceptance</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_Toc152589580 \h </w:instrText>
      </w:r>
      <w:r>
        <w:rPr>
          <w:rFonts w:ascii="Times New Roman" w:hAnsi="Times New Roman" w:cs="Times New Roman"/>
          <w:smallCaps w:val="0"/>
        </w:rPr>
        <w:fldChar w:fldCharType="separate"/>
      </w:r>
      <w:r>
        <w:rPr>
          <w:rFonts w:ascii="Times New Roman" w:hAnsi="Times New Roman" w:cs="Times New Roman"/>
          <w:smallCaps w:val="0"/>
        </w:rPr>
        <w:t>22</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"_Toc152589581" </w:instrText>
      </w:r>
      <w:r>
        <w:fldChar w:fldCharType="separate"/>
      </w:r>
      <w:r>
        <w:rPr>
          <w:rStyle w:val="33"/>
          <w:rFonts w:ascii="Times New Roman" w:hAnsi="Times New Roman" w:cs="Times New Roman"/>
          <w:caps w:val="0"/>
        </w:rPr>
        <w:t>9  Maintenance, inspection and monitoring</w:t>
      </w:r>
      <w:r>
        <w:rPr>
          <w:rFonts w:ascii="Times New Roman" w:hAnsi="Times New Roman" w:cs="Times New Roman"/>
          <w:caps w:val="0"/>
        </w:rPr>
        <w:tab/>
      </w:r>
      <w:r>
        <w:rPr>
          <w:rFonts w:ascii="Times New Roman" w:hAnsi="Times New Roman" w:cs="Times New Roman"/>
          <w:caps w:val="0"/>
        </w:rPr>
        <w:fldChar w:fldCharType="begin"/>
      </w:r>
      <w:r>
        <w:rPr>
          <w:rFonts w:ascii="Times New Roman" w:hAnsi="Times New Roman" w:cs="Times New Roman"/>
          <w:caps w:val="0"/>
        </w:rPr>
        <w:instrText xml:space="preserve"> PAGEREF _Toc152589581 \h </w:instrText>
      </w:r>
      <w:r>
        <w:rPr>
          <w:rFonts w:ascii="Times New Roman" w:hAnsi="Times New Roman" w:cs="Times New Roman"/>
          <w:caps w:val="0"/>
        </w:rPr>
        <w:fldChar w:fldCharType="separate"/>
      </w:r>
      <w:r>
        <w:rPr>
          <w:rFonts w:ascii="Times New Roman" w:hAnsi="Times New Roman" w:cs="Times New Roman"/>
          <w:caps w:val="0"/>
        </w:rPr>
        <w:t>25</w:t>
      </w:r>
      <w:r>
        <w:rPr>
          <w:rFonts w:ascii="Times New Roman" w:hAnsi="Times New Roman" w:cs="Times New Roman"/>
          <w:caps w:val="0"/>
        </w:rPr>
        <w:fldChar w:fldCharType="end"/>
      </w:r>
      <w:r>
        <w:rPr>
          <w:rFonts w:ascii="Times New Roman" w:hAnsi="Times New Roman" w:cs="Times New Roman"/>
          <w: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"_Toc152589582" </w:instrText>
      </w:r>
      <w:r>
        <w:fldChar w:fldCharType="separate"/>
      </w:r>
      <w:r>
        <w:rPr>
          <w:rStyle w:val="33"/>
          <w:rFonts w:ascii="Times New Roman" w:hAnsi="Times New Roman" w:cs="Times New Roman"/>
          <w:smallCaps w:val="0"/>
        </w:rPr>
        <w:t xml:space="preserve">9.1 </w:t>
      </w:r>
      <w:r>
        <w:rPr>
          <w:rStyle w:val="33"/>
          <w:rFonts w:hint="eastAsia" w:ascii="Times New Roman" w:hAnsi="Times New Roman" w:cs="Times New Roman"/>
          <w:smallCaps w:val="0"/>
        </w:rPr>
        <w:t>C</w:t>
      </w:r>
      <w:r>
        <w:rPr>
          <w:rStyle w:val="33"/>
          <w:rFonts w:ascii="Times New Roman" w:hAnsi="Times New Roman" w:cs="Times New Roman"/>
          <w:smallCaps w:val="0"/>
        </w:rPr>
        <w:t>orrosion protection</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_Toc152589582 \h </w:instrText>
      </w:r>
      <w:r>
        <w:rPr>
          <w:rFonts w:ascii="Times New Roman" w:hAnsi="Times New Roman" w:cs="Times New Roman"/>
          <w:smallCaps w:val="0"/>
        </w:rPr>
        <w:fldChar w:fldCharType="separate"/>
      </w:r>
      <w:r>
        <w:rPr>
          <w:rFonts w:ascii="Times New Roman" w:hAnsi="Times New Roman" w:cs="Times New Roman"/>
          <w:smallCaps w:val="0"/>
        </w:rPr>
        <w:t>25</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"_Toc152589583" </w:instrText>
      </w:r>
      <w:r>
        <w:fldChar w:fldCharType="separate"/>
      </w:r>
      <w:r>
        <w:rPr>
          <w:rStyle w:val="33"/>
          <w:rFonts w:ascii="Times New Roman" w:hAnsi="Times New Roman" w:cs="Times New Roman"/>
          <w:smallCaps w:val="0"/>
        </w:rPr>
        <w:t xml:space="preserve">9.2 </w:t>
      </w:r>
      <w:r>
        <w:rPr>
          <w:rStyle w:val="33"/>
          <w:rFonts w:hint="eastAsia" w:ascii="Times New Roman" w:hAnsi="Times New Roman" w:cs="Times New Roman"/>
          <w:smallCaps w:val="0"/>
        </w:rPr>
        <w:t>F</w:t>
      </w:r>
      <w:r>
        <w:rPr>
          <w:rStyle w:val="33"/>
          <w:rFonts w:ascii="Times New Roman" w:hAnsi="Times New Roman" w:cs="Times New Roman"/>
          <w:smallCaps w:val="0"/>
        </w:rPr>
        <w:t>ire protection</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_Toc152589583 \h </w:instrText>
      </w:r>
      <w:r>
        <w:rPr>
          <w:rFonts w:ascii="Times New Roman" w:hAnsi="Times New Roman" w:cs="Times New Roman"/>
          <w:smallCaps w:val="0"/>
        </w:rPr>
        <w:fldChar w:fldCharType="separate"/>
      </w:r>
      <w:r>
        <w:rPr>
          <w:rFonts w:ascii="Times New Roman" w:hAnsi="Times New Roman" w:cs="Times New Roman"/>
          <w:smallCaps w:val="0"/>
        </w:rPr>
        <w:t>26</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"_Toc152589584" </w:instrText>
      </w:r>
      <w:r>
        <w:fldChar w:fldCharType="separate"/>
      </w:r>
      <w:r>
        <w:rPr>
          <w:rStyle w:val="33"/>
          <w:rFonts w:ascii="Times New Roman" w:hAnsi="Times New Roman" w:cs="Times New Roman"/>
          <w:smallCaps w:val="0"/>
        </w:rPr>
        <w:t xml:space="preserve">9.3 </w:t>
      </w:r>
      <w:r>
        <w:rPr>
          <w:rStyle w:val="33"/>
          <w:rFonts w:hint="eastAsia" w:ascii="Times New Roman" w:hAnsi="Times New Roman" w:cs="Times New Roman"/>
          <w:smallCaps w:val="0"/>
        </w:rPr>
        <w:t>M</w:t>
      </w:r>
      <w:r>
        <w:rPr>
          <w:rStyle w:val="33"/>
          <w:rFonts w:ascii="Times New Roman" w:hAnsi="Times New Roman" w:cs="Times New Roman"/>
          <w:smallCaps w:val="0"/>
        </w:rPr>
        <w:t>aintenance</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_Toc152589584 \h </w:instrText>
      </w:r>
      <w:r>
        <w:rPr>
          <w:rFonts w:ascii="Times New Roman" w:hAnsi="Times New Roman" w:cs="Times New Roman"/>
          <w:smallCaps w:val="0"/>
        </w:rPr>
        <w:fldChar w:fldCharType="separate"/>
      </w:r>
      <w:r>
        <w:rPr>
          <w:rFonts w:ascii="Times New Roman" w:hAnsi="Times New Roman" w:cs="Times New Roman"/>
          <w:smallCaps w:val="0"/>
        </w:rPr>
        <w:t>26</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"_Toc152589585" </w:instrText>
      </w:r>
      <w:r>
        <w:fldChar w:fldCharType="separate"/>
      </w:r>
      <w:r>
        <w:rPr>
          <w:rStyle w:val="33"/>
          <w:rFonts w:ascii="Times New Roman" w:hAnsi="Times New Roman" w:cs="Times New Roman"/>
          <w:smallCaps w:val="0"/>
        </w:rPr>
        <w:t xml:space="preserve">9.4 </w:t>
      </w:r>
      <w:r>
        <w:rPr>
          <w:rStyle w:val="33"/>
          <w:rFonts w:hint="eastAsia" w:ascii="Times New Roman" w:hAnsi="Times New Roman" w:cs="Times New Roman"/>
          <w:smallCaps w:val="0"/>
        </w:rPr>
        <w:t>I</w:t>
      </w:r>
      <w:r>
        <w:rPr>
          <w:rStyle w:val="33"/>
          <w:rFonts w:ascii="Times New Roman" w:hAnsi="Times New Roman" w:cs="Times New Roman"/>
          <w:smallCaps w:val="0"/>
        </w:rPr>
        <w:t>nspection</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_Toc152589585 \h </w:instrText>
      </w:r>
      <w:r>
        <w:rPr>
          <w:rFonts w:ascii="Times New Roman" w:hAnsi="Times New Roman" w:cs="Times New Roman"/>
          <w:smallCaps w:val="0"/>
        </w:rPr>
        <w:fldChar w:fldCharType="separate"/>
      </w:r>
      <w:r>
        <w:rPr>
          <w:rFonts w:ascii="Times New Roman" w:hAnsi="Times New Roman" w:cs="Times New Roman"/>
          <w:smallCaps w:val="0"/>
        </w:rPr>
        <w:t>27</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21"/>
        <w:tabs>
          <w:tab w:val="right" w:leader="dot" w:pos="8296"/>
        </w:tabs>
        <w:rPr>
          <w:rFonts w:cstheme="minorBidi"/>
          <w:smallCaps w:val="0"/>
          <w:sz w:val="21"/>
          <w:szCs w:val="22"/>
        </w:rPr>
      </w:pPr>
      <w:r>
        <w:fldChar w:fldCharType="begin"/>
      </w:r>
      <w:r>
        <w:instrText xml:space="preserve"> HYPERLINK \l "_Toc152589586" </w:instrText>
      </w:r>
      <w:r>
        <w:fldChar w:fldCharType="separate"/>
      </w:r>
      <w:r>
        <w:rPr>
          <w:rStyle w:val="33"/>
          <w:rFonts w:ascii="Times New Roman" w:hAnsi="Times New Roman" w:cs="Times New Roman"/>
          <w:smallCaps w:val="0"/>
        </w:rPr>
        <w:t xml:space="preserve">9.5 </w:t>
      </w:r>
      <w:r>
        <w:rPr>
          <w:rStyle w:val="33"/>
          <w:rFonts w:hint="eastAsia" w:ascii="Times New Roman" w:hAnsi="Times New Roman" w:cs="Times New Roman"/>
          <w:smallCaps w:val="0"/>
        </w:rPr>
        <w:t>M</w:t>
      </w:r>
      <w:r>
        <w:rPr>
          <w:rStyle w:val="33"/>
          <w:rFonts w:ascii="Times New Roman" w:hAnsi="Times New Roman" w:cs="Times New Roman"/>
          <w:smallCaps w:val="0"/>
        </w:rPr>
        <w:t>onitoring</w:t>
      </w:r>
      <w:r>
        <w:rPr>
          <w:rFonts w:ascii="Times New Roman" w:hAnsi="Times New Roman" w:cs="Times New Roman"/>
          <w:smallCaps w:val="0"/>
        </w:rPr>
        <w:tab/>
      </w:r>
      <w:r>
        <w:rPr>
          <w:rFonts w:ascii="Times New Roman" w:hAnsi="Times New Roman" w:cs="Times New Roman"/>
          <w:smallCaps w:val="0"/>
        </w:rPr>
        <w:fldChar w:fldCharType="begin"/>
      </w:r>
      <w:r>
        <w:rPr>
          <w:rFonts w:ascii="Times New Roman" w:hAnsi="Times New Roman" w:cs="Times New Roman"/>
          <w:smallCaps w:val="0"/>
        </w:rPr>
        <w:instrText xml:space="preserve"> PAGEREF _Toc152589586 \h </w:instrText>
      </w:r>
      <w:r>
        <w:rPr>
          <w:rFonts w:ascii="Times New Roman" w:hAnsi="Times New Roman" w:cs="Times New Roman"/>
          <w:smallCaps w:val="0"/>
        </w:rPr>
        <w:fldChar w:fldCharType="separate"/>
      </w:r>
      <w:r>
        <w:rPr>
          <w:rFonts w:ascii="Times New Roman" w:hAnsi="Times New Roman" w:cs="Times New Roman"/>
          <w:smallCaps w:val="0"/>
        </w:rPr>
        <w:t>27</w:t>
      </w:r>
      <w:r>
        <w:rPr>
          <w:rFonts w:ascii="Times New Roman" w:hAnsi="Times New Roman" w:cs="Times New Roman"/>
          <w:smallCaps w:val="0"/>
        </w:rPr>
        <w:fldChar w:fldCharType="end"/>
      </w:r>
      <w:r>
        <w:rPr>
          <w:rFonts w:ascii="Times New Roman" w:hAnsi="Times New Roman" w:cs="Times New Roman"/>
          <w:smallCaps w:val="0"/>
        </w:rPr>
        <w:fldChar w:fldCharType="end"/>
      </w:r>
    </w:p>
    <w:p>
      <w:pPr>
        <w:pStyle w:val="17"/>
        <w:tabs>
          <w:tab w:val="right" w:leader="dot" w:pos="8296"/>
        </w:tabs>
        <w:rPr>
          <w:rFonts w:cstheme="minorBidi"/>
          <w:b w:val="0"/>
          <w:bCs w:val="0"/>
          <w:caps w:val="0"/>
          <w:sz w:val="21"/>
          <w:szCs w:val="22"/>
        </w:rPr>
      </w:pPr>
    </w:p>
    <w:p>
      <w:pPr>
        <w:rPr>
          <w:rFonts w:eastAsia="宋体" w:cs="Times New Roman"/>
          <w:sz w:val="22"/>
          <w:szCs w:val="28"/>
          <w:lang w:val="zh-CN"/>
        </w:rPr>
      </w:pPr>
      <w:r>
        <w:rPr>
          <w:rFonts w:eastAsia="黑体" w:cs="Times New Roman"/>
          <w:b/>
          <w:bCs/>
          <w:spacing w:val="12"/>
          <w:szCs w:val="21"/>
        </w:rPr>
        <w:fldChar w:fldCharType="end"/>
      </w: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Pr>
        <w:rPr>
          <w:rFonts w:eastAsia="宋体" w:cs="Times New Roman"/>
          <w:sz w:val="22"/>
          <w:szCs w:val="28"/>
          <w:lang w:val="zh-CN"/>
        </w:rPr>
      </w:pPr>
    </w:p>
    <w:p/>
    <w:p>
      <w:pPr>
        <w:jc w:val="center"/>
        <w:rPr>
          <w:rFonts w:cs="Times New Roman" w:eastAsiaTheme="majorEastAsia"/>
          <w:b/>
          <w:bCs/>
          <w:sz w:val="32"/>
          <w:szCs w:val="32"/>
        </w:rPr>
        <w:sectPr>
          <w:pgSz w:w="11906" w:h="16838"/>
          <w:pgMar w:top="1440" w:right="1800" w:bottom="1440" w:left="1800" w:header="851" w:footer="992" w:gutter="0"/>
          <w:cols w:space="425" w:num="1"/>
          <w:docGrid w:type="lines" w:linePitch="312" w:charSpace="0"/>
        </w:sectPr>
      </w:pPr>
    </w:p>
    <w:p>
      <w:pPr>
        <w:pStyle w:val="2"/>
      </w:pPr>
      <w:bookmarkStart w:id="4" w:name="_Toc152588920"/>
      <w:bookmarkStart w:id="5" w:name="_Toc152589544"/>
      <w:bookmarkStart w:id="6" w:name="_Toc152589102"/>
      <w:r>
        <w:rPr>
          <w:rFonts w:hint="eastAsia"/>
        </w:rPr>
        <w:t>1</w:t>
      </w:r>
      <w:r>
        <w:t xml:space="preserve"> </w:t>
      </w:r>
      <w:r>
        <w:rPr>
          <w:rFonts w:hint="eastAsia"/>
        </w:rPr>
        <w:t>总则</w:t>
      </w:r>
      <w:bookmarkEnd w:id="4"/>
      <w:bookmarkEnd w:id="5"/>
      <w:bookmarkEnd w:id="6"/>
    </w:p>
    <w:p>
      <w:pPr>
        <w:adjustRightInd w:val="0"/>
        <w:snapToGrid w:val="0"/>
        <w:spacing w:before="156" w:beforeLines="50"/>
        <w:rPr>
          <w:rFonts w:eastAsia="宋体" w:cs="Times New Roman"/>
        </w:rPr>
      </w:pPr>
      <w:r>
        <w:rPr>
          <w:rFonts w:cs="Times New Roman"/>
          <w:b/>
          <w:bCs/>
          <w:szCs w:val="21"/>
        </w:rPr>
        <w:t>1.0.1</w:t>
      </w:r>
      <w:r>
        <w:rPr>
          <w:rFonts w:cs="Times New Roman"/>
          <w:szCs w:val="21"/>
        </w:rPr>
        <w:t xml:space="preserve"> </w:t>
      </w:r>
      <w:r>
        <w:rPr>
          <w:rFonts w:eastAsia="宋体" w:cs="Times New Roman"/>
        </w:rPr>
        <w:t>为在预应力铝合金结构设计、施工及验收中贯彻执行国家的技术经济政策，做到技术先进、经济合理、安全适用、确保质量，特制定本规程。</w:t>
      </w:r>
    </w:p>
    <w:p>
      <w:pPr>
        <w:adjustRightInd w:val="0"/>
        <w:snapToGrid w:val="0"/>
        <w:rPr>
          <w:rFonts w:eastAsia="宋体" w:cs="Times New Roman"/>
        </w:rPr>
      </w:pPr>
      <w:r>
        <w:rPr>
          <w:rFonts w:eastAsia="宋体" w:cs="Times New Roman"/>
          <w:b/>
          <w:bCs/>
        </w:rPr>
        <w:t xml:space="preserve">1.0.2 </w:t>
      </w:r>
      <w:r>
        <w:rPr>
          <w:rFonts w:eastAsia="宋体" w:cs="Times New Roman"/>
        </w:rPr>
        <w:t>本标准适用于预应力铝合金结构建筑物和构筑物的设计、施工及验收。</w:t>
      </w:r>
    </w:p>
    <w:p>
      <w:pPr>
        <w:rPr>
          <w:rFonts w:cs="Times New Roman"/>
          <w:color w:val="000000"/>
        </w:rPr>
      </w:pPr>
      <w:r>
        <w:rPr>
          <w:rFonts w:eastAsia="宋体" w:cs="Times New Roman"/>
          <w:b/>
          <w:bCs/>
        </w:rPr>
        <w:t xml:space="preserve">1.0.3 </w:t>
      </w:r>
      <w:r>
        <w:rPr>
          <w:rFonts w:eastAsia="宋体" w:cs="Times New Roman"/>
        </w:rPr>
        <w:t>本标准依据现行国家标准《工程结构可靠性设计统一标准》GB 50153及《建筑结构可靠度设计统一标准》GB 50068的原则制订。</w:t>
      </w:r>
      <w:r>
        <w:rPr>
          <w:rFonts w:cs="Times New Roman"/>
          <w:color w:val="000000"/>
        </w:rPr>
        <w:t xml:space="preserve">按本标准进行施工质量验收时，应与现行国家标准《建筑工程施工质量验收统一标准》GB50300、《钢结构工程施工质量验收标准》GB50205及《铝合金结构工程施工质量验收标准》GB50576配套使用。 </w:t>
      </w:r>
    </w:p>
    <w:p>
      <w:pPr>
        <w:adjustRightInd w:val="0"/>
        <w:snapToGrid w:val="0"/>
        <w:spacing w:before="50"/>
        <w:rPr>
          <w:rFonts w:eastAsia="宋体" w:cs="Times New Roman"/>
        </w:rPr>
      </w:pPr>
      <w:r>
        <w:rPr>
          <w:rFonts w:eastAsia="宋体" w:cs="Times New Roman"/>
          <w:b/>
          <w:bCs/>
        </w:rPr>
        <w:t xml:space="preserve">1.0.4  </w:t>
      </w:r>
      <w:r>
        <w:rPr>
          <w:rFonts w:eastAsia="宋体" w:cs="Times New Roman"/>
        </w:rPr>
        <w:t>预应力铝合金结构的设计、施工和验收，除应符合本标准外，尚应符合国家现行有关标准的规定。</w:t>
      </w:r>
    </w:p>
    <w:p>
      <w:pPr>
        <w:adjustRightInd w:val="0"/>
        <w:snapToGrid w:val="0"/>
        <w:spacing w:before="50"/>
        <w:rPr>
          <w:rFonts w:eastAsia="宋体" w:cs="Times New Roman"/>
        </w:rPr>
        <w:sectPr>
          <w:pgSz w:w="11906" w:h="16838"/>
          <w:pgMar w:top="1440" w:right="1800" w:bottom="1440" w:left="1800" w:header="851" w:footer="992" w:gutter="0"/>
          <w:pgNumType w:start="1"/>
          <w:cols w:space="720" w:num="1"/>
          <w:docGrid w:type="lines" w:linePitch="312" w:charSpace="0"/>
        </w:sectPr>
      </w:pPr>
    </w:p>
    <w:p>
      <w:pPr>
        <w:pStyle w:val="2"/>
        <w:rPr>
          <w:lang w:val="en-US"/>
        </w:rPr>
      </w:pPr>
      <w:bookmarkStart w:id="7" w:name="_Toc152589545"/>
      <w:bookmarkStart w:id="8" w:name="_Toc152589103"/>
      <w:bookmarkStart w:id="9" w:name="_Toc152588921"/>
      <w:r>
        <w:rPr>
          <w:lang w:val="en-US"/>
        </w:rPr>
        <w:t xml:space="preserve">2 </w:t>
      </w:r>
      <w:r>
        <w:t>术语和符号</w:t>
      </w:r>
      <w:bookmarkEnd w:id="7"/>
      <w:bookmarkEnd w:id="8"/>
      <w:bookmarkEnd w:id="9"/>
    </w:p>
    <w:p>
      <w:pPr>
        <w:pStyle w:val="3"/>
        <w:spacing w:before="156" w:after="156"/>
      </w:pPr>
      <w:bookmarkStart w:id="10" w:name="_Toc152588922"/>
      <w:bookmarkStart w:id="11" w:name="_Toc152589104"/>
      <w:bookmarkStart w:id="12" w:name="_Toc152589546"/>
      <w:r>
        <w:t>2.1 术语</w:t>
      </w:r>
      <w:bookmarkEnd w:id="10"/>
      <w:bookmarkEnd w:id="11"/>
      <w:bookmarkEnd w:id="12"/>
    </w:p>
    <w:p>
      <w:pPr>
        <w:adjustRightInd w:val="0"/>
        <w:snapToGrid w:val="0"/>
        <w:spacing w:before="156" w:beforeLines="50"/>
        <w:rPr>
          <w:rFonts w:cs="Times New Roman"/>
          <w:color w:val="000000"/>
          <w:szCs w:val="21"/>
        </w:rPr>
      </w:pPr>
      <w:r>
        <w:rPr>
          <w:rFonts w:cs="Times New Roman"/>
          <w:b/>
          <w:bCs/>
          <w:color w:val="000000"/>
          <w:szCs w:val="21"/>
        </w:rPr>
        <w:t xml:space="preserve">2.1.1 </w:t>
      </w:r>
      <w:r>
        <w:rPr>
          <w:rFonts w:cs="Times New Roman"/>
          <w:color w:val="000000"/>
          <w:szCs w:val="21"/>
        </w:rPr>
        <w:t>索 flexible member</w:t>
      </w:r>
    </w:p>
    <w:p>
      <w:pPr>
        <w:adjustRightInd w:val="0"/>
        <w:snapToGrid w:val="0"/>
        <w:ind w:firstLine="437"/>
        <w:rPr>
          <w:rFonts w:cs="Times New Roman"/>
          <w:color w:val="000000"/>
          <w:szCs w:val="21"/>
        </w:rPr>
      </w:pPr>
      <w:r>
        <w:rPr>
          <w:rFonts w:cs="Times New Roman"/>
          <w:color w:val="000000"/>
          <w:szCs w:val="21"/>
        </w:rPr>
        <w:t>索是在工程结构中施加预张力并只受拉的柔性构件，本规程中的索包含拉索和拉杆。拉索由索体（护层）和锚具等组成，索体是由冷拉钢丝通过不同方式绞合组成的钢绞线（不锈钢绞线）和半平行钢丝束；拉杆由杆身和锚具等组成，拉杆杆身按材质可分为钢拉杆和不锈钢拉杆。</w:t>
      </w:r>
    </w:p>
    <w:p>
      <w:pPr>
        <w:adjustRightInd w:val="0"/>
        <w:snapToGrid w:val="0"/>
        <w:spacing w:before="156" w:beforeLines="50"/>
        <w:rPr>
          <w:rFonts w:cs="Times New Roman"/>
          <w:color w:val="000000"/>
          <w:szCs w:val="21"/>
        </w:rPr>
      </w:pPr>
      <w:r>
        <w:rPr>
          <w:rFonts w:cs="Times New Roman"/>
          <w:b/>
          <w:color w:val="000000"/>
          <w:szCs w:val="21"/>
        </w:rPr>
        <w:t>2.1.2</w:t>
      </w:r>
      <w:r>
        <w:rPr>
          <w:rFonts w:cs="Times New Roman"/>
          <w:color w:val="000000"/>
          <w:szCs w:val="21"/>
        </w:rPr>
        <w:t xml:space="preserve">钢绞线索体steel spiral strand </w:t>
      </w:r>
    </w:p>
    <w:p>
      <w:pPr>
        <w:adjustRightInd w:val="0"/>
        <w:snapToGrid w:val="0"/>
        <w:ind w:firstLine="420" w:firstLineChars="200"/>
        <w:rPr>
          <w:rFonts w:cs="Times New Roman"/>
        </w:rPr>
      </w:pPr>
      <w:r>
        <w:rPr>
          <w:rFonts w:cs="Times New Roman"/>
        </w:rPr>
        <w:t>采用若干根钢丝相邻层反向螺旋捻制在一根中心钢丝上制成的拉索。全部采用圆形钢丝 可制成圆丝钢绞线拉索，外部一层或多层采用 Z 形钢丝可制成密封钢绞线拉索。</w:t>
      </w:r>
    </w:p>
    <w:p>
      <w:pPr>
        <w:adjustRightInd w:val="0"/>
        <w:snapToGrid w:val="0"/>
        <w:spacing w:before="156" w:beforeLines="50"/>
        <w:rPr>
          <w:rFonts w:cs="Times New Roman"/>
          <w:color w:val="000000"/>
        </w:rPr>
      </w:pPr>
      <w:r>
        <w:rPr>
          <w:rFonts w:cs="Times New Roman"/>
          <w:b/>
          <w:bCs/>
          <w:color w:val="000000"/>
        </w:rPr>
        <w:t xml:space="preserve">2.1.3 </w:t>
      </w:r>
      <w:r>
        <w:rPr>
          <w:rFonts w:cs="Times New Roman"/>
          <w:bCs/>
          <w:color w:val="000000"/>
        </w:rPr>
        <w:t>半平行</w:t>
      </w:r>
      <w:r>
        <w:rPr>
          <w:rFonts w:cs="Times New Roman"/>
          <w:color w:val="000000"/>
        </w:rPr>
        <w:t>钢丝束索体semi-parallel steel strand</w:t>
      </w:r>
    </w:p>
    <w:p>
      <w:pPr>
        <w:adjustRightInd w:val="0"/>
        <w:snapToGrid w:val="0"/>
        <w:ind w:firstLine="420" w:firstLineChars="200"/>
        <w:rPr>
          <w:rFonts w:cs="Times New Roman"/>
        </w:rPr>
      </w:pPr>
      <w:r>
        <w:rPr>
          <w:rFonts w:cs="Times New Roman"/>
        </w:rPr>
        <w:t>采用若干根同直径的高强钢丝平行集束、扭绞及外挤高密度聚乙烯护套制成的拉索</w:t>
      </w:r>
    </w:p>
    <w:p>
      <w:pPr>
        <w:adjustRightInd w:val="0"/>
        <w:snapToGrid w:val="0"/>
        <w:spacing w:before="156" w:beforeLines="50"/>
        <w:rPr>
          <w:rFonts w:cs="Times New Roman"/>
          <w:color w:val="000000"/>
          <w:szCs w:val="21"/>
        </w:rPr>
      </w:pPr>
      <w:r>
        <w:rPr>
          <w:rFonts w:cs="Times New Roman"/>
          <w:b/>
          <w:color w:val="000000"/>
          <w:szCs w:val="21"/>
        </w:rPr>
        <w:t>2.1.4</w:t>
      </w:r>
      <w:r>
        <w:rPr>
          <w:rFonts w:cs="Times New Roman"/>
          <w:color w:val="000000"/>
          <w:szCs w:val="21"/>
        </w:rPr>
        <w:t xml:space="preserve">不锈钢绞线索体stainless steel spiral strand </w:t>
      </w:r>
    </w:p>
    <w:p>
      <w:pPr>
        <w:adjustRightInd w:val="0"/>
        <w:snapToGrid w:val="0"/>
        <w:ind w:firstLine="420" w:firstLineChars="200"/>
        <w:rPr>
          <w:rFonts w:cs="Times New Roman"/>
          <w:color w:val="000000"/>
          <w:szCs w:val="21"/>
        </w:rPr>
      </w:pPr>
      <w:r>
        <w:rPr>
          <w:rFonts w:cs="Times New Roman"/>
        </w:rPr>
        <w:t>采用若干根不锈钢钢丝相邻层反向螺旋捻制在一根中心不锈钢钢丝上制成的拉索</w:t>
      </w:r>
      <w:r>
        <w:rPr>
          <w:rFonts w:cs="Times New Roman"/>
          <w:color w:val="000000"/>
          <w:szCs w:val="21"/>
        </w:rPr>
        <w:t>。</w:t>
      </w:r>
    </w:p>
    <w:p>
      <w:pPr>
        <w:adjustRightInd w:val="0"/>
        <w:snapToGrid w:val="0"/>
        <w:spacing w:before="156" w:beforeLines="50"/>
        <w:rPr>
          <w:rFonts w:cs="Times New Roman"/>
          <w:color w:val="000000"/>
          <w:szCs w:val="21"/>
        </w:rPr>
      </w:pPr>
      <w:r>
        <w:rPr>
          <w:rFonts w:cs="Times New Roman"/>
          <w:b/>
          <w:color w:val="000000"/>
          <w:szCs w:val="21"/>
        </w:rPr>
        <w:t>2.1.5</w:t>
      </w:r>
      <w:r>
        <w:rPr>
          <w:rFonts w:cs="Times New Roman"/>
          <w:color w:val="000000"/>
          <w:szCs w:val="21"/>
        </w:rPr>
        <w:t>钢拉杆steel rod</w:t>
      </w:r>
    </w:p>
    <w:p>
      <w:pPr>
        <w:adjustRightInd w:val="0"/>
        <w:snapToGrid w:val="0"/>
        <w:ind w:firstLine="437"/>
        <w:rPr>
          <w:rFonts w:cs="Times New Roman"/>
          <w:color w:val="000000"/>
          <w:szCs w:val="21"/>
        </w:rPr>
      </w:pPr>
      <w:r>
        <w:rPr>
          <w:rFonts w:cs="Times New Roman"/>
          <w:color w:val="000000"/>
          <w:szCs w:val="21"/>
        </w:rPr>
        <w:t>由钢质杆体和连接件等组件组装的受拉构件。</w:t>
      </w:r>
    </w:p>
    <w:p>
      <w:pPr>
        <w:adjustRightInd w:val="0"/>
        <w:snapToGrid w:val="0"/>
        <w:spacing w:before="156" w:beforeLines="50"/>
        <w:rPr>
          <w:rFonts w:cs="Times New Roman"/>
          <w:color w:val="000000"/>
          <w:szCs w:val="21"/>
        </w:rPr>
      </w:pPr>
      <w:r>
        <w:rPr>
          <w:rFonts w:cs="Times New Roman"/>
          <w:b/>
          <w:color w:val="000000"/>
          <w:szCs w:val="21"/>
        </w:rPr>
        <w:t>2.1.6</w:t>
      </w:r>
      <w:r>
        <w:rPr>
          <w:rFonts w:cs="Times New Roman"/>
          <w:color w:val="000000"/>
          <w:szCs w:val="21"/>
        </w:rPr>
        <w:t>不锈钢拉杆stainless steel rod</w:t>
      </w:r>
    </w:p>
    <w:p>
      <w:pPr>
        <w:adjustRightInd w:val="0"/>
        <w:snapToGrid w:val="0"/>
        <w:ind w:firstLine="437"/>
        <w:rPr>
          <w:rFonts w:cs="Times New Roman"/>
          <w:color w:val="000000"/>
          <w:szCs w:val="21"/>
        </w:rPr>
      </w:pPr>
      <w:r>
        <w:rPr>
          <w:rFonts w:cs="Times New Roman"/>
          <w:color w:val="000000"/>
          <w:szCs w:val="21"/>
        </w:rPr>
        <w:t>由不锈钢质杆体和连接件等组件组装的受拉构件。</w:t>
      </w:r>
    </w:p>
    <w:p>
      <w:pPr>
        <w:adjustRightInd w:val="0"/>
        <w:snapToGrid w:val="0"/>
        <w:spacing w:before="156" w:beforeLines="50"/>
        <w:rPr>
          <w:rFonts w:cs="Times New Roman"/>
          <w:color w:val="000000"/>
          <w:szCs w:val="21"/>
        </w:rPr>
      </w:pPr>
      <w:r>
        <w:rPr>
          <w:rFonts w:cs="Times New Roman"/>
          <w:b/>
          <w:bCs/>
          <w:color w:val="000000"/>
          <w:szCs w:val="21"/>
        </w:rPr>
        <w:t>2.1.7</w:t>
      </w:r>
      <w:r>
        <w:rPr>
          <w:rFonts w:cs="Times New Roman"/>
          <w:color w:val="000000"/>
          <w:szCs w:val="21"/>
        </w:rPr>
        <w:t>调节端adjusting side</w:t>
      </w:r>
    </w:p>
    <w:p>
      <w:pPr>
        <w:adjustRightInd w:val="0"/>
        <w:snapToGrid w:val="0"/>
        <w:ind w:firstLine="437"/>
        <w:rPr>
          <w:rFonts w:cs="Times New Roman"/>
          <w:szCs w:val="21"/>
        </w:rPr>
      </w:pPr>
      <w:r>
        <w:rPr>
          <w:rFonts w:cs="Times New Roman"/>
          <w:szCs w:val="21"/>
        </w:rPr>
        <w:t>调节端是采用调节螺杆、螺母等方式对索体长度进行调节的装置。</w:t>
      </w:r>
    </w:p>
    <w:p>
      <w:pPr>
        <w:adjustRightInd w:val="0"/>
        <w:snapToGrid w:val="0"/>
        <w:spacing w:before="156" w:beforeLines="50"/>
        <w:rPr>
          <w:rFonts w:cs="Times New Roman"/>
          <w:color w:val="000000"/>
          <w:szCs w:val="21"/>
        </w:rPr>
      </w:pPr>
      <w:r>
        <w:rPr>
          <w:rFonts w:cs="Times New Roman"/>
          <w:b/>
          <w:bCs/>
          <w:color w:val="000000"/>
          <w:szCs w:val="21"/>
        </w:rPr>
        <w:t>2.1.8</w:t>
      </w:r>
      <w:r>
        <w:rPr>
          <w:rFonts w:cs="Times New Roman"/>
          <w:color w:val="000000"/>
          <w:szCs w:val="21"/>
        </w:rPr>
        <w:t>锚具anchor</w:t>
      </w:r>
    </w:p>
    <w:p>
      <w:pPr>
        <w:adjustRightInd w:val="0"/>
        <w:snapToGrid w:val="0"/>
        <w:ind w:firstLine="437"/>
        <w:rPr>
          <w:rFonts w:cs="Times New Roman"/>
          <w:color w:val="000000"/>
          <w:szCs w:val="21"/>
        </w:rPr>
      </w:pPr>
      <w:r>
        <w:rPr>
          <w:rFonts w:cs="Times New Roman"/>
        </w:rPr>
        <w:t>索体或杆身端头与外部边界节点连接的部件集合，索体或杆身的拉力通过其传递给外界，一般包括索体或杆身的固接件、调节装置和外连件等。</w:t>
      </w:r>
      <w:r>
        <w:rPr>
          <w:rFonts w:cs="Times New Roman"/>
          <w:color w:val="000000"/>
          <w:szCs w:val="21"/>
        </w:rPr>
        <w:t>。</w:t>
      </w:r>
    </w:p>
    <w:p>
      <w:pPr>
        <w:adjustRightInd w:val="0"/>
        <w:snapToGrid w:val="0"/>
        <w:spacing w:before="156" w:beforeLines="50"/>
        <w:rPr>
          <w:rFonts w:cs="Times New Roman"/>
          <w:szCs w:val="21"/>
        </w:rPr>
      </w:pPr>
      <w:r>
        <w:rPr>
          <w:rFonts w:cs="Times New Roman"/>
          <w:b/>
          <w:szCs w:val="21"/>
        </w:rPr>
        <w:t>2.1.10</w:t>
      </w:r>
      <w:r>
        <w:rPr>
          <w:rFonts w:cs="Times New Roman"/>
          <w:bCs/>
          <w:szCs w:val="21"/>
        </w:rPr>
        <w:t xml:space="preserve"> </w:t>
      </w:r>
      <w:r>
        <w:rPr>
          <w:rFonts w:cs="Times New Roman"/>
          <w:szCs w:val="21"/>
        </w:rPr>
        <w:t>护层anti-corrosive sheath</w:t>
      </w:r>
    </w:p>
    <w:p>
      <w:pPr>
        <w:adjustRightInd w:val="0"/>
        <w:snapToGrid w:val="0"/>
        <w:ind w:firstLine="420"/>
        <w:rPr>
          <w:rFonts w:cs="Times New Roman"/>
          <w:szCs w:val="21"/>
        </w:rPr>
      </w:pPr>
      <w:r>
        <w:rPr>
          <w:rFonts w:cs="Times New Roman"/>
          <w:szCs w:val="21"/>
        </w:rPr>
        <w:t>为防止钢丝生锈，在集束和索体外包覆的保护层。在索体外包覆的保护层应具备一定的机械强度和耐老化性能。</w:t>
      </w:r>
    </w:p>
    <w:p>
      <w:pPr>
        <w:adjustRightInd w:val="0"/>
        <w:snapToGrid w:val="0"/>
        <w:spacing w:before="156" w:beforeLines="50"/>
        <w:rPr>
          <w:rFonts w:cs="Times New Roman"/>
          <w:color w:val="FF0000"/>
          <w:szCs w:val="21"/>
        </w:rPr>
      </w:pPr>
      <w:r>
        <w:rPr>
          <w:rFonts w:cs="Times New Roman"/>
          <w:b/>
          <w:bCs/>
          <w:color w:val="000000"/>
          <w:szCs w:val="21"/>
        </w:rPr>
        <w:t>2.1.11</w:t>
      </w:r>
      <w:r>
        <w:rPr>
          <w:rFonts w:cs="Times New Roman"/>
          <w:color w:val="000000"/>
          <w:szCs w:val="21"/>
        </w:rPr>
        <w:t xml:space="preserve"> 高钒索Galfan cable</w:t>
      </w:r>
    </w:p>
    <w:p>
      <w:pPr>
        <w:adjustRightInd w:val="0"/>
        <w:snapToGrid w:val="0"/>
        <w:rPr>
          <w:rFonts w:cs="Times New Roman"/>
          <w:color w:val="000000"/>
          <w:szCs w:val="21"/>
        </w:rPr>
      </w:pPr>
      <w:r>
        <w:rPr>
          <w:rFonts w:cs="Times New Roman"/>
          <w:szCs w:val="21"/>
        </w:rPr>
        <w:t xml:space="preserve">    由镀锌-5%铝-混合稀土合金镀层钢丝紧密地螺旋绞合而成的钢绞线拉索。</w:t>
      </w:r>
    </w:p>
    <w:p>
      <w:pPr>
        <w:adjustRightInd w:val="0"/>
        <w:snapToGrid w:val="0"/>
        <w:spacing w:before="156" w:beforeLines="50"/>
        <w:rPr>
          <w:rFonts w:cs="Times New Roman"/>
          <w:color w:val="000000"/>
          <w:szCs w:val="21"/>
        </w:rPr>
      </w:pPr>
      <w:r>
        <w:rPr>
          <w:rFonts w:cs="Times New Roman"/>
          <w:b/>
          <w:bCs/>
          <w:color w:val="000000"/>
          <w:szCs w:val="21"/>
        </w:rPr>
        <w:t xml:space="preserve">2.1.12 </w:t>
      </w:r>
      <w:r>
        <w:rPr>
          <w:rFonts w:cs="Times New Roman"/>
          <w:color w:val="000000"/>
          <w:szCs w:val="21"/>
        </w:rPr>
        <w:t>热铸锚alloy-filled cast socket</w:t>
      </w:r>
    </w:p>
    <w:p>
      <w:pPr>
        <w:adjustRightInd w:val="0"/>
        <w:snapToGrid w:val="0"/>
        <w:ind w:firstLine="437"/>
        <w:rPr>
          <w:rFonts w:cs="Times New Roman"/>
          <w:color w:val="000000"/>
          <w:szCs w:val="21"/>
        </w:rPr>
      </w:pPr>
      <w:r>
        <w:rPr>
          <w:rFonts w:cs="Times New Roman"/>
          <w:color w:val="000000"/>
          <w:szCs w:val="21"/>
        </w:rPr>
        <w:t>采用锚杯内填充低熔点合金填充的锚头。</w:t>
      </w:r>
    </w:p>
    <w:p>
      <w:pPr>
        <w:adjustRightInd w:val="0"/>
        <w:snapToGrid w:val="0"/>
        <w:spacing w:before="156" w:beforeLines="50"/>
        <w:rPr>
          <w:rFonts w:cs="Times New Roman"/>
          <w:color w:val="000000"/>
          <w:szCs w:val="21"/>
        </w:rPr>
      </w:pPr>
      <w:r>
        <w:rPr>
          <w:rFonts w:cs="Times New Roman"/>
          <w:b/>
          <w:bCs/>
          <w:color w:val="000000"/>
          <w:szCs w:val="21"/>
        </w:rPr>
        <w:t xml:space="preserve">2.1.13 </w:t>
      </w:r>
      <w:r>
        <w:rPr>
          <w:rFonts w:cs="Times New Roman"/>
          <w:color w:val="000000"/>
          <w:szCs w:val="21"/>
        </w:rPr>
        <w:t>公称破断力[荷载] nominal breaking force [load]</w:t>
      </w:r>
    </w:p>
    <w:p>
      <w:pPr>
        <w:adjustRightInd w:val="0"/>
        <w:snapToGrid w:val="0"/>
        <w:ind w:firstLine="437"/>
        <w:rPr>
          <w:rFonts w:cs="Times New Roman"/>
          <w:szCs w:val="21"/>
        </w:rPr>
      </w:pPr>
      <w:r>
        <w:rPr>
          <w:rFonts w:cs="Times New Roman"/>
          <w:color w:val="000000"/>
          <w:szCs w:val="21"/>
        </w:rPr>
        <w:t>半平行钢丝束公称破断力（荷载）为高强钢丝的标准抗拉强度乘以钢丝束的公称截面面积。</w:t>
      </w:r>
      <w:r>
        <w:rPr>
          <w:rFonts w:cs="Times New Roman"/>
          <w:szCs w:val="21"/>
        </w:rPr>
        <w:t>钢绞线公称破断力（荷载）为钢绞线最小破断力。</w:t>
      </w:r>
    </w:p>
    <w:p>
      <w:pPr>
        <w:adjustRightInd w:val="0"/>
        <w:snapToGrid w:val="0"/>
        <w:spacing w:before="156" w:beforeLines="50"/>
        <w:rPr>
          <w:rFonts w:cs="Times New Roman"/>
          <w:szCs w:val="21"/>
        </w:rPr>
      </w:pPr>
      <w:r>
        <w:rPr>
          <w:rFonts w:cs="Times New Roman"/>
          <w:b/>
          <w:szCs w:val="21"/>
        </w:rPr>
        <w:t xml:space="preserve">2.1.14 </w:t>
      </w:r>
      <w:r>
        <w:rPr>
          <w:rFonts w:cs="Times New Roman"/>
          <w:szCs w:val="21"/>
        </w:rPr>
        <w:t>索支承铝合金结构 cable supported alluminium structure</w:t>
      </w:r>
    </w:p>
    <w:p>
      <w:pPr>
        <w:adjustRightInd w:val="0"/>
        <w:snapToGrid w:val="0"/>
        <w:rPr>
          <w:rFonts w:cs="Times New Roman"/>
          <w:szCs w:val="21"/>
        </w:rPr>
      </w:pPr>
      <w:r>
        <w:rPr>
          <w:rFonts w:cs="Times New Roman"/>
          <w:szCs w:val="21"/>
        </w:rPr>
        <w:t xml:space="preserve">    直接连接于结构支座以平衡支座侧向推力的铝合金结构体系，以及索在结构下部通过刚性撑杆支承上部结构的铝合金结构体系。 </w:t>
      </w:r>
    </w:p>
    <w:p>
      <w:pPr>
        <w:adjustRightInd w:val="0"/>
        <w:snapToGrid w:val="0"/>
        <w:spacing w:before="156" w:beforeLines="50"/>
        <w:rPr>
          <w:rFonts w:cs="Times New Roman"/>
          <w:szCs w:val="21"/>
        </w:rPr>
      </w:pPr>
      <w:r>
        <w:rPr>
          <w:rFonts w:cs="Times New Roman"/>
          <w:b/>
          <w:szCs w:val="21"/>
        </w:rPr>
        <w:t>2.1.15</w:t>
      </w:r>
      <w:r>
        <w:rPr>
          <w:rFonts w:cs="Times New Roman"/>
          <w:szCs w:val="21"/>
        </w:rPr>
        <w:t xml:space="preserve"> 斜拉铝合金结构 cable stayed alluminium structure</w:t>
      </w:r>
    </w:p>
    <w:p>
      <w:pPr>
        <w:autoSpaceDE w:val="0"/>
        <w:autoSpaceDN w:val="0"/>
        <w:adjustRightInd w:val="0"/>
        <w:snapToGrid w:val="0"/>
        <w:textAlignment w:val="bottom"/>
        <w:rPr>
          <w:rFonts w:eastAsia="黑体" w:cs="Times New Roman"/>
          <w:bCs/>
          <w:sz w:val="18"/>
          <w:szCs w:val="18"/>
        </w:rPr>
      </w:pPr>
      <w:r>
        <w:rPr>
          <w:rFonts w:cs="Times New Roman"/>
          <w:szCs w:val="21"/>
        </w:rPr>
        <w:t xml:space="preserve">    </w:t>
      </w:r>
      <w:r>
        <w:rPr>
          <w:rFonts w:eastAsia="宋体" w:cs="Times New Roman"/>
          <w:bCs/>
        </w:rPr>
        <w:t>通过竖向支承结构和斜向拉索在上方悬拉的铝合金结构体系。</w:t>
      </w:r>
    </w:p>
    <w:p>
      <w:pPr>
        <w:adjustRightInd w:val="0"/>
        <w:snapToGrid w:val="0"/>
        <w:spacing w:before="156" w:beforeLines="50"/>
        <w:rPr>
          <w:rFonts w:cs="Times New Roman"/>
          <w:szCs w:val="21"/>
        </w:rPr>
      </w:pPr>
      <w:r>
        <w:rPr>
          <w:rFonts w:cs="Times New Roman"/>
          <w:b/>
          <w:szCs w:val="21"/>
        </w:rPr>
        <w:t>2.1.16</w:t>
      </w:r>
      <w:r>
        <w:rPr>
          <w:rFonts w:cs="Times New Roman"/>
          <w:szCs w:val="21"/>
        </w:rPr>
        <w:t xml:space="preserve"> 吊挂铝合金结构 cable suspension alluminium structure</w:t>
      </w:r>
    </w:p>
    <w:p>
      <w:pPr>
        <w:adjustRightInd w:val="0"/>
        <w:snapToGrid w:val="0"/>
        <w:ind w:firstLine="420" w:firstLineChars="200"/>
        <w:rPr>
          <w:rFonts w:cs="Times New Roman"/>
          <w:szCs w:val="21"/>
        </w:rPr>
      </w:pPr>
      <w:r>
        <w:rPr>
          <w:rFonts w:eastAsia="宋体" w:cs="Times New Roman"/>
          <w:bCs/>
        </w:rPr>
        <w:t>通过水平支承结构和竖向拉索在上方悬拉的铝合金结构体系。</w:t>
      </w:r>
    </w:p>
    <w:p>
      <w:pPr>
        <w:adjustRightInd w:val="0"/>
        <w:snapToGrid w:val="0"/>
        <w:spacing w:before="156" w:beforeLines="50"/>
        <w:rPr>
          <w:rFonts w:cs="Times New Roman"/>
          <w:szCs w:val="21"/>
        </w:rPr>
      </w:pPr>
      <w:r>
        <w:rPr>
          <w:rFonts w:cs="Times New Roman"/>
          <w:b/>
          <w:szCs w:val="21"/>
        </w:rPr>
        <w:t>2.1.17</w:t>
      </w:r>
      <w:r>
        <w:rPr>
          <w:rFonts w:cs="Times New Roman"/>
          <w:szCs w:val="21"/>
        </w:rPr>
        <w:t xml:space="preserve"> 张拉铝合金塔架</w:t>
      </w:r>
    </w:p>
    <w:p>
      <w:pPr>
        <w:adjustRightInd w:val="0"/>
        <w:snapToGrid w:val="0"/>
        <w:rPr>
          <w:rFonts w:cs="Times New Roman"/>
          <w:szCs w:val="21"/>
        </w:rPr>
      </w:pPr>
      <w:r>
        <w:rPr>
          <w:rFonts w:cs="Times New Roman"/>
          <w:szCs w:val="21"/>
        </w:rPr>
        <w:t xml:space="preserve">    由自立式塔架和提供附加侧向支承的斜向拉索组成的铝合金结构体系。</w:t>
      </w:r>
    </w:p>
    <w:p>
      <w:pPr>
        <w:adjustRightInd w:val="0"/>
        <w:snapToGrid w:val="0"/>
        <w:spacing w:before="156" w:beforeLines="50"/>
        <w:rPr>
          <w:rFonts w:cs="Times New Roman"/>
          <w:szCs w:val="21"/>
        </w:rPr>
      </w:pPr>
      <w:r>
        <w:rPr>
          <w:rFonts w:cs="Times New Roman"/>
          <w:b/>
          <w:szCs w:val="21"/>
        </w:rPr>
        <w:t>2.1.18</w:t>
      </w:r>
      <w:r>
        <w:rPr>
          <w:rFonts w:cs="Times New Roman"/>
          <w:szCs w:val="21"/>
        </w:rPr>
        <w:t xml:space="preserve"> 桅杆结构</w:t>
      </w:r>
    </w:p>
    <w:p>
      <w:pPr>
        <w:adjustRightInd w:val="0"/>
        <w:snapToGrid w:val="0"/>
        <w:rPr>
          <w:rFonts w:cs="Times New Roman"/>
          <w:szCs w:val="21"/>
        </w:rPr>
      </w:pPr>
      <w:r>
        <w:rPr>
          <w:rFonts w:cs="Times New Roman"/>
          <w:szCs w:val="21"/>
        </w:rPr>
        <w:t xml:space="preserve">    由竖向柱杆和提供侧向支承的斜向拉索组成的铝合金结构体系。</w:t>
      </w:r>
    </w:p>
    <w:p>
      <w:pPr>
        <w:adjustRightInd w:val="0"/>
        <w:snapToGrid w:val="0"/>
        <w:spacing w:before="156" w:beforeLines="50"/>
        <w:rPr>
          <w:rFonts w:cs="Times New Roman"/>
          <w:color w:val="000000"/>
          <w:szCs w:val="21"/>
        </w:rPr>
      </w:pPr>
      <w:r>
        <w:rPr>
          <w:rFonts w:cs="Times New Roman"/>
          <w:b/>
          <w:bCs/>
          <w:color w:val="000000"/>
          <w:szCs w:val="21"/>
        </w:rPr>
        <w:t xml:space="preserve">2.1.19 </w:t>
      </w:r>
      <w:r>
        <w:rPr>
          <w:rFonts w:cs="Times New Roman"/>
          <w:color w:val="000000"/>
          <w:szCs w:val="21"/>
        </w:rPr>
        <w:t>初始状态initial state</w:t>
      </w:r>
    </w:p>
    <w:p>
      <w:pPr>
        <w:adjustRightInd w:val="0"/>
        <w:snapToGrid w:val="0"/>
        <w:ind w:firstLine="420" w:firstLineChars="200"/>
        <w:rPr>
          <w:rFonts w:cs="Times New Roman"/>
          <w:color w:val="000000"/>
          <w:szCs w:val="21"/>
        </w:rPr>
      </w:pPr>
      <w:r>
        <w:rPr>
          <w:rFonts w:cs="Times New Roman"/>
          <w:color w:val="000000"/>
          <w:szCs w:val="21"/>
        </w:rPr>
        <w:t>结构在设计预张力施加完毕后与结构自重及张拉时存在的其他恒载的自平衡状态。</w:t>
      </w:r>
    </w:p>
    <w:p>
      <w:pPr>
        <w:adjustRightInd w:val="0"/>
        <w:snapToGrid w:val="0"/>
        <w:spacing w:before="156" w:beforeLines="50"/>
        <w:rPr>
          <w:rFonts w:cs="Times New Roman"/>
          <w:color w:val="000000"/>
          <w:szCs w:val="21"/>
        </w:rPr>
      </w:pPr>
      <w:r>
        <w:rPr>
          <w:rFonts w:cs="Times New Roman"/>
          <w:b/>
          <w:bCs/>
          <w:color w:val="000000"/>
          <w:szCs w:val="21"/>
        </w:rPr>
        <w:t xml:space="preserve">2.1.20 </w:t>
      </w:r>
      <w:r>
        <w:rPr>
          <w:rFonts w:cs="Times New Roman"/>
          <w:color w:val="000000"/>
          <w:szCs w:val="21"/>
        </w:rPr>
        <w:t>工作状态loading state</w:t>
      </w:r>
    </w:p>
    <w:p>
      <w:pPr>
        <w:adjustRightInd w:val="0"/>
        <w:snapToGrid w:val="0"/>
        <w:ind w:firstLine="420" w:firstLineChars="200"/>
        <w:rPr>
          <w:rFonts w:cs="Times New Roman"/>
          <w:color w:val="000000"/>
          <w:szCs w:val="21"/>
        </w:rPr>
      </w:pPr>
      <w:r>
        <w:rPr>
          <w:rFonts w:cs="Times New Roman"/>
          <w:color w:val="000000"/>
          <w:szCs w:val="21"/>
        </w:rPr>
        <w:t>结构在外部荷载作用下的平衡状态。</w:t>
      </w:r>
    </w:p>
    <w:p>
      <w:pPr>
        <w:adjustRightInd w:val="0"/>
        <w:snapToGrid w:val="0"/>
        <w:spacing w:before="156" w:beforeLines="50"/>
        <w:rPr>
          <w:rFonts w:cs="Times New Roman"/>
          <w:color w:val="000000"/>
          <w:szCs w:val="21"/>
        </w:rPr>
      </w:pPr>
      <w:r>
        <w:rPr>
          <w:rFonts w:cs="Times New Roman"/>
          <w:b/>
          <w:bCs/>
          <w:color w:val="000000"/>
          <w:szCs w:val="21"/>
        </w:rPr>
        <w:t xml:space="preserve">2.1.21 </w:t>
      </w:r>
      <w:r>
        <w:rPr>
          <w:rFonts w:cs="Times New Roman"/>
          <w:color w:val="000000"/>
          <w:szCs w:val="21"/>
        </w:rPr>
        <w:t>零状态zero state</w:t>
      </w:r>
    </w:p>
    <w:p>
      <w:pPr>
        <w:adjustRightInd w:val="0"/>
        <w:snapToGrid w:val="0"/>
        <w:ind w:firstLine="420" w:firstLineChars="200"/>
        <w:rPr>
          <w:rFonts w:cs="Times New Roman"/>
          <w:color w:val="000000"/>
          <w:szCs w:val="21"/>
        </w:rPr>
      </w:pPr>
      <w:r>
        <w:rPr>
          <w:rFonts w:cs="Times New Roman"/>
        </w:rPr>
        <w:t>结构在无应力条件下加工放样和安装的基准状态</w:t>
      </w:r>
      <w:r>
        <w:rPr>
          <w:rFonts w:cs="Times New Roman"/>
          <w:color w:val="000000"/>
          <w:szCs w:val="21"/>
        </w:rPr>
        <w:t>。</w:t>
      </w:r>
    </w:p>
    <w:p>
      <w:pPr>
        <w:adjustRightInd w:val="0"/>
        <w:snapToGrid w:val="0"/>
        <w:spacing w:before="156" w:beforeLines="50"/>
        <w:rPr>
          <w:rFonts w:cs="Times New Roman"/>
          <w:b/>
          <w:color w:val="000000"/>
          <w:szCs w:val="21"/>
        </w:rPr>
      </w:pPr>
      <w:r>
        <w:rPr>
          <w:rFonts w:cs="Times New Roman"/>
          <w:b/>
          <w:color w:val="000000"/>
          <w:szCs w:val="21"/>
        </w:rPr>
        <w:t xml:space="preserve">2.1.22 </w:t>
      </w:r>
      <w:r>
        <w:rPr>
          <w:rFonts w:cs="Times New Roman"/>
          <w:color w:val="000000"/>
          <w:szCs w:val="21"/>
        </w:rPr>
        <w:t>主动索active cable</w:t>
      </w:r>
    </w:p>
    <w:p>
      <w:pPr>
        <w:adjustRightInd w:val="0"/>
        <w:snapToGrid w:val="0"/>
        <w:ind w:firstLine="420" w:firstLineChars="200"/>
        <w:rPr>
          <w:rFonts w:cs="Times New Roman"/>
          <w:color w:val="000000"/>
          <w:szCs w:val="21"/>
        </w:rPr>
      </w:pPr>
      <w:r>
        <w:rPr>
          <w:rFonts w:cs="Times New Roman"/>
          <w:color w:val="000000"/>
          <w:szCs w:val="21"/>
        </w:rPr>
        <w:t>利用张拉设备直接进行张拉的索。</w:t>
      </w:r>
    </w:p>
    <w:p>
      <w:pPr>
        <w:adjustRightInd w:val="0"/>
        <w:snapToGrid w:val="0"/>
        <w:spacing w:before="156" w:beforeLines="50"/>
        <w:rPr>
          <w:rFonts w:cs="Times New Roman"/>
          <w:color w:val="000000"/>
          <w:szCs w:val="21"/>
        </w:rPr>
      </w:pPr>
      <w:r>
        <w:rPr>
          <w:rFonts w:cs="Times New Roman"/>
          <w:b/>
          <w:color w:val="000000"/>
          <w:szCs w:val="21"/>
        </w:rPr>
        <w:t xml:space="preserve">2.1.23 </w:t>
      </w:r>
      <w:r>
        <w:rPr>
          <w:rFonts w:cs="Times New Roman"/>
          <w:color w:val="000000"/>
          <w:szCs w:val="21"/>
        </w:rPr>
        <w:t>被动索passive cable</w:t>
      </w:r>
    </w:p>
    <w:p>
      <w:pPr>
        <w:adjustRightInd w:val="0"/>
        <w:snapToGrid w:val="0"/>
        <w:ind w:firstLine="420" w:firstLineChars="200"/>
        <w:rPr>
          <w:rFonts w:cs="Times New Roman"/>
          <w:color w:val="000000"/>
          <w:szCs w:val="21"/>
        </w:rPr>
      </w:pPr>
      <w:r>
        <w:rPr>
          <w:rFonts w:cs="Times New Roman"/>
          <w:color w:val="000000"/>
          <w:szCs w:val="21"/>
        </w:rPr>
        <w:t>两端连接于结构中、不直接进行张拉、随主动索的张拉而生成内力的索。</w:t>
      </w:r>
    </w:p>
    <w:p>
      <w:pPr>
        <w:tabs>
          <w:tab w:val="right" w:leader="dot" w:pos="8280"/>
        </w:tabs>
        <w:adjustRightInd w:val="0"/>
        <w:snapToGrid w:val="0"/>
        <w:spacing w:before="156" w:beforeLines="50"/>
        <w:jc w:val="left"/>
        <w:textAlignment w:val="center"/>
        <w:rPr>
          <w:rFonts w:eastAsia="宋体" w:cs="Times New Roman"/>
        </w:rPr>
      </w:pPr>
      <w:r>
        <w:rPr>
          <w:rFonts w:eastAsia="宋体" w:cs="Times New Roman"/>
          <w:b/>
          <w:bCs/>
        </w:rPr>
        <w:t xml:space="preserve">2.1.24  </w:t>
      </w:r>
      <w:r>
        <w:rPr>
          <w:rFonts w:eastAsia="宋体" w:cs="Times New Roman"/>
        </w:rPr>
        <w:t>构件稳定 member stability</w:t>
      </w:r>
    </w:p>
    <w:p>
      <w:pPr>
        <w:tabs>
          <w:tab w:val="right" w:leader="dot" w:pos="8280"/>
        </w:tabs>
        <w:adjustRightInd w:val="0"/>
        <w:snapToGrid w:val="0"/>
        <w:ind w:firstLine="420"/>
        <w:jc w:val="left"/>
        <w:textAlignment w:val="center"/>
        <w:rPr>
          <w:rFonts w:eastAsia="宋体" w:cs="Times New Roman"/>
        </w:rPr>
      </w:pPr>
      <w:r>
        <w:rPr>
          <w:rFonts w:eastAsia="宋体" w:cs="Times New Roman"/>
        </w:rPr>
        <w:t>在外荷载作用下，构件截面部分受压或全部受压，构件能保持稳定的能力。</w:t>
      </w:r>
    </w:p>
    <w:p>
      <w:pPr>
        <w:tabs>
          <w:tab w:val="left" w:pos="420"/>
          <w:tab w:val="right" w:leader="dot" w:pos="540"/>
        </w:tabs>
        <w:adjustRightInd w:val="0"/>
        <w:snapToGrid w:val="0"/>
        <w:spacing w:before="156" w:beforeLines="50"/>
        <w:jc w:val="left"/>
        <w:textAlignment w:val="center"/>
        <w:rPr>
          <w:rFonts w:eastAsia="宋体" w:cs="Times New Roman"/>
          <w:bCs/>
        </w:rPr>
      </w:pPr>
      <w:r>
        <w:rPr>
          <w:rFonts w:eastAsia="宋体" w:cs="Times New Roman"/>
          <w:b/>
          <w:bCs/>
        </w:rPr>
        <w:t xml:space="preserve">2.1.25  </w:t>
      </w:r>
      <w:r>
        <w:rPr>
          <w:rFonts w:eastAsia="宋体" w:cs="Times New Roman"/>
          <w:bCs/>
        </w:rPr>
        <w:t>整体稳定 overall stability</w:t>
      </w:r>
    </w:p>
    <w:p>
      <w:pPr>
        <w:tabs>
          <w:tab w:val="right" w:leader="dot" w:pos="8280"/>
        </w:tabs>
        <w:adjustRightInd w:val="0"/>
        <w:snapToGrid w:val="0"/>
        <w:ind w:firstLine="420"/>
        <w:jc w:val="left"/>
        <w:textAlignment w:val="center"/>
        <w:rPr>
          <w:rFonts w:eastAsia="宋体" w:cs="Times New Roman"/>
        </w:rPr>
      </w:pPr>
      <w:r>
        <w:rPr>
          <w:rFonts w:eastAsia="宋体" w:cs="Times New Roman"/>
        </w:rPr>
        <w:t>在外荷载作用下，结构部分区域或全部区域受压，结构整体能保持稳定的能力。</w:t>
      </w:r>
    </w:p>
    <w:p>
      <w:pPr>
        <w:tabs>
          <w:tab w:val="right" w:leader="dot" w:pos="9735"/>
        </w:tabs>
        <w:adjustRightInd w:val="0"/>
        <w:snapToGrid w:val="0"/>
        <w:spacing w:before="156" w:beforeLines="50"/>
        <w:jc w:val="left"/>
        <w:textAlignment w:val="center"/>
        <w:rPr>
          <w:rFonts w:eastAsia="宋体" w:cs="Times New Roman"/>
          <w:bCs/>
        </w:rPr>
      </w:pPr>
      <w:r>
        <w:rPr>
          <w:rFonts w:eastAsia="宋体" w:cs="Times New Roman"/>
          <w:b/>
          <w:bCs/>
        </w:rPr>
        <w:t xml:space="preserve">2.1.26  </w:t>
      </w:r>
      <w:r>
        <w:rPr>
          <w:rFonts w:eastAsia="宋体" w:cs="Times New Roman"/>
        </w:rPr>
        <w:t xml:space="preserve">环槽铆钉 </w:t>
      </w:r>
      <w:r>
        <w:rPr>
          <w:rFonts w:eastAsia="宋体" w:cs="Times New Roman"/>
          <w:bCs/>
        </w:rPr>
        <w:t>ring groove rivets</w:t>
      </w:r>
    </w:p>
    <w:p>
      <w:pPr>
        <w:adjustRightInd w:val="0"/>
        <w:snapToGrid w:val="0"/>
        <w:ind w:firstLine="420" w:firstLineChars="200"/>
        <w:textAlignment w:val="center"/>
        <w:rPr>
          <w:rFonts w:eastAsia="宋体" w:cs="Times New Roman"/>
        </w:rPr>
      </w:pPr>
      <w:r>
        <w:rPr>
          <w:rFonts w:eastAsia="宋体" w:cs="Times New Roman"/>
        </w:rPr>
        <w:t>杆部具有一系列同轴环槽的铆钉，套环通过塑性变形与铆钉杆固定。</w:t>
      </w:r>
    </w:p>
    <w:p>
      <w:pPr>
        <w:adjustRightInd w:val="0"/>
        <w:snapToGrid w:val="0"/>
        <w:spacing w:before="156" w:beforeLines="50"/>
        <w:textAlignment w:val="center"/>
        <w:rPr>
          <w:rFonts w:eastAsia="宋体" w:cs="Times New Roman"/>
        </w:rPr>
      </w:pPr>
      <w:r>
        <w:rPr>
          <w:rFonts w:eastAsia="宋体" w:cs="Times New Roman"/>
          <w:b/>
        </w:rPr>
        <w:t>2.1.27</w:t>
      </w:r>
      <w:r>
        <w:rPr>
          <w:rFonts w:eastAsia="宋体" w:cs="Times New Roman"/>
        </w:rPr>
        <w:t xml:space="preserve"> 钢转接构件 steel change-over member</w:t>
      </w:r>
    </w:p>
    <w:p>
      <w:pPr>
        <w:adjustRightInd w:val="0"/>
        <w:snapToGrid w:val="0"/>
        <w:textAlignment w:val="center"/>
        <w:rPr>
          <w:rFonts w:eastAsia="宋体" w:cs="Times New Roman"/>
        </w:rPr>
      </w:pPr>
      <w:r>
        <w:rPr>
          <w:rFonts w:eastAsia="宋体" w:cs="Times New Roman"/>
        </w:rPr>
        <w:t xml:space="preserve">    在预应力铝合金结构中受力较大的构件常采用钢构件与铝合金结构进行转接，如直接承受索拉力、撑杆拉压力的构件以及结构边缘和支座构件等，这类钢构件为预应力铝合金结构中的钢转接构件。</w:t>
      </w:r>
    </w:p>
    <w:p>
      <w:pPr>
        <w:adjustRightInd w:val="0"/>
        <w:snapToGrid w:val="0"/>
        <w:spacing w:before="156" w:beforeLines="50"/>
        <w:textAlignment w:val="center"/>
        <w:rPr>
          <w:rFonts w:eastAsia="宋体" w:cs="Times New Roman"/>
        </w:rPr>
      </w:pPr>
      <w:r>
        <w:rPr>
          <w:rFonts w:eastAsia="宋体" w:cs="Times New Roman"/>
          <w:b/>
        </w:rPr>
        <w:t>2.1.28</w:t>
      </w:r>
      <w:r>
        <w:rPr>
          <w:rFonts w:eastAsia="宋体" w:cs="Times New Roman"/>
        </w:rPr>
        <w:t xml:space="preserve"> 钢耳板组件 steel ear plate assembly</w:t>
      </w:r>
    </w:p>
    <w:p>
      <w:pPr>
        <w:adjustRightInd w:val="0"/>
        <w:snapToGrid w:val="0"/>
        <w:spacing w:before="156" w:beforeLines="50"/>
        <w:textAlignment w:val="center"/>
        <w:rPr>
          <w:rFonts w:eastAsia="宋体" w:cs="Times New Roman"/>
        </w:rPr>
      </w:pPr>
      <w:r>
        <w:rPr>
          <w:rFonts w:eastAsia="宋体" w:cs="Times New Roman"/>
        </w:rPr>
        <w:t xml:space="preserve">    预应力铝合金结构中铝合金构件与索和撑杆采用耳板连接节点，钢耳板组件中的端板通过螺栓或环槽铆钉连接于铝合金构件、垂直于端板的竖向板与索和撑杆的耳板采用销轴连接。</w:t>
      </w:r>
    </w:p>
    <w:p>
      <w:pPr>
        <w:adjustRightInd w:val="0"/>
        <w:snapToGrid w:val="0"/>
        <w:spacing w:before="156" w:beforeLines="50"/>
        <w:jc w:val="left"/>
        <w:textAlignment w:val="center"/>
        <w:rPr>
          <w:rFonts w:eastAsia="宋体" w:cs="Times New Roman"/>
        </w:rPr>
      </w:pPr>
      <w:r>
        <w:rPr>
          <w:rFonts w:eastAsia="宋体" w:cs="Times New Roman"/>
          <w:b/>
        </w:rPr>
        <w:t>2.1.29</w:t>
      </w:r>
      <w:r>
        <w:rPr>
          <w:rFonts w:eastAsia="宋体" w:cs="Times New Roman"/>
        </w:rPr>
        <w:t xml:space="preserve"> 垫片 gasket</w:t>
      </w:r>
    </w:p>
    <w:p>
      <w:pPr>
        <w:adjustRightInd w:val="0"/>
        <w:snapToGrid w:val="0"/>
        <w:jc w:val="left"/>
        <w:textAlignment w:val="center"/>
        <w:rPr>
          <w:rFonts w:eastAsia="宋体" w:cs="Times New Roman"/>
        </w:rPr>
      </w:pPr>
      <w:r>
        <w:rPr>
          <w:rFonts w:eastAsia="宋体" w:cs="Times New Roman"/>
        </w:rPr>
        <w:t xml:space="preserve">    设置在铝合金材料和其他金属材料之间的、防止两种材料产生电化学反应导致腐蚀的绝缘片状材料。</w:t>
      </w:r>
    </w:p>
    <w:p>
      <w:pPr>
        <w:adjustRightInd w:val="0"/>
        <w:snapToGrid w:val="0"/>
        <w:spacing w:before="156" w:beforeLines="50"/>
        <w:jc w:val="left"/>
        <w:textAlignment w:val="center"/>
        <w:rPr>
          <w:rFonts w:eastAsia="宋体" w:cs="Times New Roman"/>
        </w:rPr>
      </w:pPr>
      <w:r>
        <w:rPr>
          <w:rFonts w:eastAsia="宋体" w:cs="Times New Roman"/>
          <w:b/>
        </w:rPr>
        <w:t xml:space="preserve">2.1.30  </w:t>
      </w:r>
      <w:r>
        <w:rPr>
          <w:rFonts w:eastAsia="宋体" w:cs="Times New Roman"/>
        </w:rPr>
        <w:t>索的安装 installation of cables</w:t>
      </w:r>
    </w:p>
    <w:p>
      <w:pPr>
        <w:adjustRightInd w:val="0"/>
        <w:snapToGrid w:val="0"/>
        <w:ind w:firstLine="437"/>
        <w:jc w:val="left"/>
        <w:textAlignment w:val="center"/>
        <w:rPr>
          <w:rFonts w:eastAsia="宋体" w:cs="Times New Roman"/>
        </w:rPr>
      </w:pPr>
      <w:r>
        <w:rPr>
          <w:rFonts w:eastAsia="宋体" w:cs="Times New Roman"/>
        </w:rPr>
        <w:t>将索按照规定技术要求与结构体系进行连接拼装的过程。</w:t>
      </w:r>
    </w:p>
    <w:p>
      <w:pPr>
        <w:adjustRightInd w:val="0"/>
        <w:snapToGrid w:val="0"/>
        <w:spacing w:before="156" w:beforeLines="50"/>
        <w:jc w:val="left"/>
        <w:textAlignment w:val="center"/>
        <w:rPr>
          <w:rFonts w:eastAsia="宋体" w:cs="Times New Roman"/>
        </w:rPr>
      </w:pPr>
      <w:r>
        <w:rPr>
          <w:rFonts w:eastAsia="宋体" w:cs="Times New Roman"/>
          <w:b/>
        </w:rPr>
        <w:t xml:space="preserve">2.1.31  </w:t>
      </w:r>
      <w:r>
        <w:rPr>
          <w:rFonts w:eastAsia="宋体" w:cs="Times New Roman"/>
        </w:rPr>
        <w:t>索的张拉 pre-tensioning of cable</w:t>
      </w:r>
    </w:p>
    <w:p>
      <w:pPr>
        <w:adjustRightInd w:val="0"/>
        <w:snapToGrid w:val="0"/>
        <w:ind w:firstLine="437"/>
        <w:jc w:val="left"/>
        <w:textAlignment w:val="center"/>
        <w:rPr>
          <w:rFonts w:eastAsia="宋体" w:cs="Times New Roman"/>
        </w:rPr>
      </w:pPr>
      <w:r>
        <w:rPr>
          <w:rFonts w:eastAsia="宋体" w:cs="Times New Roman"/>
        </w:rPr>
        <w:t>按照施工张拉方案对主动索端部施加预拉力、对结构体系导入预应力的过程。</w:t>
      </w:r>
    </w:p>
    <w:p>
      <w:pPr>
        <w:pStyle w:val="3"/>
        <w:spacing w:before="156" w:after="156"/>
      </w:pPr>
      <w:bookmarkStart w:id="13" w:name="_Toc152589547"/>
      <w:bookmarkStart w:id="14" w:name="_Toc152588923"/>
      <w:bookmarkStart w:id="15" w:name="_Toc152589105"/>
      <w:r>
        <w:t>2.2 符号</w:t>
      </w:r>
      <w:bookmarkEnd w:id="13"/>
      <w:bookmarkEnd w:id="14"/>
      <w:bookmarkEnd w:id="15"/>
    </w:p>
    <w:p>
      <w:pPr>
        <w:autoSpaceDE w:val="0"/>
        <w:autoSpaceDN w:val="0"/>
        <w:adjustRightInd w:val="0"/>
        <w:spacing w:line="320" w:lineRule="exact"/>
        <w:jc w:val="left"/>
        <w:rPr>
          <w:rFonts w:cs="Times New Roman"/>
          <w:color w:val="000000"/>
        </w:rPr>
      </w:pPr>
      <w:r>
        <w:rPr>
          <w:rFonts w:cs="Times New Roman"/>
          <w:i/>
          <w:color w:val="000000"/>
        </w:rPr>
        <w:t>N</w:t>
      </w:r>
      <w:r>
        <w:rPr>
          <w:rFonts w:cs="Times New Roman"/>
          <w:color w:val="000000"/>
          <w:vertAlign w:val="subscript"/>
        </w:rPr>
        <w:t>max</w:t>
      </w:r>
      <w:r>
        <w:rPr>
          <w:rFonts w:cs="Times New Roman"/>
          <w:color w:val="000000"/>
        </w:rPr>
        <w:t>，</w:t>
      </w:r>
      <w:r>
        <w:rPr>
          <w:rFonts w:cs="Times New Roman"/>
          <w:i/>
          <w:color w:val="000000"/>
        </w:rPr>
        <w:t>N</w:t>
      </w:r>
      <w:r>
        <w:rPr>
          <w:rFonts w:cs="Times New Roman"/>
          <w:color w:val="000000"/>
          <w:vertAlign w:val="subscript"/>
        </w:rPr>
        <w:t>min</w:t>
      </w:r>
      <w:r>
        <w:rPr>
          <w:rFonts w:cs="Times New Roman"/>
          <w:szCs w:val="21"/>
        </w:rPr>
        <w:t>——</w:t>
      </w:r>
      <w:r>
        <w:rPr>
          <w:rFonts w:cs="Times New Roman"/>
          <w:color w:val="000000"/>
        </w:rPr>
        <w:t>最大、最小索力设计值；</w:t>
      </w:r>
    </w:p>
    <w:p>
      <w:pPr>
        <w:autoSpaceDE w:val="0"/>
        <w:autoSpaceDN w:val="0"/>
        <w:adjustRightInd w:val="0"/>
        <w:spacing w:line="320" w:lineRule="exact"/>
        <w:jc w:val="left"/>
        <w:rPr>
          <w:rFonts w:cs="Times New Roman"/>
          <w:color w:val="000000"/>
        </w:rPr>
      </w:pPr>
      <w:r>
        <w:rPr>
          <w:rFonts w:cs="Times New Roman"/>
          <w:i/>
          <w:color w:val="000000"/>
        </w:rPr>
        <w:t>A</w:t>
      </w:r>
      <w:r>
        <w:rPr>
          <w:rFonts w:cs="Times New Roman"/>
          <w:color w:val="000000"/>
        </w:rPr>
        <w:t>——索的截面面积；</w:t>
      </w:r>
    </w:p>
    <w:p>
      <w:pPr>
        <w:autoSpaceDE w:val="0"/>
        <w:autoSpaceDN w:val="0"/>
        <w:adjustRightInd w:val="0"/>
        <w:spacing w:line="320" w:lineRule="exact"/>
        <w:jc w:val="left"/>
        <w:rPr>
          <w:rFonts w:cs="Times New Roman"/>
          <w:color w:val="000000"/>
          <w:szCs w:val="21"/>
        </w:rPr>
      </w:pPr>
      <w:r>
        <w:rPr>
          <w:rFonts w:cs="Times New Roman"/>
          <w:color w:val="000000"/>
          <w:position w:val="-12"/>
          <w:szCs w:val="21"/>
        </w:rPr>
        <w:object>
          <v:shape id="_x0000_i1025" o:spt="75" type="#_x0000_t75" style="height:18pt;width:12.8pt;" o:ole="t" fillcolor="#808080"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rFonts w:cs="Times New Roman"/>
          <w:color w:val="000000"/>
          <w:szCs w:val="21"/>
        </w:rPr>
        <w:t>——索的强度设计值；</w:t>
      </w:r>
    </w:p>
    <w:p>
      <w:pPr>
        <w:adjustRightInd w:val="0"/>
        <w:snapToGrid w:val="0"/>
        <w:spacing w:before="60"/>
        <w:rPr>
          <w:rFonts w:cs="Times New Roman"/>
          <w:color w:val="000000" w:themeColor="text1"/>
          <w:szCs w:val="21"/>
          <w14:textFill>
            <w14:solidFill>
              <w14:schemeClr w14:val="tx1"/>
            </w14:solidFill>
          </w14:textFill>
        </w:rPr>
      </w:pPr>
      <w:r>
        <w:rPr>
          <w:rFonts w:cs="Times New Roman"/>
          <w:color w:val="000000"/>
          <w:position w:val="-14"/>
          <w:szCs w:val="21"/>
        </w:rPr>
        <w:object>
          <v:shape id="_x0000_i1026" o:spt="75" type="#_x0000_t75" style="height:18.95pt;width:18.95pt;" o:ole="t" fillcolor="#808080"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rFonts w:cs="Times New Roman"/>
          <w:color w:val="000000" w:themeColor="text1"/>
          <w:szCs w:val="21"/>
          <w14:textFill>
            <w14:solidFill>
              <w14:schemeClr w14:val="tx1"/>
            </w14:solidFill>
          </w14:textFill>
        </w:rPr>
        <w:t>——成品拉索的破断应力（破断荷载</w:t>
      </w:r>
      <w:r>
        <w:rPr>
          <w:rFonts w:cs="Times New Roman"/>
          <w:i/>
          <w:color w:val="000000" w:themeColor="text1"/>
          <w:szCs w:val="21"/>
          <w14:textFill>
            <w14:solidFill>
              <w14:schemeClr w14:val="tx1"/>
            </w14:solidFill>
          </w14:textFill>
        </w:rPr>
        <w:t>P</w:t>
      </w:r>
      <w:r>
        <w:rPr>
          <w:rFonts w:cs="Times New Roman"/>
          <w:color w:val="000000" w:themeColor="text1"/>
          <w:szCs w:val="21"/>
          <w14:textFill>
            <w14:solidFill>
              <w14:schemeClr w14:val="tx1"/>
            </w14:solidFill>
          </w14:textFill>
        </w:rPr>
        <w:t>除以等效截面积</w:t>
      </w:r>
      <w:r>
        <w:rPr>
          <w:rFonts w:cs="Times New Roman"/>
          <w:i/>
          <w:color w:val="000000" w:themeColor="text1"/>
          <w:szCs w:val="21"/>
          <w14:textFill>
            <w14:solidFill>
              <w14:schemeClr w14:val="tx1"/>
            </w14:solidFill>
          </w14:textFill>
        </w:rPr>
        <w:t>A</w:t>
      </w:r>
      <w:r>
        <w:rPr>
          <w:rFonts w:cs="Times New Roman"/>
          <w:color w:val="000000" w:themeColor="text1"/>
          <w:szCs w:val="21"/>
          <w14:textFill>
            <w14:solidFill>
              <w14:schemeClr w14:val="tx1"/>
            </w14:solidFill>
          </w14:textFill>
        </w:rPr>
        <w:t>），或拉杆屈服强度的标准值；</w:t>
      </w:r>
    </w:p>
    <w:p>
      <w:pPr>
        <w:autoSpaceDE w:val="0"/>
        <w:autoSpaceDN w:val="0"/>
        <w:adjustRightInd w:val="0"/>
        <w:spacing w:line="320" w:lineRule="exact"/>
        <w:jc w:val="left"/>
        <w:rPr>
          <w:rFonts w:cs="Times New Roman"/>
          <w:szCs w:val="21"/>
        </w:rPr>
      </w:pPr>
      <w:r>
        <w:rPr>
          <w:rFonts w:cs="Times New Roman"/>
          <w:i/>
          <w:color w:val="000000"/>
          <w:szCs w:val="21"/>
        </w:rPr>
        <w:t>γ</w:t>
      </w:r>
      <w:r>
        <w:rPr>
          <w:rFonts w:cs="Times New Roman"/>
          <w:color w:val="000000"/>
          <w:szCs w:val="21"/>
          <w:vertAlign w:val="subscript"/>
        </w:rPr>
        <w:t>R</w:t>
      </w:r>
      <w:r>
        <w:rPr>
          <w:rFonts w:cs="Times New Roman"/>
          <w:szCs w:val="21"/>
        </w:rPr>
        <w:t>——索的抗力分项系数；</w:t>
      </w:r>
    </w:p>
    <w:p>
      <w:pPr>
        <w:autoSpaceDE w:val="0"/>
        <w:autoSpaceDN w:val="0"/>
        <w:adjustRightInd w:val="0"/>
        <w:spacing w:line="320" w:lineRule="exact"/>
        <w:jc w:val="left"/>
        <w:rPr>
          <w:rFonts w:cs="Times New Roman"/>
          <w:color w:val="000000" w:themeColor="text1"/>
          <w:szCs w:val="21"/>
          <w14:textFill>
            <w14:solidFill>
              <w14:schemeClr w14:val="tx1"/>
            </w14:solidFill>
          </w14:textFill>
        </w:rPr>
      </w:pPr>
      <w:r>
        <w:rPr>
          <w:rFonts w:cs="Times New Roman"/>
          <w:i/>
          <w:color w:val="000000" w:themeColor="text1"/>
          <w:szCs w:val="21"/>
          <w14:textFill>
            <w14:solidFill>
              <w14:schemeClr w14:val="tx1"/>
            </w14:solidFill>
          </w14:textFill>
        </w:rPr>
        <w:t>P</w:t>
      </w:r>
      <w:r>
        <w:rPr>
          <w:rFonts w:cs="Times New Roman"/>
          <w:color w:val="000000" w:themeColor="text1"/>
          <w:szCs w:val="21"/>
          <w14:textFill>
            <w14:solidFill>
              <w14:schemeClr w14:val="tx1"/>
            </w14:solidFill>
          </w14:textFill>
        </w:rPr>
        <w:t>——成品拉索的破断荷载；</w:t>
      </w:r>
    </w:p>
    <w:p>
      <w:pPr>
        <w:autoSpaceDE w:val="0"/>
        <w:autoSpaceDN w:val="0"/>
        <w:adjustRightInd w:val="0"/>
        <w:spacing w:line="320" w:lineRule="exact"/>
        <w:jc w:val="left"/>
        <w:rPr>
          <w:rFonts w:cs="Times New Roman"/>
          <w:color w:val="000000" w:themeColor="text1"/>
          <w:szCs w:val="21"/>
          <w14:textFill>
            <w14:solidFill>
              <w14:schemeClr w14:val="tx1"/>
            </w14:solidFill>
          </w14:textFill>
        </w:rPr>
      </w:pPr>
      <w:r>
        <w:rPr>
          <w:rFonts w:cs="Times New Roman"/>
          <w:i/>
          <w:color w:val="000000"/>
          <w:szCs w:val="21"/>
        </w:rPr>
        <w:t>δ</w:t>
      </w:r>
      <w:r>
        <w:rPr>
          <w:rFonts w:cs="Times New Roman"/>
          <w:color w:val="000000"/>
          <w:szCs w:val="21"/>
        </w:rPr>
        <w:t>——索跨中最大竖向垂度；</w:t>
      </w:r>
    </w:p>
    <w:p>
      <w:pPr>
        <w:adjustRightInd w:val="0"/>
        <w:snapToGrid w:val="0"/>
        <w:spacing w:before="60"/>
        <w:rPr>
          <w:rFonts w:cs="Times New Roman"/>
          <w:color w:val="000000"/>
          <w:szCs w:val="21"/>
        </w:rPr>
      </w:pPr>
      <w:r>
        <w:rPr>
          <w:rFonts w:cs="Times New Roman"/>
          <w:i/>
          <w:color w:val="000000"/>
          <w:szCs w:val="21"/>
        </w:rPr>
        <w:t>L</w:t>
      </w:r>
      <w:r>
        <w:rPr>
          <w:rFonts w:cs="Times New Roman"/>
          <w:color w:val="000000"/>
          <w:szCs w:val="21"/>
        </w:rPr>
        <w:t>——索的长度；</w:t>
      </w:r>
    </w:p>
    <w:p>
      <w:pPr>
        <w:adjustRightInd w:val="0"/>
        <w:snapToGrid w:val="0"/>
        <w:textAlignment w:val="center"/>
        <w:rPr>
          <w:rFonts w:eastAsia="宋体" w:cs="Times New Roman"/>
        </w:rPr>
      </w:pPr>
      <w:r>
        <w:rPr>
          <w:rFonts w:cs="Times New Roman"/>
        </w:rPr>
        <w:object>
          <v:shape id="_x0000_i1027" o:spt="75" type="#_x0000_t75" style="height:16.1pt;width:15.15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rFonts w:eastAsia="宋体" w:cs="Times New Roman"/>
        </w:rPr>
        <w:t>——节点计算点处的折算应力；</w:t>
      </w:r>
    </w:p>
    <w:p>
      <w:pPr>
        <w:adjustRightInd w:val="0"/>
        <w:snapToGrid w:val="0"/>
        <w:textAlignment w:val="center"/>
        <w:rPr>
          <w:rFonts w:eastAsia="宋体" w:cs="Times New Roman"/>
        </w:rPr>
      </w:pPr>
      <w:r>
        <w:rPr>
          <w:rFonts w:cs="Times New Roman"/>
        </w:rPr>
        <w:object>
          <v:shape id="_x0000_i1028" o:spt="75" type="#_x0000_t75" style="height:16.1pt;width:12.8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r>
        <w:rPr>
          <w:rFonts w:eastAsia="宋体" w:cs="Times New Roman"/>
        </w:rPr>
        <w:t>——节点计算点处折算应力的强度设计值增大系数；</w:t>
      </w:r>
    </w:p>
    <w:p>
      <w:pPr>
        <w:tabs>
          <w:tab w:val="left" w:pos="225"/>
        </w:tabs>
        <w:adjustRightInd w:val="0"/>
        <w:snapToGrid w:val="0"/>
        <w:textAlignment w:val="center"/>
        <w:rPr>
          <w:rFonts w:eastAsia="宋体" w:cs="Times New Roman"/>
        </w:rPr>
      </w:pPr>
      <w:r>
        <w:rPr>
          <w:rFonts w:eastAsia="宋体" w:cs="Times New Roman"/>
          <w:i/>
        </w:rPr>
        <w:t>f</w:t>
      </w:r>
      <w:r>
        <w:rPr>
          <w:rFonts w:eastAsia="宋体" w:cs="Times New Roman"/>
          <w:i/>
        </w:rPr>
        <w:tab/>
      </w:r>
      <w:r>
        <w:rPr>
          <w:rFonts w:eastAsia="宋体" w:cs="Times New Roman"/>
        </w:rPr>
        <w:t>——铝合金的名义屈服强度设计值；</w:t>
      </w:r>
    </w:p>
    <w:p>
      <w:pPr>
        <w:adjustRightInd w:val="0"/>
        <w:snapToGrid w:val="0"/>
        <w:textAlignment w:val="center"/>
        <w:rPr>
          <w:rFonts w:eastAsia="宋体" w:cs="Times New Roman"/>
        </w:rPr>
        <w:sectPr>
          <w:pgSz w:w="11906" w:h="16838"/>
          <w:pgMar w:top="1440" w:right="1800" w:bottom="1440" w:left="1800" w:header="851" w:footer="992" w:gutter="0"/>
          <w:cols w:space="720" w:num="1"/>
          <w:docGrid w:type="lines" w:linePitch="312" w:charSpace="0"/>
        </w:sectPr>
      </w:pPr>
      <w:r>
        <w:rPr>
          <w:rFonts w:cs="Times New Roman"/>
        </w:rPr>
        <w:object>
          <v:shape id="_x0000_i1029" o:spt="75" type="#_x0000_t75" style="height:16.1pt;width:12.8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eastAsia="宋体" w:cs="Times New Roman"/>
        </w:rPr>
        <w:t>,</w:t>
      </w:r>
      <w:r>
        <w:rPr>
          <w:rFonts w:cs="Times New Roman"/>
        </w:rPr>
        <w:object>
          <v:shape id="_x0000_i1030" o:spt="75" type="#_x0000_t75" style="height:16.1pt;width:13.75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eastAsia="宋体" w:cs="Times New Roman"/>
        </w:rPr>
        <w:t>,</w:t>
      </w:r>
      <w:r>
        <w:rPr>
          <w:rFonts w:cs="Times New Roman"/>
        </w:rPr>
        <w:object>
          <v:shape id="_x0000_i1031" o:spt="75" type="#_x0000_t75" style="height:16.1pt;width:13.75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r>
        <w:rPr>
          <w:rFonts w:eastAsia="宋体" w:cs="Times New Roman"/>
        </w:rPr>
        <w:t>——节点计算点处第一、第二、第三主应力。</w:t>
      </w:r>
    </w:p>
    <w:p>
      <w:pPr>
        <w:pStyle w:val="2"/>
      </w:pPr>
      <w:bookmarkStart w:id="16" w:name="_Toc152589106"/>
      <w:bookmarkStart w:id="17" w:name="_Toc152589548"/>
      <w:bookmarkStart w:id="18" w:name="_Toc152588924"/>
      <w:r>
        <w:rPr>
          <w:rFonts w:hint="eastAsia"/>
        </w:rPr>
        <w:t>3 材料</w:t>
      </w:r>
      <w:bookmarkEnd w:id="16"/>
      <w:bookmarkEnd w:id="17"/>
      <w:bookmarkEnd w:id="18"/>
    </w:p>
    <w:p>
      <w:pPr>
        <w:pStyle w:val="3"/>
        <w:spacing w:before="156" w:after="156"/>
      </w:pPr>
      <w:bookmarkStart w:id="19" w:name="_Toc152589107"/>
      <w:bookmarkStart w:id="20" w:name="_Toc152589549"/>
      <w:bookmarkStart w:id="21" w:name="_Toc152588925"/>
      <w:r>
        <w:t>3.1 结构铝</w:t>
      </w:r>
      <w:bookmarkEnd w:id="19"/>
      <w:bookmarkEnd w:id="20"/>
      <w:bookmarkEnd w:id="21"/>
    </w:p>
    <w:p>
      <w:pPr>
        <w:adjustRightInd w:val="0"/>
        <w:snapToGrid w:val="0"/>
        <w:spacing w:before="60"/>
        <w:rPr>
          <w:rFonts w:eastAsia="宋体" w:cs="Times New Roman"/>
        </w:rPr>
      </w:pPr>
      <w:r>
        <w:rPr>
          <w:rFonts w:eastAsia="宋体" w:cs="Times New Roman"/>
          <w:b/>
          <w:bCs/>
        </w:rPr>
        <w:t xml:space="preserve">3.1.1  </w:t>
      </w:r>
      <w:r>
        <w:rPr>
          <w:rFonts w:eastAsia="宋体" w:cs="Times New Roman"/>
          <w:szCs w:val="21"/>
        </w:rPr>
        <w:t>用于承重</w:t>
      </w:r>
      <w:r>
        <w:rPr>
          <w:rFonts w:eastAsia="宋体" w:cs="Times New Roman"/>
        </w:rPr>
        <w:t>结构的</w:t>
      </w:r>
      <w:r>
        <w:rPr>
          <w:rFonts w:eastAsia="宋体" w:cs="Times New Roman"/>
          <w:szCs w:val="21"/>
        </w:rPr>
        <w:t>铝合金宜</w:t>
      </w:r>
      <w:r>
        <w:rPr>
          <w:rFonts w:eastAsia="宋体" w:cs="Times New Roman"/>
        </w:rPr>
        <w:t>采用板、带、挤压棒、拉制管、挤压管、挤压型材等铝合金。</w:t>
      </w:r>
    </w:p>
    <w:p>
      <w:pPr>
        <w:adjustRightInd w:val="0"/>
        <w:snapToGrid w:val="0"/>
        <w:spacing w:before="60"/>
        <w:rPr>
          <w:rFonts w:eastAsia="宋体" w:cs="Times New Roman"/>
        </w:rPr>
      </w:pPr>
      <w:r>
        <w:rPr>
          <w:rFonts w:eastAsia="宋体" w:cs="Times New Roman"/>
          <w:b/>
          <w:bCs/>
        </w:rPr>
        <w:t xml:space="preserve">3.1.2  </w:t>
      </w:r>
      <w:r>
        <w:rPr>
          <w:rFonts w:eastAsia="宋体" w:cs="Times New Roman"/>
        </w:rPr>
        <w:t>铝合金牌号、规格及其相应热处理状态的选用应考虑结构的重要性、荷载特征、结构形式、应力状态、连接方式、材料厚度等因素，并应符合国家现行相关标准的规定。</w:t>
      </w:r>
    </w:p>
    <w:p>
      <w:pPr>
        <w:adjustRightInd w:val="0"/>
        <w:snapToGrid w:val="0"/>
        <w:spacing w:before="60"/>
        <w:rPr>
          <w:rFonts w:eastAsia="宋体" w:cs="Times New Roman"/>
        </w:rPr>
      </w:pPr>
      <w:r>
        <w:rPr>
          <w:rFonts w:eastAsia="宋体" w:cs="Times New Roman"/>
          <w:b/>
          <w:bCs/>
        </w:rPr>
        <w:t xml:space="preserve">3.1.3  </w:t>
      </w:r>
      <w:r>
        <w:rPr>
          <w:rFonts w:eastAsia="宋体" w:cs="Times New Roman"/>
          <w:szCs w:val="21"/>
        </w:rPr>
        <w:t>铝合金结构的型材宜采用5×××系列和6×××系列铝合金；板</w:t>
      </w:r>
      <w:r>
        <w:rPr>
          <w:rFonts w:eastAsia="宋体" w:cs="Times New Roman"/>
        </w:rPr>
        <w:t>、带</w:t>
      </w:r>
      <w:r>
        <w:rPr>
          <w:rFonts w:eastAsia="宋体" w:cs="Times New Roman"/>
          <w:szCs w:val="21"/>
        </w:rPr>
        <w:t>材宜采用3×××系列和5×××系列铝合金。铝合金螺栓球宜采用7×××系列高强铝合金</w:t>
      </w:r>
      <w:r>
        <w:rPr>
          <w:rFonts w:cs="Times New Roman"/>
        </w:rPr>
        <w:t>或</w:t>
      </w:r>
      <w:r>
        <w:rPr>
          <w:rFonts w:eastAsia="宋体" w:cs="Times New Roman"/>
          <w:szCs w:val="21"/>
        </w:rPr>
        <w:t>2×××系列铝合金；榖节点的榖体宜采用6×××系列铝合金。</w:t>
      </w:r>
      <w:r>
        <w:rPr>
          <w:rFonts w:eastAsia="宋体" w:cs="Times New Roman"/>
          <w:bCs/>
          <w:szCs w:val="21"/>
        </w:rPr>
        <w:t>在需要轻质高强的铝合金材料时，可采用</w:t>
      </w:r>
      <w:r>
        <w:rPr>
          <w:rFonts w:eastAsia="宋体" w:cs="Times New Roman"/>
          <w:szCs w:val="21"/>
        </w:rPr>
        <w:t>7×××系列</w:t>
      </w:r>
      <w:r>
        <w:rPr>
          <w:rFonts w:eastAsia="宋体" w:cs="Times New Roman"/>
          <w:bCs/>
          <w:szCs w:val="21"/>
        </w:rPr>
        <w:t>等高强铝合金</w:t>
      </w:r>
      <w:r>
        <w:rPr>
          <w:rFonts w:eastAsia="宋体" w:cs="Times New Roman"/>
          <w:szCs w:val="21"/>
        </w:rPr>
        <w:t>。</w:t>
      </w:r>
      <w:r>
        <w:rPr>
          <w:rFonts w:eastAsia="宋体" w:cs="Times New Roman"/>
        </w:rPr>
        <w:t>铝合金材料的力学性能应符合国家现行相关标准的规定。</w:t>
      </w:r>
    </w:p>
    <w:p>
      <w:pPr>
        <w:snapToGrid w:val="0"/>
        <w:spacing w:before="60"/>
        <w:rPr>
          <w:rFonts w:eastAsia="宋体" w:cs="Times New Roman"/>
          <w:color w:val="000000" w:themeColor="text1"/>
          <w:szCs w:val="21"/>
          <w14:textFill>
            <w14:solidFill>
              <w14:schemeClr w14:val="tx1"/>
            </w14:solidFill>
          </w14:textFill>
        </w:rPr>
      </w:pPr>
      <w:r>
        <w:rPr>
          <w:rFonts w:eastAsia="宋体" w:cs="Times New Roman"/>
          <w:b/>
          <w:color w:val="000000" w:themeColor="text1"/>
          <w:szCs w:val="21"/>
          <w14:textFill>
            <w14:solidFill>
              <w14:schemeClr w14:val="tx1"/>
            </w14:solidFill>
          </w14:textFill>
        </w:rPr>
        <w:t>3.1.4</w:t>
      </w:r>
      <w:r>
        <w:rPr>
          <w:rFonts w:eastAsia="宋体" w:cs="Times New Roman"/>
          <w:color w:val="000000" w:themeColor="text1"/>
          <w:szCs w:val="21"/>
          <w14:textFill>
            <w14:solidFill>
              <w14:schemeClr w14:val="tx1"/>
            </w14:solidFill>
          </w14:textFill>
        </w:rPr>
        <w:t>预应力铝合金结构设计文件中，应注明铝合金材料牌号及供货状态、连接材料的型号和对铝合金材料所要求的力学性能、化学成分及其他的附加保证项目。</w:t>
      </w:r>
    </w:p>
    <w:p>
      <w:pPr>
        <w:adjustRightInd w:val="0"/>
        <w:snapToGrid w:val="0"/>
        <w:spacing w:before="60"/>
        <w:textAlignment w:val="center"/>
        <w:rPr>
          <w:rFonts w:eastAsia="宋体" w:cs="Times New Roman"/>
        </w:rPr>
      </w:pPr>
      <w:r>
        <w:rPr>
          <w:rFonts w:eastAsia="宋体" w:cs="Times New Roman"/>
          <w:b/>
          <w:bCs/>
        </w:rPr>
        <w:t>3.1.5</w:t>
      </w:r>
      <w:r>
        <w:rPr>
          <w:rFonts w:eastAsia="宋体" w:cs="Times New Roman"/>
          <w:bCs/>
        </w:rPr>
        <w:t xml:space="preserve"> 铝合金结构材料</w:t>
      </w:r>
      <w:r>
        <w:rPr>
          <w:rFonts w:eastAsia="宋体" w:cs="Times New Roman"/>
        </w:rPr>
        <w:t>的弹性模量可取0.7x10</w:t>
      </w:r>
      <w:r>
        <w:rPr>
          <w:rFonts w:eastAsia="宋体" w:cs="Times New Roman"/>
          <w:vertAlign w:val="superscript"/>
        </w:rPr>
        <w:t>5</w:t>
      </w:r>
      <w:r>
        <w:rPr>
          <w:rFonts w:eastAsia="宋体" w:cs="Times New Roman"/>
        </w:rPr>
        <w:t>N/mm</w:t>
      </w:r>
      <w:r>
        <w:rPr>
          <w:rFonts w:eastAsia="宋体" w:cs="Times New Roman"/>
          <w:vertAlign w:val="superscript"/>
        </w:rPr>
        <w:t>2</w:t>
      </w:r>
      <w:r>
        <w:rPr>
          <w:rFonts w:eastAsia="宋体" w:cs="Times New Roman"/>
        </w:rPr>
        <w:t>，强度标准和设计值应按现行国家标准《铝合金结构设计规范》GB 50249取用。</w:t>
      </w:r>
    </w:p>
    <w:p>
      <w:pPr>
        <w:pStyle w:val="3"/>
        <w:spacing w:before="156" w:after="156"/>
      </w:pPr>
      <w:bookmarkStart w:id="22" w:name="_Toc152588926"/>
      <w:bookmarkStart w:id="23" w:name="_Toc152589108"/>
      <w:bookmarkStart w:id="24" w:name="_Toc152589550"/>
      <w:r>
        <w:t>3.2 不锈钢</w:t>
      </w:r>
      <w:bookmarkEnd w:id="22"/>
      <w:bookmarkEnd w:id="23"/>
      <w:bookmarkEnd w:id="24"/>
    </w:p>
    <w:p>
      <w:pPr>
        <w:adjustRightInd w:val="0"/>
        <w:snapToGrid w:val="0"/>
        <w:spacing w:before="60"/>
        <w:textAlignment w:val="center"/>
        <w:rPr>
          <w:rFonts w:cs="Times New Roman" w:eastAsiaTheme="majorEastAsia"/>
          <w:color w:val="000000" w:themeColor="text1"/>
          <w:szCs w:val="21"/>
          <w14:textFill>
            <w14:solidFill>
              <w14:schemeClr w14:val="tx1"/>
            </w14:solidFill>
          </w14:textFill>
        </w:rPr>
      </w:pPr>
      <w:r>
        <w:rPr>
          <w:rFonts w:cs="Times New Roman" w:eastAsiaTheme="majorEastAsia"/>
          <w:b/>
          <w:color w:val="000000" w:themeColor="text1"/>
          <w:szCs w:val="21"/>
          <w14:textFill>
            <w14:solidFill>
              <w14:schemeClr w14:val="tx1"/>
            </w14:solidFill>
          </w14:textFill>
        </w:rPr>
        <w:t>3.2.1</w:t>
      </w:r>
      <w:r>
        <w:rPr>
          <w:rFonts w:cs="Times New Roman" w:eastAsiaTheme="majorEastAsia"/>
          <w:color w:val="000000" w:themeColor="text1"/>
          <w:szCs w:val="21"/>
          <w14:textFill>
            <w14:solidFill>
              <w14:schemeClr w14:val="tx1"/>
            </w14:solidFill>
          </w14:textFill>
        </w:rPr>
        <w:t>结构用不锈钢材料可采用奥氏体型不锈钢和双相型不锈钢，其质量应分别符合现行国家标准《不锈钢和耐热钢 牌号及化学成分》GB/T 20878、《不锈钢热轧钢板和钢带》GB/T 4237、《不锈钢冷轧钢板和钢带》GB/T 3280和《铬-锰-镍-氮系奥氏体不锈钢冷轧钢板和钢带》T/CISA  046的规定。当有可靠依据时，可采用其他牌号的不锈钢。</w:t>
      </w:r>
    </w:p>
    <w:p>
      <w:pPr>
        <w:adjustRightInd w:val="0"/>
        <w:snapToGrid w:val="0"/>
        <w:spacing w:before="60"/>
        <w:textAlignment w:val="center"/>
        <w:rPr>
          <w:rFonts w:cs="Times New Roman" w:eastAsiaTheme="majorEastAsia"/>
          <w:color w:val="000000" w:themeColor="text1"/>
          <w:szCs w:val="21"/>
          <w14:textFill>
            <w14:solidFill>
              <w14:schemeClr w14:val="tx1"/>
            </w14:solidFill>
          </w14:textFill>
        </w:rPr>
      </w:pPr>
      <w:r>
        <w:rPr>
          <w:rFonts w:cs="Times New Roman" w:eastAsiaTheme="majorEastAsia"/>
          <w:b/>
          <w:color w:val="000000" w:themeColor="text1"/>
          <w:szCs w:val="21"/>
          <w14:textFill>
            <w14:solidFill>
              <w14:schemeClr w14:val="tx1"/>
            </w14:solidFill>
          </w14:textFill>
        </w:rPr>
        <w:t>3.2.2</w:t>
      </w:r>
      <w:r>
        <w:rPr>
          <w:rFonts w:cs="Times New Roman" w:eastAsiaTheme="majorEastAsia"/>
          <w:color w:val="000000" w:themeColor="text1"/>
          <w:szCs w:val="21"/>
          <w14:textFill>
            <w14:solidFill>
              <w14:schemeClr w14:val="tx1"/>
            </w14:solidFill>
          </w14:textFill>
        </w:rPr>
        <w:t>结构用不锈钢，应根据结构的重要性、荷载特征、结构形式、应力状态、钢材厚度、成型方法、工作环境和表面要求等因素合理选取不锈钢牌号及性能指标，并在设计文件中明确。</w:t>
      </w:r>
    </w:p>
    <w:p>
      <w:pPr>
        <w:adjustRightInd w:val="0"/>
        <w:snapToGrid w:val="0"/>
        <w:spacing w:before="60"/>
        <w:textAlignment w:val="center"/>
        <w:rPr>
          <w:rFonts w:cs="Times New Roman" w:eastAsiaTheme="majorEastAsia"/>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3.2.3</w:t>
      </w:r>
      <w:r>
        <w:rPr>
          <w:rFonts w:cs="Times New Roman" w:eastAsiaTheme="majorEastAsia"/>
          <w:color w:val="000000" w:themeColor="text1"/>
          <w:szCs w:val="21"/>
          <w14:textFill>
            <w14:solidFill>
              <w14:schemeClr w14:val="tx1"/>
            </w14:solidFill>
          </w14:textFill>
        </w:rPr>
        <w:t>结构用不锈钢管可采用无缝钢管和直缝焊接钢管，其质量应分别符合现行国家标准《结构用不锈钢无缝钢管》GB/T 14975、《机械结构用不锈钢焊接钢管》GB/T 12770和《建筑用不锈钢焊接管材》JG/T 539的规定。结构用不锈钢拉索质量应符合现行国家标准《不锈钢钢绞线》GB/T 25821和《建筑用不锈钢绞线》JG/T 200的规定。结构用不锈钢钢棒质量应符合现行国家标准《不锈钢棒》GB/T 1220的规定。</w:t>
      </w:r>
    </w:p>
    <w:p>
      <w:pPr>
        <w:adjustRightInd w:val="0"/>
        <w:snapToGrid w:val="0"/>
        <w:spacing w:before="60"/>
        <w:textAlignment w:val="center"/>
        <w:rPr>
          <w:rFonts w:cs="Times New Roman" w:eastAsiaTheme="majorEastAsia"/>
          <w:color w:val="000000" w:themeColor="text1"/>
          <w:szCs w:val="21"/>
          <w14:textFill>
            <w14:solidFill>
              <w14:schemeClr w14:val="tx1"/>
            </w14:solidFill>
          </w14:textFill>
        </w:rPr>
      </w:pPr>
      <w:r>
        <w:rPr>
          <w:rFonts w:cs="Times New Roman" w:eastAsiaTheme="majorEastAsia"/>
          <w:b/>
          <w:color w:val="000000" w:themeColor="text1"/>
          <w:szCs w:val="21"/>
          <w14:textFill>
            <w14:solidFill>
              <w14:schemeClr w14:val="tx1"/>
            </w14:solidFill>
          </w14:textFill>
        </w:rPr>
        <w:t>3.2.4</w:t>
      </w:r>
      <w:r>
        <w:rPr>
          <w:rFonts w:cs="Times New Roman" w:eastAsiaTheme="majorEastAsia"/>
          <w:color w:val="000000" w:themeColor="text1"/>
          <w:szCs w:val="21"/>
          <w14:textFill>
            <w14:solidFill>
              <w14:schemeClr w14:val="tx1"/>
            </w14:solidFill>
          </w14:textFill>
        </w:rPr>
        <w:t xml:space="preserve"> 结构用不锈钢的强度指标可按照《不锈钢结构技术规程》CECS 410: 2015取用。</w:t>
      </w:r>
    </w:p>
    <w:p>
      <w:pPr>
        <w:pStyle w:val="3"/>
        <w:spacing w:before="156" w:after="156"/>
      </w:pPr>
      <w:bookmarkStart w:id="25" w:name="_Toc68892562"/>
      <w:bookmarkStart w:id="26" w:name="_Toc67921176"/>
      <w:bookmarkStart w:id="27" w:name="_Toc68556669"/>
      <w:bookmarkStart w:id="28" w:name="_Toc152589551"/>
      <w:bookmarkStart w:id="29" w:name="_Toc152588927"/>
      <w:bookmarkStart w:id="30" w:name="_Toc152589109"/>
      <w:bookmarkStart w:id="31" w:name="_Toc124955392"/>
      <w:r>
        <w:t>3.3连接</w:t>
      </w:r>
      <w:bookmarkEnd w:id="25"/>
      <w:bookmarkEnd w:id="26"/>
      <w:bookmarkEnd w:id="27"/>
      <w:r>
        <w:t>材料</w:t>
      </w:r>
      <w:bookmarkEnd w:id="28"/>
      <w:bookmarkEnd w:id="29"/>
      <w:bookmarkEnd w:id="30"/>
      <w:bookmarkEnd w:id="31"/>
    </w:p>
    <w:p>
      <w:pPr>
        <w:adjustRightInd w:val="0"/>
        <w:snapToGrid w:val="0"/>
        <w:rPr>
          <w:rFonts w:eastAsia="宋体" w:cs="Times New Roman"/>
          <w:spacing w:val="2"/>
          <w:szCs w:val="26"/>
        </w:rPr>
      </w:pPr>
      <w:r>
        <w:rPr>
          <w:rFonts w:eastAsia="宋体" w:cs="Times New Roman"/>
          <w:b/>
          <w:spacing w:val="2"/>
          <w:szCs w:val="26"/>
        </w:rPr>
        <w:t>3.3.1</w:t>
      </w:r>
      <w:r>
        <w:rPr>
          <w:rFonts w:eastAsia="宋体" w:cs="Times New Roman"/>
          <w:spacing w:val="2"/>
          <w:szCs w:val="26"/>
        </w:rPr>
        <w:t xml:space="preserve">  铝合金结构的</w:t>
      </w:r>
      <w:r>
        <w:rPr>
          <w:rFonts w:eastAsia="宋体" w:cs="Times New Roman"/>
          <w:bCs/>
        </w:rPr>
        <w:t>紧固件</w:t>
      </w:r>
      <w:r>
        <w:rPr>
          <w:rFonts w:eastAsia="宋体" w:cs="Times New Roman"/>
          <w:spacing w:val="2"/>
          <w:szCs w:val="26"/>
        </w:rPr>
        <w:t>连接材料应符合下列要求：</w:t>
      </w:r>
    </w:p>
    <w:p>
      <w:pPr>
        <w:adjustRightInd w:val="0"/>
        <w:snapToGrid w:val="0"/>
        <w:ind w:firstLine="430" w:firstLineChars="200"/>
        <w:rPr>
          <w:rFonts w:eastAsia="宋体" w:cs="Times New Roman"/>
          <w:spacing w:val="2"/>
          <w:szCs w:val="26"/>
        </w:rPr>
      </w:pPr>
      <w:r>
        <w:rPr>
          <w:rFonts w:eastAsia="宋体" w:cs="Times New Roman"/>
          <w:b/>
          <w:spacing w:val="2"/>
          <w:szCs w:val="26"/>
        </w:rPr>
        <w:t xml:space="preserve">1 </w:t>
      </w:r>
      <w:r>
        <w:rPr>
          <w:rFonts w:eastAsia="宋体" w:cs="Times New Roman"/>
          <w:spacing w:val="2"/>
          <w:szCs w:val="26"/>
        </w:rPr>
        <w:t xml:space="preserve"> 普通</w:t>
      </w:r>
      <w:r>
        <w:rPr>
          <w:rFonts w:eastAsia="宋体" w:cs="Times New Roman"/>
          <w:bCs/>
        </w:rPr>
        <w:t>螺栓的材料宜采用铝合金、不锈钢，也可采用</w:t>
      </w:r>
      <w:r>
        <w:rPr>
          <w:rFonts w:eastAsia="宋体" w:cs="Times New Roman"/>
        </w:rPr>
        <w:t>经热浸镀锌、电镀锌或镀铝等可靠表面处理后的钢材</w:t>
      </w:r>
      <w:r>
        <w:rPr>
          <w:rFonts w:eastAsia="宋体" w:cs="Times New Roman"/>
          <w:bCs/>
        </w:rPr>
        <w:t>。</w:t>
      </w:r>
      <w:r>
        <w:rPr>
          <w:rFonts w:eastAsia="宋体" w:cs="Times New Roman"/>
          <w:spacing w:val="2"/>
          <w:szCs w:val="26"/>
        </w:rPr>
        <w:t>普通螺栓应符合现行国家标准</w:t>
      </w:r>
      <w:r>
        <w:rPr>
          <w:rFonts w:eastAsia="宋体" w:cs="Times New Roman"/>
          <w:szCs w:val="21"/>
        </w:rPr>
        <w:t>《紧固件机械性能 螺栓、螺钉和螺柱》GB/T 3098.1、《紧固件机械性能 有色金属制造的螺栓、螺钉、螺柱和螺母》GB/T 3098.10、</w:t>
      </w:r>
      <w:r>
        <w:rPr>
          <w:rFonts w:eastAsia="宋体" w:cs="Times New Roman"/>
          <w:spacing w:val="2"/>
          <w:szCs w:val="26"/>
        </w:rPr>
        <w:t>《</w:t>
      </w:r>
      <w:r>
        <w:rPr>
          <w:rFonts w:eastAsia="宋体" w:cs="Times New Roman"/>
          <w:bCs/>
        </w:rPr>
        <w:t>六角头螺栓 C级》GB/T 5780和</w:t>
      </w:r>
      <w:r>
        <w:rPr>
          <w:rFonts w:eastAsia="宋体" w:cs="Times New Roman"/>
          <w:spacing w:val="2"/>
          <w:szCs w:val="26"/>
        </w:rPr>
        <w:t>《</w:t>
      </w:r>
      <w:r>
        <w:rPr>
          <w:rFonts w:eastAsia="宋体" w:cs="Times New Roman"/>
          <w:bCs/>
        </w:rPr>
        <w:t>六角头螺栓》GB/T 5782的规定；</w:t>
      </w:r>
    </w:p>
    <w:p>
      <w:pPr>
        <w:adjustRightInd w:val="0"/>
        <w:snapToGrid w:val="0"/>
        <w:ind w:firstLine="422" w:firstLineChars="200"/>
        <w:rPr>
          <w:rFonts w:eastAsia="宋体" w:cs="Times New Roman"/>
          <w:bCs/>
        </w:rPr>
      </w:pPr>
      <w:r>
        <w:rPr>
          <w:rFonts w:eastAsia="宋体" w:cs="Times New Roman"/>
          <w:b/>
        </w:rPr>
        <w:t xml:space="preserve">2  </w:t>
      </w:r>
      <w:r>
        <w:rPr>
          <w:rFonts w:eastAsia="宋体" w:cs="Times New Roman"/>
          <w:bCs/>
        </w:rPr>
        <w:t>环槽铆钉材料宜采用铝合金、不锈钢，也可采用</w:t>
      </w:r>
      <w:r>
        <w:rPr>
          <w:rFonts w:eastAsia="宋体" w:cs="Times New Roman"/>
        </w:rPr>
        <w:t>经热浸镀锌、电镀锌或镀铝等可靠表面处理后的钢材</w:t>
      </w:r>
      <w:r>
        <w:rPr>
          <w:rFonts w:eastAsia="宋体" w:cs="Times New Roman"/>
          <w:bCs/>
        </w:rPr>
        <w:t>，钢环槽铆钉的质量应符合现行国家标准《环槽铆钉连接副技术条件》GB/T 36993的规定。</w:t>
      </w:r>
    </w:p>
    <w:p>
      <w:pPr>
        <w:adjustRightInd w:val="0"/>
        <w:snapToGrid w:val="0"/>
        <w:ind w:firstLine="422" w:firstLineChars="200"/>
        <w:rPr>
          <w:rFonts w:cs="Times New Roman"/>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w:t>
      </w:r>
      <w:r>
        <w:rPr>
          <w:rFonts w:cs="Times New Roman"/>
          <w:bCs/>
          <w:color w:val="000000" w:themeColor="text1"/>
          <w14:textFill>
            <w14:solidFill>
              <w14:schemeClr w14:val="tx1"/>
            </w14:solidFill>
          </w14:textFill>
        </w:rPr>
        <w:t xml:space="preserve"> 高强度环槽铆钉宜采用拉断型和短尾型，直接承受动力荷载重复作用的构件应采用高强度环槽铆钉摩擦型连接。在同一连接接头中，高强度环槽铆钉连接不应与普通螺栓连接混用。</w:t>
      </w:r>
    </w:p>
    <w:p>
      <w:pPr>
        <w:adjustRightInd w:val="0"/>
        <w:snapToGrid w:val="0"/>
        <w:rPr>
          <w:rFonts w:eastAsia="等线" w:cs="Times New Roman"/>
          <w:szCs w:val="24"/>
        </w:rPr>
      </w:pPr>
      <w:r>
        <w:rPr>
          <w:rFonts w:eastAsia="宋体" w:cs="Times New Roman"/>
          <w:b/>
          <w:spacing w:val="2"/>
          <w:szCs w:val="26"/>
        </w:rPr>
        <w:t xml:space="preserve">3.3.2  </w:t>
      </w:r>
      <w:r>
        <w:rPr>
          <w:rFonts w:eastAsia="宋体" w:cs="Times New Roman"/>
          <w:bCs/>
        </w:rPr>
        <w:t>除特殊规定外，用于铝合金结构的连接件的最小尺寸应符合以下规定：</w:t>
      </w:r>
    </w:p>
    <w:p>
      <w:pPr>
        <w:adjustRightInd w:val="0"/>
        <w:snapToGrid w:val="0"/>
        <w:ind w:firstLine="422" w:firstLineChars="200"/>
        <w:rPr>
          <w:rFonts w:eastAsia="宋体" w:cs="Times New Roman"/>
        </w:rPr>
      </w:pPr>
      <w:r>
        <w:rPr>
          <w:rFonts w:eastAsia="宋体" w:cs="Times New Roman"/>
          <w:b/>
          <w:bCs/>
        </w:rPr>
        <w:t>1</w:t>
      </w:r>
      <w:r>
        <w:rPr>
          <w:rFonts w:eastAsia="宋体" w:cs="Times New Roman"/>
        </w:rPr>
        <w:t xml:space="preserve">  钢制螺栓或栓钉的公称直径不宜小于5 mm；</w:t>
      </w:r>
    </w:p>
    <w:p>
      <w:pPr>
        <w:adjustRightInd w:val="0"/>
        <w:snapToGrid w:val="0"/>
        <w:ind w:firstLine="422" w:firstLineChars="200"/>
        <w:rPr>
          <w:rFonts w:eastAsia="宋体" w:cs="Times New Roman"/>
        </w:rPr>
      </w:pPr>
      <w:r>
        <w:rPr>
          <w:rFonts w:eastAsia="宋体" w:cs="Times New Roman"/>
          <w:b/>
          <w:bCs/>
        </w:rPr>
        <w:t>2</w:t>
      </w:r>
      <w:r>
        <w:rPr>
          <w:rFonts w:eastAsia="宋体" w:cs="Times New Roman"/>
        </w:rPr>
        <w:t xml:space="preserve">  铝制螺栓或栓钉的公称直径不宜小于6 mm；</w:t>
      </w:r>
    </w:p>
    <w:p>
      <w:pPr>
        <w:adjustRightInd w:val="0"/>
        <w:snapToGrid w:val="0"/>
        <w:ind w:firstLine="420"/>
        <w:rPr>
          <w:rFonts w:eastAsia="宋体" w:cs="Times New Roman"/>
        </w:rPr>
      </w:pPr>
      <w:r>
        <w:rPr>
          <w:rFonts w:eastAsia="宋体" w:cs="Times New Roman"/>
          <w:b/>
          <w:bCs/>
        </w:rPr>
        <w:t>3</w:t>
      </w:r>
      <w:r>
        <w:rPr>
          <w:rFonts w:eastAsia="宋体" w:cs="Times New Roman"/>
        </w:rPr>
        <w:t xml:space="preserve">  环槽铆钉直径不宜小于4.75mm；</w:t>
      </w:r>
    </w:p>
    <w:p>
      <w:pPr>
        <w:adjustRightInd w:val="0"/>
        <w:snapToGrid w:val="0"/>
        <w:ind w:firstLine="420"/>
        <w:rPr>
          <w:rFonts w:eastAsia="宋体" w:cs="Times New Roman"/>
        </w:rPr>
      </w:pPr>
      <w:r>
        <w:rPr>
          <w:rFonts w:eastAsia="宋体" w:cs="Times New Roman"/>
          <w:b/>
          <w:bCs/>
        </w:rPr>
        <w:t>4</w:t>
      </w:r>
      <w:r>
        <w:rPr>
          <w:rFonts w:eastAsia="宋体" w:cs="Times New Roman"/>
          <w:bCs/>
        </w:rPr>
        <w:t xml:space="preserve">  高强度环槽铆钉直径不宜小于12mm。</w:t>
      </w:r>
    </w:p>
    <w:p>
      <w:pPr>
        <w:pStyle w:val="3"/>
        <w:spacing w:before="156" w:after="156"/>
      </w:pPr>
      <w:bookmarkStart w:id="32" w:name="_Toc152589552"/>
      <w:bookmarkStart w:id="33" w:name="_Toc152589110"/>
      <w:bookmarkStart w:id="34" w:name="_Toc152588928"/>
      <w:r>
        <w:t>3.4 索体材料</w:t>
      </w:r>
      <w:bookmarkEnd w:id="32"/>
      <w:bookmarkEnd w:id="33"/>
      <w:bookmarkEnd w:id="34"/>
    </w:p>
    <w:p>
      <w:pPr>
        <w:adjustRightInd w:val="0"/>
        <w:snapToGrid w:val="0"/>
        <w:spacing w:before="60"/>
        <w:rPr>
          <w:rFonts w:cs="Times New Roman"/>
          <w:color w:val="FF0000"/>
          <w:sz w:val="18"/>
          <w:szCs w:val="18"/>
        </w:rPr>
      </w:pPr>
      <w:r>
        <w:rPr>
          <w:rFonts w:cs="Times New Roman"/>
          <w:b/>
          <w:bCs/>
          <w:color w:val="000000"/>
        </w:rPr>
        <w:t xml:space="preserve">3.4.1 </w:t>
      </w:r>
      <w:r>
        <w:rPr>
          <w:rFonts w:cs="Times New Roman"/>
          <w:bCs/>
          <w:color w:val="000000"/>
        </w:rPr>
        <w:t>预应力铝合金结构中拉索</w:t>
      </w:r>
      <w:r>
        <w:rPr>
          <w:rFonts w:cs="Times New Roman"/>
          <w:color w:val="000000"/>
        </w:rPr>
        <w:t>索体宜采用钢绞线和不锈钢绞线索体，也可采用半平行钢丝束。</w:t>
      </w:r>
    </w:p>
    <w:p>
      <w:pPr>
        <w:adjustRightInd w:val="0"/>
        <w:snapToGrid w:val="0"/>
        <w:spacing w:before="60"/>
        <w:rPr>
          <w:rFonts w:cs="Times New Roman"/>
          <w:bCs/>
          <w:color w:val="FF0000"/>
        </w:rPr>
      </w:pPr>
      <w:r>
        <w:rPr>
          <w:rFonts w:cs="Times New Roman"/>
          <w:b/>
          <w:bCs/>
          <w:color w:val="000000"/>
          <w:szCs w:val="21"/>
        </w:rPr>
        <w:t xml:space="preserve">3.4.2 </w:t>
      </w:r>
      <w:r>
        <w:rPr>
          <w:rFonts w:cs="Times New Roman"/>
          <w:bCs/>
          <w:color w:val="000000"/>
          <w:szCs w:val="21"/>
        </w:rPr>
        <w:t>钢绞线宜采用高钒（</w:t>
      </w:r>
      <w:r>
        <w:rPr>
          <w:rFonts w:cs="Times New Roman"/>
          <w:szCs w:val="21"/>
        </w:rPr>
        <w:t>锌-5%铝-混合稀土合金）镀层</w:t>
      </w:r>
      <w:r>
        <w:rPr>
          <w:rFonts w:cs="Times New Roman"/>
          <w:bCs/>
          <w:color w:val="000000"/>
          <w:szCs w:val="21"/>
        </w:rPr>
        <w:t>防腐，组成钢绞线的钢丝截面可为圆形（图3.4.2a）或封闭型（图3.4.2b）。</w:t>
      </w:r>
      <w:r>
        <w:rPr>
          <w:rFonts w:cs="Times New Roman"/>
          <w:color w:val="000000"/>
        </w:rPr>
        <w:t>高钒索索体的质量和性能应</w:t>
      </w:r>
      <w:r>
        <w:rPr>
          <w:rFonts w:cs="Times New Roman"/>
          <w:bCs/>
          <w:color w:val="000000"/>
          <w:szCs w:val="21"/>
        </w:rPr>
        <w:t>符合</w:t>
      </w:r>
      <w:r>
        <w:rPr>
          <w:rFonts w:cs="Times New Roman"/>
          <w:color w:val="000000"/>
        </w:rPr>
        <w:t>现行行业标准《建筑工程用锌-5%铝-混合稀土合金镀层钢绞线》 YB/T 4542中的规定。封闭索的质量和性能要求应</w:t>
      </w:r>
      <w:r>
        <w:rPr>
          <w:rFonts w:cs="Times New Roman"/>
          <w:bCs/>
          <w:color w:val="000000"/>
          <w:szCs w:val="21"/>
        </w:rPr>
        <w:t>符合</w:t>
      </w:r>
      <w:r>
        <w:rPr>
          <w:rFonts w:cs="Times New Roman"/>
          <w:color w:val="000000"/>
        </w:rPr>
        <w:t>现行</w:t>
      </w:r>
      <w:r>
        <w:rPr>
          <w:rFonts w:cs="Times New Roman"/>
          <w:color w:val="000000"/>
          <w:szCs w:val="21"/>
        </w:rPr>
        <w:t>行业标准</w:t>
      </w:r>
      <w:r>
        <w:rPr>
          <w:rFonts w:cs="Times New Roman"/>
          <w:szCs w:val="21"/>
        </w:rPr>
        <w:t>《密封钢丝绳》 YB/T 5295的规定。</w:t>
      </w:r>
    </w:p>
    <w:p>
      <w:pPr>
        <w:adjustRightInd w:val="0"/>
        <w:snapToGrid w:val="0"/>
        <w:spacing w:before="60"/>
        <w:jc w:val="center"/>
        <w:rPr>
          <w:rFonts w:cs="Times New Roman"/>
          <w:bCs/>
          <w:color w:val="000000"/>
          <w:sz w:val="18"/>
          <w:szCs w:val="18"/>
        </w:rPr>
      </w:pPr>
      <w:r>
        <w:rPr>
          <w:rFonts w:cs="Times New Roman"/>
          <w:bCs/>
          <w:color w:val="000000"/>
        </w:rPr>
        <w:drawing>
          <wp:inline distT="0" distB="0" distL="0" distR="0">
            <wp:extent cx="727710" cy="630555"/>
            <wp:effectExtent l="0" t="0" r="0" b="0"/>
            <wp:docPr id="1589903875"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75" name="图片 2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27710" cy="630555"/>
                    </a:xfrm>
                    <a:prstGeom prst="rect">
                      <a:avLst/>
                    </a:prstGeom>
                    <a:noFill/>
                    <a:ln>
                      <a:noFill/>
                    </a:ln>
                    <a:effectLst/>
                  </pic:spPr>
                </pic:pic>
              </a:graphicData>
            </a:graphic>
          </wp:inline>
        </w:drawing>
      </w:r>
      <w:r>
        <w:rPr>
          <w:rFonts w:cs="Times New Roman"/>
          <w:bCs/>
          <w:color w:val="000000"/>
        </w:rPr>
        <w:t xml:space="preserve">               </w:t>
      </w:r>
      <w:r>
        <w:rPr>
          <w:rFonts w:cs="Times New Roman"/>
        </w:rPr>
        <w:drawing>
          <wp:inline distT="0" distB="0" distL="0" distR="0">
            <wp:extent cx="709930" cy="718820"/>
            <wp:effectExtent l="0" t="0" r="0" b="5080"/>
            <wp:docPr id="158990387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76" name="图片 168"/>
                    <pic:cNvPicPr>
                      <a:picLocks noChangeAspect="1" noChangeArrowheads="1"/>
                    </pic:cNvPicPr>
                  </pic:nvPicPr>
                  <pic:blipFill>
                    <a:blip r:embed="rId24" cstate="print">
                      <a:extLst>
                        <a:ext uri="{28A0092B-C50C-407E-A947-70E740481C1C}">
                          <a14:useLocalDpi xmlns:a14="http://schemas.microsoft.com/office/drawing/2010/main" val="0"/>
                        </a:ext>
                      </a:extLst>
                    </a:blip>
                    <a:srcRect l="35898" t="16049" r="28448" b="25233"/>
                    <a:stretch>
                      <a:fillRect/>
                    </a:stretch>
                  </pic:blipFill>
                  <pic:spPr>
                    <a:xfrm>
                      <a:off x="0" y="0"/>
                      <a:ext cx="709930" cy="718820"/>
                    </a:xfrm>
                    <a:prstGeom prst="rect">
                      <a:avLst/>
                    </a:prstGeom>
                    <a:noFill/>
                    <a:ln>
                      <a:noFill/>
                    </a:ln>
                  </pic:spPr>
                </pic:pic>
              </a:graphicData>
            </a:graphic>
          </wp:inline>
        </w:drawing>
      </w:r>
    </w:p>
    <w:p>
      <w:pPr>
        <w:adjustRightInd w:val="0"/>
        <w:snapToGrid w:val="0"/>
        <w:spacing w:before="60"/>
        <w:jc w:val="center"/>
        <w:rPr>
          <w:rFonts w:eastAsia="黑体" w:cs="Times New Roman"/>
          <w:bCs/>
          <w:color w:val="000000"/>
          <w:sz w:val="18"/>
          <w:szCs w:val="18"/>
        </w:rPr>
      </w:pPr>
      <w:r>
        <w:rPr>
          <w:rFonts w:hint="eastAsia" w:eastAsia="黑体" w:cs="Times New Roman"/>
          <w:color w:val="000000"/>
          <w:sz w:val="18"/>
          <w:szCs w:val="18"/>
        </w:rPr>
        <w:t>(</w:t>
      </w:r>
      <w:r>
        <w:rPr>
          <w:rFonts w:eastAsia="黑体" w:cs="Times New Roman"/>
          <w:color w:val="000000"/>
          <w:sz w:val="18"/>
          <w:szCs w:val="18"/>
        </w:rPr>
        <w:t>a</w:t>
      </w:r>
      <w:r>
        <w:rPr>
          <w:rFonts w:hint="eastAsia" w:eastAsia="黑体" w:cs="Times New Roman"/>
          <w:color w:val="000000"/>
          <w:sz w:val="18"/>
          <w:szCs w:val="18"/>
        </w:rPr>
        <w:t>)</w:t>
      </w:r>
      <w:r>
        <w:rPr>
          <w:rFonts w:eastAsia="黑体" w:cs="Times New Roman"/>
          <w:color w:val="000000"/>
          <w:sz w:val="18"/>
          <w:szCs w:val="18"/>
        </w:rPr>
        <w:t xml:space="preserve"> 圆形                    </w:t>
      </w:r>
      <w:r>
        <w:rPr>
          <w:rFonts w:hint="eastAsia" w:eastAsia="黑体" w:cs="Times New Roman"/>
          <w:color w:val="000000"/>
          <w:sz w:val="18"/>
          <w:szCs w:val="18"/>
        </w:rPr>
        <w:t>(</w:t>
      </w:r>
      <w:r>
        <w:rPr>
          <w:rFonts w:eastAsia="黑体" w:cs="Times New Roman"/>
          <w:color w:val="000000"/>
          <w:sz w:val="18"/>
          <w:szCs w:val="18"/>
        </w:rPr>
        <w:t>b</w:t>
      </w:r>
      <w:r>
        <w:rPr>
          <w:rFonts w:hint="eastAsia" w:eastAsia="黑体" w:cs="Times New Roman"/>
          <w:color w:val="000000"/>
          <w:sz w:val="18"/>
          <w:szCs w:val="18"/>
        </w:rPr>
        <w:t>)</w:t>
      </w:r>
      <w:r>
        <w:rPr>
          <w:rFonts w:eastAsia="黑体" w:cs="Times New Roman"/>
          <w:color w:val="000000"/>
          <w:sz w:val="18"/>
          <w:szCs w:val="18"/>
        </w:rPr>
        <w:t xml:space="preserve"> 封闭型</w:t>
      </w:r>
    </w:p>
    <w:p>
      <w:pPr>
        <w:adjustRightInd w:val="0"/>
        <w:snapToGrid w:val="0"/>
        <w:spacing w:before="60"/>
        <w:jc w:val="center"/>
        <w:rPr>
          <w:rFonts w:eastAsia="黑体" w:cs="Times New Roman"/>
          <w:sz w:val="18"/>
          <w:szCs w:val="18"/>
        </w:rPr>
      </w:pPr>
      <w:r>
        <w:rPr>
          <w:rFonts w:eastAsia="黑体" w:cs="Times New Roman"/>
          <w:color w:val="000000"/>
          <w:sz w:val="18"/>
          <w:szCs w:val="18"/>
        </w:rPr>
        <w:t>图3.4.2 钢绞线和不锈钢绞线断面示意图</w:t>
      </w:r>
    </w:p>
    <w:p>
      <w:pPr>
        <w:adjustRightInd w:val="0"/>
        <w:snapToGrid w:val="0"/>
        <w:spacing w:before="60"/>
        <w:jc w:val="left"/>
        <w:rPr>
          <w:rFonts w:cs="Times New Roman"/>
        </w:rPr>
      </w:pPr>
      <w:r>
        <w:rPr>
          <w:rFonts w:cs="Times New Roman"/>
          <w:b/>
          <w:color w:val="000000"/>
        </w:rPr>
        <w:t>3.4.3</w:t>
      </w:r>
      <w:r>
        <w:rPr>
          <w:rFonts w:cs="Times New Roman"/>
        </w:rPr>
        <w:t>不锈钢绞线的钢丝截面可采用圆形和封闭型（图3.4.2），质量和性能应符合</w:t>
      </w:r>
      <w:r>
        <w:rPr>
          <w:rFonts w:cs="Times New Roman"/>
          <w:color w:val="000000"/>
        </w:rPr>
        <w:t>现行</w:t>
      </w:r>
      <w:r>
        <w:rPr>
          <w:rFonts w:cs="Times New Roman"/>
        </w:rPr>
        <w:t>国家标准《不锈钢钢绞线》 GB/T 25821中的规定，索体用钢丝的质量和性能应符合</w:t>
      </w:r>
      <w:r>
        <w:rPr>
          <w:rFonts w:cs="Times New Roman"/>
          <w:color w:val="000000"/>
        </w:rPr>
        <w:t>现行</w:t>
      </w:r>
      <w:r>
        <w:rPr>
          <w:rFonts w:cs="Times New Roman"/>
        </w:rPr>
        <w:t>国家标准《不锈钢丝》 GB/T 4240中的规定。</w:t>
      </w:r>
    </w:p>
    <w:p>
      <w:pPr>
        <w:adjustRightInd w:val="0"/>
        <w:snapToGrid w:val="0"/>
        <w:rPr>
          <w:rFonts w:cs="Times New Roman"/>
          <w:b/>
          <w:bCs/>
          <w:sz w:val="24"/>
        </w:rPr>
      </w:pPr>
      <w:r>
        <w:rPr>
          <w:rFonts w:cs="Times New Roman"/>
          <w:b/>
          <w:bCs/>
          <w:color w:val="000000"/>
        </w:rPr>
        <w:t xml:space="preserve">3.4.4 </w:t>
      </w:r>
      <w:r>
        <w:rPr>
          <w:rFonts w:cs="Times New Roman"/>
          <w:bCs/>
          <w:color w:val="000000"/>
        </w:rPr>
        <w:t>半平行</w:t>
      </w:r>
      <w:r>
        <w:rPr>
          <w:rFonts w:cs="Times New Roman"/>
          <w:color w:val="000000"/>
        </w:rPr>
        <w:t>钢丝束的断面构造见图3.4.4所示。</w:t>
      </w:r>
      <w:r>
        <w:rPr>
          <w:rFonts w:cs="Times New Roman"/>
          <w:bCs/>
          <w:color w:val="000000"/>
        </w:rPr>
        <w:t>半平行</w:t>
      </w:r>
      <w:r>
        <w:rPr>
          <w:rFonts w:cs="Times New Roman"/>
          <w:color w:val="000000"/>
        </w:rPr>
        <w:t>钢丝束索体用高强度钢丝的直径一般为5mm和7mm，其质量和性能应</w:t>
      </w:r>
      <w:r>
        <w:rPr>
          <w:rFonts w:cs="Times New Roman"/>
          <w:bCs/>
          <w:color w:val="000000"/>
          <w:szCs w:val="21"/>
        </w:rPr>
        <w:t>符合</w:t>
      </w:r>
      <w:r>
        <w:rPr>
          <w:rFonts w:cs="Times New Roman"/>
          <w:color w:val="000000"/>
        </w:rPr>
        <w:t>现行国家标准《桥梁缆索用热镀锌钢丝》 GB/T 17101中的规定。</w:t>
      </w:r>
    </w:p>
    <w:p>
      <w:pPr>
        <w:adjustRightInd w:val="0"/>
        <w:snapToGrid w:val="0"/>
        <w:jc w:val="center"/>
        <w:rPr>
          <w:rFonts w:cs="Times New Roman"/>
          <w:szCs w:val="21"/>
        </w:rPr>
      </w:pPr>
      <w:r>
        <w:rPr>
          <w:rFonts w:cs="Times New Roman"/>
          <w:sz w:val="18"/>
          <w:szCs w:val="18"/>
        </w:rPr>
        <w:drawing>
          <wp:inline distT="0" distB="0" distL="0" distR="0">
            <wp:extent cx="1562735" cy="1083310"/>
            <wp:effectExtent l="0" t="0" r="0" b="2540"/>
            <wp:docPr id="2" name="图片 25"/>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62735" cy="1083310"/>
                    </a:xfrm>
                    <a:prstGeom prst="rect">
                      <a:avLst/>
                    </a:prstGeom>
                    <a:noFill/>
                    <a:ln>
                      <a:noFill/>
                    </a:ln>
                  </pic:spPr>
                </pic:pic>
              </a:graphicData>
            </a:graphic>
          </wp:inline>
        </w:drawing>
      </w:r>
      <w:r>
        <w:rPr>
          <w:rFonts w:cs="Times New Roman"/>
        </w:rPr>
        <w:t xml:space="preserve"> </w:t>
      </w:r>
    </w:p>
    <w:p>
      <w:pPr>
        <w:adjustRightInd w:val="0"/>
        <w:snapToGrid w:val="0"/>
        <w:jc w:val="center"/>
        <w:rPr>
          <w:rFonts w:eastAsia="黑体" w:cs="Times New Roman"/>
          <w:sz w:val="18"/>
          <w:szCs w:val="18"/>
        </w:rPr>
      </w:pPr>
      <w:r>
        <w:rPr>
          <w:rFonts w:eastAsia="黑体" w:cs="Times New Roman"/>
          <w:sz w:val="18"/>
          <w:szCs w:val="18"/>
        </w:rPr>
        <w:t>图3.4.4 半平行钢丝束断面示意图</w:t>
      </w:r>
    </w:p>
    <w:p>
      <w:pPr>
        <w:adjustRightInd w:val="0"/>
        <w:snapToGrid w:val="0"/>
        <w:jc w:val="center"/>
        <w:rPr>
          <w:rFonts w:cs="Times New Roman"/>
          <w:sz w:val="18"/>
          <w:szCs w:val="18"/>
        </w:rPr>
      </w:pPr>
      <w:r>
        <w:rPr>
          <w:rFonts w:cs="Times New Roman"/>
          <w:sz w:val="18"/>
          <w:szCs w:val="18"/>
        </w:rPr>
        <w:t>1</w:t>
      </w:r>
      <w:r>
        <w:rPr>
          <w:rFonts w:eastAsia="黑体" w:cs="Times New Roman"/>
          <w:sz w:val="18"/>
          <w:szCs w:val="18"/>
        </w:rPr>
        <w:t>——</w:t>
      </w:r>
      <w:r>
        <w:rPr>
          <w:rFonts w:cs="Times New Roman"/>
          <w:sz w:val="18"/>
          <w:szCs w:val="18"/>
        </w:rPr>
        <w:t>钢丝；2</w:t>
      </w:r>
      <w:r>
        <w:rPr>
          <w:rFonts w:eastAsia="黑体" w:cs="Times New Roman"/>
          <w:sz w:val="18"/>
          <w:szCs w:val="18"/>
        </w:rPr>
        <w:t>——</w:t>
      </w:r>
      <w:r>
        <w:rPr>
          <w:rFonts w:cs="Times New Roman"/>
          <w:sz w:val="18"/>
          <w:szCs w:val="18"/>
        </w:rPr>
        <w:t>复合包带；3</w:t>
      </w:r>
      <w:r>
        <w:rPr>
          <w:rFonts w:eastAsia="黑体" w:cs="Times New Roman"/>
          <w:sz w:val="18"/>
          <w:szCs w:val="18"/>
        </w:rPr>
        <w:t>——</w:t>
      </w:r>
      <w:r>
        <w:rPr>
          <w:rFonts w:cs="Times New Roman"/>
          <w:sz w:val="18"/>
          <w:szCs w:val="18"/>
        </w:rPr>
        <w:t>黑色PE；4</w:t>
      </w:r>
      <w:r>
        <w:rPr>
          <w:rFonts w:eastAsia="黑体" w:cs="Times New Roman"/>
          <w:sz w:val="18"/>
          <w:szCs w:val="18"/>
        </w:rPr>
        <w:t>——</w:t>
      </w:r>
      <w:r>
        <w:rPr>
          <w:rFonts w:cs="Times New Roman"/>
          <w:sz w:val="18"/>
          <w:szCs w:val="18"/>
        </w:rPr>
        <w:t>彩色PE</w:t>
      </w:r>
    </w:p>
    <w:p>
      <w:r>
        <w:rPr>
          <w:b/>
        </w:rPr>
        <w:t>3.4.5</w:t>
      </w:r>
      <w:r>
        <w:t>钢拉杆的杆体及组件可选用碳素结构钢、优质碳素结构钢、低合金高强度结构钢、合金结构钢等材料，其牌号及化学成分、杆体材料力学性能应</w:t>
      </w:r>
      <w:r>
        <w:rPr>
          <w:rFonts w:eastAsia="宋体"/>
        </w:rPr>
        <w:t>符合国家和行业现行相关标准的</w:t>
      </w:r>
      <w:r>
        <w:t>要求。</w:t>
      </w:r>
    </w:p>
    <w:p>
      <w:pPr>
        <w:rPr>
          <w:rFonts w:cs="Times New Roman"/>
          <w:bCs/>
          <w:color w:val="000000"/>
          <w:szCs w:val="21"/>
        </w:rPr>
      </w:pPr>
      <w:r>
        <w:rPr>
          <w:rFonts w:cs="Times New Roman"/>
          <w:b/>
          <w:bCs/>
          <w:color w:val="000000"/>
          <w:szCs w:val="21"/>
        </w:rPr>
        <w:t xml:space="preserve">3.4.6 </w:t>
      </w:r>
      <w:r>
        <w:rPr>
          <w:rFonts w:cs="Times New Roman"/>
          <w:bCs/>
          <w:color w:val="000000"/>
          <w:szCs w:val="21"/>
        </w:rPr>
        <w:t>不锈钢拉杆材料</w:t>
      </w:r>
      <w:r>
        <w:rPr>
          <w:rFonts w:cs="Times New Roman"/>
          <w:color w:val="000000"/>
        </w:rPr>
        <w:t>应符合现行国家标准《不锈钢棒》 GB/T 1220的</w:t>
      </w:r>
      <w:r>
        <w:rPr>
          <w:rFonts w:cs="Times New Roman"/>
          <w:bCs/>
          <w:color w:val="000000"/>
          <w:szCs w:val="21"/>
        </w:rPr>
        <w:t>规定</w:t>
      </w:r>
      <w:r>
        <w:rPr>
          <w:rFonts w:cs="Times New Roman"/>
          <w:color w:val="000000"/>
        </w:rPr>
        <w:t>，</w:t>
      </w:r>
      <w:r>
        <w:rPr>
          <w:rFonts w:cs="Times New Roman"/>
        </w:rPr>
        <w:t>杆体力学性能应符合</w:t>
      </w:r>
      <w:r>
        <w:rPr>
          <w:rFonts w:cs="Times New Roman"/>
          <w:bCs/>
          <w:color w:val="000000"/>
          <w:szCs w:val="21"/>
        </w:rPr>
        <w:t>现行行业标准</w:t>
      </w:r>
      <w:r>
        <w:rPr>
          <w:rFonts w:cs="Times New Roman"/>
        </w:rPr>
        <w:t>《</w:t>
      </w:r>
      <w:r>
        <w:rPr>
          <w:rFonts w:cs="Times New Roman"/>
          <w:kern w:val="0"/>
          <w:szCs w:val="21"/>
          <w:shd w:val="clear" w:color="auto" w:fill="FFFFFF"/>
        </w:rPr>
        <w:t>建筑用钢质拉杆构件</w:t>
      </w:r>
      <w:r>
        <w:rPr>
          <w:rFonts w:cs="Times New Roman"/>
        </w:rPr>
        <w:t>》</w:t>
      </w:r>
      <w:r>
        <w:rPr>
          <w:rFonts w:cs="Times New Roman"/>
          <w:kern w:val="0"/>
          <w:szCs w:val="21"/>
          <w:shd w:val="clear" w:color="auto" w:fill="FFFFFF"/>
        </w:rPr>
        <w:t>JG/T 389</w:t>
      </w:r>
      <w:r>
        <w:rPr>
          <w:rFonts w:cs="Times New Roman"/>
          <w:bCs/>
          <w:color w:val="000000"/>
          <w:szCs w:val="21"/>
        </w:rPr>
        <w:t>的规定。</w:t>
      </w:r>
    </w:p>
    <w:p>
      <w:pPr>
        <w:rPr>
          <w:rFonts w:cs="Times New Roman"/>
          <w:color w:val="000000"/>
        </w:rPr>
      </w:pPr>
      <w:r>
        <w:rPr>
          <w:rFonts w:cs="Times New Roman"/>
          <w:b/>
          <w:bCs/>
          <w:color w:val="000000"/>
        </w:rPr>
        <w:t xml:space="preserve">3.4.7 </w:t>
      </w:r>
      <w:r>
        <w:rPr>
          <w:rFonts w:cs="Times New Roman"/>
          <w:bCs/>
          <w:color w:val="000000"/>
        </w:rPr>
        <w:t>索</w:t>
      </w:r>
      <w:r>
        <w:rPr>
          <w:rFonts w:cs="Times New Roman"/>
          <w:color w:val="000000"/>
        </w:rPr>
        <w:t>的弹性模量应满足表3.4.7的要求。</w:t>
      </w:r>
    </w:p>
    <w:p>
      <w:pPr>
        <w:adjustRightInd w:val="0"/>
        <w:snapToGrid w:val="0"/>
        <w:jc w:val="center"/>
        <w:rPr>
          <w:rFonts w:eastAsia="黑体" w:cs="Times New Roman"/>
          <w:color w:val="000000"/>
          <w:sz w:val="18"/>
          <w:szCs w:val="18"/>
        </w:rPr>
      </w:pPr>
      <w:r>
        <w:rPr>
          <w:rFonts w:eastAsia="黑体" w:cs="Times New Roman"/>
          <w:color w:val="000000"/>
          <w:sz w:val="18"/>
          <w:szCs w:val="18"/>
        </w:rPr>
        <w:t>表3.4.7 索的弹性模量</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gridSpan w:val="2"/>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索体</w:t>
            </w:r>
          </w:p>
        </w:tc>
        <w:tc>
          <w:tcPr>
            <w:tcW w:w="2500" w:type="pct"/>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弹性模量（N/mm</w:t>
            </w:r>
            <w:r>
              <w:rPr>
                <w:rFonts w:cs="Times New Roman"/>
                <w:color w:val="000000"/>
                <w:sz w:val="18"/>
                <w:szCs w:val="18"/>
                <w:vertAlign w:val="superscript"/>
              </w:rPr>
              <w:t>2</w:t>
            </w:r>
            <w:r>
              <w:rPr>
                <w:rFonts w:cs="Times New Roman"/>
                <w:color w:val="00000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gridSpan w:val="2"/>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半平行钢丝束</w:t>
            </w:r>
          </w:p>
        </w:tc>
        <w:tc>
          <w:tcPr>
            <w:tcW w:w="2500" w:type="pct"/>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(1.90-2.10)×10</w:t>
            </w:r>
            <w:r>
              <w:rPr>
                <w:rFonts w:cs="Times New Roman"/>
                <w:color w:val="000000"/>
                <w:sz w:val="18"/>
                <w:szCs w:val="18"/>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vMerge w:val="restart"/>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钢绞线</w:t>
            </w:r>
          </w:p>
        </w:tc>
        <w:tc>
          <w:tcPr>
            <w:tcW w:w="1250" w:type="pct"/>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圆形</w:t>
            </w:r>
          </w:p>
        </w:tc>
        <w:tc>
          <w:tcPr>
            <w:tcW w:w="2500" w:type="pct"/>
            <w:vMerge w:val="restart"/>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(1.50-1.70) ×10</w:t>
            </w:r>
            <w:r>
              <w:rPr>
                <w:rFonts w:cs="Times New Roman"/>
                <w:color w:val="000000"/>
                <w:sz w:val="18"/>
                <w:szCs w:val="18"/>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vMerge w:val="continue"/>
            <w:vAlign w:val="center"/>
          </w:tcPr>
          <w:p>
            <w:pPr>
              <w:adjustRightInd w:val="0"/>
              <w:snapToGrid w:val="0"/>
              <w:spacing w:line="240" w:lineRule="auto"/>
              <w:jc w:val="center"/>
              <w:rPr>
                <w:rFonts w:cs="Times New Roman"/>
                <w:color w:val="000000"/>
                <w:sz w:val="18"/>
                <w:szCs w:val="18"/>
              </w:rPr>
            </w:pPr>
          </w:p>
        </w:tc>
        <w:tc>
          <w:tcPr>
            <w:tcW w:w="1250" w:type="pct"/>
            <w:vAlign w:val="center"/>
          </w:tcPr>
          <w:p>
            <w:pPr>
              <w:adjustRightInd w:val="0"/>
              <w:snapToGrid w:val="0"/>
              <w:spacing w:line="240" w:lineRule="auto"/>
              <w:jc w:val="center"/>
              <w:rPr>
                <w:rFonts w:cs="Times New Roman"/>
                <w:sz w:val="18"/>
                <w:szCs w:val="18"/>
              </w:rPr>
            </w:pPr>
            <w:r>
              <w:rPr>
                <w:rFonts w:cs="Times New Roman"/>
                <w:sz w:val="18"/>
                <w:szCs w:val="18"/>
              </w:rPr>
              <w:t>封闭型</w:t>
            </w:r>
          </w:p>
        </w:tc>
        <w:tc>
          <w:tcPr>
            <w:tcW w:w="2500" w:type="pct"/>
            <w:vMerge w:val="continue"/>
            <w:vAlign w:val="center"/>
          </w:tcPr>
          <w:p>
            <w:pPr>
              <w:adjustRightInd w:val="0"/>
              <w:snapToGrid w:val="0"/>
              <w:spacing w:line="240" w:lineRule="auto"/>
              <w:jc w:val="center"/>
              <w:rPr>
                <w:rFonts w:cs="Times New Roman"/>
                <w:color w:val="00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gridSpan w:val="2"/>
            <w:vAlign w:val="center"/>
          </w:tcPr>
          <w:p>
            <w:pPr>
              <w:adjustRightInd w:val="0"/>
              <w:snapToGrid w:val="0"/>
              <w:spacing w:line="240" w:lineRule="auto"/>
              <w:jc w:val="center"/>
              <w:rPr>
                <w:rFonts w:cs="Times New Roman"/>
                <w:color w:val="000000"/>
                <w:sz w:val="18"/>
                <w:szCs w:val="18"/>
              </w:rPr>
            </w:pPr>
            <w:r>
              <w:rPr>
                <w:rFonts w:cs="Times New Roman"/>
                <w:sz w:val="18"/>
                <w:szCs w:val="18"/>
              </w:rPr>
              <w:t>钢</w:t>
            </w:r>
            <w:r>
              <w:rPr>
                <w:rFonts w:cs="Times New Roman"/>
                <w:color w:val="000000"/>
                <w:sz w:val="18"/>
                <w:szCs w:val="18"/>
              </w:rPr>
              <w:t>拉杆</w:t>
            </w:r>
          </w:p>
        </w:tc>
        <w:tc>
          <w:tcPr>
            <w:tcW w:w="2500" w:type="pct"/>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(1.96-2.16)×10</w:t>
            </w:r>
            <w:r>
              <w:rPr>
                <w:rFonts w:cs="Times New Roman"/>
                <w:color w:val="000000"/>
                <w:sz w:val="18"/>
                <w:szCs w:val="18"/>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gridSpan w:val="2"/>
            <w:vAlign w:val="center"/>
          </w:tcPr>
          <w:p>
            <w:pPr>
              <w:adjustRightInd w:val="0"/>
              <w:snapToGrid w:val="0"/>
              <w:spacing w:line="240" w:lineRule="auto"/>
              <w:jc w:val="center"/>
              <w:rPr>
                <w:rFonts w:cs="Times New Roman"/>
                <w:sz w:val="18"/>
                <w:szCs w:val="18"/>
              </w:rPr>
            </w:pPr>
            <w:r>
              <w:rPr>
                <w:rFonts w:cs="Times New Roman"/>
                <w:sz w:val="18"/>
                <w:szCs w:val="18"/>
              </w:rPr>
              <w:t>不锈钢绞线</w:t>
            </w:r>
          </w:p>
        </w:tc>
        <w:tc>
          <w:tcPr>
            <w:tcW w:w="2500" w:type="pct"/>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(1.20-1.40)×10</w:t>
            </w:r>
            <w:r>
              <w:rPr>
                <w:rFonts w:cs="Times New Roman"/>
                <w:color w:val="000000"/>
                <w:sz w:val="18"/>
                <w:szCs w:val="18"/>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gridSpan w:val="2"/>
            <w:vAlign w:val="center"/>
          </w:tcPr>
          <w:p>
            <w:pPr>
              <w:adjustRightInd w:val="0"/>
              <w:snapToGrid w:val="0"/>
              <w:spacing w:line="240" w:lineRule="auto"/>
              <w:jc w:val="center"/>
              <w:rPr>
                <w:rFonts w:cs="Times New Roman"/>
                <w:sz w:val="18"/>
                <w:szCs w:val="18"/>
              </w:rPr>
            </w:pPr>
            <w:r>
              <w:rPr>
                <w:rFonts w:cs="Times New Roman"/>
                <w:sz w:val="18"/>
                <w:szCs w:val="18"/>
              </w:rPr>
              <w:t>不锈钢拉杆</w:t>
            </w:r>
          </w:p>
        </w:tc>
        <w:tc>
          <w:tcPr>
            <w:tcW w:w="2500" w:type="pct"/>
            <w:vAlign w:val="center"/>
          </w:tcPr>
          <w:p>
            <w:pPr>
              <w:adjustRightInd w:val="0"/>
              <w:snapToGrid w:val="0"/>
              <w:spacing w:line="240" w:lineRule="auto"/>
              <w:jc w:val="center"/>
              <w:rPr>
                <w:rFonts w:cs="Times New Roman"/>
                <w:color w:val="000000"/>
                <w:sz w:val="18"/>
                <w:szCs w:val="18"/>
              </w:rPr>
            </w:pPr>
            <w:r>
              <w:rPr>
                <w:rFonts w:cs="Times New Roman"/>
                <w:color w:val="000000"/>
                <w:sz w:val="18"/>
                <w:szCs w:val="18"/>
              </w:rPr>
              <w:t>(1.95-2.00)×10</w:t>
            </w:r>
            <w:r>
              <w:rPr>
                <w:rFonts w:cs="Times New Roman"/>
                <w:color w:val="000000"/>
                <w:sz w:val="18"/>
                <w:szCs w:val="18"/>
                <w:vertAlign w:val="superscript"/>
              </w:rPr>
              <w:t>5</w:t>
            </w:r>
          </w:p>
        </w:tc>
      </w:tr>
    </w:tbl>
    <w:p>
      <w:pPr>
        <w:pStyle w:val="3"/>
        <w:spacing w:before="156" w:after="156"/>
      </w:pPr>
      <w:bookmarkStart w:id="35" w:name="_Toc152589111"/>
      <w:bookmarkStart w:id="36" w:name="_Toc524524648"/>
      <w:bookmarkStart w:id="37" w:name="_Toc152588929"/>
      <w:bookmarkStart w:id="38" w:name="_Toc152589553"/>
      <w:r>
        <w:t>3.5 锚具</w:t>
      </w:r>
      <w:bookmarkEnd w:id="35"/>
      <w:bookmarkEnd w:id="36"/>
      <w:bookmarkEnd w:id="37"/>
      <w:bookmarkEnd w:id="38"/>
    </w:p>
    <w:p>
      <w:pPr>
        <w:rPr>
          <w:bCs/>
        </w:rPr>
      </w:pPr>
      <w:r>
        <w:rPr>
          <w:rFonts w:cs="Times New Roman"/>
          <w:b/>
          <w:bCs/>
        </w:rPr>
        <w:t>3.5.1</w:t>
      </w:r>
      <w:r>
        <w:rPr>
          <w:bCs/>
        </w:rPr>
        <w:t>钢拉索的</w:t>
      </w:r>
      <w:r>
        <w:t>热铸锚锚杯的坯件可为锻件或铸件，调节套筒宜为锻件，销轴、螺杆的坯件应为锻件。采用锻件时，其材料应为优质碳素结构钢或合金结构钢，优质碳素结构钢和合金钢的技术性能应符合现行相关国家和行业标准的要求。采用铸件时，其技术性能应符合国家和行业现行相关标准的要求。</w:t>
      </w:r>
      <w:r>
        <w:rPr>
          <w:bCs/>
        </w:rPr>
        <w:t xml:space="preserve"> </w:t>
      </w:r>
    </w:p>
    <w:p>
      <w:pPr>
        <w:rPr>
          <w:bCs/>
        </w:rPr>
      </w:pPr>
      <w:r>
        <w:rPr>
          <w:rFonts w:cs="Times New Roman"/>
          <w:b/>
          <w:bCs/>
        </w:rPr>
        <w:t xml:space="preserve">3.5.2 </w:t>
      </w:r>
      <w:r>
        <w:rPr>
          <w:bCs/>
        </w:rPr>
        <w:t>不锈钢拉索</w:t>
      </w:r>
      <w:r>
        <w:rPr>
          <w:bCs/>
          <w:szCs w:val="21"/>
        </w:rPr>
        <w:t>中的不锈钢锚杯坯件宜为铸件。不锈钢销轴的坯件应为冷拉棒，其材料宜选用奥氏体型、奥氏体-铁素体型不锈钢。不锈钢拉索所采用材料的技术性能应符合</w:t>
      </w:r>
      <w:r>
        <w:t>现行相关</w:t>
      </w:r>
      <w:r>
        <w:rPr>
          <w:bCs/>
          <w:szCs w:val="21"/>
        </w:rPr>
        <w:t>国家标准的要求。</w:t>
      </w:r>
    </w:p>
    <w:p>
      <w:pPr>
        <w:rPr>
          <w:rFonts w:eastAsia="宋体"/>
        </w:rPr>
      </w:pPr>
      <w:r>
        <w:rPr>
          <w:b/>
        </w:rPr>
        <w:t>3.5.3</w:t>
      </w:r>
      <w:r>
        <w:t>钢拉杆O型或U型接头宜采用铸件或锻件，钢拉杆的调节套筒宜采用钢棒及钢管，钢</w:t>
      </w:r>
      <w:r>
        <w:rPr>
          <w:rFonts w:eastAsia="宋体"/>
        </w:rPr>
        <w:t>拉杆的销轴宜采用钢棒及锻钢件。</w:t>
      </w:r>
    </w:p>
    <w:p>
      <w:pPr>
        <w:sectPr>
          <w:pgSz w:w="11906" w:h="16838"/>
          <w:pgMar w:top="1440" w:right="1800" w:bottom="1440" w:left="1800" w:header="851" w:footer="992" w:gutter="0"/>
          <w:cols w:space="720" w:num="1"/>
          <w:docGrid w:type="lines" w:linePitch="312" w:charSpace="0"/>
        </w:sectPr>
      </w:pPr>
      <w:r>
        <w:rPr>
          <w:b/>
        </w:rPr>
        <w:t>3.5.4</w:t>
      </w:r>
      <w:r>
        <w:t>不锈钢拉杆锚具宜采用铸件，不锈钢拉杆用螺杆可采用不锈钢钢棒，铸件和钢棒的技术性能应符合现行相关国家标准的规定。</w:t>
      </w:r>
    </w:p>
    <w:p>
      <w:pPr>
        <w:pStyle w:val="2"/>
      </w:pPr>
      <w:bookmarkStart w:id="39" w:name="_Toc152589554"/>
      <w:bookmarkStart w:id="40" w:name="_Toc150008300"/>
      <w:bookmarkStart w:id="41" w:name="_Toc150008209"/>
      <w:bookmarkStart w:id="42" w:name="_Toc152588930"/>
      <w:bookmarkStart w:id="43" w:name="_Toc152589112"/>
      <w:r>
        <w:t xml:space="preserve">4 </w:t>
      </w:r>
      <w:r>
        <w:rPr>
          <w:rFonts w:hint="eastAsia"/>
        </w:rPr>
        <w:t>设计基本规定</w:t>
      </w:r>
      <w:bookmarkEnd w:id="39"/>
      <w:bookmarkEnd w:id="40"/>
      <w:bookmarkEnd w:id="41"/>
      <w:bookmarkEnd w:id="42"/>
      <w:bookmarkEnd w:id="43"/>
    </w:p>
    <w:p>
      <w:pPr>
        <w:pStyle w:val="3"/>
        <w:spacing w:before="156" w:after="156"/>
      </w:pPr>
      <w:bookmarkStart w:id="44" w:name="_Toc152589555"/>
      <w:bookmarkStart w:id="45" w:name="_Toc152589113"/>
      <w:bookmarkStart w:id="46" w:name="_Toc150008210"/>
      <w:bookmarkStart w:id="47" w:name="_Toc150008301"/>
      <w:bookmarkStart w:id="48" w:name="_Toc152588931"/>
      <w:r>
        <w:t>4.1</w:t>
      </w:r>
      <w:r>
        <w:rPr>
          <w:rFonts w:hint="eastAsia"/>
        </w:rPr>
        <w:t>设计原则</w:t>
      </w:r>
      <w:bookmarkEnd w:id="44"/>
      <w:bookmarkEnd w:id="45"/>
      <w:bookmarkEnd w:id="46"/>
      <w:bookmarkEnd w:id="47"/>
      <w:bookmarkEnd w:id="48"/>
    </w:p>
    <w:p>
      <w:r>
        <w:rPr>
          <w:b/>
        </w:rPr>
        <w:t>4.1.1</w:t>
      </w:r>
      <w:r>
        <w:t>预应力铝合金结构应采用以概率理论为基础的极限状态设计方法，用分项系数设计表达式进行计算。</w:t>
      </w:r>
    </w:p>
    <w:p>
      <w:r>
        <w:rPr>
          <w:b/>
        </w:rPr>
        <w:t>4.1.2</w:t>
      </w:r>
      <w:r>
        <w:t>预应力铝合金结构的安全等级、设计工作年限应根据现行国家标准《工程结构通用规范》GB55001确定。</w:t>
      </w:r>
    </w:p>
    <w:p>
      <w:r>
        <w:rPr>
          <w:b/>
        </w:rPr>
        <w:t>4.1.3</w:t>
      </w:r>
      <w:r>
        <w:t>预应力铝合金结构的结构形式应根据建筑造型、使用功能、边界条件、材料供应和施工条件等情况综合确定，屋盖结构宜采用轻型屋面系统。</w:t>
      </w:r>
    </w:p>
    <w:p>
      <w:pPr>
        <w:rPr>
          <w:b/>
        </w:rPr>
      </w:pPr>
      <w:r>
        <w:rPr>
          <w:b/>
        </w:rPr>
        <w:t>4.1.4</w:t>
      </w:r>
      <w:r>
        <w:t>预应力铝合金结构宜优先采用环槽铆钉连接，也可采用普通螺栓或承压型高强螺栓连接。</w:t>
      </w:r>
    </w:p>
    <w:p>
      <w:pPr>
        <w:rPr>
          <w:color w:val="FF0000"/>
        </w:rPr>
      </w:pPr>
      <w:r>
        <w:rPr>
          <w:b/>
        </w:rPr>
        <w:t>4.1.5</w:t>
      </w:r>
      <w:r>
        <w:t>预应力铝合金结构中的初始预应力值应以改善结构受力状态、提高结构承载力和刚度、保证结构的稳定性为目标确定，并应考虑施工的可行性，同时应避免预应力张拉阶段结构的过大变形。</w:t>
      </w:r>
    </w:p>
    <w:p>
      <w:r>
        <w:rPr>
          <w:b/>
        </w:rPr>
        <w:t>4.1.6</w:t>
      </w:r>
      <w:r>
        <w:t>在永久荷载控制的荷载组合及多遇地震组合作用下，预应力铝合金结构中的索不得松弛；在可变荷载控制的荷载组合作用下，结构不得因个别索的松弛而导致结构失效或影响结构正常使用功能。</w:t>
      </w:r>
    </w:p>
    <w:p>
      <w:r>
        <w:rPr>
          <w:b/>
        </w:rPr>
        <w:t>4.1.7</w:t>
      </w:r>
      <w:r>
        <w:t>对风吸力较大的预应力铝合金结构屋面，应采取加大预应力或加大屋面自重等措施，防止索的松弛。</w:t>
      </w:r>
    </w:p>
    <w:p>
      <w:r>
        <w:rPr>
          <w:b/>
        </w:rPr>
        <w:t>4.1.8</w:t>
      </w:r>
      <w:r>
        <w:t>预应力铝合金结构的设计应包括预应力施工阶段和使用阶段的各种工况组合，必要时还应包括偶然荷载作用和维修状态等特殊工况组合。</w:t>
      </w:r>
    </w:p>
    <w:p>
      <w:r>
        <w:rPr>
          <w:b/>
        </w:rPr>
        <w:t>4.1.9</w:t>
      </w:r>
      <w:r>
        <w:t>预应力铝合金结构的设计耐火极限应根据建筑的耐火等级按现行国家标准《建筑设计防火规范》GB 50016的规定确定，张拉塔架、张拉桅杆等可不考虑防火。</w:t>
      </w:r>
    </w:p>
    <w:p>
      <w:r>
        <w:rPr>
          <w:b/>
        </w:rPr>
        <w:t>4.1.10</w:t>
      </w:r>
      <w:r>
        <w:t>预应力铝合金结构中铝合金构件的抗火设计应按现行中国工程建设标准化协会标准《建筑铝合金结构防火技术规程》T/CECS756的规定执行。当预应力拉索需进行防火保护时，宜采用钢管内布索、钢管外涂敷防火涂料或者在索体外直接涂敷防火涂料保护的方法；当拉索外露的塑料护套有防火要求时，应在塑料护套中添加阻燃材料或外涂满足防火要求的特殊涂料。</w:t>
      </w:r>
    </w:p>
    <w:p>
      <w:r>
        <w:rPr>
          <w:b/>
        </w:rPr>
        <w:t>4.1.11</w:t>
      </w:r>
      <w:r>
        <w:t>预应力铝合金结构的正常使用环境温度应低于100</w:t>
      </w:r>
      <w:r>
        <w:rPr>
          <w:rFonts w:eastAsia="宋体"/>
        </w:rPr>
        <w:t>℃</w:t>
      </w:r>
      <w:r>
        <w:t>，当构件表面长期受辐射热温度达80</w:t>
      </w:r>
      <w:r>
        <w:rPr>
          <w:vertAlign w:val="superscript"/>
        </w:rPr>
        <w:t>o</w:t>
      </w:r>
      <w:r>
        <w:t>C以上时，应加隔热层或采用其他有效的防护措施。</w:t>
      </w:r>
    </w:p>
    <w:p>
      <w:pPr>
        <w:pStyle w:val="3"/>
        <w:spacing w:before="156" w:after="156"/>
      </w:pPr>
      <w:bookmarkStart w:id="49" w:name="_Toc152589556"/>
      <w:bookmarkStart w:id="50" w:name="_Toc152588932"/>
      <w:bookmarkStart w:id="51" w:name="_Toc150008211"/>
      <w:bookmarkStart w:id="52" w:name="_Toc150008302"/>
      <w:bookmarkStart w:id="53" w:name="_Toc152589114"/>
      <w:r>
        <w:t>4.2</w:t>
      </w:r>
      <w:r>
        <w:rPr>
          <w:rFonts w:hint="eastAsia"/>
        </w:rPr>
        <w:t>荷载与作用</w:t>
      </w:r>
      <w:bookmarkEnd w:id="49"/>
      <w:bookmarkEnd w:id="50"/>
      <w:bookmarkEnd w:id="51"/>
      <w:bookmarkEnd w:id="52"/>
      <w:bookmarkEnd w:id="53"/>
    </w:p>
    <w:p>
      <w:r>
        <w:rPr>
          <w:b/>
        </w:rPr>
        <w:t>4.2.1</w:t>
      </w:r>
      <w:r>
        <w:t>预应力铝合金结构设计时，荷载的标准值、分项系数、组合系数等应按现行国家标准《工程结构通用规范》GB55001、《建筑结构荷载规范》GB 50009的规定采用。其中张拉塔架和桅杆结构尚应考虑覆冰荷载，其覆冰荷载和风荷载可按现行国家标准《高耸结构设计标准》GB 50135的规定取用。</w:t>
      </w:r>
    </w:p>
    <w:p>
      <w:r>
        <w:rPr>
          <w:b/>
        </w:rPr>
        <w:t>4.2.2</w:t>
      </w:r>
      <w:r>
        <w:t>体形复杂且无相关资料参考的预应力铝合金结构，其风荷载宜通过风洞试验确定，体型较为简单时也可结合CFD数值风洞模拟确定。</w:t>
      </w:r>
    </w:p>
    <w:p>
      <w:r>
        <w:rPr>
          <w:b/>
        </w:rPr>
        <w:t>4.2.3</w:t>
      </w:r>
      <w:r>
        <w:t>预应力铝合金结构的地震作用计算应符合现行国家标准《建筑抗震设计规范》GB 50011的规定，结构的阻尼比可取</w:t>
      </w:r>
      <w:r>
        <w:rPr>
          <w:color w:val="000000" w:themeColor="text1"/>
          <w14:textFill>
            <w14:solidFill>
              <w14:schemeClr w14:val="tx1"/>
            </w14:solidFill>
          </w14:textFill>
        </w:rPr>
        <w:t>为0.02</w:t>
      </w:r>
      <w:r>
        <w:t>。张拉塔架和桅杆结构的地震作用的计算应符合现行国家标准《高耸结构设计标准》GB 50135的规定。</w:t>
      </w:r>
    </w:p>
    <w:p>
      <w:r>
        <w:rPr>
          <w:b/>
        </w:rPr>
        <w:t>4.2.4</w:t>
      </w:r>
      <w:r>
        <w:t>外露铝合金结构的温度作用</w:t>
      </w:r>
      <w:r>
        <w:rPr>
          <w:u w:val="single"/>
        </w:rPr>
        <w:t>应包含</w:t>
      </w:r>
      <w:r>
        <w:t>太阳辐射对构件的升温影响。</w:t>
      </w:r>
    </w:p>
    <w:p>
      <w:pPr>
        <w:pStyle w:val="3"/>
        <w:spacing w:before="156" w:after="156"/>
      </w:pPr>
      <w:bookmarkStart w:id="54" w:name="_Toc152589115"/>
      <w:bookmarkStart w:id="55" w:name="_Toc150008212"/>
      <w:bookmarkStart w:id="56" w:name="_Toc152588933"/>
      <w:bookmarkStart w:id="57" w:name="_Toc152589557"/>
      <w:bookmarkStart w:id="58" w:name="_Toc150008303"/>
      <w:r>
        <w:t>4.3</w:t>
      </w:r>
      <w:r>
        <w:rPr>
          <w:rFonts w:hint="eastAsia"/>
        </w:rPr>
        <w:t>结构变形</w:t>
      </w:r>
      <w:bookmarkEnd w:id="54"/>
      <w:bookmarkEnd w:id="55"/>
      <w:bookmarkEnd w:id="56"/>
      <w:bookmarkEnd w:id="57"/>
      <w:bookmarkEnd w:id="58"/>
    </w:p>
    <w:p>
      <w:r>
        <w:rPr>
          <w:b/>
        </w:rPr>
        <w:t>4.3.1</w:t>
      </w:r>
      <w:r>
        <w:t>预应力铝合金屋盖结构挠度自初始预应力状态之后不宜超过表4.3.1所列的容许值。</w:t>
      </w:r>
    </w:p>
    <w:p>
      <w:pPr>
        <w:pStyle w:val="35"/>
        <w:keepNext/>
        <w:ind w:firstLine="0" w:firstLineChars="0"/>
        <w:jc w:val="center"/>
        <w:rPr>
          <w:rFonts w:eastAsia="黑体" w:cs="Times New Roman"/>
          <w:sz w:val="18"/>
          <w:szCs w:val="18"/>
        </w:rPr>
      </w:pPr>
      <w:r>
        <w:rPr>
          <w:rFonts w:eastAsia="黑体" w:cs="Times New Roman"/>
          <w:sz w:val="18"/>
          <w:szCs w:val="18"/>
        </w:rPr>
        <w:t>表4.3.1  预应力铝合金屋盖结构挠度容许值</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48"/>
        <w:gridCol w:w="4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551" w:type="pct"/>
            <w:vAlign w:val="center"/>
          </w:tcPr>
          <w:p>
            <w:pPr>
              <w:tabs>
                <w:tab w:val="left" w:pos="4820"/>
              </w:tabs>
              <w:snapToGrid w:val="0"/>
              <w:spacing w:line="240" w:lineRule="auto"/>
              <w:jc w:val="center"/>
              <w:rPr>
                <w:rFonts w:cs="Times New Roman"/>
                <w:sz w:val="18"/>
                <w:szCs w:val="18"/>
              </w:rPr>
            </w:pPr>
            <w:r>
              <w:rPr>
                <w:rFonts w:cs="Times New Roman"/>
                <w:sz w:val="18"/>
                <w:szCs w:val="18"/>
              </w:rPr>
              <w:t>结构形式</w:t>
            </w:r>
          </w:p>
        </w:tc>
        <w:tc>
          <w:tcPr>
            <w:tcW w:w="2449" w:type="pct"/>
            <w:vAlign w:val="center"/>
          </w:tcPr>
          <w:p>
            <w:pPr>
              <w:tabs>
                <w:tab w:val="left" w:pos="4820"/>
              </w:tabs>
              <w:snapToGrid w:val="0"/>
              <w:spacing w:line="240" w:lineRule="auto"/>
              <w:jc w:val="center"/>
              <w:rPr>
                <w:rFonts w:cs="Times New Roman"/>
                <w:sz w:val="18"/>
                <w:szCs w:val="18"/>
              </w:rPr>
            </w:pPr>
            <w:r>
              <w:rPr>
                <w:rFonts w:cs="Times New Roman"/>
                <w:sz w:val="18"/>
                <w:szCs w:val="18"/>
              </w:rPr>
              <w:t>最大挠度容许值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551" w:type="pct"/>
            <w:vAlign w:val="center"/>
          </w:tcPr>
          <w:p>
            <w:pPr>
              <w:tabs>
                <w:tab w:val="left" w:pos="4820"/>
              </w:tabs>
              <w:snapToGrid w:val="0"/>
              <w:spacing w:line="240" w:lineRule="auto"/>
              <w:jc w:val="center"/>
              <w:rPr>
                <w:rFonts w:cs="Times New Roman"/>
                <w:sz w:val="18"/>
                <w:szCs w:val="18"/>
              </w:rPr>
            </w:pPr>
            <w:r>
              <w:rPr>
                <w:rFonts w:cs="Times New Roman"/>
                <w:sz w:val="18"/>
                <w:szCs w:val="18"/>
              </w:rPr>
              <w:t>网架结构</w:t>
            </w:r>
          </w:p>
        </w:tc>
        <w:tc>
          <w:tcPr>
            <w:tcW w:w="2449" w:type="pct"/>
            <w:vMerge w:val="restart"/>
            <w:vAlign w:val="center"/>
          </w:tcPr>
          <w:p>
            <w:pPr>
              <w:tabs>
                <w:tab w:val="left" w:pos="4820"/>
              </w:tabs>
              <w:snapToGrid w:val="0"/>
              <w:spacing w:line="240" w:lineRule="auto"/>
              <w:jc w:val="center"/>
              <w:rPr>
                <w:rFonts w:cs="Times New Roman"/>
                <w:sz w:val="18"/>
                <w:szCs w:val="18"/>
              </w:rPr>
            </w:pPr>
            <w:r>
              <w:rPr>
                <w:rFonts w:cs="Times New Roman"/>
                <w:sz w:val="18"/>
                <w:szCs w:val="18"/>
              </w:rPr>
              <w:t>L/250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551" w:type="pct"/>
            <w:vAlign w:val="center"/>
          </w:tcPr>
          <w:p>
            <w:pPr>
              <w:tabs>
                <w:tab w:val="left" w:pos="4820"/>
              </w:tabs>
              <w:snapToGrid w:val="0"/>
              <w:spacing w:line="240" w:lineRule="auto"/>
              <w:jc w:val="center"/>
              <w:rPr>
                <w:rFonts w:cs="Times New Roman"/>
                <w:sz w:val="18"/>
                <w:szCs w:val="18"/>
              </w:rPr>
            </w:pPr>
            <w:r>
              <w:rPr>
                <w:rFonts w:cs="Times New Roman"/>
                <w:sz w:val="18"/>
                <w:szCs w:val="18"/>
              </w:rPr>
              <w:t>梁系、桁架和拱架结构</w:t>
            </w:r>
          </w:p>
        </w:tc>
        <w:tc>
          <w:tcPr>
            <w:tcW w:w="0" w:type="auto"/>
            <w:vMerge w:val="continue"/>
            <w:vAlign w:val="center"/>
          </w:tcPr>
          <w:p>
            <w:pPr>
              <w:widowControl/>
              <w:spacing w:line="240" w:lineRule="auto"/>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551" w:type="pct"/>
            <w:vAlign w:val="center"/>
          </w:tcPr>
          <w:p>
            <w:pPr>
              <w:tabs>
                <w:tab w:val="left" w:pos="4820"/>
              </w:tabs>
              <w:snapToGrid w:val="0"/>
              <w:spacing w:line="240" w:lineRule="auto"/>
              <w:jc w:val="center"/>
              <w:rPr>
                <w:rFonts w:cs="Times New Roman"/>
                <w:sz w:val="18"/>
                <w:szCs w:val="18"/>
              </w:rPr>
            </w:pPr>
            <w:r>
              <w:rPr>
                <w:rFonts w:cs="Times New Roman"/>
                <w:sz w:val="18"/>
                <w:szCs w:val="18"/>
              </w:rPr>
              <w:t>单层网壳结构</w:t>
            </w:r>
          </w:p>
        </w:tc>
        <w:tc>
          <w:tcPr>
            <w:tcW w:w="2449" w:type="pct"/>
            <w:vAlign w:val="center"/>
          </w:tcPr>
          <w:p>
            <w:pPr>
              <w:tabs>
                <w:tab w:val="left" w:pos="4820"/>
              </w:tabs>
              <w:snapToGrid w:val="0"/>
              <w:spacing w:line="240" w:lineRule="auto"/>
              <w:jc w:val="center"/>
              <w:rPr>
                <w:rFonts w:cs="Times New Roman"/>
                <w:sz w:val="18"/>
                <w:szCs w:val="18"/>
              </w:rPr>
            </w:pPr>
            <w:r>
              <w:rPr>
                <w:rFonts w:cs="Times New Roman"/>
                <w:iCs/>
                <w:sz w:val="18"/>
                <w:szCs w:val="18"/>
              </w:rPr>
              <w:t xml:space="preserve">L </w:t>
            </w:r>
            <w:r>
              <w:rPr>
                <w:rFonts w:cs="Times New Roman"/>
                <w:sz w:val="18"/>
                <w:szCs w:val="18"/>
              </w:rPr>
              <w:t>/300（上有屋面系统时）</w:t>
            </w:r>
          </w:p>
          <w:p>
            <w:pPr>
              <w:tabs>
                <w:tab w:val="left" w:pos="4820"/>
              </w:tabs>
              <w:snapToGrid w:val="0"/>
              <w:spacing w:line="240" w:lineRule="auto"/>
              <w:jc w:val="center"/>
              <w:rPr>
                <w:rFonts w:cs="Times New Roman"/>
                <w:sz w:val="18"/>
                <w:szCs w:val="18"/>
              </w:rPr>
            </w:pPr>
            <w:r>
              <w:rPr>
                <w:rFonts w:cs="Times New Roman"/>
                <w:sz w:val="18"/>
                <w:szCs w:val="18"/>
              </w:rPr>
              <w:t>L /250（上无屋面系统时）</w:t>
            </w:r>
          </w:p>
        </w:tc>
      </w:tr>
    </w:tbl>
    <w:p>
      <w:pPr>
        <w:snapToGrid w:val="0"/>
        <w:spacing w:line="240" w:lineRule="auto"/>
        <w:rPr>
          <w:rFonts w:eastAsia="黑体" w:cs="Times New Roman"/>
          <w:sz w:val="18"/>
          <w:szCs w:val="18"/>
        </w:rPr>
      </w:pPr>
      <w:r>
        <w:rPr>
          <w:rFonts w:eastAsia="黑体" w:cs="Times New Roman"/>
          <w:sz w:val="18"/>
          <w:szCs w:val="18"/>
        </w:rPr>
        <w:t>注：</w:t>
      </w:r>
      <w:r>
        <w:rPr>
          <w:rFonts w:eastAsia="黑体" w:cs="Times New Roman"/>
          <w:i/>
          <w:iCs/>
          <w:sz w:val="18"/>
          <w:szCs w:val="18"/>
        </w:rPr>
        <w:t>L</w:t>
      </w:r>
      <w:r>
        <w:rPr>
          <w:rFonts w:eastAsia="黑体" w:cs="Times New Roman"/>
          <w:sz w:val="18"/>
          <w:szCs w:val="18"/>
        </w:rPr>
        <w:t>为预应力铝合金结构的短向跨度，悬挑结构取悬挑长度的2倍。</w:t>
      </w:r>
    </w:p>
    <w:p>
      <w:r>
        <w:rPr>
          <w:b/>
        </w:rPr>
        <w:t>4.3.2</w:t>
      </w:r>
      <w:r>
        <w:t>张拉塔架和桅杆结构的水平位移角不得大于表4.3.2的规定，单管塔的水平位移限值可略为放宽，具体限值根据各行业标准确定。</w:t>
      </w:r>
    </w:p>
    <w:p>
      <w:pPr>
        <w:pStyle w:val="35"/>
        <w:ind w:firstLine="0" w:firstLineChars="0"/>
        <w:jc w:val="center"/>
        <w:rPr>
          <w:rFonts w:eastAsia="黑体" w:cs="Times New Roman"/>
          <w:sz w:val="18"/>
          <w:szCs w:val="18"/>
        </w:rPr>
      </w:pPr>
      <w:r>
        <w:rPr>
          <w:rFonts w:eastAsia="黑体" w:cs="Times New Roman"/>
          <w:sz w:val="18"/>
          <w:szCs w:val="18"/>
        </w:rPr>
        <w:t>表4.3.2 张拉塔架和桅杆结构水平位移限值</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1551"/>
        <w:gridCol w:w="2136"/>
        <w:gridCol w:w="1779"/>
        <w:gridCol w:w="1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4" w:type="pct"/>
            <w:vMerge w:val="restart"/>
          </w:tcPr>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结构类型</w:t>
            </w:r>
          </w:p>
        </w:tc>
        <w:tc>
          <w:tcPr>
            <w:tcW w:w="2163" w:type="pct"/>
            <w:gridSpan w:val="2"/>
          </w:tcPr>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以风荷载或多遇地震为主的</w:t>
            </w:r>
          </w:p>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荷载标准组合作用下</w:t>
            </w:r>
          </w:p>
        </w:tc>
        <w:tc>
          <w:tcPr>
            <w:tcW w:w="1952" w:type="pct"/>
            <w:gridSpan w:val="2"/>
            <w:vMerge w:val="restart"/>
            <w:vAlign w:val="center"/>
          </w:tcPr>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以罕遇地震作用为主的</w:t>
            </w:r>
          </w:p>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荷载标准组合作用下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84" w:type="pct"/>
            <w:vMerge w:val="continue"/>
            <w:vAlign w:val="center"/>
          </w:tcPr>
          <w:p>
            <w:pPr>
              <w:widowControl/>
              <w:spacing w:line="240" w:lineRule="auto"/>
              <w:jc w:val="center"/>
              <w:rPr>
                <w:rFonts w:cs="Times New Roman" w:eastAsiaTheme="minorEastAsia"/>
                <w:sz w:val="18"/>
                <w:szCs w:val="18"/>
              </w:rPr>
            </w:pPr>
          </w:p>
        </w:tc>
        <w:tc>
          <w:tcPr>
            <w:tcW w:w="910" w:type="pct"/>
          </w:tcPr>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按线性分析</w:t>
            </w:r>
          </w:p>
        </w:tc>
        <w:tc>
          <w:tcPr>
            <w:tcW w:w="1253" w:type="pct"/>
          </w:tcPr>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按非线性分析</w:t>
            </w:r>
          </w:p>
        </w:tc>
        <w:tc>
          <w:tcPr>
            <w:tcW w:w="1952" w:type="pct"/>
            <w:gridSpan w:val="2"/>
            <w:vMerge w:val="continue"/>
            <w:vAlign w:val="center"/>
          </w:tcPr>
          <w:p>
            <w:pPr>
              <w:widowControl/>
              <w:spacing w:line="240" w:lineRule="auto"/>
              <w:jc w:val="center"/>
              <w:rPr>
                <w:rFonts w:cs="Times New Roman"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5" w:type="pct"/>
            <w:vMerge w:val="restart"/>
          </w:tcPr>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张拉塔架</w:t>
            </w:r>
          </w:p>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张拉桅杆</w:t>
            </w:r>
          </w:p>
        </w:tc>
        <w:tc>
          <w:tcPr>
            <w:tcW w:w="1" w:type="pct"/>
          </w:tcPr>
          <w:p>
            <w:pPr>
              <w:pStyle w:val="35"/>
              <w:spacing w:line="240" w:lineRule="auto"/>
              <w:ind w:firstLine="0" w:firstLineChars="0"/>
              <w:jc w:val="center"/>
              <w:rPr>
                <w:rFonts w:cs="Times New Roman" w:eastAsiaTheme="minorEastAsia"/>
                <w:sz w:val="18"/>
                <w:szCs w:val="18"/>
              </w:rPr>
            </w:pPr>
            <w:r>
              <w:rPr>
                <w:rFonts w:hint="eastAsia" w:ascii="宋体" w:hAnsi="宋体" w:eastAsia="宋体" w:cs="宋体"/>
                <w:sz w:val="18"/>
                <w:szCs w:val="18"/>
              </w:rPr>
              <w:t>△</w:t>
            </w:r>
            <w:r>
              <w:rPr>
                <w:rFonts w:cs="Times New Roman" w:eastAsiaTheme="minorEastAsia"/>
                <w:sz w:val="18"/>
                <w:szCs w:val="18"/>
              </w:rPr>
              <w:t>u/H</w:t>
            </w:r>
          </w:p>
        </w:tc>
        <w:tc>
          <w:tcPr>
            <w:tcW w:w="1253" w:type="pct"/>
          </w:tcPr>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1/75</w:t>
            </w:r>
          </w:p>
        </w:tc>
        <w:tc>
          <w:tcPr>
            <w:tcW w:w="1044" w:type="pct"/>
            <w:vMerge w:val="restart"/>
            <w:vAlign w:val="center"/>
          </w:tcPr>
          <w:p>
            <w:pPr>
              <w:pStyle w:val="35"/>
              <w:spacing w:line="240" w:lineRule="auto"/>
              <w:ind w:firstLine="0" w:firstLineChars="0"/>
              <w:jc w:val="center"/>
              <w:rPr>
                <w:rFonts w:cs="Times New Roman" w:eastAsiaTheme="minorEastAsia"/>
                <w:sz w:val="18"/>
                <w:szCs w:val="18"/>
              </w:rPr>
            </w:pPr>
            <w:r>
              <w:rPr>
                <w:rFonts w:hint="eastAsia" w:ascii="宋体" w:hAnsi="宋体" w:eastAsia="宋体" w:cs="宋体"/>
                <w:sz w:val="18"/>
                <w:szCs w:val="18"/>
              </w:rPr>
              <w:t>△</w:t>
            </w:r>
            <w:r>
              <w:rPr>
                <w:rFonts w:cs="Times New Roman" w:eastAsiaTheme="minorEastAsia"/>
                <w:sz w:val="18"/>
                <w:szCs w:val="18"/>
              </w:rPr>
              <w:t>v/h</w:t>
            </w:r>
          </w:p>
        </w:tc>
        <w:tc>
          <w:tcPr>
            <w:tcW w:w="908" w:type="pct"/>
            <w:vMerge w:val="restart"/>
            <w:vAlign w:val="center"/>
          </w:tcPr>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4" w:type="pct"/>
            <w:vMerge w:val="continue"/>
            <w:vAlign w:val="center"/>
          </w:tcPr>
          <w:p>
            <w:pPr>
              <w:widowControl/>
              <w:spacing w:line="240" w:lineRule="auto"/>
              <w:jc w:val="center"/>
              <w:rPr>
                <w:rFonts w:cs="Times New Roman" w:eastAsiaTheme="minorEastAsia"/>
                <w:sz w:val="18"/>
                <w:szCs w:val="18"/>
              </w:rPr>
            </w:pPr>
          </w:p>
        </w:tc>
        <w:tc>
          <w:tcPr>
            <w:tcW w:w="1" w:type="pct"/>
          </w:tcPr>
          <w:p>
            <w:pPr>
              <w:pStyle w:val="35"/>
              <w:spacing w:line="240" w:lineRule="auto"/>
              <w:ind w:firstLine="0" w:firstLineChars="0"/>
              <w:jc w:val="center"/>
              <w:rPr>
                <w:rFonts w:cs="Times New Roman" w:eastAsiaTheme="minorEastAsia"/>
                <w:sz w:val="18"/>
                <w:szCs w:val="18"/>
              </w:rPr>
            </w:pPr>
            <w:r>
              <w:rPr>
                <w:rFonts w:hint="eastAsia" w:ascii="宋体" w:hAnsi="宋体" w:eastAsia="宋体" w:cs="宋体"/>
                <w:sz w:val="18"/>
                <w:szCs w:val="18"/>
              </w:rPr>
              <w:t>△</w:t>
            </w:r>
            <w:r>
              <w:rPr>
                <w:rFonts w:cs="Times New Roman" w:eastAsiaTheme="minorEastAsia"/>
                <w:sz w:val="18"/>
                <w:szCs w:val="18"/>
              </w:rPr>
              <w:t>u’/h</w:t>
            </w:r>
          </w:p>
        </w:tc>
        <w:tc>
          <w:tcPr>
            <w:tcW w:w="1253" w:type="pct"/>
          </w:tcPr>
          <w:p>
            <w:pPr>
              <w:pStyle w:val="35"/>
              <w:spacing w:line="240" w:lineRule="auto"/>
              <w:ind w:firstLine="0" w:firstLineChars="0"/>
              <w:jc w:val="center"/>
              <w:rPr>
                <w:rFonts w:cs="Times New Roman" w:eastAsiaTheme="minorEastAsia"/>
                <w:sz w:val="18"/>
                <w:szCs w:val="18"/>
              </w:rPr>
            </w:pPr>
            <w:r>
              <w:rPr>
                <w:rFonts w:cs="Times New Roman" w:eastAsiaTheme="minorEastAsia"/>
                <w:sz w:val="18"/>
                <w:szCs w:val="18"/>
              </w:rPr>
              <w:t>1/50</w:t>
            </w:r>
          </w:p>
        </w:tc>
        <w:tc>
          <w:tcPr>
            <w:tcW w:w="1044" w:type="pct"/>
            <w:vMerge w:val="continue"/>
            <w:vAlign w:val="center"/>
          </w:tcPr>
          <w:p>
            <w:pPr>
              <w:widowControl/>
              <w:spacing w:line="240" w:lineRule="auto"/>
              <w:jc w:val="center"/>
              <w:rPr>
                <w:rFonts w:cs="Times New Roman" w:eastAsiaTheme="minorEastAsia"/>
                <w:sz w:val="18"/>
                <w:szCs w:val="18"/>
              </w:rPr>
            </w:pPr>
          </w:p>
        </w:tc>
        <w:tc>
          <w:tcPr>
            <w:tcW w:w="908" w:type="pct"/>
            <w:vMerge w:val="continue"/>
            <w:vAlign w:val="center"/>
          </w:tcPr>
          <w:p>
            <w:pPr>
              <w:widowControl/>
              <w:spacing w:line="240" w:lineRule="auto"/>
              <w:jc w:val="center"/>
              <w:rPr>
                <w:rFonts w:cs="Times New Roman" w:eastAsiaTheme="minorEastAsia"/>
                <w:sz w:val="18"/>
                <w:szCs w:val="18"/>
              </w:rPr>
            </w:pPr>
          </w:p>
        </w:tc>
      </w:tr>
    </w:tbl>
    <w:p>
      <w:pPr>
        <w:pStyle w:val="35"/>
        <w:spacing w:line="240" w:lineRule="auto"/>
        <w:ind w:firstLine="0" w:firstLineChars="0"/>
        <w:rPr>
          <w:rFonts w:eastAsia="黑体" w:cs="Times New Roman"/>
          <w:sz w:val="18"/>
          <w:szCs w:val="18"/>
        </w:rPr>
      </w:pPr>
      <w:r>
        <w:rPr>
          <w:rFonts w:eastAsia="黑体" w:cs="Times New Roman"/>
          <w:sz w:val="18"/>
          <w:szCs w:val="18"/>
        </w:rPr>
        <w:t>注：</w:t>
      </w:r>
      <w:r>
        <w:rPr>
          <w:rFonts w:hint="eastAsia" w:ascii="宋体" w:hAnsi="宋体" w:eastAsia="宋体" w:cs="宋体"/>
          <w:sz w:val="18"/>
          <w:szCs w:val="18"/>
        </w:rPr>
        <w:t>△</w:t>
      </w:r>
      <w:r>
        <w:rPr>
          <w:rFonts w:eastAsia="黑体" w:cs="Times New Roman"/>
          <w:sz w:val="18"/>
          <w:szCs w:val="18"/>
        </w:rPr>
        <w:t>u为水平位移，与分母代表的高度对应；</w:t>
      </w:r>
      <w:r>
        <w:rPr>
          <w:rFonts w:ascii="Cambria Math" w:hAnsi="Cambria Math" w:eastAsia="黑体" w:cs="Cambria Math"/>
          <w:sz w:val="18"/>
          <w:szCs w:val="18"/>
        </w:rPr>
        <w:t>△</w:t>
      </w:r>
      <w:r>
        <w:rPr>
          <w:rFonts w:eastAsia="黑体" w:cs="Times New Roman"/>
          <w:sz w:val="18"/>
          <w:szCs w:val="18"/>
        </w:rPr>
        <w:t>v为由剪切变形引起的水平位移，与分母代表的高度对应；</w:t>
      </w:r>
      <w:r>
        <w:rPr>
          <w:rFonts w:ascii="Cambria Math" w:hAnsi="Cambria Math" w:eastAsia="黑体" w:cs="Cambria Math"/>
          <w:sz w:val="18"/>
          <w:szCs w:val="18"/>
        </w:rPr>
        <w:t>△</w:t>
      </w:r>
      <w:r>
        <w:rPr>
          <w:rFonts w:eastAsia="黑体" w:cs="Times New Roman"/>
          <w:sz w:val="18"/>
          <w:szCs w:val="18"/>
        </w:rPr>
        <w:t>u′为纤绳层间水平位移差，与分母代表的高度对应；H为总高度；h对于桅杆为纤绳之间距。</w:t>
      </w:r>
    </w:p>
    <w:p>
      <w:pPr>
        <w:pStyle w:val="3"/>
        <w:spacing w:before="156" w:after="156"/>
      </w:pPr>
      <w:bookmarkStart w:id="59" w:name="_Toc150008213"/>
      <w:bookmarkStart w:id="60" w:name="_Toc150008304"/>
      <w:bookmarkStart w:id="61" w:name="_Toc152589116"/>
      <w:bookmarkStart w:id="62" w:name="_Toc152589558"/>
      <w:bookmarkStart w:id="63" w:name="_Toc152588934"/>
      <w:r>
        <w:t xml:space="preserve">4.4 </w:t>
      </w:r>
      <w:r>
        <w:rPr>
          <w:rFonts w:hint="eastAsia"/>
        </w:rPr>
        <w:t>结构分析</w:t>
      </w:r>
      <w:bookmarkEnd w:id="59"/>
      <w:bookmarkEnd w:id="60"/>
      <w:bookmarkEnd w:id="61"/>
      <w:bookmarkEnd w:id="62"/>
      <w:bookmarkEnd w:id="63"/>
    </w:p>
    <w:p>
      <w:r>
        <w:rPr>
          <w:b/>
        </w:rPr>
        <w:t>4.4.1</w:t>
      </w:r>
      <w:r>
        <w:t>预应力铝合金结构的计算模型应准确反映杆件连接和结构边界情况。</w:t>
      </w:r>
      <w:r>
        <w:rPr>
          <w:bCs/>
        </w:rPr>
        <w:t>计算时可假定索为理想柔性体，在整个工作阶段索只能受拉，不能受压和受弯。索之间及其与其它构件的连接为理想铰接。</w:t>
      </w:r>
      <w:r>
        <w:t>应考虑其与支承结构的相互影响，宜采用包含支承结构的整体模型进行分析。</w:t>
      </w:r>
    </w:p>
    <w:p>
      <w:r>
        <w:rPr>
          <w:b/>
        </w:rPr>
        <w:t>4.4.2</w:t>
      </w:r>
      <w:r>
        <w:t xml:space="preserve"> 短索的计算模型可取为两节点杆（索）单元，并将自重及索段中的外荷载等效作用于两端节点处。长索的计算模型应取为悬链线单元、多节点索单元或多段两节点索单元，将自重及索段中的外荷载作用于有限元节点处。</w:t>
      </w:r>
    </w:p>
    <w:p>
      <w:r>
        <w:rPr>
          <w:b/>
        </w:rPr>
        <w:t>4.4.3</w:t>
      </w:r>
      <w:r>
        <w:t>对承载力极限状态，</w:t>
      </w:r>
      <w:r>
        <w:rPr>
          <w:rFonts w:eastAsia="宋体"/>
        </w:rPr>
        <w:t>当预应力作用对结构有利时预应力分项系数γ</w:t>
      </w:r>
      <w:r>
        <w:rPr>
          <w:rFonts w:eastAsia="宋体"/>
          <w:i/>
          <w:vertAlign w:val="subscript"/>
        </w:rPr>
        <w:t>pt</w:t>
      </w:r>
      <w:r>
        <w:rPr>
          <w:rFonts w:eastAsia="宋体"/>
        </w:rPr>
        <w:t>应取1.0，对结构不利时γ</w:t>
      </w:r>
      <w:r>
        <w:rPr>
          <w:rFonts w:eastAsia="宋体"/>
          <w:i/>
          <w:vertAlign w:val="subscript"/>
        </w:rPr>
        <w:t>pt</w:t>
      </w:r>
      <w:r>
        <w:rPr>
          <w:rFonts w:eastAsia="宋体"/>
        </w:rPr>
        <w:t>应取1.3。</w:t>
      </w:r>
      <w:r>
        <w:t>对正常使用极限状态，</w:t>
      </w:r>
      <w:r>
        <w:rPr>
          <w:rFonts w:eastAsia="宋体"/>
        </w:rPr>
        <w:t>γ</w:t>
      </w:r>
      <w:r>
        <w:rPr>
          <w:rFonts w:eastAsia="宋体"/>
          <w:i/>
          <w:vertAlign w:val="subscript"/>
        </w:rPr>
        <w:t>pt</w:t>
      </w:r>
      <w:r>
        <w:rPr>
          <w:rFonts w:eastAsia="宋体"/>
        </w:rPr>
        <w:t>应取1.0</w:t>
      </w:r>
      <w:r>
        <w:t>。</w:t>
      </w:r>
    </w:p>
    <w:p>
      <w:r>
        <w:rPr>
          <w:b/>
        </w:rPr>
        <w:t>4.4.4</w:t>
      </w:r>
      <w:r>
        <w:t>预应力铝结构的荷载效应分析宜考虑结构的几何非线性特性，宜在初始预应力状态的基础上考虑附加永久荷载与活荷载、雪荷载、风荷载、地震作用、温度作用的效应组合，并应考虑施工工况的影响。</w:t>
      </w:r>
    </w:p>
    <w:p>
      <w:pPr>
        <w:sectPr>
          <w:pgSz w:w="11906" w:h="16838"/>
          <w:pgMar w:top="1440" w:right="1800" w:bottom="1440" w:left="1800" w:header="851" w:footer="992" w:gutter="0"/>
          <w:cols w:space="720" w:num="1"/>
          <w:docGrid w:type="lines" w:linePitch="312" w:charSpace="0"/>
        </w:sectPr>
      </w:pPr>
      <w:r>
        <w:rPr>
          <w:b/>
        </w:rPr>
        <w:t xml:space="preserve">4.4.5 </w:t>
      </w:r>
      <w:r>
        <w:t>体型较规则且刚度较大的预应力铝合金结构，可采用振型分解反应谱法进行地震效应分析。对于其它情况，应考虑预应力铝合金结构的几何非线性，采用时程分析法进行多维地震效应分析。</w:t>
      </w:r>
    </w:p>
    <w:p>
      <w:pPr>
        <w:pStyle w:val="2"/>
        <w:rPr>
          <w:sz w:val="24"/>
          <w:szCs w:val="24"/>
        </w:rPr>
      </w:pPr>
      <w:bookmarkStart w:id="64" w:name="_Hlk131085151"/>
      <w:bookmarkEnd w:id="64"/>
      <w:bookmarkStart w:id="65" w:name="_Toc152588935"/>
      <w:bookmarkStart w:id="66" w:name="_Toc152589117"/>
      <w:bookmarkStart w:id="67" w:name="_Toc152589559"/>
      <w:r>
        <w:t>5 结构体系与基本构造</w:t>
      </w:r>
      <w:bookmarkEnd w:id="65"/>
      <w:bookmarkEnd w:id="66"/>
      <w:bookmarkEnd w:id="67"/>
    </w:p>
    <w:p>
      <w:pPr>
        <w:pStyle w:val="3"/>
        <w:spacing w:before="156" w:after="156"/>
      </w:pPr>
      <w:bookmarkStart w:id="68" w:name="_Toc152589118"/>
      <w:bookmarkStart w:id="69" w:name="_Toc152589560"/>
      <w:bookmarkStart w:id="70" w:name="_Toc152588936"/>
      <w:r>
        <w:t>5.1 一般规定</w:t>
      </w:r>
      <w:bookmarkEnd w:id="68"/>
      <w:bookmarkEnd w:id="69"/>
      <w:bookmarkEnd w:id="70"/>
    </w:p>
    <w:p>
      <w:r>
        <w:rPr>
          <w:b/>
        </w:rPr>
        <w:t>5.1.1</w:t>
      </w:r>
      <w:r>
        <w:t xml:space="preserve"> 预应力铝合金结构可采用索支承结构、斜拉和吊挂结构以及张拉塔架和桅杆结构等。</w:t>
      </w:r>
    </w:p>
    <w:p>
      <w:r>
        <w:rPr>
          <w:b/>
        </w:rPr>
        <w:t>5.1.2</w:t>
      </w:r>
      <w:r>
        <w:t xml:space="preserve"> 预应力铝合金结构的索布置方案可采用直线拉索和折线拉索。</w:t>
      </w:r>
    </w:p>
    <w:p>
      <w:pPr>
        <w:pStyle w:val="3"/>
        <w:spacing w:before="156" w:after="156"/>
      </w:pPr>
      <w:bookmarkStart w:id="71" w:name="_Toc152589561"/>
      <w:bookmarkStart w:id="72" w:name="_Toc152588937"/>
      <w:bookmarkStart w:id="73" w:name="_Toc152589119"/>
      <w:r>
        <w:t>5.2 索支承铝合金结构</w:t>
      </w:r>
      <w:bookmarkEnd w:id="71"/>
      <w:bookmarkEnd w:id="72"/>
      <w:bookmarkEnd w:id="73"/>
    </w:p>
    <w:p>
      <w:r>
        <w:rPr>
          <w:b/>
          <w:bCs/>
        </w:rPr>
        <w:t xml:space="preserve">5.2.1 </w:t>
      </w:r>
      <w:r>
        <w:t>索支承铝合金结构可分为索支承平面铝合金结构和索支承空间铝合金结构两类，索支承平面铝合金结构包括索支承铝合金拱架、索支承铝合金门架、索支承铝合金桁架等，索支承空间铝合金结构包括索支承铝合金单层网格和索支承铝合金网架。</w:t>
      </w:r>
    </w:p>
    <w:p>
      <w:pPr>
        <w:rPr>
          <w:bCs/>
        </w:rPr>
      </w:pPr>
      <w:r>
        <w:rPr>
          <w:b/>
          <w:bCs/>
        </w:rPr>
        <w:t xml:space="preserve">5.2.2 </w:t>
      </w:r>
      <w:r>
        <w:t>平面支承铝合金结构的</w:t>
      </w:r>
      <w:r>
        <w:rPr>
          <w:bCs/>
        </w:rPr>
        <w:t>结构布索与构造应满足以下要求：</w:t>
      </w:r>
    </w:p>
    <w:p>
      <w:pPr>
        <w:ind w:firstLine="422" w:firstLineChars="200"/>
        <w:rPr>
          <w:b/>
          <w:bCs/>
          <w:sz w:val="18"/>
          <w:szCs w:val="18"/>
        </w:rPr>
      </w:pPr>
      <w:r>
        <w:rPr>
          <w:b/>
          <w:bCs/>
        </w:rPr>
        <w:t>1</w:t>
      </w:r>
      <w:r>
        <w:rPr>
          <w:bCs/>
        </w:rPr>
        <w:t xml:space="preserve"> 索支承拱架中的索应能承担拱架的侧推力，调整拱架截面的应力峰值。</w:t>
      </w:r>
    </w:p>
    <w:p>
      <w:pPr>
        <w:ind w:firstLine="422" w:firstLineChars="200"/>
        <w:rPr>
          <w:b/>
          <w:bCs/>
          <w:sz w:val="18"/>
          <w:szCs w:val="18"/>
        </w:rPr>
      </w:pPr>
      <w:r>
        <w:rPr>
          <w:b/>
          <w:bCs/>
          <w:szCs w:val="21"/>
        </w:rPr>
        <w:t>2</w:t>
      </w:r>
      <w:r>
        <w:rPr>
          <w:b/>
          <w:bCs/>
          <w:sz w:val="18"/>
          <w:szCs w:val="18"/>
        </w:rPr>
        <w:t xml:space="preserve"> </w:t>
      </w:r>
      <w:r>
        <w:rPr>
          <w:bCs/>
        </w:rPr>
        <w:t>索支承门架结构可采用横向布索、竖向布索、横竖向连续布索等方案。</w:t>
      </w:r>
    </w:p>
    <w:p>
      <w:pPr>
        <w:ind w:firstLine="422" w:firstLineChars="200"/>
        <w:rPr>
          <w:bCs/>
        </w:rPr>
      </w:pPr>
      <w:r>
        <w:rPr>
          <w:b/>
          <w:bCs/>
        </w:rPr>
        <w:t xml:space="preserve">3 </w:t>
      </w:r>
      <w:r>
        <w:rPr>
          <w:bCs/>
        </w:rPr>
        <w:t>索支承桁架可在桁架内或桁架外布索。在桁架内布索时可在内力较大的拉杆杆身位置布置直线或折线索，在桁架外布索时可在桁架下部采用索与撑杆与桁架形成张弦桁架。对大跨重载桁架可采用双重布索方案。</w:t>
      </w:r>
    </w:p>
    <w:p>
      <w:pPr>
        <w:rPr>
          <w:bCs/>
        </w:rPr>
      </w:pPr>
      <w:r>
        <w:rPr>
          <w:b/>
          <w:bCs/>
        </w:rPr>
        <w:t xml:space="preserve">5.2.3 </w:t>
      </w:r>
      <w:r>
        <w:rPr>
          <w:bCs/>
        </w:rPr>
        <w:t>索支承单层网格的结构形式可分为支座张拉预应力网壳、预应力交叉梁系和弦支穹顶等。</w:t>
      </w:r>
    </w:p>
    <w:p>
      <w:pPr>
        <w:ind w:firstLine="422" w:firstLineChars="200"/>
        <w:rPr>
          <w:rFonts w:eastAsia="黑体"/>
          <w:bCs/>
          <w:sz w:val="18"/>
          <w:szCs w:val="18"/>
        </w:rPr>
      </w:pPr>
      <w:r>
        <w:rPr>
          <w:b/>
          <w:bCs/>
        </w:rPr>
        <w:t>1</w:t>
      </w:r>
      <w:r>
        <w:rPr>
          <w:bCs/>
        </w:rPr>
        <w:t xml:space="preserve"> 支座张拉预应力网壳中通过在支座位置布置拉索以平衡和减小壳体的支座推力，网壳可为球面网壳、柱面网壳、双曲扁网壳和扭壳。</w:t>
      </w:r>
    </w:p>
    <w:p>
      <w:pPr>
        <w:ind w:firstLine="422" w:firstLineChars="200"/>
        <w:rPr>
          <w:rFonts w:eastAsia="黑体"/>
          <w:bCs/>
          <w:sz w:val="18"/>
          <w:szCs w:val="18"/>
        </w:rPr>
      </w:pPr>
      <w:r>
        <w:rPr>
          <w:b/>
          <w:bCs/>
        </w:rPr>
        <w:t xml:space="preserve">2 </w:t>
      </w:r>
      <w:r>
        <w:rPr>
          <w:bCs/>
        </w:rPr>
        <w:t>预应力交叉梁系是一种张弦梁体系，梁可采用双向、多向、肋环向等方式布置，预应力通过其下的索及撑杆所施加。</w:t>
      </w:r>
    </w:p>
    <w:p>
      <w:pPr>
        <w:ind w:firstLine="422" w:firstLineChars="200"/>
        <w:rPr>
          <w:rFonts w:eastAsia="黑体"/>
          <w:bCs/>
          <w:sz w:val="18"/>
          <w:szCs w:val="18"/>
        </w:rPr>
      </w:pPr>
      <w:r>
        <w:rPr>
          <w:b/>
          <w:bCs/>
        </w:rPr>
        <w:t xml:space="preserve">3 </w:t>
      </w:r>
      <w:r>
        <w:rPr>
          <w:bCs/>
        </w:rPr>
        <w:t>弦支穹顶结构体系由单层网壳、撑杆和索组成。</w:t>
      </w:r>
    </w:p>
    <w:p>
      <w:pPr>
        <w:rPr>
          <w:bCs/>
        </w:rPr>
      </w:pPr>
      <w:r>
        <w:rPr>
          <w:b/>
          <w:bCs/>
        </w:rPr>
        <w:t>5.2.4</w:t>
      </w:r>
      <w:r>
        <w:rPr>
          <w:bCs/>
        </w:rPr>
        <w:t xml:space="preserve"> 索支承网架中索的布置应符合下列规定：</w:t>
      </w:r>
    </w:p>
    <w:p>
      <w:pPr>
        <w:ind w:firstLine="422" w:firstLineChars="200"/>
        <w:rPr>
          <w:b/>
          <w:bCs/>
          <w:sz w:val="18"/>
          <w:szCs w:val="18"/>
        </w:rPr>
      </w:pPr>
      <w:r>
        <w:rPr>
          <w:b/>
          <w:bCs/>
        </w:rPr>
        <w:t>1</w:t>
      </w:r>
      <w:r>
        <w:rPr>
          <w:bCs/>
        </w:rPr>
        <w:t xml:space="preserve"> 结构剖面中可在网架高度内、外或跨越内外布置下弦水平索、折线索、设置一个或多个支撑点布索。</w:t>
      </w:r>
    </w:p>
    <w:p>
      <w:pPr>
        <w:ind w:firstLine="422" w:firstLineChars="200"/>
        <w:rPr>
          <w:rFonts w:eastAsia="黑体"/>
          <w:bCs/>
          <w:sz w:val="18"/>
          <w:szCs w:val="18"/>
        </w:rPr>
      </w:pPr>
      <w:r>
        <w:rPr>
          <w:b/>
          <w:bCs/>
        </w:rPr>
        <w:t xml:space="preserve">2 </w:t>
      </w:r>
      <w:r>
        <w:rPr>
          <w:bCs/>
        </w:rPr>
        <w:t>结构平面中索的布置方式可采用矩形、交叉式、井字式、斜向、多拉索等多种方案。</w:t>
      </w:r>
    </w:p>
    <w:p>
      <w:pPr>
        <w:pStyle w:val="3"/>
        <w:spacing w:before="156" w:after="156"/>
      </w:pPr>
      <w:bookmarkStart w:id="74" w:name="_Toc152588938"/>
      <w:bookmarkStart w:id="75" w:name="_Toc152589120"/>
      <w:bookmarkStart w:id="76" w:name="_Toc152589562"/>
      <w:r>
        <w:t>5.3 斜拉和吊挂铝合金结构</w:t>
      </w:r>
      <w:bookmarkEnd w:id="74"/>
      <w:bookmarkEnd w:id="75"/>
      <w:bookmarkEnd w:id="76"/>
    </w:p>
    <w:p>
      <w:pPr>
        <w:rPr>
          <w:rFonts w:eastAsia="黑体"/>
          <w:sz w:val="18"/>
          <w:szCs w:val="18"/>
        </w:rPr>
      </w:pPr>
      <w:r>
        <w:rPr>
          <w:b/>
        </w:rPr>
        <w:t xml:space="preserve">5.3.1 </w:t>
      </w:r>
      <w:r>
        <w:t>斜拉铝合金结构是指通过竖向支承结构和斜向拉索在上方悬拉的铝合金结构，吊挂铝合金结构是指通过水平支承结构和竖向拉索在上方悬拉的铝合金结构。</w:t>
      </w:r>
    </w:p>
    <w:p>
      <w:pPr>
        <w:rPr>
          <w:szCs w:val="24"/>
        </w:rPr>
      </w:pPr>
      <w:r>
        <w:rPr>
          <w:b/>
        </w:rPr>
        <w:t>5.3.2</w:t>
      </w:r>
      <w:r>
        <w:t xml:space="preserve"> 斜拉和吊挂铝合金结构可分为三个组成部分：竖向或水平支承结构、斜向或竖向拉索、铝合金屋盖结构。暴露于室外的支承结构主要形式有立柱、刚架、拱架和悬索等。拉索与屋盖的布索吊点应对称、均衡和均匀，拉索与屋盖平面的夹角可在25°～90°之间。</w:t>
      </w:r>
    </w:p>
    <w:p>
      <w:pPr>
        <w:rPr>
          <w:rFonts w:eastAsia="黑体"/>
          <w:sz w:val="18"/>
          <w:szCs w:val="18"/>
        </w:rPr>
      </w:pPr>
      <w:r>
        <w:rPr>
          <w:b/>
        </w:rPr>
        <w:t xml:space="preserve">5.3.3 </w:t>
      </w:r>
      <w:r>
        <w:t>斜向和竖向拉索可布置为放射式、竖琴式、扇式和星式等，铝合金屋盖结构可为单层网格、网架、桁架等。</w:t>
      </w:r>
    </w:p>
    <w:p>
      <w:pPr>
        <w:pStyle w:val="3"/>
        <w:spacing w:before="156" w:after="156"/>
      </w:pPr>
      <w:bookmarkStart w:id="77" w:name="_Toc152588939"/>
      <w:bookmarkStart w:id="78" w:name="_Toc152589121"/>
      <w:bookmarkStart w:id="79" w:name="_Toc152589563"/>
      <w:r>
        <w:t>5.4 张拉铝合金塔架和桅杆</w:t>
      </w:r>
      <w:bookmarkEnd w:id="77"/>
      <w:bookmarkEnd w:id="78"/>
      <w:bookmarkEnd w:id="79"/>
    </w:p>
    <w:p>
      <w:pPr>
        <w:rPr>
          <w:rFonts w:eastAsia="黑体"/>
          <w:sz w:val="18"/>
          <w:szCs w:val="18"/>
        </w:rPr>
      </w:pPr>
      <w:r>
        <w:rPr>
          <w:b/>
        </w:rPr>
        <w:t xml:space="preserve">5.4.1 </w:t>
      </w:r>
      <w:r>
        <w:t>张拉塔架中的塔身为自立式塔架，斜向索为塔身提供了侧向支撑和刚度。张拉桅杆中的杆身与斜拉索共同组成了抵抗外荷载的结构体系。塔身为单塔，杆身可采用单身、双身、樯式等形式。</w:t>
      </w:r>
    </w:p>
    <w:p>
      <w:pPr>
        <w:sectPr>
          <w:pgSz w:w="11906" w:h="16838"/>
          <w:pgMar w:top="1440" w:right="1800" w:bottom="1440" w:left="1800" w:header="851" w:footer="992" w:gutter="0"/>
          <w:cols w:space="720" w:num="1"/>
          <w:docGrid w:type="lines" w:linePitch="312" w:charSpace="0"/>
        </w:sectPr>
      </w:pPr>
      <w:r>
        <w:rPr>
          <w:b/>
        </w:rPr>
        <w:t xml:space="preserve">5.4.2 </w:t>
      </w:r>
      <w:r>
        <w:t>斜向索宜布置为45</w:t>
      </w:r>
      <w:r>
        <w:rPr>
          <w:vertAlign w:val="superscript"/>
        </w:rPr>
        <w:t>o</w:t>
      </w:r>
      <w:r>
        <w:t>。应通过分析比较选择塔身或杆身沿高度方向与斜向索的连接位置，斜向索可以平行布置、也可变角度布置以交于地面相近位置。斜向索与地面角度宜接近45</w:t>
      </w:r>
      <w:r>
        <w:rPr>
          <w:vertAlign w:val="superscript"/>
        </w:rPr>
        <w:t>o</w:t>
      </w:r>
      <w:r>
        <w:t>。</w:t>
      </w:r>
    </w:p>
    <w:p>
      <w:pPr>
        <w:pStyle w:val="2"/>
      </w:pPr>
      <w:bookmarkStart w:id="80" w:name="_Toc152588940"/>
      <w:bookmarkStart w:id="81" w:name="_Toc152589122"/>
      <w:bookmarkStart w:id="82" w:name="_Toc152589564"/>
      <w:r>
        <w:t>6 结构设计与计算</w:t>
      </w:r>
      <w:bookmarkEnd w:id="80"/>
      <w:bookmarkEnd w:id="81"/>
      <w:bookmarkEnd w:id="82"/>
    </w:p>
    <w:p>
      <w:pPr>
        <w:pStyle w:val="3"/>
        <w:spacing w:before="156" w:after="156"/>
      </w:pPr>
      <w:bookmarkStart w:id="83" w:name="_Toc152589123"/>
      <w:bookmarkStart w:id="84" w:name="_Toc152589565"/>
      <w:bookmarkStart w:id="85" w:name="_Toc152588941"/>
      <w:r>
        <w:t>6.1 一般规定</w:t>
      </w:r>
      <w:bookmarkEnd w:id="83"/>
      <w:bookmarkEnd w:id="84"/>
      <w:bookmarkEnd w:id="85"/>
    </w:p>
    <w:p>
      <w:pPr>
        <w:rPr>
          <w:b/>
          <w:bCs/>
        </w:rPr>
      </w:pPr>
      <w:r>
        <w:rPr>
          <w:b/>
          <w:bCs/>
        </w:rPr>
        <w:t>6.1.1</w:t>
      </w:r>
      <w:r>
        <w:t xml:space="preserve"> 预应力铝合金结构的计算应首先进行初始状态分析，以确定初始状态时的结构内力分布和对应的几何位形，结构初始状态应符合设计图纸和设计意图的要求。</w:t>
      </w:r>
    </w:p>
    <w:p>
      <w:r>
        <w:rPr>
          <w:b/>
          <w:bCs/>
        </w:rPr>
        <w:t>6.1.</w:t>
      </w:r>
      <w:r>
        <w:t xml:space="preserve">2进行结构施工过程分析时可按初始状态预张力的标准值和结构重力标准值进行计算。 </w:t>
      </w:r>
    </w:p>
    <w:p>
      <w:pPr>
        <w:rPr>
          <w:rFonts w:eastAsia="宋体"/>
          <w:kern w:val="0"/>
          <w:szCs w:val="21"/>
        </w:rPr>
      </w:pPr>
      <w:r>
        <w:rPr>
          <w:b/>
          <w:bCs/>
        </w:rPr>
        <w:t>6.1.3</w:t>
      </w:r>
      <w:r>
        <w:rPr>
          <w:bCs/>
        </w:rPr>
        <w:t xml:space="preserve"> 索在结构上的锚固节点应按铰接节点计算分析。当撑杆与折线布置的拉索连接采用滑动节点时，应考虑张拉阶段拉索预应力的摩擦力损失。索的应力松弛和预应力损失可参照现行相关标准《预应力钢结构技术标准》JGJ/T497和《</w:t>
      </w:r>
      <w:r>
        <w:rPr>
          <w:rFonts w:eastAsia="宋体"/>
          <w:kern w:val="0"/>
          <w:szCs w:val="21"/>
        </w:rPr>
        <w:t>建筑工程预应力施工规程》CECS180进行计算。</w:t>
      </w:r>
    </w:p>
    <w:p>
      <w:pPr>
        <w:rPr>
          <w:rFonts w:eastAsia="宋体"/>
          <w:bCs/>
        </w:rPr>
      </w:pPr>
      <w:r>
        <w:rPr>
          <w:rFonts w:eastAsia="宋体"/>
          <w:b/>
          <w:bCs/>
        </w:rPr>
        <w:t>6.1.4</w:t>
      </w:r>
      <w:r>
        <w:rPr>
          <w:rFonts w:eastAsia="宋体"/>
          <w:bCs/>
        </w:rPr>
        <w:t xml:space="preserve"> 预应力铝合金结构的设计应符合下列规定：</w:t>
      </w:r>
    </w:p>
    <w:p>
      <w:pPr>
        <w:rPr>
          <w:rFonts w:eastAsia="宋体"/>
          <w:bCs/>
        </w:rPr>
      </w:pPr>
      <w:r>
        <w:rPr>
          <w:rFonts w:eastAsia="宋体"/>
          <w:b/>
          <w:bCs/>
        </w:rPr>
        <w:t xml:space="preserve">1 </w:t>
      </w:r>
      <w:r>
        <w:rPr>
          <w:rFonts w:eastAsia="宋体"/>
          <w:bCs/>
        </w:rPr>
        <w:t>索支承结构中索所施加的预应力效应，应以抵抗被支承结构的竖向自重产生的效应和减小支承结构边界的水平推力为原则。</w:t>
      </w:r>
    </w:p>
    <w:p>
      <w:pPr>
        <w:rPr>
          <w:rFonts w:eastAsia="宋体"/>
          <w:bCs/>
        </w:rPr>
      </w:pPr>
      <w:r>
        <w:rPr>
          <w:rFonts w:eastAsia="宋体"/>
          <w:bCs/>
        </w:rPr>
        <w:t>2 斜拉和吊挂结构中斜拉索和吊索的预应力效应，应能使结构在预应力和自重共同作用下产生一定的预起拱、使荷载组合作用下结构的竖向变形满足现行相关标准为原则。</w:t>
      </w:r>
    </w:p>
    <w:p>
      <w:pPr>
        <w:rPr>
          <w:rFonts w:eastAsia="宋体"/>
          <w:bCs/>
        </w:rPr>
      </w:pPr>
      <w:r>
        <w:rPr>
          <w:rFonts w:eastAsia="宋体"/>
          <w:bCs/>
        </w:rPr>
        <w:t>3 预应力塔架和桅杆中索的预应力效应，应以在提供侧向刚度的同时满足塔架和桅杆的稳定性为原则。</w:t>
      </w:r>
    </w:p>
    <w:p>
      <w:pPr>
        <w:pStyle w:val="3"/>
        <w:spacing w:before="156" w:after="156"/>
        <w:rPr>
          <w:rFonts w:eastAsia="宋体"/>
          <w:kern w:val="0"/>
          <w:szCs w:val="21"/>
        </w:rPr>
      </w:pPr>
      <w:bookmarkStart w:id="86" w:name="_Toc152589566"/>
      <w:bookmarkStart w:id="87" w:name="_Toc152589124"/>
      <w:bookmarkStart w:id="88" w:name="_Toc152588942"/>
      <w:r>
        <w:t>6.2 结构设计</w:t>
      </w:r>
      <w:bookmarkEnd w:id="86"/>
      <w:bookmarkEnd w:id="87"/>
      <w:bookmarkEnd w:id="88"/>
    </w:p>
    <w:p>
      <w:r>
        <w:rPr>
          <w:b/>
        </w:rPr>
        <w:t>6.2.1</w:t>
      </w:r>
      <w:r>
        <w:t xml:space="preserve"> 预应力铝合金结构的设计应包括结构选型、布索方案选择、索预应力设计、结构体系分析与设计、结构杆件和节点设计、结构施工方案设计等。</w:t>
      </w:r>
    </w:p>
    <w:p>
      <w:r>
        <w:rPr>
          <w:b/>
        </w:rPr>
        <w:t xml:space="preserve">6.2.2 </w:t>
      </w:r>
      <w:r>
        <w:t>结构布置宜使索的轴线与结构构件形心交点重合，如无法实现时应在计算模型中考虑索轴线偏心的影响。</w:t>
      </w:r>
    </w:p>
    <w:p>
      <w:pPr>
        <w:rPr>
          <w:color w:val="000000" w:themeColor="text1"/>
          <w14:textFill>
            <w14:solidFill>
              <w14:schemeClr w14:val="tx1"/>
            </w14:solidFill>
          </w14:textFill>
        </w:rPr>
      </w:pPr>
      <w:r>
        <w:rPr>
          <w:b/>
          <w:color w:val="000000" w:themeColor="text1"/>
          <w14:textFill>
            <w14:solidFill>
              <w14:schemeClr w14:val="tx1"/>
            </w14:solidFill>
          </w14:textFill>
        </w:rPr>
        <w:t xml:space="preserve">6.2.3 </w:t>
      </w:r>
      <w:r>
        <w:rPr>
          <w:color w:val="000000" w:themeColor="text1"/>
          <w14:textFill>
            <w14:solidFill>
              <w14:schemeClr w14:val="tx1"/>
            </w14:solidFill>
          </w14:textFill>
        </w:rPr>
        <w:t>当预应力铝合金结构由平面预应力结构逐榀组成时，每榀平面结构中的索应在其垂直主惯性平面内布置、或关于其垂直主惯性平面进行对称布置，并应在结构体系的纵向布置水平和垂直支撑以确保其纵向刚度和稳定性。</w:t>
      </w:r>
    </w:p>
    <w:p>
      <w:pPr>
        <w:rPr>
          <w:color w:val="000000" w:themeColor="text1"/>
          <w14:textFill>
            <w14:solidFill>
              <w14:schemeClr w14:val="tx1"/>
            </w14:solidFill>
          </w14:textFill>
        </w:rPr>
      </w:pPr>
      <w:r>
        <w:rPr>
          <w:b/>
          <w:color w:val="000000" w:themeColor="text1"/>
          <w14:textFill>
            <w14:solidFill>
              <w14:schemeClr w14:val="tx1"/>
            </w14:solidFill>
          </w14:textFill>
        </w:rPr>
        <w:t>6.2.4</w:t>
      </w:r>
      <w:r>
        <w:rPr>
          <w:color w:val="000000" w:themeColor="text1"/>
          <w14:textFill>
            <w14:solidFill>
              <w14:schemeClr w14:val="tx1"/>
            </w14:solidFill>
          </w14:textFill>
        </w:rPr>
        <w:t xml:space="preserve"> 斜拉和吊挂铝合金结构应设置必要的防风吸构造措施确保风吸力下结构体系的刚度、强度和稳定性。当吊索穿越屋面时应有可靠有效的密封构造和防漏措施，并允许索与索孔间有相对变形的能力。</w:t>
      </w:r>
    </w:p>
    <w:p>
      <w:pPr>
        <w:rPr>
          <w:color w:val="000000" w:themeColor="text1"/>
          <w14:textFill>
            <w14:solidFill>
              <w14:schemeClr w14:val="tx1"/>
            </w14:solidFill>
          </w14:textFill>
        </w:rPr>
      </w:pPr>
      <w:r>
        <w:rPr>
          <w:b/>
          <w:color w:val="000000" w:themeColor="text1"/>
          <w14:textFill>
            <w14:solidFill>
              <w14:schemeClr w14:val="tx1"/>
            </w14:solidFill>
          </w14:textFill>
        </w:rPr>
        <w:t>6.2.5</w:t>
      </w:r>
      <w:r>
        <w:rPr>
          <w:color w:val="000000" w:themeColor="text1"/>
          <w14:textFill>
            <w14:solidFill>
              <w14:schemeClr w14:val="tx1"/>
            </w14:solidFill>
          </w14:textFill>
        </w:rPr>
        <w:t xml:space="preserve"> 张拉铝合金塔架和桅杆中索可采用重力式锚固或抗拔锚固基础，应参照现行国家标准《高耸结构设计标准》GB50135进行锚固基础的设计。有防连续倒塌要求时，地面锚固基础应采用必要的防撞措施。</w:t>
      </w:r>
    </w:p>
    <w:p>
      <w:pPr>
        <w:pStyle w:val="3"/>
        <w:spacing w:before="156" w:after="156"/>
      </w:pPr>
      <w:bookmarkStart w:id="89" w:name="_Toc152588943"/>
      <w:bookmarkStart w:id="90" w:name="_Toc152589125"/>
      <w:bookmarkStart w:id="91" w:name="_Toc152589567"/>
      <w:r>
        <w:t>6.3 结构初始状态的计算分析</w:t>
      </w:r>
      <w:bookmarkEnd w:id="89"/>
      <w:bookmarkEnd w:id="90"/>
      <w:bookmarkEnd w:id="91"/>
    </w:p>
    <w:p>
      <w:r>
        <w:rPr>
          <w:b/>
          <w:bCs/>
        </w:rPr>
        <w:t xml:space="preserve">6.3.1 </w:t>
      </w:r>
      <w:r>
        <w:t>结构初始状态计算分析时应考虑结构的自重和张拉时存在的其他恒载。</w:t>
      </w:r>
    </w:p>
    <w:p>
      <w:r>
        <w:rPr>
          <w:b/>
          <w:bCs/>
        </w:rPr>
        <w:t>6.3.2</w:t>
      </w:r>
      <w:r>
        <w:t>可采用非线性有限单元法进行初始状态的计算分析，通过设定主动索的原长、预拉力值、负温度等方法对主动索段施加预应力，对被动索应取其原长，求解得到结构的初始状态内力分布和对应的几何位形。初始状态时结构的几何位形应满足建筑设计的要求，结构的内力分布应满足工作状态下结构的安全适用性要求。</w:t>
      </w:r>
    </w:p>
    <w:p>
      <w:r>
        <w:rPr>
          <w:b/>
          <w:bCs/>
        </w:rPr>
        <w:t xml:space="preserve">6.3.3 </w:t>
      </w:r>
      <w:r>
        <w:t>当设计要求考虑初始状态拉索垂度对结构外观的影响时，可按式（6.3.3）选用拉索预张力以控制拉索的垂度。</w:t>
      </w:r>
    </w:p>
    <w:p>
      <w:pPr>
        <w:adjustRightInd w:val="0"/>
        <w:snapToGrid w:val="0"/>
        <w:spacing w:before="60"/>
        <w:jc w:val="right"/>
        <w:rPr>
          <w:rFonts w:cs="Times New Roman"/>
        </w:rPr>
      </w:pPr>
      <w:r>
        <w:rPr>
          <w:rFonts w:cs="Times New Roman"/>
          <w:position w:val="-10"/>
        </w:rPr>
        <w:object>
          <v:shape id="_x0000_i1032" o:spt="75" type="#_x0000_t75" style="height:14.2pt;width:64.9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r>
        <w:rPr>
          <w:rFonts w:cs="Times New Roman"/>
        </w:rPr>
        <w:t xml:space="preserve">                          （6.3.3）</w:t>
      </w:r>
    </w:p>
    <w:p>
      <w:pPr>
        <w:adjustRightInd w:val="0"/>
        <w:snapToGrid w:val="0"/>
        <w:spacing w:before="60"/>
        <w:rPr>
          <w:rFonts w:cs="Times New Roman"/>
        </w:rPr>
      </w:pPr>
      <w:r>
        <w:rPr>
          <w:rFonts w:cs="Times New Roman"/>
        </w:rPr>
        <w:t xml:space="preserve">式中： </w:t>
      </w:r>
      <w:r>
        <w:rPr>
          <w:rFonts w:cs="Times New Roman"/>
          <w:i/>
          <w:iCs/>
        </w:rPr>
        <w:t>W</w:t>
      </w:r>
      <w:r>
        <w:rPr>
          <w:rFonts w:cs="Times New Roman"/>
        </w:rPr>
        <w:t>——拉索自重；</w:t>
      </w:r>
    </w:p>
    <w:p>
      <w:pPr>
        <w:adjustRightInd w:val="0"/>
        <w:snapToGrid w:val="0"/>
        <w:ind w:firstLine="630" w:firstLineChars="300"/>
        <w:rPr>
          <w:rFonts w:cs="Times New Roman"/>
        </w:rPr>
      </w:pPr>
      <w:r>
        <w:rPr>
          <w:rFonts w:cs="Times New Roman"/>
          <w:position w:val="-6"/>
        </w:rPr>
        <w:object>
          <v:shape id="_x0000_i1033" o:spt="75" type="#_x0000_t75" style="height:9.45pt;width:9.45pt;" o:ole="t" filled="f" o:preferrelative="t" stroked="f" coordsize="21600,21600">
            <v:path/>
            <v:fill on="f" focussize="0,0"/>
            <v:stroke on="f" joinstyle="miter"/>
            <v:imagedata r:id="rId29" o:title=""/>
            <o:lock v:ext="edit" aspectratio="t"/>
            <w10:wrap type="none"/>
            <w10:anchorlock/>
          </v:shape>
          <o:OLEObject Type="Embed" ProgID="Equation.3" ShapeID="_x0000_i1033" DrawAspect="Content" ObjectID="_1468075733" r:id="rId28">
            <o:LockedField>false</o:LockedField>
          </o:OLEObject>
        </w:object>
      </w:r>
      <w:r>
        <w:rPr>
          <w:rFonts w:cs="Times New Roman"/>
        </w:rPr>
        <w:t>——索两节点连线与水平线的夹角；</w:t>
      </w:r>
    </w:p>
    <w:p>
      <w:pPr>
        <w:adjustRightInd w:val="0"/>
        <w:snapToGrid w:val="0"/>
        <w:ind w:firstLine="630" w:firstLineChars="300"/>
        <w:rPr>
          <w:rFonts w:cs="Times New Roman"/>
        </w:rPr>
      </w:pPr>
      <w:r>
        <w:rPr>
          <w:rFonts w:cs="Times New Roman"/>
          <w:i/>
        </w:rPr>
        <w:t>T</w:t>
      </w:r>
      <w:r>
        <w:rPr>
          <w:rFonts w:cs="Times New Roman"/>
          <w:vertAlign w:val="subscript"/>
        </w:rPr>
        <w:t>0</w:t>
      </w:r>
      <w:r>
        <w:rPr>
          <w:rFonts w:cs="Times New Roman"/>
        </w:rPr>
        <w:t>——拉索初始预张力。</w:t>
      </w:r>
    </w:p>
    <w:p>
      <w:pPr>
        <w:pStyle w:val="3"/>
        <w:spacing w:before="156" w:after="156"/>
      </w:pPr>
      <w:bookmarkStart w:id="92" w:name="_Toc524524659"/>
      <w:bookmarkStart w:id="93" w:name="_Toc152589126"/>
      <w:bookmarkStart w:id="94" w:name="_Toc152588944"/>
      <w:bookmarkStart w:id="95" w:name="_Toc152589568"/>
      <w:r>
        <w:t>6.4 结构工作状态</w:t>
      </w:r>
      <w:bookmarkEnd w:id="92"/>
      <w:r>
        <w:t>的计算分析</w:t>
      </w:r>
      <w:bookmarkEnd w:id="93"/>
      <w:bookmarkEnd w:id="94"/>
      <w:bookmarkEnd w:id="95"/>
    </w:p>
    <w:p>
      <w:r>
        <w:rPr>
          <w:b/>
        </w:rPr>
        <w:t>6.4.1</w:t>
      </w:r>
      <w:r>
        <w:t>预应力结构在工作状态的变形应满足本规程第4.3节的规定。</w:t>
      </w:r>
    </w:p>
    <w:p>
      <w:r>
        <w:rPr>
          <w:b/>
        </w:rPr>
        <w:t>6.4.2</w:t>
      </w:r>
      <w:r>
        <w:t xml:space="preserve"> 预应力铝合金结构的稳定性可采用现行国家标准《钢结构设计标准》GB50017中规定的直接分析设计法进行计算，计算时应同时考虑结构体系整体初始缺陷分布和构件初始缺陷分布。也可分别进行结构的体系整体稳定性计算和构件稳定性验算，并应符合以下规定：</w:t>
      </w:r>
    </w:p>
    <w:p>
      <w:pPr>
        <w:ind w:firstLine="422" w:firstLineChars="200"/>
      </w:pPr>
      <w:r>
        <w:rPr>
          <w:b/>
        </w:rPr>
        <w:t>1</w:t>
      </w:r>
      <w:r>
        <w:t>体系整体稳定性可参考现行行业标准《空间网格结构技术规程》 JGJ 7的规定进行计算。考虑材料和几何双非线性时,</w:t>
      </w:r>
      <w:r>
        <w:rPr>
          <w:rFonts w:eastAsia="宋体"/>
          <w:snapToGrid w:val="0"/>
        </w:rPr>
        <w:t>结构稳定极限承载力标准值与荷载标准组合的比值为结构整体稳定安全系数</w:t>
      </w:r>
      <w:r>
        <w:rPr>
          <w:rFonts w:eastAsia="宋体"/>
          <w:i/>
          <w:snapToGrid w:val="0"/>
        </w:rPr>
        <w:t>K</w:t>
      </w:r>
      <w:r>
        <w:rPr>
          <w:rFonts w:eastAsia="宋体"/>
          <w:snapToGrid w:val="0"/>
        </w:rPr>
        <w:t>，</w:t>
      </w:r>
      <w:r>
        <w:rPr>
          <w:rFonts w:eastAsia="宋体"/>
          <w:i/>
          <w:snapToGrid w:val="0"/>
        </w:rPr>
        <w:t>K</w:t>
      </w:r>
      <w:r>
        <w:rPr>
          <w:rFonts w:eastAsia="宋体"/>
          <w:snapToGrid w:val="0"/>
        </w:rPr>
        <w:t>值不应小于2.2</w:t>
      </w:r>
      <w:r>
        <w:t>。</w:t>
      </w:r>
    </w:p>
    <w:p>
      <w:pPr>
        <w:ind w:firstLine="422" w:firstLineChars="200"/>
      </w:pPr>
      <w:r>
        <w:rPr>
          <w:b/>
        </w:rPr>
        <w:t>2</w:t>
      </w:r>
      <w:r>
        <w:t>构件稳定性验算时，构件内力按几何非线性方法计算结果取用、</w:t>
      </w:r>
      <w:r>
        <w:rPr>
          <w:color w:val="000000"/>
        </w:rPr>
        <w:t>计算长度系数</w:t>
      </w:r>
      <w:r>
        <w:t>可取</w:t>
      </w:r>
      <w:r>
        <w:rPr>
          <w:color w:val="000000"/>
        </w:rPr>
        <w:t>为1.0</w:t>
      </w:r>
      <w:r>
        <w:t>。</w:t>
      </w:r>
    </w:p>
    <w:p>
      <w:r>
        <w:rPr>
          <w:b/>
        </w:rPr>
        <w:t>6.4.3</w:t>
      </w:r>
      <w:r>
        <w:t>索抗拉强度按下式设计验算：</w:t>
      </w:r>
    </w:p>
    <w:p>
      <w:pPr>
        <w:jc w:val="right"/>
        <w:rPr>
          <w:rFonts w:cs="Times New Roman"/>
          <w:color w:val="FF0000"/>
          <w:szCs w:val="21"/>
        </w:rPr>
      </w:pPr>
      <w:bookmarkStart w:id="96" w:name="OLE_LINK19"/>
      <w:r>
        <w:rPr>
          <w:rFonts w:cs="Times New Roman"/>
          <w:color w:val="000000"/>
          <w:position w:val="-24"/>
          <w:szCs w:val="21"/>
        </w:rPr>
        <w:object>
          <v:shape id="_x0000_i1034" o:spt="75" type="#_x0000_t75" style="height:30.8pt;width:49.75pt;" o:ole="t" fillcolor="#808080" filled="f" o:preferrelative="t" stroked="f" coordsize="21600,21600">
            <v:path/>
            <v:fill on="f" focussize="0,0"/>
            <v:stroke on="f" joinstyle="miter"/>
            <v:imagedata r:id="rId31" o:title=""/>
            <o:lock v:ext="edit" aspectratio="t"/>
            <w10:wrap type="none"/>
            <w10:anchorlock/>
          </v:shape>
          <o:OLEObject Type="Embed" ProgID="Equation.DSMT4" ShapeID="_x0000_i1034" DrawAspect="Content" ObjectID="_1468075734" r:id="rId30">
            <o:LockedField>false</o:LockedField>
          </o:OLEObject>
        </w:object>
      </w:r>
      <w:bookmarkEnd w:id="96"/>
      <w:r>
        <w:rPr>
          <w:rFonts w:cs="Times New Roman"/>
          <w:color w:val="FF0000"/>
          <w:szCs w:val="21"/>
        </w:rPr>
        <w:t xml:space="preserve">                          </w:t>
      </w:r>
      <w:r>
        <w:rPr>
          <w:rFonts w:cs="Times New Roman"/>
          <w:szCs w:val="21"/>
        </w:rPr>
        <w:t>（6.4.3-1）</w:t>
      </w:r>
      <w:r>
        <w:rPr>
          <w:rFonts w:cs="Times New Roman"/>
          <w:color w:val="FF0000"/>
          <w:szCs w:val="21"/>
        </w:rPr>
        <w:t xml:space="preserve"> </w:t>
      </w:r>
    </w:p>
    <w:p>
      <w:pPr>
        <w:jc w:val="right"/>
        <w:rPr>
          <w:rFonts w:cs="Times New Roman"/>
          <w:color w:val="000000"/>
          <w:position w:val="-24"/>
          <w:szCs w:val="21"/>
        </w:rPr>
      </w:pPr>
      <w:r>
        <w:rPr>
          <w:rFonts w:cs="Times New Roman"/>
          <w:color w:val="000000"/>
          <w:position w:val="-32"/>
          <w:szCs w:val="21"/>
        </w:rPr>
        <w:object>
          <v:shape id="_x0000_i1035" o:spt="75" type="#_x0000_t75" style="height:37.9pt;width:191.8pt;" o:ole="t" fillcolor="#808080" filled="f" o:preferrelative="t" stroked="f" coordsize="21600,21600">
            <v:path/>
            <v:fill on="f" focussize="0,0"/>
            <v:stroke on="f" joinstyle="miter"/>
            <v:imagedata r:id="rId33" o:title=""/>
            <o:lock v:ext="edit" aspectratio="t"/>
            <w10:wrap type="none"/>
            <w10:anchorlock/>
          </v:shape>
          <o:OLEObject Type="Embed" ProgID="Equation.DSMT4" ShapeID="_x0000_i1035" DrawAspect="Content" ObjectID="_1468075735" r:id="rId32">
            <o:LockedField>false</o:LockedField>
          </o:OLEObject>
        </w:object>
      </w:r>
      <w:r>
        <w:rPr>
          <w:rFonts w:cs="Times New Roman"/>
          <w:color w:val="000000"/>
          <w:position w:val="-24"/>
          <w:szCs w:val="21"/>
        </w:rPr>
        <w:t xml:space="preserve">               (6.4.3-2)</w:t>
      </w:r>
    </w:p>
    <w:p>
      <w:r>
        <w:t xml:space="preserve">式中： </w:t>
      </w:r>
      <w:r>
        <w:rPr>
          <w:i/>
          <w:iCs/>
        </w:rPr>
        <w:t>N</w:t>
      </w:r>
      <w:r>
        <w:rPr>
          <w:iCs/>
          <w:vertAlign w:val="subscript"/>
        </w:rPr>
        <w:t>max</w:t>
      </w:r>
      <w:r>
        <w:t>，</w:t>
      </w:r>
      <w:r>
        <w:rPr>
          <w:i/>
          <w:iCs/>
        </w:rPr>
        <w:t>N</w:t>
      </w:r>
      <w:r>
        <w:rPr>
          <w:iCs/>
          <w:vertAlign w:val="subscript"/>
        </w:rPr>
        <w:t>min</w:t>
      </w:r>
      <w:r>
        <w:t>——最大和最小索力设计值；</w:t>
      </w:r>
    </w:p>
    <w:p>
      <w:r>
        <w:t xml:space="preserve">       </w:t>
      </w:r>
      <w:r>
        <w:rPr>
          <w:i/>
        </w:rPr>
        <w:t>A</w:t>
      </w:r>
      <w:r>
        <w:t>——索截面积；</w:t>
      </w:r>
    </w:p>
    <w:p>
      <w:pPr>
        <w:rPr>
          <w:color w:val="000000" w:themeColor="text1"/>
          <w14:textFill>
            <w14:solidFill>
              <w14:schemeClr w14:val="tx1"/>
            </w14:solidFill>
          </w14:textFill>
        </w:rPr>
      </w:pPr>
      <w:r>
        <w:t xml:space="preserve">      </w:t>
      </w:r>
      <w:r>
        <w:rPr>
          <w:position w:val="-12"/>
        </w:rPr>
        <w:object>
          <v:shape id="_x0000_i1036" o:spt="75" type="#_x0000_t75" style="height:18pt;width:12.8pt;" o:ole="t" fillcolor="#808080" filled="f" o:preferrelative="t" stroked="f" coordsize="21600,21600">
            <v:path/>
            <v:fill on="f" focussize="0,0"/>
            <v:stroke on="f" joinstyle="miter"/>
            <v:imagedata r:id="rId35" o:title=""/>
            <o:lock v:ext="edit" aspectratio="t"/>
            <w10:wrap type="none"/>
            <w10:anchorlock/>
          </v:shape>
          <o:OLEObject Type="Embed" ProgID="Equation.DSMT4" ShapeID="_x0000_i1036" DrawAspect="Content" ObjectID="_1468075736" r:id="rId34">
            <o:LockedField>false</o:LockedField>
          </o:OLEObject>
        </w:object>
      </w:r>
      <w:r>
        <w:t>——索强度设计值，</w:t>
      </w:r>
      <w:r>
        <w:rPr>
          <w:position w:val="-30"/>
        </w:rPr>
        <w:object>
          <v:shape id="_x0000_i1037" o:spt="75" type="#_x0000_t75" style="height:35.05pt;width:45pt;" o:ole="t" fillcolor="#808080" filled="f" o:preferrelative="t" stroked="f" coordsize="21600,21600">
            <v:path/>
            <v:fill on="f" focussize="0,0"/>
            <v:stroke on="f" joinstyle="miter"/>
            <v:imagedata r:id="rId37" o:title=""/>
            <o:lock v:ext="edit" aspectratio="t"/>
            <w10:wrap type="none"/>
            <w10:anchorlock/>
          </v:shape>
          <o:OLEObject Type="Embed" ProgID="Equation.DSMT4" ShapeID="_x0000_i1037" DrawAspect="Content" ObjectID="_1468075737" r:id="rId36">
            <o:LockedField>false</o:LockedField>
          </o:OLEObject>
        </w:object>
      </w:r>
      <w:r>
        <w:t>；</w:t>
      </w:r>
    </w:p>
    <w:p>
      <w:pPr>
        <w:ind w:left="1470" w:leftChars="300" w:hanging="840" w:hangingChars="400"/>
        <w:rPr>
          <w:color w:val="000000" w:themeColor="text1"/>
          <w14:textFill>
            <w14:solidFill>
              <w14:schemeClr w14:val="tx1"/>
            </w14:solidFill>
          </w14:textFill>
        </w:rPr>
      </w:pPr>
      <w:r>
        <w:rPr>
          <w:position w:val="-14"/>
        </w:rPr>
        <w:object>
          <v:shape id="_x0000_i1038" o:spt="75" type="#_x0000_t75" style="height:18.95pt;width:18.95pt;" o:ole="t" fillcolor="#808080" filled="f" o:preferrelative="t" stroked="f" coordsize="21600,21600">
            <v:path/>
            <v:fill on="f" focussize="0,0"/>
            <v:stroke on="f" joinstyle="miter"/>
            <v:imagedata r:id="rId39" o:title=""/>
            <o:lock v:ext="edit" aspectratio="t"/>
            <w10:wrap type="none"/>
            <w10:anchorlock/>
          </v:shape>
          <o:OLEObject Type="Embed" ProgID="Equation.DSMT4" ShapeID="_x0000_i1038" DrawAspect="Content" ObjectID="_1468075738" r:id="rId38">
            <o:LockedField>false</o:LockedField>
          </o:OLEObject>
        </w:object>
      </w:r>
      <w:r>
        <w:rPr>
          <w:color w:val="000000" w:themeColor="text1"/>
          <w14:textFill>
            <w14:solidFill>
              <w14:schemeClr w14:val="tx1"/>
            </w14:solidFill>
          </w14:textFill>
        </w:rPr>
        <w:t>——成品拉索的破断应力（为破断荷载</w:t>
      </w:r>
      <w:r>
        <w:rPr>
          <w:i/>
          <w:color w:val="000000" w:themeColor="text1"/>
          <w14:textFill>
            <w14:solidFill>
              <w14:schemeClr w14:val="tx1"/>
            </w14:solidFill>
          </w14:textFill>
        </w:rPr>
        <w:t>P</w:t>
      </w:r>
      <w:r>
        <w:rPr>
          <w:color w:val="000000" w:themeColor="text1"/>
          <w14:textFill>
            <w14:solidFill>
              <w14:schemeClr w14:val="tx1"/>
            </w14:solidFill>
          </w14:textFill>
        </w:rPr>
        <w:t>除以等效截面积</w:t>
      </w:r>
      <w:r>
        <w:rPr>
          <w:i/>
          <w:color w:val="000000" w:themeColor="text1"/>
          <w14:textFill>
            <w14:solidFill>
              <w14:schemeClr w14:val="tx1"/>
            </w14:solidFill>
          </w14:textFill>
        </w:rPr>
        <w:t>A</w:t>
      </w:r>
      <w:r>
        <w:rPr>
          <w:color w:val="000000" w:themeColor="text1"/>
          <w14:textFill>
            <w14:solidFill>
              <w14:schemeClr w14:val="tx1"/>
            </w14:solidFill>
          </w14:textFill>
        </w:rPr>
        <w:t>），或拉杆屈服强度的标准值；</w:t>
      </w:r>
    </w:p>
    <w:p>
      <w:pPr>
        <w:ind w:firstLine="630" w:firstLineChars="300"/>
      </w:pPr>
      <w:r>
        <w:rPr>
          <w:i/>
        </w:rPr>
        <w:t>γ</w:t>
      </w:r>
      <w:r>
        <w:rPr>
          <w:vertAlign w:val="subscript"/>
        </w:rPr>
        <w:t>R</w:t>
      </w:r>
      <w:r>
        <w:t>——索的抗力分项系数，对拉索取2.0，对钢拉杆取1.7，对不锈钢拉杆取1.4。</w:t>
      </w:r>
    </w:p>
    <w:p>
      <w:r>
        <w:rPr>
          <w:b/>
          <w:bCs/>
        </w:rPr>
        <w:t>6.4.4</w:t>
      </w:r>
      <w:r>
        <w:t xml:space="preserve"> 在永久荷载控制的荷载组合作用下，正常使用工作状态时拉索的相对垂度宜满足以下规定：</w:t>
      </w:r>
    </w:p>
    <w:p>
      <w:pPr>
        <w:jc w:val="right"/>
      </w:pPr>
      <w:r>
        <w:rPr>
          <w:position w:val="-22"/>
        </w:rPr>
        <w:object>
          <v:shape id="_x0000_i1039" o:spt="75" type="#_x0000_t75" style="height:27.95pt;width:38.35pt;" o:ole="t" filled="f" o:preferrelative="t" stroked="f" coordsize="21600,21600">
            <v:path/>
            <v:fill on="f" focussize="0,0"/>
            <v:stroke on="f" joinstyle="miter"/>
            <v:imagedata r:id="rId41" o:title=""/>
            <o:lock v:ext="edit" aspectratio="t"/>
            <w10:wrap type="none"/>
            <w10:anchorlock/>
          </v:shape>
          <o:OLEObject Type="Embed" ProgID="Equation.3" ShapeID="_x0000_i1039" DrawAspect="Content" ObjectID="_1468075739" r:id="rId40">
            <o:LockedField>false</o:LockedField>
          </o:OLEObject>
        </w:object>
      </w:r>
      <w:r>
        <w:t xml:space="preserve">                           （6.4.4）</w:t>
      </w:r>
    </w:p>
    <w:p>
      <w:r>
        <w:t>式中：</w:t>
      </w:r>
      <w:r>
        <w:rPr>
          <w:i/>
        </w:rPr>
        <w:t>δ</w:t>
      </w:r>
      <w:r>
        <w:t>——索跨中最大竖向垂度；</w:t>
      </w:r>
    </w:p>
    <w:p>
      <w:pPr>
        <w:ind w:firstLine="630" w:firstLineChars="300"/>
      </w:pPr>
      <w:r>
        <w:rPr>
          <w:i/>
        </w:rPr>
        <w:t>L</w:t>
      </w:r>
      <w:r>
        <w:t>——索的长度。</w:t>
      </w:r>
    </w:p>
    <w:p>
      <w:pPr>
        <w:rPr>
          <w:rFonts w:cs="Times New Roman"/>
          <w:szCs w:val="21"/>
        </w:rPr>
      </w:pPr>
      <w:r>
        <w:rPr>
          <w:rFonts w:cs="Times New Roman"/>
          <w:b/>
          <w:bCs/>
          <w:szCs w:val="21"/>
        </w:rPr>
        <w:t xml:space="preserve">6.4.5 </w:t>
      </w:r>
      <w:r>
        <w:rPr>
          <w:rFonts w:cs="Times New Roman"/>
          <w:szCs w:val="21"/>
        </w:rPr>
        <w:t>除拉索外的其它构件应按现行国家和行业相关标准进行验算。</w:t>
      </w:r>
    </w:p>
    <w:p>
      <w:pPr>
        <w:pStyle w:val="3"/>
        <w:spacing w:before="156" w:after="156"/>
      </w:pPr>
      <w:bookmarkStart w:id="97" w:name="_Toc152588945"/>
      <w:bookmarkStart w:id="98" w:name="_Toc152589127"/>
      <w:bookmarkStart w:id="99" w:name="_Toc152589569"/>
      <w:r>
        <w:t>6.5 结构施工过程的计算分析</w:t>
      </w:r>
      <w:bookmarkEnd w:id="97"/>
      <w:bookmarkEnd w:id="98"/>
      <w:bookmarkEnd w:id="99"/>
    </w:p>
    <w:p>
      <w:r>
        <w:rPr>
          <w:b/>
        </w:rPr>
        <w:t>6.5.1</w:t>
      </w:r>
      <w:r>
        <w:t xml:space="preserve"> 应采用几何非线性方法进行结构的正向施工张拉过程计算与分析，设定的施工步骤必须准确反映结构施工张拉时主动索分级分批的张拉过程、结构体系和边界条件的变化等。</w:t>
      </w:r>
    </w:p>
    <w:p>
      <w:pPr>
        <w:rPr>
          <w:rFonts w:eastAsia="宋体"/>
          <w:bCs/>
        </w:rPr>
      </w:pPr>
      <w:r>
        <w:rPr>
          <w:rFonts w:eastAsia="宋体"/>
          <w:b/>
          <w:bCs/>
        </w:rPr>
        <w:t xml:space="preserve">6.5.2 </w:t>
      </w:r>
      <w:r>
        <w:rPr>
          <w:rFonts w:eastAsia="宋体"/>
          <w:bCs/>
        </w:rPr>
        <w:t>应在预应力铝合金结构的每个施工张拉步骤进行结构体系和构件的稳定性、构件和节点强度、结构体系变形等验算，并进行临时支撑结构体系、张拉工装、临时固定钢丝绳、下部支承结构等的验算。</w:t>
      </w:r>
    </w:p>
    <w:p>
      <w:pPr>
        <w:rPr>
          <w:rFonts w:eastAsia="宋体"/>
          <w:bCs/>
        </w:rPr>
        <w:sectPr>
          <w:pgSz w:w="11906" w:h="16838"/>
          <w:pgMar w:top="1440" w:right="1800" w:bottom="1440" w:left="1800" w:header="851" w:footer="992" w:gutter="0"/>
          <w:cols w:space="720" w:num="1"/>
          <w:docGrid w:type="lines" w:linePitch="312" w:charSpace="0"/>
        </w:sectPr>
      </w:pPr>
      <w:r>
        <w:rPr>
          <w:rFonts w:eastAsia="宋体"/>
          <w:b/>
          <w:bCs/>
        </w:rPr>
        <w:t xml:space="preserve">6.5.3 </w:t>
      </w:r>
      <w:r>
        <w:rPr>
          <w:rFonts w:eastAsia="宋体"/>
          <w:bCs/>
        </w:rPr>
        <w:t>预应力铝合金结构施工过程分析所得的结构张拉完成后的内力分布和几何位形与设计初始状态计算结果之间的偏差应在设计所规定的范围内，结构特征点的标高、结构最大索力和内力的相对误差不宜大于5%。</w:t>
      </w:r>
    </w:p>
    <w:p>
      <w:pPr>
        <w:pStyle w:val="2"/>
      </w:pPr>
      <w:bookmarkStart w:id="100" w:name="_Toc152589570"/>
      <w:bookmarkStart w:id="101" w:name="_Toc152589128"/>
      <w:bookmarkStart w:id="102" w:name="_Toc152588946"/>
      <w:bookmarkStart w:id="103" w:name="_Toc129952260"/>
      <w:bookmarkStart w:id="104" w:name="_Toc129952172"/>
      <w:r>
        <w:t>7.节点设计与构造</w:t>
      </w:r>
      <w:bookmarkEnd w:id="100"/>
      <w:bookmarkEnd w:id="101"/>
      <w:bookmarkEnd w:id="102"/>
      <w:bookmarkEnd w:id="103"/>
      <w:bookmarkEnd w:id="104"/>
    </w:p>
    <w:p>
      <w:pPr>
        <w:pStyle w:val="3"/>
        <w:spacing w:before="156" w:after="156"/>
      </w:pPr>
      <w:bookmarkStart w:id="105" w:name="_TOC_250018"/>
      <w:bookmarkEnd w:id="105"/>
      <w:bookmarkStart w:id="106" w:name="_Toc152589571"/>
      <w:bookmarkStart w:id="107" w:name="_Toc152588947"/>
      <w:bookmarkStart w:id="108" w:name="_Toc152589129"/>
      <w:r>
        <w:t>7.1一般规定</w:t>
      </w:r>
      <w:bookmarkEnd w:id="106"/>
      <w:bookmarkEnd w:id="107"/>
      <w:bookmarkEnd w:id="108"/>
    </w:p>
    <w:p>
      <w:r>
        <w:rPr>
          <w:b/>
        </w:rPr>
        <w:t xml:space="preserve">7.1.1 </w:t>
      </w:r>
      <w:r>
        <w:t>预应力铝合金结构中索、撑杆可通过钢转接构件与其他铝合金构件进行连接，也可通过钢耳板组件直接连接于铝合金结构。</w:t>
      </w:r>
    </w:p>
    <w:p>
      <w:r>
        <w:rPr>
          <w:b/>
        </w:rPr>
        <w:t>7.1.2</w:t>
      </w:r>
      <w:r>
        <w:t xml:space="preserve"> 预应力铝合金结构中铝合金构件之间的连接应满足现行国家标准《铝合金结构设计规范》GB50429的要求，索、撑杆与钢结构构件的连接应满足现行行业标准《预应力钢结构技术标准》JGJ/T497的要求。</w:t>
      </w:r>
    </w:p>
    <w:p>
      <w:pPr>
        <w:rPr>
          <w:strike/>
        </w:rPr>
      </w:pPr>
      <w:r>
        <w:rPr>
          <w:b/>
        </w:rPr>
        <w:t xml:space="preserve">7.1.3 </w:t>
      </w:r>
      <w:r>
        <w:t>节点的外形应符合建筑设计的要求，节点构造应考虑美观要求。</w:t>
      </w:r>
    </w:p>
    <w:p>
      <w:pPr>
        <w:rPr>
          <w:strike/>
        </w:rPr>
      </w:pPr>
      <w:r>
        <w:rPr>
          <w:b/>
        </w:rPr>
        <w:t>7.1.4</w:t>
      </w:r>
      <w:r>
        <w:t>节点构造设计应力求简单，传力路径明确，便于制作和安装，结构的节点构造应与结构计算模型相符。</w:t>
      </w:r>
    </w:p>
    <w:p>
      <w:pPr>
        <w:rPr>
          <w:b/>
        </w:rPr>
      </w:pPr>
      <w:r>
        <w:rPr>
          <w:b/>
        </w:rPr>
        <w:t>7.1.5</w:t>
      </w:r>
      <w:r>
        <w:t>铝合金构件之间、与钢构件（撑杆）之间的连接件应采用螺栓或环槽铆钉。直接承受索拉力作用的钢耳板组件中板件之间的焊缝质量等级应为一级。</w:t>
      </w:r>
    </w:p>
    <w:p>
      <w:pPr>
        <w:pStyle w:val="3"/>
        <w:spacing w:before="156" w:after="156"/>
      </w:pPr>
      <w:bookmarkStart w:id="109" w:name="_Toc152588948"/>
      <w:bookmarkStart w:id="110" w:name="_Toc152589572"/>
      <w:bookmarkStart w:id="111" w:name="_Toc152589130"/>
      <w:r>
        <w:t>7.2 铝合金构件与其他构件的连接</w:t>
      </w:r>
      <w:bookmarkEnd w:id="109"/>
      <w:bookmarkEnd w:id="110"/>
      <w:bookmarkEnd w:id="111"/>
    </w:p>
    <w:p>
      <w:r>
        <w:rPr>
          <w:b/>
        </w:rPr>
        <w:t>7.2.1</w:t>
      </w:r>
      <w:r>
        <w:t xml:space="preserve"> 铝合金构件与钢转接构件之间的连接应采用节点板与螺栓或环槽铆钉进行连接，铝合金与钢结构材料之间应采用隔离垫片，见图7.2.1。</w:t>
      </w:r>
    </w:p>
    <w:p>
      <w:pPr>
        <w:pStyle w:val="35"/>
        <w:adjustRightInd w:val="0"/>
        <w:snapToGrid w:val="0"/>
        <w:spacing w:before="50"/>
        <w:ind w:left="720" w:firstLine="0" w:firstLineChars="0"/>
        <w:jc w:val="center"/>
        <w:rPr>
          <w:rFonts w:cs="Times New Roman"/>
          <w:bCs/>
          <w:sz w:val="15"/>
          <w:szCs w:val="15"/>
        </w:rPr>
      </w:pPr>
      <w:r>
        <w:rPr>
          <w:rFonts w:cs="Times New Roman"/>
          <w:sz w:val="15"/>
          <w:szCs w:val="15"/>
        </w:rPr>
        <w:drawing>
          <wp:inline distT="0" distB="0" distL="0" distR="0">
            <wp:extent cx="1524000" cy="10318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524000" cy="1032387"/>
                    </a:xfrm>
                    <a:prstGeom prst="rect">
                      <a:avLst/>
                    </a:prstGeom>
                    <a:noFill/>
                    <a:ln>
                      <a:noFill/>
                    </a:ln>
                  </pic:spPr>
                </pic:pic>
              </a:graphicData>
            </a:graphic>
          </wp:inline>
        </w:drawing>
      </w:r>
    </w:p>
    <w:p>
      <w:pPr>
        <w:pStyle w:val="35"/>
        <w:adjustRightInd w:val="0"/>
        <w:snapToGrid w:val="0"/>
        <w:spacing w:before="50"/>
        <w:ind w:left="720" w:firstLine="1050" w:firstLineChars="700"/>
        <w:rPr>
          <w:rFonts w:cs="Times New Roman"/>
          <w:bCs/>
          <w:sz w:val="15"/>
          <w:szCs w:val="15"/>
        </w:rPr>
      </w:pPr>
      <w:r>
        <w:rPr>
          <w:rFonts w:cs="Times New Roman"/>
          <w:bCs/>
          <w:sz w:val="15"/>
          <w:szCs w:val="15"/>
        </w:rPr>
        <w:t>1-钢转接构件  2-钢耳板  3-索  4-节点板  5-隔离垫片  6-铝合金构件  7-环槽柳钉</w:t>
      </w:r>
    </w:p>
    <w:p>
      <w:pPr>
        <w:adjustRightInd w:val="0"/>
        <w:snapToGrid w:val="0"/>
        <w:spacing w:before="50"/>
        <w:jc w:val="center"/>
        <w:rPr>
          <w:rFonts w:eastAsia="黑体" w:cs="Times New Roman"/>
          <w:sz w:val="18"/>
          <w:szCs w:val="18"/>
        </w:rPr>
      </w:pPr>
      <w:r>
        <w:rPr>
          <w:rFonts w:eastAsia="黑体" w:cs="Times New Roman"/>
          <w:sz w:val="18"/>
          <w:szCs w:val="18"/>
        </w:rPr>
        <w:t>图7.2.1 铝合金构件与钢转接构件的连接</w:t>
      </w:r>
    </w:p>
    <w:p>
      <w:r>
        <w:rPr>
          <w:b/>
        </w:rPr>
        <w:t>7.2.2</w:t>
      </w:r>
      <w:r>
        <w:rPr>
          <w:bCs/>
        </w:rPr>
        <w:t>索、</w:t>
      </w:r>
      <w:r>
        <w:t>撑杆与矩形截面及H形截面铝合金构件通过钢耳板组件连接的节点见图7.2.2所示。其中，端板与铝合金构件之间应采用螺栓或环槽铆钉连接，接触面应设置隔离垫片。</w:t>
      </w:r>
      <w:bookmarkStart w:id="364" w:name="_GoBack"/>
      <w:bookmarkEnd w:id="364"/>
    </w:p>
    <w:p>
      <w:pPr>
        <w:adjustRightInd w:val="0"/>
        <w:snapToGrid w:val="0"/>
        <w:spacing w:before="50"/>
        <w:jc w:val="center"/>
        <w:rPr>
          <w:rFonts w:cs="Times New Roman"/>
          <w:szCs w:val="21"/>
        </w:rPr>
      </w:pPr>
      <w:r>
        <w:rPr>
          <w:rFonts w:cs="Times New Roman"/>
          <w:szCs w:val="21"/>
        </w:rPr>
        <w:drawing>
          <wp:inline distT="0" distB="0" distL="0" distR="0">
            <wp:extent cx="1428750" cy="11525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428750" cy="1152525"/>
                    </a:xfrm>
                    <a:prstGeom prst="rect">
                      <a:avLst/>
                    </a:prstGeom>
                    <a:noFill/>
                    <a:ln>
                      <a:noFill/>
                    </a:ln>
                  </pic:spPr>
                </pic:pic>
              </a:graphicData>
            </a:graphic>
          </wp:inline>
        </w:drawing>
      </w:r>
      <w:r>
        <w:rPr>
          <w:rFonts w:cs="Times New Roman"/>
          <w:szCs w:val="21"/>
        </w:rPr>
        <w:t xml:space="preserve">        </w:t>
      </w:r>
      <w:r>
        <w:rPr>
          <w:rFonts w:cs="Times New Roman"/>
          <w:szCs w:val="21"/>
        </w:rPr>
        <w:drawing>
          <wp:inline distT="0" distB="0" distL="0" distR="0">
            <wp:extent cx="2061210" cy="1082040"/>
            <wp:effectExtent l="0" t="0" r="152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61210" cy="1082040"/>
                    </a:xfrm>
                    <a:prstGeom prst="rect">
                      <a:avLst/>
                    </a:prstGeom>
                    <a:noFill/>
                    <a:ln>
                      <a:noFill/>
                    </a:ln>
                  </pic:spPr>
                </pic:pic>
              </a:graphicData>
            </a:graphic>
          </wp:inline>
        </w:drawing>
      </w:r>
    </w:p>
    <w:p>
      <w:pPr>
        <w:pStyle w:val="8"/>
        <w:jc w:val="center"/>
        <w:rPr>
          <w:rFonts w:hint="eastAsia" w:cs="Times New Roman" w:eastAsiaTheme="minorEastAsia"/>
          <w:b/>
          <w:bCs/>
          <w:color w:val="C00000"/>
          <w:szCs w:val="21"/>
          <w:lang w:eastAsia="zh-CN"/>
        </w:rPr>
      </w:pPr>
      <w:r>
        <w:rPr>
          <w:rFonts w:hint="eastAsia" w:cs="Times New Roman"/>
          <w:b/>
          <w:bCs/>
          <w:color w:val="C00000"/>
          <w:szCs w:val="21"/>
          <w:lang w:val="en-US" w:eastAsia="zh-CN"/>
        </w:rPr>
        <w:t xml:space="preserve">                           </w:t>
      </w:r>
    </w:p>
    <w:p>
      <w:pPr>
        <w:pStyle w:val="35"/>
        <w:adjustRightInd w:val="0"/>
        <w:snapToGrid w:val="0"/>
        <w:spacing w:before="50"/>
        <w:ind w:left="720" w:firstLine="1050" w:firstLineChars="700"/>
        <w:rPr>
          <w:rFonts w:cs="Times New Roman"/>
          <w:bCs/>
          <w:sz w:val="15"/>
          <w:szCs w:val="15"/>
        </w:rPr>
      </w:pPr>
      <w:r>
        <w:rPr>
          <w:rFonts w:cs="Times New Roman"/>
          <w:bCs/>
          <w:sz w:val="15"/>
          <w:szCs w:val="15"/>
        </w:rPr>
        <w:t>1-钢转接构件  2-钢耳板  3-索  4-节点板  5-隔离垫板  6-铝结构  7-环槽柳钉</w:t>
      </w:r>
    </w:p>
    <w:p>
      <w:pPr>
        <w:adjustRightInd w:val="0"/>
        <w:snapToGrid w:val="0"/>
        <w:spacing w:before="50"/>
        <w:jc w:val="center"/>
        <w:rPr>
          <w:rFonts w:cs="Times New Roman"/>
          <w:bCs/>
          <w:sz w:val="18"/>
          <w:szCs w:val="18"/>
        </w:rPr>
      </w:pPr>
      <w:r>
        <w:rPr>
          <w:rFonts w:hint="eastAsia" w:cs="Times New Roman"/>
          <w:bCs/>
          <w:sz w:val="18"/>
          <w:szCs w:val="18"/>
        </w:rPr>
        <w:t>(</w:t>
      </w:r>
      <w:r>
        <w:rPr>
          <w:rFonts w:cs="Times New Roman"/>
          <w:bCs/>
          <w:sz w:val="18"/>
          <w:szCs w:val="18"/>
        </w:rPr>
        <w:t>a</w:t>
      </w:r>
      <w:r>
        <w:rPr>
          <w:rFonts w:hint="eastAsia" w:cs="Times New Roman"/>
          <w:bCs/>
          <w:sz w:val="18"/>
          <w:szCs w:val="18"/>
        </w:rPr>
        <w:t>)</w:t>
      </w:r>
      <w:r>
        <w:rPr>
          <w:rFonts w:cs="Times New Roman"/>
          <w:bCs/>
          <w:sz w:val="18"/>
          <w:szCs w:val="18"/>
        </w:rPr>
        <w:t xml:space="preserve"> 索、撑杆与矩形截面铝合金构件的连接节点</w:t>
      </w:r>
    </w:p>
    <w:p>
      <w:pPr>
        <w:pStyle w:val="35"/>
        <w:adjustRightInd w:val="0"/>
        <w:snapToGrid w:val="0"/>
        <w:spacing w:before="50"/>
        <w:ind w:left="720" w:firstLine="0" w:firstLineChars="0"/>
        <w:jc w:val="center"/>
        <w:rPr>
          <w:rFonts w:cs="Times New Roman"/>
          <w:bCs/>
          <w:sz w:val="15"/>
          <w:szCs w:val="15"/>
        </w:rPr>
      </w:pPr>
      <w:r>
        <w:rPr>
          <w:rFonts w:cs="Times New Roman"/>
          <w:sz w:val="15"/>
          <w:szCs w:val="15"/>
        </w:rPr>
        <w:drawing>
          <wp:inline distT="0" distB="0" distL="0" distR="0">
            <wp:extent cx="2238375" cy="19812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238375" cy="1981200"/>
                    </a:xfrm>
                    <a:prstGeom prst="rect">
                      <a:avLst/>
                    </a:prstGeom>
                    <a:noFill/>
                    <a:ln>
                      <a:noFill/>
                    </a:ln>
                  </pic:spPr>
                </pic:pic>
              </a:graphicData>
            </a:graphic>
          </wp:inline>
        </w:drawing>
      </w:r>
      <w:r>
        <w:rPr>
          <w:rFonts w:cs="Times New Roman"/>
          <w:bCs/>
          <w:sz w:val="15"/>
          <w:szCs w:val="15"/>
        </w:rPr>
        <w:t xml:space="preserve">       </w:t>
      </w:r>
      <w:r>
        <w:rPr>
          <w:rFonts w:cs="Times New Roman"/>
          <w:sz w:val="15"/>
          <w:szCs w:val="15"/>
        </w:rPr>
        <w:drawing>
          <wp:inline distT="0" distB="0" distL="0" distR="0">
            <wp:extent cx="2228850" cy="1981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228850" cy="1981200"/>
                    </a:xfrm>
                    <a:prstGeom prst="rect">
                      <a:avLst/>
                    </a:prstGeom>
                    <a:noFill/>
                    <a:ln>
                      <a:noFill/>
                    </a:ln>
                  </pic:spPr>
                </pic:pic>
              </a:graphicData>
            </a:graphic>
          </wp:inline>
        </w:drawing>
      </w:r>
    </w:p>
    <w:p>
      <w:pPr>
        <w:adjustRightInd w:val="0"/>
        <w:snapToGrid w:val="0"/>
        <w:spacing w:before="50"/>
        <w:jc w:val="center"/>
        <w:rPr>
          <w:rFonts w:cs="Times New Roman"/>
          <w:bCs/>
          <w:color w:val="000000" w:themeColor="text1"/>
          <w:sz w:val="18"/>
          <w:szCs w:val="18"/>
          <w14:textFill>
            <w14:solidFill>
              <w14:schemeClr w14:val="tx1"/>
            </w14:solidFill>
          </w14:textFill>
        </w:rPr>
      </w:pPr>
      <w:r>
        <w:rPr>
          <w:rFonts w:hint="eastAsia" w:cs="Times New Roman"/>
          <w:bCs/>
          <w:color w:val="000000" w:themeColor="text1"/>
          <w:sz w:val="18"/>
          <w:szCs w:val="18"/>
          <w14:textFill>
            <w14:solidFill>
              <w14:schemeClr w14:val="tx1"/>
            </w14:solidFill>
          </w14:textFill>
        </w:rPr>
        <w:t>(</w:t>
      </w:r>
      <w:r>
        <w:rPr>
          <w:rFonts w:cs="Times New Roman"/>
          <w:bCs/>
          <w:color w:val="000000" w:themeColor="text1"/>
          <w:sz w:val="18"/>
          <w:szCs w:val="18"/>
          <w14:textFill>
            <w14:solidFill>
              <w14:schemeClr w14:val="tx1"/>
            </w14:solidFill>
          </w14:textFill>
        </w:rPr>
        <w:t>b</w:t>
      </w:r>
      <w:r>
        <w:rPr>
          <w:rFonts w:hint="eastAsia" w:cs="Times New Roman"/>
          <w:bCs/>
          <w:color w:val="000000" w:themeColor="text1"/>
          <w:sz w:val="18"/>
          <w:szCs w:val="18"/>
          <w14:textFill>
            <w14:solidFill>
              <w14:schemeClr w14:val="tx1"/>
            </w14:solidFill>
          </w14:textFill>
        </w:rPr>
        <w:t>)</w:t>
      </w:r>
      <w:r>
        <w:rPr>
          <w:rFonts w:cs="Times New Roman"/>
          <w:bCs/>
          <w:color w:val="000000" w:themeColor="text1"/>
          <w:sz w:val="18"/>
          <w:szCs w:val="18"/>
          <w14:textFill>
            <w14:solidFill>
              <w14:schemeClr w14:val="tx1"/>
            </w14:solidFill>
          </w14:textFill>
        </w:rPr>
        <w:t xml:space="preserve"> 撑杆与H型截面铝合金构件的连接节点</w:t>
      </w:r>
    </w:p>
    <w:p>
      <w:pPr>
        <w:adjustRightInd w:val="0"/>
        <w:snapToGrid w:val="0"/>
        <w:spacing w:before="50"/>
        <w:jc w:val="center"/>
        <w:rPr>
          <w:rFonts w:eastAsia="黑体" w:cs="Times New Roman"/>
          <w:bCs/>
          <w:sz w:val="18"/>
          <w:szCs w:val="18"/>
        </w:rPr>
      </w:pPr>
      <w:r>
        <w:rPr>
          <w:rFonts w:eastAsia="黑体" w:cs="Times New Roman"/>
          <w:bCs/>
          <w:sz w:val="18"/>
          <w:szCs w:val="18"/>
        </w:rPr>
        <w:t>图7.2.2 索和撑杆与铝合金构件的连接</w:t>
      </w:r>
    </w:p>
    <w:p>
      <w:r>
        <w:rPr>
          <w:b/>
        </w:rPr>
        <w:t>7.2.3</w:t>
      </w:r>
      <w:r>
        <w:t xml:space="preserve"> 普通螺栓、高强螺栓和环槽铆钉孔径允许偏差应符合表7.2.3-1</w:t>
      </w:r>
      <w:r>
        <w:rPr>
          <w:rFonts w:eastAsia="华文楷体"/>
        </w:rPr>
        <w:t>~</w:t>
      </w:r>
      <w:r>
        <w:t>表7.2.3-3的要求。</w:t>
      </w:r>
    </w:p>
    <w:p>
      <w:pPr>
        <w:adjustRightInd w:val="0"/>
        <w:snapToGrid w:val="0"/>
        <w:jc w:val="center"/>
        <w:rPr>
          <w:rFonts w:eastAsia="微软雅黑" w:cs="Times New Roman"/>
          <w:sz w:val="18"/>
          <w:szCs w:val="18"/>
        </w:rPr>
      </w:pPr>
      <w:r>
        <w:rPr>
          <w:rFonts w:eastAsia="微软雅黑" w:cs="Times New Roman"/>
          <w:sz w:val="18"/>
          <w:szCs w:val="18"/>
        </w:rPr>
        <w:t>表7.2.3-1 普通螺栓孔径允许偏差(mm)</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500" w:type="pct"/>
            <w:tcBorders>
              <w:top w:val="single" w:color="auto" w:sz="8" w:space="0"/>
              <w:left w:val="single" w:color="auto" w:sz="8" w:space="0"/>
              <w:bottom w:val="single" w:color="auto" w:sz="4"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螺栓公称直径</w:t>
            </w:r>
          </w:p>
        </w:tc>
        <w:tc>
          <w:tcPr>
            <w:tcW w:w="2500" w:type="pct"/>
            <w:tcBorders>
              <w:top w:val="single" w:color="auto" w:sz="8" w:space="0"/>
              <w:left w:val="single" w:color="auto" w:sz="4" w:space="0"/>
              <w:bottom w:val="single" w:color="auto" w:sz="4"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允许偏差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10</w:t>
            </w:r>
            <w:r>
              <w:rPr>
                <w:rFonts w:eastAsia="华文楷体" w:cs="Times New Roman"/>
                <w:sz w:val="18"/>
                <w:szCs w:val="18"/>
              </w:rPr>
              <w:t>~</w:t>
            </w:r>
            <w:r>
              <w:rPr>
                <w:rFonts w:eastAsia="宋体" w:cs="Times New Roman"/>
                <w:sz w:val="18"/>
                <w:szCs w:val="18"/>
              </w:rPr>
              <w:t>18</w:t>
            </w:r>
          </w:p>
        </w:tc>
        <w:tc>
          <w:tcPr>
            <w:tcW w:w="2500" w:type="pct"/>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+0.18</w:t>
            </w:r>
          </w:p>
          <w:p>
            <w:pPr>
              <w:adjustRightInd w:val="0"/>
              <w:snapToGrid w:val="0"/>
              <w:spacing w:line="240" w:lineRule="auto"/>
              <w:jc w:val="center"/>
              <w:rPr>
                <w:rFonts w:eastAsia="宋体" w:cs="Times New Roman"/>
                <w:sz w:val="18"/>
                <w:szCs w:val="18"/>
              </w:rPr>
            </w:pPr>
            <w:r>
              <w:rPr>
                <w:rFonts w:eastAsia="宋体" w:cs="Times New Roman"/>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18</w:t>
            </w:r>
            <w:r>
              <w:rPr>
                <w:rFonts w:eastAsia="华文楷体" w:cs="Times New Roman"/>
                <w:sz w:val="18"/>
                <w:szCs w:val="18"/>
              </w:rPr>
              <w:t>~30</w:t>
            </w:r>
          </w:p>
        </w:tc>
        <w:tc>
          <w:tcPr>
            <w:tcW w:w="2500" w:type="pct"/>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+0.21</w:t>
            </w:r>
          </w:p>
          <w:p>
            <w:pPr>
              <w:adjustRightInd w:val="0"/>
              <w:snapToGrid w:val="0"/>
              <w:spacing w:line="240" w:lineRule="auto"/>
              <w:jc w:val="center"/>
              <w:rPr>
                <w:rFonts w:eastAsia="宋体" w:cs="Times New Roman"/>
                <w:sz w:val="18"/>
                <w:szCs w:val="18"/>
              </w:rPr>
            </w:pPr>
            <w:r>
              <w:rPr>
                <w:rFonts w:eastAsia="宋体" w:cs="Times New Roman"/>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single" w:color="auto" w:sz="4" w:space="0"/>
              <w:left w:val="single" w:color="auto" w:sz="8" w:space="0"/>
              <w:bottom w:val="single" w:color="auto" w:sz="8"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30</w:t>
            </w:r>
            <w:r>
              <w:rPr>
                <w:rFonts w:eastAsia="华文楷体" w:cs="Times New Roman"/>
                <w:sz w:val="18"/>
                <w:szCs w:val="18"/>
              </w:rPr>
              <w:t>~</w:t>
            </w:r>
            <w:r>
              <w:rPr>
                <w:rFonts w:eastAsia="宋体" w:cs="Times New Roman"/>
                <w:sz w:val="18"/>
                <w:szCs w:val="18"/>
              </w:rPr>
              <w:t>50</w:t>
            </w:r>
          </w:p>
        </w:tc>
        <w:tc>
          <w:tcPr>
            <w:tcW w:w="2500" w:type="pct"/>
            <w:tcBorders>
              <w:top w:val="single" w:color="auto" w:sz="4" w:space="0"/>
              <w:left w:val="single" w:color="auto" w:sz="4" w:space="0"/>
              <w:bottom w:val="single" w:color="auto" w:sz="8"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+0.25</w:t>
            </w:r>
          </w:p>
          <w:p>
            <w:pPr>
              <w:adjustRightInd w:val="0"/>
              <w:snapToGrid w:val="0"/>
              <w:spacing w:line="240" w:lineRule="auto"/>
              <w:jc w:val="center"/>
              <w:rPr>
                <w:rFonts w:eastAsia="宋体" w:cs="Times New Roman"/>
                <w:sz w:val="18"/>
                <w:szCs w:val="18"/>
              </w:rPr>
            </w:pPr>
            <w:r>
              <w:rPr>
                <w:rFonts w:eastAsia="宋体" w:cs="Times New Roman"/>
                <w:sz w:val="18"/>
                <w:szCs w:val="18"/>
              </w:rPr>
              <w:t>0.00</w:t>
            </w:r>
          </w:p>
        </w:tc>
      </w:tr>
    </w:tbl>
    <w:p>
      <w:pPr>
        <w:adjustRightInd w:val="0"/>
        <w:snapToGrid w:val="0"/>
        <w:jc w:val="center"/>
        <w:rPr>
          <w:rFonts w:eastAsia="微软雅黑" w:cs="Times New Roman"/>
          <w:sz w:val="18"/>
          <w:szCs w:val="18"/>
        </w:rPr>
      </w:pPr>
      <w:r>
        <w:rPr>
          <w:rFonts w:eastAsia="微软雅黑" w:cs="Times New Roman"/>
          <w:sz w:val="18"/>
          <w:szCs w:val="18"/>
        </w:rPr>
        <w:t>表7.2.3-2 高强螺栓孔径允许偏差(mm)</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500" w:type="pct"/>
            <w:tcBorders>
              <w:top w:val="single" w:color="auto" w:sz="8" w:space="0"/>
              <w:left w:val="single" w:color="auto" w:sz="8" w:space="0"/>
              <w:bottom w:val="single" w:color="auto" w:sz="4"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高强螺栓公称直径</w:t>
            </w:r>
          </w:p>
        </w:tc>
        <w:tc>
          <w:tcPr>
            <w:tcW w:w="2500" w:type="pct"/>
            <w:tcBorders>
              <w:top w:val="single" w:color="auto" w:sz="8" w:space="0"/>
              <w:left w:val="single" w:color="auto" w:sz="4" w:space="0"/>
              <w:bottom w:val="single" w:color="auto" w:sz="4"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允许偏差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M12、M16</w:t>
            </w:r>
          </w:p>
        </w:tc>
        <w:tc>
          <w:tcPr>
            <w:tcW w:w="2500" w:type="pct"/>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+0.43</w:t>
            </w:r>
          </w:p>
          <w:p>
            <w:pPr>
              <w:adjustRightInd w:val="0"/>
              <w:snapToGrid w:val="0"/>
              <w:spacing w:line="240" w:lineRule="auto"/>
              <w:jc w:val="center"/>
              <w:rPr>
                <w:rFonts w:eastAsia="宋体" w:cs="Times New Roman"/>
                <w:sz w:val="18"/>
                <w:szCs w:val="18"/>
              </w:rPr>
            </w:pPr>
            <w:r>
              <w:rPr>
                <w:rFonts w:eastAsia="宋体" w:cs="Times New Roman"/>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M20、M22、M24</w:t>
            </w:r>
          </w:p>
        </w:tc>
        <w:tc>
          <w:tcPr>
            <w:tcW w:w="2500" w:type="pct"/>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+0.52</w:t>
            </w:r>
          </w:p>
          <w:p>
            <w:pPr>
              <w:adjustRightInd w:val="0"/>
              <w:snapToGrid w:val="0"/>
              <w:spacing w:line="240" w:lineRule="auto"/>
              <w:jc w:val="center"/>
              <w:rPr>
                <w:rFonts w:eastAsia="宋体" w:cs="Times New Roman"/>
                <w:sz w:val="18"/>
                <w:szCs w:val="18"/>
              </w:rPr>
            </w:pPr>
            <w:r>
              <w:rPr>
                <w:rFonts w:eastAsia="宋体" w:cs="Times New Roman"/>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single" w:color="auto" w:sz="4" w:space="0"/>
              <w:left w:val="single" w:color="auto" w:sz="8" w:space="0"/>
              <w:bottom w:val="single" w:color="auto" w:sz="8"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M27、M30</w:t>
            </w:r>
          </w:p>
        </w:tc>
        <w:tc>
          <w:tcPr>
            <w:tcW w:w="2500" w:type="pct"/>
            <w:tcBorders>
              <w:top w:val="single" w:color="auto" w:sz="4" w:space="0"/>
              <w:left w:val="single" w:color="auto" w:sz="4" w:space="0"/>
              <w:bottom w:val="single" w:color="auto" w:sz="8"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+0.84</w:t>
            </w:r>
          </w:p>
          <w:p>
            <w:pPr>
              <w:adjustRightInd w:val="0"/>
              <w:snapToGrid w:val="0"/>
              <w:spacing w:line="240" w:lineRule="auto"/>
              <w:jc w:val="center"/>
              <w:rPr>
                <w:rFonts w:eastAsia="宋体" w:cs="Times New Roman"/>
                <w:sz w:val="18"/>
                <w:szCs w:val="18"/>
              </w:rPr>
            </w:pPr>
            <w:r>
              <w:rPr>
                <w:rFonts w:eastAsia="宋体" w:cs="Times New Roman"/>
                <w:sz w:val="18"/>
                <w:szCs w:val="18"/>
              </w:rPr>
              <w:t>0.00</w:t>
            </w:r>
          </w:p>
        </w:tc>
      </w:tr>
    </w:tbl>
    <w:p>
      <w:pPr>
        <w:adjustRightInd w:val="0"/>
        <w:snapToGrid w:val="0"/>
        <w:jc w:val="center"/>
        <w:rPr>
          <w:rFonts w:eastAsia="微软雅黑" w:cs="Times New Roman"/>
          <w:sz w:val="18"/>
          <w:szCs w:val="18"/>
        </w:rPr>
      </w:pPr>
      <w:r>
        <w:rPr>
          <w:rFonts w:eastAsia="微软雅黑" w:cs="Times New Roman"/>
          <w:sz w:val="18"/>
          <w:szCs w:val="18"/>
        </w:rPr>
        <w:t>表7.2.3-3 环槽铆钉孔径允许偏差(mm)</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500" w:type="pct"/>
            <w:tcBorders>
              <w:top w:val="single" w:color="auto" w:sz="8" w:space="0"/>
              <w:left w:val="single" w:color="auto" w:sz="8" w:space="0"/>
              <w:bottom w:val="single" w:color="auto" w:sz="4"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环槽铆钉公称直径</w:t>
            </w:r>
          </w:p>
        </w:tc>
        <w:tc>
          <w:tcPr>
            <w:tcW w:w="2500" w:type="pct"/>
            <w:tcBorders>
              <w:top w:val="single" w:color="auto" w:sz="8" w:space="0"/>
              <w:left w:val="single" w:color="auto" w:sz="4" w:space="0"/>
              <w:bottom w:val="single" w:color="auto" w:sz="4"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允许偏差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single" w:color="auto" w:sz="4" w:space="0"/>
              <w:left w:val="single" w:color="auto" w:sz="8" w:space="0"/>
              <w:bottom w:val="single" w:color="auto" w:sz="8" w:space="0"/>
              <w:right w:val="single" w:color="auto" w:sz="4"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M10、M12</w:t>
            </w:r>
          </w:p>
        </w:tc>
        <w:tc>
          <w:tcPr>
            <w:tcW w:w="2500" w:type="pct"/>
            <w:tcBorders>
              <w:top w:val="single" w:color="auto" w:sz="4" w:space="0"/>
              <w:left w:val="single" w:color="auto" w:sz="4" w:space="0"/>
              <w:bottom w:val="single" w:color="auto" w:sz="8" w:space="0"/>
              <w:right w:val="single" w:color="auto" w:sz="8" w:space="0"/>
            </w:tcBorders>
            <w:vAlign w:val="center"/>
          </w:tcPr>
          <w:p>
            <w:pPr>
              <w:adjustRightInd w:val="0"/>
              <w:snapToGrid w:val="0"/>
              <w:spacing w:line="240" w:lineRule="auto"/>
              <w:jc w:val="center"/>
              <w:rPr>
                <w:rFonts w:eastAsia="宋体" w:cs="Times New Roman"/>
                <w:sz w:val="18"/>
                <w:szCs w:val="18"/>
              </w:rPr>
            </w:pPr>
            <w:r>
              <w:rPr>
                <w:rFonts w:eastAsia="宋体" w:cs="Times New Roman"/>
                <w:sz w:val="18"/>
                <w:szCs w:val="18"/>
              </w:rPr>
              <w:t>+0.1</w:t>
            </w:r>
          </w:p>
          <w:p>
            <w:pPr>
              <w:adjustRightInd w:val="0"/>
              <w:snapToGrid w:val="0"/>
              <w:spacing w:line="240" w:lineRule="auto"/>
              <w:jc w:val="center"/>
              <w:rPr>
                <w:rFonts w:eastAsia="宋体" w:cs="Times New Roman"/>
                <w:sz w:val="18"/>
                <w:szCs w:val="18"/>
              </w:rPr>
            </w:pPr>
            <w:r>
              <w:rPr>
                <w:rFonts w:eastAsia="宋体" w:cs="Times New Roman"/>
                <w:sz w:val="18"/>
                <w:szCs w:val="18"/>
              </w:rPr>
              <w:t>0</w:t>
            </w:r>
          </w:p>
        </w:tc>
      </w:tr>
    </w:tbl>
    <w:p>
      <w:pPr>
        <w:rPr>
          <w:b/>
          <w:bCs/>
        </w:rPr>
      </w:pPr>
      <w:r>
        <w:t>7.2.4 当铝合金材料同其它会发生电化学腐蚀的金属材料或含酸性或碱性的非金属材料连接、接触或紧固时，可采用聚四氟乙烯板或其它与两侧材料都相容的无孔材料进行隔离。其中，按照摩擦型连接设计的节点，隔离垫片除应满足电化学隔离的需求外，摩擦系数也应满足设计要求。</w:t>
      </w:r>
    </w:p>
    <w:p>
      <w:pPr>
        <w:pStyle w:val="3"/>
        <w:spacing w:before="156" w:after="156"/>
      </w:pPr>
      <w:bookmarkStart w:id="112" w:name="_Toc152588949"/>
      <w:bookmarkStart w:id="113" w:name="_Toc152589131"/>
      <w:bookmarkStart w:id="114" w:name="_Toc152589573"/>
      <w:r>
        <w:t>7.3 节点计算与设计</w:t>
      </w:r>
      <w:bookmarkEnd w:id="112"/>
      <w:bookmarkEnd w:id="113"/>
      <w:bookmarkEnd w:id="114"/>
    </w:p>
    <w:p>
      <w:pPr>
        <w:rPr>
          <w:snapToGrid w:val="0"/>
        </w:rPr>
      </w:pPr>
      <w:bookmarkStart w:id="115" w:name="_Toc68892566"/>
      <w:bookmarkStart w:id="116" w:name="_Toc67921180"/>
      <w:bookmarkStart w:id="117" w:name="_Toc68556673"/>
      <w:bookmarkStart w:id="118" w:name="_Toc68891078"/>
      <w:r>
        <w:rPr>
          <w:b/>
          <w:snapToGrid w:val="0"/>
        </w:rPr>
        <w:t xml:space="preserve">7.3.1 </w:t>
      </w:r>
      <w:r>
        <w:rPr>
          <w:snapToGrid w:val="0"/>
        </w:rPr>
        <w:t>铝合金构件与其他构件之间连接节点的连接件强度、节点承载力可按现行国家标准《钢结构设计标准》GB 50017和《铝合金结构设计规范》GB 50429进行设计和计算。构造复杂的铝合金构件节点极限承载力应采用有限元方法进行计算或采用试验方法进行验证。</w:t>
      </w:r>
    </w:p>
    <w:p>
      <w:pPr>
        <w:rPr>
          <w:snapToGrid w:val="0"/>
        </w:rPr>
      </w:pPr>
      <w:r>
        <w:rPr>
          <w:b/>
          <w:snapToGrid w:val="0"/>
        </w:rPr>
        <w:t>7.3.2</w:t>
      </w:r>
      <w:r>
        <w:rPr>
          <w:snapToGrid w:val="0"/>
        </w:rPr>
        <w:t xml:space="preserve"> 采用有限元方法对铝合金构件节点承载力进行计算分析时，计算模型应符合节点的实际受力情况，节点承载力应符合下列规定。</w:t>
      </w:r>
    </w:p>
    <w:p>
      <w:pPr>
        <w:rPr>
          <w:szCs w:val="21"/>
        </w:rPr>
      </w:pPr>
      <w:r>
        <w:rPr>
          <w:b/>
        </w:rPr>
        <w:t xml:space="preserve">1 </w:t>
      </w:r>
      <w:r>
        <w:t>在荷载设计值作用下，节点应力采用有限元法按弹性计算时，应满足以下条件：</w:t>
      </w:r>
    </w:p>
    <w:p>
      <w:pPr>
        <w:jc w:val="right"/>
        <w:rPr>
          <w:szCs w:val="24"/>
        </w:rPr>
      </w:pPr>
      <w:r>
        <w:rPr>
          <w:szCs w:val="24"/>
        </w:rPr>
        <w:object>
          <v:shape id="_x0000_i1040" o:spt="75" type="#_x0000_t75" style="height:16.1pt;width:44.55pt;" o:ole="t" filled="f" o:preferrelative="t" stroked="f" coordsize="21600,21600">
            <v:path/>
            <v:fill on="f" focussize="0,0"/>
            <v:stroke on="f" joinstyle="miter"/>
            <v:imagedata r:id="rId48" o:title=""/>
            <o:lock v:ext="edit" aspectratio="t"/>
            <w10:wrap type="none"/>
            <w10:anchorlock/>
          </v:shape>
          <o:OLEObject Type="Embed" ProgID="Equation.DSMT4" ShapeID="_x0000_i1040" DrawAspect="Content" ObjectID="_1468075740" r:id="rId47">
            <o:LockedField>false</o:LockedField>
          </o:OLEObject>
        </w:object>
      </w:r>
      <w:r>
        <w:t xml:space="preserve">                            </w:t>
      </w:r>
      <w:r>
        <w:tab/>
      </w:r>
      <w:r>
        <w:t xml:space="preserve">     （7.3.2-1）</w:t>
      </w:r>
    </w:p>
    <w:p>
      <w:pPr>
        <w:jc w:val="right"/>
      </w:pPr>
      <w:r>
        <w:object>
          <v:shape id="_x0000_i1041" o:spt="75" type="#_x0000_t75" style="height:22.75pt;width:204.75pt;" o:ole="t" filled="f" o:preferrelative="t" stroked="f" coordsize="21600,21600">
            <v:path/>
            <v:fill on="f" focussize="0,0"/>
            <v:stroke on="f" joinstyle="miter"/>
            <v:imagedata r:id="rId50" o:title=""/>
            <o:lock v:ext="edit" aspectratio="t"/>
            <w10:wrap type="none"/>
            <w10:anchorlock/>
          </v:shape>
          <o:OLEObject Type="Embed" ProgID="Equation.DSMT4" ShapeID="_x0000_i1041" DrawAspect="Content" ObjectID="_1468075741" r:id="rId49">
            <o:LockedField>false</o:LockedField>
          </o:OLEObject>
        </w:object>
      </w:r>
      <w:r>
        <w:t xml:space="preserve"> </w:t>
      </w:r>
      <w:r>
        <w:tab/>
      </w:r>
      <w:r>
        <w:tab/>
      </w:r>
      <w:r>
        <w:tab/>
      </w:r>
      <w:r>
        <w:t xml:space="preserve">       （7.3.2-2）</w:t>
      </w:r>
    </w:p>
    <w:p>
      <w:r>
        <w:t>式中：</w:t>
      </w:r>
      <w:r>
        <w:rPr>
          <w:rFonts w:hint="eastAsia" w:asciiTheme="minorEastAsia" w:hAnsiTheme="minorEastAsia"/>
          <w:i/>
        </w:rPr>
        <w:t>σ</w:t>
      </w:r>
      <w:r>
        <w:rPr>
          <w:vertAlign w:val="subscript"/>
        </w:rPr>
        <w:t>zs</w:t>
      </w:r>
      <w:r>
        <w:t>——计算点处的折算应力（N/mm</w:t>
      </w:r>
      <w:r>
        <w:rPr>
          <w:vertAlign w:val="superscript"/>
        </w:rPr>
        <w:t>2</w:t>
      </w:r>
      <w:r>
        <w:t>）；</w:t>
      </w:r>
    </w:p>
    <w:p>
      <w:pPr>
        <w:ind w:firstLine="630" w:firstLineChars="300"/>
      </w:pPr>
      <w:r>
        <w:rPr>
          <w:rFonts w:cs="Times New Roman"/>
          <w:i/>
        </w:rPr>
        <w:t>β</w:t>
      </w:r>
      <w:r>
        <w:rPr>
          <w:rFonts w:hint="eastAsia"/>
          <w:vertAlign w:val="subscript"/>
        </w:rPr>
        <w:t>f</w:t>
      </w:r>
      <w:r>
        <w:rPr>
          <w:vertAlign w:val="subscript"/>
        </w:rPr>
        <w:t xml:space="preserve">  </w:t>
      </w:r>
      <w:r>
        <w:t>——折算应力的强度设计值增大系数。当计算点各主应力全部为压应力时，</w:t>
      </w:r>
      <w:r>
        <w:rPr>
          <w:rFonts w:cs="Times New Roman"/>
          <w:i/>
        </w:rPr>
        <w:t>β</w:t>
      </w:r>
      <w:r>
        <w:rPr>
          <w:rFonts w:hint="eastAsia"/>
          <w:vertAlign w:val="subscript"/>
        </w:rPr>
        <w:t>f</w:t>
      </w:r>
      <w:r>
        <w:t>=1.2；</w:t>
      </w:r>
    </w:p>
    <w:p>
      <w:pPr>
        <w:ind w:left="1260" w:leftChars="600"/>
      </w:pPr>
      <w:r>
        <w:t>当计算点各主应力全部为拉应力时，</w:t>
      </w:r>
      <w:r>
        <w:rPr>
          <w:rFonts w:cs="Times New Roman"/>
          <w:i/>
        </w:rPr>
        <w:t>β</w:t>
      </w:r>
      <w:r>
        <w:rPr>
          <w:rFonts w:hint="eastAsia"/>
          <w:vertAlign w:val="subscript"/>
        </w:rPr>
        <w:t>f</w:t>
      </w:r>
      <w:r>
        <w:t>=1.0，且最大主应力应满足</w:t>
      </w:r>
      <w:r>
        <w:rPr>
          <w:rFonts w:hint="eastAsia" w:asciiTheme="minorEastAsia" w:hAnsiTheme="minorEastAsia"/>
          <w:i/>
        </w:rPr>
        <w:t>σ</w:t>
      </w:r>
      <w:r>
        <w:rPr>
          <w:vertAlign w:val="subscript"/>
        </w:rPr>
        <w:t>1</w:t>
      </w:r>
      <w:r>
        <w:rPr>
          <w:rFonts w:hint="eastAsia" w:ascii="宋体" w:hAnsi="宋体" w:eastAsia="宋体"/>
        </w:rPr>
        <w:t>≤</w:t>
      </w:r>
      <w:r>
        <w:rPr>
          <w:rFonts w:hint="eastAsia"/>
        </w:rPr>
        <w:t>1</w:t>
      </w:r>
      <w:r>
        <w:t>.1</w:t>
      </w:r>
      <w:r>
        <w:rPr>
          <w:i/>
        </w:rPr>
        <w:t>f</w:t>
      </w:r>
      <w:r>
        <w:t>；其他情况时，</w:t>
      </w:r>
      <w:r>
        <w:rPr>
          <w:rFonts w:cs="Times New Roman"/>
          <w:i/>
        </w:rPr>
        <w:t>β</w:t>
      </w:r>
      <w:r>
        <w:rPr>
          <w:rFonts w:hint="eastAsia"/>
          <w:vertAlign w:val="subscript"/>
        </w:rPr>
        <w:t>f</w:t>
      </w:r>
      <w:r>
        <w:t>=1.1；</w:t>
      </w:r>
    </w:p>
    <w:p>
      <w:pPr>
        <w:ind w:firstLine="630" w:firstLineChars="300"/>
      </w:pPr>
      <w:r>
        <w:rPr>
          <w:i/>
        </w:rPr>
        <w:t>f</w:t>
      </w:r>
      <w:r>
        <w:t>——铝合金的名义屈服强度设计值（N/mm</w:t>
      </w:r>
      <w:r>
        <w:rPr>
          <w:vertAlign w:val="superscript"/>
        </w:rPr>
        <w:t>2</w:t>
      </w:r>
      <w:r>
        <w:t>）；</w:t>
      </w:r>
    </w:p>
    <w:p>
      <w:pPr>
        <w:ind w:firstLine="420" w:firstLineChars="200"/>
      </w:pPr>
      <w:r>
        <w:rPr>
          <w:rFonts w:hint="eastAsia" w:asciiTheme="minorEastAsia" w:hAnsiTheme="minorEastAsia"/>
          <w:i/>
        </w:rPr>
        <w:t>σ</w:t>
      </w:r>
      <w:r>
        <w:rPr>
          <w:vertAlign w:val="subscript"/>
        </w:rPr>
        <w:t>1</w:t>
      </w:r>
      <w:r>
        <w:t>,</w:t>
      </w:r>
      <w:r>
        <w:rPr>
          <w:rFonts w:hint="eastAsia" w:asciiTheme="minorEastAsia" w:hAnsiTheme="minorEastAsia"/>
          <w:i/>
        </w:rPr>
        <w:t xml:space="preserve"> σ</w:t>
      </w:r>
      <w:r>
        <w:rPr>
          <w:vertAlign w:val="subscript"/>
        </w:rPr>
        <w:t>2</w:t>
      </w:r>
      <w:r>
        <w:t>,</w:t>
      </w:r>
      <w:r>
        <w:rPr>
          <w:rFonts w:hint="eastAsia" w:asciiTheme="minorEastAsia" w:hAnsiTheme="minorEastAsia"/>
          <w:i/>
        </w:rPr>
        <w:t xml:space="preserve"> σ</w:t>
      </w:r>
      <w:r>
        <w:rPr>
          <w:vertAlign w:val="subscript"/>
        </w:rPr>
        <w:t>3</w:t>
      </w:r>
      <w:r>
        <w:t>——计算点处第一、第二、第三主应力（N/mm</w:t>
      </w:r>
      <w:r>
        <w:rPr>
          <w:vertAlign w:val="superscript"/>
        </w:rPr>
        <w:t>2</w:t>
      </w:r>
      <w:r>
        <w:t>）。</w:t>
      </w:r>
    </w:p>
    <w:p>
      <w:r>
        <w:rPr>
          <w:b/>
        </w:rPr>
        <w:t>2</w:t>
      </w:r>
      <w:r>
        <w:t xml:space="preserve"> 考虑材料非线性对节点板承载力进行弹塑性有限元分析时，铝合金材料的本构关系可采用Ramberg-Osgood模型，节点板的弹塑性极限承载力不应小于其荷载设计值的2.0倍。</w:t>
      </w:r>
    </w:p>
    <w:p>
      <w:pPr>
        <w:rPr>
          <w:b/>
        </w:rPr>
      </w:pPr>
      <w:r>
        <w:rPr>
          <w:b/>
          <w:snapToGrid w:val="0"/>
        </w:rPr>
        <w:t xml:space="preserve">7.3.3 </w:t>
      </w:r>
      <w:r>
        <w:rPr>
          <w:snapToGrid w:val="0"/>
        </w:rPr>
        <w:t xml:space="preserve"> 采用试验对铝合金构件节点承载力进行验证时，</w:t>
      </w:r>
      <w:r>
        <w:rPr>
          <w:rStyle w:val="30"/>
          <w:rFonts w:eastAsia="宋体" w:cs="Times New Roman"/>
          <w:b w:val="0"/>
          <w:szCs w:val="21"/>
          <w:shd w:val="clear" w:color="auto" w:fill="FFFFFF"/>
        </w:rPr>
        <w:t>应符合以下规定：</w:t>
      </w:r>
    </w:p>
    <w:p>
      <w:pPr>
        <w:ind w:firstLine="422" w:firstLineChars="200"/>
      </w:pPr>
      <w:r>
        <w:rPr>
          <w:b/>
        </w:rPr>
        <w:t>1</w:t>
      </w:r>
      <w:r>
        <w:t xml:space="preserve"> 节点试件的材料应与实际工程中的材料相同，并应在试验前按实际工程的检验标准进行材料试验与检验。</w:t>
      </w:r>
    </w:p>
    <w:p>
      <w:pPr>
        <w:ind w:firstLine="422" w:firstLineChars="200"/>
      </w:pPr>
      <w:r>
        <w:rPr>
          <w:b/>
        </w:rPr>
        <w:t>2</w:t>
      </w:r>
      <w:r>
        <w:t xml:space="preserve"> 节点试验宜采用足尺试件。当采用缩尺试件时，缩尺比例不宜小于1/2。</w:t>
      </w:r>
    </w:p>
    <w:p>
      <w:pPr>
        <w:ind w:firstLine="422" w:firstLineChars="200"/>
        <w:rPr>
          <w:kern w:val="0"/>
          <w:szCs w:val="21"/>
        </w:rPr>
        <w:sectPr>
          <w:pgSz w:w="11906" w:h="16838"/>
          <w:pgMar w:top="1440" w:right="1800" w:bottom="1440" w:left="1800" w:header="851" w:footer="992" w:gutter="0"/>
          <w:cols w:space="720" w:num="1"/>
          <w:docGrid w:type="lines" w:linePitch="312" w:charSpace="0"/>
        </w:sectPr>
      </w:pPr>
      <w:r>
        <w:rPr>
          <w:b/>
        </w:rPr>
        <w:t>3</w:t>
      </w:r>
      <w:r>
        <w:t xml:space="preserve"> </w:t>
      </w:r>
      <w:r>
        <w:rPr>
          <w:kern w:val="0"/>
          <w:szCs w:val="21"/>
        </w:rPr>
        <w:t>检验性试验中，</w:t>
      </w:r>
      <w:r>
        <w:t>同一类型的试件不宜少于2件，</w:t>
      </w:r>
      <w:r>
        <w:rPr>
          <w:kern w:val="0"/>
          <w:szCs w:val="21"/>
        </w:rPr>
        <w:t>试验荷载不应小于荷载设计值的1.3倍；破坏性试验中，由试验确定的破坏承载力不应小于节点承载力设计值的2.0倍。</w:t>
      </w:r>
    </w:p>
    <w:p>
      <w:pPr>
        <w:pStyle w:val="2"/>
      </w:pPr>
      <w:bookmarkStart w:id="119" w:name="_Toc152588950"/>
      <w:bookmarkStart w:id="120" w:name="_Toc152589132"/>
      <w:bookmarkStart w:id="121" w:name="_Toc152589574"/>
      <w:r>
        <w:t xml:space="preserve">8  </w:t>
      </w:r>
      <w:bookmarkEnd w:id="115"/>
      <w:bookmarkEnd w:id="116"/>
      <w:bookmarkEnd w:id="117"/>
      <w:bookmarkEnd w:id="118"/>
      <w:r>
        <w:t>施工与验收</w:t>
      </w:r>
      <w:bookmarkEnd w:id="119"/>
      <w:bookmarkEnd w:id="120"/>
      <w:bookmarkEnd w:id="121"/>
      <w:bookmarkStart w:id="122" w:name="_Toc68892567"/>
      <w:bookmarkStart w:id="123" w:name="_Toc68891079"/>
      <w:bookmarkStart w:id="124" w:name="_Toc68556674"/>
      <w:bookmarkStart w:id="125" w:name="_Toc67921181"/>
    </w:p>
    <w:p>
      <w:pPr>
        <w:pStyle w:val="3"/>
        <w:spacing w:before="156" w:after="156"/>
      </w:pPr>
      <w:bookmarkStart w:id="126" w:name="_Toc152588951"/>
      <w:bookmarkStart w:id="127" w:name="_Toc152589133"/>
      <w:bookmarkStart w:id="128" w:name="_Toc152589575"/>
      <w:r>
        <w:t>8.1</w:t>
      </w:r>
      <w:bookmarkEnd w:id="122"/>
      <w:bookmarkEnd w:id="123"/>
      <w:bookmarkEnd w:id="124"/>
      <w:bookmarkEnd w:id="125"/>
      <w:r>
        <w:t>一般规定</w:t>
      </w:r>
      <w:bookmarkEnd w:id="126"/>
      <w:bookmarkEnd w:id="127"/>
      <w:bookmarkEnd w:id="128"/>
    </w:p>
    <w:p>
      <w:bookmarkStart w:id="129" w:name="_Hlk151985652"/>
      <w:r>
        <w:rPr>
          <w:b/>
        </w:rPr>
        <w:t xml:space="preserve">8.1.1 </w:t>
      </w:r>
      <w:r>
        <w:t xml:space="preserve"> 预应力铝合金结构的安装工程应编制深化设计文件和施工组织设计文件，并应符合有关结构工程施工质量验收规范和施工图的要求。</w:t>
      </w:r>
    </w:p>
    <w:p>
      <w:r>
        <w:rPr>
          <w:b/>
        </w:rPr>
        <w:t>8.1.2</w:t>
      </w:r>
      <w:r>
        <w:t>铝合金结构工程施工质量的验收应符合《铝合金结构工程施工质量验收规范》GB 50576-2010、《建筑工程施工质量验收统一标准》GB 50300-2013有关标准和规范的要求。</w:t>
      </w:r>
    </w:p>
    <w:p>
      <w:r>
        <w:rPr>
          <w:b/>
        </w:rPr>
        <w:t>8.1.3</w:t>
      </w:r>
      <w:r>
        <w:t>索、撑杆及紧固件等应具有产品质量证明书，其品种、规格、力学性能、化学性能应符合《建筑索结构工程施工质量验收标准》T/CECS 1301等现行标准的规定并满足设计要求。</w:t>
      </w:r>
    </w:p>
    <w:p>
      <w:r>
        <w:rPr>
          <w:b/>
        </w:rPr>
        <w:t>8.1.4</w:t>
      </w:r>
      <w:r>
        <w:t>施工前应对预应力铝合金结构边界和支座的预埋板或预埋锚栓的平面位置、水平度和标高进行检查验收，验收合格后方可进行施工。</w:t>
      </w:r>
    </w:p>
    <w:p>
      <w:r>
        <w:rPr>
          <w:b/>
        </w:rPr>
        <w:t>8.1.5</w:t>
      </w:r>
      <w:r>
        <w:t>施工方应会同设计方对预应力铝合金结构施工各个阶段的索力及结构几何位形进行计算，并作为施工监测和质量控制的依据。</w:t>
      </w:r>
    </w:p>
    <w:p>
      <w:r>
        <w:rPr>
          <w:b/>
        </w:rPr>
        <w:t>8.1.6</w:t>
      </w:r>
      <w:r>
        <w:t>预应力铝合金结构的施工过程中应有相应的监测措施，以反馈结构的信息，控制施工质量，监控施工进程等，监测方案应经设计和监理认可。</w:t>
      </w:r>
    </w:p>
    <w:p>
      <w:pPr>
        <w:pStyle w:val="3"/>
        <w:spacing w:before="156" w:after="156"/>
      </w:pPr>
      <w:bookmarkStart w:id="130" w:name="_Toc152588952"/>
      <w:bookmarkStart w:id="131" w:name="_Toc152589134"/>
      <w:bookmarkStart w:id="132" w:name="_Toc152589576"/>
      <w:bookmarkStart w:id="133" w:name="_Toc150008231"/>
      <w:bookmarkStart w:id="134" w:name="_Toc150008322"/>
      <w:r>
        <w:t>8.2包装、运输与存放</w:t>
      </w:r>
      <w:bookmarkEnd w:id="130"/>
      <w:bookmarkEnd w:id="131"/>
      <w:bookmarkEnd w:id="132"/>
      <w:bookmarkEnd w:id="133"/>
      <w:bookmarkEnd w:id="134"/>
    </w:p>
    <w:p>
      <w:r>
        <w:rPr>
          <w:b/>
        </w:rPr>
        <w:t xml:space="preserve">8.2.1 </w:t>
      </w:r>
      <w:r>
        <w:t>索包装时应采用不会损伤索表面质量的材料。</w:t>
      </w:r>
    </w:p>
    <w:p>
      <w:r>
        <w:rPr>
          <w:b/>
        </w:rPr>
        <w:t>8.2.2</w:t>
      </w:r>
      <w:r>
        <w:t>拉索应能自由盘绕，盘绕内径应不小于表8.2.2的规定。盘绕后索体不应有鼓丝、散丝及明显变形，盘绕后最大外径应能满足交通运输的要求。</w:t>
      </w:r>
    </w:p>
    <w:p>
      <w:pPr>
        <w:adjustRightInd w:val="0"/>
        <w:snapToGrid w:val="0"/>
        <w:spacing w:before="156" w:beforeLines="50"/>
        <w:jc w:val="center"/>
        <w:textAlignment w:val="center"/>
        <w:rPr>
          <w:rFonts w:eastAsia="黑体" w:cs="Times New Roman"/>
          <w:bCs/>
          <w:sz w:val="18"/>
          <w:szCs w:val="18"/>
        </w:rPr>
      </w:pPr>
      <w:r>
        <w:rPr>
          <w:rFonts w:eastAsia="黑体" w:cs="Times New Roman"/>
          <w:bCs/>
          <w:sz w:val="18"/>
          <w:szCs w:val="18"/>
        </w:rPr>
        <w:t>表8.2.2拉索最小盘绕内径</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7" w:type="dxa"/>
          <w:bottom w:w="0" w:type="dxa"/>
          <w:right w:w="107" w:type="dxa"/>
        </w:tblCellMar>
      </w:tblPr>
      <w:tblGrid>
        <w:gridCol w:w="1808"/>
        <w:gridCol w:w="2323"/>
        <w:gridCol w:w="2323"/>
        <w:gridCol w:w="2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1061" w:type="pct"/>
            <w:tcBorders>
              <w:top w:val="single" w:color="auto" w:sz="12" w:space="0"/>
              <w:left w:val="single" w:color="auto" w:sz="12" w:space="0"/>
              <w:bottom w:val="single" w:color="auto" w:sz="4" w:space="0"/>
              <w:right w:val="single" w:color="auto" w:sz="4" w:space="0"/>
            </w:tcBorders>
            <w:vAlign w:val="center"/>
          </w:tcPr>
          <w:p>
            <w:pPr>
              <w:adjustRightInd w:val="0"/>
              <w:snapToGrid w:val="0"/>
              <w:spacing w:line="240" w:lineRule="auto"/>
              <w:jc w:val="center"/>
              <w:textAlignment w:val="center"/>
              <w:rPr>
                <w:rFonts w:eastAsia="宋体" w:cs="Times New Roman"/>
                <w:bCs/>
                <w:sz w:val="18"/>
                <w:szCs w:val="18"/>
              </w:rPr>
            </w:pPr>
            <w:r>
              <w:rPr>
                <w:rFonts w:eastAsia="宋体" w:cs="Times New Roman"/>
                <w:bCs/>
                <w:sz w:val="18"/>
                <w:szCs w:val="18"/>
              </w:rPr>
              <w:t>拉索种类</w:t>
            </w:r>
          </w:p>
        </w:tc>
        <w:tc>
          <w:tcPr>
            <w:tcW w:w="1363" w:type="pct"/>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textAlignment w:val="center"/>
              <w:rPr>
                <w:rFonts w:eastAsia="宋体" w:cs="Times New Roman"/>
                <w:bCs/>
                <w:sz w:val="18"/>
                <w:szCs w:val="18"/>
              </w:rPr>
            </w:pPr>
            <w:r>
              <w:rPr>
                <w:rFonts w:eastAsia="宋体" w:cs="Times New Roman"/>
                <w:bCs/>
                <w:sz w:val="18"/>
                <w:szCs w:val="18"/>
              </w:rPr>
              <w:t>半平行钢丝束拉索</w:t>
            </w:r>
          </w:p>
        </w:tc>
        <w:tc>
          <w:tcPr>
            <w:tcW w:w="1363" w:type="pct"/>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textAlignment w:val="center"/>
              <w:rPr>
                <w:rFonts w:eastAsia="宋体" w:cs="Times New Roman"/>
                <w:bCs/>
                <w:sz w:val="18"/>
                <w:szCs w:val="18"/>
              </w:rPr>
            </w:pPr>
            <w:r>
              <w:rPr>
                <w:rFonts w:eastAsia="宋体" w:cs="Times New Roman"/>
                <w:bCs/>
                <w:sz w:val="18"/>
                <w:szCs w:val="18"/>
              </w:rPr>
              <w:t>密闭型钢绞线拉索</w:t>
            </w:r>
          </w:p>
        </w:tc>
        <w:tc>
          <w:tcPr>
            <w:tcW w:w="1212" w:type="pct"/>
            <w:tcBorders>
              <w:top w:val="single" w:color="auto" w:sz="12" w:space="0"/>
              <w:left w:val="single" w:color="auto" w:sz="4" w:space="0"/>
              <w:bottom w:val="single" w:color="auto" w:sz="4" w:space="0"/>
              <w:right w:val="single" w:color="auto" w:sz="12" w:space="0"/>
            </w:tcBorders>
            <w:vAlign w:val="center"/>
          </w:tcPr>
          <w:p>
            <w:pPr>
              <w:adjustRightInd w:val="0"/>
              <w:snapToGrid w:val="0"/>
              <w:spacing w:line="240" w:lineRule="auto"/>
              <w:jc w:val="center"/>
              <w:textAlignment w:val="center"/>
              <w:rPr>
                <w:rFonts w:eastAsia="宋体" w:cs="Times New Roman"/>
                <w:bCs/>
                <w:sz w:val="18"/>
                <w:szCs w:val="18"/>
              </w:rPr>
            </w:pPr>
            <w:r>
              <w:rPr>
                <w:rFonts w:eastAsia="宋体" w:cs="Times New Roman"/>
                <w:bCs/>
                <w:sz w:val="18"/>
                <w:szCs w:val="18"/>
              </w:rPr>
              <w:t>圆形钢绞线拉索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trHeight w:val="284" w:hRule="atLeast"/>
          <w:jc w:val="center"/>
        </w:trPr>
        <w:tc>
          <w:tcPr>
            <w:tcW w:w="1061" w:type="pct"/>
            <w:tcBorders>
              <w:top w:val="single" w:color="auto" w:sz="4" w:space="0"/>
              <w:left w:val="single" w:color="auto" w:sz="12" w:space="0"/>
              <w:bottom w:val="single" w:color="auto" w:sz="12" w:space="0"/>
              <w:right w:val="single" w:color="auto" w:sz="4" w:space="0"/>
            </w:tcBorders>
            <w:vAlign w:val="center"/>
          </w:tcPr>
          <w:p>
            <w:pPr>
              <w:adjustRightInd w:val="0"/>
              <w:snapToGrid w:val="0"/>
              <w:spacing w:line="240" w:lineRule="auto"/>
              <w:jc w:val="center"/>
              <w:textAlignment w:val="center"/>
              <w:rPr>
                <w:rFonts w:eastAsia="宋体" w:cs="Times New Roman"/>
                <w:bCs/>
                <w:sz w:val="18"/>
                <w:szCs w:val="18"/>
              </w:rPr>
            </w:pPr>
            <w:r>
              <w:rPr>
                <w:rFonts w:eastAsia="宋体" w:cs="Times New Roman"/>
                <w:bCs/>
                <w:sz w:val="18"/>
                <w:szCs w:val="18"/>
              </w:rPr>
              <w:t>最小盘绕内径</w:t>
            </w:r>
          </w:p>
        </w:tc>
        <w:tc>
          <w:tcPr>
            <w:tcW w:w="1363" w:type="pct"/>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textAlignment w:val="center"/>
              <w:rPr>
                <w:rFonts w:eastAsia="宋体" w:cs="Times New Roman"/>
                <w:bCs/>
                <w:sz w:val="18"/>
                <w:szCs w:val="18"/>
              </w:rPr>
            </w:pPr>
            <w:r>
              <w:rPr>
                <w:rFonts w:eastAsia="宋体" w:cs="Times New Roman"/>
                <w:bCs/>
                <w:sz w:val="18"/>
                <w:szCs w:val="18"/>
              </w:rPr>
              <w:t>20D</w:t>
            </w:r>
          </w:p>
        </w:tc>
        <w:tc>
          <w:tcPr>
            <w:tcW w:w="1363" w:type="pct"/>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textAlignment w:val="center"/>
              <w:rPr>
                <w:rFonts w:eastAsia="宋体" w:cs="Times New Roman"/>
                <w:bCs/>
                <w:sz w:val="18"/>
                <w:szCs w:val="18"/>
              </w:rPr>
            </w:pPr>
            <w:r>
              <w:rPr>
                <w:rFonts w:eastAsia="宋体" w:cs="Times New Roman"/>
                <w:bCs/>
                <w:sz w:val="18"/>
                <w:szCs w:val="18"/>
              </w:rPr>
              <w:t>30D</w:t>
            </w:r>
          </w:p>
        </w:tc>
        <w:tc>
          <w:tcPr>
            <w:tcW w:w="1212" w:type="pct"/>
            <w:tcBorders>
              <w:top w:val="single" w:color="auto" w:sz="4" w:space="0"/>
              <w:left w:val="single" w:color="auto" w:sz="4" w:space="0"/>
              <w:bottom w:val="single" w:color="auto" w:sz="12" w:space="0"/>
              <w:right w:val="single" w:color="auto" w:sz="12" w:space="0"/>
            </w:tcBorders>
            <w:vAlign w:val="center"/>
          </w:tcPr>
          <w:p>
            <w:pPr>
              <w:adjustRightInd w:val="0"/>
              <w:snapToGrid w:val="0"/>
              <w:spacing w:line="240" w:lineRule="auto"/>
              <w:jc w:val="center"/>
              <w:textAlignment w:val="center"/>
              <w:rPr>
                <w:rFonts w:eastAsia="宋体" w:cs="Times New Roman"/>
                <w:bCs/>
                <w:sz w:val="18"/>
                <w:szCs w:val="18"/>
              </w:rPr>
            </w:pPr>
            <w:r>
              <w:rPr>
                <w:rFonts w:eastAsia="宋体" w:cs="Times New Roman"/>
                <w:bCs/>
                <w:sz w:val="18"/>
                <w:szCs w:val="18"/>
              </w:rPr>
              <w:t>20D</w:t>
            </w:r>
          </w:p>
        </w:tc>
      </w:tr>
    </w:tbl>
    <w:p>
      <w:r>
        <w:rPr>
          <w:b/>
        </w:rPr>
        <w:t>8.2.3</w:t>
      </w:r>
      <w:r>
        <w:t>索在搬运和装卸时严防与硬质物体产生摩擦或碰撞，不应损伤索体和表面涂装。</w:t>
      </w:r>
    </w:p>
    <w:p>
      <w:r>
        <w:rPr>
          <w:b/>
        </w:rPr>
        <w:t>8.2.4</w:t>
      </w:r>
      <w:r>
        <w:t>室外存放拉索和拉杆时，应采取保护措施避免锚具压损索体和杆体。应特别注意保护索体和杆身与锚具的连接部位，防止其破损而导致雨水侵入。</w:t>
      </w:r>
    </w:p>
    <w:p>
      <w:r>
        <w:rPr>
          <w:b/>
        </w:rPr>
        <w:t>8.2.5</w:t>
      </w:r>
      <w:r>
        <w:t>预应力铝合金结构构件应按品种和规格堆放在专业架子或垫木上，在室外堆放时，应采取防止表面污染的隔离保护措施，若有污染，应在安装前清除。</w:t>
      </w:r>
    </w:p>
    <w:p>
      <w:r>
        <w:rPr>
          <w:b/>
        </w:rPr>
        <w:t xml:space="preserve">8.2.6 </w:t>
      </w:r>
      <w:r>
        <w:t>撑杆应采用直条包装，当长度超过运输工具尺寸时，可将锚具与杆体拆开分别运输。</w:t>
      </w:r>
    </w:p>
    <w:p>
      <w:pPr>
        <w:pStyle w:val="3"/>
        <w:spacing w:before="156" w:after="156"/>
      </w:pPr>
      <w:bookmarkStart w:id="135" w:name="_Toc150008323"/>
      <w:bookmarkStart w:id="136" w:name="_Toc152588953"/>
      <w:bookmarkStart w:id="137" w:name="_Toc152589135"/>
      <w:bookmarkStart w:id="138" w:name="_Toc152589577"/>
      <w:bookmarkStart w:id="139" w:name="_Toc150008232"/>
      <w:r>
        <w:t>8.3索的安装</w:t>
      </w:r>
      <w:bookmarkEnd w:id="135"/>
      <w:bookmarkEnd w:id="136"/>
      <w:bookmarkEnd w:id="137"/>
      <w:bookmarkEnd w:id="138"/>
      <w:bookmarkEnd w:id="139"/>
    </w:p>
    <w:p>
      <w:r>
        <w:rPr>
          <w:b/>
        </w:rPr>
        <w:t>8.3.1</w:t>
      </w:r>
      <w:r>
        <w:t>安装胎架数量和支承刚度应确保结构的安装满足精度和质量要求。</w:t>
      </w:r>
    </w:p>
    <w:p>
      <w:r>
        <w:rPr>
          <w:b/>
        </w:rPr>
        <w:t xml:space="preserve">8.3.2 </w:t>
      </w:r>
      <w:r>
        <w:t>索安装前应复核和验收用于索锚固的钢耳板组件的空间几何坐标，不满足要求时应进行修复和处理。</w:t>
      </w:r>
    </w:p>
    <w:p>
      <w:r>
        <w:rPr>
          <w:b/>
        </w:rPr>
        <w:t>8.3.3</w:t>
      </w:r>
      <w:r>
        <w:t>拉索铺放施工应符合以下规定：</w:t>
      </w:r>
    </w:p>
    <w:p>
      <w:pPr>
        <w:ind w:firstLine="422" w:firstLineChars="200"/>
      </w:pPr>
      <w:r>
        <w:rPr>
          <w:rFonts w:hint="eastAsia"/>
          <w:b/>
        </w:rPr>
        <w:t>1</w:t>
      </w:r>
      <w:r>
        <w:t>拉索安装用操作架及放索胎架应根据相关现行国家规范和标准进行验算，搭设完成且检查合格后方可用于作业；</w:t>
      </w:r>
    </w:p>
    <w:p>
      <w:pPr>
        <w:ind w:firstLine="422" w:firstLineChars="200"/>
      </w:pPr>
      <w:r>
        <w:rPr>
          <w:b/>
        </w:rPr>
        <w:t>2</w:t>
      </w:r>
      <w:r>
        <w:t>拉索铺展过程中应采用放索盘或吊机进行，释放索体扭绞力；</w:t>
      </w:r>
    </w:p>
    <w:p>
      <w:pPr>
        <w:ind w:firstLine="422" w:firstLineChars="200"/>
      </w:pPr>
      <w:r>
        <w:rPr>
          <w:b/>
        </w:rPr>
        <w:t>3</w:t>
      </w:r>
      <w:r>
        <w:t>放索时应采取措施保护拉索，防止拉索PE层损坏或涂层损坏。</w:t>
      </w:r>
    </w:p>
    <w:p>
      <w:r>
        <w:rPr>
          <w:b/>
        </w:rPr>
        <w:t>8.3.4</w:t>
      </w:r>
      <w:r>
        <w:t>索夹安装应符合以下规定：</w:t>
      </w:r>
    </w:p>
    <w:p>
      <w:pPr>
        <w:ind w:firstLine="422" w:firstLineChars="200"/>
      </w:pPr>
      <w:r>
        <w:rPr>
          <w:rFonts w:hint="eastAsia"/>
          <w:b/>
        </w:rPr>
        <w:t>1</w:t>
      </w:r>
      <w:r>
        <w:t>应严格按照索夹标记线安装索夹，安装时应保证索夹耳板方向、编号与图纸相符；</w:t>
      </w:r>
    </w:p>
    <w:p>
      <w:pPr>
        <w:ind w:firstLine="422" w:firstLineChars="200"/>
      </w:pPr>
      <w:r>
        <w:rPr>
          <w:b/>
        </w:rPr>
        <w:t>2</w:t>
      </w:r>
      <w:r>
        <w:t>索夹螺栓拧紧力矩应达到图纸、规范或抗滑移试验报告的要求，并做好记录及标记以便查验。</w:t>
      </w:r>
    </w:p>
    <w:p>
      <w:r>
        <w:rPr>
          <w:b/>
        </w:rPr>
        <w:t>8.3.5</w:t>
      </w:r>
      <w:r>
        <w:t xml:space="preserve"> 应随时进行结构体系及其支撑体系的校正、固定或临时固定，确保索安装过程中结构体系的安全性和稳定性。</w:t>
      </w:r>
    </w:p>
    <w:p>
      <w:r>
        <w:rPr>
          <w:b/>
        </w:rPr>
        <w:t>8.3.6</w:t>
      </w:r>
      <w:r>
        <w:t>当风力大于五级、气温低于4°C时，不宜进行索的安装。有雷电时，应停止作业。索安装过程中应注意保护已做表面涂装的构件，避免涂层损坏。若构件涂层和索保护层被损坏，必须及时修补。当除索外其他金属材料需要焊接和切削时，其施工点与索应保持距离或采取保护措施。</w:t>
      </w:r>
    </w:p>
    <w:p>
      <w:pPr>
        <w:pStyle w:val="3"/>
        <w:spacing w:before="156" w:after="156"/>
      </w:pPr>
      <w:bookmarkStart w:id="140" w:name="_Toc152588954"/>
      <w:bookmarkStart w:id="141" w:name="_Toc150008233"/>
      <w:bookmarkStart w:id="142" w:name="_Toc150008324"/>
      <w:bookmarkStart w:id="143" w:name="_Toc152589136"/>
      <w:bookmarkStart w:id="144" w:name="_Toc152589578"/>
      <w:r>
        <w:t>8.4索的张拉</w:t>
      </w:r>
      <w:bookmarkEnd w:id="140"/>
      <w:bookmarkEnd w:id="141"/>
      <w:bookmarkEnd w:id="142"/>
      <w:bookmarkEnd w:id="143"/>
      <w:bookmarkEnd w:id="144"/>
    </w:p>
    <w:p>
      <w:r>
        <w:rPr>
          <w:b/>
        </w:rPr>
        <w:t>8.4.1</w:t>
      </w:r>
      <w:r>
        <w:t>应事先编制张拉方案，采用几何非线性有限单元法进行预应力铝合金结构张拉全过程的施工模拟计算，确保索张拉过程中结构体系自身、临时支撑结构和支承结构的安全性。</w:t>
      </w:r>
    </w:p>
    <w:p>
      <w:r>
        <w:rPr>
          <w:b/>
        </w:rPr>
        <w:t xml:space="preserve">8.4.2 </w:t>
      </w:r>
      <w:r>
        <w:t>索张拉用设备和工装应进行计量标定和设计计算，工装的承载力标准值不应小于索力施加值的2倍，索力施加值宜为张拉设备负荷标定值的50%-80%。索力施加的误差不应超过计算值的</w:t>
      </w:r>
      <w:r>
        <w:rPr>
          <w:rFonts w:eastAsia="宋体" w:cs="Times New Roman"/>
        </w:rPr>
        <w:t>±</w:t>
      </w:r>
      <w:r>
        <w:t>2%，如出现误差较大时，应停止张拉，分析原因后继续张拉。索的张拉工装作用点形心应经过索的轴线，索段张拉前应保持顺直状态。</w:t>
      </w:r>
    </w:p>
    <w:p>
      <w:r>
        <w:rPr>
          <w:b/>
        </w:rPr>
        <w:t>8.4.3</w:t>
      </w:r>
      <w:r>
        <w:t>张拉前应将索就位并调整到规定的初始位置，安装锚具并初步固定，宜采用液压千斤顶进行索的张拉。应严格按张拉方案进行索的张拉，张拉过程中应对照施工模拟计算结果监测和控制索力、结构位移或同时控制索力和位移。</w:t>
      </w:r>
    </w:p>
    <w:p>
      <w:r>
        <w:rPr>
          <w:b/>
        </w:rPr>
        <w:t>8.4.4</w:t>
      </w:r>
      <w:r>
        <w:t>同一加载点采用多个千斤顶张拉时，应同步加载。</w:t>
      </w:r>
      <w:r>
        <w:tab/>
      </w:r>
    </w:p>
    <w:p>
      <w:r>
        <w:rPr>
          <w:b/>
        </w:rPr>
        <w:t xml:space="preserve">8.4.5 </w:t>
      </w:r>
      <w:r>
        <w:t>索张拉过程中应检测并复核拉力、实际伸长量和油缸伸出量，每级张拉时间不应少于0.5min，并应做好记录。记录内容包括：日期、时间、环境温度、索力、索伸长量和结构位移的测量值。</w:t>
      </w:r>
    </w:p>
    <w:p>
      <w:r>
        <w:rPr>
          <w:b/>
        </w:rPr>
        <w:t xml:space="preserve">8.4.6 </w:t>
      </w:r>
      <w:r>
        <w:t xml:space="preserve"> 悬索结构（与前文协商后修改）的索张拉尚应满足下列要求：</w:t>
      </w:r>
    </w:p>
    <w:p>
      <w:pPr>
        <w:ind w:firstLine="422" w:firstLineChars="200"/>
      </w:pPr>
      <w:r>
        <w:rPr>
          <w:rFonts w:hint="eastAsia"/>
          <w:b/>
        </w:rPr>
        <w:t>1</w:t>
      </w:r>
      <w:r>
        <w:t>张拉时，应综合考虑边缘构件及支承结构刚度与索力间的相互影响。拉索铺展过程中应采用放索盘或吊机进行，释放索体扭绞力；</w:t>
      </w:r>
    </w:p>
    <w:p>
      <w:pPr>
        <w:ind w:firstLine="422" w:firstLineChars="200"/>
      </w:pPr>
      <w:r>
        <w:rPr>
          <w:rFonts w:hint="eastAsia"/>
          <w:b/>
        </w:rPr>
        <w:t>2</w:t>
      </w:r>
      <w:r>
        <w:t xml:space="preserve"> 索分阶段分级张拉时，应防止边缘构件与屋面构件变形过大。</w:t>
      </w:r>
    </w:p>
    <w:p>
      <w:r>
        <w:rPr>
          <w:b/>
        </w:rPr>
        <w:t xml:space="preserve">8.4.7 </w:t>
      </w:r>
      <w:r>
        <w:t xml:space="preserve"> 斜拉结构的索张拉应考虑立柱、钢架和拱架等支承结构与被吊挂结构的变形协调以及结构变形对索力的影响，施工时应以结构关键点的变形量及索力作为主要施工监控内容。</w:t>
      </w:r>
    </w:p>
    <w:p>
      <w:r>
        <w:rPr>
          <w:b/>
        </w:rPr>
        <w:t xml:space="preserve">8.4.8 </w:t>
      </w:r>
      <w:r>
        <w:t xml:space="preserve"> 张弦梁、张弦拱、张弦桁架的索张拉应满足下列要求：</w:t>
      </w:r>
    </w:p>
    <w:p>
      <w:r>
        <w:t>在铝结构拼装完成、索安装到位后，进行索预紧，预紧力宜取预应力状态索力的10~15%；</w:t>
      </w:r>
    </w:p>
    <w:p>
      <w:r>
        <w:t>张拉过程中应保证结构的平面外稳定。</w:t>
      </w:r>
    </w:p>
    <w:p>
      <w:r>
        <w:rPr>
          <w:b/>
        </w:rPr>
        <w:t xml:space="preserve">8.4.9 </w:t>
      </w:r>
      <w:r>
        <w:t xml:space="preserve"> 张弦网壳结构的索张拉应考虑多索分批张拉相互间的影响，单层网壳和厚度较小的双层网壳的索张拉时，应注意防止结构的局部或整体失稳。</w:t>
      </w:r>
    </w:p>
    <w:p>
      <w:r>
        <w:rPr>
          <w:b/>
        </w:rPr>
        <w:t xml:space="preserve">8.4.10 </w:t>
      </w:r>
      <w:r>
        <w:t xml:space="preserve"> 张拉后在拆除临时支撑结构过程中，应防止个别支撑点集中受力，宜根据各支撑点的结构自重挠度值，采取分区、分阶段按比例下降或用每步不大于10mm的等步下降法拆除支撑点，并应保证结构安装满足设计要求。</w:t>
      </w:r>
    </w:p>
    <w:p>
      <w:pPr>
        <w:pStyle w:val="3"/>
        <w:spacing w:before="156" w:after="156"/>
      </w:pPr>
      <w:bookmarkStart w:id="145" w:name="_Toc150008234"/>
      <w:bookmarkStart w:id="146" w:name="_Toc152589137"/>
      <w:bookmarkStart w:id="147" w:name="_Toc152589579"/>
      <w:bookmarkStart w:id="148" w:name="_Toc152588955"/>
      <w:bookmarkStart w:id="149" w:name="_Toc150008325"/>
      <w:r>
        <w:t>8.5安装和张拉质量要求</w:t>
      </w:r>
      <w:bookmarkEnd w:id="145"/>
      <w:bookmarkEnd w:id="146"/>
      <w:bookmarkEnd w:id="147"/>
      <w:bookmarkEnd w:id="148"/>
      <w:bookmarkEnd w:id="149"/>
    </w:p>
    <w:p>
      <w:r>
        <w:rPr>
          <w:b/>
        </w:rPr>
        <w:t>8.5.1</w:t>
      </w:r>
      <w:r>
        <w:t>各工序的施工，应在前一道工序质量检查合格后进行，未经检验或已经检验定为不合格的，严禁进行下道工序的施工。</w:t>
      </w:r>
    </w:p>
    <w:p>
      <w:r>
        <w:rPr>
          <w:b/>
        </w:rPr>
        <w:t>8.5.2</w:t>
      </w:r>
      <w:r>
        <w:t>对于平面索结构，张拉完成的同一根索锚固端距离偏差应不大于30mm和</w:t>
      </w:r>
      <w:r>
        <w:rPr>
          <w:i/>
        </w:rPr>
        <w:t>L</w:t>
      </w:r>
      <w:r>
        <w:t>/2000的较小值，相邻索夹节点间距离偏差应不大于5mm和</w:t>
      </w:r>
      <w:r>
        <w:rPr>
          <w:i/>
        </w:rPr>
        <w:t>L</w:t>
      </w:r>
      <w:r>
        <w:t>/2000的较小值。对于空间索结构，张拉完成的同一根索锚固端距离偏差应不大于50mm和</w:t>
      </w:r>
      <w:r>
        <w:rPr>
          <w:i/>
        </w:rPr>
        <w:t>L</w:t>
      </w:r>
      <w:r>
        <w:t>/1500的较小值，相邻索夹节点间距离偏差应不大于10mm和</w:t>
      </w:r>
      <w:r>
        <w:rPr>
          <w:i/>
        </w:rPr>
        <w:t>L</w:t>
      </w:r>
      <w:r>
        <w:t>/2000的较小值，</w:t>
      </w:r>
      <w:r>
        <w:rPr>
          <w:i/>
        </w:rPr>
        <w:t>L</w:t>
      </w:r>
      <w:r>
        <w:t>为拉索两锚固节点之间的距离。</w:t>
      </w:r>
    </w:p>
    <w:p>
      <w:r>
        <w:rPr>
          <w:b/>
        </w:rPr>
        <w:t>8.5.3</w:t>
      </w:r>
      <w:r>
        <w:t>索张拉完成后结构的拱度和垂度控制点的位形偏差不宜大于跨度的1/1000。</w:t>
      </w:r>
    </w:p>
    <w:p>
      <w:r>
        <w:rPr>
          <w:b/>
        </w:rPr>
        <w:t>8.5.4</w:t>
      </w:r>
      <w:r>
        <w:t>索张拉完成后结构体系的索力分布与初始状态目标值之间的误差应小于±10%。</w:t>
      </w:r>
    </w:p>
    <w:p>
      <w:r>
        <w:rPr>
          <w:b/>
        </w:rPr>
        <w:t>8.5.5</w:t>
      </w:r>
      <w:r>
        <w:t>索张拉完成后的预应力铝合金结构索力分布或几何位形不满足要求时，应根据实际索力分布和几何形态验算结构体系的安全性，并经设计认可。</w:t>
      </w:r>
    </w:p>
    <w:p>
      <w:pPr>
        <w:pStyle w:val="3"/>
        <w:spacing w:before="156" w:after="156"/>
      </w:pPr>
      <w:bookmarkStart w:id="150" w:name="_Toc150008326"/>
      <w:bookmarkStart w:id="151" w:name="_Toc152589138"/>
      <w:bookmarkStart w:id="152" w:name="_Toc150008235"/>
      <w:bookmarkStart w:id="153" w:name="_Toc152588956"/>
      <w:bookmarkStart w:id="154" w:name="_Toc152589580"/>
      <w:r>
        <w:t>8.6验收</w:t>
      </w:r>
      <w:bookmarkEnd w:id="150"/>
      <w:bookmarkEnd w:id="151"/>
      <w:bookmarkEnd w:id="152"/>
      <w:bookmarkEnd w:id="153"/>
      <w:bookmarkEnd w:id="154"/>
    </w:p>
    <w:p>
      <w:r>
        <w:rPr>
          <w:b/>
        </w:rPr>
        <w:t>8.6.1</w:t>
      </w:r>
      <w:r>
        <w:t>结构安装完成后应由建设单位组织施工、设计、监理等单位，对索及其连接部分，以及预应力铝合金结构其它部分，进行统一验收。</w:t>
      </w:r>
    </w:p>
    <w:p>
      <w:r>
        <w:rPr>
          <w:b/>
        </w:rPr>
        <w:t>8.6.2</w:t>
      </w:r>
      <w:r>
        <w:t>铝合金板件和型材的规格尺寸及允许偏差应符合其产品标准的要求。</w:t>
      </w:r>
    </w:p>
    <w:p>
      <w:pPr>
        <w:ind w:firstLine="420" w:firstLineChars="200"/>
      </w:pPr>
      <w:r>
        <w:t>检查数量：每一品种、规格的铝合金板材和型材抽查5处。</w:t>
      </w:r>
    </w:p>
    <w:p>
      <w:pPr>
        <w:ind w:firstLine="420" w:firstLineChars="200"/>
      </w:pPr>
      <w:r>
        <w:t>检验方法：用游标卡尺量测。</w:t>
      </w:r>
    </w:p>
    <w:p>
      <w:r>
        <w:rPr>
          <w:b/>
        </w:rPr>
        <w:t>8.6.3</w:t>
      </w:r>
      <w:r>
        <w:t>预应力铝合金结构连接用高强度大六角头螺栓连接副、</w:t>
      </w:r>
      <w:bookmarkStart w:id="155" w:name="OLE_LINK489"/>
      <w:bookmarkStart w:id="156" w:name="OLE_LINK488"/>
      <w:bookmarkStart w:id="157" w:name="OLE_LINK490"/>
      <w:r>
        <w:t>扭剪型高强度螺栓连接副、</w:t>
      </w:r>
      <w:bookmarkEnd w:id="155"/>
      <w:bookmarkEnd w:id="156"/>
      <w:bookmarkEnd w:id="157"/>
      <w:r>
        <w:t>高强度螺栓、普通螺栓、铆钉、自攻螺钉、环槽铆钉、锚栓（机械型和化学试剂型）、地脚锚栓等紧固标准件及螺母、垫圈等标准配件，其品种、规格、性能等应符合国家现行有关产品标准和设计要求。当无现行标准作为依据时，应提供符合设计性能要求的复验报告。高强度大六角头螺栓连接副、扭剪型高强度螺栓连接副出厂时应分别随箱带有扭矩系数和紧固轴力（预拉力）的检验报告。高强度大六角头螺栓连接副的扭矩系数和扭剪型高强度螺栓连接副的预拉力应按现行国家标准《钢结构工程施工质量验收标准》GB50205的要求进行复验。</w:t>
      </w:r>
    </w:p>
    <w:p>
      <w:r>
        <w:rPr>
          <w:b/>
        </w:rPr>
        <w:t>8.6.4</w:t>
      </w:r>
      <w:r>
        <w:t>铝合金紧固件、板件和型材的表面外观质量除应符合《铝合金结构工程施工质量验收标准》GB50576-2010的规定外，尚应符合下列规定：</w:t>
      </w:r>
    </w:p>
    <w:p>
      <w:pPr>
        <w:ind w:firstLine="422" w:firstLineChars="200"/>
      </w:pPr>
      <w:r>
        <w:rPr>
          <w:b/>
        </w:rPr>
        <w:t>1</w:t>
      </w:r>
      <w:r>
        <w:t xml:space="preserve"> 表面不应有皱纹、裂纹、起皮、腐蚀斑点、气泡、电灼伤、流痕、发粘以及膜（涂）层脱落等缺陷存在。</w:t>
      </w:r>
    </w:p>
    <w:p>
      <w:pPr>
        <w:ind w:firstLine="422" w:firstLineChars="200"/>
      </w:pPr>
      <w:r>
        <w:rPr>
          <w:b/>
        </w:rPr>
        <w:t>2</w:t>
      </w:r>
      <w:r>
        <w:t xml:space="preserve"> 端边或断口处不应有分层、夹渣等缺陷。</w:t>
      </w:r>
    </w:p>
    <w:p>
      <w:pPr>
        <w:ind w:firstLine="420" w:firstLineChars="200"/>
      </w:pPr>
      <w:r>
        <w:t>检查数量：全数检查。</w:t>
      </w:r>
    </w:p>
    <w:p>
      <w:pPr>
        <w:ind w:firstLine="420" w:firstLineChars="200"/>
      </w:pPr>
      <w:r>
        <w:t>检验方法：观察检查。</w:t>
      </w:r>
    </w:p>
    <w:p>
      <w:r>
        <w:rPr>
          <w:b/>
        </w:rPr>
        <w:t>8.6.5</w:t>
      </w:r>
      <w:r>
        <w:t>结构安装后的支座误差、结构轴线交点错位、小拼单元和中拼单元的允许偏差应符合现行国家标准《铝合金结构工程施工质量验收标准》GB50576-2010的要求。</w:t>
      </w:r>
    </w:p>
    <w:p>
      <w:r>
        <w:rPr>
          <w:b/>
        </w:rPr>
        <w:t>8.6.6</w:t>
      </w:r>
      <w:r>
        <w:t>索头长度、销轴直径、锚头开口深度等尺寸和偏差应符合现行相关产品标准的规定并满足设计要求。</w:t>
      </w:r>
    </w:p>
    <w:p>
      <w:pPr>
        <w:ind w:firstLine="420" w:firstLineChars="200"/>
      </w:pPr>
      <w:r>
        <w:t>检查数量：按照数量抽查10%，且不应少于3个；</w:t>
      </w:r>
    </w:p>
    <w:p>
      <w:pPr>
        <w:ind w:firstLine="420" w:firstLineChars="200"/>
      </w:pPr>
      <w:r>
        <w:t>检查方法：用游标卡尺、钢尺现场实测和观察。</w:t>
      </w:r>
    </w:p>
    <w:p>
      <w:r>
        <w:rPr>
          <w:b/>
        </w:rPr>
        <w:t>8.6.7</w:t>
      </w:r>
      <w:r>
        <w:t>索制作分项工程应按下列规定进行验收：</w:t>
      </w:r>
    </w:p>
    <w:p>
      <w:r>
        <w:rPr>
          <w:rFonts w:hint="eastAsia"/>
          <w:b/>
        </w:rPr>
        <w:t>1</w:t>
      </w:r>
      <w:r>
        <w:t>主控项目</w:t>
      </w:r>
    </w:p>
    <w:p>
      <w:pPr>
        <w:ind w:firstLine="420" w:firstLineChars="200"/>
      </w:pPr>
      <w:r>
        <w:rPr>
          <w:rFonts w:hint="eastAsia"/>
        </w:rPr>
        <w:t>1</w:t>
      </w:r>
      <w:r>
        <w:t>) 索外径允许偏差应按现行相关国家标准验收；</w:t>
      </w:r>
    </w:p>
    <w:p>
      <w:pPr>
        <w:ind w:firstLine="420" w:firstLineChars="200"/>
      </w:pPr>
      <w:r>
        <w:t>2) 成品拉索、拉杆长度允许偏差应符合表8.6.7-1的规定。玻璃幕墙用拉索交货长度的允许偏差应符合现行国家标准《建筑幕墙》GB/T 21086的有关规定。</w:t>
      </w:r>
    </w:p>
    <w:p>
      <w:pPr>
        <w:adjustRightInd w:val="0"/>
        <w:snapToGrid w:val="0"/>
        <w:jc w:val="center"/>
        <w:textAlignment w:val="center"/>
        <w:rPr>
          <w:rFonts w:eastAsia="黑体" w:cs="Times New Roman"/>
          <w:bCs/>
          <w:color w:val="000000"/>
          <w:sz w:val="18"/>
          <w:szCs w:val="18"/>
          <w:lang w:val="es-ES"/>
        </w:rPr>
      </w:pPr>
      <w:r>
        <w:rPr>
          <w:rFonts w:eastAsia="黑体" w:cs="Times New Roman"/>
          <w:bCs/>
          <w:color w:val="000000"/>
          <w:sz w:val="18"/>
          <w:szCs w:val="18"/>
          <w:lang w:val="es-ES"/>
        </w:rPr>
        <w:t>表8</w:t>
      </w:r>
      <w:r>
        <w:rPr>
          <w:rFonts w:eastAsia="黑体" w:cs="Times New Roman"/>
          <w:bCs/>
          <w:color w:val="000000"/>
          <w:sz w:val="18"/>
          <w:szCs w:val="18"/>
        </w:rPr>
        <w:t>.6.7</w:t>
      </w:r>
      <w:r>
        <w:rPr>
          <w:rFonts w:eastAsia="黑体" w:cs="Times New Roman"/>
          <w:bCs/>
          <w:color w:val="000000"/>
          <w:sz w:val="18"/>
          <w:szCs w:val="18"/>
          <w:lang w:val="es-ES"/>
        </w:rPr>
        <w:t>-1 拉索长度允许偏差</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2"/>
        <w:gridCol w:w="4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160" w:type="pct"/>
            <w:tcBorders>
              <w:top w:val="single" w:color="auto" w:sz="8" w:space="0"/>
              <w:left w:val="single" w:color="auto" w:sz="8" w:space="0"/>
              <w:bottom w:val="single" w:color="auto" w:sz="4"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拉索长度</w:t>
            </w:r>
            <w:r>
              <w:rPr>
                <w:rFonts w:cs="Times New Roman"/>
                <w:bCs/>
                <w:i/>
                <w:iCs/>
                <w:color w:val="000000"/>
                <w:sz w:val="18"/>
                <w:szCs w:val="18"/>
                <w:lang w:val="es-ES"/>
              </w:rPr>
              <w:t xml:space="preserve">L </w:t>
            </w:r>
            <w:r>
              <w:rPr>
                <w:rFonts w:cs="Times New Roman"/>
                <w:bCs/>
                <w:color w:val="000000"/>
                <w:sz w:val="18"/>
                <w:szCs w:val="18"/>
                <w:lang w:val="es-ES"/>
              </w:rPr>
              <w:t>(mm)</w:t>
            </w:r>
          </w:p>
        </w:tc>
        <w:tc>
          <w:tcPr>
            <w:tcW w:w="2840" w:type="pct"/>
            <w:tcBorders>
              <w:top w:val="single" w:color="auto" w:sz="8" w:space="0"/>
              <w:left w:val="single" w:color="auto" w:sz="4" w:space="0"/>
              <w:bottom w:val="single" w:color="auto" w:sz="4" w:space="0"/>
              <w:right w:val="single" w:color="auto" w:sz="8"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允许偏差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pct"/>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≤50</w:t>
            </w:r>
          </w:p>
        </w:tc>
        <w:tc>
          <w:tcPr>
            <w:tcW w:w="2840" w:type="pct"/>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pct"/>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50&lt;</w:t>
            </w:r>
            <w:r>
              <w:rPr>
                <w:rFonts w:cs="Times New Roman"/>
                <w:bCs/>
                <w:i/>
                <w:iCs/>
                <w:color w:val="000000"/>
                <w:sz w:val="18"/>
                <w:szCs w:val="18"/>
                <w:lang w:val="es-ES"/>
              </w:rPr>
              <w:t>L</w:t>
            </w:r>
            <w:r>
              <w:rPr>
                <w:rFonts w:cs="Times New Roman"/>
                <w:bCs/>
                <w:color w:val="000000"/>
                <w:sz w:val="18"/>
                <w:szCs w:val="18"/>
                <w:lang w:val="es-ES"/>
              </w:rPr>
              <w:t>≤100</w:t>
            </w:r>
          </w:p>
        </w:tc>
        <w:tc>
          <w:tcPr>
            <w:tcW w:w="2840" w:type="pct"/>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rPr>
              <w:t>±20</w:t>
            </w:r>
          </w:p>
        </w:tc>
      </w:tr>
      <w:bookmarkEnd w:id="12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pct"/>
            <w:tcBorders>
              <w:top w:val="single" w:color="auto" w:sz="4" w:space="0"/>
              <w:left w:val="single" w:color="auto" w:sz="8" w:space="0"/>
              <w:bottom w:val="single" w:color="auto" w:sz="8"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&gt;100</w:t>
            </w:r>
          </w:p>
        </w:tc>
        <w:tc>
          <w:tcPr>
            <w:tcW w:w="2840" w:type="pct"/>
            <w:tcBorders>
              <w:top w:val="single" w:color="auto" w:sz="4" w:space="0"/>
              <w:left w:val="single" w:color="auto" w:sz="4" w:space="0"/>
              <w:bottom w:val="single" w:color="auto" w:sz="8" w:space="0"/>
              <w:right w:val="single" w:color="auto" w:sz="8" w:space="0"/>
            </w:tcBorders>
            <w:vAlign w:val="center"/>
          </w:tcPr>
          <w:p>
            <w:pPr>
              <w:adjustRightInd w:val="0"/>
              <w:snapToGrid w:val="0"/>
              <w:spacing w:line="240" w:lineRule="auto"/>
              <w:jc w:val="center"/>
              <w:textAlignment w:val="center"/>
              <w:rPr>
                <w:rFonts w:cs="Times New Roman"/>
                <w:bCs/>
                <w:color w:val="000000"/>
                <w:sz w:val="18"/>
                <w:szCs w:val="18"/>
              </w:rPr>
            </w:pPr>
            <w:r>
              <w:rPr>
                <w:rFonts w:cs="Times New Roman"/>
                <w:bCs/>
                <w:color w:val="000000"/>
                <w:sz w:val="18"/>
                <w:szCs w:val="18"/>
              </w:rPr>
              <w:t>±</w:t>
            </w:r>
            <w:r>
              <w:rPr>
                <w:rFonts w:cs="Times New Roman"/>
                <w:bCs/>
                <w:i/>
                <w:iCs/>
                <w:color w:val="000000"/>
                <w:sz w:val="18"/>
                <w:szCs w:val="18"/>
                <w:lang w:val="es-ES"/>
              </w:rPr>
              <w:t>L</w:t>
            </w:r>
            <w:r>
              <w:rPr>
                <w:rFonts w:cs="Times New Roman"/>
                <w:bCs/>
                <w:color w:val="000000"/>
                <w:sz w:val="18"/>
                <w:szCs w:val="18"/>
                <w:lang w:val="es-ES"/>
              </w:rPr>
              <w:t>/5000</w:t>
            </w:r>
          </w:p>
        </w:tc>
      </w:tr>
    </w:tbl>
    <w:p>
      <w:pPr>
        <w:ind w:firstLine="420" w:firstLineChars="200"/>
      </w:pPr>
      <w:r>
        <w:rPr>
          <w:rFonts w:cs="Times New Roman"/>
        </w:rPr>
        <w:t xml:space="preserve">3) </w:t>
      </w:r>
      <w:r>
        <w:t>成品撑杆长度允许偏差应符合表8.6.7-2的规定：</w:t>
      </w:r>
    </w:p>
    <w:p>
      <w:pPr>
        <w:adjustRightInd w:val="0"/>
        <w:snapToGrid w:val="0"/>
        <w:jc w:val="center"/>
        <w:textAlignment w:val="center"/>
        <w:rPr>
          <w:rFonts w:eastAsia="黑体" w:cs="Times New Roman"/>
          <w:bCs/>
          <w:color w:val="000000"/>
          <w:sz w:val="18"/>
          <w:szCs w:val="18"/>
        </w:rPr>
      </w:pPr>
      <w:r>
        <w:rPr>
          <w:rFonts w:eastAsia="黑体" w:cs="Times New Roman"/>
          <w:bCs/>
          <w:color w:val="000000"/>
          <w:sz w:val="18"/>
          <w:szCs w:val="18"/>
          <w:lang w:val="es-ES"/>
        </w:rPr>
        <w:t>表8</w:t>
      </w:r>
      <w:r>
        <w:rPr>
          <w:rFonts w:eastAsia="黑体" w:cs="Times New Roman"/>
          <w:bCs/>
          <w:color w:val="000000"/>
          <w:sz w:val="18"/>
          <w:szCs w:val="18"/>
        </w:rPr>
        <w:t>.6.7</w:t>
      </w:r>
      <w:r>
        <w:rPr>
          <w:rFonts w:eastAsia="黑体" w:cs="Times New Roman"/>
          <w:bCs/>
          <w:color w:val="000000"/>
          <w:sz w:val="18"/>
          <w:szCs w:val="18"/>
          <w:lang w:val="es-ES"/>
        </w:rPr>
        <w:t>-2 撑杆长度允许偏差</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3"/>
        <w:gridCol w:w="4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589" w:type="pct"/>
            <w:tcBorders>
              <w:top w:val="single" w:color="auto" w:sz="8" w:space="0"/>
              <w:left w:val="single" w:color="auto" w:sz="8" w:space="0"/>
              <w:bottom w:val="single" w:color="auto" w:sz="4"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单根拉杆长度</w:t>
            </w:r>
            <w:r>
              <w:rPr>
                <w:rFonts w:cs="Times New Roman"/>
                <w:bCs/>
                <w:i/>
                <w:iCs/>
                <w:color w:val="000000"/>
                <w:sz w:val="18"/>
                <w:szCs w:val="18"/>
                <w:lang w:val="es-ES"/>
              </w:rPr>
              <w:t xml:space="preserve">L </w:t>
            </w:r>
            <w:r>
              <w:rPr>
                <w:rFonts w:cs="Times New Roman"/>
                <w:bCs/>
                <w:color w:val="000000"/>
                <w:sz w:val="18"/>
                <w:szCs w:val="18"/>
                <w:lang w:val="es-ES"/>
              </w:rPr>
              <w:t>(m)</w:t>
            </w:r>
          </w:p>
        </w:tc>
        <w:tc>
          <w:tcPr>
            <w:tcW w:w="2411" w:type="pct"/>
            <w:tcBorders>
              <w:top w:val="single" w:color="auto" w:sz="8" w:space="0"/>
              <w:left w:val="single" w:color="auto" w:sz="4" w:space="0"/>
              <w:bottom w:val="single" w:color="auto" w:sz="4" w:space="0"/>
              <w:right w:val="single" w:color="auto" w:sz="8"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允许偏差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≤5</w:t>
            </w:r>
          </w:p>
        </w:tc>
        <w:tc>
          <w:tcPr>
            <w:tcW w:w="2411" w:type="pct"/>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5&lt;</w:t>
            </w:r>
            <w:r>
              <w:rPr>
                <w:rFonts w:cs="Times New Roman"/>
                <w:bCs/>
                <w:i/>
                <w:iCs/>
                <w:color w:val="000000"/>
                <w:sz w:val="18"/>
                <w:szCs w:val="18"/>
                <w:lang w:val="es-ES"/>
              </w:rPr>
              <w:t>L</w:t>
            </w:r>
            <w:r>
              <w:rPr>
                <w:rFonts w:cs="Times New Roman"/>
                <w:bCs/>
                <w:color w:val="000000"/>
                <w:sz w:val="18"/>
                <w:szCs w:val="18"/>
                <w:lang w:val="es-ES"/>
              </w:rPr>
              <w:t>≤10</w:t>
            </w:r>
          </w:p>
        </w:tc>
        <w:tc>
          <w:tcPr>
            <w:tcW w:w="2411" w:type="pct"/>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tcBorders>
              <w:top w:val="single" w:color="auto" w:sz="4" w:space="0"/>
              <w:left w:val="single" w:color="auto" w:sz="8" w:space="0"/>
              <w:bottom w:val="single" w:color="auto" w:sz="8"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lang w:val="es-ES"/>
              </w:rPr>
            </w:pPr>
            <w:r>
              <w:rPr>
                <w:rFonts w:cs="Times New Roman"/>
                <w:bCs/>
                <w:color w:val="000000"/>
                <w:sz w:val="18"/>
                <w:szCs w:val="18"/>
                <w:lang w:val="es-ES"/>
              </w:rPr>
              <w:t>&gt;10</w:t>
            </w:r>
          </w:p>
        </w:tc>
        <w:tc>
          <w:tcPr>
            <w:tcW w:w="2411" w:type="pct"/>
            <w:tcBorders>
              <w:top w:val="single" w:color="auto" w:sz="4" w:space="0"/>
              <w:left w:val="single" w:color="auto" w:sz="4" w:space="0"/>
              <w:bottom w:val="single" w:color="auto" w:sz="8" w:space="0"/>
              <w:right w:val="single" w:color="auto" w:sz="8" w:space="0"/>
            </w:tcBorders>
            <w:vAlign w:val="center"/>
          </w:tcPr>
          <w:p>
            <w:pPr>
              <w:adjustRightInd w:val="0"/>
              <w:snapToGrid w:val="0"/>
              <w:spacing w:line="240" w:lineRule="auto"/>
              <w:jc w:val="center"/>
              <w:textAlignment w:val="center"/>
              <w:rPr>
                <w:rFonts w:cs="Times New Roman"/>
                <w:bCs/>
                <w:color w:val="000000"/>
                <w:sz w:val="18"/>
                <w:szCs w:val="18"/>
              </w:rPr>
            </w:pPr>
            <w:r>
              <w:rPr>
                <w:rFonts w:cs="Times New Roman"/>
                <w:bCs/>
                <w:color w:val="000000"/>
                <w:sz w:val="18"/>
                <w:szCs w:val="18"/>
              </w:rPr>
              <w:t>±</w:t>
            </w:r>
            <w:r>
              <w:rPr>
                <w:rFonts w:cs="Times New Roman"/>
                <w:bCs/>
                <w:color w:val="000000"/>
                <w:sz w:val="18"/>
                <w:szCs w:val="18"/>
                <w:lang w:val="es-ES"/>
              </w:rPr>
              <w:t>15</w:t>
            </w:r>
          </w:p>
        </w:tc>
      </w:tr>
    </w:tbl>
    <w:p>
      <w:r>
        <w:rPr>
          <w:rFonts w:hint="eastAsia"/>
          <w:b/>
        </w:rPr>
        <w:t>2</w:t>
      </w:r>
      <w:r>
        <w:t>一般项目</w:t>
      </w:r>
    </w:p>
    <w:p>
      <w:pPr>
        <w:ind w:firstLine="420" w:firstLineChars="200"/>
      </w:pPr>
      <w:r>
        <w:rPr>
          <w:rFonts w:hint="eastAsia"/>
        </w:rPr>
        <w:t>1</w:t>
      </w:r>
      <w:r>
        <w:t>) 索体表面应圆整、光洁、无损伤、无污垢、护套无破损；</w:t>
      </w:r>
    </w:p>
    <w:p>
      <w:pPr>
        <w:ind w:firstLine="420" w:firstLineChars="200"/>
      </w:pPr>
      <w:r>
        <w:t>2) 锚具及其他连接件表面应无损伤，表面涂装不应存在破损、起皱、发白等情况。</w:t>
      </w:r>
    </w:p>
    <w:p>
      <w:r>
        <w:rPr>
          <w:b/>
        </w:rPr>
        <w:t>8.6.8</w:t>
      </w:r>
      <w:r>
        <w:t>索张拉分项工程应按下列规定进行验收：</w:t>
      </w:r>
    </w:p>
    <w:p>
      <w:r>
        <w:rPr>
          <w:rFonts w:hint="eastAsia"/>
          <w:b/>
        </w:rPr>
        <w:t>1</w:t>
      </w:r>
      <w:r>
        <w:t>主控项目</w:t>
      </w:r>
    </w:p>
    <w:p>
      <w:pPr>
        <w:ind w:firstLine="420" w:firstLineChars="200"/>
      </w:pPr>
      <w:r>
        <w:t>1) 张拉完成的索力和垂度、拱度应符合本规程第8.5节的要求；</w:t>
      </w:r>
    </w:p>
    <w:p>
      <w:pPr>
        <w:ind w:firstLine="420" w:firstLineChars="200"/>
      </w:pPr>
      <w:r>
        <w:t>2) 索和其他结构构件连接的节点应符合设计要求；</w:t>
      </w:r>
    </w:p>
    <w:p>
      <w:pPr>
        <w:ind w:firstLine="420" w:firstLineChars="200"/>
      </w:pPr>
      <w:r>
        <w:t>3) 所有锚具和其他连接件应符合设计要求。</w:t>
      </w:r>
    </w:p>
    <w:p>
      <w:r>
        <w:rPr>
          <w:rFonts w:hint="eastAsia"/>
          <w:b/>
        </w:rPr>
        <w:t>2</w:t>
      </w:r>
      <w:r>
        <w:t>一般项目</w:t>
      </w:r>
    </w:p>
    <w:p>
      <w:pPr>
        <w:ind w:firstLine="420" w:firstLineChars="200"/>
      </w:pPr>
      <w:r>
        <w:t>1) 张拉完成后，索体表面应圆整、光洁、无损伤、无污垢、护套无破损，如果护套存在破损，应作相应的修补；</w:t>
      </w:r>
    </w:p>
    <w:p>
      <w:pPr>
        <w:ind w:firstLine="420" w:firstLineChars="200"/>
      </w:pPr>
      <w:r>
        <w:t>2) 张拉完成后，锚具及其他连接件表面应无损伤；如果存在损伤，应作相应的修补。</w:t>
      </w:r>
    </w:p>
    <w:p>
      <w:r>
        <w:rPr>
          <w:b/>
        </w:rPr>
        <w:t>8.6.9</w:t>
      </w:r>
      <w:r>
        <w:t>撑杆几何尺寸偏差应符合表8.6.9的规定。</w:t>
      </w:r>
    </w:p>
    <w:p>
      <w:pPr>
        <w:ind w:firstLine="420" w:firstLineChars="200"/>
      </w:pPr>
      <w:r>
        <w:t>检查数量：全数检查。</w:t>
      </w:r>
    </w:p>
    <w:p>
      <w:pPr>
        <w:ind w:firstLine="420" w:firstLineChars="200"/>
      </w:pPr>
      <w:r>
        <w:t>检验方法：检查产品检测报告。</w:t>
      </w:r>
    </w:p>
    <w:p>
      <w:pPr>
        <w:adjustRightInd w:val="0"/>
        <w:snapToGrid w:val="0"/>
        <w:jc w:val="center"/>
        <w:textAlignment w:val="center"/>
        <w:rPr>
          <w:rFonts w:eastAsia="黑体" w:cs="Times New Roman"/>
          <w:bCs/>
          <w:color w:val="000000"/>
          <w:sz w:val="18"/>
          <w:szCs w:val="18"/>
        </w:rPr>
      </w:pPr>
      <w:r>
        <w:rPr>
          <w:rFonts w:eastAsia="黑体" w:cs="Times New Roman"/>
          <w:bCs/>
          <w:color w:val="000000"/>
          <w:sz w:val="18"/>
          <w:szCs w:val="18"/>
        </w:rPr>
        <w:t>表8.6.10 撑杆长度允许偏差</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7" w:type="dxa"/>
          <w:bottom w:w="0" w:type="dxa"/>
          <w:right w:w="107" w:type="dxa"/>
        </w:tblCellMar>
      </w:tblPr>
      <w:tblGrid>
        <w:gridCol w:w="3621"/>
        <w:gridCol w:w="4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trHeight w:val="284" w:hRule="atLeast"/>
          <w:jc w:val="center"/>
        </w:trPr>
        <w:tc>
          <w:tcPr>
            <w:tcW w:w="2125" w:type="pct"/>
            <w:tcBorders>
              <w:top w:val="single" w:color="auto" w:sz="12" w:space="0"/>
              <w:left w:val="single" w:color="auto" w:sz="12" w:space="0"/>
              <w:bottom w:val="single" w:color="auto" w:sz="4"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rPr>
            </w:pPr>
            <w:r>
              <w:rPr>
                <w:rFonts w:cs="Times New Roman"/>
                <w:bCs/>
                <w:color w:val="000000"/>
                <w:sz w:val="18"/>
                <w:szCs w:val="18"/>
              </w:rPr>
              <w:t>项目</w:t>
            </w:r>
          </w:p>
        </w:tc>
        <w:tc>
          <w:tcPr>
            <w:tcW w:w="2875" w:type="pct"/>
            <w:tcBorders>
              <w:top w:val="single" w:color="auto" w:sz="12" w:space="0"/>
              <w:left w:val="single" w:color="auto" w:sz="4" w:space="0"/>
              <w:bottom w:val="single" w:color="auto" w:sz="4" w:space="0"/>
              <w:right w:val="single" w:color="auto" w:sz="12" w:space="0"/>
            </w:tcBorders>
            <w:vAlign w:val="center"/>
          </w:tcPr>
          <w:p>
            <w:pPr>
              <w:adjustRightInd w:val="0"/>
              <w:snapToGrid w:val="0"/>
              <w:spacing w:line="240" w:lineRule="auto"/>
              <w:jc w:val="center"/>
              <w:textAlignment w:val="center"/>
              <w:rPr>
                <w:rFonts w:cs="Times New Roman"/>
                <w:bCs/>
                <w:color w:val="000000"/>
                <w:sz w:val="18"/>
                <w:szCs w:val="18"/>
              </w:rPr>
            </w:pPr>
            <w:r>
              <w:rPr>
                <w:rFonts w:cs="Times New Roman"/>
                <w:bCs/>
                <w:color w:val="000000"/>
                <w:sz w:val="18"/>
                <w:szCs w:val="18"/>
              </w:rPr>
              <w:t>允许偏差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2125" w:type="pct"/>
            <w:tcBorders>
              <w:top w:val="single" w:color="auto" w:sz="4" w:space="0"/>
              <w:left w:val="single" w:color="auto" w:sz="12" w:space="0"/>
              <w:bottom w:val="single" w:color="auto" w:sz="4"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rPr>
            </w:pPr>
            <w:r>
              <w:rPr>
                <w:rFonts w:cs="Times New Roman"/>
                <w:bCs/>
                <w:color w:val="000000"/>
                <w:sz w:val="18"/>
                <w:szCs w:val="18"/>
              </w:rPr>
              <w:t>撑杆长度</w:t>
            </w:r>
            <w:r>
              <w:rPr>
                <w:rFonts w:cs="Times New Roman"/>
                <w:bCs/>
                <w:i/>
                <w:iCs/>
                <w:color w:val="000000"/>
                <w:sz w:val="18"/>
                <w:szCs w:val="18"/>
              </w:rPr>
              <w:t>l</w:t>
            </w:r>
          </w:p>
        </w:tc>
        <w:tc>
          <w:tcPr>
            <w:tcW w:w="2875" w:type="pct"/>
            <w:tcBorders>
              <w:top w:val="single" w:color="auto" w:sz="4" w:space="0"/>
              <w:left w:val="single" w:color="auto" w:sz="4" w:space="0"/>
              <w:bottom w:val="single" w:color="auto" w:sz="4" w:space="0"/>
              <w:right w:val="single" w:color="auto" w:sz="12" w:space="0"/>
            </w:tcBorders>
            <w:vAlign w:val="center"/>
          </w:tcPr>
          <w:p>
            <w:pPr>
              <w:adjustRightInd w:val="0"/>
              <w:snapToGrid w:val="0"/>
              <w:spacing w:line="240" w:lineRule="auto"/>
              <w:jc w:val="center"/>
              <w:textAlignment w:val="center"/>
              <w:rPr>
                <w:rFonts w:cs="Times New Roman"/>
                <w:bCs/>
                <w:color w:val="000000"/>
                <w:sz w:val="18"/>
                <w:szCs w:val="18"/>
              </w:rPr>
            </w:pPr>
            <w:r>
              <w:rPr>
                <w:rFonts w:cs="Times New Roman"/>
                <w:bCs/>
                <w:color w:val="000000"/>
                <w:sz w:val="18"/>
                <w:szCs w:val="18"/>
              </w:rPr>
              <w:t>±1mm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trHeight w:val="284" w:hRule="atLeast"/>
          <w:jc w:val="center"/>
        </w:trPr>
        <w:tc>
          <w:tcPr>
            <w:tcW w:w="2125" w:type="pct"/>
            <w:tcBorders>
              <w:top w:val="single" w:color="auto" w:sz="4" w:space="0"/>
              <w:left w:val="single" w:color="auto" w:sz="12" w:space="0"/>
              <w:bottom w:val="single" w:color="auto" w:sz="12" w:space="0"/>
              <w:right w:val="single" w:color="auto" w:sz="4" w:space="0"/>
            </w:tcBorders>
            <w:vAlign w:val="center"/>
          </w:tcPr>
          <w:p>
            <w:pPr>
              <w:adjustRightInd w:val="0"/>
              <w:snapToGrid w:val="0"/>
              <w:spacing w:line="240" w:lineRule="auto"/>
              <w:jc w:val="center"/>
              <w:textAlignment w:val="center"/>
              <w:rPr>
                <w:rFonts w:cs="Times New Roman"/>
                <w:bCs/>
                <w:color w:val="000000"/>
                <w:sz w:val="18"/>
                <w:szCs w:val="18"/>
              </w:rPr>
            </w:pPr>
            <w:r>
              <w:rPr>
                <w:rFonts w:cs="Times New Roman"/>
                <w:bCs/>
                <w:color w:val="000000"/>
                <w:sz w:val="18"/>
                <w:szCs w:val="18"/>
              </w:rPr>
              <w:t>直线度</w:t>
            </w:r>
          </w:p>
        </w:tc>
        <w:tc>
          <w:tcPr>
            <w:tcW w:w="2875" w:type="pct"/>
            <w:tcBorders>
              <w:top w:val="single" w:color="auto" w:sz="4" w:space="0"/>
              <w:left w:val="single" w:color="auto" w:sz="4" w:space="0"/>
              <w:bottom w:val="single" w:color="auto" w:sz="12" w:space="0"/>
              <w:right w:val="single" w:color="auto" w:sz="12" w:space="0"/>
            </w:tcBorders>
            <w:vAlign w:val="center"/>
          </w:tcPr>
          <w:p>
            <w:pPr>
              <w:adjustRightInd w:val="0"/>
              <w:snapToGrid w:val="0"/>
              <w:spacing w:line="240" w:lineRule="auto"/>
              <w:jc w:val="center"/>
              <w:textAlignment w:val="center"/>
              <w:rPr>
                <w:rFonts w:cs="Times New Roman"/>
                <w:bCs/>
                <w:color w:val="000000"/>
                <w:sz w:val="18"/>
                <w:szCs w:val="18"/>
              </w:rPr>
            </w:pPr>
            <w:r>
              <w:rPr>
                <w:rFonts w:cs="Times New Roman"/>
                <w:bCs/>
                <w:i/>
                <w:iCs/>
                <w:color w:val="000000"/>
                <w:sz w:val="18"/>
                <w:szCs w:val="18"/>
              </w:rPr>
              <w:t>l</w:t>
            </w:r>
            <w:r>
              <w:rPr>
                <w:rFonts w:cs="Times New Roman"/>
                <w:bCs/>
                <w:color w:val="000000"/>
                <w:sz w:val="18"/>
                <w:szCs w:val="18"/>
              </w:rPr>
              <w:t>/3000，且不应大于±1.5mm</w:t>
            </w:r>
          </w:p>
        </w:tc>
      </w:tr>
    </w:tbl>
    <w:p>
      <w:pPr>
        <w:adjustRightInd w:val="0"/>
        <w:snapToGrid w:val="0"/>
        <w:textAlignment w:val="center"/>
        <w:rPr>
          <w:rFonts w:eastAsia="黑体" w:cs="Times New Roman"/>
          <w:bCs/>
          <w:color w:val="000000"/>
          <w:sz w:val="18"/>
          <w:szCs w:val="18"/>
        </w:rPr>
      </w:pPr>
      <w:r>
        <w:rPr>
          <w:rFonts w:eastAsia="黑体" w:cs="Times New Roman"/>
          <w:bCs/>
          <w:color w:val="000000"/>
          <w:sz w:val="18"/>
          <w:szCs w:val="18"/>
        </w:rPr>
        <w:t>注：撑杆长度</w:t>
      </w:r>
      <w:r>
        <w:rPr>
          <w:rFonts w:eastAsia="黑体" w:cs="Times New Roman"/>
          <w:bCs/>
          <w:i/>
          <w:iCs/>
          <w:color w:val="000000"/>
          <w:sz w:val="18"/>
          <w:szCs w:val="18"/>
        </w:rPr>
        <w:t>l</w:t>
      </w:r>
      <w:r>
        <w:rPr>
          <w:rFonts w:eastAsia="黑体" w:cs="Times New Roman"/>
          <w:bCs/>
          <w:color w:val="000000"/>
          <w:sz w:val="18"/>
          <w:szCs w:val="18"/>
        </w:rPr>
        <w:t>指撑杆两端耳板销孔之间的直线距离。</w:t>
      </w:r>
    </w:p>
    <w:p>
      <w:r>
        <w:rPr>
          <w:b/>
        </w:rPr>
        <w:t>8.6.10</w:t>
      </w:r>
      <w:r>
        <w:t>节点和撑杆制作中的焊接工程质量验收，应符合现行国家标准《钢结构工程施工质量验收标准》GB 50205和《钢结构焊接规范》GB 50661的有关检查数量：按照GB 50205和GB 50661标准的规定执行。</w:t>
      </w:r>
    </w:p>
    <w:p>
      <w:pPr>
        <w:ind w:firstLine="420" w:firstLineChars="200"/>
      </w:pPr>
      <w:r>
        <w:t>检查数量：全数检查。</w:t>
      </w:r>
    </w:p>
    <w:p>
      <w:pPr>
        <w:ind w:firstLine="420" w:firstLineChars="200"/>
      </w:pPr>
      <w:r>
        <w:t>检验方法：检查焊缝质量证明文件。</w:t>
      </w:r>
    </w:p>
    <w:p>
      <w:r>
        <w:rPr>
          <w:b/>
        </w:rPr>
        <w:t>8.6.11</w:t>
      </w:r>
      <w:r>
        <w:t>安装完成的撑杆垂度应满足设计要求；张拉完成后的撑杆杆端相对位置偏差不应超过撑杆长度的1%，且偏差值不应大于50mm。</w:t>
      </w:r>
    </w:p>
    <w:p>
      <w:r>
        <w:rPr>
          <w:b/>
        </w:rPr>
        <w:t>8.6.12</w:t>
      </w:r>
      <w:r>
        <w:t>预应力铝合金工程的竣工验收，应具备下列文件和资料：</w:t>
      </w:r>
    </w:p>
    <w:p>
      <w:pPr>
        <w:ind w:firstLine="422" w:firstLineChars="200"/>
      </w:pPr>
      <w:r>
        <w:rPr>
          <w:rFonts w:hint="eastAsia"/>
          <w:b/>
        </w:rPr>
        <w:t>1</w:t>
      </w:r>
      <w:r>
        <w:t>设计文件、安装图、竣工图、图纸会审记录，设计变更文件；</w:t>
      </w:r>
    </w:p>
    <w:p>
      <w:pPr>
        <w:ind w:firstLine="422" w:firstLineChars="200"/>
      </w:pPr>
      <w:r>
        <w:rPr>
          <w:b/>
        </w:rPr>
        <w:t>2</w:t>
      </w:r>
      <w:r>
        <w:t>施工组织设计或施工方案，技术交底记录；</w:t>
      </w:r>
    </w:p>
    <w:p>
      <w:pPr>
        <w:ind w:firstLine="422" w:firstLineChars="200"/>
      </w:pPr>
      <w:r>
        <w:rPr>
          <w:b/>
        </w:rPr>
        <w:t>3</w:t>
      </w:r>
      <w:r>
        <w:t>材料出厂质量证明文件和进场检验报告，包括：原材料检验、索材检验、锚具和连接件检验等；</w:t>
      </w:r>
    </w:p>
    <w:p>
      <w:pPr>
        <w:ind w:firstLine="422" w:firstLineChars="200"/>
      </w:pPr>
      <w:r>
        <w:rPr>
          <w:b/>
        </w:rPr>
        <w:t>4</w:t>
      </w:r>
      <w:r>
        <w:t>施工检验记录、隐蔽工程验收记录、加工安装自检记录、张拉行程和索力记录、施工现场质量检查记录、不合格项目处理记录及其他相关文件。</w:t>
      </w:r>
    </w:p>
    <w:p>
      <w:r>
        <w:rPr>
          <w:b/>
        </w:rPr>
        <w:t>8.6.13</w:t>
      </w:r>
      <w:r>
        <w:t>当预应力铝合金结构工程施工质量不符合本标准要求时，应按下列规定进行处理：</w:t>
      </w:r>
    </w:p>
    <w:p>
      <w:pPr>
        <w:ind w:firstLine="422" w:firstLineChars="200"/>
      </w:pPr>
      <w:r>
        <w:rPr>
          <w:rFonts w:hint="eastAsia"/>
          <w:b/>
        </w:rPr>
        <w:t>1</w:t>
      </w:r>
      <w:r>
        <w:rPr>
          <w:b/>
        </w:rPr>
        <w:t xml:space="preserve"> </w:t>
      </w:r>
      <w:r>
        <w:t>经返工重做或更换构（配）件的检验批，应重新进行验收；</w:t>
      </w:r>
    </w:p>
    <w:p>
      <w:pPr>
        <w:ind w:firstLine="422" w:firstLineChars="200"/>
      </w:pPr>
      <w:r>
        <w:rPr>
          <w:b/>
        </w:rPr>
        <w:t xml:space="preserve">2 </w:t>
      </w:r>
      <w:r>
        <w:t>经有资质的检测单位检测鉴定能够达到设计要求的检验批，应予以验收；</w:t>
      </w:r>
    </w:p>
    <w:p>
      <w:pPr>
        <w:ind w:firstLine="422" w:firstLineChars="200"/>
      </w:pPr>
      <w:r>
        <w:rPr>
          <w:b/>
        </w:rPr>
        <w:t xml:space="preserve">3 </w:t>
      </w:r>
      <w:r>
        <w:t>经设计单位核算认可能够满足结构安全和使用功能的检验批，应予以验收；</w:t>
      </w:r>
    </w:p>
    <w:p>
      <w:pPr>
        <w:ind w:firstLine="422" w:firstLineChars="200"/>
        <w:sectPr>
          <w:pgSz w:w="11906" w:h="16838"/>
          <w:pgMar w:top="1440" w:right="1800" w:bottom="1440" w:left="1800" w:header="851" w:footer="992" w:gutter="0"/>
          <w:cols w:space="720" w:num="1"/>
          <w:docGrid w:type="lines" w:linePitch="312" w:charSpace="0"/>
        </w:sectPr>
      </w:pPr>
      <w:r>
        <w:rPr>
          <w:b/>
        </w:rPr>
        <w:t xml:space="preserve">4 </w:t>
      </w:r>
      <w:r>
        <w:t>经返修或加固处理的分项、分部工程，虽然改变外形尺寸但仍能满足安全使用要求，应按处理技术方案和协商文件进行验收。</w:t>
      </w:r>
    </w:p>
    <w:p>
      <w:pPr>
        <w:pStyle w:val="2"/>
      </w:pPr>
      <w:bookmarkStart w:id="158" w:name="_Toc150008236"/>
      <w:bookmarkStart w:id="159" w:name="_Toc152589581"/>
      <w:bookmarkStart w:id="160" w:name="_Toc152588957"/>
      <w:bookmarkStart w:id="161" w:name="_Toc152589139"/>
      <w:bookmarkStart w:id="162" w:name="_Toc150008327"/>
      <w:bookmarkStart w:id="163" w:name="_Toc67921197"/>
      <w:bookmarkStart w:id="164" w:name="_Toc68892583"/>
      <w:bookmarkStart w:id="165" w:name="_Toc68891095"/>
      <w:bookmarkStart w:id="166" w:name="_Toc68556690"/>
      <w:r>
        <w:t>9  防护与检测监测</w:t>
      </w:r>
      <w:bookmarkEnd w:id="158"/>
      <w:bookmarkEnd w:id="159"/>
      <w:bookmarkEnd w:id="160"/>
      <w:bookmarkEnd w:id="161"/>
      <w:bookmarkEnd w:id="162"/>
    </w:p>
    <w:p>
      <w:pPr>
        <w:pStyle w:val="3"/>
        <w:spacing w:before="156" w:after="156"/>
      </w:pPr>
      <w:bookmarkStart w:id="167" w:name="_Toc152589140"/>
      <w:bookmarkStart w:id="168" w:name="_Toc150008328"/>
      <w:bookmarkStart w:id="169" w:name="_Toc152588958"/>
      <w:bookmarkStart w:id="170" w:name="_Toc152589582"/>
      <w:bookmarkStart w:id="171" w:name="_Toc150008237"/>
      <w:r>
        <w:t>9.1防腐</w:t>
      </w:r>
      <w:bookmarkEnd w:id="167"/>
      <w:bookmarkEnd w:id="168"/>
      <w:bookmarkEnd w:id="169"/>
      <w:bookmarkEnd w:id="170"/>
      <w:bookmarkEnd w:id="171"/>
    </w:p>
    <w:p>
      <w:r>
        <w:rPr>
          <w:b/>
        </w:rPr>
        <w:t xml:space="preserve">9.1.1 </w:t>
      </w:r>
      <w:r>
        <w:t xml:space="preserve"> 在下列情况下应对铝合金材料进行表面处理：</w:t>
      </w:r>
    </w:p>
    <w:p>
      <w:pPr>
        <w:ind w:firstLine="422" w:firstLineChars="200"/>
      </w:pPr>
      <w:r>
        <w:rPr>
          <w:b/>
        </w:rPr>
        <w:t xml:space="preserve">1 </w:t>
      </w:r>
      <w:r>
        <w:t>处于潮湿环境中；</w:t>
      </w:r>
    </w:p>
    <w:p>
      <w:pPr>
        <w:ind w:firstLine="422" w:firstLineChars="200"/>
      </w:pPr>
      <w:r>
        <w:rPr>
          <w:b/>
        </w:rPr>
        <w:t>2</w:t>
      </w:r>
      <w:r>
        <w:t>铝与其他材料接触；</w:t>
      </w:r>
    </w:p>
    <w:p>
      <w:pPr>
        <w:ind w:firstLine="422" w:firstLineChars="200"/>
      </w:pPr>
      <w:r>
        <w:rPr>
          <w:b/>
        </w:rPr>
        <w:t>3</w:t>
      </w:r>
      <w:r>
        <w:t>暴露于腐蚀环境中。</w:t>
      </w:r>
    </w:p>
    <w:p>
      <w:r>
        <w:rPr>
          <w:b/>
        </w:rPr>
        <w:t>9.1.2</w:t>
      </w:r>
      <w:r>
        <w:t>铝合金材料在进行表面处理前应进行预处理，表面预处理包括：</w:t>
      </w:r>
    </w:p>
    <w:p>
      <w:pPr>
        <w:ind w:firstLine="422" w:firstLineChars="200"/>
      </w:pPr>
      <w:r>
        <w:rPr>
          <w:b/>
        </w:rPr>
        <w:t>1</w:t>
      </w:r>
      <w:r>
        <w:t xml:space="preserve"> 化学清洗；</w:t>
      </w:r>
    </w:p>
    <w:p>
      <w:pPr>
        <w:ind w:firstLine="422" w:firstLineChars="200"/>
      </w:pPr>
      <w:r>
        <w:rPr>
          <w:b/>
        </w:rPr>
        <w:t>2</w:t>
      </w:r>
      <w:r>
        <w:t xml:space="preserve"> 喷砂；</w:t>
      </w:r>
    </w:p>
    <w:p>
      <w:pPr>
        <w:ind w:firstLine="422" w:firstLineChars="200"/>
      </w:pPr>
      <w:r>
        <w:rPr>
          <w:b/>
        </w:rPr>
        <w:t>3</w:t>
      </w:r>
      <w:r>
        <w:t>不封孔的阳极氧化；</w:t>
      </w:r>
    </w:p>
    <w:p>
      <w:pPr>
        <w:ind w:firstLine="422" w:firstLineChars="200"/>
      </w:pPr>
      <w:r>
        <w:rPr>
          <w:b/>
        </w:rPr>
        <w:t>4</w:t>
      </w:r>
      <w:r>
        <w:t>化学转化涂层。</w:t>
      </w:r>
    </w:p>
    <w:p>
      <w:r>
        <w:rPr>
          <w:b/>
        </w:rPr>
        <w:t>9.1.3</w:t>
      </w:r>
      <w:r>
        <w:t xml:space="preserve">  铝合金结构、构件应在表面预处理后立即进行表面处理。可采用阳极氧化、电泳涂漆、喷粉、喷漆、烤漆等表面处理措施，并应按现行国家标准《铝合金建筑型材》GB 5237的规定执行。</w:t>
      </w:r>
    </w:p>
    <w:p>
      <w:r>
        <w:rPr>
          <w:b/>
        </w:rPr>
        <w:t>9.1.4</w:t>
      </w:r>
      <w:r>
        <w:t xml:space="preserve">  阳极氧化性能应由氧化膜外观、颜色、最大厚度、反射率、耐磨性、耐蚀性、耐附着性及击穿电压等内容决定。阳极氧化膜的检测方法应按现行国家标准《铝合金建筑型材》GB 5237的规定执行。</w:t>
      </w:r>
    </w:p>
    <w:p>
      <w:pPr>
        <w:ind w:firstLine="420" w:firstLineChars="200"/>
      </w:pPr>
      <w:r>
        <w:t>氧化膜厚度级别应根据结构的使用环境和条件确定，应符合表9.1.4的规定。用于铝合金结构构件的氧化膜级别不应小于AA15。对于大气污染条件恶劣的环境或有耐磨要求时氧化膜级别应选用AA20、AA25。</w:t>
      </w:r>
    </w:p>
    <w:p>
      <w:pPr>
        <w:jc w:val="center"/>
        <w:rPr>
          <w:rFonts w:eastAsia="黑体" w:cs="Times New Roman"/>
          <w:sz w:val="18"/>
          <w:szCs w:val="18"/>
        </w:rPr>
      </w:pPr>
      <w:bookmarkStart w:id="172" w:name="_Toc152589141"/>
      <w:bookmarkStart w:id="173" w:name="_Toc152588959"/>
      <w:r>
        <w:rPr>
          <w:rFonts w:eastAsia="黑体" w:cs="Times New Roman"/>
          <w:sz w:val="18"/>
          <w:szCs w:val="18"/>
        </w:rPr>
        <w:t>表9.1.4氧化膜厚度级别</w:t>
      </w:r>
      <w:bookmarkEnd w:id="172"/>
      <w:bookmarkEnd w:id="173"/>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7" w:type="dxa"/>
          <w:bottom w:w="0" w:type="dxa"/>
          <w:right w:w="107" w:type="dxa"/>
        </w:tblCellMar>
      </w:tblPr>
      <w:tblGrid>
        <w:gridCol w:w="2840"/>
        <w:gridCol w:w="2841"/>
        <w:gridCol w:w="2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trHeight w:val="284" w:hRule="atLeast"/>
          <w:jc w:val="center"/>
        </w:trPr>
        <w:tc>
          <w:tcPr>
            <w:tcW w:w="1667" w:type="pct"/>
            <w:tcBorders>
              <w:top w:val="single" w:color="auto" w:sz="12" w:space="0"/>
              <w:left w:val="single" w:color="auto" w:sz="12" w:space="0"/>
              <w:bottom w:val="single" w:color="auto" w:sz="4" w:space="0"/>
              <w:right w:val="single" w:color="auto" w:sz="4" w:space="0"/>
            </w:tcBorders>
            <w:vAlign w:val="bottom"/>
          </w:tcPr>
          <w:p>
            <w:pPr>
              <w:spacing w:line="240" w:lineRule="auto"/>
              <w:jc w:val="center"/>
              <w:rPr>
                <w:sz w:val="18"/>
                <w:szCs w:val="18"/>
              </w:rPr>
            </w:pPr>
            <w:r>
              <w:rPr>
                <w:sz w:val="18"/>
                <w:szCs w:val="18"/>
              </w:rPr>
              <w:t>级别</w:t>
            </w:r>
          </w:p>
        </w:tc>
        <w:tc>
          <w:tcPr>
            <w:tcW w:w="1667" w:type="pct"/>
            <w:tcBorders>
              <w:top w:val="single" w:color="auto" w:sz="12" w:space="0"/>
              <w:left w:val="single" w:color="auto" w:sz="4" w:space="0"/>
              <w:bottom w:val="single" w:color="auto" w:sz="4" w:space="0"/>
              <w:right w:val="single" w:color="auto" w:sz="4" w:space="0"/>
            </w:tcBorders>
            <w:vAlign w:val="bottom"/>
          </w:tcPr>
          <w:p>
            <w:pPr>
              <w:spacing w:line="240" w:lineRule="auto"/>
              <w:jc w:val="center"/>
              <w:rPr>
                <w:sz w:val="18"/>
                <w:szCs w:val="18"/>
              </w:rPr>
            </w:pPr>
            <w:r>
              <w:rPr>
                <w:sz w:val="18"/>
                <w:szCs w:val="18"/>
              </w:rPr>
              <w:t>最小平均膜厚(</w:t>
            </w:r>
            <w:r>
              <w:rPr>
                <w:sz w:val="18"/>
                <w:szCs w:val="18"/>
              </w:rPr>
              <w:sym w:font="Symbol" w:char="F06D"/>
            </w:r>
            <w:r>
              <w:rPr>
                <w:sz w:val="18"/>
                <w:szCs w:val="18"/>
              </w:rPr>
              <w:t>m)</w:t>
            </w:r>
          </w:p>
        </w:tc>
        <w:tc>
          <w:tcPr>
            <w:tcW w:w="1667" w:type="pct"/>
            <w:tcBorders>
              <w:top w:val="single" w:color="auto" w:sz="12" w:space="0"/>
              <w:left w:val="single" w:color="auto" w:sz="4" w:space="0"/>
              <w:bottom w:val="single" w:color="auto" w:sz="4" w:space="0"/>
              <w:right w:val="single" w:color="auto" w:sz="12" w:space="0"/>
            </w:tcBorders>
            <w:vAlign w:val="bottom"/>
          </w:tcPr>
          <w:p>
            <w:pPr>
              <w:spacing w:line="240" w:lineRule="auto"/>
              <w:jc w:val="center"/>
              <w:rPr>
                <w:sz w:val="18"/>
                <w:szCs w:val="18"/>
              </w:rPr>
            </w:pPr>
            <w:r>
              <w:rPr>
                <w:sz w:val="18"/>
                <w:szCs w:val="18"/>
              </w:rPr>
              <w:t>最小局部膜厚(</w:t>
            </w:r>
            <w:r>
              <w:rPr>
                <w:sz w:val="18"/>
                <w:szCs w:val="18"/>
              </w:rPr>
              <w:sym w:font="Symbol" w:char="F06D"/>
            </w:r>
            <w:r>
              <w:rPr>
                <w:sz w:val="18"/>
                <w:szCs w:val="18"/>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trHeight w:val="284" w:hRule="atLeast"/>
          <w:jc w:val="center"/>
        </w:trPr>
        <w:tc>
          <w:tcPr>
            <w:tcW w:w="1667" w:type="pct"/>
            <w:tcBorders>
              <w:top w:val="single" w:color="auto" w:sz="4" w:space="0"/>
              <w:left w:val="single" w:color="auto" w:sz="12" w:space="0"/>
              <w:bottom w:val="single" w:color="auto" w:sz="4" w:space="0"/>
              <w:right w:val="single" w:color="auto" w:sz="4" w:space="0"/>
            </w:tcBorders>
            <w:vAlign w:val="bottom"/>
          </w:tcPr>
          <w:p>
            <w:pPr>
              <w:spacing w:line="240" w:lineRule="auto"/>
              <w:jc w:val="center"/>
              <w:rPr>
                <w:sz w:val="18"/>
                <w:szCs w:val="18"/>
              </w:rPr>
            </w:pPr>
            <w:r>
              <w:rPr>
                <w:sz w:val="18"/>
                <w:szCs w:val="18"/>
              </w:rPr>
              <w:t>AA15</w:t>
            </w:r>
          </w:p>
        </w:tc>
        <w:tc>
          <w:tcPr>
            <w:tcW w:w="1667" w:type="pct"/>
            <w:tcBorders>
              <w:top w:val="single" w:color="auto" w:sz="4" w:space="0"/>
              <w:left w:val="single" w:color="auto" w:sz="4" w:space="0"/>
              <w:bottom w:val="single" w:color="auto" w:sz="4" w:space="0"/>
              <w:right w:val="single" w:color="auto" w:sz="4" w:space="0"/>
            </w:tcBorders>
            <w:vAlign w:val="bottom"/>
          </w:tcPr>
          <w:p>
            <w:pPr>
              <w:spacing w:line="240" w:lineRule="auto"/>
              <w:jc w:val="center"/>
              <w:rPr>
                <w:sz w:val="18"/>
                <w:szCs w:val="18"/>
              </w:rPr>
            </w:pPr>
            <w:r>
              <w:rPr>
                <w:sz w:val="18"/>
                <w:szCs w:val="18"/>
              </w:rPr>
              <w:t>15</w:t>
            </w:r>
          </w:p>
        </w:tc>
        <w:tc>
          <w:tcPr>
            <w:tcW w:w="1667" w:type="pct"/>
            <w:tcBorders>
              <w:top w:val="single" w:color="auto" w:sz="4" w:space="0"/>
              <w:left w:val="single" w:color="auto" w:sz="4" w:space="0"/>
              <w:bottom w:val="single" w:color="auto" w:sz="4" w:space="0"/>
              <w:right w:val="single" w:color="auto" w:sz="12" w:space="0"/>
            </w:tcBorders>
            <w:vAlign w:val="bottom"/>
          </w:tcPr>
          <w:p>
            <w:pPr>
              <w:spacing w:line="240" w:lineRule="auto"/>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trHeight w:val="284" w:hRule="atLeast"/>
          <w:jc w:val="center"/>
        </w:trPr>
        <w:tc>
          <w:tcPr>
            <w:tcW w:w="1667" w:type="pct"/>
            <w:tcBorders>
              <w:top w:val="single" w:color="auto" w:sz="4" w:space="0"/>
              <w:left w:val="single" w:color="auto" w:sz="12" w:space="0"/>
              <w:bottom w:val="single" w:color="auto" w:sz="4" w:space="0"/>
              <w:right w:val="single" w:color="auto" w:sz="4" w:space="0"/>
            </w:tcBorders>
            <w:vAlign w:val="bottom"/>
          </w:tcPr>
          <w:p>
            <w:pPr>
              <w:spacing w:line="240" w:lineRule="auto"/>
              <w:jc w:val="center"/>
              <w:rPr>
                <w:sz w:val="18"/>
                <w:szCs w:val="18"/>
              </w:rPr>
            </w:pPr>
            <w:r>
              <w:rPr>
                <w:sz w:val="18"/>
                <w:szCs w:val="18"/>
              </w:rPr>
              <w:t>AA20</w:t>
            </w:r>
          </w:p>
        </w:tc>
        <w:tc>
          <w:tcPr>
            <w:tcW w:w="1667" w:type="pct"/>
            <w:tcBorders>
              <w:top w:val="single" w:color="auto" w:sz="4" w:space="0"/>
              <w:left w:val="single" w:color="auto" w:sz="4" w:space="0"/>
              <w:bottom w:val="single" w:color="auto" w:sz="4" w:space="0"/>
              <w:right w:val="single" w:color="auto" w:sz="4" w:space="0"/>
            </w:tcBorders>
            <w:vAlign w:val="bottom"/>
          </w:tcPr>
          <w:p>
            <w:pPr>
              <w:spacing w:line="240" w:lineRule="auto"/>
              <w:jc w:val="center"/>
              <w:rPr>
                <w:sz w:val="18"/>
                <w:szCs w:val="18"/>
              </w:rPr>
            </w:pPr>
            <w:r>
              <w:rPr>
                <w:sz w:val="18"/>
                <w:szCs w:val="18"/>
              </w:rPr>
              <w:t>20</w:t>
            </w:r>
          </w:p>
        </w:tc>
        <w:tc>
          <w:tcPr>
            <w:tcW w:w="1667" w:type="pct"/>
            <w:tcBorders>
              <w:top w:val="single" w:color="auto" w:sz="4" w:space="0"/>
              <w:left w:val="single" w:color="auto" w:sz="4" w:space="0"/>
              <w:bottom w:val="single" w:color="auto" w:sz="4" w:space="0"/>
              <w:right w:val="single" w:color="auto" w:sz="12" w:space="0"/>
            </w:tcBorders>
            <w:vAlign w:val="bottom"/>
          </w:tcPr>
          <w:p>
            <w:pPr>
              <w:spacing w:line="240" w:lineRule="auto"/>
              <w:jc w:val="center"/>
              <w:rPr>
                <w:sz w:val="18"/>
                <w:szCs w:val="18"/>
              </w:rPr>
            </w:pPr>
            <w:r>
              <w:rPr>
                <w:sz w:val="18"/>
                <w:szCs w:val="18"/>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7" w:type="dxa"/>
            <w:bottom w:w="0" w:type="dxa"/>
            <w:right w:w="107" w:type="dxa"/>
          </w:tblCellMar>
        </w:tblPrEx>
        <w:trPr>
          <w:trHeight w:val="284" w:hRule="atLeast"/>
          <w:jc w:val="center"/>
        </w:trPr>
        <w:tc>
          <w:tcPr>
            <w:tcW w:w="1667" w:type="pct"/>
            <w:tcBorders>
              <w:top w:val="single" w:color="auto" w:sz="4" w:space="0"/>
              <w:left w:val="single" w:color="auto" w:sz="12" w:space="0"/>
              <w:bottom w:val="single" w:color="auto" w:sz="12" w:space="0"/>
              <w:right w:val="single" w:color="auto" w:sz="4" w:space="0"/>
            </w:tcBorders>
            <w:vAlign w:val="bottom"/>
          </w:tcPr>
          <w:p>
            <w:pPr>
              <w:spacing w:line="240" w:lineRule="auto"/>
              <w:jc w:val="center"/>
              <w:rPr>
                <w:sz w:val="18"/>
                <w:szCs w:val="18"/>
              </w:rPr>
            </w:pPr>
            <w:r>
              <w:rPr>
                <w:sz w:val="18"/>
                <w:szCs w:val="18"/>
              </w:rPr>
              <w:t>AA25</w:t>
            </w:r>
          </w:p>
        </w:tc>
        <w:tc>
          <w:tcPr>
            <w:tcW w:w="1667" w:type="pct"/>
            <w:tcBorders>
              <w:top w:val="single" w:color="auto" w:sz="4" w:space="0"/>
              <w:left w:val="single" w:color="auto" w:sz="4" w:space="0"/>
              <w:bottom w:val="single" w:color="auto" w:sz="12" w:space="0"/>
              <w:right w:val="single" w:color="auto" w:sz="4" w:space="0"/>
            </w:tcBorders>
            <w:vAlign w:val="bottom"/>
          </w:tcPr>
          <w:p>
            <w:pPr>
              <w:spacing w:line="240" w:lineRule="auto"/>
              <w:jc w:val="center"/>
              <w:rPr>
                <w:sz w:val="18"/>
                <w:szCs w:val="18"/>
              </w:rPr>
            </w:pPr>
            <w:r>
              <w:rPr>
                <w:sz w:val="18"/>
                <w:szCs w:val="18"/>
              </w:rPr>
              <w:t>25</w:t>
            </w:r>
          </w:p>
        </w:tc>
        <w:tc>
          <w:tcPr>
            <w:tcW w:w="1667" w:type="pct"/>
            <w:tcBorders>
              <w:top w:val="single" w:color="auto" w:sz="4" w:space="0"/>
              <w:left w:val="single" w:color="auto" w:sz="4" w:space="0"/>
              <w:bottom w:val="single" w:color="auto" w:sz="12" w:space="0"/>
              <w:right w:val="single" w:color="auto" w:sz="12" w:space="0"/>
            </w:tcBorders>
            <w:vAlign w:val="bottom"/>
          </w:tcPr>
          <w:p>
            <w:pPr>
              <w:spacing w:line="240" w:lineRule="auto"/>
              <w:jc w:val="center"/>
              <w:rPr>
                <w:sz w:val="18"/>
                <w:szCs w:val="18"/>
              </w:rPr>
            </w:pPr>
            <w:r>
              <w:rPr>
                <w:sz w:val="18"/>
                <w:szCs w:val="18"/>
              </w:rPr>
              <w:t>20</w:t>
            </w:r>
          </w:p>
        </w:tc>
      </w:tr>
    </w:tbl>
    <w:p>
      <w:r>
        <w:rPr>
          <w:b/>
        </w:rPr>
        <w:t>9.1.5</w:t>
      </w:r>
      <w:r>
        <w:t>当铝合金材料同其他会发生电化学腐蚀的金属材料或含酸性或碱性的非金属材料连接、接触或紧固时，应采用聚四氟乙烯板或其它与两侧材料都相容的无孔材料进行隔离。</w:t>
      </w:r>
    </w:p>
    <w:p>
      <w:r>
        <w:rPr>
          <w:b/>
        </w:rPr>
        <w:t>9.1.6</w:t>
      </w:r>
      <w:r>
        <w:t>铝合金材料与可能吸水的木材、纤维板或者其他多孔材料接触时，铝材表面宜喷涂。</w:t>
      </w:r>
    </w:p>
    <w:p>
      <w:r>
        <w:rPr>
          <w:b/>
        </w:rPr>
        <w:t>9.1.7</w:t>
      </w:r>
      <w:r>
        <w:t>铝合金材料与混凝土或砌体材料的接触应符合下列规定：</w:t>
      </w:r>
    </w:p>
    <w:p>
      <w:pPr>
        <w:ind w:firstLine="422" w:firstLineChars="200"/>
      </w:pPr>
      <w:r>
        <w:rPr>
          <w:b/>
        </w:rPr>
        <w:t>1</w:t>
      </w:r>
      <w:r>
        <w:t>混凝土或砌体材料在凝固后保持干燥且不含如氯化物等腐蚀性添加剂时，铝合金表面可不做处理；</w:t>
      </w:r>
    </w:p>
    <w:p>
      <w:pPr>
        <w:ind w:firstLine="422" w:firstLineChars="200"/>
      </w:pPr>
      <w:r>
        <w:rPr>
          <w:b/>
        </w:rPr>
        <w:t>2</w:t>
      </w:r>
      <w:r>
        <w:t>铝合金材料不应预埋到含有腐蚀性添加剂的混凝土中。</w:t>
      </w:r>
    </w:p>
    <w:p>
      <w:r>
        <w:rPr>
          <w:b/>
        </w:rPr>
        <w:t>9.1.8</w:t>
      </w:r>
      <w:r>
        <w:t>索和撑杆应根据所处环境与结构特性等条件采取相应的防腐措施和耐老化措施。其防腐措施包括索体和杆身防腐蚀、锚固自防腐蚀和传力点防腐蚀。索体与锚固之间应采取可靠的密封防水处理。索的防腐蚀措施不应影响索的使用寿命，并应具有抗老化性能。</w:t>
      </w:r>
    </w:p>
    <w:p>
      <w:r>
        <w:rPr>
          <w:b/>
        </w:rPr>
        <w:t>9.1.9</w:t>
      </w:r>
      <w:r>
        <w:t>撑杆杆体应将表面清除干净后进行防腐处理。撑杆安装前宜进行初级防腐处理，安装完毕后与整体结构进行最终防腐处理。</w:t>
      </w:r>
    </w:p>
    <w:p>
      <w:pPr>
        <w:pStyle w:val="3"/>
        <w:spacing w:before="156" w:after="156"/>
      </w:pPr>
      <w:bookmarkStart w:id="174" w:name="_Toc150008329"/>
      <w:bookmarkStart w:id="175" w:name="_Toc150008238"/>
      <w:bookmarkStart w:id="176" w:name="_Toc152589583"/>
      <w:bookmarkStart w:id="177" w:name="_Toc152588960"/>
      <w:bookmarkStart w:id="178" w:name="_Toc152589142"/>
      <w:r>
        <w:t>9.2防火</w:t>
      </w:r>
      <w:bookmarkEnd w:id="174"/>
      <w:bookmarkEnd w:id="175"/>
      <w:bookmarkEnd w:id="176"/>
      <w:bookmarkEnd w:id="177"/>
      <w:bookmarkEnd w:id="178"/>
    </w:p>
    <w:p>
      <w:r>
        <w:rPr>
          <w:b/>
        </w:rPr>
        <w:t>9.2.1</w:t>
      </w:r>
      <w:r>
        <w:t>预应力铝合金结构的防火应符合现行国家标准《建筑设计防火规范》GB50016、《铝合金结构设计规范》GB50429-2007、《建筑铝合金结构防火技术规程》T/CECS756-2020及其它相关标准的规定。</w:t>
      </w:r>
    </w:p>
    <w:p>
      <w:r>
        <w:rPr>
          <w:b/>
        </w:rPr>
        <w:t xml:space="preserve">9.2.2 </w:t>
      </w:r>
      <w:r>
        <w:t xml:space="preserve"> 预应力铝合金结构节点的防火保护应与被连接构件中防火保护要求最高者相同。</w:t>
      </w:r>
    </w:p>
    <w:p>
      <w:r>
        <w:rPr>
          <w:b/>
        </w:rPr>
        <w:t>9.2.3</w:t>
      </w:r>
      <w:r>
        <w:t xml:space="preserve">  索需要采用防火保护措施时，宜采用钢管内布索、钢管外涂敷防火涂料保护的方法。当拉索外露的塑料护套有防火要求时，应在塑料护套中添加阻燃材料或外涂满足防火要求的特殊涂料。</w:t>
      </w:r>
    </w:p>
    <w:p>
      <w:pPr>
        <w:pStyle w:val="3"/>
        <w:spacing w:before="156" w:after="156"/>
      </w:pPr>
      <w:bookmarkStart w:id="179" w:name="_Toc152589143"/>
      <w:bookmarkStart w:id="180" w:name="_Toc150008330"/>
      <w:bookmarkStart w:id="181" w:name="_Toc150008239"/>
      <w:bookmarkStart w:id="182" w:name="_Toc152588961"/>
      <w:bookmarkStart w:id="183" w:name="_Toc152589584"/>
      <w:r>
        <w:t>9.3维护</w:t>
      </w:r>
      <w:bookmarkEnd w:id="179"/>
      <w:bookmarkEnd w:id="180"/>
      <w:bookmarkEnd w:id="181"/>
      <w:bookmarkEnd w:id="182"/>
      <w:bookmarkEnd w:id="183"/>
    </w:p>
    <w:p>
      <w:r>
        <w:rPr>
          <w:b/>
        </w:rPr>
        <w:t>9.3.1</w:t>
      </w:r>
      <w:r>
        <w:t>重大工程项目应在设计文件中提供维修和保养说明，工程使用期内对重点部位进行检查和监测时应符合维修和保养说明的要求，结构用途、使用环境不应擅自变更或无序翻修。</w:t>
      </w:r>
    </w:p>
    <w:p>
      <w:r>
        <w:rPr>
          <w:b/>
        </w:rPr>
        <w:t>9.3.2</w:t>
      </w:r>
      <w:r>
        <w:t>暴露于室外的锚具不宜采用难以拆除的防护构造。</w:t>
      </w:r>
    </w:p>
    <w:p>
      <w:r>
        <w:rPr>
          <w:b/>
        </w:rPr>
        <w:t>9.3.3</w:t>
      </w:r>
      <w:r>
        <w:t>索及其连接部分在安装完毕后应清理干净，清理时应使用拉索供应商提供的专用清洁剂。</w:t>
      </w:r>
    </w:p>
    <w:p>
      <w:r>
        <w:rPr>
          <w:b/>
        </w:rPr>
        <w:t>9.3.4</w:t>
      </w:r>
      <w:r>
        <w:t>钢撑杆各组件在安装前要进行表面清理，组装时应注意保护表面护层及螺纹。日常维护应检查表面和螺纹处的防护质量。</w:t>
      </w:r>
    </w:p>
    <w:p>
      <w:r>
        <w:rPr>
          <w:b/>
        </w:rPr>
        <w:t>9.3.5</w:t>
      </w:r>
      <w:r>
        <w:t>铝合金材料表面进行维护清洗时应满足下列规定：</w:t>
      </w:r>
    </w:p>
    <w:p>
      <w:pPr>
        <w:ind w:firstLine="422" w:firstLineChars="200"/>
      </w:pPr>
      <w:r>
        <w:rPr>
          <w:rFonts w:hint="eastAsia"/>
          <w:b/>
        </w:rPr>
        <w:t>1</w:t>
      </w:r>
      <w:r>
        <w:rPr>
          <w:b/>
        </w:rPr>
        <w:t xml:space="preserve"> </w:t>
      </w:r>
      <w:r>
        <w:t>不得使用对铝合金保护膜有腐蚀作用的清洗剂。</w:t>
      </w:r>
    </w:p>
    <w:p>
      <w:pPr>
        <w:ind w:firstLine="422" w:firstLineChars="200"/>
      </w:pPr>
      <w:r>
        <w:rPr>
          <w:b/>
        </w:rPr>
        <w:t xml:space="preserve">2 </w:t>
      </w:r>
      <w:r>
        <w:t>不宜用不同的清洗剂同时清洗同一个铝合金构件。</w:t>
      </w:r>
    </w:p>
    <w:p>
      <w:pPr>
        <w:ind w:firstLine="422" w:firstLineChars="200"/>
      </w:pPr>
      <w:r>
        <w:rPr>
          <w:b/>
        </w:rPr>
        <w:t xml:space="preserve">3 </w:t>
      </w:r>
      <w:r>
        <w:t>不宜用滴、流等方式清洗铝合金构件。</w:t>
      </w:r>
    </w:p>
    <w:p>
      <w:pPr>
        <w:ind w:firstLine="422" w:firstLineChars="200"/>
      </w:pPr>
      <w:r>
        <w:rPr>
          <w:b/>
        </w:rPr>
        <w:t xml:space="preserve">4 </w:t>
      </w:r>
      <w:r>
        <w:t>不宜在铝合金的节点等部位留有残余的清洗剂。</w:t>
      </w:r>
    </w:p>
    <w:p>
      <w:r>
        <w:rPr>
          <w:b/>
        </w:rPr>
        <w:t>9.3.6</w:t>
      </w:r>
      <w:r>
        <w:t>在使用期间需对预应力铝合金结构及其部件进行修补、更换或重新张紧时，应编制相应的施工方案并进行施工过程的计算分析。</w:t>
      </w:r>
    </w:p>
    <w:p>
      <w:pPr>
        <w:pStyle w:val="3"/>
        <w:spacing w:before="156" w:after="156"/>
      </w:pPr>
      <w:bookmarkStart w:id="184" w:name="_Toc152589585"/>
      <w:bookmarkStart w:id="185" w:name="_Toc150008240"/>
      <w:bookmarkStart w:id="186" w:name="_Toc152588962"/>
      <w:bookmarkStart w:id="187" w:name="_Toc150008331"/>
      <w:bookmarkStart w:id="188" w:name="_Toc152589144"/>
      <w:r>
        <w:t>9.4检测</w:t>
      </w:r>
      <w:bookmarkEnd w:id="184"/>
      <w:bookmarkEnd w:id="185"/>
      <w:bookmarkEnd w:id="186"/>
      <w:bookmarkEnd w:id="187"/>
      <w:bookmarkEnd w:id="188"/>
    </w:p>
    <w:p>
      <w:r>
        <w:rPr>
          <w:b/>
        </w:rPr>
        <w:t>9.4.1</w:t>
      </w:r>
      <w:r>
        <w:t xml:space="preserve"> 预应力铝合金结构的检测内容应包括外观质量、几何位形和索力等内容。</w:t>
      </w:r>
    </w:p>
    <w:p>
      <w:r>
        <w:rPr>
          <w:b/>
        </w:rPr>
        <w:t>9.4.2</w:t>
      </w:r>
      <w:r>
        <w:t xml:space="preserve"> 外观质量检测内容应包含：索的断丝、磨损、损伤、腐蚀；构件的涂层损伤，连接件的外观质量和松紧。当出现影响结构正常使用的外观质量问题时，应予以更换或进行修复处理。对松动的连接件应予以拧紧和复检。</w:t>
      </w:r>
    </w:p>
    <w:p>
      <w:r>
        <w:rPr>
          <w:b/>
        </w:rPr>
        <w:t>9.4.3</w:t>
      </w:r>
      <w:r>
        <w:t xml:space="preserve"> 几何位形检测内容包含：结构的垂直度和水平变形、悬臂和跨中结构的挠度、索的垂度等。结构的变形和挠度应在设计计算最大值的范围内，超出时应检查原因，必要时应对结构进行加固处理。</w:t>
      </w:r>
    </w:p>
    <w:p>
      <w:r>
        <w:rPr>
          <w:b/>
        </w:rPr>
        <w:t>9.4.4</w:t>
      </w:r>
      <w:r>
        <w:t>索力可采用油压表法、频率法等方法进行检测，索力检测值应在设计计算的范围之内，当索力在恒载下松弛或超过设计计算最大值时，应对结构进行加固处理。</w:t>
      </w:r>
    </w:p>
    <w:p>
      <w:pPr>
        <w:pStyle w:val="3"/>
        <w:spacing w:before="156" w:after="156"/>
      </w:pPr>
      <w:bookmarkStart w:id="189" w:name="_Toc150008332"/>
      <w:bookmarkStart w:id="190" w:name="_Toc150008241"/>
      <w:bookmarkStart w:id="191" w:name="_Toc152589145"/>
      <w:bookmarkStart w:id="192" w:name="_Toc152589586"/>
      <w:bookmarkStart w:id="193" w:name="_Toc152588963"/>
      <w:r>
        <w:t>9.5 监测</w:t>
      </w:r>
      <w:bookmarkEnd w:id="189"/>
      <w:bookmarkEnd w:id="190"/>
      <w:bookmarkEnd w:id="191"/>
      <w:bookmarkEnd w:id="192"/>
      <w:bookmarkEnd w:id="193"/>
    </w:p>
    <w:p>
      <w:pPr>
        <w:widowControl/>
        <w:rPr>
          <w:rFonts w:ascii="宋体" w:hAnsi="宋体" w:eastAsia="宋体" w:cs="宋体"/>
          <w:color w:val="000000" w:themeColor="text1"/>
          <w:kern w:val="0"/>
          <w:szCs w:val="21"/>
          <w14:textFill>
            <w14:solidFill>
              <w14:schemeClr w14:val="tx1"/>
            </w14:solidFill>
          </w14:textFill>
        </w:rPr>
      </w:pPr>
      <w:r>
        <w:rPr>
          <w:b/>
        </w:rPr>
        <w:t>9.5.1</w:t>
      </w:r>
      <w:bookmarkEnd w:id="163"/>
      <w:bookmarkEnd w:id="164"/>
      <w:bookmarkEnd w:id="165"/>
      <w:bookmarkEnd w:id="166"/>
      <w:r>
        <w:rPr>
          <w:rFonts w:hint="eastAsia" w:ascii="宋体" w:hAnsi="宋体" w:eastAsia="宋体" w:cs="宋体"/>
          <w:color w:val="000000" w:themeColor="text1"/>
          <w:kern w:val="0"/>
          <w:szCs w:val="21"/>
          <w14:textFill>
            <w14:solidFill>
              <w14:schemeClr w14:val="tx1"/>
            </w14:solidFill>
          </w14:textFill>
        </w:rPr>
        <w:t>预应力铝合金结构的监测可分为施工阶段监测和运营阶段监测。对重要和复杂的结构应进行两个阶段的监测，宜统筹进行两个阶段监测的方案设计。</w:t>
      </w:r>
    </w:p>
    <w:p>
      <w:pPr>
        <w:widowControl/>
        <w:rPr>
          <w:rFonts w:hint="eastAsia" w:ascii="宋体" w:hAnsi="宋体" w:eastAsia="宋体" w:cs="宋体"/>
          <w:color w:val="000000" w:themeColor="text1"/>
          <w:kern w:val="0"/>
          <w:szCs w:val="21"/>
          <w14:textFill>
            <w14:solidFill>
              <w14:schemeClr w14:val="tx1"/>
            </w14:solidFill>
          </w14:textFill>
        </w:rPr>
      </w:pPr>
      <w:r>
        <w:rPr>
          <w:rFonts w:ascii="TimesNewRomanPS-BoldMT" w:hAnsi="TimesNewRomanPS-BoldMT" w:eastAsia="宋体" w:cs="宋体"/>
          <w:b/>
          <w:bCs/>
          <w:color w:val="000000" w:themeColor="text1"/>
          <w:kern w:val="0"/>
          <w:szCs w:val="21"/>
          <w14:textFill>
            <w14:solidFill>
              <w14:schemeClr w14:val="tx1"/>
            </w14:solidFill>
          </w14:textFill>
        </w:rPr>
        <w:t>9.5.2</w:t>
      </w:r>
      <w:r>
        <w:rPr>
          <w:rFonts w:hint="eastAsia" w:ascii="宋体" w:hAnsi="宋体" w:eastAsia="宋体" w:cs="宋体"/>
          <w:color w:val="000000" w:themeColor="text1"/>
          <w:kern w:val="0"/>
          <w:szCs w:val="21"/>
          <w14:textFill>
            <w14:solidFill>
              <w14:schemeClr w14:val="tx1"/>
            </w14:solidFill>
          </w14:textFill>
        </w:rPr>
        <w:t>预应力铝合金结构的设计文件宜对监测目的、监测项目等做出规定。</w:t>
      </w:r>
    </w:p>
    <w:p>
      <w:pPr>
        <w:widowControl/>
        <w:rPr>
          <w:rFonts w:hint="eastAsia" w:ascii="宋体" w:hAnsi="宋体" w:eastAsia="宋体" w:cs="宋体"/>
          <w:color w:val="000000" w:themeColor="text1"/>
          <w:kern w:val="0"/>
          <w:szCs w:val="21"/>
          <w14:textFill>
            <w14:solidFill>
              <w14:schemeClr w14:val="tx1"/>
            </w14:solidFill>
          </w14:textFill>
        </w:rPr>
      </w:pPr>
      <w:r>
        <w:rPr>
          <w:rFonts w:ascii="TimesNewRomanPS-BoldMT" w:hAnsi="TimesNewRomanPS-BoldMT" w:eastAsia="宋体" w:cs="宋体"/>
          <w:b/>
          <w:bCs/>
          <w:color w:val="000000" w:themeColor="text1"/>
          <w:kern w:val="0"/>
          <w:szCs w:val="21"/>
          <w14:textFill>
            <w14:solidFill>
              <w14:schemeClr w14:val="tx1"/>
            </w14:solidFill>
          </w14:textFill>
        </w:rPr>
        <w:t>9.5.3</w:t>
      </w:r>
      <w:r>
        <w:rPr>
          <w:rFonts w:hint="eastAsia" w:ascii="TimesNewRomanPS-BoldMT" w:hAnsi="TimesNewRomanPS-BoldMT" w:eastAsia="宋体" w:cs="宋体"/>
          <w:color w:val="000000" w:themeColor="text1"/>
          <w:kern w:val="0"/>
          <w:szCs w:val="21"/>
          <w14:textFill>
            <w14:solidFill>
              <w14:schemeClr w14:val="tx1"/>
            </w14:solidFill>
          </w14:textFill>
        </w:rPr>
        <w:t>监测前</w:t>
      </w:r>
      <w:r>
        <w:rPr>
          <w:rFonts w:hint="eastAsia" w:ascii="宋体" w:hAnsi="宋体" w:eastAsia="宋体" w:cs="宋体"/>
          <w:color w:val="000000" w:themeColor="text1"/>
          <w:kern w:val="0"/>
          <w:szCs w:val="21"/>
          <w14:textFill>
            <w14:solidFill>
              <w14:schemeClr w14:val="tx1"/>
            </w14:solidFill>
          </w14:textFill>
        </w:rPr>
        <w:t>应依据设计文件、监测要求及现场和周边环境条件等因素编制监测方案。监测方案宜包括工程概况、监测目的、结构计算分析、监测项目、测点布置、监测设备、监测周期、数据采集与分析方法、预警方法、监测系统施工与安装等内容。</w:t>
      </w:r>
    </w:p>
    <w:p>
      <w:pPr>
        <w:widowControl/>
        <w:rPr>
          <w:rFonts w:hint="eastAsia" w:ascii="宋体" w:hAnsi="宋体" w:eastAsia="宋体" w:cs="宋体"/>
          <w:color w:val="000000" w:themeColor="text1"/>
          <w:kern w:val="0"/>
          <w:szCs w:val="21"/>
          <w14:textFill>
            <w14:solidFill>
              <w14:schemeClr w14:val="tx1"/>
            </w14:solidFill>
          </w14:textFill>
        </w:rPr>
      </w:pPr>
      <w:r>
        <w:rPr>
          <w:rFonts w:ascii="TimesNewRomanPS-BoldMT" w:hAnsi="TimesNewRomanPS-BoldMT" w:eastAsia="宋体" w:cs="宋体"/>
          <w:b/>
          <w:bCs/>
          <w:color w:val="000000" w:themeColor="text1"/>
          <w:kern w:val="0"/>
          <w:szCs w:val="21"/>
          <w14:textFill>
            <w14:solidFill>
              <w14:schemeClr w14:val="tx1"/>
            </w14:solidFill>
          </w14:textFill>
        </w:rPr>
        <w:t>9.5.4</w:t>
      </w:r>
      <w:r>
        <w:rPr>
          <w:rFonts w:hint="eastAsia" w:ascii="宋体" w:hAnsi="宋体" w:eastAsia="宋体" w:cs="宋体"/>
          <w:color w:val="000000" w:themeColor="text1"/>
          <w:kern w:val="0"/>
          <w:szCs w:val="21"/>
          <w14:textFill>
            <w14:solidFill>
              <w14:schemeClr w14:val="tx1"/>
            </w14:solidFill>
          </w14:textFill>
        </w:rPr>
        <w:t>发生地震、大风、暴雨、大雪等情况时，应对结构所受荷载与作用及结构反应等实时监测数据进行分析和预警，并对结构性态进行分析，对结构后续的安全使用提出明确的意见和建议。</w:t>
      </w:r>
    </w:p>
    <w:p>
      <w:pPr>
        <w:rPr>
          <w:rFonts w:cs="Times New Roman"/>
        </w:rPr>
      </w:pPr>
    </w:p>
    <w:p>
      <w:pPr>
        <w:spacing w:before="81"/>
        <w:ind w:right="89"/>
        <w:jc w:val="center"/>
        <w:rPr>
          <w:rFonts w:cs="Times New Roman"/>
        </w:rPr>
      </w:pPr>
    </w:p>
    <w:p>
      <w:pPr>
        <w:spacing w:before="81"/>
        <w:ind w:right="89"/>
        <w:jc w:val="center"/>
        <w:rPr>
          <w:rFonts w:cs="Times New Roman"/>
        </w:rPr>
      </w:pPr>
      <w:r>
        <w:rPr>
          <w:rFonts w:cs="Times New Roman"/>
        </w:rPr>
        <w:drawing>
          <wp:inline distT="0" distB="0" distL="0" distR="0">
            <wp:extent cx="5111750" cy="7080250"/>
            <wp:effectExtent l="0" t="0" r="0" b="6350"/>
            <wp:docPr id="1589903872" name="图片 158990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72" name="图片 15899038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111750" cy="7080250"/>
                    </a:xfrm>
                    <a:prstGeom prst="rect">
                      <a:avLst/>
                    </a:prstGeom>
                    <a:noFill/>
                    <a:ln>
                      <a:noFill/>
                    </a:ln>
                  </pic:spPr>
                </pic:pic>
              </a:graphicData>
            </a:graphic>
          </wp:inline>
        </w:drawing>
      </w:r>
    </w:p>
    <w:p>
      <w:pPr>
        <w:spacing w:before="81"/>
        <w:ind w:right="89"/>
        <w:jc w:val="center"/>
        <w:rPr>
          <w:rFonts w:cs="Times New Roman"/>
        </w:rPr>
      </w:pPr>
    </w:p>
    <w:p>
      <w:pPr>
        <w:spacing w:before="81"/>
        <w:ind w:right="89"/>
        <w:jc w:val="center"/>
        <w:rPr>
          <w:rFonts w:cs="Times New Roman"/>
        </w:rPr>
      </w:pPr>
    </w:p>
    <w:p>
      <w:pPr>
        <w:spacing w:before="81"/>
        <w:ind w:right="89"/>
        <w:jc w:val="center"/>
        <w:rPr>
          <w:rFonts w:cs="Times New Roman"/>
        </w:rPr>
      </w:pPr>
    </w:p>
    <w:p>
      <w:pPr>
        <w:tabs>
          <w:tab w:val="right" w:leader="dot" w:pos="9180"/>
        </w:tabs>
        <w:adjustRightInd w:val="0"/>
        <w:snapToGrid w:val="0"/>
        <w:jc w:val="center"/>
        <w:outlineLvl w:val="0"/>
        <w:rPr>
          <w:rFonts w:cs="Times New Roman"/>
          <w:sz w:val="20"/>
          <w:szCs w:val="20"/>
        </w:rPr>
      </w:pPr>
      <w:bookmarkStart w:id="194" w:name="_Toc152588964"/>
      <w:bookmarkStart w:id="195" w:name="_Toc152589587"/>
      <w:bookmarkStart w:id="196" w:name="_Toc152589146"/>
      <w:r>
        <w:rPr>
          <w:rFonts w:eastAsia="黑体" w:cs="Times New Roman"/>
          <w:b/>
          <w:spacing w:val="12"/>
          <w:sz w:val="20"/>
          <w:szCs w:val="20"/>
        </w:rPr>
        <w:t>目次</w:t>
      </w:r>
      <w:bookmarkEnd w:id="194"/>
      <w:bookmarkEnd w:id="195"/>
      <w:bookmarkStart w:id="197" w:name="_Toc152588965"/>
      <w:r>
        <w:rPr>
          <w:rFonts w:cs="Times New Roman"/>
          <w:sz w:val="20"/>
          <w:szCs w:val="20"/>
        </w:rPr>
        <w:fldChar w:fldCharType="begin"/>
      </w:r>
      <w:r>
        <w:rPr>
          <w:rFonts w:cs="Times New Roman"/>
          <w:sz w:val="20"/>
          <w:szCs w:val="20"/>
        </w:rPr>
        <w:instrText xml:space="preserve"> TOC \o "1-2" \h \z \u </w:instrText>
      </w:r>
      <w:r>
        <w:rPr>
          <w:rFonts w:cs="Times New Roman"/>
          <w:sz w:val="20"/>
          <w:szCs w:val="20"/>
        </w:rPr>
        <w:fldChar w:fldCharType="separate"/>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"_Toc152589147" </w:instrText>
      </w:r>
      <w:r>
        <w:fldChar w:fldCharType="separate"/>
      </w:r>
      <w:r>
        <w:rPr>
          <w:rStyle w:val="33"/>
          <w:rFonts w:ascii="Times New Roman" w:hAnsi="Times New Roman" w:cs="Times New Roman"/>
        </w:rPr>
        <w:t>1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_Toc152589147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"_Toc152589148" </w:instrText>
      </w:r>
      <w:r>
        <w:fldChar w:fldCharType="separate"/>
      </w:r>
      <w:r>
        <w:rPr>
          <w:rStyle w:val="33"/>
          <w:rFonts w:ascii="Times New Roman" w:hAnsi="Times New Roman" w:cs="Times New Roman"/>
        </w:rPr>
        <w:t>2 术语和符号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_Toc152589148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"_Toc152589149" </w:instrText>
      </w:r>
      <w:r>
        <w:fldChar w:fldCharType="separate"/>
      </w:r>
      <w:r>
        <w:rPr>
          <w:rStyle w:val="33"/>
          <w:rFonts w:ascii="Times New Roman" w:hAnsi="Times New Roman" w:cs="Times New Roman"/>
        </w:rPr>
        <w:t>2.1  术语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_Toc152589149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"_Toc152589150" </w:instrText>
      </w:r>
      <w:r>
        <w:fldChar w:fldCharType="separate"/>
      </w:r>
      <w:r>
        <w:rPr>
          <w:rStyle w:val="33"/>
          <w:rFonts w:ascii="Times New Roman" w:hAnsi="Times New Roman" w:cs="Times New Roman"/>
        </w:rPr>
        <w:t>2.2  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_Toc152589150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"_Toc152589151" </w:instrText>
      </w:r>
      <w:r>
        <w:fldChar w:fldCharType="separate"/>
      </w:r>
      <w:r>
        <w:rPr>
          <w:rStyle w:val="33"/>
          <w:rFonts w:ascii="Times New Roman" w:hAnsi="Times New Roman" w:cs="Times New Roman"/>
        </w:rPr>
        <w:t>3材料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_Toc152589151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"_Toc152589152" </w:instrText>
      </w:r>
      <w:r>
        <w:fldChar w:fldCharType="separate"/>
      </w:r>
      <w:r>
        <w:rPr>
          <w:rStyle w:val="33"/>
          <w:rFonts w:ascii="Times New Roman" w:hAnsi="Times New Roman" w:cs="Times New Roman"/>
        </w:rPr>
        <w:t>3.1 结构铝</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_Toc152589152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"_Toc152589153" </w:instrText>
      </w:r>
      <w:r>
        <w:fldChar w:fldCharType="separate"/>
      </w:r>
      <w:r>
        <w:rPr>
          <w:rStyle w:val="33"/>
          <w:rFonts w:ascii="Times New Roman" w:hAnsi="Times New Roman" w:cs="Times New Roman"/>
        </w:rPr>
        <w:t>3.2 不锈钢</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_Toc152589153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"_Toc152589154" </w:instrText>
      </w:r>
      <w:r>
        <w:fldChar w:fldCharType="separate"/>
      </w:r>
      <w:r>
        <w:rPr>
          <w:rStyle w:val="33"/>
          <w:rFonts w:ascii="Times New Roman" w:hAnsi="Times New Roman" w:cs="Times New Roman"/>
        </w:rPr>
        <w:t>3.3连接材料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_Toc152589154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"_Toc152589155" </w:instrText>
      </w:r>
      <w:r>
        <w:fldChar w:fldCharType="separate"/>
      </w:r>
      <w:r>
        <w:rPr>
          <w:rStyle w:val="33"/>
          <w:rFonts w:ascii="Times New Roman" w:hAnsi="Times New Roman" w:cs="Times New Roman"/>
        </w:rPr>
        <w:t>3.4索体材料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_Toc152589155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"_Toc152589156" </w:instrText>
      </w:r>
      <w:r>
        <w:fldChar w:fldCharType="separate"/>
      </w:r>
      <w:r>
        <w:rPr>
          <w:rStyle w:val="33"/>
          <w:rFonts w:ascii="Times New Roman" w:hAnsi="Times New Roman" w:cs="Times New Roman"/>
        </w:rPr>
        <w:t>3.5 锚具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_Toc152589156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"_Toc152589157" </w:instrText>
      </w:r>
      <w:r>
        <w:fldChar w:fldCharType="separate"/>
      </w:r>
      <w:r>
        <w:rPr>
          <w:rStyle w:val="33"/>
          <w:rFonts w:ascii="Times New Roman" w:hAnsi="Times New Roman" w:cs="Times New Roman"/>
        </w:rPr>
        <w:t>4设计基本规定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_Toc152589157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"_Toc152589158" </w:instrText>
      </w:r>
      <w:r>
        <w:fldChar w:fldCharType="separate"/>
      </w:r>
      <w:r>
        <w:rPr>
          <w:rStyle w:val="33"/>
          <w:rFonts w:ascii="Times New Roman" w:hAnsi="Times New Roman" w:cs="Times New Roman"/>
        </w:rPr>
        <w:t>4.1设计原则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_Toc152589158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"_Toc152589159" </w:instrText>
      </w:r>
      <w:r>
        <w:fldChar w:fldCharType="separate"/>
      </w:r>
      <w:r>
        <w:rPr>
          <w:rStyle w:val="33"/>
          <w:rFonts w:ascii="Times New Roman" w:hAnsi="Times New Roman" w:cs="Times New Roman"/>
        </w:rPr>
        <w:t>4.2荷载与作用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_Toc152589159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"_Toc152589160" </w:instrText>
      </w:r>
      <w:r>
        <w:fldChar w:fldCharType="separate"/>
      </w:r>
      <w:r>
        <w:rPr>
          <w:rStyle w:val="33"/>
          <w:rFonts w:ascii="Times New Roman" w:hAnsi="Times New Roman" w:cs="Times New Roman"/>
        </w:rPr>
        <w:t>4.3结构变形</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_Toc152589160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"_Toc152589161" </w:instrText>
      </w:r>
      <w:r>
        <w:fldChar w:fldCharType="separate"/>
      </w:r>
      <w:r>
        <w:rPr>
          <w:rStyle w:val="33"/>
          <w:rFonts w:ascii="Times New Roman" w:hAnsi="Times New Roman" w:cs="Times New Roman"/>
        </w:rPr>
        <w:t>4.4 结构分析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_Toc152589161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"_Toc152589162" </w:instrText>
      </w:r>
      <w:r>
        <w:fldChar w:fldCharType="separate"/>
      </w:r>
      <w:r>
        <w:rPr>
          <w:rStyle w:val="33"/>
          <w:rFonts w:ascii="Times New Roman" w:hAnsi="Times New Roman" w:cs="Times New Roman"/>
        </w:rPr>
        <w:t>5 结构体系与基本构造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_Toc152589162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"_Toc152589163" </w:instrText>
      </w:r>
      <w:r>
        <w:fldChar w:fldCharType="separate"/>
      </w:r>
      <w:r>
        <w:rPr>
          <w:rStyle w:val="33"/>
          <w:rFonts w:ascii="Times New Roman" w:hAnsi="Times New Roman" w:cs="Times New Roman"/>
        </w:rPr>
        <w:t>5.1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_Toc152589163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"_Toc152589164" </w:instrText>
      </w:r>
      <w:r>
        <w:fldChar w:fldCharType="separate"/>
      </w:r>
      <w:r>
        <w:rPr>
          <w:rStyle w:val="33"/>
          <w:rFonts w:ascii="Times New Roman" w:hAnsi="Times New Roman" w:cs="Times New Roman"/>
        </w:rPr>
        <w:t>5.2 索支承铝合金结构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_Toc152589164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"_Toc152589165" </w:instrText>
      </w:r>
      <w:r>
        <w:fldChar w:fldCharType="separate"/>
      </w:r>
      <w:r>
        <w:rPr>
          <w:rStyle w:val="33"/>
          <w:rFonts w:ascii="Times New Roman" w:hAnsi="Times New Roman" w:cs="Times New Roman"/>
        </w:rPr>
        <w:t>5.3 斜拉和吊挂铝合金结构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_Toc152589165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"_Toc152589166" </w:instrText>
      </w:r>
      <w:r>
        <w:fldChar w:fldCharType="separate"/>
      </w:r>
      <w:r>
        <w:rPr>
          <w:rStyle w:val="33"/>
          <w:rFonts w:ascii="Times New Roman" w:hAnsi="Times New Roman" w:cs="Times New Roman"/>
        </w:rPr>
        <w:t>5.4 张拉铝合金塔架和桅杆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_Toc152589166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"_Toc152589167" </w:instrText>
      </w:r>
      <w:r>
        <w:fldChar w:fldCharType="separate"/>
      </w:r>
      <w:r>
        <w:rPr>
          <w:rStyle w:val="33"/>
          <w:rFonts w:ascii="Times New Roman" w:hAnsi="Times New Roman" w:cs="Times New Roman"/>
        </w:rPr>
        <w:t>6 结构设计与计算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_Toc152589167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"_Toc152589168" </w:instrText>
      </w:r>
      <w:r>
        <w:fldChar w:fldCharType="separate"/>
      </w:r>
      <w:r>
        <w:rPr>
          <w:rStyle w:val="33"/>
          <w:rFonts w:ascii="Times New Roman" w:hAnsi="Times New Roman" w:cs="Times New Roman"/>
        </w:rPr>
        <w:t>6.1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_Toc152589168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"_Toc152589169" </w:instrText>
      </w:r>
      <w:r>
        <w:fldChar w:fldCharType="separate"/>
      </w:r>
      <w:r>
        <w:rPr>
          <w:rStyle w:val="33"/>
          <w:rFonts w:ascii="Times New Roman" w:hAnsi="Times New Roman" w:cs="Times New Roman"/>
        </w:rPr>
        <w:t>6.2 结构设计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_Toc152589169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"_Toc152589170" </w:instrText>
      </w:r>
      <w:r>
        <w:fldChar w:fldCharType="separate"/>
      </w:r>
      <w:r>
        <w:rPr>
          <w:rStyle w:val="33"/>
          <w:rFonts w:ascii="Times New Roman" w:hAnsi="Times New Roman" w:cs="Times New Roman"/>
        </w:rPr>
        <w:t>6.3 结构初始状态的计算分析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_Toc152589170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"_Toc152589171" </w:instrText>
      </w:r>
      <w:r>
        <w:fldChar w:fldCharType="separate"/>
      </w:r>
      <w:r>
        <w:rPr>
          <w:rStyle w:val="33"/>
          <w:rFonts w:ascii="Times New Roman" w:hAnsi="Times New Roman" w:cs="Times New Roman"/>
        </w:rPr>
        <w:t>6.4 结构工作状态的计算分析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_Toc152589171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"_Toc152589172" </w:instrText>
      </w:r>
      <w:r>
        <w:fldChar w:fldCharType="separate"/>
      </w:r>
      <w:r>
        <w:rPr>
          <w:rStyle w:val="33"/>
          <w:rFonts w:ascii="Times New Roman" w:hAnsi="Times New Roman" w:cs="Times New Roman"/>
        </w:rPr>
        <w:t>6.5 结构施工过程的计算分析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_Toc152589172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"_Toc152589173" </w:instrText>
      </w:r>
      <w:r>
        <w:fldChar w:fldCharType="separate"/>
      </w:r>
      <w:r>
        <w:rPr>
          <w:rStyle w:val="33"/>
          <w:rFonts w:ascii="Times New Roman" w:hAnsi="Times New Roman" w:cs="Times New Roman"/>
        </w:rPr>
        <w:t>7.节点设计与构造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_Toc152589173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"_Toc152589174" </w:instrText>
      </w:r>
      <w:r>
        <w:fldChar w:fldCharType="separate"/>
      </w:r>
      <w:r>
        <w:rPr>
          <w:rStyle w:val="33"/>
          <w:rFonts w:ascii="Times New Roman" w:hAnsi="Times New Roman" w:cs="Times New Roman"/>
        </w:rPr>
        <w:t>7.1一般规定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_Toc152589174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"_Toc152589175" </w:instrText>
      </w:r>
      <w:r>
        <w:fldChar w:fldCharType="separate"/>
      </w:r>
      <w:r>
        <w:rPr>
          <w:rStyle w:val="33"/>
          <w:rFonts w:ascii="Times New Roman" w:hAnsi="Times New Roman" w:cs="Times New Roman"/>
        </w:rPr>
        <w:t>7.2铝合金构件与其他构件的连接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_Toc152589175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"_Toc152589176" </w:instrText>
      </w:r>
      <w:r>
        <w:fldChar w:fldCharType="separate"/>
      </w:r>
      <w:r>
        <w:rPr>
          <w:rStyle w:val="33"/>
          <w:rFonts w:ascii="Times New Roman" w:hAnsi="Times New Roman" w:cs="Times New Roman"/>
        </w:rPr>
        <w:t>7.3 节点计算与设计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_Toc152589176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"_Toc152589177" </w:instrText>
      </w:r>
      <w:r>
        <w:fldChar w:fldCharType="separate"/>
      </w:r>
      <w:r>
        <w:rPr>
          <w:rStyle w:val="33"/>
          <w:rFonts w:ascii="Times New Roman" w:hAnsi="Times New Roman" w:cs="Times New Roman"/>
        </w:rPr>
        <w:t>8  施工与验收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_Toc152589177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"_Toc152589178" </w:instrText>
      </w:r>
      <w:r>
        <w:fldChar w:fldCharType="separate"/>
      </w:r>
      <w:r>
        <w:rPr>
          <w:rStyle w:val="33"/>
          <w:rFonts w:ascii="Times New Roman" w:hAnsi="Times New Roman" w:cs="Times New Roman"/>
        </w:rPr>
        <w:t>8.1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_Toc152589178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"_Toc152589179" </w:instrText>
      </w:r>
      <w:r>
        <w:fldChar w:fldCharType="separate"/>
      </w:r>
      <w:r>
        <w:rPr>
          <w:rStyle w:val="33"/>
          <w:rFonts w:ascii="Times New Roman" w:hAnsi="Times New Roman" w:cs="Times New Roman"/>
        </w:rPr>
        <w:t>8.2  包装、运输与存放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_Toc152589179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"_Toc152589180" </w:instrText>
      </w:r>
      <w:r>
        <w:fldChar w:fldCharType="separate"/>
      </w:r>
      <w:r>
        <w:rPr>
          <w:rStyle w:val="33"/>
          <w:rFonts w:ascii="Times New Roman" w:hAnsi="Times New Roman" w:cs="Times New Roman"/>
        </w:rPr>
        <w:t>8.3  索的安装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_Toc152589180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"_Toc152589181" </w:instrText>
      </w:r>
      <w:r>
        <w:fldChar w:fldCharType="separate"/>
      </w:r>
      <w:r>
        <w:rPr>
          <w:rStyle w:val="33"/>
          <w:rFonts w:ascii="Times New Roman" w:hAnsi="Times New Roman" w:cs="Times New Roman"/>
        </w:rPr>
        <w:t>8.4  索的张拉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_Toc152589181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"_Toc152589182" </w:instrText>
      </w:r>
      <w:r>
        <w:fldChar w:fldCharType="separate"/>
      </w:r>
      <w:r>
        <w:rPr>
          <w:rStyle w:val="33"/>
          <w:rFonts w:ascii="Times New Roman" w:hAnsi="Times New Roman" w:cs="Times New Roman"/>
        </w:rPr>
        <w:t>8.5 安装与张拉质量要求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_Toc152589182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"_Toc152589183" </w:instrText>
      </w:r>
      <w:r>
        <w:fldChar w:fldCharType="separate"/>
      </w:r>
      <w:r>
        <w:rPr>
          <w:rStyle w:val="33"/>
          <w:rFonts w:ascii="Times New Roman" w:hAnsi="Times New Roman" w:cs="Times New Roman"/>
        </w:rPr>
        <w:t>8.6  验收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_Toc152589183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296"/>
        </w:tabs>
        <w:rPr>
          <w:rFonts w:ascii="Times New Roman" w:hAnsi="Times New Roman" w:cs="Times New Roman"/>
          <w:b w:val="0"/>
          <w:bCs w:val="0"/>
          <w:caps w:val="0"/>
          <w:sz w:val="21"/>
          <w:szCs w:val="22"/>
        </w:rPr>
      </w:pPr>
      <w:r>
        <w:fldChar w:fldCharType="begin"/>
      </w:r>
      <w:r>
        <w:instrText xml:space="preserve"> HYPERLINK \l "_Toc152589184" </w:instrText>
      </w:r>
      <w:r>
        <w:fldChar w:fldCharType="separate"/>
      </w:r>
      <w:r>
        <w:rPr>
          <w:rStyle w:val="33"/>
          <w:rFonts w:ascii="Times New Roman" w:hAnsi="Times New Roman" w:cs="Times New Roman"/>
        </w:rPr>
        <w:t>9  防护与检测监测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_Toc152589184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"_Toc152589185" </w:instrText>
      </w:r>
      <w:r>
        <w:fldChar w:fldCharType="separate"/>
      </w:r>
      <w:r>
        <w:rPr>
          <w:rStyle w:val="33"/>
          <w:rFonts w:ascii="Times New Roman" w:hAnsi="Times New Roman" w:cs="Times New Roman"/>
        </w:rPr>
        <w:t>9.1  防腐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_Toc152589185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"_Toc152589186" </w:instrText>
      </w:r>
      <w:r>
        <w:fldChar w:fldCharType="separate"/>
      </w:r>
      <w:r>
        <w:rPr>
          <w:rStyle w:val="33"/>
          <w:rFonts w:ascii="Times New Roman" w:hAnsi="Times New Roman" w:cs="Times New Roman"/>
        </w:rPr>
        <w:t>9.2  防火</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_Toc152589186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"_Toc152589187" </w:instrText>
      </w:r>
      <w:r>
        <w:fldChar w:fldCharType="separate"/>
      </w:r>
      <w:r>
        <w:rPr>
          <w:rStyle w:val="33"/>
          <w:rFonts w:ascii="Times New Roman" w:hAnsi="Times New Roman" w:cs="Times New Roman"/>
        </w:rPr>
        <w:t>9.3  维护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_Toc152589187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"_Toc152589188" </w:instrText>
      </w:r>
      <w:r>
        <w:fldChar w:fldCharType="separate"/>
      </w:r>
      <w:r>
        <w:rPr>
          <w:rStyle w:val="33"/>
          <w:rFonts w:ascii="Times New Roman" w:hAnsi="Times New Roman" w:cs="Times New Roman"/>
        </w:rPr>
        <w:t>9.4  检测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_Toc152589188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296"/>
        </w:tabs>
        <w:rPr>
          <w:rFonts w:ascii="Times New Roman" w:hAnsi="Times New Roman" w:cs="Times New Roman"/>
          <w:smallCaps w:val="0"/>
          <w:sz w:val="21"/>
          <w:szCs w:val="22"/>
        </w:rPr>
      </w:pPr>
      <w:r>
        <w:fldChar w:fldCharType="begin"/>
      </w:r>
      <w:r>
        <w:instrText xml:space="preserve"> HYPERLINK \l "_Toc152589189" </w:instrText>
      </w:r>
      <w:r>
        <w:fldChar w:fldCharType="separate"/>
      </w:r>
      <w:r>
        <w:rPr>
          <w:rStyle w:val="33"/>
          <w:rFonts w:ascii="Times New Roman" w:hAnsi="Times New Roman" w:cs="Times New Roman"/>
        </w:rPr>
        <w:t>9.5  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_Toc152589189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tabs>
          <w:tab w:val="right" w:leader="dot" w:pos="9180"/>
        </w:tabs>
        <w:adjustRightInd w:val="0"/>
        <w:snapToGrid w:val="0"/>
        <w:jc w:val="center"/>
        <w:outlineLvl w:val="0"/>
        <w:rPr>
          <w:rFonts w:cs="Times New Roman"/>
        </w:rPr>
        <w:sectPr>
          <w:pgSz w:w="11906" w:h="16838"/>
          <w:pgMar w:top="1440" w:right="1800" w:bottom="1440" w:left="1800" w:header="851" w:footer="992" w:gutter="0"/>
          <w:cols w:space="720" w:num="1"/>
          <w:docGrid w:type="lines" w:linePitch="312" w:charSpace="0"/>
        </w:sectPr>
      </w:pPr>
      <w:r>
        <w:rPr>
          <w:rFonts w:cs="Times New Roman"/>
        </w:rPr>
        <w:fldChar w:fldCharType="end"/>
      </w:r>
      <w:bookmarkStart w:id="198" w:name="_Toc152589147"/>
      <w:bookmarkStart w:id="199" w:name="_Toc152589588"/>
    </w:p>
    <w:p>
      <w:pPr>
        <w:pStyle w:val="2"/>
      </w:pPr>
      <w:r>
        <w:t>1 总则</w:t>
      </w:r>
      <w:bookmarkEnd w:id="196"/>
      <w:bookmarkEnd w:id="197"/>
      <w:bookmarkEnd w:id="198"/>
      <w:bookmarkEnd w:id="199"/>
    </w:p>
    <w:p>
      <w:pPr>
        <w:rPr>
          <w:b/>
        </w:rPr>
      </w:pPr>
      <w:r>
        <w:rPr>
          <w:b/>
        </w:rPr>
        <w:t xml:space="preserve">1.0.2 </w:t>
      </w:r>
      <w:r>
        <w:t>本条文中建筑物和构筑物系指不包括高温、有强烈腐蚀性气体及有强烈振源的预应力铝合金结构。</w:t>
      </w:r>
    </w:p>
    <w:p>
      <w:r>
        <w:rPr>
          <w:b/>
        </w:rPr>
        <w:t xml:space="preserve">1.0.3 </w:t>
      </w:r>
      <w:r>
        <w:t>现行国家标准《建筑工程施工质量验收统一标准》GB50300对工程质量验收的划分、验收方法、验收程序及组织都提出了原则性的规定，本规范对此不再重复。</w:t>
      </w:r>
    </w:p>
    <w:p>
      <w:pPr>
        <w:sectPr>
          <w:pgSz w:w="11906" w:h="16838"/>
          <w:pgMar w:top="1440" w:right="1800" w:bottom="1440" w:left="1800" w:header="851" w:footer="992" w:gutter="0"/>
          <w:cols w:space="720" w:num="1"/>
          <w:docGrid w:type="lines" w:linePitch="312" w:charSpace="0"/>
        </w:sectPr>
      </w:pPr>
      <w:r>
        <w:rPr>
          <w:b/>
        </w:rPr>
        <w:t>1.0.4</w:t>
      </w:r>
      <w:r>
        <w:t xml:space="preserve"> 预应力铝合金结构图纸是工程施工的重要文件和施工质量验收的基本依据，工程承包合同中有关工程质量的要求具有法律效应也是验收的依据之一，但合同文件的规定只能高于本标准的规定，本标准的规定是对施工质量最低和最基本的要求。</w:t>
      </w:r>
    </w:p>
    <w:p>
      <w:pPr>
        <w:pStyle w:val="2"/>
      </w:pPr>
      <w:bookmarkStart w:id="200" w:name="_Toc152588966"/>
      <w:bookmarkStart w:id="201" w:name="_Toc152589589"/>
      <w:bookmarkStart w:id="202" w:name="_Toc152589148"/>
      <w:r>
        <w:t>2 术语和符号</w:t>
      </w:r>
      <w:bookmarkEnd w:id="200"/>
      <w:bookmarkEnd w:id="201"/>
      <w:bookmarkEnd w:id="202"/>
    </w:p>
    <w:p>
      <w:pPr>
        <w:ind w:firstLine="420" w:firstLineChars="200"/>
      </w:pPr>
      <w:r>
        <w:t>本章所用的预应力铝合金结构方面的术语和符号是参照我国现行国家标准《工程结构设计基本术语和通用符号》GBJ 132和《建筑结构设计术语和符号标准》GB/T 50083的规定编写的，并根据需要增加了相关内容。</w:t>
      </w:r>
    </w:p>
    <w:p>
      <w:pPr>
        <w:pStyle w:val="3"/>
        <w:spacing w:before="156" w:after="156"/>
      </w:pPr>
      <w:bookmarkStart w:id="203" w:name="_Toc152588967"/>
      <w:bookmarkStart w:id="204" w:name="_Toc152589590"/>
      <w:bookmarkStart w:id="205" w:name="_Toc152589149"/>
      <w:r>
        <w:t>2.1  术语</w:t>
      </w:r>
      <w:bookmarkEnd w:id="203"/>
      <w:bookmarkEnd w:id="204"/>
      <w:bookmarkEnd w:id="205"/>
    </w:p>
    <w:p>
      <w:pPr>
        <w:ind w:firstLine="420" w:firstLineChars="200"/>
      </w:pPr>
      <w:r>
        <w:t>本标准给出了31个有关预应力铝合金工程方面的专用术语，分别从预应力铝合金结构的设计、施工、验收和维护等方面赋予其特定的涵义，但不一定是其严密的定义。所给出的英文译名是参考国外某些标准确定的，不一定是国际上的标准术语。</w:t>
      </w:r>
    </w:p>
    <w:p>
      <w:pPr>
        <w:pStyle w:val="3"/>
        <w:spacing w:before="156" w:after="156"/>
      </w:pPr>
      <w:bookmarkStart w:id="206" w:name="_Toc152588968"/>
      <w:bookmarkStart w:id="207" w:name="_Toc152589150"/>
      <w:bookmarkStart w:id="208" w:name="_Toc152589591"/>
      <w:r>
        <w:t>2.2  符号</w:t>
      </w:r>
      <w:bookmarkEnd w:id="206"/>
      <w:bookmarkEnd w:id="207"/>
      <w:bookmarkEnd w:id="208"/>
    </w:p>
    <w:p>
      <w:pPr>
        <w:ind w:firstLine="420" w:firstLineChars="200"/>
        <w:sectPr>
          <w:pgSz w:w="11906" w:h="16838"/>
          <w:pgMar w:top="1440" w:right="1800" w:bottom="1440" w:left="1800" w:header="851" w:footer="992" w:gutter="0"/>
          <w:cols w:space="720" w:num="1"/>
          <w:docGrid w:type="lines" w:linePitch="312" w:charSpace="0"/>
        </w:sectPr>
      </w:pPr>
      <w:r>
        <w:t>本标准给出了12个常用预应力铝合金结构工程方面的符号并分别作出了定义，这些符号都是本标准各章节中所引用的。</w:t>
      </w:r>
    </w:p>
    <w:p>
      <w:pPr>
        <w:pStyle w:val="2"/>
      </w:pPr>
      <w:bookmarkStart w:id="209" w:name="_Toc152588969"/>
      <w:bookmarkStart w:id="210" w:name="_Toc152589151"/>
      <w:bookmarkStart w:id="211" w:name="_Toc152589592"/>
      <w:r>
        <w:t>3材料</w:t>
      </w:r>
      <w:bookmarkEnd w:id="209"/>
      <w:bookmarkEnd w:id="210"/>
      <w:bookmarkEnd w:id="211"/>
    </w:p>
    <w:p>
      <w:pPr>
        <w:pStyle w:val="3"/>
        <w:spacing w:before="156" w:after="156"/>
      </w:pPr>
      <w:r>
        <w:t xml:space="preserve"> </w:t>
      </w:r>
      <w:bookmarkStart w:id="212" w:name="_Toc152589152"/>
      <w:bookmarkStart w:id="213" w:name="_Toc152589593"/>
      <w:bookmarkStart w:id="214" w:name="_Toc152588970"/>
      <w:r>
        <w:t>3.1 结构铝</w:t>
      </w:r>
      <w:bookmarkEnd w:id="212"/>
      <w:bookmarkEnd w:id="213"/>
      <w:bookmarkEnd w:id="214"/>
    </w:p>
    <w:p>
      <w:pPr>
        <w:rPr>
          <w:b/>
        </w:rPr>
      </w:pPr>
      <w:r>
        <w:rPr>
          <w:b/>
        </w:rPr>
        <w:t xml:space="preserve">3.1.2 </w:t>
      </w:r>
      <w:r>
        <w:t>当采用现行国家标准规定范围外的铝合金材料时，应在对相关材料的各项性能进行充分的试验和理论研究基础上选用。</w:t>
      </w:r>
    </w:p>
    <w:p>
      <w:r>
        <w:rPr>
          <w:b/>
        </w:rPr>
        <w:t>3.1.3</w:t>
      </w:r>
      <w:r>
        <w:t>铝合金板、带材料力学性能应符合现行国家标准《一般工业用铝及铝合金板、带材》GB/T 3880的规定；挤压棒、拉制管、挤压管、挤压型材应符合现行国家标准《铝及铝合金挤压棒材》GB/T 3191、《铝及铝合金拉（轧）制无缝管》GB/T 6893、《铝及铝合金热挤压管》GB/T 4437、《铝合金建筑型材》GB 5237、《一般工业用铝及铝合金挤压型材》GB/T 6892的规定。</w:t>
      </w:r>
    </w:p>
    <w:p>
      <w:pPr>
        <w:pStyle w:val="3"/>
        <w:spacing w:before="156" w:after="156"/>
      </w:pPr>
      <w:bookmarkStart w:id="215" w:name="_Toc152588971"/>
      <w:bookmarkStart w:id="216" w:name="_Toc152589153"/>
      <w:bookmarkStart w:id="217" w:name="_Toc152589594"/>
      <w:r>
        <w:t>3.2 不锈钢</w:t>
      </w:r>
      <w:bookmarkEnd w:id="215"/>
      <w:bookmarkEnd w:id="216"/>
      <w:bookmarkEnd w:id="217"/>
    </w:p>
    <w:p>
      <w:r>
        <w:rPr>
          <w:b/>
        </w:rPr>
        <w:t>3.2.1</w:t>
      </w:r>
      <w:r>
        <w:t xml:space="preserve"> 不锈钢的品种很多，马氏体不锈钢和沉淀硬化不锈钢因其焊接及冷加工性能差，在结构工程中无法应用。铁素体不锈钢在国外已有许多应用实例，但在国内使用经验和工程数据较少。适用于一般结构用途的不锈钢是奥氏体不锈钢和双相型不锈钢。最常用的是S30408，S31608，S30403，S31603，S22053和S22253。其中S30403和S31603是与S30408和S31608近似等同标准成分的低碳型钢种。</w:t>
      </w:r>
    </w:p>
    <w:p>
      <w:r>
        <w:rPr>
          <w:b/>
        </w:rPr>
        <w:t>3.2.2</w:t>
      </w:r>
      <w:r>
        <w:t xml:space="preserve"> 建筑结构中选用不锈钢材料时，应注意下列事项：</w:t>
      </w:r>
    </w:p>
    <w:p>
      <w:pPr>
        <w:ind w:firstLine="422" w:firstLineChars="200"/>
      </w:pPr>
      <w:r>
        <w:rPr>
          <w:b/>
        </w:rPr>
        <w:t>1</w:t>
      </w:r>
      <w:r>
        <w:t xml:space="preserve"> 选材必须考虑结构所处的环境，构件的加工方式，表面处理方式和维护方式。</w:t>
      </w:r>
    </w:p>
    <w:p>
      <w:pPr>
        <w:ind w:firstLine="422" w:firstLineChars="200"/>
      </w:pPr>
      <w:r>
        <w:rPr>
          <w:b/>
        </w:rPr>
        <w:t>2</w:t>
      </w:r>
      <w:r>
        <w:t>选材时可参照类似环境和类似牌号的使用经验，常规大气环境中推荐采用的不锈钢牌号见表1。表1来自：Design Manual for Structural Stainless Steel(3rd Edition), SCI, 2006。</w:t>
      </w:r>
    </w:p>
    <w:p>
      <w:pPr>
        <w:adjustRightInd w:val="0"/>
        <w:snapToGrid w:val="0"/>
        <w:jc w:val="center"/>
        <w:rPr>
          <w:rFonts w:eastAsia="黑体" w:cs="Times New Roman"/>
          <w:sz w:val="18"/>
          <w:szCs w:val="18"/>
        </w:rPr>
      </w:pPr>
      <w:r>
        <w:rPr>
          <w:rFonts w:eastAsia="黑体" w:cs="Times New Roman"/>
          <w:sz w:val="18"/>
          <w:szCs w:val="18"/>
        </w:rPr>
        <w:t>表1 不同大气环境下推荐采用的不锈钢材料</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577"/>
        <w:gridCol w:w="577"/>
        <w:gridCol w:w="578"/>
        <w:gridCol w:w="578"/>
        <w:gridCol w:w="578"/>
        <w:gridCol w:w="578"/>
        <w:gridCol w:w="578"/>
        <w:gridCol w:w="578"/>
        <w:gridCol w:w="578"/>
        <w:gridCol w:w="578"/>
        <w:gridCol w:w="578"/>
        <w:gridCol w:w="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Merge w:val="restar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统一数字代号</w:t>
            </w:r>
          </w:p>
        </w:tc>
        <w:tc>
          <w:tcPr>
            <w:tcW w:w="1016" w:type="pct"/>
            <w:gridSpan w:val="3"/>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乡村、</w:t>
            </w:r>
          </w:p>
          <w:p>
            <w:pPr>
              <w:adjustRightInd w:val="0"/>
              <w:snapToGrid w:val="0"/>
              <w:jc w:val="center"/>
              <w:rPr>
                <w:rFonts w:eastAsia="黑体" w:cs="Times New Roman"/>
                <w:sz w:val="18"/>
                <w:szCs w:val="18"/>
              </w:rPr>
            </w:pPr>
            <w:r>
              <w:rPr>
                <w:rFonts w:eastAsia="黑体" w:cs="Times New Roman"/>
                <w:sz w:val="18"/>
                <w:szCs w:val="18"/>
              </w:rPr>
              <w:t>城市郊区</w:t>
            </w:r>
          </w:p>
        </w:tc>
        <w:tc>
          <w:tcPr>
            <w:tcW w:w="1016" w:type="pct"/>
            <w:gridSpan w:val="3"/>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城市市区</w:t>
            </w:r>
          </w:p>
        </w:tc>
        <w:tc>
          <w:tcPr>
            <w:tcW w:w="1016" w:type="pct"/>
            <w:gridSpan w:val="3"/>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工业密集区</w:t>
            </w:r>
          </w:p>
        </w:tc>
        <w:tc>
          <w:tcPr>
            <w:tcW w:w="1016" w:type="pct"/>
            <w:gridSpan w:val="3"/>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沿海地区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Merge w:val="continue"/>
            <w:shd w:val="clear" w:color="auto" w:fill="auto"/>
            <w:vAlign w:val="center"/>
          </w:tcPr>
          <w:p>
            <w:pPr>
              <w:adjustRightInd w:val="0"/>
              <w:snapToGrid w:val="0"/>
              <w:jc w:val="center"/>
              <w:rPr>
                <w:rFonts w:eastAsia="黑体" w:cs="Times New Roman"/>
                <w:sz w:val="18"/>
                <w:szCs w:val="18"/>
              </w:rPr>
            </w:pP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L</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M</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H</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L</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M</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H</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L</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M</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H</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L</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M</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S30403, S30408</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S31603, S31608</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S22053, S22253</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c>
          <w:tcPr>
            <w:tcW w:w="339" w:type="pct"/>
            <w:shd w:val="clear" w:color="auto" w:fill="auto"/>
            <w:vAlign w:val="center"/>
          </w:tcPr>
          <w:p>
            <w:pPr>
              <w:adjustRightInd w:val="0"/>
              <w:snapToGrid w:val="0"/>
              <w:jc w:val="center"/>
              <w:rPr>
                <w:rFonts w:eastAsia="黑体" w:cs="Times New Roman"/>
                <w:sz w:val="18"/>
                <w:szCs w:val="18"/>
              </w:rPr>
            </w:pPr>
            <w:r>
              <w:rPr>
                <w:rFonts w:eastAsia="黑体" w:cs="Times New Roman"/>
                <w:sz w:val="18"/>
                <w:szCs w:val="18"/>
              </w:rPr>
              <w:t>√</w:t>
            </w:r>
          </w:p>
        </w:tc>
      </w:tr>
    </w:tbl>
    <w:p>
      <w:pPr>
        <w:adjustRightInd w:val="0"/>
        <w:snapToGrid w:val="0"/>
        <w:rPr>
          <w:rFonts w:eastAsia="黑体" w:cs="Times New Roman"/>
          <w:sz w:val="18"/>
          <w:szCs w:val="18"/>
        </w:rPr>
      </w:pPr>
      <w:r>
        <w:rPr>
          <w:rFonts w:eastAsia="黑体" w:cs="Times New Roman"/>
          <w:sz w:val="18"/>
          <w:szCs w:val="18"/>
        </w:rPr>
        <w:t xml:space="preserve">注：1 </w:t>
      </w:r>
      <w:r>
        <w:rPr>
          <w:rFonts w:eastAsia="黑体" w:cs="Times New Roman"/>
          <w:i/>
          <w:sz w:val="18"/>
          <w:szCs w:val="18"/>
        </w:rPr>
        <w:t>L</w:t>
      </w:r>
      <w:r>
        <w:rPr>
          <w:rFonts w:eastAsia="黑体" w:cs="Times New Roman"/>
          <w:sz w:val="18"/>
          <w:szCs w:val="18"/>
        </w:rPr>
        <w:t>代表所处地区的环境腐蚀轻微（低温、低湿度）；</w:t>
      </w:r>
      <w:r>
        <w:rPr>
          <w:rFonts w:eastAsia="黑体" w:cs="Times New Roman"/>
          <w:i/>
          <w:sz w:val="18"/>
          <w:szCs w:val="18"/>
        </w:rPr>
        <w:t>M</w:t>
      </w:r>
      <w:r>
        <w:rPr>
          <w:rFonts w:eastAsia="黑体" w:cs="Times New Roman"/>
          <w:sz w:val="18"/>
          <w:szCs w:val="18"/>
        </w:rPr>
        <w:t>代表所处地区的环境一般；</w:t>
      </w:r>
      <w:r>
        <w:rPr>
          <w:rFonts w:eastAsia="黑体" w:cs="Times New Roman"/>
          <w:i/>
          <w:sz w:val="18"/>
          <w:szCs w:val="18"/>
        </w:rPr>
        <w:t>H</w:t>
      </w:r>
      <w:r>
        <w:rPr>
          <w:rFonts w:eastAsia="黑体" w:cs="Times New Roman"/>
          <w:sz w:val="18"/>
          <w:szCs w:val="18"/>
        </w:rPr>
        <w:t>代表所处地区的环境腐蚀严重（高温、高湿度）；</w:t>
      </w:r>
    </w:p>
    <w:p>
      <w:pPr>
        <w:adjustRightInd w:val="0"/>
        <w:snapToGrid w:val="0"/>
        <w:ind w:firstLine="360" w:firstLineChars="200"/>
        <w:rPr>
          <w:rFonts w:eastAsia="黑体" w:cs="Times New Roman"/>
          <w:sz w:val="18"/>
          <w:szCs w:val="18"/>
        </w:rPr>
      </w:pPr>
      <w:r>
        <w:rPr>
          <w:rFonts w:eastAsia="黑体" w:cs="Times New Roman"/>
          <w:sz w:val="18"/>
          <w:szCs w:val="18"/>
        </w:rPr>
        <w:t>2 ○表示材料性能超过环境抗腐蚀要求；√表示材料性能和环境抗腐蚀要求匹配；×表示材料性能低于环境抗腐蚀要求；(√)表示采用相对光滑的表面处理并经常维护时，材料性能能够满足环境抗腐蚀要求。</w:t>
      </w:r>
    </w:p>
    <w:p>
      <w:pPr>
        <w:ind w:firstLine="422" w:firstLineChars="200"/>
      </w:pPr>
      <w:r>
        <w:rPr>
          <w:b/>
        </w:rPr>
        <w:t>3</w:t>
      </w:r>
      <w:r>
        <w:t>如果结构整体或部分构件直接接触海水或腐蚀性化学溶液，选材时应征求材料供应商或专业机构的建议。</w:t>
      </w:r>
    </w:p>
    <w:p>
      <w:r>
        <w:rPr>
          <w:b/>
        </w:rPr>
        <w:t>3.2.3</w:t>
      </w:r>
      <w:r>
        <w:t xml:space="preserve"> 由于不锈钢材料现行国家标准《不锈钢热轧钢板和钢带》GB/T 4237和《不锈钢冷轧钢板和钢带》GB/T 3280中均规定“非比例延伸强度、硬度试验和弯曲试验仅在需方要求并在合同中注明时才进行检验”，“非比例延伸强度” 即名义屈服强度f0.2，对于结构是至关重要的，因此本条特别强调其应有合格的保证。建筑结构中常用不锈钢材料的力学性能和化学成分分别见表2和表3。</w:t>
      </w:r>
    </w:p>
    <w:p>
      <w:pPr>
        <w:adjustRightInd w:val="0"/>
        <w:snapToGrid w:val="0"/>
        <w:jc w:val="center"/>
        <w:rPr>
          <w:rFonts w:eastAsia="黑体" w:cs="Times New Roman"/>
          <w:b/>
          <w:sz w:val="18"/>
          <w:szCs w:val="18"/>
        </w:rPr>
      </w:pPr>
      <w:r>
        <w:rPr>
          <w:rFonts w:eastAsia="黑体" w:cs="Times New Roman"/>
          <w:b/>
          <w:sz w:val="18"/>
          <w:szCs w:val="18"/>
        </w:rPr>
        <w:t>表2 经固溶处理的不锈钢材料的力学性能</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689"/>
        <w:gridCol w:w="1929"/>
        <w:gridCol w:w="1522"/>
        <w:gridCol w:w="1449"/>
        <w:gridCol w:w="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种类</w:t>
            </w:r>
          </w:p>
        </w:tc>
        <w:tc>
          <w:tcPr>
            <w:tcW w:w="991"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统一数字代号</w:t>
            </w:r>
          </w:p>
        </w:tc>
        <w:tc>
          <w:tcPr>
            <w:tcW w:w="1132"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非比例延伸强度</w:t>
            </w:r>
          </w:p>
          <w:p>
            <w:pPr>
              <w:adjustRightInd w:val="0"/>
              <w:snapToGrid w:val="0"/>
              <w:spacing w:line="240" w:lineRule="auto"/>
              <w:jc w:val="center"/>
              <w:rPr>
                <w:rFonts w:cs="Times New Roman"/>
                <w:sz w:val="18"/>
                <w:szCs w:val="18"/>
              </w:rPr>
            </w:pPr>
            <w:r>
              <w:rPr>
                <w:rFonts w:cs="Times New Roman"/>
                <w:i/>
                <w:sz w:val="18"/>
                <w:szCs w:val="18"/>
              </w:rPr>
              <w:t>f</w:t>
            </w:r>
            <w:r>
              <w:rPr>
                <w:rFonts w:cs="Times New Roman"/>
                <w:sz w:val="18"/>
                <w:szCs w:val="18"/>
                <w:vertAlign w:val="subscript"/>
              </w:rPr>
              <w:t>0.2</w:t>
            </w:r>
            <w:r>
              <w:rPr>
                <w:rFonts w:cs="Times New Roman"/>
                <w:sz w:val="18"/>
                <w:szCs w:val="18"/>
              </w:rPr>
              <w:t xml:space="preserve"> (N/mm</w:t>
            </w:r>
            <w:r>
              <w:rPr>
                <w:rFonts w:cs="Times New Roman"/>
                <w:sz w:val="18"/>
                <w:szCs w:val="18"/>
                <w:vertAlign w:val="superscript"/>
              </w:rPr>
              <w:t>2</w:t>
            </w:r>
            <w:r>
              <w:rPr>
                <w:rFonts w:cs="Times New Roman"/>
                <w:sz w:val="18"/>
                <w:szCs w:val="18"/>
              </w:rPr>
              <w:t>)*</w:t>
            </w:r>
          </w:p>
        </w:tc>
        <w:tc>
          <w:tcPr>
            <w:tcW w:w="893"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抗拉强度</w:t>
            </w:r>
          </w:p>
          <w:p>
            <w:pPr>
              <w:adjustRightInd w:val="0"/>
              <w:snapToGrid w:val="0"/>
              <w:spacing w:line="240" w:lineRule="auto"/>
              <w:jc w:val="center"/>
              <w:rPr>
                <w:rFonts w:cs="Times New Roman"/>
                <w:sz w:val="18"/>
                <w:szCs w:val="18"/>
              </w:rPr>
            </w:pPr>
            <w:r>
              <w:rPr>
                <w:rFonts w:cs="Times New Roman"/>
                <w:i/>
                <w:sz w:val="18"/>
                <w:szCs w:val="18"/>
              </w:rPr>
              <w:t>f</w:t>
            </w:r>
            <w:r>
              <w:rPr>
                <w:rFonts w:cs="Times New Roman"/>
                <w:sz w:val="18"/>
                <w:szCs w:val="18"/>
                <w:vertAlign w:val="subscript"/>
              </w:rPr>
              <w:t>u</w:t>
            </w:r>
            <w:r>
              <w:rPr>
                <w:rFonts w:cs="Times New Roman"/>
                <w:sz w:val="18"/>
                <w:szCs w:val="18"/>
              </w:rPr>
              <w:t xml:space="preserve"> (N/mm</w:t>
            </w:r>
            <w:r>
              <w:rPr>
                <w:rFonts w:cs="Times New Roman"/>
                <w:sz w:val="18"/>
                <w:szCs w:val="18"/>
                <w:vertAlign w:val="superscript"/>
              </w:rPr>
              <w:t>2</w:t>
            </w:r>
            <w:r>
              <w:rPr>
                <w:rFonts w:cs="Times New Roman"/>
                <w:sz w:val="18"/>
                <w:szCs w:val="18"/>
              </w:rPr>
              <w:t>)*</w:t>
            </w:r>
          </w:p>
        </w:tc>
        <w:tc>
          <w:tcPr>
            <w:tcW w:w="850"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断后延伸率</w:t>
            </w:r>
          </w:p>
          <w:p>
            <w:pPr>
              <w:adjustRightInd w:val="0"/>
              <w:snapToGrid w:val="0"/>
              <w:spacing w:line="240" w:lineRule="auto"/>
              <w:jc w:val="center"/>
              <w:rPr>
                <w:rFonts w:cs="Times New Roman"/>
                <w:sz w:val="18"/>
                <w:szCs w:val="18"/>
              </w:rPr>
            </w:pPr>
            <w:r>
              <w:rPr>
                <w:rFonts w:cs="Times New Roman"/>
                <w:i/>
                <w:sz w:val="18"/>
                <w:szCs w:val="18"/>
              </w:rPr>
              <w:t>δ</w:t>
            </w:r>
            <w:r>
              <w:rPr>
                <w:rFonts w:cs="Times New Roman"/>
                <w:sz w:val="18"/>
                <w:szCs w:val="18"/>
              </w:rPr>
              <w:t>(%)*</w:t>
            </w:r>
          </w:p>
        </w:tc>
        <w:tc>
          <w:tcPr>
            <w:tcW w:w="568"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硬度值</w:t>
            </w:r>
          </w:p>
          <w:p>
            <w:pPr>
              <w:adjustRightInd w:val="0"/>
              <w:snapToGrid w:val="0"/>
              <w:spacing w:line="240" w:lineRule="auto"/>
              <w:jc w:val="center"/>
              <w:rPr>
                <w:rFonts w:cs="Times New Roman"/>
                <w:sz w:val="18"/>
                <w:szCs w:val="18"/>
              </w:rPr>
            </w:pPr>
            <w:r>
              <w:rPr>
                <w:rFonts w:cs="Times New Roman"/>
                <w:sz w:val="18"/>
                <w:szCs w:val="18"/>
              </w:rPr>
              <w:t>HBW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8" w:type="pct"/>
            <w:vMerge w:val="restart"/>
            <w:shd w:val="clear" w:color="auto" w:fill="auto"/>
            <w:vAlign w:val="center"/>
          </w:tcPr>
          <w:p>
            <w:pPr>
              <w:adjustRightInd w:val="0"/>
              <w:snapToGrid w:val="0"/>
              <w:spacing w:line="240" w:lineRule="auto"/>
              <w:jc w:val="center"/>
              <w:rPr>
                <w:rFonts w:cs="Times New Roman"/>
                <w:szCs w:val="21"/>
              </w:rPr>
            </w:pPr>
            <w:r>
              <w:rPr>
                <w:rFonts w:cs="Times New Roman"/>
                <w:szCs w:val="21"/>
              </w:rPr>
              <w:t>奥</w:t>
            </w:r>
          </w:p>
          <w:p>
            <w:pPr>
              <w:adjustRightInd w:val="0"/>
              <w:snapToGrid w:val="0"/>
              <w:spacing w:line="240" w:lineRule="auto"/>
              <w:jc w:val="center"/>
              <w:rPr>
                <w:rFonts w:cs="Times New Roman"/>
                <w:szCs w:val="21"/>
              </w:rPr>
            </w:pPr>
            <w:r>
              <w:rPr>
                <w:rFonts w:cs="Times New Roman"/>
                <w:szCs w:val="21"/>
              </w:rPr>
              <w:t>氏</w:t>
            </w:r>
          </w:p>
          <w:p>
            <w:pPr>
              <w:adjustRightInd w:val="0"/>
              <w:snapToGrid w:val="0"/>
              <w:spacing w:line="240" w:lineRule="auto"/>
              <w:jc w:val="center"/>
              <w:rPr>
                <w:rFonts w:cs="Times New Roman"/>
                <w:szCs w:val="21"/>
              </w:rPr>
            </w:pPr>
            <w:r>
              <w:rPr>
                <w:rFonts w:cs="Times New Roman"/>
                <w:szCs w:val="21"/>
              </w:rPr>
              <w:t>体</w:t>
            </w:r>
          </w:p>
        </w:tc>
        <w:tc>
          <w:tcPr>
            <w:tcW w:w="991"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S30408</w:t>
            </w:r>
          </w:p>
        </w:tc>
        <w:tc>
          <w:tcPr>
            <w:tcW w:w="1132"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205</w:t>
            </w:r>
          </w:p>
        </w:tc>
        <w:tc>
          <w:tcPr>
            <w:tcW w:w="893"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515</w:t>
            </w:r>
          </w:p>
        </w:tc>
        <w:tc>
          <w:tcPr>
            <w:tcW w:w="850" w:type="pct"/>
            <w:vMerge w:val="restar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40</w:t>
            </w:r>
          </w:p>
        </w:tc>
        <w:tc>
          <w:tcPr>
            <w:tcW w:w="568" w:type="pct"/>
            <w:vMerge w:val="restar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568" w:type="pct"/>
            <w:vMerge w:val="continue"/>
            <w:shd w:val="clear" w:color="auto" w:fill="auto"/>
            <w:vAlign w:val="center"/>
          </w:tcPr>
          <w:p>
            <w:pPr>
              <w:adjustRightInd w:val="0"/>
              <w:snapToGrid w:val="0"/>
              <w:spacing w:line="240" w:lineRule="auto"/>
              <w:jc w:val="center"/>
              <w:rPr>
                <w:rFonts w:cs="Times New Roman"/>
                <w:szCs w:val="21"/>
              </w:rPr>
            </w:pPr>
          </w:p>
        </w:tc>
        <w:tc>
          <w:tcPr>
            <w:tcW w:w="991"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S30403</w:t>
            </w:r>
          </w:p>
        </w:tc>
        <w:tc>
          <w:tcPr>
            <w:tcW w:w="1132"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170</w:t>
            </w:r>
          </w:p>
        </w:tc>
        <w:tc>
          <w:tcPr>
            <w:tcW w:w="893"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485</w:t>
            </w:r>
          </w:p>
        </w:tc>
        <w:tc>
          <w:tcPr>
            <w:tcW w:w="850" w:type="pct"/>
            <w:vMerge w:val="continue"/>
            <w:shd w:val="clear" w:color="auto" w:fill="auto"/>
            <w:vAlign w:val="center"/>
          </w:tcPr>
          <w:p>
            <w:pPr>
              <w:adjustRightInd w:val="0"/>
              <w:snapToGrid w:val="0"/>
              <w:spacing w:line="240" w:lineRule="auto"/>
              <w:jc w:val="center"/>
              <w:rPr>
                <w:rFonts w:cs="Times New Roman"/>
                <w:sz w:val="18"/>
                <w:szCs w:val="18"/>
              </w:rPr>
            </w:pPr>
          </w:p>
        </w:tc>
        <w:tc>
          <w:tcPr>
            <w:tcW w:w="568" w:type="pct"/>
            <w:vMerge w:val="continue"/>
            <w:shd w:val="clear" w:color="auto" w:fill="auto"/>
            <w:vAlign w:val="center"/>
          </w:tcPr>
          <w:p>
            <w:pPr>
              <w:adjustRightInd w:val="0"/>
              <w:snapToGrid w:val="0"/>
              <w:spacing w:line="240" w:lineRule="auto"/>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568" w:type="pct"/>
            <w:vMerge w:val="continue"/>
            <w:shd w:val="clear" w:color="auto" w:fill="auto"/>
            <w:vAlign w:val="center"/>
          </w:tcPr>
          <w:p>
            <w:pPr>
              <w:adjustRightInd w:val="0"/>
              <w:snapToGrid w:val="0"/>
              <w:spacing w:line="240" w:lineRule="auto"/>
              <w:jc w:val="center"/>
              <w:rPr>
                <w:rFonts w:cs="Times New Roman"/>
                <w:szCs w:val="21"/>
              </w:rPr>
            </w:pPr>
          </w:p>
        </w:tc>
        <w:tc>
          <w:tcPr>
            <w:tcW w:w="991"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S31608</w:t>
            </w:r>
          </w:p>
        </w:tc>
        <w:tc>
          <w:tcPr>
            <w:tcW w:w="1132"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205</w:t>
            </w:r>
          </w:p>
        </w:tc>
        <w:tc>
          <w:tcPr>
            <w:tcW w:w="893"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515</w:t>
            </w:r>
          </w:p>
        </w:tc>
        <w:tc>
          <w:tcPr>
            <w:tcW w:w="850" w:type="pct"/>
            <w:vMerge w:val="restar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40</w:t>
            </w:r>
          </w:p>
        </w:tc>
        <w:tc>
          <w:tcPr>
            <w:tcW w:w="568" w:type="pct"/>
            <w:vMerge w:val="restar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568" w:type="pct"/>
            <w:vMerge w:val="continue"/>
            <w:shd w:val="clear" w:color="auto" w:fill="auto"/>
            <w:vAlign w:val="center"/>
          </w:tcPr>
          <w:p>
            <w:pPr>
              <w:adjustRightInd w:val="0"/>
              <w:snapToGrid w:val="0"/>
              <w:spacing w:line="240" w:lineRule="auto"/>
              <w:jc w:val="center"/>
              <w:rPr>
                <w:rFonts w:cs="Times New Roman"/>
                <w:szCs w:val="21"/>
              </w:rPr>
            </w:pPr>
          </w:p>
        </w:tc>
        <w:tc>
          <w:tcPr>
            <w:tcW w:w="991"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S31603</w:t>
            </w:r>
          </w:p>
        </w:tc>
        <w:tc>
          <w:tcPr>
            <w:tcW w:w="1132"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170</w:t>
            </w:r>
          </w:p>
        </w:tc>
        <w:tc>
          <w:tcPr>
            <w:tcW w:w="893"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485</w:t>
            </w:r>
          </w:p>
        </w:tc>
        <w:tc>
          <w:tcPr>
            <w:tcW w:w="850" w:type="pct"/>
            <w:vMerge w:val="continue"/>
            <w:shd w:val="clear" w:color="auto" w:fill="auto"/>
            <w:vAlign w:val="center"/>
          </w:tcPr>
          <w:p>
            <w:pPr>
              <w:adjustRightInd w:val="0"/>
              <w:snapToGrid w:val="0"/>
              <w:spacing w:line="240" w:lineRule="auto"/>
              <w:jc w:val="center"/>
              <w:rPr>
                <w:rFonts w:cs="Times New Roman"/>
                <w:sz w:val="18"/>
                <w:szCs w:val="18"/>
              </w:rPr>
            </w:pPr>
          </w:p>
        </w:tc>
        <w:tc>
          <w:tcPr>
            <w:tcW w:w="568" w:type="pct"/>
            <w:vMerge w:val="continue"/>
            <w:shd w:val="clear" w:color="auto" w:fill="auto"/>
            <w:vAlign w:val="center"/>
          </w:tcPr>
          <w:p>
            <w:pPr>
              <w:adjustRightInd w:val="0"/>
              <w:snapToGrid w:val="0"/>
              <w:spacing w:line="240" w:lineRule="auto"/>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exact"/>
          <w:jc w:val="center"/>
        </w:trPr>
        <w:tc>
          <w:tcPr>
            <w:tcW w:w="568" w:type="pct"/>
            <w:vMerge w:val="restart"/>
            <w:shd w:val="clear" w:color="auto" w:fill="auto"/>
            <w:vAlign w:val="center"/>
          </w:tcPr>
          <w:p>
            <w:pPr>
              <w:adjustRightInd w:val="0"/>
              <w:snapToGrid w:val="0"/>
              <w:spacing w:line="240" w:lineRule="auto"/>
              <w:jc w:val="center"/>
              <w:rPr>
                <w:rFonts w:cs="Times New Roman"/>
                <w:szCs w:val="21"/>
              </w:rPr>
            </w:pPr>
            <w:r>
              <w:rPr>
                <w:rFonts w:cs="Times New Roman"/>
                <w:szCs w:val="21"/>
              </w:rPr>
              <w:t>双相型</w:t>
            </w:r>
          </w:p>
        </w:tc>
        <w:tc>
          <w:tcPr>
            <w:tcW w:w="991"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S22053</w:t>
            </w:r>
          </w:p>
        </w:tc>
        <w:tc>
          <w:tcPr>
            <w:tcW w:w="1132" w:type="pct"/>
            <w:vMerge w:val="restar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450</w:t>
            </w:r>
          </w:p>
        </w:tc>
        <w:tc>
          <w:tcPr>
            <w:tcW w:w="893" w:type="pct"/>
            <w:vMerge w:val="restar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620</w:t>
            </w:r>
          </w:p>
        </w:tc>
        <w:tc>
          <w:tcPr>
            <w:tcW w:w="850" w:type="pct"/>
            <w:vMerge w:val="restar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25</w:t>
            </w:r>
          </w:p>
        </w:tc>
        <w:tc>
          <w:tcPr>
            <w:tcW w:w="568" w:type="pct"/>
            <w:vMerge w:val="restar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568" w:type="pct"/>
            <w:vMerge w:val="continue"/>
            <w:shd w:val="clear" w:color="auto" w:fill="auto"/>
            <w:vAlign w:val="center"/>
          </w:tcPr>
          <w:p>
            <w:pPr>
              <w:adjustRightInd w:val="0"/>
              <w:snapToGrid w:val="0"/>
              <w:rPr>
                <w:rFonts w:cs="Times New Roman"/>
                <w:szCs w:val="21"/>
              </w:rPr>
            </w:pPr>
          </w:p>
        </w:tc>
        <w:tc>
          <w:tcPr>
            <w:tcW w:w="991"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S22253</w:t>
            </w:r>
          </w:p>
        </w:tc>
        <w:tc>
          <w:tcPr>
            <w:tcW w:w="1132" w:type="pct"/>
            <w:vMerge w:val="continue"/>
            <w:shd w:val="clear" w:color="auto" w:fill="auto"/>
            <w:vAlign w:val="center"/>
          </w:tcPr>
          <w:p>
            <w:pPr>
              <w:adjustRightInd w:val="0"/>
              <w:snapToGrid w:val="0"/>
              <w:rPr>
                <w:rFonts w:cs="Times New Roman"/>
                <w:szCs w:val="21"/>
              </w:rPr>
            </w:pPr>
          </w:p>
        </w:tc>
        <w:tc>
          <w:tcPr>
            <w:tcW w:w="893" w:type="pct"/>
            <w:vMerge w:val="continue"/>
            <w:shd w:val="clear" w:color="auto" w:fill="auto"/>
            <w:vAlign w:val="center"/>
          </w:tcPr>
          <w:p>
            <w:pPr>
              <w:adjustRightInd w:val="0"/>
              <w:snapToGrid w:val="0"/>
              <w:rPr>
                <w:rFonts w:cs="Times New Roman"/>
                <w:szCs w:val="21"/>
              </w:rPr>
            </w:pPr>
          </w:p>
        </w:tc>
        <w:tc>
          <w:tcPr>
            <w:tcW w:w="850" w:type="pct"/>
            <w:vMerge w:val="continue"/>
            <w:shd w:val="clear" w:color="auto" w:fill="auto"/>
            <w:vAlign w:val="center"/>
          </w:tcPr>
          <w:p>
            <w:pPr>
              <w:adjustRightInd w:val="0"/>
              <w:snapToGrid w:val="0"/>
              <w:rPr>
                <w:rFonts w:cs="Times New Roman"/>
                <w:szCs w:val="21"/>
              </w:rPr>
            </w:pPr>
          </w:p>
        </w:tc>
        <w:tc>
          <w:tcPr>
            <w:tcW w:w="568" w:type="pct"/>
            <w:vMerge w:val="continue"/>
            <w:shd w:val="clear" w:color="auto" w:fill="auto"/>
            <w:vAlign w:val="center"/>
          </w:tcPr>
          <w:p>
            <w:pPr>
              <w:adjustRightInd w:val="0"/>
              <w:snapToGrid w:val="0"/>
              <w:rPr>
                <w:rFonts w:cs="Times New Roman"/>
                <w:szCs w:val="21"/>
              </w:rPr>
            </w:pPr>
          </w:p>
        </w:tc>
      </w:tr>
    </w:tbl>
    <w:p>
      <w:pPr>
        <w:adjustRightInd w:val="0"/>
        <w:snapToGrid w:val="0"/>
        <w:rPr>
          <w:rFonts w:eastAsia="黑体" w:cs="Times New Roman"/>
          <w:sz w:val="18"/>
          <w:szCs w:val="18"/>
        </w:rPr>
      </w:pPr>
      <w:r>
        <w:rPr>
          <w:rFonts w:eastAsia="黑体" w:cs="Times New Roman"/>
          <w:sz w:val="18"/>
          <w:szCs w:val="18"/>
        </w:rPr>
        <w:t>注：*现行国家标准《不锈钢热轧钢板和钢带》GB/T 4237中</w:t>
      </w:r>
      <w:r>
        <w:rPr>
          <w:rFonts w:eastAsia="黑体" w:cs="Times New Roman"/>
          <w:i/>
          <w:sz w:val="18"/>
          <w:szCs w:val="18"/>
        </w:rPr>
        <w:t>f</w:t>
      </w:r>
      <w:r>
        <w:rPr>
          <w:rFonts w:eastAsia="黑体" w:cs="Times New Roman"/>
          <w:sz w:val="18"/>
          <w:szCs w:val="18"/>
          <w:vertAlign w:val="subscript"/>
        </w:rPr>
        <w:t>0.2</w:t>
      </w:r>
      <w:r>
        <w:rPr>
          <w:rFonts w:eastAsia="黑体" w:cs="Times New Roman"/>
          <w:sz w:val="18"/>
          <w:szCs w:val="18"/>
        </w:rPr>
        <w:t>、</w:t>
      </w:r>
      <w:r>
        <w:rPr>
          <w:rFonts w:eastAsia="黑体" w:cs="Times New Roman"/>
          <w:i/>
          <w:sz w:val="18"/>
          <w:szCs w:val="18"/>
        </w:rPr>
        <w:t>f</w:t>
      </w:r>
      <w:r>
        <w:rPr>
          <w:rFonts w:eastAsia="黑体" w:cs="Times New Roman"/>
          <w:sz w:val="18"/>
          <w:szCs w:val="18"/>
          <w:vertAlign w:val="subscript"/>
        </w:rPr>
        <w:t>u</w:t>
      </w:r>
      <w:r>
        <w:rPr>
          <w:rFonts w:eastAsia="黑体" w:cs="Times New Roman"/>
          <w:sz w:val="18"/>
          <w:szCs w:val="18"/>
        </w:rPr>
        <w:t>和</w:t>
      </w:r>
      <w:r>
        <w:rPr>
          <w:rFonts w:eastAsia="黑体" w:cs="Times New Roman"/>
          <w:i/>
          <w:sz w:val="18"/>
          <w:szCs w:val="18"/>
        </w:rPr>
        <w:t>δ</w:t>
      </w:r>
      <w:r>
        <w:rPr>
          <w:rFonts w:eastAsia="黑体" w:cs="Times New Roman"/>
          <w:sz w:val="18"/>
          <w:szCs w:val="18"/>
        </w:rPr>
        <w:t>(%)分别对应于</w:t>
      </w:r>
      <w:r>
        <w:rPr>
          <w:rFonts w:eastAsia="黑体" w:cs="Times New Roman"/>
          <w:i/>
          <w:sz w:val="18"/>
          <w:szCs w:val="18"/>
        </w:rPr>
        <w:t>R</w:t>
      </w:r>
      <w:r>
        <w:rPr>
          <w:rFonts w:eastAsia="黑体" w:cs="Times New Roman"/>
          <w:sz w:val="18"/>
          <w:szCs w:val="18"/>
          <w:vertAlign w:val="subscript"/>
        </w:rPr>
        <w:t>p0.2</w:t>
      </w:r>
      <w:r>
        <w:rPr>
          <w:rFonts w:eastAsia="黑体" w:cs="Times New Roman"/>
          <w:sz w:val="18"/>
          <w:szCs w:val="18"/>
        </w:rPr>
        <w:t>、</w:t>
      </w:r>
      <w:r>
        <w:rPr>
          <w:rFonts w:eastAsia="黑体" w:cs="Times New Roman"/>
          <w:i/>
          <w:sz w:val="18"/>
          <w:szCs w:val="18"/>
        </w:rPr>
        <w:t>R</w:t>
      </w:r>
      <w:r>
        <w:rPr>
          <w:rFonts w:eastAsia="黑体" w:cs="Times New Roman"/>
          <w:sz w:val="18"/>
          <w:szCs w:val="18"/>
          <w:vertAlign w:val="subscript"/>
        </w:rPr>
        <w:t>m</w:t>
      </w:r>
      <w:r>
        <w:rPr>
          <w:rFonts w:eastAsia="黑体" w:cs="Times New Roman"/>
          <w:sz w:val="18"/>
          <w:szCs w:val="18"/>
        </w:rPr>
        <w:t>和</w:t>
      </w:r>
      <w:r>
        <w:rPr>
          <w:rFonts w:eastAsia="黑体" w:cs="Times New Roman"/>
          <w:i/>
          <w:sz w:val="18"/>
          <w:szCs w:val="18"/>
        </w:rPr>
        <w:t>A</w:t>
      </w:r>
      <w:r>
        <w:rPr>
          <w:rFonts w:eastAsia="黑体" w:cs="Times New Roman"/>
          <w:sz w:val="18"/>
          <w:szCs w:val="18"/>
        </w:rPr>
        <w:t>%。</w:t>
      </w:r>
    </w:p>
    <w:p>
      <w:pPr>
        <w:adjustRightInd w:val="0"/>
        <w:snapToGrid w:val="0"/>
        <w:jc w:val="center"/>
        <w:rPr>
          <w:rFonts w:eastAsia="黑体" w:cs="Times New Roman"/>
          <w:sz w:val="18"/>
          <w:szCs w:val="18"/>
        </w:rPr>
      </w:pPr>
      <w:r>
        <w:rPr>
          <w:rFonts w:eastAsia="黑体" w:cs="Times New Roman"/>
          <w:sz w:val="18"/>
          <w:szCs w:val="18"/>
        </w:rPr>
        <w:t>表3 不锈钢材料的化学成分</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018"/>
        <w:gridCol w:w="558"/>
        <w:gridCol w:w="531"/>
        <w:gridCol w:w="482"/>
        <w:gridCol w:w="621"/>
        <w:gridCol w:w="558"/>
        <w:gridCol w:w="989"/>
        <w:gridCol w:w="989"/>
        <w:gridCol w:w="837"/>
        <w:gridCol w:w="430"/>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Merge w:val="restart"/>
            <w:shd w:val="clear" w:color="auto" w:fill="auto"/>
            <w:vAlign w:val="center"/>
          </w:tcPr>
          <w:p>
            <w:pPr>
              <w:adjustRightInd w:val="0"/>
              <w:snapToGrid w:val="0"/>
              <w:spacing w:line="240" w:lineRule="auto"/>
              <w:rPr>
                <w:rFonts w:cs="Times New Roman"/>
                <w:sz w:val="18"/>
                <w:szCs w:val="18"/>
              </w:rPr>
            </w:pPr>
            <w:r>
              <w:rPr>
                <w:rFonts w:cs="Times New Roman"/>
                <w:sz w:val="18"/>
                <w:szCs w:val="18"/>
              </w:rPr>
              <w:t>种类</w:t>
            </w:r>
          </w:p>
        </w:tc>
        <w:tc>
          <w:tcPr>
            <w:tcW w:w="604" w:type="pct"/>
            <w:vMerge w:val="restar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统一</w:t>
            </w:r>
          </w:p>
          <w:p>
            <w:pPr>
              <w:adjustRightInd w:val="0"/>
              <w:snapToGrid w:val="0"/>
              <w:spacing w:line="240" w:lineRule="auto"/>
              <w:jc w:val="center"/>
              <w:rPr>
                <w:rFonts w:cs="Times New Roman"/>
                <w:sz w:val="18"/>
                <w:szCs w:val="18"/>
              </w:rPr>
            </w:pPr>
            <w:r>
              <w:rPr>
                <w:rFonts w:cs="Times New Roman"/>
                <w:sz w:val="18"/>
                <w:szCs w:val="18"/>
              </w:rPr>
              <w:t>数字代号</w:t>
            </w:r>
          </w:p>
        </w:tc>
        <w:tc>
          <w:tcPr>
            <w:tcW w:w="4006" w:type="pct"/>
            <w:gridSpan w:val="10"/>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化学成分（质量分数%）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Merge w:val="continue"/>
            <w:shd w:val="clear" w:color="auto" w:fill="auto"/>
            <w:vAlign w:val="center"/>
          </w:tcPr>
          <w:p>
            <w:pPr>
              <w:adjustRightInd w:val="0"/>
              <w:snapToGrid w:val="0"/>
              <w:spacing w:line="240" w:lineRule="auto"/>
              <w:rPr>
                <w:rFonts w:cs="Times New Roman"/>
                <w:sz w:val="18"/>
                <w:szCs w:val="18"/>
              </w:rPr>
            </w:pPr>
          </w:p>
        </w:tc>
        <w:tc>
          <w:tcPr>
            <w:tcW w:w="604" w:type="pct"/>
            <w:vMerge w:val="continue"/>
            <w:shd w:val="clear" w:color="auto" w:fill="auto"/>
            <w:vAlign w:val="center"/>
          </w:tcPr>
          <w:p>
            <w:pPr>
              <w:adjustRightInd w:val="0"/>
              <w:snapToGrid w:val="0"/>
              <w:spacing w:line="240" w:lineRule="auto"/>
              <w:rPr>
                <w:rFonts w:cs="Times New Roman"/>
                <w:sz w:val="18"/>
                <w:szCs w:val="18"/>
              </w:rPr>
            </w:pP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C</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Si</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Mn</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P</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Ni</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Cr</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Mo</w:t>
            </w:r>
          </w:p>
        </w:tc>
        <w:tc>
          <w:tcPr>
            <w:tcW w:w="258"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Cu</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90" w:type="pct"/>
            <w:vMerge w:val="restart"/>
            <w:shd w:val="clear" w:color="auto" w:fill="auto"/>
            <w:vAlign w:val="center"/>
          </w:tcPr>
          <w:p>
            <w:pPr>
              <w:adjustRightInd w:val="0"/>
              <w:snapToGrid w:val="0"/>
              <w:spacing w:line="240" w:lineRule="auto"/>
              <w:rPr>
                <w:rFonts w:cs="Times New Roman"/>
                <w:szCs w:val="21"/>
              </w:rPr>
            </w:pPr>
            <w:r>
              <w:rPr>
                <w:rFonts w:cs="Times New Roman"/>
                <w:szCs w:val="21"/>
              </w:rPr>
              <w:t>奥</w:t>
            </w:r>
          </w:p>
          <w:p>
            <w:pPr>
              <w:adjustRightInd w:val="0"/>
              <w:snapToGrid w:val="0"/>
              <w:spacing w:line="240" w:lineRule="auto"/>
              <w:rPr>
                <w:rFonts w:cs="Times New Roman"/>
                <w:szCs w:val="21"/>
              </w:rPr>
            </w:pPr>
            <w:r>
              <w:rPr>
                <w:rFonts w:cs="Times New Roman"/>
                <w:szCs w:val="21"/>
              </w:rPr>
              <w:t>氏</w:t>
            </w:r>
          </w:p>
          <w:p>
            <w:pPr>
              <w:adjustRightInd w:val="0"/>
              <w:snapToGrid w:val="0"/>
              <w:spacing w:line="240" w:lineRule="auto"/>
              <w:rPr>
                <w:rFonts w:cs="Times New Roman"/>
                <w:szCs w:val="21"/>
              </w:rPr>
            </w:pPr>
            <w:r>
              <w:rPr>
                <w:rFonts w:cs="Times New Roman"/>
                <w:szCs w:val="21"/>
              </w:rPr>
              <w:t>体</w:t>
            </w:r>
          </w:p>
        </w:tc>
        <w:tc>
          <w:tcPr>
            <w:tcW w:w="60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S30408</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0.08</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0.75</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0.045</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8.0~10.5</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18.0~20.0</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w:t>
            </w:r>
          </w:p>
        </w:tc>
        <w:tc>
          <w:tcPr>
            <w:tcW w:w="258"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90" w:type="pct"/>
            <w:vMerge w:val="continue"/>
            <w:shd w:val="clear" w:color="auto" w:fill="auto"/>
            <w:vAlign w:val="center"/>
          </w:tcPr>
          <w:p>
            <w:pPr>
              <w:adjustRightInd w:val="0"/>
              <w:snapToGrid w:val="0"/>
              <w:spacing w:line="240" w:lineRule="auto"/>
              <w:rPr>
                <w:rFonts w:cs="Times New Roman"/>
                <w:szCs w:val="21"/>
              </w:rPr>
            </w:pPr>
          </w:p>
        </w:tc>
        <w:tc>
          <w:tcPr>
            <w:tcW w:w="60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S30403</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0.75</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0.045</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8.0~10.5</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18.0~20.0</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w:t>
            </w:r>
          </w:p>
        </w:tc>
        <w:tc>
          <w:tcPr>
            <w:tcW w:w="258"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90" w:type="pct"/>
            <w:vMerge w:val="continue"/>
            <w:shd w:val="clear" w:color="auto" w:fill="auto"/>
            <w:vAlign w:val="center"/>
          </w:tcPr>
          <w:p>
            <w:pPr>
              <w:adjustRightInd w:val="0"/>
              <w:snapToGrid w:val="0"/>
              <w:spacing w:line="240" w:lineRule="auto"/>
              <w:rPr>
                <w:rFonts w:cs="Times New Roman"/>
                <w:szCs w:val="21"/>
              </w:rPr>
            </w:pPr>
          </w:p>
        </w:tc>
        <w:tc>
          <w:tcPr>
            <w:tcW w:w="60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S31608</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0.08</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0.75</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0.045</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10.0~14.0</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16.0~18.0</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2.0~3.0</w:t>
            </w:r>
          </w:p>
        </w:tc>
        <w:tc>
          <w:tcPr>
            <w:tcW w:w="258"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90" w:type="pct"/>
            <w:vMerge w:val="continue"/>
            <w:shd w:val="clear" w:color="auto" w:fill="auto"/>
            <w:vAlign w:val="center"/>
          </w:tcPr>
          <w:p>
            <w:pPr>
              <w:adjustRightInd w:val="0"/>
              <w:snapToGrid w:val="0"/>
              <w:spacing w:line="240" w:lineRule="auto"/>
              <w:rPr>
                <w:rFonts w:cs="Times New Roman"/>
                <w:szCs w:val="21"/>
              </w:rPr>
            </w:pPr>
          </w:p>
        </w:tc>
        <w:tc>
          <w:tcPr>
            <w:tcW w:w="60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S31603</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0.75</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0.045</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10.0~14.0</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16.0~18.0</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2.0~3.0</w:t>
            </w:r>
          </w:p>
        </w:tc>
        <w:tc>
          <w:tcPr>
            <w:tcW w:w="258"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exact"/>
          <w:jc w:val="center"/>
        </w:trPr>
        <w:tc>
          <w:tcPr>
            <w:tcW w:w="390" w:type="pct"/>
            <w:vMerge w:val="restart"/>
            <w:shd w:val="clear" w:color="auto" w:fill="auto"/>
            <w:vAlign w:val="center"/>
          </w:tcPr>
          <w:p>
            <w:pPr>
              <w:adjustRightInd w:val="0"/>
              <w:snapToGrid w:val="0"/>
              <w:spacing w:line="240" w:lineRule="auto"/>
              <w:rPr>
                <w:rFonts w:cs="Times New Roman"/>
                <w:szCs w:val="21"/>
              </w:rPr>
            </w:pPr>
            <w:r>
              <w:rPr>
                <w:rFonts w:cs="Times New Roman"/>
                <w:szCs w:val="21"/>
              </w:rPr>
              <w:t>双</w:t>
            </w:r>
          </w:p>
          <w:p>
            <w:pPr>
              <w:adjustRightInd w:val="0"/>
              <w:snapToGrid w:val="0"/>
              <w:spacing w:line="240" w:lineRule="auto"/>
              <w:rPr>
                <w:rFonts w:cs="Times New Roman"/>
                <w:szCs w:val="21"/>
              </w:rPr>
            </w:pPr>
            <w:r>
              <w:rPr>
                <w:rFonts w:cs="Times New Roman"/>
                <w:szCs w:val="21"/>
              </w:rPr>
              <w:t>相</w:t>
            </w:r>
          </w:p>
          <w:p>
            <w:pPr>
              <w:adjustRightInd w:val="0"/>
              <w:snapToGrid w:val="0"/>
              <w:spacing w:line="240" w:lineRule="auto"/>
              <w:rPr>
                <w:rFonts w:cs="Times New Roman"/>
                <w:szCs w:val="21"/>
              </w:rPr>
            </w:pPr>
            <w:r>
              <w:rPr>
                <w:rFonts w:cs="Times New Roman"/>
                <w:szCs w:val="21"/>
              </w:rPr>
              <w:t>型</w:t>
            </w:r>
          </w:p>
        </w:tc>
        <w:tc>
          <w:tcPr>
            <w:tcW w:w="60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S22053</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1.0</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0.02</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4.5~6.5</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22.0~23.0</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3.0~3.5</w:t>
            </w:r>
          </w:p>
        </w:tc>
        <w:tc>
          <w:tcPr>
            <w:tcW w:w="258"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0.14~0.2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exact"/>
          <w:jc w:val="center"/>
        </w:trPr>
        <w:tc>
          <w:tcPr>
            <w:tcW w:w="390" w:type="pct"/>
            <w:vMerge w:val="continue"/>
            <w:shd w:val="clear" w:color="auto" w:fill="auto"/>
            <w:vAlign w:val="center"/>
          </w:tcPr>
          <w:p>
            <w:pPr>
              <w:adjustRightInd w:val="0"/>
              <w:snapToGrid w:val="0"/>
              <w:spacing w:line="240" w:lineRule="auto"/>
              <w:rPr>
                <w:rFonts w:cs="Times New Roman"/>
                <w:szCs w:val="21"/>
              </w:rPr>
            </w:pPr>
          </w:p>
        </w:tc>
        <w:tc>
          <w:tcPr>
            <w:tcW w:w="60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S22253</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1.0</w:t>
            </w:r>
          </w:p>
        </w:tc>
        <w:tc>
          <w:tcPr>
            <w:tcW w:w="289"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2.0</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0.03</w:t>
            </w:r>
          </w:p>
        </w:tc>
        <w:tc>
          <w:tcPr>
            <w:tcW w:w="334"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0.02</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4.5~6.5</w:t>
            </w:r>
          </w:p>
        </w:tc>
        <w:tc>
          <w:tcPr>
            <w:tcW w:w="58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21.0~23.0</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2.5~3.5</w:t>
            </w:r>
          </w:p>
        </w:tc>
        <w:tc>
          <w:tcPr>
            <w:tcW w:w="258"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w:t>
            </w:r>
          </w:p>
        </w:tc>
        <w:tc>
          <w:tcPr>
            <w:tcW w:w="497" w:type="pct"/>
            <w:shd w:val="clear" w:color="auto" w:fill="auto"/>
            <w:vAlign w:val="center"/>
          </w:tcPr>
          <w:p>
            <w:pPr>
              <w:adjustRightInd w:val="0"/>
              <w:snapToGrid w:val="0"/>
              <w:spacing w:line="240" w:lineRule="auto"/>
              <w:jc w:val="center"/>
              <w:rPr>
                <w:rFonts w:cs="Times New Roman"/>
                <w:sz w:val="18"/>
                <w:szCs w:val="18"/>
              </w:rPr>
            </w:pPr>
            <w:r>
              <w:rPr>
                <w:rFonts w:cs="Times New Roman"/>
                <w:sz w:val="18"/>
                <w:szCs w:val="18"/>
              </w:rPr>
              <w:t>0.08~0.2</w:t>
            </w:r>
          </w:p>
        </w:tc>
      </w:tr>
    </w:tbl>
    <w:p>
      <w:pPr>
        <w:adjustRightInd w:val="0"/>
        <w:snapToGrid w:val="0"/>
        <w:rPr>
          <w:rFonts w:eastAsia="黑体" w:cs="Times New Roman"/>
          <w:sz w:val="18"/>
          <w:szCs w:val="18"/>
        </w:rPr>
      </w:pPr>
      <w:r>
        <w:rPr>
          <w:rFonts w:eastAsia="黑体" w:cs="Times New Roman"/>
          <w:sz w:val="18"/>
          <w:szCs w:val="18"/>
        </w:rPr>
        <w:t>注：表中所列成分除标明范围或最小值，其余均为最大值。</w:t>
      </w:r>
    </w:p>
    <w:p>
      <w:pPr>
        <w:pStyle w:val="3"/>
        <w:spacing w:before="156" w:after="156"/>
      </w:pPr>
      <w:bookmarkStart w:id="218" w:name="_Toc152588972"/>
      <w:bookmarkStart w:id="219" w:name="_Toc152589595"/>
      <w:bookmarkStart w:id="220" w:name="_Toc152589154"/>
      <w:r>
        <w:t>3.3连接材料</w:t>
      </w:r>
      <w:bookmarkEnd w:id="218"/>
      <w:bookmarkEnd w:id="219"/>
      <w:bookmarkEnd w:id="220"/>
    </w:p>
    <w:p>
      <w:r>
        <w:rPr>
          <w:b/>
        </w:rPr>
        <w:t xml:space="preserve">3.3.1-3.3.2 </w:t>
      </w:r>
      <w:r>
        <w:t>普通螺栓和环槽铆钉是预应力铝合金结构中应用最广泛的连接件。当采用其他连接件时，材料的相关规定可参照现行国家标准《铝合金结构设计规范》GB50429和《钢结构设计规定》GB50017的要求。</w:t>
      </w:r>
    </w:p>
    <w:p>
      <w:pPr>
        <w:pStyle w:val="3"/>
        <w:spacing w:before="156" w:after="156"/>
      </w:pPr>
      <w:bookmarkStart w:id="221" w:name="_Toc152589155"/>
      <w:bookmarkStart w:id="222" w:name="_Toc152588973"/>
      <w:bookmarkStart w:id="223" w:name="_Toc152589596"/>
      <w:r>
        <w:t>3.4索体材料</w:t>
      </w:r>
      <w:bookmarkEnd w:id="221"/>
      <w:bookmarkEnd w:id="222"/>
      <w:bookmarkEnd w:id="223"/>
    </w:p>
    <w:p>
      <w:r>
        <w:rPr>
          <w:b/>
        </w:rPr>
        <w:t>3.4.1</w:t>
      </w:r>
      <w:r>
        <w:t xml:space="preserve"> 预应力铝合金结构中铝合金结构的刚度与钢结构相比较小，索体一般宜采用钢绞线或不锈钢绞线，当有特殊需要时也可采用半平行钢丝束，锚固宜采用热铸锚。当采用其他形式的索体和锚固形式时，其材料要求可参照行业现行相关标准执行。</w:t>
      </w:r>
    </w:p>
    <w:p>
      <w:pPr>
        <w:rPr>
          <w:bCs/>
          <w:color w:val="000000" w:themeColor="text1"/>
          <w14:textFill>
            <w14:solidFill>
              <w14:schemeClr w14:val="tx1"/>
            </w14:solidFill>
          </w14:textFill>
        </w:rPr>
      </w:pPr>
      <w:r>
        <w:rPr>
          <w:b/>
          <w:bCs/>
          <w:color w:val="000000" w:themeColor="text1"/>
          <w:szCs w:val="21"/>
          <w14:textFill>
            <w14:solidFill>
              <w14:schemeClr w14:val="tx1"/>
            </w14:solidFill>
          </w14:textFill>
        </w:rPr>
        <w:t>3.4.2</w:t>
      </w:r>
      <w:r>
        <w:rPr>
          <w:bCs/>
          <w:color w:val="000000" w:themeColor="text1"/>
          <w:szCs w:val="21"/>
          <w14:textFill>
            <w14:solidFill>
              <w14:schemeClr w14:val="tx1"/>
            </w14:solidFill>
          </w14:textFill>
        </w:rPr>
        <w:t>圆形钢绞线拉索可采用</w:t>
      </w:r>
      <w:r>
        <w:rPr>
          <w:bCs/>
          <w:i/>
          <w:color w:val="000000" w:themeColor="text1"/>
          <w:szCs w:val="21"/>
          <w14:textFill>
            <w14:solidFill>
              <w14:schemeClr w14:val="tx1"/>
            </w14:solidFill>
          </w14:textFill>
        </w:rPr>
        <w:t>1</w:t>
      </w:r>
      <w:r>
        <w:rPr>
          <w:color w:val="000000" w:themeColor="text1"/>
          <w14:textFill>
            <w14:solidFill>
              <w14:schemeClr w14:val="tx1"/>
            </w14:solidFill>
          </w14:textFill>
        </w:rPr>
        <w:t>×</w:t>
      </w:r>
      <w:r>
        <w:rPr>
          <w:i/>
          <w:color w:val="000000" w:themeColor="text1"/>
          <w14:textFill>
            <w14:solidFill>
              <w14:schemeClr w14:val="tx1"/>
            </w14:solidFill>
          </w14:textFill>
        </w:rPr>
        <w:t>n</w:t>
      </w:r>
      <w:r>
        <w:rPr>
          <w:color w:val="000000" w:themeColor="text1"/>
          <w14:textFill>
            <w14:solidFill>
              <w14:schemeClr w14:val="tx1"/>
            </w14:solidFill>
          </w14:textFill>
        </w:rPr>
        <w:t>-</w:t>
      </w:r>
      <w:r>
        <w:rPr>
          <w:i/>
          <w:color w:val="000000" w:themeColor="text1"/>
          <w14:textFill>
            <w14:solidFill>
              <w14:schemeClr w14:val="tx1"/>
            </w14:solidFill>
          </w14:textFill>
        </w:rPr>
        <w:t>d</w:t>
      </w:r>
      <w:r>
        <w:rPr>
          <w:color w:val="000000" w:themeColor="text1"/>
          <w14:textFill>
            <w14:solidFill>
              <w14:schemeClr w14:val="tx1"/>
            </w14:solidFill>
          </w14:textFill>
        </w:rPr>
        <w:t>-</w:t>
      </w:r>
      <w:r>
        <w:rPr>
          <w:i/>
          <w:color w:val="000000" w:themeColor="text1"/>
          <w14:textFill>
            <w14:solidFill>
              <w14:schemeClr w14:val="tx1"/>
            </w14:solidFill>
          </w14:textFill>
        </w:rPr>
        <w:t>f</w:t>
      </w:r>
      <w:r>
        <w:rPr>
          <w:color w:val="000000" w:themeColor="text1"/>
          <w14:textFill>
            <w14:solidFill>
              <w14:schemeClr w14:val="tx1"/>
            </w14:solidFill>
          </w14:textFill>
        </w:rPr>
        <w:t>-X表示，其中</w:t>
      </w:r>
      <w:r>
        <w:rPr>
          <w:bCs/>
          <w:i/>
          <w:color w:val="000000" w:themeColor="text1"/>
          <w:szCs w:val="21"/>
          <w14:textFill>
            <w14:solidFill>
              <w14:schemeClr w14:val="tx1"/>
            </w14:solidFill>
          </w14:textFill>
        </w:rPr>
        <w:t>1</w:t>
      </w:r>
      <w:r>
        <w:rPr>
          <w:color w:val="000000" w:themeColor="text1"/>
          <w14:textFill>
            <w14:solidFill>
              <w14:schemeClr w14:val="tx1"/>
            </w14:solidFill>
          </w14:textFill>
        </w:rPr>
        <w:t>×</w:t>
      </w:r>
      <w:r>
        <w:rPr>
          <w:i/>
          <w:color w:val="000000" w:themeColor="text1"/>
          <w14:textFill>
            <w14:solidFill>
              <w14:schemeClr w14:val="tx1"/>
            </w14:solidFill>
          </w14:textFill>
        </w:rPr>
        <w:t>n</w:t>
      </w:r>
      <w:r>
        <w:rPr>
          <w:color w:val="000000" w:themeColor="text1"/>
          <w14:textFill>
            <w14:solidFill>
              <w14:schemeClr w14:val="tx1"/>
            </w14:solidFill>
          </w14:textFill>
        </w:rPr>
        <w:t>表示</w:t>
      </w:r>
      <w:r>
        <w:rPr>
          <w:bCs/>
          <w:color w:val="000000" w:themeColor="text1"/>
          <w:szCs w:val="21"/>
          <w14:textFill>
            <w14:solidFill>
              <w14:schemeClr w14:val="tx1"/>
            </w14:solidFill>
          </w14:textFill>
        </w:rPr>
        <w:t>圆形</w:t>
      </w:r>
      <w:r>
        <w:rPr>
          <w:color w:val="000000" w:themeColor="text1"/>
          <w14:textFill>
            <w14:solidFill>
              <w14:schemeClr w14:val="tx1"/>
            </w14:solidFill>
          </w14:textFill>
        </w:rPr>
        <w:t>钢绞线的断面结构，</w:t>
      </w:r>
      <w:r>
        <w:rPr>
          <w:i/>
          <w:color w:val="000000" w:themeColor="text1"/>
          <w14:textFill>
            <w14:solidFill>
              <w14:schemeClr w14:val="tx1"/>
            </w14:solidFill>
          </w14:textFill>
        </w:rPr>
        <w:t>d</w:t>
      </w:r>
      <w:r>
        <w:rPr>
          <w:color w:val="000000" w:themeColor="text1"/>
          <w14:textFill>
            <w14:solidFill>
              <w14:schemeClr w14:val="tx1"/>
            </w14:solidFill>
          </w14:textFill>
        </w:rPr>
        <w:t>表示钢丝直径，</w:t>
      </w:r>
      <w:r>
        <w:rPr>
          <w:i/>
          <w:color w:val="000000" w:themeColor="text1"/>
          <w14:textFill>
            <w14:solidFill>
              <w14:schemeClr w14:val="tx1"/>
            </w14:solidFill>
          </w14:textFill>
        </w:rPr>
        <w:t>f</w:t>
      </w:r>
      <w:r>
        <w:rPr>
          <w:color w:val="000000" w:themeColor="text1"/>
          <w14:textFill>
            <w14:solidFill>
              <w14:schemeClr w14:val="tx1"/>
            </w14:solidFill>
          </w14:textFill>
        </w:rPr>
        <w:t>表示钢丝抗拉强度，X表示高钒索的锌层级别。封闭型钢绞线的表示方法应符合现行</w:t>
      </w:r>
      <w:r>
        <w:rPr>
          <w:color w:val="000000" w:themeColor="text1"/>
          <w:szCs w:val="21"/>
          <w14:textFill>
            <w14:solidFill>
              <w14:schemeClr w14:val="tx1"/>
            </w14:solidFill>
          </w14:textFill>
        </w:rPr>
        <w:t>行业标准《密封钢丝绳》 YB/T 5295的规定。</w:t>
      </w:r>
    </w:p>
    <w:p>
      <w:pPr>
        <w:rPr>
          <w:bCs/>
          <w:color w:val="000000"/>
          <w:szCs w:val="21"/>
        </w:rPr>
      </w:pPr>
      <w:r>
        <w:rPr>
          <w:b/>
        </w:rPr>
        <w:t xml:space="preserve">3.4.3 </w:t>
      </w:r>
      <w:r>
        <w:rPr>
          <w:bCs/>
          <w:color w:val="000000"/>
          <w:szCs w:val="21"/>
        </w:rPr>
        <w:t>不锈钢材料宜采用奥氏体型、奥氏体—铁素体型；且奥氏体型不锈钢的镍含量、钼含量应符合以下规定：</w:t>
      </w:r>
    </w:p>
    <w:p>
      <w:pPr>
        <w:ind w:firstLine="422" w:firstLineChars="200"/>
        <w:rPr>
          <w:bCs/>
          <w:color w:val="000000"/>
          <w:szCs w:val="21"/>
        </w:rPr>
      </w:pPr>
      <w:r>
        <w:rPr>
          <w:b/>
          <w:bCs/>
          <w:color w:val="000000"/>
          <w:szCs w:val="21"/>
        </w:rPr>
        <w:t>1</w:t>
      </w:r>
      <w:r>
        <w:rPr>
          <w:bCs/>
          <w:color w:val="000000"/>
          <w:szCs w:val="21"/>
        </w:rPr>
        <w:t>在现行国家标准《大气环境腐蚀性分类》 GB/T 15957中表1规定的无腐蚀、弱腐蚀或轻腐蚀环境中使用时，材料镍含量不应小于8%；</w:t>
      </w:r>
    </w:p>
    <w:p>
      <w:pPr>
        <w:ind w:firstLine="422" w:firstLineChars="200"/>
        <w:rPr>
          <w:bCs/>
          <w:color w:val="000000"/>
          <w:szCs w:val="21"/>
        </w:rPr>
      </w:pPr>
      <w:r>
        <w:rPr>
          <w:b/>
          <w:bCs/>
          <w:color w:val="000000"/>
          <w:szCs w:val="21"/>
        </w:rPr>
        <w:t>2</w:t>
      </w:r>
      <w:r>
        <w:rPr>
          <w:bCs/>
          <w:color w:val="000000"/>
          <w:szCs w:val="21"/>
        </w:rPr>
        <w:t>在现行国家标准《大气环境腐蚀性分类》 GB/T 15957中表1规定的中腐蚀、较强腐蚀或强腐蚀环境中使用时，材料镍含量不应小于10%、钼含量不应小于2%。</w:t>
      </w:r>
    </w:p>
    <w:p>
      <w:pPr>
        <w:rPr>
          <w:color w:val="000000"/>
        </w:rPr>
      </w:pPr>
      <w:r>
        <w:rPr>
          <w:b/>
          <w:color w:val="000000"/>
        </w:rPr>
        <w:t>3.4.4</w:t>
      </w:r>
      <w:r>
        <w:rPr>
          <w:color w:val="000000"/>
        </w:rPr>
        <w:t xml:space="preserve"> 半平行钢丝束拉索常用</w:t>
      </w:r>
      <w:r>
        <w:rPr>
          <w:i/>
          <w:color w:val="000000"/>
        </w:rPr>
        <w:t>n</w:t>
      </w:r>
      <w:r>
        <w:rPr>
          <w:color w:val="000000"/>
        </w:rPr>
        <w:t>×</w:t>
      </w:r>
      <w:r>
        <w:rPr>
          <w:i/>
          <w:color w:val="000000"/>
        </w:rPr>
        <w:t>ϕ</w:t>
      </w:r>
      <w:r>
        <w:rPr>
          <w:color w:val="000000"/>
        </w:rPr>
        <w:t>表示，其中</w:t>
      </w:r>
      <w:r>
        <w:rPr>
          <w:i/>
          <w:color w:val="000000"/>
        </w:rPr>
        <w:t>n</w:t>
      </w:r>
      <w:r>
        <w:rPr>
          <w:color w:val="000000"/>
        </w:rPr>
        <w:t>表示钢丝数量，</w:t>
      </w:r>
      <w:r>
        <w:rPr>
          <w:i/>
          <w:color w:val="000000"/>
        </w:rPr>
        <w:t>ϕ</w:t>
      </w:r>
      <w:r>
        <w:rPr>
          <w:color w:val="000000"/>
        </w:rPr>
        <w:t>表示钢丝直径。</w:t>
      </w:r>
    </w:p>
    <w:p>
      <w:pPr>
        <w:rPr>
          <w:bCs/>
          <w:color w:val="000000"/>
          <w:szCs w:val="21"/>
        </w:rPr>
      </w:pPr>
      <w:r>
        <w:rPr>
          <w:b/>
          <w:bCs/>
          <w:color w:val="000000"/>
          <w:szCs w:val="21"/>
        </w:rPr>
        <w:t>3.4.5</w:t>
      </w:r>
      <w:r>
        <w:rPr>
          <w:bCs/>
          <w:color w:val="000000"/>
          <w:szCs w:val="21"/>
        </w:rPr>
        <w:t>钢拉杆材料的其牌号及化学成分应分别符合</w:t>
      </w:r>
      <w:r>
        <w:rPr>
          <w:color w:val="000000"/>
        </w:rPr>
        <w:t>现行国家标准</w:t>
      </w:r>
      <w:r>
        <w:rPr>
          <w:bCs/>
          <w:color w:val="000000"/>
          <w:szCs w:val="21"/>
        </w:rPr>
        <w:t>《碳素结构钢》 GB/T 700、《优质碳素结构钢》 GB/T 699、《低合金高强度结构钢》 GB/T 1591、《合金结构钢》 GB/T 3077、《一般工程用铸造碳钢件》GB/T 11352和</w:t>
      </w:r>
      <w:r>
        <w:rPr>
          <w:color w:val="000000"/>
        </w:rPr>
        <w:t>现行行业标准</w:t>
      </w:r>
      <w:r>
        <w:rPr>
          <w:bCs/>
          <w:color w:val="000000"/>
          <w:szCs w:val="21"/>
        </w:rPr>
        <w:t>《大型低合金钢铸件》 JB/T 6402等标准的规定，杆体材料力学性能应符合</w:t>
      </w:r>
      <w:r>
        <w:rPr>
          <w:color w:val="000000"/>
        </w:rPr>
        <w:t>现行</w:t>
      </w:r>
      <w:r>
        <w:rPr>
          <w:bCs/>
          <w:color w:val="000000"/>
          <w:szCs w:val="21"/>
        </w:rPr>
        <w:t>国家标准《钢拉杆》 GB/T 20934的规定。</w:t>
      </w:r>
    </w:p>
    <w:p>
      <w:pPr>
        <w:pStyle w:val="3"/>
        <w:spacing w:before="156" w:after="156"/>
      </w:pPr>
      <w:bookmarkStart w:id="224" w:name="_Toc152589156"/>
      <w:bookmarkStart w:id="225" w:name="_Toc152588974"/>
      <w:bookmarkStart w:id="226" w:name="_Toc152589597"/>
      <w:r>
        <w:t>3.5 锚具</w:t>
      </w:r>
      <w:bookmarkEnd w:id="224"/>
      <w:bookmarkEnd w:id="225"/>
      <w:bookmarkEnd w:id="226"/>
    </w:p>
    <w:p>
      <w:pPr>
        <w:rPr>
          <w:bCs/>
        </w:rPr>
      </w:pPr>
      <w:r>
        <w:rPr>
          <w:b/>
          <w:bCs/>
        </w:rPr>
        <w:t>3.5.1</w:t>
      </w:r>
      <w:r>
        <w:t>优质碳素结构钢的技术性能应符合现行国家标准《优质碳素结构钢》 GB</w:t>
      </w:r>
      <w:r>
        <w:rPr>
          <w:szCs w:val="21"/>
        </w:rPr>
        <w:t>/T</w:t>
      </w:r>
      <w:r>
        <w:t xml:space="preserve"> 699的规定，合金结构钢的技术性能应符合现行国家标准《合金结构钢》 GB</w:t>
      </w:r>
      <w:r>
        <w:rPr>
          <w:szCs w:val="21"/>
        </w:rPr>
        <w:t>/T</w:t>
      </w:r>
      <w:r>
        <w:t xml:space="preserve"> 3077的规定。铸件的技术性能应符合现行国家标准《一般工程用铸造碳钢件》 GB</w:t>
      </w:r>
      <w:r>
        <w:rPr>
          <w:szCs w:val="21"/>
        </w:rPr>
        <w:t>/T</w:t>
      </w:r>
      <w:r>
        <w:t xml:space="preserve"> 11352或现行行业标准《大型低合金钢铸件》 JB/T 6402的规定。</w:t>
      </w:r>
    </w:p>
    <w:p>
      <w:pPr>
        <w:rPr>
          <w:bCs/>
        </w:rPr>
      </w:pPr>
      <w:r>
        <w:rPr>
          <w:b/>
          <w:bCs/>
        </w:rPr>
        <w:t>3.5.2</w:t>
      </w:r>
      <w:r>
        <w:rPr>
          <w:bCs/>
          <w:szCs w:val="21"/>
        </w:rPr>
        <w:t>不锈钢拉索的锚杯坯件采用铸件时其</w:t>
      </w:r>
      <w:r>
        <w:t>技术</w:t>
      </w:r>
      <w:r>
        <w:rPr>
          <w:bCs/>
          <w:szCs w:val="21"/>
        </w:rPr>
        <w:t>性能应符合</w:t>
      </w:r>
      <w:r>
        <w:t>现行</w:t>
      </w:r>
      <w:r>
        <w:rPr>
          <w:bCs/>
          <w:szCs w:val="21"/>
        </w:rPr>
        <w:t>国家标准《一般用途耐蚀钢铸件》GB/T 2100的规定。不锈钢冷拉棒的技术性能应符合</w:t>
      </w:r>
      <w:r>
        <w:t>现行</w:t>
      </w:r>
      <w:r>
        <w:rPr>
          <w:bCs/>
          <w:szCs w:val="21"/>
        </w:rPr>
        <w:t>国家标准《不锈钢冷加工钢棒》 GB/T 4226的规定。拉索用不锈钢螺杆技术性能应符合</w:t>
      </w:r>
      <w:r>
        <w:t>现行</w:t>
      </w:r>
      <w:r>
        <w:rPr>
          <w:bCs/>
          <w:szCs w:val="21"/>
        </w:rPr>
        <w:t>国家标准《不锈钢棒》 GB/T 1220的规定。</w:t>
      </w:r>
    </w:p>
    <w:p>
      <w:pPr>
        <w:rPr>
          <w:rFonts w:eastAsia="宋体"/>
        </w:rPr>
      </w:pPr>
      <w:r>
        <w:rPr>
          <w:b/>
          <w:bCs/>
        </w:rPr>
        <w:t>3.5.3</w:t>
      </w:r>
      <w:r>
        <w:rPr>
          <w:rFonts w:eastAsia="宋体"/>
        </w:rPr>
        <w:t>钢拉杆中的铸件材料技术性能应符合现行国家标准《一般工程用铸造碳钢件》 GB 11352或现行行业标准《大型低合金钢铸件》 JB/T 6402的规定；锻件材料应为优质碳素结构钢或者合金结构钢，技术性能应符合现行行业标准《大型合金钢锻件技术条件》 JB/T 6396、现行国家标准《优质碳素结构钢》 GB /T 699）或《合金结构钢》 GB/T 3077、《钢拉杆》GB/T 20934的规定。所采用钢棒及钢管的技术性能应符合现行国家标准《合金结构钢技术条件》 GB/T 3077、《不锈钢棒》 GB/T 1220、《结构用无缝钢管》 GB/T 8162及《钢拉杆》GB/T 20934的规定。</w:t>
      </w:r>
    </w:p>
    <w:p>
      <w:pPr>
        <w:rPr>
          <w:bCs/>
          <w:szCs w:val="21"/>
        </w:rPr>
        <w:sectPr>
          <w:pgSz w:w="11906" w:h="16838"/>
          <w:pgMar w:top="1440" w:right="1800" w:bottom="1440" w:left="1800" w:header="851" w:footer="992" w:gutter="0"/>
          <w:cols w:space="720" w:num="1"/>
          <w:docGrid w:type="lines" w:linePitch="312" w:charSpace="0"/>
        </w:sectPr>
      </w:pPr>
      <w:r>
        <w:rPr>
          <w:b/>
        </w:rPr>
        <w:t>3.5.4</w:t>
      </w:r>
      <w:r>
        <w:t>不锈钢拉杆锚具用铸件的技术性能应符合现行国家标准《一般用途耐蚀钢铸件》 GB/T 2100、《工程结构中用中、高强度不锈钢铸件》 GB/T 6967的规定。</w:t>
      </w:r>
      <w:r>
        <w:rPr>
          <w:bCs/>
          <w:szCs w:val="21"/>
        </w:rPr>
        <w:t>不锈钢钢棒技术性能应符合</w:t>
      </w:r>
      <w:r>
        <w:t>现行</w:t>
      </w:r>
      <w:r>
        <w:rPr>
          <w:bCs/>
          <w:szCs w:val="21"/>
        </w:rPr>
        <w:t>国家标准《不锈钢冷加工钢棒》 GB/T 4226的规定。</w:t>
      </w:r>
    </w:p>
    <w:p>
      <w:pPr>
        <w:pStyle w:val="2"/>
      </w:pPr>
      <w:bookmarkStart w:id="227" w:name="_Toc150008252"/>
      <w:bookmarkStart w:id="228" w:name="_Toc152589157"/>
      <w:bookmarkStart w:id="229" w:name="_Toc152588975"/>
      <w:bookmarkStart w:id="230" w:name="_Toc152589598"/>
      <w:bookmarkStart w:id="231" w:name="_Toc150008343"/>
      <w:r>
        <w:t>4设计基本规定</w:t>
      </w:r>
      <w:bookmarkEnd w:id="227"/>
      <w:bookmarkEnd w:id="228"/>
      <w:bookmarkEnd w:id="229"/>
      <w:bookmarkEnd w:id="230"/>
      <w:bookmarkEnd w:id="231"/>
    </w:p>
    <w:p>
      <w:pPr>
        <w:pStyle w:val="35"/>
        <w:numPr>
          <w:ilvl w:val="0"/>
          <w:numId w:val="1"/>
        </w:numPr>
        <w:ind w:firstLineChars="0"/>
        <w:jc w:val="center"/>
        <w:rPr>
          <w:rFonts w:cs="Times New Roman"/>
          <w:vanish/>
          <w:color w:val="FF0000"/>
          <w:sz w:val="28"/>
          <w:szCs w:val="28"/>
        </w:rPr>
      </w:pPr>
    </w:p>
    <w:p>
      <w:pPr>
        <w:pStyle w:val="35"/>
        <w:numPr>
          <w:ilvl w:val="0"/>
          <w:numId w:val="1"/>
        </w:numPr>
        <w:ind w:firstLineChars="0"/>
        <w:jc w:val="center"/>
        <w:rPr>
          <w:rFonts w:cs="Times New Roman"/>
          <w:vanish/>
          <w:color w:val="FF0000"/>
          <w:sz w:val="28"/>
          <w:szCs w:val="28"/>
        </w:rPr>
      </w:pPr>
    </w:p>
    <w:p>
      <w:pPr>
        <w:pStyle w:val="35"/>
        <w:numPr>
          <w:ilvl w:val="0"/>
          <w:numId w:val="1"/>
        </w:numPr>
        <w:ind w:firstLineChars="0"/>
        <w:jc w:val="center"/>
        <w:rPr>
          <w:rFonts w:cs="Times New Roman"/>
          <w:vanish/>
          <w:color w:val="FF0000"/>
          <w:sz w:val="28"/>
          <w:szCs w:val="28"/>
        </w:rPr>
      </w:pPr>
    </w:p>
    <w:p>
      <w:pPr>
        <w:pStyle w:val="3"/>
        <w:spacing w:before="156" w:after="156"/>
      </w:pPr>
      <w:bookmarkStart w:id="232" w:name="_Toc152589599"/>
      <w:bookmarkStart w:id="233" w:name="_Toc152588976"/>
      <w:bookmarkStart w:id="234" w:name="_Toc152589158"/>
      <w:bookmarkStart w:id="235" w:name="_Toc150008344"/>
      <w:bookmarkStart w:id="236" w:name="_Toc150008253"/>
      <w:r>
        <w:t>4.1设计原则</w:t>
      </w:r>
      <w:bookmarkEnd w:id="232"/>
      <w:bookmarkEnd w:id="233"/>
      <w:bookmarkEnd w:id="234"/>
      <w:bookmarkEnd w:id="235"/>
      <w:bookmarkEnd w:id="236"/>
    </w:p>
    <w:p>
      <w:r>
        <w:rPr>
          <w:b/>
        </w:rPr>
        <w:t>4.1.1</w:t>
      </w:r>
      <w:r>
        <w:t>预应力铝合金结构按承载能力极限状态和正常使用极限状态进行设计，承载力极限状态包括构件和连接的强度破坏，结构或构件因过度变形而不适于继续承载，结构或构件丧失稳定，结构转变为机构和结构倾覆；正常使用极限状态包括影响结构、构件和非结构构件正常使用或外观的变形，影响正常使用的振动，影响正常使用或耐久性能的局部损坏。</w:t>
      </w:r>
    </w:p>
    <w:p>
      <w:r>
        <w:rPr>
          <w:b/>
        </w:rPr>
        <w:t xml:space="preserve">4.1.3 </w:t>
      </w:r>
      <w:r>
        <w:t>预应力铝合金的屋盖通常用于跨度较大的情况，采用轻型的屋面系统才能使得构件截面较小从而利于展示铝合金和拉索构件的轻巧。在某些情况下，如为了防止风吸力下的预应力索松弛，也可能局部采用重型屋面作为压重增加索拉力。</w:t>
      </w:r>
    </w:p>
    <w:p>
      <w:r>
        <w:t>4.1.4 铝合金材料的硬度相对较小，在高强螺栓的预紧力作用下可能会发生局部的蠕变从而降低预紧力，对其减小规律尚缺乏系统研究，因此不建议采用摩擦型高强螺栓；铝合金材料在焊接条件下，母材的强度有较大幅度降低，因此，通常也不推荐采用焊接连接。当必须采用上述二种连接时，应充分评估所述连接强度的降低情况。</w:t>
      </w:r>
    </w:p>
    <w:p>
      <w:r>
        <w:t>4.1.5 铝合金材料的弹性模量明显小于钢材，因此铝合金结构的刚度通常相对较小，在结构尚未成型的预应力张拉阶段刚度更弱，因此在确定初始预应力时应考虑控制张拉阶段结构的变形。</w:t>
      </w:r>
    </w:p>
    <w:p>
      <w:r>
        <w:rPr>
          <w:b/>
        </w:rPr>
        <w:t>4.1.6</w:t>
      </w:r>
      <w:r>
        <w:t>在任何情况下均不容许索松弛往往会导致非常保守和不合理的设计结果。预应力铝合金结构在设防地震、罕遇地震或偶然荷载作用下如出现索的瞬时松弛，只要结构未失效或未出现影响结构正常使用功能的情况，上述作用和荷载消失后，结构能够马上恢复正常工作状态，由于上述作用和荷载出现的概率极低，因此可以接受此条件下的索松弛；而在其他出现概率相对较高的荷载设计下，仍要求不出现索松弛。</w:t>
      </w:r>
    </w:p>
    <w:p>
      <w:pPr>
        <w:rPr>
          <w:snapToGrid w:val="0"/>
          <w:kern w:val="0"/>
        </w:rPr>
      </w:pPr>
      <w:r>
        <w:rPr>
          <w:b/>
        </w:rPr>
        <w:t>4.1.8</w:t>
      </w:r>
      <w:r>
        <w:rPr>
          <w:snapToGrid w:val="0"/>
          <w:kern w:val="0"/>
        </w:rPr>
        <w:t xml:space="preserve">  预应力结构当承受火灾、车辆冲击、爆炸等偶然作用时，如可能造成局部构件的失效效，则应进行抗连续倒塌分析。</w:t>
      </w:r>
    </w:p>
    <w:p>
      <w:pPr>
        <w:rPr>
          <w:snapToGrid w:val="0"/>
          <w:kern w:val="0"/>
        </w:rPr>
      </w:pPr>
      <w:r>
        <w:rPr>
          <w:b/>
          <w:snapToGrid w:val="0"/>
          <w:kern w:val="0"/>
        </w:rPr>
        <w:t>4.1.10</w:t>
      </w:r>
      <w:r>
        <w:rPr>
          <w:snapToGrid w:val="0"/>
          <w:kern w:val="0"/>
        </w:rPr>
        <w:t>直接暴露构件以展示结构之美是预应力铝合金结构的重要优势，因此，在大跨空间结构中，应尽可能通过消防性能化分析的方法确定结构的防火需求，可采用水喷淋等方式进行防火保护，尽量避免对铝合金构件和拉索构件的直接防火涂料表面涂覆保护方式。拉索的防火要求参照了住房和城乡建设部行业标准《索结构技术规程》JGJ257中的规定。</w:t>
      </w:r>
    </w:p>
    <w:p>
      <w:pPr>
        <w:pStyle w:val="3"/>
        <w:spacing w:before="156" w:after="156"/>
      </w:pPr>
      <w:bookmarkStart w:id="237" w:name="_Toc152588977"/>
      <w:bookmarkStart w:id="238" w:name="_Toc150008345"/>
      <w:bookmarkStart w:id="239" w:name="_Toc152589159"/>
      <w:bookmarkStart w:id="240" w:name="_Toc150008254"/>
      <w:bookmarkStart w:id="241" w:name="_Toc152589600"/>
      <w:r>
        <w:t>4.2荷载与作用</w:t>
      </w:r>
      <w:bookmarkEnd w:id="237"/>
      <w:bookmarkEnd w:id="238"/>
      <w:bookmarkEnd w:id="239"/>
      <w:bookmarkEnd w:id="240"/>
      <w:bookmarkEnd w:id="241"/>
    </w:p>
    <w:p>
      <w:r>
        <w:rPr>
          <w:b/>
        </w:rPr>
        <w:t xml:space="preserve">4.2.3 </w:t>
      </w:r>
      <w:r>
        <w:t>根据编制单位进行的铝合金结构健康监测的研究成果，铝合金结构阻尼比可取0.02。</w:t>
      </w:r>
    </w:p>
    <w:p>
      <w:r>
        <w:rPr>
          <w:b/>
        </w:rPr>
        <w:t>4.2.4</w:t>
      </w:r>
      <w:r>
        <w:t>太阳辐射会明显提高暴露在阳光下的铝合金构件的温度，并且辐射对升温影响的大小受构件颜色的影响明显，颜色越深，太阳辐射影响越大，这些都是公认的常识，但两者间的量化关系目前还缺乏足够的实测数据。天津大学Hongbo Liu等在“Study on the thermal behavior of aluminum reticulated shell structures considering solar radiation”（ Thin-Walled Structures 85 (2014) 15–24）中的一次测试显示，4个浅灰色的铝合金试件在最高温度34</w:t>
      </w:r>
      <w:r>
        <w:rPr>
          <w:rFonts w:eastAsia="宋体" w:cs="Times New Roman"/>
        </w:rPr>
        <w:t>℃</w:t>
      </w:r>
      <w:r>
        <w:t>的环境温度下，构件表面的最高温度达到了55</w:t>
      </w:r>
      <w:r>
        <w:rPr>
          <w:rFonts w:eastAsia="宋体" w:cs="Times New Roman"/>
        </w:rPr>
        <w:t>℃</w:t>
      </w:r>
      <w:r>
        <w:t>，辐射升温达到了21</w:t>
      </w:r>
      <w:r>
        <w:rPr>
          <w:rFonts w:eastAsia="宋体" w:cs="Times New Roman"/>
        </w:rPr>
        <w:t>℃</w:t>
      </w:r>
      <w:r>
        <w:t>。具体工程中辐射升温的取值，还需结合结构的围护系统覆盖情况、铝合金表面的颜色、项目所在地的日照条件等综合研究确定。</w:t>
      </w:r>
    </w:p>
    <w:p>
      <w:pPr>
        <w:pStyle w:val="3"/>
        <w:spacing w:before="156" w:after="156"/>
      </w:pPr>
      <w:bookmarkStart w:id="242" w:name="_Toc150008346"/>
      <w:bookmarkStart w:id="243" w:name="_Toc152589160"/>
      <w:bookmarkStart w:id="244" w:name="_Toc152589601"/>
      <w:bookmarkStart w:id="245" w:name="_Toc150008255"/>
      <w:bookmarkStart w:id="246" w:name="_Toc152588978"/>
      <w:r>
        <w:t>4.3结构变形</w:t>
      </w:r>
      <w:bookmarkEnd w:id="242"/>
      <w:bookmarkEnd w:id="243"/>
      <w:bookmarkEnd w:id="244"/>
      <w:bookmarkEnd w:id="245"/>
      <w:bookmarkEnd w:id="246"/>
    </w:p>
    <w:p>
      <w:r>
        <w:rPr>
          <w:b/>
        </w:rPr>
        <w:t>4.3.1</w:t>
      </w:r>
      <w:r>
        <w:t>初始预应力状态是指结构张拉完成、并已形成最终整体结构刚度时的状态，此时结构承受的荷载和作用包括结构自重、拉索预应力、预应力张拉时已经存在的附加恒荷载。预应力铝合金屋盖结构可通过预起拱来控制结构受力后的外形。预起拱可采用改变构件组装形态和增加初始预应力二种方式，起拱方法和起拱大小应视具体情况而定。</w:t>
      </w:r>
    </w:p>
    <w:p>
      <w:pPr>
        <w:rPr>
          <w:b/>
          <w:sz w:val="24"/>
          <w:szCs w:val="24"/>
        </w:rPr>
      </w:pPr>
      <w:r>
        <w:rPr>
          <w:b/>
        </w:rPr>
        <w:t>4.3.2</w:t>
      </w:r>
      <w:r>
        <w:t>本条根据现行国家标准《高耸结构设计规范》（GB50135）进行规定。</w:t>
      </w:r>
    </w:p>
    <w:p>
      <w:pPr>
        <w:pStyle w:val="3"/>
        <w:spacing w:before="156" w:after="156"/>
      </w:pPr>
      <w:bookmarkStart w:id="247" w:name="_Toc150008347"/>
      <w:bookmarkStart w:id="248" w:name="_Toc152588979"/>
      <w:bookmarkStart w:id="249" w:name="_Toc150008256"/>
      <w:bookmarkStart w:id="250" w:name="_Toc152589602"/>
      <w:bookmarkStart w:id="251" w:name="_Toc152589161"/>
      <w:r>
        <w:t>4.4 结构分析</w:t>
      </w:r>
      <w:bookmarkEnd w:id="247"/>
      <w:bookmarkEnd w:id="248"/>
      <w:bookmarkEnd w:id="249"/>
      <w:bookmarkEnd w:id="250"/>
      <w:bookmarkEnd w:id="251"/>
    </w:p>
    <w:p>
      <w:r>
        <w:rPr>
          <w:b/>
        </w:rPr>
        <w:t>4.4.4</w:t>
      </w:r>
      <w:r>
        <w:t xml:space="preserve"> 预应力铝合金结构由于索的存在而显示出一定的非线性特性，尤其是预应力张拉的阶段，因此在计算结构效应时，采用荷载效应的组合来替代线性结构通常采用的荷载组合的效应更为准确。当结构的初始刚度较大时，如跨度不大的索支承网架和索支承桁架等，也可采用荷载组合效应进行计算。</w:t>
      </w:r>
    </w:p>
    <w:p>
      <w:pPr>
        <w:sectPr>
          <w:pgSz w:w="11906" w:h="16838"/>
          <w:pgMar w:top="1440" w:right="1800" w:bottom="1440" w:left="1800" w:header="851" w:footer="992" w:gutter="0"/>
          <w:cols w:space="720" w:num="1"/>
          <w:docGrid w:type="lines" w:linePitch="312" w:charSpace="0"/>
        </w:sectPr>
      </w:pPr>
      <w:r>
        <w:rPr>
          <w:b/>
        </w:rPr>
        <w:t xml:space="preserve">4.4.5 </w:t>
      </w:r>
      <w:r>
        <w:t>预应力铝合金结构应在结构初始状态基础上进行地震作用效应的计算分析。当采用振型分解反应谱法时，地震作用效应可与其他荷载效应进行线性组合。当采用时程分析法时，应首先进行与地震共同作用的其他荷载组合下的非线性静力计算、再进行时程计算与分析。</w:t>
      </w:r>
    </w:p>
    <w:p>
      <w:pPr>
        <w:pStyle w:val="2"/>
        <w:rPr>
          <w:sz w:val="24"/>
          <w:szCs w:val="24"/>
        </w:rPr>
      </w:pPr>
      <w:bookmarkStart w:id="252" w:name="_Toc152589603"/>
      <w:bookmarkStart w:id="253" w:name="_Toc152588980"/>
      <w:bookmarkStart w:id="254" w:name="_Toc152589162"/>
      <w:r>
        <w:t>5 结构体系与基本构造</w:t>
      </w:r>
      <w:bookmarkEnd w:id="252"/>
      <w:bookmarkEnd w:id="253"/>
      <w:bookmarkEnd w:id="254"/>
    </w:p>
    <w:p>
      <w:pPr>
        <w:pStyle w:val="3"/>
        <w:spacing w:before="156" w:after="156"/>
      </w:pPr>
      <w:bookmarkStart w:id="255" w:name="_Toc152589604"/>
      <w:bookmarkStart w:id="256" w:name="_Toc152588981"/>
      <w:bookmarkStart w:id="257" w:name="_Toc152589163"/>
      <w:r>
        <w:t>5.1 一般规定</w:t>
      </w:r>
      <w:bookmarkEnd w:id="255"/>
      <w:bookmarkEnd w:id="256"/>
      <w:bookmarkEnd w:id="257"/>
    </w:p>
    <w:p>
      <w:r>
        <w:rPr>
          <w:b/>
        </w:rPr>
        <w:t xml:space="preserve">5.1.1 </w:t>
      </w:r>
      <w:r>
        <w:t>在大跨度铝合金结构中设置索并导入预应力的目的是提高结构的竖向刚度、抵御自重和恒活载的作用，在高耸铝合金结构设置索是为了提高结构的侧向刚度并抵御风荷载的作用。索和预应力的存在可以有效减轻结构自重。</w:t>
      </w:r>
    </w:p>
    <w:p>
      <w:r>
        <w:rPr>
          <w:b/>
        </w:rPr>
        <w:t>5.1.2</w:t>
      </w:r>
      <w:r>
        <w:t xml:space="preserve"> 预应力铝合金结构体系众多、结构布置方案多样，但总体上可以分为预应力大跨度结构和预应力高耸结构。其中大跨度结构又可分为索在下部支承的体系和索在上部拉或挂的体系。</w:t>
      </w:r>
    </w:p>
    <w:p>
      <w:pPr>
        <w:pStyle w:val="3"/>
        <w:spacing w:before="156" w:after="156"/>
      </w:pPr>
      <w:bookmarkStart w:id="258" w:name="_Toc152589605"/>
      <w:bookmarkStart w:id="259" w:name="_Toc152588982"/>
      <w:bookmarkStart w:id="260" w:name="_Toc152589164"/>
      <w:r>
        <w:t>5.2 索支承铝合金结构</w:t>
      </w:r>
      <w:bookmarkEnd w:id="258"/>
      <w:bookmarkEnd w:id="259"/>
      <w:bookmarkEnd w:id="260"/>
    </w:p>
    <w:p>
      <w:pPr>
        <w:autoSpaceDE w:val="0"/>
        <w:autoSpaceDN w:val="0"/>
        <w:adjustRightInd w:val="0"/>
        <w:snapToGrid w:val="0"/>
        <w:spacing w:before="156" w:beforeLines="50"/>
        <w:textAlignment w:val="bottom"/>
        <w:rPr>
          <w:rFonts w:eastAsia="宋体" w:cs="Times New Roman"/>
        </w:rPr>
      </w:pPr>
      <w:r>
        <w:rPr>
          <w:rFonts w:eastAsia="宋体" w:cs="Times New Roman"/>
          <w:b/>
          <w:bCs/>
        </w:rPr>
        <w:t xml:space="preserve">5.2.1 </w:t>
      </w:r>
      <w:r>
        <w:rPr>
          <w:rFonts w:eastAsia="宋体" w:cs="Times New Roman"/>
        </w:rPr>
        <w:t>索支承铝合金结构主要包括空间体系和平面体系两大类，空间体系为索支承网壳和网架，平面体系可分为索支承拱架、门架、桁架等。</w:t>
      </w:r>
    </w:p>
    <w:p>
      <w:pPr>
        <w:autoSpaceDE w:val="0"/>
        <w:autoSpaceDN w:val="0"/>
        <w:adjustRightInd w:val="0"/>
        <w:snapToGrid w:val="0"/>
        <w:spacing w:before="156" w:beforeLines="50"/>
        <w:textAlignment w:val="bottom"/>
        <w:rPr>
          <w:rFonts w:eastAsia="宋体" w:cs="Times New Roman"/>
        </w:rPr>
      </w:pPr>
      <w:r>
        <w:rPr>
          <w:rFonts w:eastAsia="宋体" w:cs="Times New Roman"/>
          <w:b/>
        </w:rPr>
        <w:t>5.2.2</w:t>
      </w:r>
      <w:r>
        <w:rPr>
          <w:rFonts w:eastAsia="宋体" w:cs="Times New Roman"/>
        </w:rPr>
        <w:t xml:space="preserve"> 索支承拱架中，索系布置在拱架平面下方，可考虑图1所示布索方案。</w:t>
      </w:r>
    </w:p>
    <w:p>
      <w:pPr>
        <w:autoSpaceDE w:val="0"/>
        <w:autoSpaceDN w:val="0"/>
        <w:adjustRightInd w:val="0"/>
        <w:snapToGrid w:val="0"/>
        <w:spacing w:before="156" w:beforeLines="50"/>
        <w:ind w:firstLine="361"/>
        <w:jc w:val="center"/>
        <w:textAlignment w:val="bottom"/>
        <w:rPr>
          <w:rFonts w:eastAsia="宋体" w:cs="Times New Roman"/>
          <w:b/>
          <w:bCs/>
          <w:sz w:val="18"/>
          <w:szCs w:val="18"/>
        </w:rPr>
      </w:pPr>
      <w:r>
        <w:rPr>
          <w:rFonts w:eastAsia="宋体" w:cs="Times New Roman"/>
          <w:b/>
          <w:bCs/>
          <w:sz w:val="18"/>
          <w:szCs w:val="18"/>
        </w:rPr>
        <w:drawing>
          <wp:inline distT="0" distB="0" distL="0" distR="0">
            <wp:extent cx="5267325" cy="962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267325" cy="962025"/>
                    </a:xfrm>
                    <a:prstGeom prst="rect">
                      <a:avLst/>
                    </a:prstGeom>
                    <a:noFill/>
                    <a:ln>
                      <a:noFill/>
                    </a:ln>
                  </pic:spPr>
                </pic:pic>
              </a:graphicData>
            </a:graphic>
          </wp:inline>
        </w:drawing>
      </w:r>
    </w:p>
    <w:p>
      <w:pPr>
        <w:autoSpaceDE w:val="0"/>
        <w:autoSpaceDN w:val="0"/>
        <w:adjustRightInd w:val="0"/>
        <w:snapToGrid w:val="0"/>
        <w:jc w:val="center"/>
        <w:textAlignment w:val="bottom"/>
        <w:rPr>
          <w:rFonts w:eastAsia="黑体" w:cs="Times New Roman"/>
          <w:b/>
          <w:bCs/>
          <w:sz w:val="18"/>
          <w:szCs w:val="18"/>
        </w:rPr>
      </w:pPr>
      <w:r>
        <w:rPr>
          <w:rFonts w:eastAsia="黑体" w:cs="Times New Roman"/>
          <w:b/>
          <w:bCs/>
          <w:sz w:val="18"/>
          <w:szCs w:val="18"/>
        </w:rPr>
        <w:t>图1 索支承拱架中的布索示意图</w:t>
      </w:r>
    </w:p>
    <w:p>
      <w:pPr>
        <w:ind w:firstLine="420" w:firstLineChars="200"/>
      </w:pPr>
      <w:r>
        <w:t>索支承门架的横向布索见图2 (a)-(c)所示，竖向布索方案可见图2(d)-(e)所示，横竖向连续布索方案可见图2(g)-(h)所示。</w:t>
      </w:r>
    </w:p>
    <w:p>
      <w:pPr>
        <w:autoSpaceDE w:val="0"/>
        <w:autoSpaceDN w:val="0"/>
        <w:adjustRightInd w:val="0"/>
        <w:snapToGrid w:val="0"/>
        <w:spacing w:before="156" w:beforeLines="50"/>
        <w:ind w:firstLine="361"/>
        <w:jc w:val="center"/>
        <w:textAlignment w:val="bottom"/>
        <w:rPr>
          <w:rFonts w:eastAsia="宋体" w:cs="Times New Roman"/>
          <w:b/>
          <w:bCs/>
          <w:sz w:val="18"/>
          <w:szCs w:val="18"/>
        </w:rPr>
      </w:pPr>
      <w:r>
        <w:rPr>
          <w:rFonts w:eastAsia="宋体" w:cs="Times New Roman"/>
          <w:b/>
          <w:bCs/>
          <w:sz w:val="18"/>
          <w:szCs w:val="18"/>
        </w:rPr>
        <w:drawing>
          <wp:inline distT="0" distB="0" distL="0" distR="0">
            <wp:extent cx="4264025" cy="162877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279726" cy="1634546"/>
                    </a:xfrm>
                    <a:prstGeom prst="rect">
                      <a:avLst/>
                    </a:prstGeom>
                    <a:noFill/>
                    <a:ln>
                      <a:noFill/>
                    </a:ln>
                  </pic:spPr>
                </pic:pic>
              </a:graphicData>
            </a:graphic>
          </wp:inline>
        </w:drawing>
      </w:r>
    </w:p>
    <w:p>
      <w:pPr>
        <w:autoSpaceDE w:val="0"/>
        <w:autoSpaceDN w:val="0"/>
        <w:adjustRightInd w:val="0"/>
        <w:snapToGrid w:val="0"/>
        <w:spacing w:before="156" w:beforeLines="50"/>
        <w:ind w:firstLine="361"/>
        <w:jc w:val="center"/>
        <w:textAlignment w:val="bottom"/>
        <w:rPr>
          <w:rFonts w:eastAsia="宋体" w:cs="Times New Roman"/>
          <w:b/>
          <w:bCs/>
          <w:sz w:val="18"/>
          <w:szCs w:val="18"/>
        </w:rPr>
      </w:pPr>
      <w:r>
        <w:rPr>
          <w:rFonts w:eastAsia="宋体" w:cs="Times New Roman"/>
          <w:b/>
          <w:bCs/>
          <w:sz w:val="18"/>
          <w:szCs w:val="18"/>
        </w:rPr>
        <w:t>图2 索支承门架布索示意图</w:t>
      </w:r>
    </w:p>
    <w:p>
      <w:pPr>
        <w:ind w:firstLine="420" w:firstLineChars="200"/>
      </w:pPr>
      <w:r>
        <w:t>索支承桁架的桁架内布索与桁架外布索方案可分别见图3(a)和(b)所示。</w:t>
      </w:r>
    </w:p>
    <w:p>
      <w:pPr>
        <w:autoSpaceDE w:val="0"/>
        <w:autoSpaceDN w:val="0"/>
        <w:adjustRightInd w:val="0"/>
        <w:snapToGrid w:val="0"/>
        <w:spacing w:before="156" w:beforeLines="50"/>
        <w:jc w:val="center"/>
        <w:textAlignment w:val="bottom"/>
        <w:rPr>
          <w:rFonts w:eastAsia="宋体" w:cs="Times New Roman"/>
          <w:bCs/>
        </w:rPr>
      </w:pPr>
      <w:r>
        <w:rPr>
          <w:rFonts w:eastAsia="宋体" w:cs="Times New Roman"/>
          <w:bCs/>
        </w:rPr>
        <w:drawing>
          <wp:inline distT="0" distB="0" distL="0" distR="0">
            <wp:extent cx="4936490" cy="13677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936698" cy="1368000"/>
                    </a:xfrm>
                    <a:prstGeom prst="rect">
                      <a:avLst/>
                    </a:prstGeom>
                    <a:noFill/>
                    <a:ln>
                      <a:noFill/>
                    </a:ln>
                  </pic:spPr>
                </pic:pic>
              </a:graphicData>
            </a:graphic>
          </wp:inline>
        </w:drawing>
      </w:r>
    </w:p>
    <w:p>
      <w:pPr>
        <w:autoSpaceDE w:val="0"/>
        <w:autoSpaceDN w:val="0"/>
        <w:adjustRightInd w:val="0"/>
        <w:snapToGrid w:val="0"/>
        <w:spacing w:before="156" w:beforeLines="50"/>
        <w:jc w:val="center"/>
        <w:textAlignment w:val="bottom"/>
        <w:rPr>
          <w:rFonts w:eastAsia="黑体" w:cs="Times New Roman"/>
          <w:b/>
        </w:rPr>
      </w:pPr>
      <w:r>
        <w:rPr>
          <w:rFonts w:eastAsia="黑体" w:cs="Times New Roman"/>
          <w:b/>
          <w:bCs/>
          <w:sz w:val="18"/>
          <w:szCs w:val="18"/>
        </w:rPr>
        <w:t>图3 索支撑桁架的结构形式与布索方案</w:t>
      </w:r>
    </w:p>
    <w:p>
      <w:r>
        <w:rPr>
          <w:b/>
        </w:rPr>
        <w:t>5.2.3</w:t>
      </w:r>
      <w:r>
        <w:t xml:space="preserve"> 支座张拉预应力网壳中索可按如下方式进行布置：</w:t>
      </w:r>
    </w:p>
    <w:p>
      <w:pPr>
        <w:ind w:firstLine="422" w:firstLineChars="200"/>
      </w:pPr>
      <w:r>
        <w:rPr>
          <w:b/>
        </w:rPr>
        <w:t xml:space="preserve">（1） </w:t>
      </w:r>
      <w:r>
        <w:t>预应力球面网壳宜沿周边支座分段布索，或沿支座对角线布索或间隔几个支座布索，见图4(a)所示。</w:t>
      </w:r>
    </w:p>
    <w:p>
      <w:pPr>
        <w:ind w:firstLine="422" w:firstLineChars="200"/>
      </w:pPr>
      <w:r>
        <w:rPr>
          <w:b/>
        </w:rPr>
        <w:t xml:space="preserve">（2） </w:t>
      </w:r>
      <w:r>
        <w:t>预应力柱面网壳宜选在柱面网壳两端及中部需要设置横膈式桁架的下弦沿投影平面短向布索，见图4(b)所示。</w:t>
      </w:r>
    </w:p>
    <w:p>
      <w:pPr>
        <w:ind w:firstLine="422" w:firstLineChars="200"/>
      </w:pPr>
      <w:r>
        <w:rPr>
          <w:b/>
        </w:rPr>
        <w:t xml:space="preserve">（3） </w:t>
      </w:r>
      <w:r>
        <w:t>预应力双曲扁壳宜沿网壳边缘桁架系杆处布索，见图4(c)所示。</w:t>
      </w:r>
    </w:p>
    <w:p>
      <w:pPr>
        <w:ind w:firstLine="422" w:firstLineChars="200"/>
      </w:pPr>
      <w:r>
        <w:rPr>
          <w:b/>
        </w:rPr>
        <w:t xml:space="preserve">（4） </w:t>
      </w:r>
      <w:r>
        <w:t>预应力扭网壳宜在网壳需要设置系杆的部位布索，见图4(d)所示。</w:t>
      </w:r>
    </w:p>
    <w:p>
      <w:pPr>
        <w:autoSpaceDE w:val="0"/>
        <w:autoSpaceDN w:val="0"/>
        <w:adjustRightInd w:val="0"/>
        <w:snapToGrid w:val="0"/>
        <w:spacing w:before="156" w:beforeLines="50"/>
        <w:jc w:val="center"/>
        <w:textAlignment w:val="bottom"/>
        <w:rPr>
          <w:rFonts w:eastAsia="宋体" w:cs="Times New Roman"/>
          <w:bCs/>
        </w:rPr>
      </w:pPr>
      <w:r>
        <w:rPr>
          <w:rFonts w:eastAsia="宋体" w:cs="Times New Roman"/>
          <w:bCs/>
        </w:rPr>
        <w:drawing>
          <wp:inline distT="0" distB="0" distL="0" distR="0">
            <wp:extent cx="4572000" cy="1049655"/>
            <wp:effectExtent l="0" t="0" r="0" b="0"/>
            <wp:docPr id="1589903873" name="图片 158990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73" name="图片 15899038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572000" cy="1049989"/>
                    </a:xfrm>
                    <a:prstGeom prst="rect">
                      <a:avLst/>
                    </a:prstGeom>
                    <a:noFill/>
                    <a:ln>
                      <a:noFill/>
                    </a:ln>
                  </pic:spPr>
                </pic:pic>
              </a:graphicData>
            </a:graphic>
          </wp:inline>
        </w:drawing>
      </w:r>
    </w:p>
    <w:p>
      <w:pPr>
        <w:autoSpaceDE w:val="0"/>
        <w:autoSpaceDN w:val="0"/>
        <w:adjustRightInd w:val="0"/>
        <w:snapToGrid w:val="0"/>
        <w:ind w:firstLine="363"/>
        <w:jc w:val="center"/>
        <w:textAlignment w:val="bottom"/>
        <w:rPr>
          <w:rFonts w:eastAsia="黑体" w:cs="Times New Roman"/>
          <w:b/>
          <w:bCs/>
          <w:sz w:val="18"/>
          <w:szCs w:val="18"/>
        </w:rPr>
      </w:pPr>
      <w:r>
        <w:rPr>
          <w:rFonts w:eastAsia="黑体" w:cs="Times New Roman"/>
          <w:b/>
          <w:bCs/>
          <w:sz w:val="18"/>
          <w:szCs w:val="18"/>
        </w:rPr>
        <w:t>图4 支座张拉预应力网壳的结构形式与布索方案</w:t>
      </w:r>
    </w:p>
    <w:p>
      <w:pPr>
        <w:ind w:firstLine="420" w:firstLineChars="200"/>
      </w:pPr>
      <w:r>
        <w:t>索交叉梁系的结构形式与布索方案可如下所示：</w:t>
      </w:r>
    </w:p>
    <w:p>
      <w:pPr>
        <w:ind w:firstLine="422" w:firstLineChars="200"/>
      </w:pPr>
      <w:r>
        <w:rPr>
          <w:b/>
        </w:rPr>
        <w:t xml:space="preserve">（1） </w:t>
      </w:r>
      <w:r>
        <w:t>交叉梁系预应力网壳可采用：双向、多向和肋环式交叉梁系预应力网壳形式。</w:t>
      </w:r>
    </w:p>
    <w:p>
      <w:pPr>
        <w:ind w:firstLine="422" w:firstLineChars="200"/>
      </w:pPr>
      <w:r>
        <w:rPr>
          <w:b/>
        </w:rPr>
        <w:t xml:space="preserve">（2） </w:t>
      </w:r>
      <w:r>
        <w:t>双向式交叉梁系预应力网壳适用于矩形、圆形和椭圆形平面，见图5(a)所示。</w:t>
      </w:r>
    </w:p>
    <w:p>
      <w:pPr>
        <w:ind w:firstLine="422" w:firstLineChars="200"/>
      </w:pPr>
      <w:r>
        <w:rPr>
          <w:b/>
        </w:rPr>
        <w:t xml:space="preserve">（3） </w:t>
      </w:r>
      <w:r>
        <w:t>多向式交叉梁系预应力网壳适于多边形平面，见图5(b)所示。</w:t>
      </w:r>
    </w:p>
    <w:p>
      <w:pPr>
        <w:ind w:firstLine="422" w:firstLineChars="200"/>
      </w:pPr>
      <w:r>
        <w:rPr>
          <w:b/>
        </w:rPr>
        <w:t xml:space="preserve">（4） </w:t>
      </w:r>
      <w:r>
        <w:t>肋环式交叉梁系预应力网壳可由中心辐射式放置拱，拱下设置撑杆，撑杆与环向索或斜索连接，见图5(c)所示。</w:t>
      </w:r>
    </w:p>
    <w:p>
      <w:pPr>
        <w:autoSpaceDE w:val="0"/>
        <w:autoSpaceDN w:val="0"/>
        <w:adjustRightInd w:val="0"/>
        <w:snapToGrid w:val="0"/>
        <w:spacing w:before="156" w:beforeLines="50"/>
        <w:textAlignment w:val="bottom"/>
        <w:rPr>
          <w:rFonts w:eastAsia="黑体" w:cs="Times New Roman"/>
          <w:bCs/>
          <w:sz w:val="18"/>
          <w:szCs w:val="18"/>
        </w:rPr>
      </w:pPr>
      <w:r>
        <w:rPr>
          <w:rFonts w:eastAsia="黑体" w:cs="Times New Roman"/>
          <w:bCs/>
          <w:sz w:val="18"/>
          <w:szCs w:val="18"/>
        </w:rPr>
        <w:drawing>
          <wp:inline distT="0" distB="0" distL="0" distR="0">
            <wp:extent cx="4857750" cy="797560"/>
            <wp:effectExtent l="0" t="0" r="0" b="2540"/>
            <wp:docPr id="1589903874" name="图片 158990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74" name="图片 15899038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857750" cy="797934"/>
                    </a:xfrm>
                    <a:prstGeom prst="rect">
                      <a:avLst/>
                    </a:prstGeom>
                    <a:noFill/>
                    <a:ln>
                      <a:noFill/>
                    </a:ln>
                  </pic:spPr>
                </pic:pic>
              </a:graphicData>
            </a:graphic>
          </wp:inline>
        </w:drawing>
      </w:r>
    </w:p>
    <w:p>
      <w:pPr>
        <w:autoSpaceDE w:val="0"/>
        <w:autoSpaceDN w:val="0"/>
        <w:adjustRightInd w:val="0"/>
        <w:snapToGrid w:val="0"/>
        <w:ind w:firstLine="363"/>
        <w:jc w:val="center"/>
        <w:textAlignment w:val="bottom"/>
        <w:rPr>
          <w:rFonts w:eastAsia="黑体" w:cs="Times New Roman"/>
          <w:b/>
          <w:bCs/>
          <w:sz w:val="18"/>
          <w:szCs w:val="18"/>
        </w:rPr>
      </w:pPr>
      <w:r>
        <w:rPr>
          <w:rFonts w:eastAsia="黑体" w:cs="Times New Roman"/>
          <w:b/>
          <w:bCs/>
          <w:sz w:val="18"/>
          <w:szCs w:val="18"/>
        </w:rPr>
        <w:t>图5 交叉梁系预应力网壳的结构形式与布索方案</w:t>
      </w:r>
    </w:p>
    <w:p>
      <w:r>
        <w:t xml:space="preserve">    典型的弦支穹顶结构方案和索的布置如图6所示：</w:t>
      </w:r>
    </w:p>
    <w:tbl>
      <w:tblPr>
        <w:tblStyle w:val="27"/>
        <w:tblW w:w="0" w:type="auto"/>
        <w:tblInd w:w="0" w:type="dxa"/>
        <w:tblLayout w:type="autofit"/>
        <w:tblCellMar>
          <w:top w:w="0" w:type="dxa"/>
          <w:left w:w="108" w:type="dxa"/>
          <w:bottom w:w="0" w:type="dxa"/>
          <w:right w:w="108" w:type="dxa"/>
        </w:tblCellMar>
      </w:tblPr>
      <w:tblGrid>
        <w:gridCol w:w="4236"/>
        <w:gridCol w:w="4148"/>
      </w:tblGrid>
      <w:tr>
        <w:tblPrEx>
          <w:tblCellMar>
            <w:top w:w="0" w:type="dxa"/>
            <w:left w:w="108" w:type="dxa"/>
            <w:bottom w:w="0" w:type="dxa"/>
            <w:right w:w="108" w:type="dxa"/>
          </w:tblCellMar>
        </w:tblPrEx>
        <w:trPr>
          <w:trHeight w:val="2127" w:hRule="atLeast"/>
        </w:trPr>
        <w:tc>
          <w:tcPr>
            <w:tcW w:w="4148" w:type="dxa"/>
            <w:vAlign w:val="center"/>
          </w:tcPr>
          <w:p>
            <w:pPr>
              <w:autoSpaceDE w:val="0"/>
              <w:autoSpaceDN w:val="0"/>
              <w:adjustRightInd w:val="0"/>
              <w:snapToGrid w:val="0"/>
              <w:spacing w:before="156" w:beforeLines="50"/>
              <w:ind w:firstLine="360"/>
              <w:jc w:val="center"/>
              <w:textAlignment w:val="bottom"/>
              <w:rPr>
                <w:rFonts w:eastAsia="黑体" w:cs="Times New Roman"/>
                <w:bCs/>
                <w:color w:val="000000" w:themeColor="text1"/>
                <w:sz w:val="18"/>
                <w:szCs w:val="18"/>
                <w14:textFill>
                  <w14:solidFill>
                    <w14:schemeClr w14:val="tx1"/>
                  </w14:solidFill>
                </w14:textFill>
              </w:rPr>
            </w:pPr>
            <w:r>
              <w:rPr>
                <w:rFonts w:eastAsia="黑体" w:cs="Times New Roman"/>
                <w:color w:val="000000" w:themeColor="text1"/>
                <w:sz w:val="18"/>
                <w:szCs w:val="18"/>
                <w14:textFill>
                  <w14:solidFill>
                    <w14:schemeClr w14:val="tx1"/>
                  </w14:solidFill>
                </w14:textFill>
              </w:rPr>
              <w:drawing>
                <wp:inline distT="0" distB="0" distL="0" distR="0">
                  <wp:extent cx="2322830" cy="781050"/>
                  <wp:effectExtent l="0" t="0" r="1270" b="0"/>
                  <wp:docPr id="1589903877" name="图片 158990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77" name="图片 15899038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327478" cy="782559"/>
                          </a:xfrm>
                          <a:prstGeom prst="rect">
                            <a:avLst/>
                          </a:prstGeom>
                          <a:noFill/>
                          <a:ln>
                            <a:noFill/>
                          </a:ln>
                        </pic:spPr>
                      </pic:pic>
                    </a:graphicData>
                  </a:graphic>
                </wp:inline>
              </w:drawing>
            </w:r>
          </w:p>
          <w:p>
            <w:pPr>
              <w:autoSpaceDE w:val="0"/>
              <w:autoSpaceDN w:val="0"/>
              <w:adjustRightInd w:val="0"/>
              <w:snapToGrid w:val="0"/>
              <w:spacing w:before="156" w:beforeLines="50"/>
              <w:ind w:firstLine="360"/>
              <w:jc w:val="center"/>
              <w:textAlignment w:val="bottom"/>
              <w:rPr>
                <w:rFonts w:eastAsia="黑体" w:cs="Times New Roman"/>
                <w:bCs/>
                <w:color w:val="000000" w:themeColor="text1"/>
                <w:sz w:val="18"/>
                <w:szCs w:val="18"/>
                <w14:textFill>
                  <w14:solidFill>
                    <w14:schemeClr w14:val="tx1"/>
                  </w14:solidFill>
                </w14:textFill>
              </w:rPr>
            </w:pPr>
            <w:r>
              <w:rPr>
                <w:rFonts w:eastAsia="黑体" w:cs="Times New Roman"/>
                <w:bCs/>
                <w:color w:val="000000" w:themeColor="text1"/>
                <w:sz w:val="18"/>
                <w:szCs w:val="18"/>
                <w14:textFill>
                  <w14:solidFill>
                    <w14:schemeClr w14:val="tx1"/>
                  </w14:solidFill>
                </w14:textFill>
              </w:rPr>
              <w:t>（a）剖面图</w:t>
            </w:r>
          </w:p>
        </w:tc>
        <w:tc>
          <w:tcPr>
            <w:tcW w:w="4148" w:type="dxa"/>
            <w:vAlign w:val="center"/>
          </w:tcPr>
          <w:p>
            <w:pPr>
              <w:autoSpaceDE w:val="0"/>
              <w:autoSpaceDN w:val="0"/>
              <w:adjustRightInd w:val="0"/>
              <w:snapToGrid w:val="0"/>
              <w:spacing w:before="156" w:beforeLines="50"/>
              <w:ind w:firstLine="360"/>
              <w:jc w:val="center"/>
              <w:textAlignment w:val="bottom"/>
              <w:rPr>
                <w:rFonts w:eastAsia="黑体" w:cs="Times New Roman"/>
                <w:bCs/>
                <w:color w:val="000000" w:themeColor="text1"/>
                <w:sz w:val="18"/>
                <w:szCs w:val="18"/>
                <w14:textFill>
                  <w14:solidFill>
                    <w14:schemeClr w14:val="tx1"/>
                  </w14:solidFill>
                </w14:textFill>
              </w:rPr>
            </w:pPr>
            <w:r>
              <w:rPr>
                <w:rFonts w:eastAsia="黑体" w:cs="Times New Roman"/>
                <w:color w:val="000000" w:themeColor="text1"/>
                <w:sz w:val="18"/>
                <w:szCs w:val="18"/>
                <w14:textFill>
                  <w14:solidFill>
                    <w14:schemeClr w14:val="tx1"/>
                  </w14:solidFill>
                </w14:textFill>
              </w:rPr>
              <w:drawing>
                <wp:inline distT="0" distB="0" distL="0" distR="0">
                  <wp:extent cx="1177290" cy="923925"/>
                  <wp:effectExtent l="0" t="0" r="3810" b="0"/>
                  <wp:docPr id="1589903884" name="图片 158990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84" name="图片 15899038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181166" cy="926898"/>
                          </a:xfrm>
                          <a:prstGeom prst="rect">
                            <a:avLst/>
                          </a:prstGeom>
                          <a:noFill/>
                          <a:ln>
                            <a:noFill/>
                          </a:ln>
                        </pic:spPr>
                      </pic:pic>
                    </a:graphicData>
                  </a:graphic>
                </wp:inline>
              </w:drawing>
            </w:r>
          </w:p>
          <w:p>
            <w:pPr>
              <w:autoSpaceDE w:val="0"/>
              <w:autoSpaceDN w:val="0"/>
              <w:adjustRightInd w:val="0"/>
              <w:snapToGrid w:val="0"/>
              <w:spacing w:before="156" w:beforeLines="50"/>
              <w:ind w:firstLine="360"/>
              <w:jc w:val="center"/>
              <w:textAlignment w:val="bottom"/>
              <w:rPr>
                <w:rFonts w:eastAsia="黑体" w:cs="Times New Roman"/>
                <w:bCs/>
                <w:color w:val="000000" w:themeColor="text1"/>
                <w:sz w:val="18"/>
                <w:szCs w:val="18"/>
                <w14:textFill>
                  <w14:solidFill>
                    <w14:schemeClr w14:val="tx1"/>
                  </w14:solidFill>
                </w14:textFill>
              </w:rPr>
            </w:pPr>
            <w:r>
              <w:rPr>
                <w:rFonts w:eastAsia="黑体" w:cs="Times New Roman"/>
                <w:bCs/>
                <w:color w:val="000000" w:themeColor="text1"/>
                <w:sz w:val="18"/>
                <w:szCs w:val="18"/>
                <w14:textFill>
                  <w14:solidFill>
                    <w14:schemeClr w14:val="tx1"/>
                  </w14:solidFill>
                </w14:textFill>
              </w:rPr>
              <w:t>（b）平面图</w:t>
            </w:r>
          </w:p>
        </w:tc>
      </w:tr>
    </w:tbl>
    <w:p>
      <w:pPr>
        <w:autoSpaceDE w:val="0"/>
        <w:autoSpaceDN w:val="0"/>
        <w:adjustRightInd w:val="0"/>
        <w:snapToGrid w:val="0"/>
        <w:ind w:firstLine="363"/>
        <w:jc w:val="center"/>
        <w:textAlignment w:val="bottom"/>
        <w:rPr>
          <w:rFonts w:eastAsia="黑体" w:cs="Times New Roman"/>
          <w:b/>
          <w:bCs/>
          <w:sz w:val="18"/>
          <w:szCs w:val="18"/>
        </w:rPr>
      </w:pPr>
      <w:r>
        <w:rPr>
          <w:rFonts w:eastAsia="黑体" w:cs="Times New Roman"/>
          <w:b/>
          <w:bCs/>
          <w:sz w:val="18"/>
          <w:szCs w:val="18"/>
        </w:rPr>
        <w:t>图6 弦支穹顶的结构体系</w:t>
      </w:r>
    </w:p>
    <w:p>
      <w:r>
        <w:rPr>
          <w:b/>
        </w:rPr>
        <w:t>5.2.4</w:t>
      </w:r>
      <w:r>
        <w:t xml:space="preserve"> 索支承网架中索在网架高度上的布置可考虑图7方案，在网架平面中的布置可考虑图8的方案。</w:t>
      </w:r>
    </w:p>
    <w:p>
      <w:pPr>
        <w:autoSpaceDE w:val="0"/>
        <w:autoSpaceDN w:val="0"/>
        <w:adjustRightInd w:val="0"/>
        <w:snapToGrid w:val="0"/>
        <w:spacing w:before="156" w:beforeLines="50"/>
        <w:jc w:val="left"/>
        <w:textAlignment w:val="bottom"/>
        <w:rPr>
          <w:rFonts w:eastAsia="宋体" w:cs="Times New Roman"/>
          <w:b/>
          <w:bCs/>
          <w:sz w:val="18"/>
          <w:szCs w:val="18"/>
        </w:rPr>
      </w:pPr>
      <w:r>
        <w:rPr>
          <w:rFonts w:eastAsia="宋体" w:cs="Times New Roman"/>
          <w:b/>
          <w:bCs/>
          <w:sz w:val="18"/>
          <w:szCs w:val="18"/>
        </w:rPr>
        <w:drawing>
          <wp:inline distT="0" distB="0" distL="0" distR="0">
            <wp:extent cx="5781675" cy="773430"/>
            <wp:effectExtent l="0" t="0" r="0" b="7620"/>
            <wp:docPr id="1589903885" name="图片 158990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85" name="图片 15899038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781675" cy="773678"/>
                    </a:xfrm>
                    <a:prstGeom prst="rect">
                      <a:avLst/>
                    </a:prstGeom>
                    <a:noFill/>
                    <a:ln>
                      <a:noFill/>
                    </a:ln>
                  </pic:spPr>
                </pic:pic>
              </a:graphicData>
            </a:graphic>
          </wp:inline>
        </w:drawing>
      </w:r>
    </w:p>
    <w:p>
      <w:pPr>
        <w:autoSpaceDE w:val="0"/>
        <w:autoSpaceDN w:val="0"/>
        <w:adjustRightInd w:val="0"/>
        <w:snapToGrid w:val="0"/>
        <w:ind w:firstLine="363"/>
        <w:jc w:val="center"/>
        <w:textAlignment w:val="bottom"/>
        <w:rPr>
          <w:rFonts w:eastAsia="宋体" w:cs="Times New Roman"/>
          <w:b/>
          <w:bCs/>
          <w:sz w:val="18"/>
          <w:szCs w:val="18"/>
        </w:rPr>
      </w:pPr>
      <w:r>
        <w:rPr>
          <w:rFonts w:eastAsia="宋体" w:cs="Times New Roman"/>
          <w:b/>
          <w:bCs/>
          <w:sz w:val="18"/>
          <w:szCs w:val="18"/>
        </w:rPr>
        <w:t>图7 索支承铝合金网架中索的剖面布置</w:t>
      </w:r>
    </w:p>
    <w:p>
      <w:pPr>
        <w:autoSpaceDE w:val="0"/>
        <w:autoSpaceDN w:val="0"/>
        <w:adjustRightInd w:val="0"/>
        <w:snapToGrid w:val="0"/>
        <w:spacing w:before="156" w:beforeLines="50"/>
        <w:jc w:val="center"/>
        <w:textAlignment w:val="bottom"/>
        <w:rPr>
          <w:rFonts w:eastAsia="宋体" w:cs="Times New Roman"/>
          <w:bCs/>
        </w:rPr>
      </w:pPr>
      <w:r>
        <w:rPr>
          <w:rFonts w:eastAsia="宋体" w:cs="Times New Roman"/>
          <w:bCs/>
        </w:rPr>
        <w:drawing>
          <wp:inline distT="0" distB="0" distL="0" distR="0">
            <wp:extent cx="5267325" cy="942975"/>
            <wp:effectExtent l="0" t="0" r="9525" b="9525"/>
            <wp:docPr id="1589903886" name="图片 158990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86" name="图片 15899038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67325" cy="942975"/>
                    </a:xfrm>
                    <a:prstGeom prst="rect">
                      <a:avLst/>
                    </a:prstGeom>
                    <a:noFill/>
                    <a:ln>
                      <a:noFill/>
                    </a:ln>
                  </pic:spPr>
                </pic:pic>
              </a:graphicData>
            </a:graphic>
          </wp:inline>
        </w:drawing>
      </w:r>
    </w:p>
    <w:p>
      <w:pPr>
        <w:autoSpaceDE w:val="0"/>
        <w:autoSpaceDN w:val="0"/>
        <w:adjustRightInd w:val="0"/>
        <w:snapToGrid w:val="0"/>
        <w:ind w:firstLine="363"/>
        <w:jc w:val="center"/>
        <w:textAlignment w:val="bottom"/>
        <w:rPr>
          <w:rFonts w:eastAsia="黑体" w:cs="Times New Roman"/>
          <w:b/>
          <w:bCs/>
          <w:sz w:val="18"/>
          <w:szCs w:val="18"/>
        </w:rPr>
      </w:pPr>
      <w:r>
        <w:rPr>
          <w:rFonts w:eastAsia="黑体" w:cs="Times New Roman"/>
          <w:b/>
          <w:bCs/>
          <w:sz w:val="18"/>
          <w:szCs w:val="18"/>
        </w:rPr>
        <w:t>图8 索支撑铝合金网架中拉索的平面布置</w:t>
      </w:r>
    </w:p>
    <w:p>
      <w:pPr>
        <w:pStyle w:val="3"/>
        <w:spacing w:before="156" w:after="156"/>
      </w:pPr>
      <w:bookmarkStart w:id="261" w:name="_Toc152589165"/>
      <w:bookmarkStart w:id="262" w:name="_Toc152589606"/>
      <w:bookmarkStart w:id="263" w:name="_Toc152588983"/>
      <w:r>
        <w:t>5.3 斜拉和吊挂铝合金结构</w:t>
      </w:r>
      <w:bookmarkEnd w:id="261"/>
      <w:bookmarkEnd w:id="262"/>
      <w:bookmarkEnd w:id="263"/>
    </w:p>
    <w:p>
      <w:r>
        <w:rPr>
          <w:b/>
        </w:rPr>
        <w:t>5.3.1</w:t>
      </w:r>
      <w:r>
        <w:t xml:space="preserve"> 斜拉和吊挂铝合金结构可见图9所示。</w:t>
      </w:r>
    </w:p>
    <w:p>
      <w:pPr>
        <w:autoSpaceDE w:val="0"/>
        <w:autoSpaceDN w:val="0"/>
        <w:adjustRightInd w:val="0"/>
        <w:snapToGrid w:val="0"/>
        <w:spacing w:before="156" w:beforeLines="50"/>
        <w:ind w:firstLine="361"/>
        <w:jc w:val="center"/>
        <w:textAlignment w:val="bottom"/>
        <w:rPr>
          <w:rFonts w:eastAsia="宋体" w:cs="Times New Roman"/>
          <w:b/>
          <w:bCs/>
          <w:sz w:val="18"/>
          <w:szCs w:val="18"/>
        </w:rPr>
      </w:pPr>
      <w:r>
        <w:rPr>
          <w:rFonts w:eastAsia="宋体" w:cs="Times New Roman"/>
          <w:b/>
          <w:sz w:val="18"/>
          <w:szCs w:val="18"/>
        </w:rPr>
        <w:drawing>
          <wp:inline distT="0" distB="0" distL="0" distR="0">
            <wp:extent cx="2931795" cy="1007745"/>
            <wp:effectExtent l="0" t="0" r="1905" b="1905"/>
            <wp:docPr id="1589903890" name="图片 158990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90" name="图片 15899038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32185" cy="1008000"/>
                    </a:xfrm>
                    <a:prstGeom prst="rect">
                      <a:avLst/>
                    </a:prstGeom>
                    <a:noFill/>
                    <a:ln>
                      <a:noFill/>
                    </a:ln>
                  </pic:spPr>
                </pic:pic>
              </a:graphicData>
            </a:graphic>
          </wp:inline>
        </w:drawing>
      </w:r>
    </w:p>
    <w:p>
      <w:pPr>
        <w:autoSpaceDE w:val="0"/>
        <w:autoSpaceDN w:val="0"/>
        <w:adjustRightInd w:val="0"/>
        <w:snapToGrid w:val="0"/>
        <w:ind w:firstLine="363"/>
        <w:jc w:val="center"/>
        <w:textAlignment w:val="bottom"/>
        <w:rPr>
          <w:rFonts w:eastAsia="黑体" w:cs="Times New Roman"/>
          <w:b/>
          <w:bCs/>
          <w:sz w:val="18"/>
          <w:szCs w:val="18"/>
        </w:rPr>
      </w:pPr>
      <w:r>
        <w:rPr>
          <w:rFonts w:eastAsia="黑体" w:cs="Times New Roman"/>
          <w:b/>
          <w:bCs/>
          <w:sz w:val="18"/>
          <w:szCs w:val="18"/>
        </w:rPr>
        <w:t>图9 预应力平面吊挂结构示意</w:t>
      </w:r>
    </w:p>
    <w:p>
      <w:r>
        <w:rPr>
          <w:b/>
        </w:rPr>
        <w:t xml:space="preserve">5.3.3 </w:t>
      </w:r>
      <w:r>
        <w:t>预应力斜拉和吊挂结构中索的布置可分为放射式、竖琴式、扇式和星式等，分别见图10(a)、(b)、(c)、(d)所示。</w:t>
      </w:r>
    </w:p>
    <w:p>
      <w:pPr>
        <w:autoSpaceDE w:val="0"/>
        <w:autoSpaceDN w:val="0"/>
        <w:adjustRightInd w:val="0"/>
        <w:snapToGrid w:val="0"/>
        <w:spacing w:before="156" w:beforeLines="50"/>
        <w:jc w:val="center"/>
        <w:textAlignment w:val="bottom"/>
        <w:rPr>
          <w:rFonts w:eastAsia="宋体" w:cs="Times New Roman"/>
          <w:bCs/>
        </w:rPr>
      </w:pPr>
      <w:r>
        <w:rPr>
          <w:rFonts w:eastAsia="宋体" w:cs="Times New Roman"/>
          <w:bCs/>
        </w:rPr>
        <w:drawing>
          <wp:inline distT="0" distB="0" distL="0" distR="0">
            <wp:extent cx="5371465" cy="981075"/>
            <wp:effectExtent l="0" t="0" r="635" b="0"/>
            <wp:docPr id="1589903891" name="图片 158990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91" name="图片 15899038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385476" cy="983604"/>
                    </a:xfrm>
                    <a:prstGeom prst="rect">
                      <a:avLst/>
                    </a:prstGeom>
                    <a:noFill/>
                    <a:ln>
                      <a:noFill/>
                    </a:ln>
                  </pic:spPr>
                </pic:pic>
              </a:graphicData>
            </a:graphic>
          </wp:inline>
        </w:drawing>
      </w:r>
    </w:p>
    <w:p>
      <w:pPr>
        <w:autoSpaceDE w:val="0"/>
        <w:autoSpaceDN w:val="0"/>
        <w:adjustRightInd w:val="0"/>
        <w:snapToGrid w:val="0"/>
        <w:ind w:firstLine="363"/>
        <w:jc w:val="center"/>
        <w:textAlignment w:val="bottom"/>
        <w:rPr>
          <w:rFonts w:eastAsia="黑体" w:cs="Times New Roman"/>
          <w:b/>
          <w:bCs/>
          <w:sz w:val="18"/>
          <w:szCs w:val="18"/>
        </w:rPr>
      </w:pPr>
      <w:r>
        <w:rPr>
          <w:rFonts w:eastAsia="黑体" w:cs="Times New Roman"/>
          <w:b/>
          <w:bCs/>
          <w:sz w:val="18"/>
          <w:szCs w:val="18"/>
        </w:rPr>
        <w:t>图10 斜拉结构布索方案示意图</w:t>
      </w:r>
    </w:p>
    <w:p>
      <w:pPr>
        <w:pStyle w:val="3"/>
        <w:spacing w:before="156" w:after="156"/>
      </w:pPr>
      <w:bookmarkStart w:id="264" w:name="_Toc152589607"/>
      <w:bookmarkStart w:id="265" w:name="_Toc152589166"/>
      <w:bookmarkStart w:id="266" w:name="_Toc152588984"/>
      <w:r>
        <w:t>5.4 张拉铝合金塔架和桅杆</w:t>
      </w:r>
      <w:bookmarkEnd w:id="264"/>
      <w:bookmarkEnd w:id="265"/>
      <w:bookmarkEnd w:id="266"/>
    </w:p>
    <w:p>
      <w:pPr>
        <w:rPr>
          <w:szCs w:val="24"/>
        </w:rPr>
      </w:pPr>
      <w:r>
        <w:rPr>
          <w:b/>
        </w:rPr>
        <w:t xml:space="preserve">5.4.1 </w:t>
      </w:r>
      <w:r>
        <w:t>张拉塔架和桅杆中塔身的单身、双身、樯式等形式可见图11所示。单身塔架或桅杆主要用于电视塔桅、无线电塔桅等结构中；双身塔架或桅杆主要用于帷幕式天线结构中；樯式塔架或桅杆主要用于电视塔桅，以其水平撑杆的支撑作用，减小拉索计算长度和垂度，增加塔身或桅杆的刚度和稳定性。</w:t>
      </w:r>
    </w:p>
    <w:p>
      <w:pPr>
        <w:spacing w:before="156" w:beforeLines="50"/>
        <w:rPr>
          <w:rFonts w:eastAsia="宋体" w:cs="Times New Roman"/>
          <w:bCs/>
        </w:rPr>
      </w:pPr>
    </w:p>
    <w:p>
      <w:pPr>
        <w:autoSpaceDE w:val="0"/>
        <w:autoSpaceDN w:val="0"/>
        <w:adjustRightInd w:val="0"/>
        <w:snapToGrid w:val="0"/>
        <w:spacing w:before="156" w:beforeLines="50"/>
        <w:jc w:val="center"/>
        <w:textAlignment w:val="bottom"/>
        <w:rPr>
          <w:rFonts w:eastAsia="宋体" w:cs="Times New Roman"/>
          <w:bCs/>
        </w:rPr>
      </w:pPr>
      <w:r>
        <w:rPr>
          <w:rFonts w:eastAsia="宋体" w:cs="Times New Roman"/>
          <w:bCs/>
        </w:rPr>
        <w:drawing>
          <wp:inline distT="0" distB="0" distL="0" distR="0">
            <wp:extent cx="2964180" cy="2000250"/>
            <wp:effectExtent l="0" t="0" r="7620" b="0"/>
            <wp:docPr id="1589903892" name="图片 158990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92" name="图片 15899038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966028" cy="2001392"/>
                    </a:xfrm>
                    <a:prstGeom prst="rect">
                      <a:avLst/>
                    </a:prstGeom>
                    <a:noFill/>
                    <a:ln>
                      <a:noFill/>
                    </a:ln>
                  </pic:spPr>
                </pic:pic>
              </a:graphicData>
            </a:graphic>
          </wp:inline>
        </w:drawing>
      </w:r>
    </w:p>
    <w:p>
      <w:pPr>
        <w:autoSpaceDE w:val="0"/>
        <w:autoSpaceDN w:val="0"/>
        <w:adjustRightInd w:val="0"/>
        <w:snapToGrid w:val="0"/>
        <w:spacing w:before="156" w:beforeLines="50"/>
        <w:ind w:firstLine="361"/>
        <w:jc w:val="center"/>
        <w:textAlignment w:val="bottom"/>
        <w:rPr>
          <w:rFonts w:eastAsia="黑体" w:cs="Times New Roman"/>
          <w:b/>
          <w:bCs/>
          <w:sz w:val="18"/>
          <w:szCs w:val="18"/>
        </w:rPr>
      </w:pPr>
      <w:r>
        <w:rPr>
          <w:rFonts w:eastAsia="黑体" w:cs="Times New Roman"/>
          <w:b/>
          <w:bCs/>
          <w:sz w:val="18"/>
          <w:szCs w:val="18"/>
        </w:rPr>
        <w:t>图11 张拉塔架和桅杆结构</w:t>
      </w:r>
    </w:p>
    <w:p>
      <w:pPr>
        <w:sectPr>
          <w:footerReference r:id="rId6" w:type="default"/>
          <w:pgSz w:w="11906" w:h="16838"/>
          <w:pgMar w:top="1440" w:right="1800" w:bottom="1440" w:left="1800" w:header="851" w:footer="992" w:gutter="0"/>
          <w:cols w:space="425" w:num="1"/>
          <w:docGrid w:type="lines" w:linePitch="312" w:charSpace="0"/>
        </w:sectPr>
      </w:pPr>
      <w:r>
        <w:rPr>
          <w:b/>
        </w:rPr>
        <w:t xml:space="preserve">5.4.2 </w:t>
      </w:r>
      <w:r>
        <w:t xml:space="preserve"> 张拉塔架和桅杆斜向索于地面夹角45</w:t>
      </w:r>
      <w:r>
        <w:rPr>
          <w:vertAlign w:val="superscript"/>
        </w:rPr>
        <w:t>o</w:t>
      </w:r>
      <w:r>
        <w:t>时对抵抗水平风荷载最有利。</w:t>
      </w:r>
    </w:p>
    <w:p>
      <w:pPr>
        <w:pStyle w:val="2"/>
      </w:pPr>
      <w:bookmarkStart w:id="267" w:name="_Toc152588985"/>
      <w:bookmarkStart w:id="268" w:name="_Toc152589608"/>
      <w:bookmarkStart w:id="269" w:name="_Toc152589167"/>
      <w:r>
        <w:t>6 结构设计与计算</w:t>
      </w:r>
      <w:bookmarkEnd w:id="267"/>
      <w:bookmarkEnd w:id="268"/>
      <w:bookmarkEnd w:id="269"/>
    </w:p>
    <w:p>
      <w:pPr>
        <w:pStyle w:val="3"/>
        <w:spacing w:before="156" w:after="156"/>
      </w:pPr>
      <w:bookmarkStart w:id="270" w:name="_Toc152588986"/>
      <w:bookmarkStart w:id="271" w:name="_Toc152589609"/>
      <w:bookmarkStart w:id="272" w:name="_Toc152589168"/>
      <w:r>
        <w:t>6.1 一般规定</w:t>
      </w:r>
      <w:bookmarkEnd w:id="270"/>
      <w:bookmarkEnd w:id="271"/>
      <w:bookmarkEnd w:id="272"/>
    </w:p>
    <w:p>
      <w:pPr>
        <w:autoSpaceDE w:val="0"/>
        <w:autoSpaceDN w:val="0"/>
        <w:adjustRightInd w:val="0"/>
        <w:snapToGrid w:val="0"/>
        <w:spacing w:before="156" w:beforeLines="50"/>
        <w:textAlignment w:val="bottom"/>
        <w:rPr>
          <w:rFonts w:cs="Times New Roman" w:eastAsiaTheme="majorEastAsia"/>
          <w:bCs/>
          <w:szCs w:val="21"/>
        </w:rPr>
      </w:pPr>
      <w:r>
        <w:rPr>
          <w:rFonts w:cs="Times New Roman" w:eastAsiaTheme="majorEastAsia"/>
          <w:b/>
          <w:bCs/>
          <w:szCs w:val="21"/>
        </w:rPr>
        <w:t xml:space="preserve">6.1.1 </w:t>
      </w:r>
      <w:r>
        <w:rPr>
          <w:rFonts w:cs="Times New Roman" w:eastAsiaTheme="majorEastAsia"/>
          <w:bCs/>
          <w:szCs w:val="21"/>
        </w:rPr>
        <w:t>预应力结构的初始状态是其工作状态计算的基础，也是施工张拉所要实现的目标，必须首先予以分析和确定。</w:t>
      </w:r>
    </w:p>
    <w:p>
      <w:pPr>
        <w:autoSpaceDE w:val="0"/>
        <w:autoSpaceDN w:val="0"/>
        <w:adjustRightInd w:val="0"/>
        <w:snapToGrid w:val="0"/>
        <w:textAlignment w:val="bottom"/>
        <w:rPr>
          <w:rFonts w:cs="Times New Roman" w:eastAsiaTheme="majorEastAsia"/>
          <w:bCs/>
          <w:szCs w:val="21"/>
        </w:rPr>
      </w:pPr>
      <w:r>
        <w:rPr>
          <w:rFonts w:cs="Times New Roman" w:eastAsiaTheme="majorEastAsia"/>
          <w:b/>
          <w:bCs/>
          <w:szCs w:val="21"/>
        </w:rPr>
        <w:t xml:space="preserve">6.1.2 </w:t>
      </w:r>
      <w:r>
        <w:rPr>
          <w:rFonts w:cs="Times New Roman" w:eastAsiaTheme="majorEastAsia"/>
          <w:bCs/>
          <w:szCs w:val="21"/>
        </w:rPr>
        <w:t>预应力铝合金结构施工过程的计算分析目的是验算各施工阶段结构的安全性、为索的逐级施工张拉提供张拉目标值。采用标准值进行施工过程计算可以明确各施工阶段结构的安全系数、可以为索的各级施工张拉值提供直接的比较数值。另一方面，施工过程计算如采用设计用荷载效应分项系数和材料抗力分项系数也不合理。</w:t>
      </w:r>
    </w:p>
    <w:p>
      <w:pPr>
        <w:autoSpaceDE w:val="0"/>
        <w:autoSpaceDN w:val="0"/>
        <w:adjustRightInd w:val="0"/>
        <w:snapToGrid w:val="0"/>
        <w:textAlignment w:val="bottom"/>
        <w:rPr>
          <w:rFonts w:cs="Times New Roman" w:eastAsiaTheme="majorEastAsia"/>
          <w:bCs/>
          <w:szCs w:val="21"/>
        </w:rPr>
      </w:pPr>
      <w:r>
        <w:rPr>
          <w:rFonts w:cs="Times New Roman" w:eastAsiaTheme="majorEastAsia"/>
          <w:b/>
          <w:bCs/>
          <w:szCs w:val="21"/>
        </w:rPr>
        <w:t>6.1.4</w:t>
      </w:r>
      <w:r>
        <w:rPr>
          <w:rFonts w:cs="Times New Roman" w:eastAsiaTheme="majorEastAsia"/>
          <w:bCs/>
          <w:szCs w:val="21"/>
        </w:rPr>
        <w:t xml:space="preserve"> 预应力铝合金结构中的恒载和活载与自重作用方向一致，当索的预应力效应可以抵抗结构自重效应时，意味着索的存在可以提高结构抵抗恒活载的刚度。 </w:t>
      </w:r>
    </w:p>
    <w:p>
      <w:pPr>
        <w:pStyle w:val="3"/>
        <w:spacing w:before="156" w:after="156"/>
      </w:pPr>
      <w:bookmarkStart w:id="273" w:name="_Toc152588987"/>
      <w:bookmarkStart w:id="274" w:name="_Toc152589610"/>
      <w:bookmarkStart w:id="275" w:name="_Toc152589169"/>
      <w:r>
        <w:t>6.2 结构设计</w:t>
      </w:r>
      <w:bookmarkEnd w:id="273"/>
      <w:bookmarkEnd w:id="274"/>
      <w:bookmarkEnd w:id="275"/>
    </w:p>
    <w:p>
      <w:pPr>
        <w:autoSpaceDE w:val="0"/>
        <w:autoSpaceDN w:val="0"/>
        <w:adjustRightInd w:val="0"/>
        <w:snapToGrid w:val="0"/>
        <w:textAlignment w:val="bottom"/>
        <w:rPr>
          <w:rFonts w:cs="Times New Roman" w:eastAsiaTheme="majorEastAsia"/>
          <w:bCs/>
          <w:szCs w:val="21"/>
        </w:rPr>
      </w:pPr>
      <w:r>
        <w:rPr>
          <w:rFonts w:cs="Times New Roman" w:eastAsiaTheme="majorEastAsia"/>
          <w:b/>
          <w:bCs/>
          <w:szCs w:val="21"/>
        </w:rPr>
        <w:t>6.2.3</w:t>
      </w:r>
      <w:r>
        <w:rPr>
          <w:rFonts w:cs="Times New Roman" w:eastAsiaTheme="majorEastAsia"/>
          <w:bCs/>
          <w:szCs w:val="21"/>
        </w:rPr>
        <w:t xml:space="preserve"> 平面支承或斜拉和吊挂的铝合金结构中，索应布置在结构主惯性平面内以尽量减小预应力产生的平面外的扭转效应。</w:t>
      </w:r>
    </w:p>
    <w:p>
      <w:pPr>
        <w:autoSpaceDE w:val="0"/>
        <w:autoSpaceDN w:val="0"/>
        <w:adjustRightInd w:val="0"/>
        <w:snapToGrid w:val="0"/>
        <w:textAlignment w:val="bottom"/>
        <w:rPr>
          <w:rFonts w:cs="Times New Roman" w:eastAsiaTheme="majorEastAsia"/>
          <w:bCs/>
          <w:szCs w:val="21"/>
        </w:rPr>
      </w:pPr>
      <w:r>
        <w:rPr>
          <w:rFonts w:cs="Times New Roman" w:eastAsiaTheme="majorEastAsia"/>
          <w:b/>
          <w:bCs/>
          <w:szCs w:val="21"/>
        </w:rPr>
        <w:t>6.2.4</w:t>
      </w:r>
      <w:r>
        <w:rPr>
          <w:rFonts w:cs="Times New Roman" w:eastAsiaTheme="majorEastAsia"/>
          <w:bCs/>
          <w:szCs w:val="21"/>
        </w:rPr>
        <w:t xml:space="preserve"> 斜拉和吊挂铝合金结构因其自重较轻，风吸力下斜拉或吊索会因松弛而退出工作，应布置稳定索或采用其他构造措施以确保结构的安全适用性。 </w:t>
      </w:r>
    </w:p>
    <w:p>
      <w:pPr>
        <w:pStyle w:val="3"/>
        <w:spacing w:before="156" w:after="156"/>
      </w:pPr>
      <w:bookmarkStart w:id="276" w:name="_Toc152589611"/>
      <w:bookmarkStart w:id="277" w:name="_Toc152588988"/>
      <w:bookmarkStart w:id="278" w:name="_Toc152589170"/>
      <w:r>
        <w:t>6.3 结构初始状态的计算分析</w:t>
      </w:r>
      <w:bookmarkEnd w:id="276"/>
      <w:bookmarkEnd w:id="277"/>
      <w:bookmarkEnd w:id="278"/>
    </w:p>
    <w:p>
      <w:pPr>
        <w:adjustRightInd w:val="0"/>
        <w:snapToGrid w:val="0"/>
        <w:rPr>
          <w:rFonts w:cs="Times New Roman"/>
          <w:bCs/>
        </w:rPr>
      </w:pPr>
      <w:r>
        <w:rPr>
          <w:rFonts w:cs="Times New Roman"/>
          <w:b/>
          <w:bCs/>
        </w:rPr>
        <w:t xml:space="preserve">6.3.1 </w:t>
      </w:r>
      <w:r>
        <w:rPr>
          <w:rFonts w:cs="Times New Roman"/>
          <w:bCs/>
        </w:rPr>
        <w:t>结构初始状态是索预应力张拉完成后的状态，预应力张拉时除了结构自重外还可能存在其他恒载，如与屋面板、其他次结构或维护结构的连接件等。</w:t>
      </w:r>
    </w:p>
    <w:p>
      <w:pPr>
        <w:adjustRightInd w:val="0"/>
        <w:snapToGrid w:val="0"/>
        <w:rPr>
          <w:rFonts w:cs="Times New Roman"/>
        </w:rPr>
      </w:pPr>
      <w:r>
        <w:rPr>
          <w:rFonts w:cs="Times New Roman"/>
          <w:b/>
          <w:bCs/>
        </w:rPr>
        <w:t xml:space="preserve">6.3.2 </w:t>
      </w:r>
      <w:r>
        <w:rPr>
          <w:rFonts w:cs="Times New Roman"/>
        </w:rPr>
        <w:t>预应力铝合金结构中铝合金结构自身具有一定的刚度，通过索、撑杆等构成了完整的结构体系。施工成形中，一般通过对主动索段的张拉对结构体系的被动索和其他刚性构件导入预张力，结构的计算分析应与之相符合。</w:t>
      </w:r>
    </w:p>
    <w:p>
      <w:pPr>
        <w:adjustRightInd w:val="0"/>
        <w:snapToGrid w:val="0"/>
        <w:rPr>
          <w:rFonts w:cs="Times New Roman"/>
        </w:rPr>
      </w:pPr>
      <w:r>
        <w:rPr>
          <w:rFonts w:cs="Times New Roman"/>
          <w:b/>
          <w:bCs/>
        </w:rPr>
        <w:t xml:space="preserve">6.3.3 </w:t>
      </w:r>
      <w:r>
        <w:rPr>
          <w:rFonts w:cs="Times New Roman"/>
        </w:rPr>
        <w:t>当预应力铝合金结构中的索较长时，初始状态时索在其自重和预张力作用下可能产生较为明显的垂度，应对这一垂度进行限制以免影响建筑和结构的外观，本条的最小预张力是按垂度等于索长的1/160计算得到的。</w:t>
      </w:r>
    </w:p>
    <w:p>
      <w:pPr>
        <w:adjustRightInd w:val="0"/>
        <w:snapToGrid w:val="0"/>
        <w:ind w:firstLine="420" w:firstLineChars="200"/>
        <w:rPr>
          <w:rFonts w:cs="Times New Roman"/>
        </w:rPr>
      </w:pPr>
      <w:r>
        <w:rPr>
          <w:rFonts w:cs="Times New Roman"/>
        </w:rPr>
        <w:t>考虑一根与地面夹角为</w:t>
      </w:r>
      <w:r>
        <w:rPr>
          <w:rFonts w:cs="Times New Roman"/>
          <w:i/>
        </w:rPr>
        <w:t>α</w:t>
      </w:r>
      <w:r>
        <w:rPr>
          <w:rFonts w:cs="Times New Roman"/>
        </w:rPr>
        <w:t>，线密度</w:t>
      </w:r>
      <w:r>
        <w:rPr>
          <w:rFonts w:cs="Times New Roman"/>
          <w:i/>
        </w:rPr>
        <w:t>q</w:t>
      </w:r>
      <w:r>
        <w:rPr>
          <w:rFonts w:cs="Times New Roman"/>
        </w:rPr>
        <w:t>（自重为</w:t>
      </w:r>
      <w:r>
        <w:rPr>
          <w:rFonts w:cs="Times New Roman"/>
          <w:i/>
        </w:rPr>
        <w:t>W</w:t>
      </w:r>
      <w:r>
        <w:rPr>
          <w:rFonts w:cs="Times New Roman"/>
        </w:rPr>
        <w:t>）的空间斜索，见图12。</w:t>
      </w:r>
    </w:p>
    <w:p>
      <w:pPr>
        <w:adjustRightInd w:val="0"/>
        <w:snapToGrid w:val="0"/>
        <w:jc w:val="center"/>
        <w:rPr>
          <w:rFonts w:cs="Times New Roman"/>
        </w:rPr>
      </w:pPr>
      <w:r>
        <w:rPr>
          <w:rFonts w:cs="Times New Roman"/>
        </w:rPr>
        <w:object>
          <v:shape id="_x0000_i1042" o:spt="75" type="#_x0000_t75" style="height:141.75pt;width:274.5pt;" o:ole="t" filled="f" o:preferrelative="t" stroked="f" coordsize="21600,21600">
            <v:path/>
            <v:fill on="f" focussize="0,0"/>
            <v:stroke on="f" joinstyle="miter"/>
            <v:imagedata r:id="rId65" o:title=""/>
            <o:lock v:ext="edit" aspectratio="t"/>
            <w10:wrap type="none"/>
            <w10:anchorlock/>
          </v:shape>
          <o:OLEObject Type="Embed" ProgID="AutoCAD.Drawing.15" ShapeID="_x0000_i1042" DrawAspect="Content" ObjectID="_1468075742" r:id="rId64">
            <o:LockedField>false</o:LockedField>
          </o:OLEObject>
        </w:object>
      </w:r>
    </w:p>
    <w:p>
      <w:pPr>
        <w:adjustRightInd w:val="0"/>
        <w:snapToGrid w:val="0"/>
        <w:jc w:val="center"/>
        <w:rPr>
          <w:rFonts w:eastAsia="黑体" w:cs="Times New Roman"/>
          <w:sz w:val="18"/>
          <w:szCs w:val="18"/>
        </w:rPr>
      </w:pPr>
      <w:r>
        <w:rPr>
          <w:rFonts w:eastAsia="黑体" w:cs="Times New Roman"/>
          <w:sz w:val="18"/>
          <w:szCs w:val="18"/>
        </w:rPr>
        <w:t>图12 初始状态拉索垂度和预张力的关系</w:t>
      </w:r>
    </w:p>
    <w:p>
      <w:r>
        <w:t>设索垂直于索弦线的距离为</w:t>
      </w:r>
      <w:r>
        <w:rPr>
          <w:i/>
        </w:rPr>
        <w:t>w</w:t>
      </w:r>
      <w:r>
        <w:t>，索中预张力为</w:t>
      </w:r>
      <w:r>
        <w:rPr>
          <w:i/>
        </w:rPr>
        <w:t>T</w:t>
      </w:r>
      <w:r>
        <w:rPr>
          <w:vertAlign w:val="subscript"/>
        </w:rPr>
        <w:t>0</w:t>
      </w:r>
      <w:r>
        <w:t>，绕地面连接点的弯矩平衡条件要求：</w:t>
      </w:r>
    </w:p>
    <w:p>
      <w:pPr>
        <w:jc w:val="center"/>
        <w:rPr>
          <w:color w:val="FF0000"/>
        </w:rPr>
      </w:pPr>
      <w:r>
        <w:rPr>
          <w:color w:val="FF0000"/>
          <w:position w:val="-24"/>
        </w:rPr>
        <w:object>
          <v:shape id="_x0000_i1043" o:spt="75" type="#_x0000_t75" style="height:28.9pt;width:119.4pt;" o:ole="t" filled="f" o:preferrelative="t" stroked="f" coordsize="21600,21600">
            <v:path/>
            <v:fill on="f" focussize="0,0"/>
            <v:stroke on="f" joinstyle="miter"/>
            <v:imagedata r:id="rId67" o:title=""/>
            <o:lock v:ext="edit" aspectratio="t"/>
            <w10:wrap type="none"/>
            <w10:anchorlock/>
          </v:shape>
          <o:OLEObject Type="Embed" ProgID="Equation.3" ShapeID="_x0000_i1043" DrawAspect="Content" ObjectID="_1468075743" r:id="rId66">
            <o:LockedField>false</o:LockedField>
          </o:OLEObject>
        </w:object>
      </w:r>
    </w:p>
    <w:p>
      <w:r>
        <w:t>注意到</w:t>
      </w:r>
      <w:r>
        <w:rPr>
          <w:i/>
        </w:rPr>
        <w:t>W</w:t>
      </w:r>
      <w:r>
        <w:t>=</w:t>
      </w:r>
      <w:r>
        <w:rPr>
          <w:i/>
        </w:rPr>
        <w:t>qL</w:t>
      </w:r>
      <w:r>
        <w:t>，并令</w:t>
      </w:r>
      <w:r>
        <w:rPr>
          <w:i/>
        </w:rPr>
        <w:t>w</w:t>
      </w:r>
      <w:r>
        <w:t>≤1/160</w:t>
      </w:r>
      <w:r>
        <w:rPr>
          <w:i/>
        </w:rPr>
        <w:t>L</w:t>
      </w:r>
      <w:r>
        <w:t>，得到：</w:t>
      </w:r>
    </w:p>
    <w:p>
      <w:pPr>
        <w:jc w:val="center"/>
        <w:rPr>
          <w:position w:val="-12"/>
        </w:rPr>
      </w:pPr>
      <w:r>
        <w:rPr>
          <w:position w:val="-12"/>
        </w:rPr>
        <w:object>
          <v:shape id="_x0000_i1044" o:spt="75" type="#_x0000_t75" style="height:15.15pt;width:65.8pt;" o:ole="t" filled="f" o:preferrelative="t" stroked="f" coordsize="21600,21600">
            <v:path/>
            <v:fill on="f" focussize="0,0"/>
            <v:stroke on="f" joinstyle="miter"/>
            <v:imagedata r:id="rId69" o:title=""/>
            <o:lock v:ext="edit" aspectratio="t"/>
            <w10:wrap type="none"/>
            <w10:anchorlock/>
          </v:shape>
          <o:OLEObject Type="Embed" ProgID="Equation.3" ShapeID="_x0000_i1044" DrawAspect="Content" ObjectID="_1468075744" r:id="rId68">
            <o:LockedField>false</o:LockedField>
          </o:OLEObject>
        </w:object>
      </w:r>
    </w:p>
    <w:p>
      <w:pPr>
        <w:pStyle w:val="3"/>
        <w:spacing w:before="156" w:after="156"/>
      </w:pPr>
      <w:bookmarkStart w:id="279" w:name="_Toc152589171"/>
      <w:bookmarkStart w:id="280" w:name="_Toc152589612"/>
      <w:bookmarkStart w:id="281" w:name="_Toc152588989"/>
      <w:r>
        <w:t>6.4 结构工作状态的计算分析</w:t>
      </w:r>
      <w:bookmarkEnd w:id="279"/>
      <w:bookmarkEnd w:id="280"/>
      <w:bookmarkEnd w:id="281"/>
    </w:p>
    <w:p>
      <w:r>
        <w:rPr>
          <w:b/>
          <w:bCs/>
        </w:rPr>
        <w:t xml:space="preserve">6.4.2 </w:t>
      </w:r>
      <w:r>
        <w:rPr>
          <w:bCs/>
        </w:rPr>
        <w:t>当按</w:t>
      </w:r>
      <w:r>
        <w:t>现行国家标准《钢结构设计标准》GB50017中规定的直接设计法进行计算时，应考虑结构整体和构件局部初始缺陷、将每根构件打断为多个单元进行计算分析。</w:t>
      </w:r>
    </w:p>
    <w:p>
      <w:r>
        <w:t>当仅进行结构的整体稳定性计算时，可只考虑结构的整体初始缺陷、取每个构件为一个单元进行计算分析。近十多年以来的理论研究和工程实践成果表明，铝合金结构在荷载标准组合的2.2倍时材料一般均处于弹性或能满足《空间网格结构技术规程》JGJ7关于弹塑性极限承载力的要求，但铝合金结构很难达到JGJ7规定的弹性极限承载力安全系数4.2的要求。所以本条规定考虑双非线性时，安全系数可取</w:t>
      </w:r>
      <w:r>
        <w:rPr>
          <w:i/>
        </w:rPr>
        <w:t>K</w:t>
      </w:r>
      <w:r>
        <w:t>=2.2。</w:t>
      </w:r>
    </w:p>
    <w:p>
      <w:pPr>
        <w:ind w:firstLine="420" w:firstLineChars="200"/>
      </w:pPr>
      <w:r>
        <w:t xml:space="preserve">杆件计算长度系数概念很难正确应用于空间结构的稳定设计，按几何非线性方法计算内力并按计算长度系数1.0进行计算得到的构件稳定应力，接近于直接分析设计法计算得到的构件的最大应力。 </w:t>
      </w:r>
    </w:p>
    <w:p>
      <w:r>
        <w:rPr>
          <w:b/>
        </w:rPr>
        <w:t>6.4.3</w:t>
      </w:r>
      <w:r>
        <w:t xml:space="preserve"> 本条对最小索力规定了永久荷载控制组合下索不应退出工作，可变荷载控制组合下索可松弛而退出工作。</w:t>
      </w:r>
    </w:p>
    <w:p>
      <w:r>
        <w:rPr>
          <w:b/>
        </w:rPr>
        <w:t xml:space="preserve">6.4.4 </w:t>
      </w:r>
      <w:r>
        <w:t>较长的索在正常工作状态时可能会因垂度太大而影响外观，本条规定最大垂度为索长的1/120。</w:t>
      </w:r>
    </w:p>
    <w:p>
      <w:pPr>
        <w:pStyle w:val="3"/>
        <w:spacing w:before="156" w:after="156"/>
      </w:pPr>
      <w:bookmarkStart w:id="282" w:name="_Toc152589613"/>
      <w:bookmarkStart w:id="283" w:name="_Toc152588990"/>
      <w:bookmarkStart w:id="284" w:name="_Toc152589172"/>
      <w:r>
        <w:t>6.5 结构施工过程的计算分析</w:t>
      </w:r>
      <w:bookmarkEnd w:id="282"/>
      <w:bookmarkEnd w:id="283"/>
      <w:bookmarkEnd w:id="284"/>
    </w:p>
    <w:p>
      <w:r>
        <w:rPr>
          <w:b/>
        </w:rPr>
        <w:t xml:space="preserve">6.5.1 </w:t>
      </w:r>
      <w:r>
        <w:t>正向计算与分析是指按照结构体系实际的安装、张拉与卸载步骤，逐步跟踪进行每个步骤的计算分析，直至结构安装、张拉和卸载完毕、达到初始状态。在这个过程中，结构杆件和布置、结构边界条件、施工荷载等一直在变化，所以应采用几何非线性方法进行计算分析。</w:t>
      </w:r>
    </w:p>
    <w:p>
      <w:r>
        <w:rPr>
          <w:b/>
        </w:rPr>
        <w:t>6.5.2</w:t>
      </w:r>
      <w:r>
        <w:t xml:space="preserve"> 应特别注意网架等体系中长细比较大的受拉构件在施工和张拉过程中是否发生内力反向导致可能的受压弯曲的情况。</w:t>
      </w:r>
    </w:p>
    <w:p>
      <w:pPr>
        <w:sectPr>
          <w:pgSz w:w="11906" w:h="16838"/>
          <w:pgMar w:top="1440" w:right="1800" w:bottom="1440" w:left="1800" w:header="851" w:footer="992" w:gutter="0"/>
          <w:cols w:space="425" w:num="1"/>
          <w:docGrid w:type="lines" w:linePitch="312" w:charSpace="0"/>
        </w:sectPr>
      </w:pPr>
      <w:r>
        <w:rPr>
          <w:b/>
        </w:rPr>
        <w:t>6.5.3</w:t>
      </w:r>
      <w:r>
        <w:t xml:space="preserve"> 预张力铝合金结构设计计算时，一般在结构完整模型基础上进行一次找形分析得到设计初始状态，这一初始状态与施工过程计算分析得到的实际初始状态之间在构件内力分布和初始几何位形两方面都会有一定偏差，这一偏差不应影响结构的安全性和外观，并应经设计认可和确认。</w:t>
      </w:r>
    </w:p>
    <w:p>
      <w:pPr>
        <w:pStyle w:val="2"/>
      </w:pPr>
      <w:bookmarkStart w:id="285" w:name="_Toc152588991"/>
      <w:bookmarkStart w:id="286" w:name="_Toc152589614"/>
      <w:bookmarkStart w:id="287" w:name="_Toc152589173"/>
      <w:r>
        <w:t>7.节点设计与构造</w:t>
      </w:r>
      <w:bookmarkEnd w:id="285"/>
      <w:bookmarkEnd w:id="286"/>
      <w:bookmarkEnd w:id="287"/>
    </w:p>
    <w:p>
      <w:pPr>
        <w:pStyle w:val="3"/>
        <w:spacing w:before="156" w:after="156"/>
      </w:pPr>
      <w:bookmarkStart w:id="288" w:name="_Toc152588992"/>
      <w:bookmarkStart w:id="289" w:name="_Toc152589174"/>
      <w:bookmarkStart w:id="290" w:name="_Toc152589615"/>
      <w:r>
        <w:t>7.1一般规定</w:t>
      </w:r>
      <w:bookmarkEnd w:id="288"/>
      <w:bookmarkEnd w:id="289"/>
      <w:bookmarkEnd w:id="290"/>
    </w:p>
    <w:p>
      <w:r>
        <w:rPr>
          <w:b/>
        </w:rPr>
        <w:t xml:space="preserve">7.1.1 </w:t>
      </w:r>
      <w:r>
        <w:t>预应力铝合金结构中，受力较大的索和撑杆应通过钢转接构件与铝合金结构相连，受力较小时也可通过钢耳板组件与铝合金结构相连。</w:t>
      </w:r>
    </w:p>
    <w:p>
      <w:r>
        <w:rPr>
          <w:b/>
        </w:rPr>
        <w:t xml:space="preserve">7.1.5 </w:t>
      </w:r>
      <w:r>
        <w:t>铝合金构件之间的连接不宜焊接连接方式。</w:t>
      </w:r>
    </w:p>
    <w:p>
      <w:pPr>
        <w:pStyle w:val="3"/>
        <w:spacing w:before="156" w:after="156"/>
      </w:pPr>
      <w:bookmarkStart w:id="291" w:name="_Toc152588993"/>
      <w:bookmarkStart w:id="292" w:name="_Toc152589616"/>
      <w:bookmarkStart w:id="293" w:name="_Toc152589175"/>
      <w:r>
        <w:t>7.2铝合金构件与其他构件的连接</w:t>
      </w:r>
      <w:bookmarkEnd w:id="291"/>
      <w:bookmarkEnd w:id="292"/>
      <w:bookmarkEnd w:id="293"/>
    </w:p>
    <w:p>
      <w:r>
        <w:rPr>
          <w:b/>
        </w:rPr>
        <w:t>7.2.1-7.2.4</w:t>
      </w:r>
      <w:r>
        <w:t>铝合金构件与钢转接构件应采用全螺栓盖板拼接连接构造，节点强度宜与铝合金构件等强。按照承压型连接设计（普通螺栓或环槽铆钉）的节点，隔离垫片可采用聚四氟乙烯板等不与铝合金、钢材发生电化学反应的材料。按照摩擦型连接设计（高强螺栓或摩擦型环槽铆钉）的节点，隔离垫片除应满足电化学隔离的需求外，摩擦系数也应满足设计要求。</w:t>
      </w:r>
    </w:p>
    <w:p>
      <w:pPr>
        <w:pStyle w:val="3"/>
        <w:spacing w:before="156" w:after="156"/>
      </w:pPr>
      <w:bookmarkStart w:id="294" w:name="_Toc152589176"/>
      <w:bookmarkStart w:id="295" w:name="_Toc152588994"/>
      <w:bookmarkStart w:id="296" w:name="_Toc152589617"/>
      <w:r>
        <w:t>7.3 节点计算与设计</w:t>
      </w:r>
      <w:bookmarkEnd w:id="294"/>
      <w:bookmarkEnd w:id="295"/>
      <w:bookmarkEnd w:id="296"/>
    </w:p>
    <w:p>
      <w:r>
        <w:rPr>
          <w:b/>
        </w:rPr>
        <w:t xml:space="preserve">7.3.1 </w:t>
      </w:r>
      <w:r>
        <w:t>节点的承载力、局部稳定和刚度应符合国家标准《钢结构通用规范》GB55006、《钢结构设计标准》GB 50017、《铝合金结构设计规范》GB 50429和现行行业标准《索结构技术规程》 JGJ 257、《空间网格结构技术规程》JGJ 7及现行协会标准《建筑索结构节点设计标准》CECS 1010的规定。</w:t>
      </w:r>
    </w:p>
    <w:p>
      <w:pPr>
        <w:sectPr>
          <w:pgSz w:w="11906" w:h="16838"/>
          <w:pgMar w:top="1440" w:right="1800" w:bottom="1440" w:left="1800" w:header="851" w:footer="992" w:gutter="0"/>
          <w:cols w:space="425" w:num="1"/>
          <w:docGrid w:type="lines" w:linePitch="312" w:charSpace="0"/>
        </w:sectPr>
      </w:pPr>
      <w:r>
        <w:rPr>
          <w:b/>
        </w:rPr>
        <w:t xml:space="preserve">7.3.2-7.3.3 </w:t>
      </w:r>
      <w:r>
        <w:t>参照现行协会标准《铸钢节点应用技术规程》CECS235进行规定。</w:t>
      </w:r>
    </w:p>
    <w:p>
      <w:pPr>
        <w:pStyle w:val="2"/>
        <w:spacing w:before="156" w:beforeLines="50" w:after="156" w:afterLines="50"/>
      </w:pPr>
      <w:bookmarkStart w:id="297" w:name="_Toc152589177"/>
      <w:bookmarkStart w:id="298" w:name="_Toc150008363"/>
      <w:bookmarkStart w:id="299" w:name="_Toc152589618"/>
      <w:bookmarkStart w:id="300" w:name="_Toc150008272"/>
      <w:bookmarkStart w:id="301" w:name="_Toc152588995"/>
      <w:bookmarkStart w:id="302" w:name="_Hlk151985597"/>
      <w:r>
        <w:t>8  施工与验收</w:t>
      </w:r>
      <w:bookmarkEnd w:id="297"/>
      <w:bookmarkEnd w:id="298"/>
      <w:bookmarkEnd w:id="299"/>
      <w:bookmarkEnd w:id="300"/>
      <w:bookmarkEnd w:id="301"/>
    </w:p>
    <w:p>
      <w:pPr>
        <w:pStyle w:val="3"/>
        <w:spacing w:before="156" w:after="156"/>
      </w:pPr>
      <w:bookmarkStart w:id="303" w:name="_Toc152589178"/>
      <w:bookmarkStart w:id="304" w:name="_Toc150008273"/>
      <w:bookmarkStart w:id="305" w:name="_Toc152589619"/>
      <w:bookmarkStart w:id="306" w:name="_Toc152588996"/>
      <w:bookmarkStart w:id="307" w:name="_Toc150008364"/>
      <w:r>
        <w:t>8.1一般规定</w:t>
      </w:r>
      <w:bookmarkEnd w:id="303"/>
      <w:bookmarkEnd w:id="304"/>
      <w:bookmarkEnd w:id="305"/>
      <w:bookmarkEnd w:id="306"/>
      <w:bookmarkEnd w:id="307"/>
    </w:p>
    <w:p>
      <w:r>
        <w:rPr>
          <w:b/>
        </w:rPr>
        <w:t>8.1.3</w:t>
      </w:r>
      <w:r>
        <w:t>对索和其组件的所有部位均应检查，损坏的拉索和钢拉杆均应更换，受损的非承载部件应进行修补。</w:t>
      </w:r>
      <w:r>
        <w:rPr>
          <w:snapToGrid w:val="0"/>
        </w:rPr>
        <w:t>检查项目应符合现行国家、行业标准及现行协会标准《建筑索结构工程施工质量验收标准》T/CECS 1301-2023的规定。</w:t>
      </w:r>
    </w:p>
    <w:p>
      <w:r>
        <w:rPr>
          <w:b/>
        </w:rPr>
        <w:t>8.1.4-8.1.5</w:t>
      </w:r>
      <w:r>
        <w:t>钢构件、铝合金构件、支座锚板等的质量可参照现行国家标准《钢结构工程施工质量验收规范》GB50205和《铝合金结构工程施工质量验收规范》GB50576的相关规定。</w:t>
      </w:r>
    </w:p>
    <w:p>
      <w:r>
        <w:rPr>
          <w:b/>
        </w:rPr>
        <w:t>8.1.6</w:t>
      </w:r>
      <w:r>
        <w:rPr>
          <w:color w:val="000000"/>
        </w:rPr>
        <w:t>施工方</w:t>
      </w:r>
      <w:r>
        <w:t>应根据设计图纸和结构的受力特点，以结构初始状态的几何和预张力分布为目标，经施工过程的数值模拟分析确定结构的张拉和安装工艺，以验证张拉方案的可行性。张拉方案应经设计认可。张拉方案宜考虑索长制作误差、支承结构安装误差、温度变化等对索结构初始状态几何和预张力分布的影响，张拉分析时应考虑张拉过程对相关构件或结构的影响，并进行相关验算。</w:t>
      </w:r>
    </w:p>
    <w:p>
      <w:pPr>
        <w:pStyle w:val="3"/>
        <w:spacing w:before="156" w:after="156"/>
      </w:pPr>
      <w:bookmarkStart w:id="308" w:name="_Toc152589620"/>
      <w:bookmarkStart w:id="309" w:name="_Toc150008274"/>
      <w:bookmarkStart w:id="310" w:name="_Toc152588997"/>
      <w:bookmarkStart w:id="311" w:name="_Toc150008365"/>
      <w:bookmarkStart w:id="312" w:name="_Toc152589179"/>
      <w:r>
        <w:t>8.2包装、运输与存放</w:t>
      </w:r>
      <w:bookmarkEnd w:id="308"/>
      <w:bookmarkEnd w:id="309"/>
      <w:bookmarkEnd w:id="310"/>
      <w:bookmarkEnd w:id="311"/>
      <w:bookmarkEnd w:id="312"/>
    </w:p>
    <w:p>
      <w:r>
        <w:rPr>
          <w:b/>
        </w:rPr>
        <w:t>8.2.1-8.2.3</w:t>
      </w:r>
      <w:r>
        <w:t>拉索盘绕内径太小会导致钢绞线跳丝。索与硬质物体摩擦碰撞易损伤索体涂层等。</w:t>
      </w:r>
    </w:p>
    <w:p>
      <w:r>
        <w:rPr>
          <w:b/>
        </w:rPr>
        <w:t>8.2.4</w:t>
      </w:r>
      <w:r>
        <w:t>索的堆放如导致索头弯折可能对索体和锚具之间的防护层造成破损，应予以避免。</w:t>
      </w:r>
    </w:p>
    <w:p>
      <w:pPr>
        <w:pStyle w:val="3"/>
        <w:spacing w:before="156" w:after="156"/>
      </w:pPr>
      <w:bookmarkStart w:id="313" w:name="_Toc152589621"/>
      <w:bookmarkStart w:id="314" w:name="_Toc150008366"/>
      <w:bookmarkStart w:id="315" w:name="_Toc152588998"/>
      <w:bookmarkStart w:id="316" w:name="_Toc150008275"/>
      <w:bookmarkStart w:id="317" w:name="_Toc152589180"/>
      <w:r>
        <w:t>8.3索的安装</w:t>
      </w:r>
      <w:bookmarkEnd w:id="313"/>
      <w:bookmarkEnd w:id="314"/>
      <w:bookmarkEnd w:id="315"/>
      <w:bookmarkEnd w:id="316"/>
      <w:bookmarkEnd w:id="317"/>
    </w:p>
    <w:p>
      <w:r>
        <w:rPr>
          <w:b/>
        </w:rPr>
        <w:t>8.3.2</w:t>
      </w:r>
      <w:r>
        <w:t>如索锚固的钢耳板组件的空间位形与设计偏差较大，会导致索张拉困难或难以达到设计要求，可以更换钢耳板组件或对组件进行局部修复。</w:t>
      </w:r>
    </w:p>
    <w:p>
      <w:r>
        <w:rPr>
          <w:b/>
        </w:rPr>
        <w:t>8.3.5</w:t>
      </w:r>
      <w:r>
        <w:t>索的安装会将其自重施加于临时支撑上的铝合金结构体系，应评估其影响并采取必要的措施。</w:t>
      </w:r>
    </w:p>
    <w:p>
      <w:r>
        <w:rPr>
          <w:b/>
        </w:rPr>
        <w:t>8.3.6</w:t>
      </w:r>
      <w:r>
        <w:t>工地焊接切削产生的火花可能损坏索体表面涂层。</w:t>
      </w:r>
    </w:p>
    <w:p>
      <w:pPr>
        <w:pStyle w:val="3"/>
        <w:spacing w:before="156" w:after="156"/>
      </w:pPr>
      <w:bookmarkStart w:id="318" w:name="_Toc152589622"/>
      <w:bookmarkStart w:id="319" w:name="_Toc150008276"/>
      <w:bookmarkStart w:id="320" w:name="_Toc150008367"/>
      <w:bookmarkStart w:id="321" w:name="_Toc152588999"/>
      <w:bookmarkStart w:id="322" w:name="_Toc152589181"/>
      <w:r>
        <w:t>8.4索的张拉</w:t>
      </w:r>
      <w:bookmarkEnd w:id="318"/>
      <w:bookmarkEnd w:id="319"/>
      <w:bookmarkEnd w:id="320"/>
      <w:bookmarkEnd w:id="321"/>
      <w:bookmarkEnd w:id="322"/>
    </w:p>
    <w:p>
      <w:pPr>
        <w:rPr>
          <w:snapToGrid w:val="0"/>
        </w:rPr>
      </w:pPr>
      <w:r>
        <w:rPr>
          <w:b/>
          <w:snapToGrid w:val="0"/>
        </w:rPr>
        <w:t>8.4.1</w:t>
      </w:r>
      <w:r>
        <w:rPr>
          <w:snapToGrid w:val="0"/>
        </w:rPr>
        <w:t>宜建立预应力铝合金结构和支承结构的整体结构模型进行拉索的张拉力计算，模拟施工过程的各个阶段进行分析，应使各个张拉阶段的结构内力和变形均在规定的结构安全工作范围内，从而确定合理的拉索张拉方案。</w:t>
      </w:r>
    </w:p>
    <w:p>
      <w:pPr>
        <w:rPr>
          <w:snapToGrid w:val="0"/>
        </w:rPr>
      </w:pPr>
      <w:r>
        <w:rPr>
          <w:b/>
          <w:snapToGrid w:val="0"/>
        </w:rPr>
        <w:t>8.4.2</w:t>
      </w:r>
      <w:r>
        <w:rPr>
          <w:snapToGrid w:val="0"/>
        </w:rPr>
        <w:t>根据实际经验，千斤顶标定时试验机主动压千斤顶与千斤顶主动顶试验机两者的试验结果是不同的。因此试验时，应模拟施工中千斤顶主动顶工件的工况。</w:t>
      </w:r>
    </w:p>
    <w:p>
      <w:pPr>
        <w:rPr>
          <w:snapToGrid w:val="0"/>
        </w:rPr>
      </w:pPr>
      <w:r>
        <w:rPr>
          <w:b/>
          <w:snapToGrid w:val="0"/>
        </w:rPr>
        <w:t xml:space="preserve">8.4.3-8.4.4 </w:t>
      </w:r>
      <w:r>
        <w:rPr>
          <w:snapToGrid w:val="0"/>
        </w:rPr>
        <w:t>应根据拉索的构造特点、空间受力状态和施工技术条件确定索的张拉。常用的张拉方法有三种：（1）整体张拉法，整体张拉法是目前采用的最有效的拉索张拉方式。张拉器具可采用计算机控制的液压千斤顶群，几个、几十个千斤顶同时张拉，同步控制伸长度可达3mm，可最大限度地接近设计力学模型。（2）分部张拉法，采用分部张拉法时应对空间结构进行整体受力分析，建立模型并建立合理的计算方法，充分考虑多根索张拉的相互影响。根据分析结果，可采用分级张拉、结构位移监控与千斤顶拉力双控的张拉工艺。施工过程的应力应变控制值可由计算机模拟有限元计算得到。（3）分散张拉法，分散张拉即各根索单独张拉。此种张拉方法适用于一般连接用或装饰性索，无预应力要求，一般以目测绷直为准。</w:t>
      </w:r>
    </w:p>
    <w:p>
      <w:pPr>
        <w:rPr>
          <w:b/>
          <w:bCs/>
        </w:rPr>
      </w:pPr>
      <w:r>
        <w:rPr>
          <w:b/>
        </w:rPr>
        <w:t>8.4.7</w:t>
      </w:r>
      <w:r>
        <w:t>斜拉结构当采用桅杆支撑且其根部节点为球铰时，桅杆顶部位移对预应力张拉较为敏感，在张拉过程中应用多台经纬仪进行观测监控，以保证其在安全范围内摆动，张拉结束后，要求结构曲面、标高、桅杆倾斜方向及角度皆符合设计要求。</w:t>
      </w:r>
    </w:p>
    <w:p>
      <w:pPr>
        <w:rPr>
          <w:b/>
          <w:bCs/>
        </w:rPr>
      </w:pPr>
      <w:r>
        <w:rPr>
          <w:b/>
        </w:rPr>
        <w:t>8.4.8-8.4.9</w:t>
      </w:r>
      <w:r>
        <w:t>索支承的张弦结构采取分批张拉时，应对称进行。</w:t>
      </w:r>
    </w:p>
    <w:p>
      <w:pPr>
        <w:pStyle w:val="3"/>
        <w:spacing w:before="156" w:after="156"/>
      </w:pPr>
      <w:bookmarkStart w:id="323" w:name="_Toc150008368"/>
      <w:bookmarkStart w:id="324" w:name="_Toc152589182"/>
      <w:bookmarkStart w:id="325" w:name="_Toc152589623"/>
      <w:bookmarkStart w:id="326" w:name="_Toc152589000"/>
      <w:bookmarkStart w:id="327" w:name="_Toc150008277"/>
      <w:r>
        <w:t>8.5 安装与张拉质量要求</w:t>
      </w:r>
      <w:bookmarkEnd w:id="323"/>
      <w:bookmarkEnd w:id="324"/>
      <w:bookmarkEnd w:id="325"/>
      <w:bookmarkEnd w:id="326"/>
      <w:bookmarkEnd w:id="327"/>
    </w:p>
    <w:p>
      <w:r>
        <w:rPr>
          <w:b/>
        </w:rPr>
        <w:t>8.5.4</w:t>
      </w:r>
      <w:r>
        <w:t>索张拉完成后实际索力与初始状态设计值之间会存在一定误差，本条规定的最大误差值</w:t>
      </w:r>
      <w:r>
        <w:rPr>
          <w:color w:val="FF0000"/>
          <w:kern w:val="0"/>
          <w:highlight w:val="cyan"/>
        </w:rPr>
        <w:t>±10%</w:t>
      </w:r>
      <w:r>
        <w:t>应不影响预应力铝合金结构的安全性，并经设计认可。</w:t>
      </w:r>
    </w:p>
    <w:p>
      <w:r>
        <w:rPr>
          <w:b/>
        </w:rPr>
        <w:t>8.5.5</w:t>
      </w:r>
      <w:r>
        <w:t>当张拉完成后预应力铝合金结构的索力或几何位形误差不满足本节规定时，施工单位应根据实际情况进行计算分析，证明这一误差不影响实际结构的安全性和正常使用，并经设计认可。</w:t>
      </w:r>
    </w:p>
    <w:p>
      <w:pPr>
        <w:pStyle w:val="3"/>
        <w:spacing w:before="156" w:after="156"/>
      </w:pPr>
      <w:bookmarkStart w:id="328" w:name="_Toc152589001"/>
      <w:bookmarkStart w:id="329" w:name="_Toc150008369"/>
      <w:bookmarkStart w:id="330" w:name="_Toc152589183"/>
      <w:bookmarkStart w:id="331" w:name="_Toc150008278"/>
      <w:bookmarkStart w:id="332" w:name="_Toc152589624"/>
      <w:r>
        <w:t>8.6验收</w:t>
      </w:r>
      <w:bookmarkEnd w:id="328"/>
      <w:bookmarkEnd w:id="329"/>
      <w:bookmarkEnd w:id="330"/>
      <w:bookmarkEnd w:id="331"/>
      <w:bookmarkEnd w:id="332"/>
    </w:p>
    <w:p>
      <w:r>
        <w:rPr>
          <w:b/>
        </w:rPr>
        <w:t>8.6.9</w:t>
      </w:r>
      <w:r>
        <w:t>索张拉分项工程验收的主控项目与预应力铝合金结构的安全性和正常使用相关，一般项目涉及结构的美观性和耐久性。</w:t>
      </w:r>
    </w:p>
    <w:p>
      <w:pPr>
        <w:sectPr>
          <w:pgSz w:w="11906" w:h="16838"/>
          <w:pgMar w:top="1440" w:right="1800" w:bottom="1440" w:left="1800" w:header="851" w:footer="992" w:gutter="0"/>
          <w:cols w:space="425" w:num="1"/>
          <w:docGrid w:type="lines" w:linePitch="312" w:charSpace="0"/>
        </w:sectPr>
      </w:pPr>
      <w:r>
        <w:rPr>
          <w:b/>
        </w:rPr>
        <w:t>8.6.13</w:t>
      </w:r>
      <w:r>
        <w:t>本款第4条中不合格项目相关文件包括张拉完成后索力或几何位形不满足要求时施工单位提交的经设计认可的结构安全性和正常使用性分析报告。</w:t>
      </w:r>
    </w:p>
    <w:p>
      <w:pPr>
        <w:pStyle w:val="2"/>
      </w:pPr>
      <w:bookmarkStart w:id="333" w:name="_Toc150008370"/>
      <w:bookmarkStart w:id="334" w:name="_Toc152589625"/>
      <w:bookmarkStart w:id="335" w:name="_Toc150008279"/>
      <w:bookmarkStart w:id="336" w:name="_Toc152589002"/>
      <w:bookmarkStart w:id="337" w:name="_Toc152589184"/>
      <w:r>
        <w:t>9  防护与检测监测</w:t>
      </w:r>
      <w:bookmarkEnd w:id="333"/>
      <w:bookmarkEnd w:id="334"/>
      <w:bookmarkEnd w:id="335"/>
      <w:bookmarkEnd w:id="336"/>
      <w:bookmarkEnd w:id="337"/>
    </w:p>
    <w:p>
      <w:pPr>
        <w:pStyle w:val="3"/>
        <w:spacing w:before="156" w:after="156"/>
      </w:pPr>
      <w:bookmarkStart w:id="338" w:name="_Toc152589003"/>
      <w:bookmarkStart w:id="339" w:name="_Toc152589626"/>
      <w:bookmarkStart w:id="340" w:name="_Toc152589185"/>
      <w:bookmarkStart w:id="341" w:name="_Toc150008280"/>
      <w:bookmarkStart w:id="342" w:name="_Toc150008371"/>
      <w:r>
        <w:t>9.1防腐</w:t>
      </w:r>
      <w:bookmarkEnd w:id="338"/>
      <w:bookmarkEnd w:id="339"/>
      <w:bookmarkEnd w:id="340"/>
      <w:bookmarkEnd w:id="341"/>
      <w:bookmarkEnd w:id="342"/>
    </w:p>
    <w:p>
      <w:r>
        <w:rPr>
          <w:b/>
        </w:rPr>
        <w:t>9.1.2</w:t>
      </w:r>
      <w:r>
        <w:t>化学清洗可采用磷酸和有机溶剂。当被喷砂材料出现变形、穿孔或者厚度明显减小时不得使用喷砂。</w:t>
      </w:r>
    </w:p>
    <w:p>
      <w:pPr>
        <w:rPr>
          <w:rFonts w:eastAsia="宋体"/>
        </w:rPr>
      </w:pPr>
      <w:r>
        <w:rPr>
          <w:rFonts w:eastAsia="宋体"/>
          <w:b/>
        </w:rPr>
        <w:t xml:space="preserve">9.1.9 </w:t>
      </w:r>
      <w:r>
        <w:rPr>
          <w:rFonts w:eastAsia="宋体"/>
        </w:rPr>
        <w:t>室外拉索的防护要求较严，尤其是两端锚具部位。室外拉索的防腐蚀主要考虑防止雨水侵蚀，以及密封材料的老化。各种防腐方式根据使用条件和结构主要性能等因素选用。必要时可考虑换索要求。锚具的零件防腐蚀可参考钢结构的防腐蚀要求处理，室外锚具不宜采用冷镀锌处理。应特别重视钢绞线拉索端头处的防腐蚀密封处理。</w:t>
      </w:r>
    </w:p>
    <w:p>
      <w:pPr>
        <w:pStyle w:val="3"/>
        <w:spacing w:before="156" w:after="156"/>
      </w:pPr>
      <w:bookmarkStart w:id="343" w:name="_Toc152589186"/>
      <w:bookmarkStart w:id="344" w:name="_Toc150008372"/>
      <w:bookmarkStart w:id="345" w:name="_Toc152589627"/>
      <w:bookmarkStart w:id="346" w:name="_Toc152589004"/>
      <w:bookmarkStart w:id="347" w:name="_Toc150008281"/>
      <w:r>
        <w:t>9.2防火</w:t>
      </w:r>
      <w:bookmarkEnd w:id="343"/>
      <w:bookmarkEnd w:id="344"/>
      <w:bookmarkEnd w:id="345"/>
      <w:bookmarkEnd w:id="346"/>
      <w:bookmarkEnd w:id="347"/>
    </w:p>
    <w:p>
      <w:r>
        <w:rPr>
          <w:b/>
        </w:rPr>
        <w:t>9.2.1-9.2.3</w:t>
      </w:r>
      <w:r>
        <w:t>铝合金结构构件的耐火极限经验算低于设计耐火极限时，应采用有效的水喷淋系统、细水雾系统进行防护或消防部门认可的防火喷涂材料、其他防火材料或防火措施进行防护。</w:t>
      </w:r>
    </w:p>
    <w:p>
      <w:pPr>
        <w:pStyle w:val="3"/>
        <w:spacing w:before="156" w:after="156"/>
      </w:pPr>
      <w:bookmarkStart w:id="348" w:name="_Toc150008373"/>
      <w:bookmarkStart w:id="349" w:name="_Toc152589187"/>
      <w:bookmarkStart w:id="350" w:name="_Toc150008282"/>
      <w:bookmarkStart w:id="351" w:name="_Toc152589005"/>
      <w:bookmarkStart w:id="352" w:name="_Toc152589628"/>
      <w:r>
        <w:t>9.3维护</w:t>
      </w:r>
      <w:bookmarkEnd w:id="348"/>
      <w:bookmarkEnd w:id="349"/>
      <w:bookmarkEnd w:id="350"/>
      <w:bookmarkEnd w:id="351"/>
      <w:bookmarkEnd w:id="352"/>
    </w:p>
    <w:p>
      <w:r>
        <w:rPr>
          <w:b/>
        </w:rPr>
        <w:t>9.3.5</w:t>
      </w:r>
      <w:r>
        <w:t>索结构在使用过程中，由于存在季节温度变化、风雨冰雪等气象现象作用以及动荷载、混凝土的徐变、索松弛及支座沉降等多种因素影响。拉索的预应力会降低，根据需要可进行定期检查，建议结构完工后半年一次，以后可一年一次，稳定后可不进行观测。</w:t>
      </w:r>
    </w:p>
    <w:p>
      <w:r>
        <w:rPr>
          <w:b/>
        </w:rPr>
        <w:t>9.3.7</w:t>
      </w:r>
      <w:r>
        <w:t>预应力</w:t>
      </w:r>
      <w:r>
        <w:rPr>
          <w:bCs/>
          <w:color w:val="000000"/>
          <w:szCs w:val="24"/>
        </w:rPr>
        <w:t>铝合金结构修复时，宜按照施工加载时的相反顺序，卸除荷载和预应力或卸除荷载并补加临时荷载，以考虑荷载内力与预应力的协调平衡。修复施工应严格按照所编制的施工方案进行。</w:t>
      </w:r>
    </w:p>
    <w:p>
      <w:pPr>
        <w:pStyle w:val="3"/>
        <w:spacing w:before="156" w:after="156"/>
        <w:rPr>
          <w:rFonts w:cs="Times New Roman"/>
        </w:rPr>
      </w:pPr>
      <w:bookmarkStart w:id="353" w:name="_Toc152589629"/>
      <w:bookmarkStart w:id="354" w:name="_Toc150008374"/>
      <w:bookmarkStart w:id="355" w:name="_Toc152589188"/>
      <w:bookmarkStart w:id="356" w:name="_Toc152589006"/>
      <w:bookmarkStart w:id="357" w:name="_Toc150008283"/>
      <w:r>
        <w:rPr>
          <w:rFonts w:cs="Times New Roman"/>
        </w:rPr>
        <w:t>9.4检测</w:t>
      </w:r>
      <w:bookmarkEnd w:id="353"/>
      <w:bookmarkEnd w:id="354"/>
      <w:bookmarkEnd w:id="355"/>
      <w:bookmarkEnd w:id="356"/>
      <w:bookmarkEnd w:id="357"/>
    </w:p>
    <w:p>
      <w:r>
        <w:rPr>
          <w:rFonts w:eastAsiaTheme="majorEastAsia"/>
          <w:b/>
        </w:rPr>
        <w:t xml:space="preserve">9.4.1 </w:t>
      </w:r>
      <w:r>
        <w:t>预应力铝合金结构在使用阶段需要对构件或部件进行修补或更换，或因使用要求发生变更需要对结构进行变更设计时，应首先进行结构检测。</w:t>
      </w:r>
    </w:p>
    <w:p>
      <w:r>
        <w:rPr>
          <w:b/>
        </w:rPr>
        <w:t>9.4.2</w:t>
      </w:r>
      <w:r>
        <w:t>对连接件进行拧紧后，应采用专用工具复检拧紧力或扭矩。</w:t>
      </w:r>
    </w:p>
    <w:p>
      <w:r>
        <w:rPr>
          <w:b/>
        </w:rPr>
        <w:t>9.4.4</w:t>
      </w:r>
      <w:r>
        <w:t>对既有索结构中较细长的索力采用频率法检测可得到较准确的结果。</w:t>
      </w:r>
    </w:p>
    <w:p>
      <w:pPr>
        <w:pStyle w:val="3"/>
        <w:spacing w:before="156" w:after="156"/>
        <w:rPr>
          <w:rFonts w:cs="Times New Roman"/>
        </w:rPr>
      </w:pPr>
      <w:bookmarkStart w:id="358" w:name="_Toc152589630"/>
      <w:bookmarkStart w:id="359" w:name="_Toc152589189"/>
      <w:bookmarkStart w:id="360" w:name="_Toc152589007"/>
      <w:bookmarkStart w:id="361" w:name="_Toc150008375"/>
      <w:bookmarkStart w:id="362" w:name="_Toc150008284"/>
      <w:r>
        <w:rPr>
          <w:rFonts w:cs="Times New Roman"/>
        </w:rPr>
        <w:t>9.5监测</w:t>
      </w:r>
      <w:bookmarkEnd w:id="358"/>
      <w:bookmarkEnd w:id="359"/>
      <w:bookmarkEnd w:id="360"/>
      <w:bookmarkEnd w:id="361"/>
      <w:bookmarkEnd w:id="362"/>
    </w:p>
    <w:bookmarkEnd w:id="302"/>
    <w:p>
      <w:pPr>
        <w:widowControl/>
        <w:rPr>
          <w:rFonts w:hint="eastAsia" w:ascii="宋体" w:hAnsi="宋体" w:eastAsia="宋体" w:cs="宋体"/>
          <w:color w:val="000000" w:themeColor="text1"/>
          <w:kern w:val="0"/>
          <w:szCs w:val="21"/>
          <w14:textFill>
            <w14:solidFill>
              <w14:schemeClr w14:val="tx1"/>
            </w14:solidFill>
          </w14:textFill>
        </w:rPr>
      </w:pPr>
      <w:r>
        <w:rPr>
          <w:rFonts w:ascii="TimesNewRomanPS-BoldMT" w:hAnsi="TimesNewRomanPS-BoldMT" w:eastAsia="宋体" w:cs="宋体"/>
          <w:b/>
          <w:bCs/>
          <w:color w:val="000000" w:themeColor="text1"/>
          <w:kern w:val="0"/>
          <w:szCs w:val="21"/>
          <w14:textFill>
            <w14:solidFill>
              <w14:schemeClr w14:val="tx1"/>
            </w14:solidFill>
          </w14:textFill>
        </w:rPr>
        <w:t>9.5.1</w:t>
      </w:r>
      <w:r>
        <w:rPr>
          <w:rFonts w:hint="eastAsia" w:ascii="宋体" w:hAnsi="宋体" w:eastAsia="宋体" w:cs="宋体"/>
          <w:color w:val="000000" w:themeColor="text1"/>
          <w:kern w:val="0"/>
          <w:szCs w:val="21"/>
          <w14:textFill>
            <w14:solidFill>
              <w14:schemeClr w14:val="tx1"/>
            </w14:solidFill>
          </w14:textFill>
        </w:rPr>
        <w:t>施工阶段监测与运营阶段监测的要求一般不同，当大跨度钢结构需要分别进行施工监测和运营监测时，应统筹进行两个阶段的监测方案，宜协同施工监测与运营监测的测点布置，确保监测数据的延续性。</w:t>
      </w:r>
    </w:p>
    <w:p>
      <w:pPr>
        <w:widowControl/>
        <w:rPr>
          <w:rFonts w:hint="eastAsia" w:ascii="宋体" w:hAnsi="宋体" w:eastAsia="宋体" w:cs="宋体"/>
          <w:color w:val="000000" w:themeColor="text1"/>
          <w:kern w:val="0"/>
          <w:szCs w:val="21"/>
          <w14:textFill>
            <w14:solidFill>
              <w14:schemeClr w14:val="tx1"/>
            </w14:solidFill>
          </w14:textFill>
        </w:rPr>
      </w:pPr>
      <w:r>
        <w:rPr>
          <w:rFonts w:ascii="TimesNewRomanPS-BoldMT" w:hAnsi="TimesNewRomanPS-BoldMT" w:eastAsia="宋体" w:cs="宋体"/>
          <w:b/>
          <w:bCs/>
          <w:color w:val="000000" w:themeColor="text1"/>
          <w:kern w:val="0"/>
          <w:szCs w:val="21"/>
          <w14:textFill>
            <w14:solidFill>
              <w14:schemeClr w14:val="tx1"/>
            </w14:solidFill>
          </w14:textFill>
        </w:rPr>
        <w:t>9.5.2</w:t>
      </w:r>
      <w:r>
        <w:rPr>
          <w:rFonts w:hint="eastAsia" w:ascii="宋体" w:hAnsi="宋体" w:eastAsia="宋体" w:cs="宋体"/>
          <w:color w:val="000000" w:themeColor="text1"/>
          <w:kern w:val="0"/>
          <w:szCs w:val="21"/>
          <w14:textFill>
            <w14:solidFill>
              <w14:schemeClr w14:val="tx1"/>
            </w14:solidFill>
          </w14:textFill>
        </w:rPr>
        <w:t>设计单位应建筑结构安全等级、结构体系以及跨度综合判定其是否需要监测。对需要监测的结构，设计阶段设计单位应提出监测要求，包括但不限于监测目的、监测项目、测点布置原则、监测频率和监测预警值等内容。</w:t>
      </w:r>
    </w:p>
    <w:p>
      <w:pPr>
        <w:widowControl/>
        <w:rPr>
          <w:rFonts w:hint="eastAsia" w:ascii="宋体" w:hAnsi="宋体" w:eastAsia="宋体" w:cs="宋体"/>
          <w:color w:val="000000" w:themeColor="text1"/>
          <w:kern w:val="0"/>
          <w:szCs w:val="21"/>
          <w14:textFill>
            <w14:solidFill>
              <w14:schemeClr w14:val="tx1"/>
            </w14:solidFill>
          </w14:textFill>
        </w:rPr>
      </w:pPr>
      <w:r>
        <w:rPr>
          <w:rFonts w:ascii="TimesNewRomanPS-BoldMT" w:hAnsi="TimesNewRomanPS-BoldMT" w:eastAsia="宋体" w:cs="宋体"/>
          <w:b/>
          <w:bCs/>
          <w:color w:val="000000" w:themeColor="text1"/>
          <w:kern w:val="0"/>
          <w:szCs w:val="21"/>
          <w14:textFill>
            <w14:solidFill>
              <w14:schemeClr w14:val="tx1"/>
            </w14:solidFill>
          </w14:textFill>
        </w:rPr>
        <w:t>9.5.3</w:t>
      </w:r>
      <w:r>
        <w:rPr>
          <w:rFonts w:hint="eastAsia" w:ascii="宋体" w:hAnsi="宋体" w:eastAsia="宋体" w:cs="宋体"/>
          <w:color w:val="000000" w:themeColor="text1"/>
          <w:kern w:val="0"/>
          <w:szCs w:val="21"/>
          <w14:textFill>
            <w14:solidFill>
              <w14:schemeClr w14:val="tx1"/>
            </w14:solidFill>
          </w14:textFill>
        </w:rPr>
        <w:t>监测方案应由监测单位制定，应同时参考建设单位的监测要求、设计单位在设计阶段提出的监测要求与其提供的设计文件等具体制定；监测方案中的结构计算分析可由监测单位进行，也可由有关单位的设计文件提供；监测项目与测点布置应根据监测要求、结构体系以及结构计算分析综合确定；监测项目</w:t>
      </w:r>
      <w:bookmarkStart w:id="363" w:name="_Hlk105253330"/>
      <w:r>
        <w:rPr>
          <w:rFonts w:hint="eastAsia" w:ascii="宋体" w:hAnsi="宋体" w:eastAsia="宋体" w:cs="宋体"/>
          <w:color w:val="000000" w:themeColor="text1"/>
          <w:kern w:val="0"/>
          <w:szCs w:val="21"/>
          <w14:textFill>
            <w14:solidFill>
              <w14:schemeClr w14:val="tx1"/>
            </w14:solidFill>
          </w14:textFill>
        </w:rPr>
        <w:t>宜包括位移监测、索力监测、内力监测、振动监测、荷载作用与环境监测</w:t>
      </w:r>
      <w:bookmarkEnd w:id="363"/>
      <w:r>
        <w:rPr>
          <w:rFonts w:hint="eastAsia" w:ascii="宋体" w:hAnsi="宋体" w:eastAsia="宋体" w:cs="宋体"/>
          <w:color w:val="000000" w:themeColor="text1"/>
          <w:kern w:val="0"/>
          <w:szCs w:val="21"/>
          <w14:textFill>
            <w14:solidFill>
              <w14:schemeClr w14:val="tx1"/>
            </w14:solidFill>
          </w14:textFill>
        </w:rPr>
        <w:t>等。</w:t>
      </w:r>
    </w:p>
    <w:p>
      <w:pPr>
        <w:rPr>
          <w:rFonts w:eastAsiaTheme="majorEastAsia"/>
          <w:b/>
          <w:sz w:val="24"/>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86"/>
    <w:family w:val="roma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TimesNewRomanPS-BoldM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28</w:t>
                          </w:r>
                          <w:r>
                            <w:rPr>
                              <w:rFonts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5"/>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28</w:t>
                    </w:r>
                    <w:r>
                      <w:rPr>
                        <w:rFonts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50</w:t>
                          </w:r>
                          <w:r>
                            <w:rPr>
                              <w:rFonts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5"/>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50</w:t>
                    </w:r>
                    <w:r>
                      <w:rPr>
                        <w:rFonts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094AD3"/>
    <w:multiLevelType w:val="multilevel"/>
    <w:tmpl w:val="2A094AD3"/>
    <w:lvl w:ilvl="0" w:tentative="0">
      <w:start w:val="1"/>
      <w:numFmt w:val="decimal"/>
      <w:lvlText w:val="%1"/>
      <w:lvlJc w:val="left"/>
      <w:pPr>
        <w:ind w:left="571" w:hanging="360"/>
      </w:pPr>
      <w:rPr>
        <w:rFonts w:hint="default"/>
        <w:b/>
      </w:rPr>
    </w:lvl>
    <w:lvl w:ilvl="1" w:tentative="0">
      <w:start w:val="1"/>
      <w:numFmt w:val="decimal"/>
      <w:isLgl/>
      <w:lvlText w:val="%1.%2"/>
      <w:lvlJc w:val="left"/>
      <w:pPr>
        <w:ind w:left="1202" w:hanging="720"/>
      </w:pPr>
      <w:rPr>
        <w:rFonts w:hint="default"/>
      </w:rPr>
    </w:lvl>
    <w:lvl w:ilvl="2" w:tentative="0">
      <w:start w:val="1"/>
      <w:numFmt w:val="decimal"/>
      <w:isLgl/>
      <w:lvlText w:val="%1.%2.%3"/>
      <w:lvlJc w:val="left"/>
      <w:pPr>
        <w:ind w:left="1473" w:hanging="720"/>
      </w:pPr>
      <w:rPr>
        <w:rFonts w:hint="default"/>
      </w:rPr>
    </w:lvl>
    <w:lvl w:ilvl="3" w:tentative="0">
      <w:start w:val="1"/>
      <w:numFmt w:val="decimal"/>
      <w:isLgl/>
      <w:lvlText w:val="%1.%2.%3.%4"/>
      <w:lvlJc w:val="left"/>
      <w:pPr>
        <w:ind w:left="2104" w:hanging="1080"/>
      </w:pPr>
      <w:rPr>
        <w:rFonts w:hint="default"/>
      </w:rPr>
    </w:lvl>
    <w:lvl w:ilvl="4" w:tentative="0">
      <w:start w:val="1"/>
      <w:numFmt w:val="decimal"/>
      <w:isLgl/>
      <w:lvlText w:val="%1.%2.%3.%4.%5"/>
      <w:lvlJc w:val="left"/>
      <w:pPr>
        <w:ind w:left="2735" w:hanging="1440"/>
      </w:pPr>
      <w:rPr>
        <w:rFonts w:hint="default"/>
      </w:rPr>
    </w:lvl>
    <w:lvl w:ilvl="5" w:tentative="0">
      <w:start w:val="1"/>
      <w:numFmt w:val="decimal"/>
      <w:isLgl/>
      <w:lvlText w:val="%1.%2.%3.%4.%5.%6"/>
      <w:lvlJc w:val="left"/>
      <w:pPr>
        <w:ind w:left="3006" w:hanging="1440"/>
      </w:pPr>
      <w:rPr>
        <w:rFonts w:hint="default"/>
      </w:rPr>
    </w:lvl>
    <w:lvl w:ilvl="6" w:tentative="0">
      <w:start w:val="1"/>
      <w:numFmt w:val="decimal"/>
      <w:isLgl/>
      <w:lvlText w:val="%1.%2.%3.%4.%5.%6.%7"/>
      <w:lvlJc w:val="left"/>
      <w:pPr>
        <w:ind w:left="3637" w:hanging="1800"/>
      </w:pPr>
      <w:rPr>
        <w:rFonts w:hint="default"/>
      </w:rPr>
    </w:lvl>
    <w:lvl w:ilvl="7" w:tentative="0">
      <w:start w:val="1"/>
      <w:numFmt w:val="decimal"/>
      <w:isLgl/>
      <w:lvlText w:val="%1.%2.%3.%4.%5.%6.%7.%8"/>
      <w:lvlJc w:val="left"/>
      <w:pPr>
        <w:ind w:left="4268" w:hanging="2160"/>
      </w:pPr>
      <w:rPr>
        <w:rFonts w:hint="default"/>
      </w:rPr>
    </w:lvl>
    <w:lvl w:ilvl="8" w:tentative="0">
      <w:start w:val="1"/>
      <w:numFmt w:val="decimal"/>
      <w:isLgl/>
      <w:lvlText w:val="%1.%2.%3.%4.%5.%6.%7.%8.%9"/>
      <w:lvlJc w:val="left"/>
      <w:pPr>
        <w:ind w:left="4539"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1NjMzMTMzY2ZiMWZjOTMyZWRiNTQxZDNiNzk2NTkifQ=="/>
  </w:docVars>
  <w:rsids>
    <w:rsidRoot w:val="00595793"/>
    <w:rsid w:val="0001539C"/>
    <w:rsid w:val="00024C23"/>
    <w:rsid w:val="000314BA"/>
    <w:rsid w:val="000810CB"/>
    <w:rsid w:val="00085F74"/>
    <w:rsid w:val="0009188D"/>
    <w:rsid w:val="000919D3"/>
    <w:rsid w:val="00095F02"/>
    <w:rsid w:val="000A4C67"/>
    <w:rsid w:val="000B0354"/>
    <w:rsid w:val="000B79C6"/>
    <w:rsid w:val="000E1131"/>
    <w:rsid w:val="000E541E"/>
    <w:rsid w:val="000F1F80"/>
    <w:rsid w:val="000F48CA"/>
    <w:rsid w:val="001011B5"/>
    <w:rsid w:val="00105515"/>
    <w:rsid w:val="00113968"/>
    <w:rsid w:val="001169EB"/>
    <w:rsid w:val="00123F26"/>
    <w:rsid w:val="00146A31"/>
    <w:rsid w:val="00154E46"/>
    <w:rsid w:val="00156530"/>
    <w:rsid w:val="00161656"/>
    <w:rsid w:val="0016483A"/>
    <w:rsid w:val="0017183F"/>
    <w:rsid w:val="00174238"/>
    <w:rsid w:val="00177624"/>
    <w:rsid w:val="0018203E"/>
    <w:rsid w:val="001A4F67"/>
    <w:rsid w:val="001C3D38"/>
    <w:rsid w:val="001F09BD"/>
    <w:rsid w:val="001F5963"/>
    <w:rsid w:val="001F754F"/>
    <w:rsid w:val="00201611"/>
    <w:rsid w:val="002064E3"/>
    <w:rsid w:val="00207155"/>
    <w:rsid w:val="0021212F"/>
    <w:rsid w:val="00215212"/>
    <w:rsid w:val="00223D55"/>
    <w:rsid w:val="0023559B"/>
    <w:rsid w:val="0024258C"/>
    <w:rsid w:val="00243DF5"/>
    <w:rsid w:val="00252964"/>
    <w:rsid w:val="00252BF2"/>
    <w:rsid w:val="00263F7C"/>
    <w:rsid w:val="00272DA8"/>
    <w:rsid w:val="00291FB5"/>
    <w:rsid w:val="002A5316"/>
    <w:rsid w:val="002B1190"/>
    <w:rsid w:val="002B60F2"/>
    <w:rsid w:val="002C2212"/>
    <w:rsid w:val="002E5123"/>
    <w:rsid w:val="002F1658"/>
    <w:rsid w:val="002F6D79"/>
    <w:rsid w:val="003013B5"/>
    <w:rsid w:val="00312F05"/>
    <w:rsid w:val="00331C0E"/>
    <w:rsid w:val="003419D3"/>
    <w:rsid w:val="00353F45"/>
    <w:rsid w:val="00382D3F"/>
    <w:rsid w:val="00394393"/>
    <w:rsid w:val="003A2956"/>
    <w:rsid w:val="003B3B44"/>
    <w:rsid w:val="003E6F71"/>
    <w:rsid w:val="003F7750"/>
    <w:rsid w:val="00406191"/>
    <w:rsid w:val="00411DCB"/>
    <w:rsid w:val="00425FD3"/>
    <w:rsid w:val="00447823"/>
    <w:rsid w:val="00457641"/>
    <w:rsid w:val="0046399E"/>
    <w:rsid w:val="00487590"/>
    <w:rsid w:val="004A1770"/>
    <w:rsid w:val="004B79D4"/>
    <w:rsid w:val="004D3931"/>
    <w:rsid w:val="004D789F"/>
    <w:rsid w:val="004E0DC7"/>
    <w:rsid w:val="00500DFC"/>
    <w:rsid w:val="00501F55"/>
    <w:rsid w:val="0052249A"/>
    <w:rsid w:val="00526A31"/>
    <w:rsid w:val="0052714A"/>
    <w:rsid w:val="0053471D"/>
    <w:rsid w:val="00537967"/>
    <w:rsid w:val="0054232A"/>
    <w:rsid w:val="00542B07"/>
    <w:rsid w:val="0056318D"/>
    <w:rsid w:val="00595793"/>
    <w:rsid w:val="005A53FB"/>
    <w:rsid w:val="005A67C8"/>
    <w:rsid w:val="005C3781"/>
    <w:rsid w:val="005C3C6A"/>
    <w:rsid w:val="005D1399"/>
    <w:rsid w:val="005D69A2"/>
    <w:rsid w:val="005D6FA4"/>
    <w:rsid w:val="00637A90"/>
    <w:rsid w:val="00644714"/>
    <w:rsid w:val="006653EE"/>
    <w:rsid w:val="00676F39"/>
    <w:rsid w:val="00686180"/>
    <w:rsid w:val="006A3B39"/>
    <w:rsid w:val="006A7AEB"/>
    <w:rsid w:val="006B7A02"/>
    <w:rsid w:val="006E28D0"/>
    <w:rsid w:val="006F4C8E"/>
    <w:rsid w:val="006F67D2"/>
    <w:rsid w:val="00700291"/>
    <w:rsid w:val="00703E52"/>
    <w:rsid w:val="007118C1"/>
    <w:rsid w:val="007157F9"/>
    <w:rsid w:val="00737A22"/>
    <w:rsid w:val="007406CE"/>
    <w:rsid w:val="0074597D"/>
    <w:rsid w:val="00754F63"/>
    <w:rsid w:val="007576D5"/>
    <w:rsid w:val="00761180"/>
    <w:rsid w:val="007677C5"/>
    <w:rsid w:val="007840B3"/>
    <w:rsid w:val="007900C8"/>
    <w:rsid w:val="007A0280"/>
    <w:rsid w:val="007B782D"/>
    <w:rsid w:val="007E78E1"/>
    <w:rsid w:val="007E7D0D"/>
    <w:rsid w:val="007F2F27"/>
    <w:rsid w:val="00805DB8"/>
    <w:rsid w:val="0081610A"/>
    <w:rsid w:val="008270C6"/>
    <w:rsid w:val="0083107C"/>
    <w:rsid w:val="00835034"/>
    <w:rsid w:val="008C5D15"/>
    <w:rsid w:val="008F228F"/>
    <w:rsid w:val="008F3917"/>
    <w:rsid w:val="00911A0D"/>
    <w:rsid w:val="009413F1"/>
    <w:rsid w:val="00947A53"/>
    <w:rsid w:val="00977CC2"/>
    <w:rsid w:val="00982D21"/>
    <w:rsid w:val="00985E06"/>
    <w:rsid w:val="00990133"/>
    <w:rsid w:val="009A5DED"/>
    <w:rsid w:val="009B2B4F"/>
    <w:rsid w:val="009D6F67"/>
    <w:rsid w:val="009D721B"/>
    <w:rsid w:val="009E7286"/>
    <w:rsid w:val="00A07716"/>
    <w:rsid w:val="00A13876"/>
    <w:rsid w:val="00A13E4B"/>
    <w:rsid w:val="00A45522"/>
    <w:rsid w:val="00A7487A"/>
    <w:rsid w:val="00A75475"/>
    <w:rsid w:val="00A837A2"/>
    <w:rsid w:val="00AA1888"/>
    <w:rsid w:val="00AA3520"/>
    <w:rsid w:val="00AB516F"/>
    <w:rsid w:val="00AC1623"/>
    <w:rsid w:val="00AC25BD"/>
    <w:rsid w:val="00AC3120"/>
    <w:rsid w:val="00AD4F36"/>
    <w:rsid w:val="00AF107A"/>
    <w:rsid w:val="00AF1FCA"/>
    <w:rsid w:val="00B0089F"/>
    <w:rsid w:val="00B06938"/>
    <w:rsid w:val="00B14C6F"/>
    <w:rsid w:val="00B259BA"/>
    <w:rsid w:val="00B31B1B"/>
    <w:rsid w:val="00B3477D"/>
    <w:rsid w:val="00B34AEF"/>
    <w:rsid w:val="00B46611"/>
    <w:rsid w:val="00B57961"/>
    <w:rsid w:val="00BB4ACE"/>
    <w:rsid w:val="00BC53E7"/>
    <w:rsid w:val="00BD14A6"/>
    <w:rsid w:val="00BE32AE"/>
    <w:rsid w:val="00BE38CC"/>
    <w:rsid w:val="00BF37BA"/>
    <w:rsid w:val="00BF46F6"/>
    <w:rsid w:val="00BF753C"/>
    <w:rsid w:val="00BF7F4B"/>
    <w:rsid w:val="00C0229D"/>
    <w:rsid w:val="00C13BBB"/>
    <w:rsid w:val="00C366D5"/>
    <w:rsid w:val="00C43340"/>
    <w:rsid w:val="00C45464"/>
    <w:rsid w:val="00C457AD"/>
    <w:rsid w:val="00C549D3"/>
    <w:rsid w:val="00C6586C"/>
    <w:rsid w:val="00C71AFE"/>
    <w:rsid w:val="00C928F6"/>
    <w:rsid w:val="00C934F6"/>
    <w:rsid w:val="00CC39F3"/>
    <w:rsid w:val="00CD3174"/>
    <w:rsid w:val="00CF5265"/>
    <w:rsid w:val="00D028BD"/>
    <w:rsid w:val="00D0350B"/>
    <w:rsid w:val="00D11E86"/>
    <w:rsid w:val="00D1627B"/>
    <w:rsid w:val="00D4094B"/>
    <w:rsid w:val="00D51C07"/>
    <w:rsid w:val="00D55228"/>
    <w:rsid w:val="00D82D61"/>
    <w:rsid w:val="00D86CDE"/>
    <w:rsid w:val="00D90D05"/>
    <w:rsid w:val="00D9300F"/>
    <w:rsid w:val="00DA09D6"/>
    <w:rsid w:val="00DB4CC3"/>
    <w:rsid w:val="00DB6301"/>
    <w:rsid w:val="00DC0642"/>
    <w:rsid w:val="00DD027C"/>
    <w:rsid w:val="00DF31B2"/>
    <w:rsid w:val="00E17F7C"/>
    <w:rsid w:val="00E20472"/>
    <w:rsid w:val="00E2068B"/>
    <w:rsid w:val="00E44072"/>
    <w:rsid w:val="00E47845"/>
    <w:rsid w:val="00E510D2"/>
    <w:rsid w:val="00E62EFD"/>
    <w:rsid w:val="00E659BA"/>
    <w:rsid w:val="00E67C4B"/>
    <w:rsid w:val="00E9562B"/>
    <w:rsid w:val="00EA3404"/>
    <w:rsid w:val="00EA436A"/>
    <w:rsid w:val="00EB4521"/>
    <w:rsid w:val="00EB5C6A"/>
    <w:rsid w:val="00EB78FD"/>
    <w:rsid w:val="00ED3508"/>
    <w:rsid w:val="00F13C4E"/>
    <w:rsid w:val="00F24FCC"/>
    <w:rsid w:val="00F3536D"/>
    <w:rsid w:val="00F42972"/>
    <w:rsid w:val="00F55FE6"/>
    <w:rsid w:val="00F56574"/>
    <w:rsid w:val="00F57A52"/>
    <w:rsid w:val="00F72B09"/>
    <w:rsid w:val="00F8644D"/>
    <w:rsid w:val="00F94570"/>
    <w:rsid w:val="00F95714"/>
    <w:rsid w:val="00FB0047"/>
    <w:rsid w:val="00FB711D"/>
    <w:rsid w:val="00FC366E"/>
    <w:rsid w:val="00FD2CEE"/>
    <w:rsid w:val="00FD31E5"/>
    <w:rsid w:val="00FD35BF"/>
    <w:rsid w:val="00FD5C1B"/>
    <w:rsid w:val="2D6F57F1"/>
    <w:rsid w:val="532965C1"/>
    <w:rsid w:val="70E16150"/>
    <w:rsid w:val="7AF9346F"/>
    <w:rsid w:val="7DF43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qFormat="1" w:unhideWhenUsed="0" w:uiPriority="39" w:semiHidden="0" w:name="toc 8"/>
    <w:lsdException w:qFormat="1" w:uiPriority="39" w:semiHidden="0" w:name="toc 9"/>
    <w:lsdException w:uiPriority="99" w:name="Normal Indent"/>
    <w:lsdException w:uiPriority="99" w:name="footnote text"/>
    <w:lsdException w:qFormat="1" w:uiPriority="0" w:name="annotation text"/>
    <w:lsdException w:qFormat="1" w:uiPriority="0" w:semiHidden="0" w:name="header"/>
    <w:lsdException w:qFormat="1"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qFormat="1" w:unhideWhenUsed="0" w:uiPriority="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Theme="minorEastAsia" w:cstheme="minorBidi"/>
      <w:kern w:val="2"/>
      <w:sz w:val="21"/>
      <w:szCs w:val="22"/>
      <w:lang w:val="en-US" w:eastAsia="zh-CN" w:bidi="ar-SA"/>
    </w:rPr>
  </w:style>
  <w:style w:type="paragraph" w:styleId="2">
    <w:name w:val="heading 1"/>
    <w:basedOn w:val="1"/>
    <w:next w:val="1"/>
    <w:link w:val="42"/>
    <w:qFormat/>
    <w:uiPriority w:val="9"/>
    <w:pPr>
      <w:keepNext/>
      <w:keepLines/>
      <w:spacing w:before="340"/>
      <w:jc w:val="center"/>
      <w:outlineLvl w:val="0"/>
    </w:pPr>
    <w:rPr>
      <w:rFonts w:cs="Times New Roman" w:eastAsiaTheme="majorEastAsia"/>
      <w:b/>
      <w:bCs/>
      <w:kern w:val="44"/>
      <w:sz w:val="32"/>
      <w:szCs w:val="44"/>
      <w:lang w:val="zh-CN"/>
    </w:rPr>
  </w:style>
  <w:style w:type="paragraph" w:styleId="3">
    <w:name w:val="heading 2"/>
    <w:basedOn w:val="1"/>
    <w:next w:val="1"/>
    <w:link w:val="39"/>
    <w:unhideWhenUsed/>
    <w:qFormat/>
    <w:uiPriority w:val="9"/>
    <w:pPr>
      <w:keepNext/>
      <w:keepLines/>
      <w:spacing w:before="50" w:beforeLines="50" w:after="50" w:afterLines="50"/>
      <w:jc w:val="center"/>
      <w:outlineLvl w:val="1"/>
    </w:pPr>
    <w:rPr>
      <w:rFonts w:cs="宋体" w:eastAsiaTheme="majorEastAsia"/>
      <w:b/>
      <w:bCs/>
      <w:sz w:val="24"/>
      <w:szCs w:val="32"/>
    </w:rPr>
  </w:style>
  <w:style w:type="paragraph" w:styleId="4">
    <w:name w:val="heading 3"/>
    <w:basedOn w:val="1"/>
    <w:next w:val="1"/>
    <w:link w:val="84"/>
    <w:unhideWhenUsed/>
    <w:qFormat/>
    <w:uiPriority w:val="0"/>
    <w:pPr>
      <w:keepNext/>
      <w:keepLines/>
      <w:spacing w:before="260" w:after="260" w:line="416" w:lineRule="auto"/>
      <w:outlineLvl w:val="2"/>
    </w:pPr>
    <w:rPr>
      <w:rFonts w:eastAsia="等线" w:cs="Times New Roman"/>
      <w:b/>
      <w:bCs/>
      <w:sz w:val="32"/>
      <w:szCs w:val="32"/>
      <w:lang w:val="zh-CN"/>
    </w:rPr>
  </w:style>
  <w:style w:type="paragraph" w:styleId="5">
    <w:name w:val="heading 4"/>
    <w:basedOn w:val="1"/>
    <w:next w:val="1"/>
    <w:link w:val="37"/>
    <w:unhideWhenUsed/>
    <w:qFormat/>
    <w:uiPriority w:val="0"/>
    <w:pPr>
      <w:keepNext/>
      <w:keepLines/>
      <w:spacing w:before="280" w:after="290" w:line="374" w:lineRule="auto"/>
      <w:outlineLvl w:val="3"/>
    </w:pPr>
    <w:rPr>
      <w:rFonts w:ascii="等线 Light" w:hAnsi="等线 Light" w:eastAsia="等线 Light" w:cs="宋体"/>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uiPriority w:val="39"/>
    <w:pPr>
      <w:ind w:left="1260"/>
      <w:jc w:val="left"/>
    </w:pPr>
    <w:rPr>
      <w:rFonts w:asciiTheme="minorHAnsi" w:hAnsiTheme="minorHAnsi" w:cstheme="minorHAnsi"/>
      <w:sz w:val="18"/>
      <w:szCs w:val="18"/>
    </w:rPr>
  </w:style>
  <w:style w:type="paragraph" w:styleId="7">
    <w:name w:val="caption"/>
    <w:basedOn w:val="1"/>
    <w:next w:val="1"/>
    <w:qFormat/>
    <w:uiPriority w:val="35"/>
    <w:pPr>
      <w:spacing w:line="400" w:lineRule="exact"/>
    </w:pPr>
    <w:rPr>
      <w:rFonts w:ascii="Cambria" w:hAnsi="Cambria" w:eastAsia="黑体" w:cs="Times New Roman"/>
      <w:sz w:val="20"/>
      <w:szCs w:val="20"/>
    </w:rPr>
  </w:style>
  <w:style w:type="paragraph" w:styleId="8">
    <w:name w:val="annotation text"/>
    <w:basedOn w:val="1"/>
    <w:link w:val="61"/>
    <w:semiHidden/>
    <w:unhideWhenUsed/>
    <w:qFormat/>
    <w:uiPriority w:val="0"/>
    <w:pPr>
      <w:jc w:val="left"/>
    </w:pPr>
  </w:style>
  <w:style w:type="paragraph" w:styleId="9">
    <w:name w:val="Body Text"/>
    <w:basedOn w:val="1"/>
    <w:link w:val="38"/>
    <w:semiHidden/>
    <w:unhideWhenUsed/>
    <w:qFormat/>
    <w:uiPriority w:val="0"/>
    <w:pPr>
      <w:spacing w:after="120"/>
    </w:pPr>
    <w:rPr>
      <w:rFonts w:ascii="等线" w:hAnsi="等线" w:eastAsia="等线" w:cs="Times New Roman"/>
      <w:szCs w:val="24"/>
    </w:rPr>
  </w:style>
  <w:style w:type="paragraph" w:styleId="10">
    <w:name w:val="toc 5"/>
    <w:basedOn w:val="1"/>
    <w:next w:val="1"/>
    <w:unhideWhenUsed/>
    <w:qFormat/>
    <w:uiPriority w:val="39"/>
    <w:pPr>
      <w:ind w:left="840"/>
      <w:jc w:val="left"/>
    </w:pPr>
    <w:rPr>
      <w:rFonts w:asciiTheme="minorHAnsi" w:hAnsiTheme="minorHAnsi" w:cstheme="minorHAnsi"/>
      <w:sz w:val="18"/>
      <w:szCs w:val="18"/>
    </w:rPr>
  </w:style>
  <w:style w:type="paragraph" w:styleId="11">
    <w:name w:val="toc 3"/>
    <w:basedOn w:val="1"/>
    <w:next w:val="1"/>
    <w:unhideWhenUsed/>
    <w:qFormat/>
    <w:uiPriority w:val="39"/>
    <w:pPr>
      <w:ind w:left="420"/>
      <w:jc w:val="left"/>
    </w:pPr>
    <w:rPr>
      <w:rFonts w:asciiTheme="minorHAnsi" w:hAnsiTheme="minorHAnsi" w:cstheme="minorHAnsi"/>
      <w:i/>
      <w:iCs/>
      <w:sz w:val="20"/>
      <w:szCs w:val="20"/>
    </w:rPr>
  </w:style>
  <w:style w:type="paragraph" w:styleId="12">
    <w:name w:val="toc 8"/>
    <w:basedOn w:val="1"/>
    <w:next w:val="1"/>
    <w:qFormat/>
    <w:uiPriority w:val="39"/>
    <w:pPr>
      <w:ind w:left="1470"/>
      <w:jc w:val="left"/>
    </w:pPr>
    <w:rPr>
      <w:rFonts w:asciiTheme="minorHAnsi" w:hAnsiTheme="minorHAnsi" w:cstheme="minorHAnsi"/>
      <w:sz w:val="18"/>
      <w:szCs w:val="18"/>
    </w:rPr>
  </w:style>
  <w:style w:type="paragraph" w:styleId="13">
    <w:name w:val="Date"/>
    <w:basedOn w:val="1"/>
    <w:next w:val="1"/>
    <w:link w:val="83"/>
    <w:semiHidden/>
    <w:qFormat/>
    <w:uiPriority w:val="0"/>
    <w:pPr>
      <w:spacing w:line="400" w:lineRule="exact"/>
      <w:ind w:left="100" w:leftChars="2500"/>
    </w:pPr>
    <w:rPr>
      <w:rFonts w:eastAsia="等线" w:cs="Times New Roman"/>
      <w:szCs w:val="24"/>
      <w:lang w:val="zh-CN"/>
    </w:rPr>
  </w:style>
  <w:style w:type="paragraph" w:styleId="14">
    <w:name w:val="Balloon Text"/>
    <w:basedOn w:val="1"/>
    <w:link w:val="47"/>
    <w:qFormat/>
    <w:uiPriority w:val="0"/>
    <w:pPr>
      <w:spacing w:line="400" w:lineRule="exact"/>
    </w:pPr>
    <w:rPr>
      <w:sz w:val="18"/>
      <w:szCs w:val="18"/>
    </w:rPr>
  </w:style>
  <w:style w:type="paragraph" w:styleId="15">
    <w:name w:val="footer"/>
    <w:basedOn w:val="1"/>
    <w:link w:val="41"/>
    <w:unhideWhenUsed/>
    <w:qFormat/>
    <w:uiPriority w:val="0"/>
    <w:pPr>
      <w:tabs>
        <w:tab w:val="center" w:pos="4153"/>
        <w:tab w:val="right" w:pos="8306"/>
      </w:tabs>
      <w:snapToGrid w:val="0"/>
      <w:jc w:val="left"/>
    </w:pPr>
    <w:rPr>
      <w:sz w:val="18"/>
      <w:szCs w:val="18"/>
    </w:rPr>
  </w:style>
  <w:style w:type="paragraph" w:styleId="16">
    <w:name w:val="header"/>
    <w:basedOn w:val="1"/>
    <w:link w:val="40"/>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before="120" w:after="120"/>
      <w:jc w:val="left"/>
    </w:pPr>
    <w:rPr>
      <w:rFonts w:asciiTheme="minorHAnsi" w:hAnsiTheme="minorHAnsi" w:cstheme="minorHAnsi"/>
      <w:b/>
      <w:bCs/>
      <w:caps/>
      <w:sz w:val="20"/>
      <w:szCs w:val="20"/>
    </w:rPr>
  </w:style>
  <w:style w:type="paragraph" w:styleId="18">
    <w:name w:val="toc 4"/>
    <w:basedOn w:val="1"/>
    <w:next w:val="1"/>
    <w:unhideWhenUsed/>
    <w:qFormat/>
    <w:uiPriority w:val="39"/>
    <w:pPr>
      <w:ind w:left="630"/>
      <w:jc w:val="left"/>
    </w:pPr>
    <w:rPr>
      <w:rFonts w:asciiTheme="minorHAnsi" w:hAnsiTheme="minorHAnsi" w:cstheme="minorHAnsi"/>
      <w:sz w:val="18"/>
      <w:szCs w:val="18"/>
    </w:rPr>
  </w:style>
  <w:style w:type="paragraph" w:styleId="19">
    <w:name w:val="Subtitle"/>
    <w:basedOn w:val="1"/>
    <w:next w:val="1"/>
    <w:link w:val="87"/>
    <w:qFormat/>
    <w:uiPriority w:val="11"/>
    <w:pPr>
      <w:spacing w:before="240" w:after="60" w:line="312" w:lineRule="atLeast"/>
      <w:jc w:val="center"/>
      <w:outlineLvl w:val="1"/>
    </w:pPr>
    <w:rPr>
      <w:rFonts w:ascii="等线 Light" w:hAnsi="等线 Light" w:eastAsia="宋体" w:cs="Times New Roman"/>
      <w:b/>
      <w:bCs/>
      <w:kern w:val="28"/>
      <w:sz w:val="32"/>
      <w:szCs w:val="32"/>
    </w:rPr>
  </w:style>
  <w:style w:type="paragraph" w:styleId="20">
    <w:name w:val="toc 6"/>
    <w:basedOn w:val="1"/>
    <w:next w:val="1"/>
    <w:unhideWhenUsed/>
    <w:qFormat/>
    <w:uiPriority w:val="39"/>
    <w:pPr>
      <w:ind w:left="1050"/>
      <w:jc w:val="left"/>
    </w:pPr>
    <w:rPr>
      <w:rFonts w:asciiTheme="minorHAnsi" w:hAnsiTheme="minorHAnsi" w:cstheme="minorHAnsi"/>
      <w:sz w:val="18"/>
      <w:szCs w:val="18"/>
    </w:rPr>
  </w:style>
  <w:style w:type="paragraph" w:styleId="21">
    <w:name w:val="toc 2"/>
    <w:basedOn w:val="1"/>
    <w:next w:val="1"/>
    <w:unhideWhenUsed/>
    <w:qFormat/>
    <w:uiPriority w:val="39"/>
    <w:pPr>
      <w:ind w:left="210"/>
      <w:jc w:val="left"/>
    </w:pPr>
    <w:rPr>
      <w:rFonts w:asciiTheme="minorHAnsi" w:hAnsiTheme="minorHAnsi" w:cstheme="minorHAnsi"/>
      <w:smallCaps/>
      <w:sz w:val="20"/>
      <w:szCs w:val="20"/>
    </w:rPr>
  </w:style>
  <w:style w:type="paragraph" w:styleId="22">
    <w:name w:val="toc 9"/>
    <w:basedOn w:val="1"/>
    <w:next w:val="1"/>
    <w:unhideWhenUsed/>
    <w:qFormat/>
    <w:uiPriority w:val="39"/>
    <w:pPr>
      <w:ind w:left="1680"/>
      <w:jc w:val="left"/>
    </w:pPr>
    <w:rPr>
      <w:rFonts w:asciiTheme="minorHAnsi" w:hAnsiTheme="minorHAnsi" w:cstheme="minorHAnsi"/>
      <w:sz w:val="18"/>
      <w:szCs w:val="18"/>
    </w:rPr>
  </w:style>
  <w:style w:type="paragraph" w:styleId="23">
    <w:name w:val="Body Text 2"/>
    <w:basedOn w:val="1"/>
    <w:link w:val="82"/>
    <w:semiHidden/>
    <w:qFormat/>
    <w:uiPriority w:val="0"/>
    <w:pPr>
      <w:spacing w:after="120" w:line="480" w:lineRule="auto"/>
    </w:pPr>
    <w:rPr>
      <w:rFonts w:eastAsia="等线" w:cs="Times New Roman"/>
      <w:szCs w:val="24"/>
      <w:lang w:val="zh-CN"/>
    </w:rPr>
  </w:style>
  <w:style w:type="paragraph" w:styleId="24">
    <w:name w:val="Normal (Web)"/>
    <w:basedOn w:val="1"/>
    <w:qFormat/>
    <w:uiPriority w:val="0"/>
    <w:pPr>
      <w:widowControl/>
      <w:spacing w:before="100" w:beforeAutospacing="1" w:after="100" w:afterAutospacing="1" w:line="330" w:lineRule="atLeast"/>
      <w:jc w:val="left"/>
    </w:pPr>
    <w:rPr>
      <w:rFonts w:ascii="宋体" w:hAnsi="宋体" w:eastAsia="宋体" w:cs="宋体"/>
      <w:kern w:val="0"/>
      <w:sz w:val="22"/>
    </w:rPr>
  </w:style>
  <w:style w:type="paragraph" w:styleId="25">
    <w:name w:val="Title"/>
    <w:basedOn w:val="1"/>
    <w:next w:val="1"/>
    <w:link w:val="77"/>
    <w:qFormat/>
    <w:uiPriority w:val="10"/>
    <w:pPr>
      <w:adjustRightInd w:val="0"/>
      <w:snapToGrid w:val="0"/>
      <w:spacing w:line="400" w:lineRule="exact"/>
      <w:jc w:val="center"/>
    </w:pPr>
    <w:rPr>
      <w:rFonts w:eastAsia="等线" w:cs="Times New Roman"/>
      <w:bCs/>
      <w:sz w:val="18"/>
      <w:szCs w:val="32"/>
      <w:lang w:val="zh-CN"/>
    </w:rPr>
  </w:style>
  <w:style w:type="paragraph" w:styleId="26">
    <w:name w:val="annotation subject"/>
    <w:basedOn w:val="8"/>
    <w:next w:val="8"/>
    <w:link w:val="58"/>
    <w:unhideWhenUsed/>
    <w:uiPriority w:val="0"/>
    <w:pPr>
      <w:spacing w:line="400" w:lineRule="exact"/>
    </w:pPr>
    <w:rPr>
      <w:b/>
      <w:bCs/>
      <w:szCs w:val="24"/>
    </w:rPr>
  </w:style>
  <w:style w:type="table" w:styleId="28">
    <w:name w:val="Table Grid"/>
    <w:basedOn w:val="27"/>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0"/>
    <w:rPr>
      <w:b/>
      <w:bCs/>
    </w:rPr>
  </w:style>
  <w:style w:type="character" w:styleId="31">
    <w:name w:val="FollowedHyperlink"/>
    <w:semiHidden/>
    <w:unhideWhenUsed/>
    <w:qFormat/>
    <w:uiPriority w:val="99"/>
    <w:rPr>
      <w:color w:val="954F72"/>
      <w:u w:val="single"/>
    </w:rPr>
  </w:style>
  <w:style w:type="character" w:styleId="32">
    <w:name w:val="Emphasis"/>
    <w:qFormat/>
    <w:uiPriority w:val="0"/>
    <w:rPr>
      <w:i/>
      <w:iCs/>
    </w:rPr>
  </w:style>
  <w:style w:type="character" w:styleId="33">
    <w:name w:val="Hyperlink"/>
    <w:qFormat/>
    <w:uiPriority w:val="99"/>
    <w:rPr>
      <w:color w:val="0000FF"/>
      <w:u w:val="single"/>
    </w:rPr>
  </w:style>
  <w:style w:type="character" w:styleId="34">
    <w:name w:val="annotation reference"/>
    <w:semiHidden/>
    <w:qFormat/>
    <w:uiPriority w:val="0"/>
    <w:rPr>
      <w:sz w:val="21"/>
      <w:szCs w:val="21"/>
    </w:rPr>
  </w:style>
  <w:style w:type="paragraph" w:styleId="35">
    <w:name w:val="List Paragraph"/>
    <w:basedOn w:val="1"/>
    <w:qFormat/>
    <w:uiPriority w:val="34"/>
    <w:pPr>
      <w:ind w:firstLine="420" w:firstLineChars="200"/>
    </w:pPr>
  </w:style>
  <w:style w:type="character" w:customStyle="1" w:styleId="36">
    <w:name w:val="标题 2 Char"/>
    <w:basedOn w:val="29"/>
    <w:qFormat/>
    <w:uiPriority w:val="9"/>
    <w:rPr>
      <w:rFonts w:asciiTheme="majorHAnsi" w:hAnsiTheme="majorHAnsi" w:eastAsiaTheme="majorEastAsia" w:cstheme="majorBidi"/>
      <w:b/>
      <w:bCs/>
      <w:sz w:val="32"/>
      <w:szCs w:val="32"/>
    </w:rPr>
  </w:style>
  <w:style w:type="character" w:customStyle="1" w:styleId="37">
    <w:name w:val="标题 4 Char"/>
    <w:basedOn w:val="29"/>
    <w:link w:val="5"/>
    <w:semiHidden/>
    <w:uiPriority w:val="0"/>
    <w:rPr>
      <w:rFonts w:ascii="等线 Light" w:hAnsi="等线 Light" w:eastAsia="等线 Light" w:cs="宋体"/>
      <w:b/>
      <w:bCs/>
      <w:sz w:val="28"/>
      <w:szCs w:val="28"/>
    </w:rPr>
  </w:style>
  <w:style w:type="character" w:customStyle="1" w:styleId="38">
    <w:name w:val="正文文本 Char"/>
    <w:basedOn w:val="29"/>
    <w:link w:val="9"/>
    <w:semiHidden/>
    <w:qFormat/>
    <w:uiPriority w:val="0"/>
    <w:rPr>
      <w:rFonts w:ascii="等线" w:hAnsi="等线" w:eastAsia="等线" w:cs="Times New Roman"/>
      <w:szCs w:val="24"/>
    </w:rPr>
  </w:style>
  <w:style w:type="character" w:customStyle="1" w:styleId="39">
    <w:name w:val="标题 2 Char1"/>
    <w:link w:val="3"/>
    <w:qFormat/>
    <w:locked/>
    <w:uiPriority w:val="9"/>
    <w:rPr>
      <w:rFonts w:ascii="Times New Roman" w:hAnsi="Times New Roman" w:cs="宋体" w:eastAsiaTheme="majorEastAsia"/>
      <w:b/>
      <w:bCs/>
      <w:kern w:val="2"/>
      <w:sz w:val="24"/>
      <w:szCs w:val="32"/>
    </w:rPr>
  </w:style>
  <w:style w:type="character" w:customStyle="1" w:styleId="40">
    <w:name w:val="页眉 Char"/>
    <w:basedOn w:val="29"/>
    <w:link w:val="16"/>
    <w:qFormat/>
    <w:uiPriority w:val="99"/>
    <w:rPr>
      <w:sz w:val="18"/>
      <w:szCs w:val="18"/>
    </w:rPr>
  </w:style>
  <w:style w:type="character" w:customStyle="1" w:styleId="41">
    <w:name w:val="页脚 Char"/>
    <w:basedOn w:val="29"/>
    <w:link w:val="15"/>
    <w:qFormat/>
    <w:uiPriority w:val="99"/>
    <w:rPr>
      <w:sz w:val="18"/>
      <w:szCs w:val="18"/>
    </w:rPr>
  </w:style>
  <w:style w:type="character" w:customStyle="1" w:styleId="42">
    <w:name w:val="标题 1 Char"/>
    <w:basedOn w:val="29"/>
    <w:link w:val="2"/>
    <w:qFormat/>
    <w:uiPriority w:val="9"/>
    <w:rPr>
      <w:rFonts w:ascii="Times New Roman" w:hAnsi="Times New Roman" w:cs="Times New Roman" w:eastAsiaTheme="majorEastAsia"/>
      <w:b/>
      <w:bCs/>
      <w:kern w:val="44"/>
      <w:sz w:val="32"/>
      <w:szCs w:val="44"/>
      <w:lang w:val="zh-CN"/>
    </w:rPr>
  </w:style>
  <w:style w:type="character" w:customStyle="1" w:styleId="43">
    <w:name w:val="标题 3 Char"/>
    <w:basedOn w:val="29"/>
    <w:semiHidden/>
    <w:qFormat/>
    <w:uiPriority w:val="9"/>
    <w:rPr>
      <w:b/>
      <w:bCs/>
      <w:sz w:val="32"/>
      <w:szCs w:val="32"/>
    </w:rPr>
  </w:style>
  <w:style w:type="character" w:customStyle="1" w:styleId="44">
    <w:name w:val="式中 Char"/>
    <w:link w:val="45"/>
    <w:qFormat/>
    <w:uiPriority w:val="0"/>
  </w:style>
  <w:style w:type="paragraph" w:customStyle="1" w:styleId="45">
    <w:name w:val="式中"/>
    <w:basedOn w:val="1"/>
    <w:link w:val="44"/>
    <w:qFormat/>
    <w:uiPriority w:val="0"/>
    <w:pPr>
      <w:tabs>
        <w:tab w:val="right" w:pos="1260"/>
        <w:tab w:val="left" w:pos="1365"/>
      </w:tabs>
      <w:spacing w:line="320" w:lineRule="exact"/>
      <w:ind w:left="900" w:hanging="900" w:hangingChars="900"/>
    </w:pPr>
  </w:style>
  <w:style w:type="character" w:customStyle="1" w:styleId="46">
    <w:name w:val="批注文字 字符"/>
    <w:semiHidden/>
    <w:qFormat/>
    <w:uiPriority w:val="0"/>
    <w:rPr>
      <w:kern w:val="2"/>
      <w:sz w:val="21"/>
      <w:szCs w:val="24"/>
    </w:rPr>
  </w:style>
  <w:style w:type="character" w:customStyle="1" w:styleId="47">
    <w:name w:val="批注框文本 Char1"/>
    <w:link w:val="14"/>
    <w:qFormat/>
    <w:uiPriority w:val="0"/>
    <w:rPr>
      <w:sz w:val="18"/>
      <w:szCs w:val="18"/>
    </w:rPr>
  </w:style>
  <w:style w:type="character" w:customStyle="1" w:styleId="48">
    <w:name w:val="Equation + Times New Roman Char"/>
    <w:link w:val="49"/>
    <w:semiHidden/>
    <w:qFormat/>
    <w:uiPriority w:val="0"/>
    <w:rPr>
      <w:bCs/>
    </w:rPr>
  </w:style>
  <w:style w:type="paragraph" w:customStyle="1" w:styleId="49">
    <w:name w:val="Equation + Times New Roman"/>
    <w:basedOn w:val="50"/>
    <w:link w:val="48"/>
    <w:semiHidden/>
    <w:qFormat/>
    <w:uiPriority w:val="0"/>
    <w:rPr>
      <w:rFonts w:asciiTheme="minorHAnsi" w:hAnsiTheme="minorHAnsi" w:eastAsiaTheme="minorEastAsia" w:cstheme="minorBidi"/>
      <w:bCs/>
      <w:szCs w:val="22"/>
    </w:rPr>
  </w:style>
  <w:style w:type="paragraph" w:customStyle="1" w:styleId="50">
    <w:name w:val="equation"/>
    <w:basedOn w:val="1"/>
    <w:semiHidden/>
    <w:qFormat/>
    <w:uiPriority w:val="0"/>
    <w:pPr>
      <w:spacing w:line="400" w:lineRule="exact"/>
      <w:jc w:val="center"/>
    </w:pPr>
    <w:rPr>
      <w:rFonts w:eastAsia="宋体" w:cs="Times New Roman"/>
      <w:szCs w:val="24"/>
    </w:rPr>
  </w:style>
  <w:style w:type="character" w:customStyle="1" w:styleId="51">
    <w:name w:val="页脚 字符"/>
    <w:qFormat/>
    <w:uiPriority w:val="0"/>
    <w:rPr>
      <w:kern w:val="2"/>
      <w:sz w:val="18"/>
      <w:szCs w:val="18"/>
    </w:rPr>
  </w:style>
  <w:style w:type="character" w:customStyle="1" w:styleId="52">
    <w:name w:val="一般文 Char"/>
    <w:link w:val="53"/>
    <w:qFormat/>
    <w:uiPriority w:val="0"/>
    <w:rPr>
      <w:bCs/>
      <w:kern w:val="0"/>
      <w:szCs w:val="21"/>
    </w:rPr>
  </w:style>
  <w:style w:type="paragraph" w:customStyle="1" w:styleId="53">
    <w:name w:val="一般文"/>
    <w:basedOn w:val="1"/>
    <w:link w:val="52"/>
    <w:qFormat/>
    <w:uiPriority w:val="0"/>
    <w:pPr>
      <w:spacing w:line="320" w:lineRule="exact"/>
    </w:pPr>
    <w:rPr>
      <w:bCs/>
      <w:kern w:val="0"/>
      <w:szCs w:val="21"/>
    </w:rPr>
  </w:style>
  <w:style w:type="character" w:customStyle="1" w:styleId="54">
    <w:name w:val="样式 样式 首行缩进:  0.74 厘米 段前: 7.8 磅 段后: 7.8 磅 行距: 多倍行距 1.2 字行 + 加宽量  ... Char"/>
    <w:link w:val="55"/>
    <w:semiHidden/>
    <w:qFormat/>
    <w:uiPriority w:val="0"/>
    <w:rPr>
      <w:rFonts w:cs="宋体"/>
      <w:spacing w:val="20"/>
      <w:kern w:val="21"/>
      <w:szCs w:val="21"/>
    </w:rPr>
  </w:style>
  <w:style w:type="paragraph" w:customStyle="1" w:styleId="55">
    <w:name w:val="样式 样式 首行缩进:  0.74 厘米 段前: 7.8 磅 段后: 7.8 磅 行距: 多倍行距 1.2 字行 + 加宽量  ..."/>
    <w:basedOn w:val="1"/>
    <w:link w:val="54"/>
    <w:semiHidden/>
    <w:qFormat/>
    <w:uiPriority w:val="0"/>
    <w:pPr>
      <w:snapToGrid w:val="0"/>
      <w:spacing w:before="156" w:after="156" w:line="288" w:lineRule="auto"/>
      <w:ind w:firstLine="420"/>
    </w:pPr>
    <w:rPr>
      <w:rFonts w:cs="宋体"/>
      <w:spacing w:val="20"/>
      <w:kern w:val="21"/>
      <w:szCs w:val="21"/>
    </w:rPr>
  </w:style>
  <w:style w:type="character" w:customStyle="1" w:styleId="56">
    <w:name w:val="页眉 字符"/>
    <w:qFormat/>
    <w:uiPriority w:val="0"/>
    <w:rPr>
      <w:kern w:val="2"/>
      <w:sz w:val="18"/>
      <w:szCs w:val="18"/>
    </w:rPr>
  </w:style>
  <w:style w:type="character" w:styleId="57">
    <w:name w:val="Placeholder Text"/>
    <w:unhideWhenUsed/>
    <w:qFormat/>
    <w:uiPriority w:val="99"/>
    <w:rPr>
      <w:color w:val="808080"/>
    </w:rPr>
  </w:style>
  <w:style w:type="character" w:customStyle="1" w:styleId="58">
    <w:name w:val="批注主题 Char1"/>
    <w:link w:val="26"/>
    <w:qFormat/>
    <w:uiPriority w:val="0"/>
    <w:rPr>
      <w:b/>
      <w:bCs/>
      <w:szCs w:val="24"/>
    </w:rPr>
  </w:style>
  <w:style w:type="character" w:customStyle="1" w:styleId="59">
    <w:name w:val="批注框文本 Char"/>
    <w:basedOn w:val="29"/>
    <w:semiHidden/>
    <w:qFormat/>
    <w:uiPriority w:val="99"/>
    <w:rPr>
      <w:sz w:val="18"/>
      <w:szCs w:val="18"/>
    </w:rPr>
  </w:style>
  <w:style w:type="character" w:customStyle="1" w:styleId="60">
    <w:name w:val="标题 Char"/>
    <w:basedOn w:val="29"/>
    <w:qFormat/>
    <w:uiPriority w:val="10"/>
    <w:rPr>
      <w:rFonts w:eastAsia="宋体" w:asciiTheme="majorHAnsi" w:hAnsiTheme="majorHAnsi" w:cstheme="majorBidi"/>
      <w:b/>
      <w:bCs/>
      <w:sz w:val="32"/>
      <w:szCs w:val="32"/>
    </w:rPr>
  </w:style>
  <w:style w:type="character" w:customStyle="1" w:styleId="61">
    <w:name w:val="批注文字 Char"/>
    <w:basedOn w:val="29"/>
    <w:link w:val="8"/>
    <w:semiHidden/>
    <w:qFormat/>
    <w:uiPriority w:val="99"/>
  </w:style>
  <w:style w:type="character" w:customStyle="1" w:styleId="62">
    <w:name w:val="批注主题 Char"/>
    <w:basedOn w:val="61"/>
    <w:semiHidden/>
    <w:qFormat/>
    <w:uiPriority w:val="99"/>
    <w:rPr>
      <w:b/>
      <w:bCs/>
    </w:rPr>
  </w:style>
  <w:style w:type="character" w:customStyle="1" w:styleId="63">
    <w:name w:val="正文文本 2 Char"/>
    <w:basedOn w:val="29"/>
    <w:semiHidden/>
    <w:qFormat/>
    <w:uiPriority w:val="99"/>
  </w:style>
  <w:style w:type="character" w:customStyle="1" w:styleId="64">
    <w:name w:val="日期 Char"/>
    <w:basedOn w:val="29"/>
    <w:semiHidden/>
    <w:qFormat/>
    <w:uiPriority w:val="99"/>
  </w:style>
  <w:style w:type="paragraph" w:customStyle="1" w:styleId="65">
    <w:name w:val="列出段落1"/>
    <w:basedOn w:val="1"/>
    <w:qFormat/>
    <w:uiPriority w:val="0"/>
    <w:pPr>
      <w:spacing w:line="400" w:lineRule="exact"/>
      <w:ind w:firstLine="420" w:firstLineChars="200"/>
    </w:pPr>
    <w:rPr>
      <w:rFonts w:ascii="Calibri" w:hAnsi="Calibri" w:eastAsia="宋体" w:cs="Times New Roman"/>
    </w:rPr>
  </w:style>
  <w:style w:type="paragraph" w:customStyle="1" w:styleId="66">
    <w:name w:val="标准正文"/>
    <w:basedOn w:val="1"/>
    <w:qFormat/>
    <w:uiPriority w:val="0"/>
    <w:pPr>
      <w:spacing w:line="300" w:lineRule="auto"/>
      <w:ind w:firstLine="200" w:firstLineChars="200"/>
    </w:pPr>
    <w:rPr>
      <w:rFonts w:eastAsia="宋体" w:cs="Times New Roman"/>
      <w:sz w:val="24"/>
    </w:rPr>
  </w:style>
  <w:style w:type="paragraph" w:customStyle="1" w:styleId="67">
    <w:name w:val="样式 首行缩进:  0.74 厘米 段前: 7.8 磅 段后: 7.8 磅 行距: 多倍行距 1.2 字行"/>
    <w:basedOn w:val="1"/>
    <w:semiHidden/>
    <w:qFormat/>
    <w:uiPriority w:val="0"/>
    <w:pPr>
      <w:spacing w:before="156" w:after="156" w:line="288" w:lineRule="auto"/>
      <w:ind w:firstLine="420"/>
    </w:pPr>
    <w:rPr>
      <w:rFonts w:eastAsia="宋体" w:cs="宋体"/>
      <w:kern w:val="21"/>
      <w:szCs w:val="21"/>
    </w:rPr>
  </w:style>
  <w:style w:type="paragraph" w:customStyle="1" w:styleId="68">
    <w:name w:val="修订1"/>
    <w:unhideWhenUsed/>
    <w:qFormat/>
    <w:uiPriority w:val="99"/>
    <w:rPr>
      <w:rFonts w:ascii="等线" w:hAnsi="等线" w:eastAsia="等线" w:cs="Times New Roman"/>
      <w:kern w:val="2"/>
      <w:sz w:val="21"/>
      <w:szCs w:val="24"/>
      <w:lang w:val="en-US" w:eastAsia="zh-CN" w:bidi="ar-SA"/>
    </w:rPr>
  </w:style>
  <w:style w:type="paragraph" w:customStyle="1" w:styleId="69">
    <w:name w:val="公式"/>
    <w:basedOn w:val="1"/>
    <w:next w:val="1"/>
    <w:qFormat/>
    <w:uiPriority w:val="0"/>
    <w:pPr>
      <w:tabs>
        <w:tab w:val="center" w:pos="4160"/>
        <w:tab w:val="right" w:pos="8300"/>
      </w:tabs>
      <w:spacing w:line="400" w:lineRule="exact"/>
    </w:pPr>
    <w:rPr>
      <w:rFonts w:eastAsia="Times New Roman" w:cs="Times New Roman"/>
      <w:bCs/>
      <w:szCs w:val="21"/>
    </w:rPr>
  </w:style>
  <w:style w:type="paragraph" w:customStyle="1" w:styleId="70">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F5496"/>
      <w:kern w:val="0"/>
      <w:szCs w:val="32"/>
      <w:lang w:val="en-US"/>
    </w:rPr>
  </w:style>
  <w:style w:type="character" w:customStyle="1" w:styleId="71">
    <w:name w:val="未处理的提及1"/>
    <w:semiHidden/>
    <w:unhideWhenUsed/>
    <w:qFormat/>
    <w:uiPriority w:val="99"/>
    <w:rPr>
      <w:color w:val="605E5C"/>
      <w:shd w:val="clear" w:color="auto" w:fill="E1DFDD"/>
    </w:rPr>
  </w:style>
  <w:style w:type="character" w:customStyle="1" w:styleId="72">
    <w:name w:val="标题 1 字符"/>
    <w:qFormat/>
    <w:uiPriority w:val="9"/>
    <w:rPr>
      <w:b/>
      <w:bCs/>
      <w:kern w:val="44"/>
      <w:sz w:val="44"/>
      <w:szCs w:val="44"/>
    </w:rPr>
  </w:style>
  <w:style w:type="character" w:customStyle="1" w:styleId="73">
    <w:name w:val="标题 2 字符"/>
    <w:qFormat/>
    <w:uiPriority w:val="9"/>
    <w:rPr>
      <w:rFonts w:ascii="等线 Light" w:hAnsi="等线 Light" w:eastAsia="等线 Light"/>
      <w:b/>
      <w:bCs/>
      <w:kern w:val="2"/>
      <w:sz w:val="32"/>
      <w:szCs w:val="32"/>
    </w:rPr>
  </w:style>
  <w:style w:type="character" w:customStyle="1" w:styleId="74">
    <w:name w:val="MTConvertedEquation"/>
    <w:qFormat/>
    <w:uiPriority w:val="0"/>
    <w:rPr>
      <w:rFonts w:ascii="Times New Roman" w:hAnsi="Times New Roman" w:eastAsia="宋体"/>
      <w:b/>
      <w:bCs/>
      <w:color w:val="000000"/>
      <w:sz w:val="32"/>
      <w:szCs w:val="32"/>
    </w:rPr>
  </w:style>
  <w:style w:type="paragraph" w:customStyle="1" w:styleId="75">
    <w:name w:val="Default"/>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character" w:customStyle="1" w:styleId="76">
    <w:name w:val="批注框文本 字符1"/>
    <w:semiHidden/>
    <w:qFormat/>
    <w:uiPriority w:val="0"/>
    <w:rPr>
      <w:kern w:val="2"/>
      <w:sz w:val="18"/>
      <w:szCs w:val="18"/>
    </w:rPr>
  </w:style>
  <w:style w:type="character" w:customStyle="1" w:styleId="77">
    <w:name w:val="标题 Char1"/>
    <w:link w:val="25"/>
    <w:qFormat/>
    <w:uiPriority w:val="10"/>
    <w:rPr>
      <w:rFonts w:ascii="Times New Roman" w:hAnsi="Times New Roman" w:eastAsia="等线" w:cs="Times New Roman"/>
      <w:bCs/>
      <w:sz w:val="18"/>
      <w:szCs w:val="32"/>
      <w:lang w:val="zh-CN" w:eastAsia="zh-CN"/>
    </w:rPr>
  </w:style>
  <w:style w:type="character" w:customStyle="1" w:styleId="78">
    <w:name w:val="页眉 字符1"/>
    <w:semiHidden/>
    <w:qFormat/>
    <w:uiPriority w:val="0"/>
    <w:rPr>
      <w:kern w:val="2"/>
      <w:sz w:val="18"/>
      <w:szCs w:val="18"/>
    </w:rPr>
  </w:style>
  <w:style w:type="character" w:customStyle="1" w:styleId="79">
    <w:name w:val="页脚 字符1"/>
    <w:semiHidden/>
    <w:qFormat/>
    <w:uiPriority w:val="0"/>
    <w:rPr>
      <w:kern w:val="2"/>
      <w:sz w:val="18"/>
      <w:szCs w:val="18"/>
    </w:rPr>
  </w:style>
  <w:style w:type="character" w:customStyle="1" w:styleId="80">
    <w:name w:val="批注文字 字符1"/>
    <w:semiHidden/>
    <w:qFormat/>
    <w:uiPriority w:val="0"/>
    <w:rPr>
      <w:kern w:val="2"/>
      <w:sz w:val="21"/>
      <w:szCs w:val="24"/>
    </w:rPr>
  </w:style>
  <w:style w:type="character" w:customStyle="1" w:styleId="81">
    <w:name w:val="批注主题 字符1"/>
    <w:semiHidden/>
    <w:qFormat/>
    <w:uiPriority w:val="0"/>
    <w:rPr>
      <w:b/>
      <w:bCs/>
      <w:kern w:val="2"/>
      <w:sz w:val="21"/>
      <w:szCs w:val="24"/>
    </w:rPr>
  </w:style>
  <w:style w:type="character" w:customStyle="1" w:styleId="82">
    <w:name w:val="正文文本 2 Char1"/>
    <w:link w:val="23"/>
    <w:semiHidden/>
    <w:qFormat/>
    <w:uiPriority w:val="0"/>
    <w:rPr>
      <w:rFonts w:ascii="Times New Roman" w:hAnsi="Times New Roman" w:eastAsia="等线" w:cs="Times New Roman"/>
      <w:szCs w:val="24"/>
      <w:lang w:val="zh-CN" w:eastAsia="zh-CN"/>
    </w:rPr>
  </w:style>
  <w:style w:type="character" w:customStyle="1" w:styleId="83">
    <w:name w:val="日期 Char1"/>
    <w:link w:val="13"/>
    <w:semiHidden/>
    <w:qFormat/>
    <w:uiPriority w:val="0"/>
    <w:rPr>
      <w:rFonts w:ascii="Times New Roman" w:hAnsi="Times New Roman" w:eastAsia="等线" w:cs="Times New Roman"/>
      <w:szCs w:val="24"/>
      <w:lang w:val="zh-CN" w:eastAsia="zh-CN"/>
    </w:rPr>
  </w:style>
  <w:style w:type="character" w:customStyle="1" w:styleId="84">
    <w:name w:val="标题 3 Char1"/>
    <w:link w:val="4"/>
    <w:qFormat/>
    <w:uiPriority w:val="0"/>
    <w:rPr>
      <w:rFonts w:ascii="Times New Roman" w:hAnsi="Times New Roman" w:eastAsia="等线" w:cs="Times New Roman"/>
      <w:b/>
      <w:bCs/>
      <w:sz w:val="32"/>
      <w:szCs w:val="32"/>
      <w:lang w:val="zh-CN" w:eastAsia="zh-CN"/>
    </w:rPr>
  </w:style>
  <w:style w:type="character" w:customStyle="1" w:styleId="85">
    <w:name w:val="标题 4 字符"/>
    <w:qFormat/>
    <w:uiPriority w:val="0"/>
    <w:rPr>
      <w:rFonts w:ascii="等线 Light" w:hAnsi="等线 Light" w:eastAsia="等线 Light" w:cs="Times New Roman"/>
      <w:b/>
      <w:bCs/>
      <w:kern w:val="2"/>
      <w:sz w:val="28"/>
      <w:szCs w:val="28"/>
    </w:rPr>
  </w:style>
  <w:style w:type="character" w:customStyle="1" w:styleId="86">
    <w:name w:val="副标题 Char"/>
    <w:basedOn w:val="29"/>
    <w:qFormat/>
    <w:uiPriority w:val="11"/>
    <w:rPr>
      <w:rFonts w:eastAsia="宋体" w:asciiTheme="majorHAnsi" w:hAnsiTheme="majorHAnsi" w:cstheme="majorBidi"/>
      <w:b/>
      <w:bCs/>
      <w:kern w:val="28"/>
      <w:sz w:val="32"/>
      <w:szCs w:val="32"/>
    </w:rPr>
  </w:style>
  <w:style w:type="character" w:customStyle="1" w:styleId="87">
    <w:name w:val="副标题 Char1"/>
    <w:link w:val="19"/>
    <w:qFormat/>
    <w:uiPriority w:val="11"/>
    <w:rPr>
      <w:rFonts w:ascii="等线 Light" w:hAnsi="等线 Light" w:eastAsia="宋体" w:cs="Times New Roman"/>
      <w:b/>
      <w:bCs/>
      <w:kern w:val="28"/>
      <w:sz w:val="32"/>
      <w:szCs w:val="32"/>
    </w:rPr>
  </w:style>
  <w:style w:type="character" w:customStyle="1" w:styleId="88">
    <w:name w:val="段 Char"/>
    <w:link w:val="89"/>
    <w:qFormat/>
    <w:uiPriority w:val="0"/>
    <w:rPr>
      <w:rFonts w:ascii="宋体"/>
    </w:rPr>
  </w:style>
  <w:style w:type="paragraph" w:customStyle="1" w:styleId="89">
    <w:name w:val="段"/>
    <w:link w:val="88"/>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customStyle="1" w:styleId="90">
    <w:name w:val="二级条标题"/>
    <w:basedOn w:val="1"/>
    <w:next w:val="89"/>
    <w:qFormat/>
    <w:uiPriority w:val="0"/>
    <w:pPr>
      <w:widowControl/>
      <w:spacing w:before="50" w:beforeLines="50" w:after="50" w:afterLines="50"/>
      <w:ind w:left="568"/>
      <w:jc w:val="left"/>
      <w:outlineLvl w:val="3"/>
    </w:pPr>
    <w:rPr>
      <w:rFonts w:ascii="黑体" w:eastAsia="黑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theme" Target="theme/theme1.xml"/><Relationship Id="rId69" Type="http://schemas.openxmlformats.org/officeDocument/2006/relationships/image" Target="media/image42.wmf"/><Relationship Id="rId68" Type="http://schemas.openxmlformats.org/officeDocument/2006/relationships/oleObject" Target="embeddings/oleObject20.bin"/><Relationship Id="rId67" Type="http://schemas.openxmlformats.org/officeDocument/2006/relationships/image" Target="media/image41.wmf"/><Relationship Id="rId66" Type="http://schemas.openxmlformats.org/officeDocument/2006/relationships/oleObject" Target="embeddings/oleObject19.bin"/><Relationship Id="rId65" Type="http://schemas.openxmlformats.org/officeDocument/2006/relationships/image" Target="media/image40.wmf"/><Relationship Id="rId64" Type="http://schemas.openxmlformats.org/officeDocument/2006/relationships/oleObject" Target="embeddings/oleObject18.bin"/><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footer" Target="foot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7.bin"/><Relationship Id="rId48" Type="http://schemas.openxmlformats.org/officeDocument/2006/relationships/image" Target="media/image25.wmf"/><Relationship Id="rId47" Type="http://schemas.openxmlformats.org/officeDocument/2006/relationships/oleObject" Target="embeddings/oleObject16.bin"/><Relationship Id="rId46" Type="http://schemas.openxmlformats.org/officeDocument/2006/relationships/image" Target="media/image24.emf"/><Relationship Id="rId45" Type="http://schemas.openxmlformats.org/officeDocument/2006/relationships/image" Target="media/image23.emf"/><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emf"/><Relationship Id="rId41" Type="http://schemas.openxmlformats.org/officeDocument/2006/relationships/image" Target="media/image19.wmf"/><Relationship Id="rId40" Type="http://schemas.openxmlformats.org/officeDocument/2006/relationships/oleObject" Target="embeddings/oleObject15.bin"/><Relationship Id="rId4" Type="http://schemas.openxmlformats.org/officeDocument/2006/relationships/endnotes" Target="endnotes.xml"/><Relationship Id="rId39" Type="http://schemas.openxmlformats.org/officeDocument/2006/relationships/image" Target="media/image18.wmf"/><Relationship Id="rId38" Type="http://schemas.openxmlformats.org/officeDocument/2006/relationships/oleObject" Target="embeddings/oleObject14.bin"/><Relationship Id="rId37" Type="http://schemas.openxmlformats.org/officeDocument/2006/relationships/image" Target="media/image17.wmf"/><Relationship Id="rId36" Type="http://schemas.openxmlformats.org/officeDocument/2006/relationships/oleObject" Target="embeddings/oleObject13.bin"/><Relationship Id="rId35" Type="http://schemas.openxmlformats.org/officeDocument/2006/relationships/image" Target="media/image16.wmf"/><Relationship Id="rId34" Type="http://schemas.openxmlformats.org/officeDocument/2006/relationships/oleObject" Target="embeddings/oleObject12.bin"/><Relationship Id="rId33" Type="http://schemas.openxmlformats.org/officeDocument/2006/relationships/image" Target="media/image15.wmf"/><Relationship Id="rId32" Type="http://schemas.openxmlformats.org/officeDocument/2006/relationships/oleObject" Target="embeddings/oleObject11.bin"/><Relationship Id="rId31" Type="http://schemas.openxmlformats.org/officeDocument/2006/relationships/image" Target="media/image14.wmf"/><Relationship Id="rId30" Type="http://schemas.openxmlformats.org/officeDocument/2006/relationships/oleObject" Target="embeddings/oleObject10.bin"/><Relationship Id="rId3" Type="http://schemas.openxmlformats.org/officeDocument/2006/relationships/footnotes" Target="footnotes.xml"/><Relationship Id="rId29" Type="http://schemas.openxmlformats.org/officeDocument/2006/relationships/image" Target="media/image13.wmf"/><Relationship Id="rId28" Type="http://schemas.openxmlformats.org/officeDocument/2006/relationships/oleObject" Target="embeddings/oleObject9.bin"/><Relationship Id="rId27" Type="http://schemas.openxmlformats.org/officeDocument/2006/relationships/image" Target="media/image12.wmf"/><Relationship Id="rId26" Type="http://schemas.openxmlformats.org/officeDocument/2006/relationships/oleObject" Target="embeddings/oleObject8.bin"/><Relationship Id="rId25" Type="http://schemas.openxmlformats.org/officeDocument/2006/relationships/image" Target="media/image11.jpeg"/><Relationship Id="rId24" Type="http://schemas.openxmlformats.org/officeDocument/2006/relationships/image" Target="media/image10.emf"/><Relationship Id="rId23" Type="http://schemas.openxmlformats.org/officeDocument/2006/relationships/image" Target="media/image9.emf"/><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3F9215-2343-434B-81D1-56D8A6DB3093}">
  <ds:schemaRefs/>
</ds:datastoreItem>
</file>

<file path=docProps/app.xml><?xml version="1.0" encoding="utf-8"?>
<Properties xmlns="http://schemas.openxmlformats.org/officeDocument/2006/extended-properties" xmlns:vt="http://schemas.openxmlformats.org/officeDocument/2006/docPropsVTypes">
  <Template>Normal.dotm</Template>
  <Pages>56</Pages>
  <Words>6521</Words>
  <Characters>37172</Characters>
  <Lines>309</Lines>
  <Paragraphs>87</Paragraphs>
  <TotalTime>1</TotalTime>
  <ScaleCrop>false</ScaleCrop>
  <LinksUpToDate>false</LinksUpToDate>
  <CharactersWithSpaces>43606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2023-12-04T08:13:00Z</dcterms:created>
  <dc:creator>admin</dc:creator>
  <cp:lastModifiedBy>金山文档</cp:lastModifiedBy>
  <dcterms:modified xsi:type="dcterms:W3CDTF">2023-12-19T03:39:10Z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22EA6A8AEEDD4BF19110FCBE9EC3C060_13</vt:lpwstr>
  </property>
</Properties>
</file>