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微软雅黑"/>
          <w:b/>
          <w:sz w:val="32"/>
        </w:rPr>
      </w:pPr>
      <w:bookmarkStart w:id="0" w:name="_Toc142298595"/>
      <w:bookmarkStart w:id="1" w:name="_Toc142300435"/>
      <w:r>
        <w:rPr>
          <w:rFonts w:eastAsia="微软雅黑"/>
          <w:b/>
          <w:sz w:val="32"/>
        </w:rPr>
        <w:t>《数据中心液冷系统技术规程》</w:t>
      </w:r>
      <w:bookmarkEnd w:id="0"/>
      <w:bookmarkEnd w:id="1"/>
    </w:p>
    <w:p>
      <w:pPr>
        <w:spacing w:line="360" w:lineRule="auto"/>
        <w:ind w:firstLine="640" w:firstLineChars="200"/>
        <w:jc w:val="center"/>
        <w:rPr>
          <w:rFonts w:eastAsia="微软雅黑"/>
          <w:sz w:val="32"/>
          <w:szCs w:val="32"/>
        </w:rPr>
      </w:pPr>
      <w:r>
        <w:rPr>
          <w:rFonts w:eastAsia="微软雅黑"/>
          <w:sz w:val="32"/>
          <w:szCs w:val="32"/>
        </w:rPr>
        <w:t>Technical Specification for Liquid Cooling System in Data Center</w:t>
      </w:r>
    </w:p>
    <w:p>
      <w:pPr>
        <w:spacing w:line="360" w:lineRule="auto"/>
        <w:ind w:firstLine="640" w:firstLineChars="200"/>
        <w:jc w:val="center"/>
        <w:rPr>
          <w:rFonts w:eastAsia="微软雅黑"/>
          <w:sz w:val="32"/>
          <w:szCs w:val="32"/>
        </w:rPr>
      </w:pPr>
    </w:p>
    <w:p>
      <w:pPr>
        <w:spacing w:line="360" w:lineRule="auto"/>
        <w:ind w:firstLine="640" w:firstLineChars="200"/>
        <w:jc w:val="center"/>
        <w:rPr>
          <w:rFonts w:eastAsia="微软雅黑"/>
          <w:sz w:val="32"/>
          <w:szCs w:val="32"/>
        </w:rPr>
      </w:pPr>
    </w:p>
    <w:p>
      <w:pPr>
        <w:spacing w:line="360" w:lineRule="auto"/>
        <w:ind w:firstLine="640" w:firstLineChars="200"/>
        <w:jc w:val="center"/>
        <w:rPr>
          <w:rFonts w:eastAsia="微软雅黑"/>
          <w:sz w:val="32"/>
          <w:szCs w:val="32"/>
        </w:rPr>
      </w:pPr>
    </w:p>
    <w:p>
      <w:pPr>
        <w:spacing w:line="360" w:lineRule="auto"/>
        <w:ind w:firstLine="640" w:firstLineChars="200"/>
        <w:jc w:val="center"/>
        <w:rPr>
          <w:rFonts w:eastAsia="微软雅黑"/>
          <w:sz w:val="32"/>
          <w:szCs w:val="32"/>
        </w:rPr>
      </w:pPr>
    </w:p>
    <w:p>
      <w:pPr>
        <w:spacing w:line="360" w:lineRule="auto"/>
        <w:ind w:firstLine="640" w:firstLineChars="200"/>
        <w:jc w:val="center"/>
        <w:rPr>
          <w:rFonts w:hint="eastAsia" w:eastAsia="微软雅黑"/>
          <w:sz w:val="32"/>
          <w:szCs w:val="32"/>
        </w:rPr>
      </w:pPr>
    </w:p>
    <w:p>
      <w:pPr>
        <w:spacing w:line="360" w:lineRule="auto"/>
        <w:ind w:firstLine="640" w:firstLineChars="200"/>
        <w:jc w:val="center"/>
        <w:rPr>
          <w:rFonts w:eastAsia="微软雅黑"/>
          <w:sz w:val="32"/>
          <w:szCs w:val="32"/>
        </w:rPr>
      </w:pPr>
    </w:p>
    <w:p>
      <w:pPr>
        <w:spacing w:line="360" w:lineRule="auto"/>
        <w:jc w:val="center"/>
        <w:rPr>
          <w:rFonts w:hint="eastAsia" w:eastAsia="微软雅黑"/>
          <w:sz w:val="32"/>
          <w:szCs w:val="32"/>
        </w:rPr>
      </w:pPr>
      <w:r>
        <w:rPr>
          <w:rFonts w:hint="eastAsia" w:eastAsia="微软雅黑"/>
          <w:sz w:val="32"/>
          <w:szCs w:val="32"/>
        </w:rPr>
        <w:t>征求意见稿</w:t>
      </w:r>
    </w:p>
    <w:p>
      <w:pPr>
        <w:spacing w:line="360" w:lineRule="auto"/>
        <w:rPr>
          <w:rFonts w:eastAsia="微软雅黑"/>
        </w:rPr>
        <w:sectPr>
          <w:footerReference r:id="rId3" w:type="default"/>
          <w:footerReference r:id="rId4" w:type="even"/>
          <w:pgSz w:w="11906" w:h="16838"/>
          <w:pgMar w:top="1440" w:right="1800" w:bottom="1440" w:left="1800" w:header="851" w:footer="992" w:gutter="0"/>
          <w:cols w:space="425" w:num="1"/>
          <w:docGrid w:type="lines" w:linePitch="312" w:charSpace="0"/>
        </w:sectPr>
      </w:pPr>
    </w:p>
    <w:p>
      <w:pPr>
        <w:jc w:val="center"/>
        <w:rPr>
          <w:b/>
          <w:sz w:val="32"/>
        </w:rPr>
      </w:pPr>
      <w:bookmarkStart w:id="2" w:name="_Toc142300436"/>
      <w:bookmarkStart w:id="3" w:name="_Toc142298596"/>
      <w:r>
        <w:rPr>
          <w:b/>
          <w:sz w:val="32"/>
        </w:rPr>
        <w:t xml:space="preserve">    中国工程建设标准化协会标准</w:t>
      </w:r>
    </w:p>
    <w:p>
      <w:pPr>
        <w:spacing w:line="360" w:lineRule="auto"/>
        <w:jc w:val="center"/>
        <w:rPr>
          <w:rFonts w:eastAsia="微软雅黑"/>
        </w:rPr>
      </w:pPr>
    </w:p>
    <w:p>
      <w:pPr>
        <w:spacing w:line="360" w:lineRule="auto"/>
        <w:ind w:firstLine="601" w:firstLineChars="200"/>
        <w:jc w:val="center"/>
        <w:rPr>
          <w:b/>
          <w:sz w:val="30"/>
          <w:szCs w:val="30"/>
        </w:rPr>
      </w:pPr>
      <w:r>
        <w:rPr>
          <w:b/>
          <w:sz w:val="30"/>
          <w:szCs w:val="30"/>
        </w:rPr>
        <w:t>《数据中心液冷系统技术规程》</w:t>
      </w:r>
    </w:p>
    <w:p>
      <w:pPr>
        <w:spacing w:line="360" w:lineRule="auto"/>
        <w:ind w:firstLine="601" w:firstLineChars="200"/>
        <w:jc w:val="center"/>
        <w:rPr>
          <w:b/>
          <w:sz w:val="30"/>
          <w:szCs w:val="30"/>
        </w:rPr>
      </w:pPr>
      <w:r>
        <w:rPr>
          <w:b/>
          <w:sz w:val="30"/>
          <w:szCs w:val="30"/>
        </w:rPr>
        <w:t>Technical Specification for Liquid Cooling System in Data Center</w:t>
      </w:r>
    </w:p>
    <w:p>
      <w:pPr>
        <w:spacing w:line="360" w:lineRule="auto"/>
        <w:jc w:val="center"/>
        <w:rPr>
          <w:b/>
          <w:sz w:val="30"/>
          <w:szCs w:val="30"/>
        </w:rPr>
      </w:pPr>
      <w:r>
        <w:rPr>
          <w:b/>
          <w:sz w:val="30"/>
          <w:szCs w:val="30"/>
        </w:rPr>
        <w:t>T/CECS xxxx-20xx</w:t>
      </w:r>
    </w:p>
    <w:p>
      <w:pPr>
        <w:spacing w:line="360" w:lineRule="auto"/>
        <w:jc w:val="center"/>
        <w:rPr>
          <w:b/>
          <w:sz w:val="30"/>
          <w:szCs w:val="30"/>
        </w:rPr>
      </w:pPr>
    </w:p>
    <w:p>
      <w:pPr>
        <w:spacing w:line="360" w:lineRule="auto"/>
        <w:jc w:val="center"/>
        <w:rPr>
          <w:b/>
          <w:sz w:val="30"/>
          <w:szCs w:val="30"/>
        </w:rPr>
      </w:pPr>
    </w:p>
    <w:p>
      <w:pPr>
        <w:spacing w:line="360" w:lineRule="auto"/>
        <w:jc w:val="both"/>
        <w:rPr>
          <w:rFonts w:hint="eastAsia"/>
          <w:b/>
          <w:sz w:val="30"/>
          <w:szCs w:val="30"/>
          <w:lang w:val="en-US" w:eastAsia="zh-CN"/>
        </w:rPr>
      </w:pPr>
    </w:p>
    <w:p>
      <w:pPr>
        <w:spacing w:line="360" w:lineRule="auto"/>
        <w:jc w:val="center"/>
        <w:rPr>
          <w:rFonts w:hint="eastAsia"/>
          <w:b/>
          <w:sz w:val="30"/>
          <w:szCs w:val="30"/>
          <w:lang w:val="en-US" w:eastAsia="zh-CN"/>
        </w:rPr>
      </w:pPr>
    </w:p>
    <w:p>
      <w:pPr>
        <w:spacing w:line="360" w:lineRule="auto"/>
        <w:jc w:val="center"/>
        <w:rPr>
          <w:rFonts w:hint="eastAsia"/>
          <w:b/>
          <w:sz w:val="30"/>
          <w:szCs w:val="30"/>
          <w:lang w:val="en-US" w:eastAsia="zh-CN"/>
        </w:rPr>
      </w:pPr>
    </w:p>
    <w:p>
      <w:pPr>
        <w:spacing w:line="360" w:lineRule="auto"/>
        <w:jc w:val="center"/>
        <w:rPr>
          <w:rFonts w:hint="eastAsia"/>
          <w:b/>
          <w:sz w:val="30"/>
          <w:szCs w:val="30"/>
          <w:lang w:val="en-US" w:eastAsia="zh-CN"/>
        </w:rPr>
      </w:pPr>
    </w:p>
    <w:p>
      <w:pPr>
        <w:spacing w:line="360" w:lineRule="auto"/>
        <w:jc w:val="center"/>
        <w:rPr>
          <w:rFonts w:hint="default"/>
          <w:b/>
          <w:sz w:val="30"/>
          <w:szCs w:val="30"/>
          <w:lang w:val="en-US" w:eastAsia="zh-CN"/>
        </w:rPr>
      </w:pPr>
    </w:p>
    <w:p>
      <w:pPr>
        <w:spacing w:line="360" w:lineRule="auto"/>
        <w:jc w:val="center"/>
        <w:rPr>
          <w:b/>
          <w:sz w:val="30"/>
          <w:szCs w:val="30"/>
        </w:rPr>
      </w:pPr>
      <w:r>
        <w:rPr>
          <w:b/>
          <w:sz w:val="30"/>
          <w:szCs w:val="30"/>
        </w:rPr>
        <w:t>主编单位：XXX</w:t>
      </w:r>
    </w:p>
    <w:p>
      <w:pPr>
        <w:spacing w:line="360" w:lineRule="auto"/>
        <w:ind w:firstLine="3108" w:firstLineChars="1035"/>
        <w:rPr>
          <w:b/>
          <w:sz w:val="30"/>
          <w:szCs w:val="30"/>
        </w:rPr>
      </w:pPr>
      <w:r>
        <w:rPr>
          <w:b/>
          <w:sz w:val="30"/>
          <w:szCs w:val="30"/>
        </w:rPr>
        <w:t>批准单位：XXX</w:t>
      </w:r>
    </w:p>
    <w:p>
      <w:pPr>
        <w:spacing w:line="360" w:lineRule="auto"/>
        <w:ind w:firstLine="600"/>
        <w:jc w:val="center"/>
        <w:rPr>
          <w:b/>
          <w:sz w:val="30"/>
          <w:szCs w:val="30"/>
        </w:rPr>
      </w:pPr>
      <w:r>
        <w:rPr>
          <w:b/>
          <w:sz w:val="30"/>
          <w:szCs w:val="30"/>
        </w:rPr>
        <w:t>实施日期：20xx年xx月xx日</w:t>
      </w:r>
    </w:p>
    <w:p>
      <w:pPr>
        <w:spacing w:line="360" w:lineRule="auto"/>
        <w:jc w:val="center"/>
        <w:rPr>
          <w:b/>
          <w:sz w:val="30"/>
          <w:szCs w:val="30"/>
        </w:rPr>
      </w:pPr>
    </w:p>
    <w:p>
      <w:pPr>
        <w:spacing w:line="360" w:lineRule="auto"/>
        <w:ind w:firstLine="601" w:firstLineChars="200"/>
        <w:jc w:val="center"/>
        <w:rPr>
          <w:b/>
          <w:sz w:val="30"/>
          <w:szCs w:val="30"/>
        </w:rPr>
      </w:pPr>
    </w:p>
    <w:p>
      <w:pPr>
        <w:spacing w:line="360" w:lineRule="auto"/>
        <w:ind w:firstLine="601" w:firstLineChars="200"/>
        <w:jc w:val="center"/>
        <w:rPr>
          <w:b/>
          <w:sz w:val="30"/>
          <w:szCs w:val="30"/>
        </w:rPr>
      </w:pPr>
    </w:p>
    <w:p>
      <w:pPr>
        <w:spacing w:line="360" w:lineRule="auto"/>
        <w:ind w:firstLine="601" w:firstLineChars="200"/>
        <w:jc w:val="center"/>
        <w:rPr>
          <w:b/>
          <w:sz w:val="30"/>
          <w:szCs w:val="30"/>
        </w:rPr>
      </w:pPr>
    </w:p>
    <w:p>
      <w:pPr>
        <w:spacing w:line="360" w:lineRule="auto"/>
        <w:ind w:firstLine="601" w:firstLineChars="200"/>
        <w:jc w:val="center"/>
        <w:rPr>
          <w:b/>
          <w:sz w:val="30"/>
          <w:szCs w:val="30"/>
        </w:rPr>
      </w:pPr>
    </w:p>
    <w:p>
      <w:pPr>
        <w:spacing w:line="360" w:lineRule="auto"/>
        <w:ind w:firstLine="601" w:firstLineChars="200"/>
        <w:jc w:val="center"/>
        <w:rPr>
          <w:b/>
          <w:sz w:val="30"/>
          <w:szCs w:val="30"/>
        </w:rPr>
      </w:pPr>
    </w:p>
    <w:p>
      <w:pPr>
        <w:rPr>
          <w:rFonts w:eastAsia="微软雅黑"/>
        </w:rPr>
      </w:pPr>
    </w:p>
    <w:p>
      <w:pPr>
        <w:jc w:val="center"/>
        <w:rPr>
          <w:b/>
          <w:sz w:val="30"/>
          <w:szCs w:val="30"/>
        </w:rPr>
      </w:pPr>
      <w:r>
        <w:rPr>
          <w:b/>
          <w:sz w:val="30"/>
          <w:szCs w:val="30"/>
        </w:rPr>
        <w:t>前言</w:t>
      </w:r>
    </w:p>
    <w:p>
      <w:pPr>
        <w:spacing w:line="360" w:lineRule="auto"/>
        <w:ind w:firstLine="480" w:firstLineChars="200"/>
        <w:rPr>
          <w:sz w:val="24"/>
        </w:rPr>
      </w:pPr>
      <w:r>
        <w:rPr>
          <w:sz w:val="24"/>
        </w:rPr>
        <w:t>根据中国工程建设标准化协会</w:t>
      </w:r>
      <w:r>
        <w:rPr>
          <w:rFonts w:hint="eastAsia"/>
          <w:sz w:val="24"/>
        </w:rPr>
        <w:t>根据【关于印发《2022年第二批协会标准制订、修订计划》的通知】（建标协字[2022]40号）的要求</w:t>
      </w:r>
      <w:r>
        <w:rPr>
          <w:sz w:val="24"/>
        </w:rPr>
        <w:t>，编制组经深入调查研究，认真总结实践经验，参考国内外先进标准，并在广泛征求意见的基础上，制定本《数据中心液冷系统技术规程》标准。</w:t>
      </w:r>
    </w:p>
    <w:p>
      <w:pPr>
        <w:spacing w:line="360" w:lineRule="auto"/>
        <w:ind w:firstLine="480" w:firstLineChars="200"/>
        <w:rPr>
          <w:sz w:val="24"/>
        </w:rPr>
      </w:pPr>
      <w:r>
        <w:rPr>
          <w:sz w:val="24"/>
        </w:rPr>
        <w:t>本《数据中心液冷系统技术规程》标准工分为9章和5个附录，主要内容包括：总则，术语与符号，基本规定，数据中心液冷系统设计，冷却液、安装与实施，验证与验收，液冷数据中心的评价，运维管理等。</w:t>
      </w:r>
    </w:p>
    <w:p>
      <w:pPr>
        <w:spacing w:line="360" w:lineRule="auto"/>
        <w:ind w:firstLine="480" w:firstLineChars="200"/>
        <w:rPr>
          <w:sz w:val="24"/>
        </w:rPr>
      </w:pPr>
      <w:r>
        <w:rPr>
          <w:sz w:val="24"/>
        </w:rPr>
        <w:t>本《数据中心液冷系统技术规程》标准由</w:t>
      </w:r>
      <w:r>
        <w:rPr>
          <w:rFonts w:hint="eastAsia"/>
          <w:sz w:val="24"/>
        </w:rPr>
        <w:t xml:space="preserve">中国工程建设标准化协会电子工程分会（筹）归口管理并负责具体技术内容解释。反馈给中国工程建设标准化协会电子工程分会（筹）《数据中心液冷系统技术规程》管理组(地址：北京市西城区车公庄大街乙五号鸿儒大厦A座4BC，邮政编码：100044，传真：010-68002770）。    </w:t>
      </w:r>
    </w:p>
    <w:p>
      <w:pPr>
        <w:spacing w:line="360" w:lineRule="auto"/>
        <w:ind w:firstLine="480" w:firstLineChars="200"/>
        <w:rPr>
          <w:sz w:val="24"/>
        </w:rPr>
      </w:pPr>
      <w:r>
        <w:rPr>
          <w:sz w:val="24"/>
        </w:rPr>
        <w:t>主编单位：</w:t>
      </w:r>
      <w:r>
        <w:rPr>
          <w:rFonts w:hint="eastAsia"/>
          <w:sz w:val="24"/>
        </w:rPr>
        <w:t>中数智慧信息技术研究院</w:t>
      </w:r>
    </w:p>
    <w:p>
      <w:pPr>
        <w:spacing w:line="360" w:lineRule="auto"/>
        <w:ind w:firstLine="480" w:firstLineChars="200"/>
        <w:rPr>
          <w:sz w:val="24"/>
        </w:rPr>
      </w:pPr>
      <w:r>
        <w:rPr>
          <w:rFonts w:hint="eastAsia"/>
          <w:sz w:val="24"/>
        </w:rPr>
        <w:t xml:space="preserve">          阿里云计算有限公司</w:t>
      </w:r>
    </w:p>
    <w:p>
      <w:pPr>
        <w:spacing w:line="360" w:lineRule="auto"/>
        <w:ind w:firstLine="480" w:firstLineChars="200"/>
        <w:rPr>
          <w:sz w:val="24"/>
        </w:rPr>
      </w:pPr>
      <w:r>
        <w:rPr>
          <w:sz w:val="24"/>
        </w:rPr>
        <w:t>参编单位：xxxxxxxxxxx</w:t>
      </w:r>
    </w:p>
    <w:p>
      <w:pPr>
        <w:spacing w:line="360" w:lineRule="auto"/>
        <w:ind w:firstLine="480" w:firstLineChars="200"/>
        <w:rPr>
          <w:sz w:val="24"/>
        </w:rPr>
      </w:pPr>
      <w:r>
        <w:rPr>
          <w:sz w:val="24"/>
        </w:rPr>
        <w:t xml:space="preserve">          xxxxxxxxxxx</w:t>
      </w:r>
    </w:p>
    <w:p>
      <w:pPr>
        <w:spacing w:line="360" w:lineRule="auto"/>
        <w:ind w:firstLine="480" w:firstLineChars="200"/>
        <w:rPr>
          <w:sz w:val="24"/>
        </w:rPr>
      </w:pPr>
      <w:r>
        <w:rPr>
          <w:sz w:val="24"/>
        </w:rPr>
        <w:t>主要起草人：xxx  xxx  xxx  xxx  xxx</w:t>
      </w:r>
    </w:p>
    <w:p>
      <w:pPr>
        <w:spacing w:line="360" w:lineRule="auto"/>
        <w:ind w:firstLine="480" w:firstLineChars="200"/>
        <w:rPr>
          <w:sz w:val="24"/>
        </w:rPr>
      </w:pPr>
      <w:r>
        <w:rPr>
          <w:sz w:val="24"/>
        </w:rPr>
        <w:t>主要审查人：xxx  xxx  xxx  xxx  xxx</w:t>
      </w:r>
    </w:p>
    <w:p>
      <w:pPr>
        <w:spacing w:line="360" w:lineRule="auto"/>
        <w:jc w:val="center"/>
        <w:rPr>
          <w:rFonts w:eastAsia="微软雅黑"/>
        </w:rPr>
      </w:pPr>
    </w:p>
    <w:bookmarkEnd w:id="2"/>
    <w:bookmarkEnd w:id="3"/>
    <w:p>
      <w:pPr>
        <w:rPr>
          <w:rFonts w:eastAsia="微软雅黑"/>
          <w:sz w:val="32"/>
          <w:szCs w:val="32"/>
        </w:rPr>
      </w:pPr>
    </w:p>
    <w:p>
      <w:pPr>
        <w:spacing w:line="360" w:lineRule="auto"/>
        <w:ind w:firstLine="600" w:firstLineChars="200"/>
        <w:rPr>
          <w:sz w:val="30"/>
          <w:szCs w:val="30"/>
        </w:rPr>
      </w:pPr>
    </w:p>
    <w:p>
      <w:pPr>
        <w:spacing w:line="360" w:lineRule="auto"/>
        <w:ind w:firstLine="600" w:firstLineChars="200"/>
        <w:rPr>
          <w:sz w:val="30"/>
          <w:szCs w:val="30"/>
        </w:rPr>
      </w:pPr>
    </w:p>
    <w:p>
      <w:pPr>
        <w:spacing w:line="360" w:lineRule="auto"/>
        <w:rPr>
          <w:rFonts w:eastAsia="微软雅黑"/>
          <w:sz w:val="30"/>
          <w:szCs w:val="30"/>
        </w:rPr>
        <w:sectPr>
          <w:pgSz w:w="11906" w:h="16838"/>
          <w:pgMar w:top="1440" w:right="1800" w:bottom="1440" w:left="1800" w:header="851" w:footer="992" w:gutter="0"/>
          <w:cols w:space="425" w:num="1"/>
          <w:docGrid w:type="lines" w:linePitch="312" w:charSpace="0"/>
        </w:sectPr>
      </w:pPr>
    </w:p>
    <w:sdt>
      <w:sdtPr>
        <w:rPr>
          <w:rFonts w:ascii="Times New Roman" w:hAnsi="Times New Roman" w:eastAsia="微软雅黑" w:cs="Times New Roman"/>
          <w:b w:val="0"/>
          <w:bCs w:val="0"/>
          <w:color w:val="auto"/>
          <w:kern w:val="2"/>
          <w:sz w:val="21"/>
          <w:szCs w:val="20"/>
          <w:lang w:val="zh-CN"/>
        </w:rPr>
        <w:id w:val="2045482072"/>
        <w:docPartObj>
          <w:docPartGallery w:val="Table of Contents"/>
          <w:docPartUnique/>
        </w:docPartObj>
      </w:sdtPr>
      <w:sdtEndPr>
        <w:rPr>
          <w:rFonts w:ascii="Times New Roman" w:hAnsi="Times New Roman" w:eastAsia="微软雅黑" w:cs="Times New Roman"/>
          <w:b/>
          <w:bCs/>
          <w:color w:val="auto"/>
          <w:kern w:val="0"/>
          <w:sz w:val="28"/>
          <w:szCs w:val="28"/>
          <w:lang w:val="en-US"/>
        </w:rPr>
      </w:sdtEndPr>
      <w:sdtContent>
        <w:p>
          <w:pPr>
            <w:pStyle w:val="54"/>
            <w:keepNext w:val="0"/>
            <w:keepLines w:val="0"/>
            <w:widowControl w:val="0"/>
            <w:jc w:val="center"/>
            <w:rPr>
              <w:rFonts w:hint="default" w:ascii="Times New Roman" w:hAnsi="Times New Roman" w:eastAsia="微软雅黑" w:cs="Times New Roman"/>
              <w:b/>
              <w:bCs/>
              <w:color w:val="auto"/>
              <w:kern w:val="0"/>
              <w:sz w:val="28"/>
              <w:szCs w:val="28"/>
              <w:lang w:val="zh-CN" w:eastAsia="zh-CN" w:bidi="ar-SA"/>
            </w:rPr>
          </w:pPr>
          <w:bookmarkStart w:id="4" w:name="_Toc153893825"/>
          <w:bookmarkStart w:id="5" w:name="_Toc153894159"/>
          <w:r>
            <w:rPr>
              <w:rFonts w:ascii="Times New Roman" w:hAnsi="Times New Roman" w:cs="Times New Roman"/>
              <w:color w:val="auto"/>
              <w:spacing w:val="140"/>
              <w:kern w:val="0"/>
              <w:fitText w:val="840" w:id="-1130626304"/>
            </w:rPr>
            <w:t>目</w:t>
          </w:r>
          <w:bookmarkEnd w:id="4"/>
          <w:r>
            <w:rPr>
              <w:rFonts w:ascii="Times New Roman" w:hAnsi="Times New Roman" w:cs="Times New Roman"/>
              <w:color w:val="auto"/>
              <w:spacing w:val="0"/>
              <w:kern w:val="0"/>
              <w:fitText w:val="840" w:id="-1130626304"/>
            </w:rPr>
            <w:t>次</w:t>
          </w:r>
          <w:bookmarkEnd w:id="5"/>
          <w:r>
            <w:rPr>
              <w:rFonts w:ascii="Times New Roman" w:hAnsi="Times New Roman" w:eastAsia="微软雅黑" w:cs="Times New Roman"/>
              <w:b w:val="0"/>
              <w:bCs w:val="0"/>
              <w:color w:val="auto"/>
              <w:kern w:val="2"/>
              <w:sz w:val="32"/>
              <w:szCs w:val="32"/>
            </w:rPr>
            <w:fldChar w:fldCharType="begin"/>
          </w:r>
          <w:r>
            <w:rPr>
              <w:rFonts w:ascii="Times New Roman" w:hAnsi="Times New Roman" w:eastAsia="微软雅黑" w:cs="Times New Roman"/>
              <w:b w:val="0"/>
              <w:bCs w:val="0"/>
              <w:color w:val="auto"/>
              <w:kern w:val="2"/>
              <w:sz w:val="32"/>
              <w:szCs w:val="32"/>
            </w:rPr>
            <w:instrText xml:space="preserve"> TOC \o "1-3" \h \z \u </w:instrText>
          </w:r>
          <w:r>
            <w:rPr>
              <w:rFonts w:ascii="Times New Roman" w:hAnsi="Times New Roman" w:eastAsia="微软雅黑" w:cs="Times New Roman"/>
              <w:b w:val="0"/>
              <w:bCs w:val="0"/>
              <w:color w:val="auto"/>
              <w:kern w:val="2"/>
              <w:sz w:val="32"/>
              <w:szCs w:val="32"/>
            </w:rPr>
            <w:fldChar w:fldCharType="separate"/>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_Toc78149568 </w:instrText>
          </w:r>
          <w:r>
            <w:rPr>
              <w:rFonts w:ascii="Times New Roman" w:hAnsi="Times New Roman" w:eastAsia="微软雅黑" w:cs="Times New Roman"/>
              <w:lang w:val="zh-CN"/>
            </w:rPr>
            <w:fldChar w:fldCharType="separate"/>
          </w:r>
          <w:r>
            <w:rPr>
              <w:szCs w:val="30"/>
            </w:rPr>
            <w:t xml:space="preserve">1  </w:t>
          </w:r>
          <w:r>
            <w:rPr>
              <w:spacing w:val="251"/>
              <w:kern w:val="0"/>
              <w:szCs w:val="30"/>
              <w:fitText w:val="903" w:id="2141177753"/>
            </w:rPr>
            <w:t>总</w:t>
          </w:r>
          <w:r>
            <w:rPr>
              <w:spacing w:val="0"/>
              <w:kern w:val="0"/>
              <w:szCs w:val="30"/>
              <w:fitText w:val="903" w:id="2141177753"/>
            </w:rPr>
            <w:t>则</w:t>
          </w:r>
          <w:r>
            <w:tab/>
          </w:r>
          <w:r>
            <w:fldChar w:fldCharType="begin"/>
          </w:r>
          <w:r>
            <w:instrText xml:space="preserve"> PAGEREF _Toc78149568 \h </w:instrText>
          </w:r>
          <w:r>
            <w:fldChar w:fldCharType="separate"/>
          </w:r>
          <w:r>
            <w:t>8</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_Toc1347281059 </w:instrText>
          </w:r>
          <w:r>
            <w:rPr>
              <w:rFonts w:ascii="Times New Roman" w:hAnsi="Times New Roman" w:eastAsia="微软雅黑" w:cs="Times New Roman"/>
              <w:lang w:val="zh-CN"/>
            </w:rPr>
            <w:fldChar w:fldCharType="separate"/>
          </w:r>
          <w:r>
            <w:rPr>
              <w:szCs w:val="30"/>
            </w:rPr>
            <w:t>2 术语和符号</w:t>
          </w:r>
          <w:r>
            <w:tab/>
          </w:r>
          <w:r>
            <w:fldChar w:fldCharType="begin"/>
          </w:r>
          <w:r>
            <w:instrText xml:space="preserve"> PAGEREF _Toc1347281059 \h </w:instrText>
          </w:r>
          <w:r>
            <w:fldChar w:fldCharType="separate"/>
          </w:r>
          <w:r>
            <w:t>9</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_Toc685184645 </w:instrText>
          </w:r>
          <w:r>
            <w:rPr>
              <w:rFonts w:ascii="Times New Roman" w:hAnsi="Times New Roman" w:eastAsia="微软雅黑" w:cs="Times New Roman"/>
              <w:lang w:val="zh-CN"/>
            </w:rPr>
            <w:fldChar w:fldCharType="separate"/>
          </w:r>
          <w:r>
            <w:rPr>
              <w:szCs w:val="30"/>
            </w:rPr>
            <w:t>3  基本规定</w:t>
          </w:r>
          <w:r>
            <w:tab/>
          </w:r>
          <w:r>
            <w:fldChar w:fldCharType="begin"/>
          </w:r>
          <w:r>
            <w:instrText xml:space="preserve"> PAGEREF _Toc685184645 \h </w:instrText>
          </w:r>
          <w:r>
            <w:fldChar w:fldCharType="separate"/>
          </w:r>
          <w:r>
            <w:t>16</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_Toc1091013301 </w:instrText>
          </w:r>
          <w:r>
            <w:rPr>
              <w:rFonts w:ascii="Times New Roman" w:hAnsi="Times New Roman" w:eastAsia="微软雅黑" w:cs="Times New Roman"/>
              <w:lang w:val="zh-CN"/>
            </w:rPr>
            <w:fldChar w:fldCharType="separate"/>
          </w:r>
          <w:r>
            <w:rPr>
              <w:szCs w:val="32"/>
            </w:rPr>
            <w:t>3.1 液冷系统的可靠性分级</w:t>
          </w:r>
          <w:r>
            <w:tab/>
          </w:r>
          <w:r>
            <w:fldChar w:fldCharType="begin"/>
          </w:r>
          <w:r>
            <w:instrText xml:space="preserve"> PAGEREF _Toc1091013301 \h </w:instrText>
          </w:r>
          <w:r>
            <w:fldChar w:fldCharType="separate"/>
          </w:r>
          <w:r>
            <w:t>16</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_Toc1445171821 </w:instrText>
          </w:r>
          <w:r>
            <w:rPr>
              <w:rFonts w:ascii="Times New Roman" w:hAnsi="Times New Roman" w:eastAsia="微软雅黑" w:cs="Times New Roman"/>
              <w:lang w:val="zh-CN"/>
            </w:rPr>
            <w:fldChar w:fldCharType="separate"/>
          </w:r>
          <w:r>
            <w:rPr>
              <w:szCs w:val="32"/>
            </w:rPr>
            <w:t>3.2 液冷</w:t>
          </w:r>
          <w:r>
            <w:rPr>
              <w:rFonts w:hint="eastAsia"/>
              <w:szCs w:val="32"/>
            </w:rPr>
            <w:t>设备的可</w:t>
          </w:r>
          <w:r>
            <w:rPr>
              <w:szCs w:val="32"/>
            </w:rPr>
            <w:t>靠</w:t>
          </w:r>
          <w:r>
            <w:rPr>
              <w:rFonts w:hint="eastAsia"/>
              <w:szCs w:val="32"/>
            </w:rPr>
            <w:t>性</w:t>
          </w:r>
          <w:r>
            <w:tab/>
          </w:r>
          <w:r>
            <w:fldChar w:fldCharType="begin"/>
          </w:r>
          <w:r>
            <w:instrText xml:space="preserve"> PAGEREF _Toc1445171821 \h </w:instrText>
          </w:r>
          <w:r>
            <w:fldChar w:fldCharType="separate"/>
          </w:r>
          <w:r>
            <w:t>21</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_Toc962747977 </w:instrText>
          </w:r>
          <w:r>
            <w:rPr>
              <w:rFonts w:ascii="Times New Roman" w:hAnsi="Times New Roman" w:eastAsia="微软雅黑" w:cs="Times New Roman"/>
              <w:lang w:val="zh-CN"/>
            </w:rPr>
            <w:fldChar w:fldCharType="separate"/>
          </w:r>
          <w:r>
            <w:rPr>
              <w:spacing w:val="186"/>
              <w:kern w:val="0"/>
              <w:szCs w:val="30"/>
              <w:fitText w:val="1204" w:id="-571476768"/>
            </w:rPr>
            <w:t>4设</w:t>
          </w:r>
          <w:r>
            <w:rPr>
              <w:spacing w:val="1"/>
              <w:kern w:val="0"/>
              <w:szCs w:val="30"/>
              <w:fitText w:val="1204" w:id="-571476768"/>
            </w:rPr>
            <w:t>计</w:t>
          </w:r>
          <w:r>
            <w:tab/>
          </w:r>
          <w:r>
            <w:fldChar w:fldCharType="begin"/>
          </w:r>
          <w:r>
            <w:instrText xml:space="preserve"> PAGEREF _Toc962747977 \h </w:instrText>
          </w:r>
          <w:r>
            <w:fldChar w:fldCharType="separate"/>
          </w:r>
          <w:r>
            <w:t>23</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_Toc1763452941 </w:instrText>
          </w:r>
          <w:r>
            <w:rPr>
              <w:rFonts w:ascii="Times New Roman" w:hAnsi="Times New Roman" w:eastAsia="微软雅黑" w:cs="Times New Roman"/>
              <w:lang w:val="zh-CN"/>
            </w:rPr>
            <w:fldChar w:fldCharType="separate"/>
          </w:r>
          <w:r>
            <w:rPr>
              <w:szCs w:val="24"/>
            </w:rPr>
            <w:t>4.1 一般规定</w:t>
          </w:r>
          <w:r>
            <w:tab/>
          </w:r>
          <w:r>
            <w:fldChar w:fldCharType="begin"/>
          </w:r>
          <w:r>
            <w:instrText xml:space="preserve"> PAGEREF _Toc1763452941 \h </w:instrText>
          </w:r>
          <w:r>
            <w:fldChar w:fldCharType="separate"/>
          </w:r>
          <w:r>
            <w:t>23</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_Toc931767140 </w:instrText>
          </w:r>
          <w:r>
            <w:rPr>
              <w:rFonts w:ascii="Times New Roman" w:hAnsi="Times New Roman" w:eastAsia="微软雅黑" w:cs="Times New Roman"/>
              <w:lang w:val="zh-CN"/>
            </w:rPr>
            <w:fldChar w:fldCharType="separate"/>
          </w:r>
          <w:r>
            <w:rPr>
              <w:szCs w:val="24"/>
            </w:rPr>
            <w:t>4.2 工艺布置与平面布局</w:t>
          </w:r>
          <w:r>
            <w:tab/>
          </w:r>
          <w:r>
            <w:fldChar w:fldCharType="begin"/>
          </w:r>
          <w:r>
            <w:instrText xml:space="preserve"> PAGEREF _Toc931767140 \h </w:instrText>
          </w:r>
          <w:r>
            <w:fldChar w:fldCharType="separate"/>
          </w:r>
          <w:r>
            <w:t>23</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_Toc759568056 </w:instrText>
          </w:r>
          <w:r>
            <w:rPr>
              <w:rFonts w:ascii="Times New Roman" w:hAnsi="Times New Roman" w:eastAsia="微软雅黑" w:cs="Times New Roman"/>
              <w:lang w:val="zh-CN"/>
            </w:rPr>
            <w:fldChar w:fldCharType="separate"/>
          </w:r>
          <w:r>
            <w:rPr>
              <w:szCs w:val="24"/>
            </w:rPr>
            <w:t>4.3 设计参数</w:t>
          </w:r>
          <w:r>
            <w:tab/>
          </w:r>
          <w:r>
            <w:fldChar w:fldCharType="begin"/>
          </w:r>
          <w:r>
            <w:instrText xml:space="preserve"> PAGEREF _Toc759568056 \h </w:instrText>
          </w:r>
          <w:r>
            <w:fldChar w:fldCharType="separate"/>
          </w:r>
          <w:r>
            <w:t>24</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_Toc1417519424 </w:instrText>
          </w:r>
          <w:r>
            <w:rPr>
              <w:rFonts w:ascii="Times New Roman" w:hAnsi="Times New Roman" w:eastAsia="微软雅黑" w:cs="Times New Roman"/>
              <w:lang w:val="zh-CN"/>
            </w:rPr>
            <w:fldChar w:fldCharType="separate"/>
          </w:r>
          <w:r>
            <w:rPr>
              <w:szCs w:val="24"/>
            </w:rPr>
            <w:t>4.4 建筑与结构</w:t>
          </w:r>
          <w:r>
            <w:tab/>
          </w:r>
          <w:r>
            <w:fldChar w:fldCharType="begin"/>
          </w:r>
          <w:r>
            <w:instrText xml:space="preserve"> PAGEREF _Toc1417519424 \h </w:instrText>
          </w:r>
          <w:r>
            <w:fldChar w:fldCharType="separate"/>
          </w:r>
          <w:r>
            <w:t>26</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_Toc65379350 </w:instrText>
          </w:r>
          <w:r>
            <w:rPr>
              <w:rFonts w:ascii="Times New Roman" w:hAnsi="Times New Roman" w:eastAsia="微软雅黑" w:cs="Times New Roman"/>
              <w:lang w:val="zh-CN"/>
            </w:rPr>
            <w:fldChar w:fldCharType="separate"/>
          </w:r>
          <w:r>
            <w:rPr>
              <w:szCs w:val="24"/>
            </w:rPr>
            <w:t>4.5 冷却设备</w:t>
          </w:r>
          <w:r>
            <w:tab/>
          </w:r>
          <w:r>
            <w:fldChar w:fldCharType="begin"/>
          </w:r>
          <w:r>
            <w:instrText xml:space="preserve"> PAGEREF _Toc65379350 \h </w:instrText>
          </w:r>
          <w:r>
            <w:fldChar w:fldCharType="separate"/>
          </w:r>
          <w:r>
            <w:t>28</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_Toc1466591833 </w:instrText>
          </w:r>
          <w:r>
            <w:rPr>
              <w:rFonts w:ascii="Times New Roman" w:hAnsi="Times New Roman" w:eastAsia="微软雅黑" w:cs="Times New Roman"/>
              <w:lang w:val="zh-CN"/>
            </w:rPr>
            <w:fldChar w:fldCharType="separate"/>
          </w:r>
          <w:r>
            <w:rPr>
              <w:szCs w:val="24"/>
            </w:rPr>
            <w:t>4.6 冷却系统与空调系统</w:t>
          </w:r>
          <w:r>
            <w:tab/>
          </w:r>
          <w:r>
            <w:fldChar w:fldCharType="begin"/>
          </w:r>
          <w:r>
            <w:instrText xml:space="preserve"> PAGEREF _Toc1466591833 \h </w:instrText>
          </w:r>
          <w:r>
            <w:fldChar w:fldCharType="separate"/>
          </w:r>
          <w:r>
            <w:t>32</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_Toc191636965 </w:instrText>
          </w:r>
          <w:r>
            <w:rPr>
              <w:rFonts w:ascii="Times New Roman" w:hAnsi="Times New Roman" w:eastAsia="微软雅黑" w:cs="Times New Roman"/>
              <w:lang w:val="zh-CN"/>
            </w:rPr>
            <w:fldChar w:fldCharType="separate"/>
          </w:r>
          <w:r>
            <w:rPr>
              <w:szCs w:val="24"/>
            </w:rPr>
            <w:t xml:space="preserve">4.7 </w:t>
          </w:r>
          <w:r>
            <w:rPr>
              <w:rFonts w:hint="eastAsia"/>
              <w:szCs w:val="24"/>
            </w:rPr>
            <w:t>冷却液</w:t>
          </w:r>
          <w:r>
            <w:tab/>
          </w:r>
          <w:r>
            <w:fldChar w:fldCharType="begin"/>
          </w:r>
          <w:r>
            <w:instrText xml:space="preserve"> PAGEREF _Toc191636965 \h </w:instrText>
          </w:r>
          <w:r>
            <w:fldChar w:fldCharType="separate"/>
          </w:r>
          <w:r>
            <w:t>34</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_Toc1764483902 </w:instrText>
          </w:r>
          <w:r>
            <w:rPr>
              <w:rFonts w:ascii="Times New Roman" w:hAnsi="Times New Roman" w:eastAsia="微软雅黑" w:cs="Times New Roman"/>
              <w:lang w:val="zh-CN"/>
            </w:rPr>
            <w:fldChar w:fldCharType="separate"/>
          </w:r>
          <w:r>
            <w:rPr>
              <w:rFonts w:hint="eastAsia"/>
              <w:szCs w:val="24"/>
            </w:rPr>
            <w:t>4</w:t>
          </w:r>
          <w:r>
            <w:rPr>
              <w:szCs w:val="24"/>
            </w:rPr>
            <w:t>.8 供暖系统与通风系统</w:t>
          </w:r>
          <w:r>
            <w:tab/>
          </w:r>
          <w:r>
            <w:fldChar w:fldCharType="begin"/>
          </w:r>
          <w:r>
            <w:instrText xml:space="preserve"> PAGEREF _Toc1764483902 \h </w:instrText>
          </w:r>
          <w:r>
            <w:fldChar w:fldCharType="separate"/>
          </w:r>
          <w:r>
            <w:t>54</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_Toc1079259491 </w:instrText>
          </w:r>
          <w:r>
            <w:rPr>
              <w:rFonts w:ascii="Times New Roman" w:hAnsi="Times New Roman" w:eastAsia="微软雅黑" w:cs="Times New Roman"/>
              <w:lang w:val="zh-CN"/>
            </w:rPr>
            <w:fldChar w:fldCharType="separate"/>
          </w:r>
          <w:r>
            <w:rPr>
              <w:szCs w:val="24"/>
            </w:rPr>
            <w:t>4.9 给排水系统</w:t>
          </w:r>
          <w:r>
            <w:tab/>
          </w:r>
          <w:r>
            <w:fldChar w:fldCharType="begin"/>
          </w:r>
          <w:r>
            <w:instrText xml:space="preserve"> PAGEREF _Toc1079259491 \h </w:instrText>
          </w:r>
          <w:r>
            <w:fldChar w:fldCharType="separate"/>
          </w:r>
          <w:r>
            <w:t>55</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_Toc1467382675 </w:instrText>
          </w:r>
          <w:r>
            <w:rPr>
              <w:rFonts w:ascii="Times New Roman" w:hAnsi="Times New Roman" w:eastAsia="微软雅黑" w:cs="Times New Roman"/>
              <w:lang w:val="zh-CN"/>
            </w:rPr>
            <w:fldChar w:fldCharType="separate"/>
          </w:r>
          <w:r>
            <w:rPr>
              <w:szCs w:val="24"/>
            </w:rPr>
            <w:t>4.10 电气系统</w:t>
          </w:r>
          <w:r>
            <w:tab/>
          </w:r>
          <w:r>
            <w:fldChar w:fldCharType="begin"/>
          </w:r>
          <w:r>
            <w:instrText xml:space="preserve"> PAGEREF _Toc1467382675 \h </w:instrText>
          </w:r>
          <w:r>
            <w:fldChar w:fldCharType="separate"/>
          </w:r>
          <w:r>
            <w:t>56</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_Toc598416577 </w:instrText>
          </w:r>
          <w:r>
            <w:rPr>
              <w:rFonts w:ascii="Times New Roman" w:hAnsi="Times New Roman" w:eastAsia="微软雅黑" w:cs="Times New Roman"/>
              <w:lang w:val="zh-CN"/>
            </w:rPr>
            <w:fldChar w:fldCharType="separate"/>
          </w:r>
          <w:r>
            <w:rPr>
              <w:szCs w:val="24"/>
            </w:rPr>
            <w:t>4.11 消防系统</w:t>
          </w:r>
          <w:r>
            <w:tab/>
          </w:r>
          <w:r>
            <w:fldChar w:fldCharType="begin"/>
          </w:r>
          <w:r>
            <w:instrText xml:space="preserve"> PAGEREF _Toc598416577 \h </w:instrText>
          </w:r>
          <w:r>
            <w:fldChar w:fldCharType="separate"/>
          </w:r>
          <w:r>
            <w:t>57</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_Toc921490738 </w:instrText>
          </w:r>
          <w:r>
            <w:rPr>
              <w:rFonts w:ascii="Times New Roman" w:hAnsi="Times New Roman" w:eastAsia="微软雅黑" w:cs="Times New Roman"/>
              <w:lang w:val="zh-CN"/>
            </w:rPr>
            <w:fldChar w:fldCharType="separate"/>
          </w:r>
          <w:r>
            <w:rPr>
              <w:szCs w:val="24"/>
            </w:rPr>
            <w:t>4.12 布线工程</w:t>
          </w:r>
          <w:r>
            <w:tab/>
          </w:r>
          <w:r>
            <w:fldChar w:fldCharType="begin"/>
          </w:r>
          <w:r>
            <w:instrText xml:space="preserve"> PAGEREF _Toc921490738 \h </w:instrText>
          </w:r>
          <w:r>
            <w:fldChar w:fldCharType="separate"/>
          </w:r>
          <w:r>
            <w:t>57</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_Toc1990255049 </w:instrText>
          </w:r>
          <w:r>
            <w:rPr>
              <w:rFonts w:ascii="Times New Roman" w:hAnsi="Times New Roman" w:eastAsia="微软雅黑" w:cs="Times New Roman"/>
              <w:lang w:val="zh-CN"/>
            </w:rPr>
            <w:fldChar w:fldCharType="separate"/>
          </w:r>
          <w:r>
            <w:rPr>
              <w:szCs w:val="24"/>
            </w:rPr>
            <w:t>4.13 智能化系统</w:t>
          </w:r>
          <w:r>
            <w:tab/>
          </w:r>
          <w:r>
            <w:fldChar w:fldCharType="begin"/>
          </w:r>
          <w:r>
            <w:instrText xml:space="preserve"> PAGEREF _Toc1990255049 \h </w:instrText>
          </w:r>
          <w:r>
            <w:fldChar w:fldCharType="separate"/>
          </w:r>
          <w:r>
            <w:t>58</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_Toc1011322871 </w:instrText>
          </w:r>
          <w:r>
            <w:rPr>
              <w:rFonts w:ascii="Times New Roman" w:hAnsi="Times New Roman" w:eastAsia="微软雅黑" w:cs="Times New Roman"/>
              <w:lang w:val="zh-CN"/>
            </w:rPr>
            <w:fldChar w:fldCharType="separate"/>
          </w:r>
          <w:r>
            <w:rPr>
              <w:kern w:val="0"/>
              <w:szCs w:val="30"/>
            </w:rPr>
            <w:t>5</w:t>
          </w:r>
          <w:r>
            <w:rPr>
              <w:spacing w:val="62"/>
              <w:w w:val="100"/>
              <w:kern w:val="0"/>
              <w:szCs w:val="30"/>
              <w:fitText w:val="1729" w:id="1559305481"/>
            </w:rPr>
            <w:t xml:space="preserve"> 安装与实</w:t>
          </w:r>
          <w:r>
            <w:rPr>
              <w:spacing w:val="4"/>
              <w:w w:val="100"/>
              <w:kern w:val="0"/>
              <w:szCs w:val="30"/>
              <w:fitText w:val="1729" w:id="1559305481"/>
            </w:rPr>
            <w:t>施</w:t>
          </w:r>
          <w:r>
            <w:tab/>
          </w:r>
          <w:r>
            <w:fldChar w:fldCharType="begin"/>
          </w:r>
          <w:r>
            <w:instrText xml:space="preserve"> PAGEREF _Toc1011322871 \h </w:instrText>
          </w:r>
          <w:r>
            <w:fldChar w:fldCharType="separate"/>
          </w:r>
          <w:r>
            <w:t>63</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_Toc2117910539 </w:instrText>
          </w:r>
          <w:r>
            <w:rPr>
              <w:rFonts w:ascii="Times New Roman" w:hAnsi="Times New Roman" w:eastAsia="微软雅黑" w:cs="Times New Roman"/>
              <w:lang w:val="zh-CN"/>
            </w:rPr>
            <w:fldChar w:fldCharType="separate"/>
          </w:r>
          <w:r>
            <w:rPr>
              <w:szCs w:val="24"/>
            </w:rPr>
            <w:t>5.1一般规定</w:t>
          </w:r>
          <w:r>
            <w:tab/>
          </w:r>
          <w:r>
            <w:fldChar w:fldCharType="begin"/>
          </w:r>
          <w:r>
            <w:instrText xml:space="preserve"> PAGEREF _Toc2117910539 \h </w:instrText>
          </w:r>
          <w:r>
            <w:fldChar w:fldCharType="separate"/>
          </w:r>
          <w:r>
            <w:t>63</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_Toc1180979948 </w:instrText>
          </w:r>
          <w:r>
            <w:rPr>
              <w:rFonts w:ascii="Times New Roman" w:hAnsi="Times New Roman" w:eastAsia="微软雅黑" w:cs="Times New Roman"/>
              <w:lang w:val="zh-CN"/>
            </w:rPr>
            <w:fldChar w:fldCharType="separate"/>
          </w:r>
          <w:r>
            <w:rPr>
              <w:szCs w:val="24"/>
            </w:rPr>
            <w:t>5.2 安装</w:t>
          </w:r>
          <w:r>
            <w:tab/>
          </w:r>
          <w:r>
            <w:fldChar w:fldCharType="begin"/>
          </w:r>
          <w:r>
            <w:instrText xml:space="preserve"> PAGEREF _Toc1180979948 \h </w:instrText>
          </w:r>
          <w:r>
            <w:fldChar w:fldCharType="separate"/>
          </w:r>
          <w:r>
            <w:t>63</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_Toc1686120462 </w:instrText>
          </w:r>
          <w:r>
            <w:rPr>
              <w:rFonts w:ascii="Times New Roman" w:hAnsi="Times New Roman" w:eastAsia="微软雅黑" w:cs="Times New Roman"/>
              <w:lang w:val="zh-CN"/>
            </w:rPr>
            <w:fldChar w:fldCharType="separate"/>
          </w:r>
          <w:r>
            <w:rPr>
              <w:kern w:val="0"/>
              <w:szCs w:val="30"/>
            </w:rPr>
            <w:t>6</w:t>
          </w:r>
          <w:r>
            <w:rPr>
              <w:spacing w:val="100"/>
              <w:kern w:val="0"/>
              <w:szCs w:val="30"/>
              <w:fitText w:val="2107" w:id="-1080625933"/>
            </w:rPr>
            <w:t xml:space="preserve"> 验证与验</w:t>
          </w:r>
          <w:r>
            <w:rPr>
              <w:spacing w:val="3"/>
              <w:kern w:val="0"/>
              <w:szCs w:val="30"/>
              <w:fitText w:val="2107" w:id="-1080625933"/>
            </w:rPr>
            <w:t>收</w:t>
          </w:r>
          <w:r>
            <w:tab/>
          </w:r>
          <w:r>
            <w:fldChar w:fldCharType="begin"/>
          </w:r>
          <w:r>
            <w:instrText xml:space="preserve"> PAGEREF _Toc1686120462 \h </w:instrText>
          </w:r>
          <w:r>
            <w:fldChar w:fldCharType="separate"/>
          </w:r>
          <w:r>
            <w:t>69</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_Toc432399022 </w:instrText>
          </w:r>
          <w:r>
            <w:rPr>
              <w:rFonts w:ascii="Times New Roman" w:hAnsi="Times New Roman" w:eastAsia="微软雅黑" w:cs="Times New Roman"/>
              <w:lang w:val="zh-CN"/>
            </w:rPr>
            <w:fldChar w:fldCharType="separate"/>
          </w:r>
          <w:r>
            <w:rPr>
              <w:szCs w:val="24"/>
            </w:rPr>
            <w:t>6.1 一般规定</w:t>
          </w:r>
          <w:r>
            <w:tab/>
          </w:r>
          <w:r>
            <w:fldChar w:fldCharType="begin"/>
          </w:r>
          <w:r>
            <w:instrText xml:space="preserve"> PAGEREF _Toc432399022 \h </w:instrText>
          </w:r>
          <w:r>
            <w:fldChar w:fldCharType="separate"/>
          </w:r>
          <w:r>
            <w:t>69</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_Toc245701306 </w:instrText>
          </w:r>
          <w:r>
            <w:rPr>
              <w:rFonts w:ascii="Times New Roman" w:hAnsi="Times New Roman" w:eastAsia="微软雅黑" w:cs="Times New Roman"/>
              <w:lang w:val="zh-CN"/>
            </w:rPr>
            <w:fldChar w:fldCharType="separate"/>
          </w:r>
          <w:r>
            <w:rPr>
              <w:szCs w:val="24"/>
            </w:rPr>
            <w:t>6.2 液冷系统验证用负载与工具</w:t>
          </w:r>
          <w:r>
            <w:tab/>
          </w:r>
          <w:r>
            <w:fldChar w:fldCharType="begin"/>
          </w:r>
          <w:r>
            <w:instrText xml:space="preserve"> PAGEREF _Toc245701306 \h </w:instrText>
          </w:r>
          <w:r>
            <w:fldChar w:fldCharType="separate"/>
          </w:r>
          <w:r>
            <w:t>69</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_Toc2038280408 </w:instrText>
          </w:r>
          <w:r>
            <w:rPr>
              <w:rFonts w:ascii="Times New Roman" w:hAnsi="Times New Roman" w:eastAsia="微软雅黑" w:cs="Times New Roman"/>
              <w:lang w:val="zh-CN"/>
            </w:rPr>
            <w:fldChar w:fldCharType="separate"/>
          </w:r>
          <w:r>
            <w:rPr>
              <w:szCs w:val="24"/>
            </w:rPr>
            <w:t>6.3 验证用负载与工具的功能</w:t>
          </w:r>
          <w:r>
            <w:tab/>
          </w:r>
          <w:r>
            <w:fldChar w:fldCharType="begin"/>
          </w:r>
          <w:r>
            <w:instrText xml:space="preserve"> PAGEREF _Toc2038280408 \h </w:instrText>
          </w:r>
          <w:r>
            <w:fldChar w:fldCharType="separate"/>
          </w:r>
          <w:r>
            <w:t>71</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_Toc719680312 </w:instrText>
          </w:r>
          <w:r>
            <w:rPr>
              <w:rFonts w:ascii="Times New Roman" w:hAnsi="Times New Roman" w:eastAsia="微软雅黑" w:cs="Times New Roman"/>
              <w:lang w:val="zh-CN"/>
            </w:rPr>
            <w:fldChar w:fldCharType="separate"/>
          </w:r>
          <w:r>
            <w:rPr>
              <w:szCs w:val="24"/>
            </w:rPr>
            <w:t>6.4 验证用负载与工具实施方法</w:t>
          </w:r>
          <w:r>
            <w:tab/>
          </w:r>
          <w:r>
            <w:fldChar w:fldCharType="begin"/>
          </w:r>
          <w:r>
            <w:instrText xml:space="preserve"> PAGEREF _Toc719680312 \h </w:instrText>
          </w:r>
          <w:r>
            <w:fldChar w:fldCharType="separate"/>
          </w:r>
          <w:r>
            <w:t>72</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_Toc1039103880 </w:instrText>
          </w:r>
          <w:r>
            <w:rPr>
              <w:rFonts w:ascii="Times New Roman" w:hAnsi="Times New Roman" w:eastAsia="微软雅黑" w:cs="Times New Roman"/>
              <w:lang w:val="zh-CN"/>
            </w:rPr>
            <w:fldChar w:fldCharType="separate"/>
          </w:r>
          <w:r>
            <w:rPr>
              <w:szCs w:val="24"/>
            </w:rPr>
            <w:t>6.5 系统可靠性验证</w:t>
          </w:r>
          <w:r>
            <w:tab/>
          </w:r>
          <w:r>
            <w:fldChar w:fldCharType="begin"/>
          </w:r>
          <w:r>
            <w:instrText xml:space="preserve"> PAGEREF _Toc1039103880 \h </w:instrText>
          </w:r>
          <w:r>
            <w:fldChar w:fldCharType="separate"/>
          </w:r>
          <w:r>
            <w:t>73</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_Toc881893756 </w:instrText>
          </w:r>
          <w:r>
            <w:rPr>
              <w:rFonts w:ascii="Times New Roman" w:hAnsi="Times New Roman" w:eastAsia="微软雅黑" w:cs="Times New Roman"/>
              <w:lang w:val="zh-CN"/>
            </w:rPr>
            <w:fldChar w:fldCharType="separate"/>
          </w:r>
          <w:r>
            <w:rPr>
              <w:szCs w:val="24"/>
            </w:rPr>
            <w:t>6.6系统验收</w:t>
          </w:r>
          <w:r>
            <w:tab/>
          </w:r>
          <w:r>
            <w:fldChar w:fldCharType="begin"/>
          </w:r>
          <w:r>
            <w:instrText xml:space="preserve"> PAGEREF _Toc881893756 \h </w:instrText>
          </w:r>
          <w:r>
            <w:fldChar w:fldCharType="separate"/>
          </w:r>
          <w:r>
            <w:t>77</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_Toc56225498 </w:instrText>
          </w:r>
          <w:r>
            <w:rPr>
              <w:rFonts w:ascii="Times New Roman" w:hAnsi="Times New Roman" w:eastAsia="微软雅黑" w:cs="Times New Roman"/>
              <w:lang w:val="zh-CN"/>
            </w:rPr>
            <w:fldChar w:fldCharType="separate"/>
          </w:r>
          <w:r>
            <w:rPr>
              <w:kern w:val="0"/>
              <w:szCs w:val="30"/>
            </w:rPr>
            <w:t>7</w:t>
          </w:r>
          <w:r>
            <w:rPr>
              <w:spacing w:val="84"/>
              <w:kern w:val="0"/>
              <w:szCs w:val="30"/>
              <w:fitText w:val="3429" w:id="1983178868"/>
            </w:rPr>
            <w:t xml:space="preserve"> 液冷数据中心的评</w:t>
          </w:r>
          <w:r>
            <w:rPr>
              <w:spacing w:val="8"/>
              <w:kern w:val="0"/>
              <w:szCs w:val="30"/>
              <w:fitText w:val="3429" w:id="1983178868"/>
            </w:rPr>
            <w:t>价</w:t>
          </w:r>
          <w:r>
            <w:rPr>
              <w:rFonts w:hint="eastAsia"/>
              <w:kern w:val="0"/>
              <w:szCs w:val="30"/>
            </w:rPr>
            <w:t>指标</w:t>
          </w:r>
          <w:r>
            <w:tab/>
          </w:r>
          <w:r>
            <w:fldChar w:fldCharType="begin"/>
          </w:r>
          <w:r>
            <w:instrText xml:space="preserve"> PAGEREF _Toc56225498 \h </w:instrText>
          </w:r>
          <w:r>
            <w:fldChar w:fldCharType="separate"/>
          </w:r>
          <w:r>
            <w:t>80</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_Toc89140206 </w:instrText>
          </w:r>
          <w:r>
            <w:rPr>
              <w:rFonts w:ascii="Times New Roman" w:hAnsi="Times New Roman" w:eastAsia="微软雅黑" w:cs="Times New Roman"/>
              <w:lang w:val="zh-CN"/>
            </w:rPr>
            <w:fldChar w:fldCharType="separate"/>
          </w:r>
          <w:r>
            <w:rPr>
              <w:szCs w:val="24"/>
            </w:rPr>
            <w:t>7.1冷板式液冷数据中心</w:t>
          </w:r>
          <w:r>
            <w:rPr>
              <w:rFonts w:hint="eastAsia"/>
              <w:szCs w:val="24"/>
            </w:rPr>
            <w:t>的评价指标</w:t>
          </w:r>
          <w:r>
            <w:tab/>
          </w:r>
          <w:r>
            <w:fldChar w:fldCharType="begin"/>
          </w:r>
          <w:r>
            <w:instrText xml:space="preserve"> PAGEREF _Toc89140206 \h </w:instrText>
          </w:r>
          <w:r>
            <w:fldChar w:fldCharType="separate"/>
          </w:r>
          <w:r>
            <w:t>80</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_Toc1383340283 </w:instrText>
          </w:r>
          <w:r>
            <w:rPr>
              <w:rFonts w:ascii="Times New Roman" w:hAnsi="Times New Roman" w:eastAsia="微软雅黑" w:cs="Times New Roman"/>
              <w:lang w:val="zh-CN"/>
            </w:rPr>
            <w:fldChar w:fldCharType="separate"/>
          </w:r>
          <w:r>
            <w:rPr>
              <w:szCs w:val="24"/>
            </w:rPr>
            <w:t>7.2 浸没式液冷数据中心</w:t>
          </w:r>
          <w:r>
            <w:rPr>
              <w:rFonts w:hint="eastAsia"/>
              <w:szCs w:val="24"/>
            </w:rPr>
            <w:t>的评价指标</w:t>
          </w:r>
          <w:r>
            <w:tab/>
          </w:r>
          <w:r>
            <w:fldChar w:fldCharType="begin"/>
          </w:r>
          <w:r>
            <w:instrText xml:space="preserve"> PAGEREF _Toc1383340283 \h </w:instrText>
          </w:r>
          <w:r>
            <w:fldChar w:fldCharType="separate"/>
          </w:r>
          <w:r>
            <w:t>80</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_Toc1142173959 </w:instrText>
          </w:r>
          <w:r>
            <w:rPr>
              <w:rFonts w:ascii="Times New Roman" w:hAnsi="Times New Roman" w:eastAsia="微软雅黑" w:cs="Times New Roman"/>
              <w:lang w:val="zh-CN"/>
            </w:rPr>
            <w:fldChar w:fldCharType="separate"/>
          </w:r>
          <w:r>
            <w:rPr>
              <w:szCs w:val="24"/>
            </w:rPr>
            <w:t>7.3 风液冷兼容</w:t>
          </w:r>
          <w:r>
            <w:tab/>
          </w:r>
          <w:r>
            <w:fldChar w:fldCharType="begin"/>
          </w:r>
          <w:r>
            <w:instrText xml:space="preserve"> PAGEREF _Toc1142173959 \h </w:instrText>
          </w:r>
          <w:r>
            <w:fldChar w:fldCharType="separate"/>
          </w:r>
          <w:r>
            <w:t>81</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_Toc161408380 </w:instrText>
          </w:r>
          <w:r>
            <w:rPr>
              <w:rFonts w:ascii="Times New Roman" w:hAnsi="Times New Roman" w:eastAsia="微软雅黑" w:cs="Times New Roman"/>
              <w:lang w:val="zh-CN"/>
            </w:rPr>
            <w:fldChar w:fldCharType="separate"/>
          </w:r>
          <w:r>
            <w:rPr>
              <w:kern w:val="0"/>
              <w:szCs w:val="30"/>
            </w:rPr>
            <w:t>8</w:t>
          </w:r>
          <w:r>
            <w:rPr>
              <w:spacing w:val="38"/>
              <w:w w:val="100"/>
              <w:kern w:val="0"/>
              <w:szCs w:val="30"/>
              <w:fitText w:val="1204" w:id="1473200335"/>
            </w:rPr>
            <w:t xml:space="preserve"> 运维管</w:t>
          </w:r>
          <w:r>
            <w:rPr>
              <w:spacing w:val="0"/>
              <w:w w:val="100"/>
              <w:kern w:val="0"/>
              <w:szCs w:val="30"/>
              <w:fitText w:val="1204" w:id="1473200335"/>
            </w:rPr>
            <w:t>理</w:t>
          </w:r>
          <w:r>
            <w:tab/>
          </w:r>
          <w:r>
            <w:fldChar w:fldCharType="begin"/>
          </w:r>
          <w:r>
            <w:instrText xml:space="preserve"> PAGEREF _Toc161408380 \h </w:instrText>
          </w:r>
          <w:r>
            <w:fldChar w:fldCharType="separate"/>
          </w:r>
          <w:r>
            <w:t>82</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_Toc518796499 </w:instrText>
          </w:r>
          <w:r>
            <w:rPr>
              <w:rFonts w:ascii="Times New Roman" w:hAnsi="Times New Roman" w:eastAsia="微软雅黑" w:cs="Times New Roman"/>
              <w:lang w:val="zh-CN"/>
            </w:rPr>
            <w:fldChar w:fldCharType="separate"/>
          </w:r>
          <w:r>
            <w:rPr>
              <w:szCs w:val="24"/>
            </w:rPr>
            <w:t>8.1 浸没式液冷</w:t>
          </w:r>
          <w:r>
            <w:rPr>
              <w:rFonts w:hint="eastAsia"/>
              <w:szCs w:val="24"/>
            </w:rPr>
            <w:t>的</w:t>
          </w:r>
          <w:r>
            <w:rPr>
              <w:szCs w:val="24"/>
            </w:rPr>
            <w:t>运维管理</w:t>
          </w:r>
          <w:r>
            <w:tab/>
          </w:r>
          <w:r>
            <w:fldChar w:fldCharType="begin"/>
          </w:r>
          <w:r>
            <w:instrText xml:space="preserve"> PAGEREF _Toc518796499 \h </w:instrText>
          </w:r>
          <w:r>
            <w:fldChar w:fldCharType="separate"/>
          </w:r>
          <w:r>
            <w:t>82</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_Toc629151873 </w:instrText>
          </w:r>
          <w:r>
            <w:rPr>
              <w:rFonts w:ascii="Times New Roman" w:hAnsi="Times New Roman" w:eastAsia="微软雅黑" w:cs="Times New Roman"/>
              <w:lang w:val="zh-CN"/>
            </w:rPr>
            <w:fldChar w:fldCharType="separate"/>
          </w:r>
          <w:r>
            <w:rPr>
              <w:szCs w:val="24"/>
            </w:rPr>
            <w:t>8.2 冷板式液冷的运维管理</w:t>
          </w:r>
          <w:r>
            <w:tab/>
          </w:r>
          <w:r>
            <w:fldChar w:fldCharType="begin"/>
          </w:r>
          <w:r>
            <w:instrText xml:space="preserve"> PAGEREF _Toc629151873 \h </w:instrText>
          </w:r>
          <w:r>
            <w:fldChar w:fldCharType="separate"/>
          </w:r>
          <w:r>
            <w:t>86</w:t>
          </w:r>
          <w:r>
            <w:fldChar w:fldCharType="end"/>
          </w:r>
          <w:r>
            <w:rPr>
              <w:rFonts w:ascii="Times New Roman" w:hAnsi="Times New Roman" w:eastAsia="微软雅黑" w:cs="Times New Roman"/>
              <w:color w:val="auto"/>
              <w:lang w:val="zh-CN"/>
            </w:rPr>
            <w:fldChar w:fldCharType="end"/>
          </w:r>
        </w:p>
        <w:p>
          <w:pPr>
            <w:pStyle w:val="24"/>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_Toc2093535330 </w:instrText>
          </w:r>
          <w:r>
            <w:rPr>
              <w:rFonts w:ascii="Times New Roman" w:hAnsi="Times New Roman" w:eastAsia="微软雅黑" w:cs="Times New Roman"/>
              <w:lang w:val="zh-CN"/>
            </w:rPr>
            <w:fldChar w:fldCharType="separate"/>
          </w:r>
          <w:r>
            <w:rPr>
              <w:szCs w:val="24"/>
            </w:rPr>
            <w:t>8.3 液冷系统水质维护管理</w:t>
          </w:r>
          <w:r>
            <w:tab/>
          </w:r>
          <w:r>
            <w:fldChar w:fldCharType="begin"/>
          </w:r>
          <w:r>
            <w:instrText xml:space="preserve"> PAGEREF _Toc2093535330 \h </w:instrText>
          </w:r>
          <w:r>
            <w:fldChar w:fldCharType="separate"/>
          </w:r>
          <w:r>
            <w:t>90</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_Toc1676218862 </w:instrText>
          </w:r>
          <w:r>
            <w:rPr>
              <w:rFonts w:ascii="Times New Roman" w:hAnsi="Times New Roman" w:eastAsia="微软雅黑" w:cs="Times New Roman"/>
              <w:lang w:val="zh-CN"/>
            </w:rPr>
            <w:fldChar w:fldCharType="separate"/>
          </w:r>
          <w:r>
            <w:rPr>
              <w:szCs w:val="30"/>
            </w:rPr>
            <w:t>用词说明</w:t>
          </w:r>
          <w:r>
            <w:tab/>
          </w:r>
          <w:r>
            <w:fldChar w:fldCharType="begin"/>
          </w:r>
          <w:r>
            <w:instrText xml:space="preserve"> PAGEREF _Toc1676218862 \h </w:instrText>
          </w:r>
          <w:r>
            <w:fldChar w:fldCharType="separate"/>
          </w:r>
          <w:r>
            <w:t>93</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_Toc1519932288 </w:instrText>
          </w:r>
          <w:r>
            <w:rPr>
              <w:rFonts w:ascii="Times New Roman" w:hAnsi="Times New Roman" w:eastAsia="微软雅黑" w:cs="Times New Roman"/>
              <w:lang w:val="zh-CN"/>
            </w:rPr>
            <w:fldChar w:fldCharType="separate"/>
          </w:r>
          <w:r>
            <w:rPr>
              <w:szCs w:val="30"/>
            </w:rPr>
            <w:t>引用标准名录</w:t>
          </w:r>
          <w:r>
            <w:tab/>
          </w:r>
          <w:r>
            <w:fldChar w:fldCharType="begin"/>
          </w:r>
          <w:r>
            <w:instrText xml:space="preserve"> PAGEREF _Toc1519932288 \h </w:instrText>
          </w:r>
          <w:r>
            <w:fldChar w:fldCharType="separate"/>
          </w:r>
          <w:r>
            <w:t>94</w:t>
          </w:r>
          <w:r>
            <w:fldChar w:fldCharType="end"/>
          </w:r>
          <w:r>
            <w:rPr>
              <w:rFonts w:ascii="Times New Roman" w:hAnsi="Times New Roman" w:eastAsia="微软雅黑" w:cs="Times New Roman"/>
              <w:color w:val="auto"/>
              <w:lang w:val="zh-CN"/>
            </w:rPr>
            <w:fldChar w:fldCharType="end"/>
          </w:r>
        </w:p>
        <w:p>
          <w:pPr>
            <w:pStyle w:val="21"/>
            <w:tabs>
              <w:tab w:val="right" w:leader="dot" w:pos="8306"/>
            </w:tabs>
          </w:pPr>
          <w:r>
            <w:rPr>
              <w:rFonts w:ascii="Times New Roman" w:hAnsi="Times New Roman" w:eastAsia="微软雅黑" w:cs="Times New Roman"/>
              <w:color w:val="auto"/>
              <w:lang w:val="zh-CN"/>
            </w:rPr>
            <w:fldChar w:fldCharType="begin"/>
          </w:r>
          <w:r>
            <w:rPr>
              <w:rFonts w:ascii="Times New Roman" w:hAnsi="Times New Roman" w:eastAsia="微软雅黑" w:cs="Times New Roman"/>
              <w:lang w:val="zh-CN"/>
            </w:rPr>
            <w:instrText xml:space="preserve"> HYPERLINK \l _Toc1183983351 </w:instrText>
          </w:r>
          <w:r>
            <w:rPr>
              <w:rFonts w:ascii="Times New Roman" w:hAnsi="Times New Roman" w:eastAsia="微软雅黑" w:cs="Times New Roman"/>
              <w:lang w:val="zh-CN"/>
            </w:rPr>
            <w:fldChar w:fldCharType="separate"/>
          </w:r>
          <w:r>
            <w:rPr>
              <w:szCs w:val="30"/>
            </w:rPr>
            <w:t>附：条文说明</w:t>
          </w:r>
          <w:r>
            <w:tab/>
          </w:r>
          <w:r>
            <w:fldChar w:fldCharType="begin"/>
          </w:r>
          <w:r>
            <w:instrText xml:space="preserve"> PAGEREF _Toc1183983351 \h </w:instrText>
          </w:r>
          <w:r>
            <w:fldChar w:fldCharType="separate"/>
          </w:r>
          <w:r>
            <w:t>95</w:t>
          </w:r>
          <w:r>
            <w:fldChar w:fldCharType="end"/>
          </w:r>
          <w:r>
            <w:rPr>
              <w:rFonts w:ascii="Times New Roman" w:hAnsi="Times New Roman" w:eastAsia="微软雅黑" w:cs="Times New Roman"/>
              <w:color w:val="auto"/>
              <w:lang w:val="zh-CN"/>
            </w:rPr>
            <w:fldChar w:fldCharType="end"/>
          </w:r>
        </w:p>
        <w:p>
          <w:pPr>
            <w:pStyle w:val="54"/>
            <w:keepNext w:val="0"/>
            <w:keepLines w:val="0"/>
            <w:widowControl w:val="0"/>
            <w:jc w:val="center"/>
            <w:rPr>
              <w:rFonts w:ascii="Times New Roman" w:hAnsi="Times New Roman" w:eastAsia="微软雅黑" w:cs="Times New Roman"/>
              <w:color w:val="auto"/>
              <w:lang w:val="zh-CN"/>
            </w:rPr>
          </w:pPr>
          <w:r>
            <w:rPr>
              <w:rFonts w:ascii="Times New Roman" w:hAnsi="Times New Roman" w:eastAsia="微软雅黑" w:cs="Times New Roman"/>
              <w:color w:val="auto"/>
              <w:lang w:val="zh-CN"/>
            </w:rPr>
            <w:fldChar w:fldCharType="end"/>
          </w:r>
        </w:p>
        <w:p>
          <w:pPr>
            <w:pStyle w:val="54"/>
            <w:keepNext w:val="0"/>
            <w:keepLines w:val="0"/>
            <w:widowControl w:val="0"/>
            <w:jc w:val="center"/>
            <w:rPr>
              <w:rFonts w:ascii="Times New Roman" w:hAnsi="Times New Roman" w:eastAsia="微软雅黑" w:cs="Times New Roman"/>
              <w:b/>
              <w:bCs/>
              <w:color w:val="auto"/>
              <w:kern w:val="0"/>
              <w:sz w:val="28"/>
              <w:szCs w:val="28"/>
              <w:lang w:val="en-US"/>
            </w:rPr>
          </w:pPr>
        </w:p>
        <w:p>
          <w:pPr>
            <w:pStyle w:val="54"/>
            <w:keepNext w:val="0"/>
            <w:keepLines w:val="0"/>
            <w:widowControl w:val="0"/>
            <w:jc w:val="center"/>
            <w:rPr>
              <w:rFonts w:ascii="Times New Roman" w:hAnsi="Times New Roman" w:eastAsia="微软雅黑" w:cs="Times New Roman"/>
              <w:b/>
              <w:bCs/>
              <w:color w:val="auto"/>
              <w:kern w:val="0"/>
              <w:sz w:val="28"/>
              <w:szCs w:val="28"/>
              <w:lang w:val="en-US"/>
            </w:rPr>
          </w:pPr>
        </w:p>
        <w:p>
          <w:pPr>
            <w:rPr>
              <w:lang w:val="en-US"/>
            </w:rPr>
          </w:pPr>
        </w:p>
        <w:p>
          <w:pPr>
            <w:pStyle w:val="54"/>
            <w:keepNext w:val="0"/>
            <w:keepLines w:val="0"/>
            <w:widowControl w:val="0"/>
            <w:jc w:val="center"/>
            <w:rPr>
              <w:rFonts w:ascii="Times New Roman" w:hAnsi="Times New Roman" w:eastAsia="微软雅黑" w:cs="Times New Roman"/>
              <w:b/>
              <w:bCs/>
              <w:color w:val="auto"/>
              <w:kern w:val="0"/>
              <w:sz w:val="28"/>
              <w:szCs w:val="28"/>
              <w:lang w:val="en-US"/>
            </w:rPr>
          </w:pPr>
        </w:p>
        <w:p>
          <w:pPr>
            <w:pStyle w:val="54"/>
            <w:keepNext w:val="0"/>
            <w:keepLines w:val="0"/>
            <w:widowControl w:val="0"/>
            <w:jc w:val="center"/>
            <w:rPr>
              <w:rFonts w:ascii="Times New Roman" w:hAnsi="Times New Roman" w:eastAsia="微软雅黑" w:cs="Times New Roman"/>
              <w:b/>
              <w:bCs/>
              <w:color w:val="auto"/>
              <w:kern w:val="0"/>
              <w:sz w:val="28"/>
              <w:szCs w:val="28"/>
              <w:lang w:val="en-US"/>
            </w:rPr>
          </w:pPr>
        </w:p>
        <w:p>
          <w:pPr>
            <w:pStyle w:val="54"/>
            <w:keepNext w:val="0"/>
            <w:keepLines w:val="0"/>
            <w:widowControl w:val="0"/>
            <w:jc w:val="center"/>
            <w:rPr>
              <w:rFonts w:ascii="Times New Roman" w:hAnsi="Times New Roman" w:eastAsia="微软雅黑" w:cs="Times New Roman"/>
              <w:b/>
              <w:bCs/>
              <w:color w:val="auto"/>
              <w:kern w:val="0"/>
              <w:sz w:val="28"/>
              <w:szCs w:val="28"/>
              <w:lang w:val="en-US"/>
            </w:rPr>
          </w:pPr>
        </w:p>
        <w:p>
          <w:pPr>
            <w:pStyle w:val="54"/>
            <w:keepNext w:val="0"/>
            <w:keepLines w:val="0"/>
            <w:widowControl w:val="0"/>
            <w:jc w:val="center"/>
            <w:rPr>
              <w:rFonts w:ascii="Times New Roman" w:hAnsi="Times New Roman" w:eastAsia="微软雅黑" w:cs="Times New Roman"/>
              <w:b/>
              <w:bCs/>
              <w:color w:val="auto"/>
              <w:kern w:val="0"/>
              <w:sz w:val="28"/>
              <w:szCs w:val="28"/>
              <w:lang w:val="en-US"/>
            </w:rPr>
          </w:pPr>
        </w:p>
        <w:p>
          <w:pPr>
            <w:pStyle w:val="21"/>
            <w:tabs>
              <w:tab w:val="right" w:leader="dot" w:pos="8306"/>
            </w:tabs>
            <w:jc w:val="center"/>
            <w:rPr>
              <w:rFonts w:ascii="Times New Roman" w:hAnsi="Times New Roman" w:eastAsia="微软雅黑" w:cs="Times New Roman"/>
              <w:color w:val="auto"/>
              <w:lang w:val="zh-CN"/>
            </w:rPr>
          </w:pPr>
          <w:r>
            <w:rPr>
              <w:rFonts w:ascii="Times New Roman" w:hAnsi="Times New Roman" w:eastAsia="微软雅黑" w:cs="Times New Roman"/>
              <w:color w:val="auto"/>
              <w:lang w:val="zh-CN"/>
            </w:rPr>
            <w:t>CONTENTS</w:t>
          </w:r>
        </w:p>
        <w:p>
          <w:pPr>
            <w:pStyle w:val="21"/>
            <w:tabs>
              <w:tab w:val="right" w:leader="dot" w:pos="8306"/>
            </w:tabs>
            <w:rPr>
              <w:lang w:val="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"_Toc142901863"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1 </w:t>
          </w:r>
          <w:r>
            <w:rPr>
              <w:rFonts w:hint="eastAsia" w:ascii="Times New Roman" w:hAnsi="Times New Roman" w:eastAsia="微软雅黑" w:cs="Times New Roman"/>
              <w:color w:val="auto"/>
              <w:lang w:val="zh-CN"/>
            </w:rPr>
            <w:t>ge</w:t>
          </w:r>
          <w:r>
            <w:rPr>
              <w:rFonts w:ascii="Times New Roman" w:hAnsi="Times New Roman" w:eastAsia="微软雅黑" w:cs="Times New Roman"/>
              <w:color w:val="auto"/>
              <w:lang w:val="zh-CN"/>
            </w:rPr>
            <w:t>neral principles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p>
        <w:p>
          <w:pPr>
            <w:pStyle w:val="21"/>
            <w:tabs>
              <w:tab w:val="right" w:leader="dot" w:pos="8306"/>
            </w:tabs>
            <w:rPr>
              <w:rFonts w:ascii="Times New Roman" w:hAnsi="Times New Roman" w:eastAsia="微软雅黑" w:cs="Times New Roman"/>
              <w:color w:val="auto"/>
              <w:lang w:val="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"_Toc142901864"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2 Terms and symbols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9</w:t>
          </w:r>
          <w:r>
            <w:rPr>
              <w:rFonts w:ascii="Times New Roman" w:hAnsi="Times New Roman" w:eastAsia="微软雅黑" w:cs="Times New Roman"/>
              <w:color w:val="auto"/>
              <w:lang w:val="zh-CN"/>
            </w:rPr>
            <w:fldChar w:fldCharType="end"/>
          </w:r>
        </w:p>
        <w:p>
          <w:pPr>
            <w:pStyle w:val="21"/>
            <w:tabs>
              <w:tab w:val="right" w:leader="dot" w:pos="8306"/>
            </w:tabs>
            <w:rPr>
              <w:rFonts w:ascii="Times New Roman" w:hAnsi="Times New Roman" w:eastAsia="微软雅黑" w:cs="Times New Roman"/>
              <w:color w:val="auto"/>
              <w:lang w:val="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"_Toc142901865"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3 Fundamentals</w:t>
          </w:r>
          <w:r>
            <w:rPr>
              <w:rFonts w:ascii="Times New Roman" w:hAnsi="Times New Roman" w:eastAsia="微软雅黑" w:cs="Times New Roman"/>
              <w:color w:val="auto"/>
              <w:lang w:val="zh-CN"/>
            </w:rPr>
            <w:tab/>
          </w: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PAGEREF _Toc142901865 \h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16</w:t>
          </w:r>
          <w:r>
            <w:rPr>
              <w:rFonts w:ascii="Times New Roman" w:hAnsi="Times New Roman" w:eastAsia="微软雅黑" w:cs="Times New Roman"/>
              <w:color w:val="auto"/>
              <w:lang w:val="zh-CN"/>
            </w:rPr>
            <w:fldChar w:fldCharType="end"/>
          </w:r>
          <w:r>
            <w:rPr>
              <w:rFonts w:ascii="Times New Roman" w:hAnsi="Times New Roman" w:eastAsia="微软雅黑" w:cs="Times New Roman"/>
              <w:color w:val="auto"/>
              <w:lang w:val="zh-CN"/>
            </w:rPr>
            <w:fldChar w:fldCharType="end"/>
          </w:r>
        </w:p>
        <w:p>
          <w:pPr>
            <w:pStyle w:val="21"/>
            <w:tabs>
              <w:tab w:val="right" w:leader="dot" w:pos="8306"/>
            </w:tabs>
            <w:rPr>
              <w:rFonts w:ascii="Times New Roman" w:hAnsi="Times New Roman" w:eastAsia="微软雅黑" w:cs="Times New Roman"/>
              <w:color w:val="auto"/>
              <w:lang w:val="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"_Toc142901866"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3.1 Reliability Rating on Liquid Cooled Data Centers</w:t>
          </w:r>
          <w:r>
            <w:rPr>
              <w:rFonts w:ascii="Times New Roman" w:hAnsi="Times New Roman" w:eastAsia="微软雅黑" w:cs="Times New Roman"/>
              <w:color w:val="auto"/>
              <w:lang w:val="zh-CN"/>
            </w:rPr>
            <w:tab/>
          </w: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PAGEREF _Toc142901866 \h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16</w:t>
          </w:r>
          <w:r>
            <w:rPr>
              <w:rFonts w:ascii="Times New Roman" w:hAnsi="Times New Roman" w:eastAsia="微软雅黑" w:cs="Times New Roman"/>
              <w:color w:val="auto"/>
              <w:lang w:val="zh-CN"/>
            </w:rPr>
            <w:fldChar w:fldCharType="end"/>
          </w:r>
          <w:r>
            <w:rPr>
              <w:rFonts w:ascii="Times New Roman" w:hAnsi="Times New Roman" w:eastAsia="微软雅黑" w:cs="Times New Roman"/>
              <w:color w:val="auto"/>
              <w:lang w:val="zh-CN"/>
            </w:rPr>
            <w:fldChar w:fldCharType="end"/>
          </w:r>
        </w:p>
        <w:p>
          <w:pPr>
            <w:pStyle w:val="21"/>
            <w:tabs>
              <w:tab w:val="right" w:leader="dot" w:pos="8306"/>
            </w:tabs>
            <w:rPr>
              <w:rFonts w:hint="default" w:ascii="Times New Roman" w:hAnsi="Times New Roman" w:eastAsia="微软雅黑" w:cs="Times New Roman"/>
              <w:color w:val="auto"/>
              <w:lang w:val="en-US" w:eastAsia="zh-CN"/>
            </w:rPr>
          </w:pPr>
          <w:r>
            <w:rPr>
              <w:rFonts w:ascii="Times New Roman" w:hAnsi="Times New Roman" w:eastAsia="微软雅黑" w:cs="Times New Roman"/>
              <w:color w:val="auto"/>
              <w:lang w:val="zh-CN"/>
            </w:rPr>
            <w:t>3.2 Reliability on liquid-cooled equipments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21</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"_Toc142901867"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w:t>
          </w:r>
          <w:r>
            <w:rPr>
              <w:rFonts w:hint="eastAsia" w:ascii="Times New Roman" w:hAnsi="Times New Roman" w:eastAsia="微软雅黑" w:cs="Times New Roman"/>
              <w:color w:val="auto"/>
              <w:lang w:val="zh-CN"/>
            </w:rPr>
            <w:t xml:space="preserve"> </w:t>
          </w:r>
          <w:r>
            <w:rPr>
              <w:rFonts w:ascii="Times New Roman" w:hAnsi="Times New Roman" w:eastAsia="微软雅黑" w:cs="Times New Roman"/>
              <w:color w:val="auto"/>
              <w:lang w:val="zh-CN"/>
            </w:rPr>
            <w:t xml:space="preserve">Design of date centers </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2</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"_Toc142901868"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4.1 general requirements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2</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"_Toc142901869"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4.2 L</w:t>
          </w:r>
          <w:r>
            <w:rPr>
              <w:rFonts w:hint="eastAsia" w:ascii="Times New Roman" w:hAnsi="Times New Roman" w:eastAsia="微软雅黑" w:cs="Times New Roman"/>
              <w:color w:val="auto"/>
              <w:lang w:val="zh-CN"/>
            </w:rPr>
            <w:t>ayout</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2</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"_Toc142901870"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4.3 Design parameters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2</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4</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"_Toc142901871"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4.4 Buildings and Structures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2</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6</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"_Toc142901872"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4.5</w:t>
          </w:r>
          <w:r>
            <w:rPr>
              <w:rFonts w:hint="eastAsia" w:ascii="Times New Roman" w:hAnsi="Times New Roman" w:eastAsia="微软雅黑" w:cs="Times New Roman"/>
              <w:color w:val="auto"/>
              <w:lang w:val="zh-CN"/>
            </w:rPr>
            <w:t xml:space="preserve"> Cooling equipment</w:t>
          </w:r>
          <w:r>
            <w:rPr>
              <w:rFonts w:ascii="Times New Roman" w:hAnsi="Times New Roman" w:eastAsia="微软雅黑" w:cs="Times New Roman"/>
              <w:color w:val="auto"/>
              <w:lang w:val="zh-CN"/>
            </w:rPr>
            <w: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2</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8</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"_Toc142901873"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4.6 </w:t>
          </w:r>
          <w:r>
            <w:rPr>
              <w:rFonts w:hint="eastAsia" w:ascii="Times New Roman" w:hAnsi="Times New Roman" w:eastAsia="微软雅黑" w:cs="Times New Roman"/>
              <w:color w:val="auto"/>
              <w:lang w:val="zh-CN"/>
            </w:rPr>
            <w:t>Cooling systems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3</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2</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"_Toc142901874"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4.7 C</w:t>
          </w:r>
          <w:r>
            <w:rPr>
              <w:rFonts w:hint="eastAsia" w:ascii="Times New Roman" w:hAnsi="Times New Roman" w:eastAsia="微软雅黑" w:cs="Times New Roman"/>
              <w:color w:val="auto"/>
              <w:lang w:val="zh-CN"/>
            </w:rPr>
            <w:t>oolants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3</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4</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"_Toc142901875"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4.8 Heating </w:t>
          </w:r>
          <w:r>
            <w:rPr>
              <w:rFonts w:hint="eastAsia" w:ascii="Times New Roman" w:hAnsi="Times New Roman" w:eastAsia="微软雅黑" w:cs="Times New Roman"/>
              <w:color w:val="auto"/>
              <w:lang w:val="zh-CN"/>
            </w:rPr>
            <w:t>and</w:t>
          </w:r>
          <w:r>
            <w:rPr>
              <w:rFonts w:ascii="Times New Roman" w:hAnsi="Times New Roman" w:eastAsia="微软雅黑" w:cs="Times New Roman"/>
              <w:color w:val="auto"/>
              <w:lang w:val="zh-CN"/>
            </w:rPr>
            <w:t xml:space="preserve"> Ventilation Systems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5</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4</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"_Toc142901876"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4.9 W</w:t>
          </w:r>
          <w:r>
            <w:rPr>
              <w:rFonts w:hint="eastAsia" w:ascii="Times New Roman" w:hAnsi="Times New Roman" w:eastAsia="微软雅黑" w:cs="Times New Roman"/>
              <w:color w:val="auto"/>
              <w:lang w:val="zh-CN"/>
            </w:rPr>
            <w:t>ater supply and drainage systems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5</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5</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"_Toc142901877"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4.10 Electrical Systems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5</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6</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"_Toc142901877"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4.11</w:t>
          </w:r>
          <w:r>
            <w:rPr>
              <w:rFonts w:hint="eastAsia" w:ascii="Times New Roman" w:hAnsi="Times New Roman" w:eastAsia="微软雅黑" w:cs="Times New Roman"/>
              <w:color w:val="auto"/>
              <w:lang w:val="zh-CN"/>
            </w:rPr>
            <w:t xml:space="preserve"> </w:t>
          </w:r>
          <w:r>
            <w:rPr>
              <w:rFonts w:ascii="Times New Roman" w:hAnsi="Times New Roman" w:eastAsia="微软雅黑" w:cs="Times New Roman"/>
              <w:color w:val="auto"/>
              <w:lang w:val="zh-CN"/>
            </w:rPr>
            <w:t>F</w:t>
          </w:r>
          <w:r>
            <w:rPr>
              <w:rFonts w:hint="eastAsia" w:ascii="Times New Roman" w:hAnsi="Times New Roman" w:eastAsia="微软雅黑" w:cs="Times New Roman"/>
              <w:color w:val="auto"/>
              <w:lang w:val="zh-CN"/>
            </w:rPr>
            <w:t>ire extinguisher systems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5</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7</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"_Toc142901877"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4.12 </w:t>
          </w:r>
          <w:r>
            <w:rPr>
              <w:rFonts w:hint="eastAsia" w:ascii="Times New Roman" w:hAnsi="Times New Roman" w:eastAsia="微软雅黑" w:cs="Times New Roman"/>
              <w:color w:val="auto"/>
              <w:lang w:val="zh-CN"/>
            </w:rPr>
            <w:t>cabling</w:t>
          </w:r>
          <w:r>
            <w:rPr>
              <w:rFonts w:ascii="Times New Roman" w:hAnsi="Times New Roman" w:eastAsia="微软雅黑" w:cs="Times New Roman"/>
              <w:color w:val="auto"/>
              <w:lang w:val="zh-CN"/>
            </w:rPr>
            <w:t xml:space="preserve"> </w:t>
          </w:r>
          <w:r>
            <w:rPr>
              <w:rFonts w:hint="eastAsia" w:ascii="Times New Roman" w:hAnsi="Times New Roman" w:eastAsia="微软雅黑" w:cs="Times New Roman"/>
              <w:color w:val="auto"/>
              <w:lang w:val="zh-CN"/>
            </w:rPr>
            <w:t>system</w:t>
          </w:r>
          <w:r>
            <w:rPr>
              <w:rFonts w:ascii="Times New Roman" w:hAnsi="Times New Roman" w:eastAsia="微软雅黑" w:cs="Times New Roman"/>
              <w:color w:val="auto"/>
              <w:lang w:val="zh-CN"/>
            </w:rPr>
            <w: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5</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7</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"_Toc142901877"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4.13</w:t>
          </w:r>
          <w:r>
            <w:rPr>
              <w:rFonts w:hint="eastAsia" w:ascii="Times New Roman" w:hAnsi="Times New Roman" w:eastAsia="微软雅黑" w:cs="Times New Roman"/>
              <w:color w:val="auto"/>
              <w:lang w:val="zh-CN"/>
            </w:rPr>
            <w:t xml:space="preserve"> intelligent systems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5</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8</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"_Toc142901883"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5 Installation and implementation</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6</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"_Toc142901884"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5.1 general requirements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6</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"_Toc142901885"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5.2 Installation</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6</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"_Toc142901886"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6 V</w:t>
          </w:r>
          <w:r>
            <w:rPr>
              <w:rFonts w:hint="eastAsia" w:ascii="Times New Roman" w:hAnsi="Times New Roman" w:eastAsia="微软雅黑" w:cs="Times New Roman"/>
              <w:color w:val="auto"/>
              <w:lang w:val="zh-CN"/>
            </w:rPr>
            <w:t>erification</w:t>
          </w:r>
          <w:r>
            <w:rPr>
              <w:rFonts w:ascii="Times New Roman" w:hAnsi="Times New Roman" w:eastAsia="微软雅黑" w:cs="Times New Roman"/>
              <w:color w:val="auto"/>
              <w:lang w:val="zh-CN"/>
            </w:rPr>
            <w:t xml:space="preserve"> </w:t>
          </w:r>
          <w:r>
            <w:rPr>
              <w:rFonts w:hint="eastAsia" w:ascii="Times New Roman" w:hAnsi="Times New Roman" w:eastAsia="微软雅黑" w:cs="Times New Roman"/>
              <w:color w:val="auto"/>
              <w:lang w:val="zh-CN"/>
            </w:rPr>
            <w:t>a</w:t>
          </w:r>
          <w:r>
            <w:rPr>
              <w:rFonts w:ascii="Times New Roman" w:hAnsi="Times New Roman" w:eastAsia="微软雅黑" w:cs="Times New Roman"/>
              <w:color w:val="auto"/>
              <w:lang w:val="zh-CN"/>
            </w:rPr>
            <w:t>nd acceptance</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6</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9</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"_Toc142901887"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6.1 general requirements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6</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9</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"_Toc142901888"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6.2 Loads and tools for liquid-cooled system</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6</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9</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"_Toc142901889"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6.3 Functions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7</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1</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"_Toc142901890"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6.4 implementation methodology</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7</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2</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"_Toc142901891"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6.5 </w:t>
          </w:r>
          <w:r>
            <w:rPr>
              <w:rFonts w:hint="eastAsia" w:ascii="Times New Roman" w:hAnsi="Times New Roman" w:eastAsia="微软雅黑" w:cs="Times New Roman"/>
              <w:color w:val="auto"/>
              <w:lang w:val="zh-CN"/>
            </w:rPr>
            <w:t>System reliability verification</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7</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"_Toc142901892"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6.6 System acceptance</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7</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9</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"_Toc142901893"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7 Evaluation of liquid-cooled data centres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1</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"_Toc142901894"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7.1</w:t>
          </w:r>
          <w:r>
            <w:rPr>
              <w:rFonts w:hint="eastAsia" w:ascii="Times New Roman" w:hAnsi="Times New Roman" w:eastAsia="微软雅黑" w:cs="Times New Roman"/>
              <w:color w:val="auto"/>
              <w:lang w:val="zh-CN"/>
            </w:rPr>
            <w:t xml:space="preserve"> Cold plate liquid</w:t>
          </w:r>
          <w:r>
            <w:rPr>
              <w:rFonts w:ascii="Times New Roman" w:hAnsi="Times New Roman" w:eastAsia="微软雅黑" w:cs="Times New Roman"/>
              <w:color w:val="auto"/>
              <w:lang w:val="zh-CN"/>
            </w:rPr>
            <w:t>-</w:t>
          </w:r>
          <w:r>
            <w:rPr>
              <w:rFonts w:hint="eastAsia" w:ascii="Times New Roman" w:hAnsi="Times New Roman" w:eastAsia="微软雅黑" w:cs="Times New Roman"/>
              <w:color w:val="auto"/>
              <w:lang w:val="zh-CN"/>
            </w:rPr>
            <w:t>cooled data center</w:t>
          </w:r>
          <w:r>
            <w:rPr>
              <w:rFonts w:ascii="Times New Roman" w:hAnsi="Times New Roman" w:eastAsia="微软雅黑" w:cs="Times New Roman"/>
              <w:color w:val="auto"/>
              <w:lang w:val="zh-CN"/>
            </w:rPr>
            <w:t>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1</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"_Toc142901895"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7.2 Immersion liquid-cooled data centrers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1</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"_Toc142901896"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7.3 </w:t>
          </w:r>
          <w:r>
            <w:rPr>
              <w:rFonts w:hint="eastAsia" w:ascii="Times New Roman" w:hAnsi="Times New Roman" w:eastAsia="微软雅黑" w:cs="Times New Roman"/>
              <w:color w:val="auto"/>
              <w:lang w:val="zh-CN"/>
            </w:rPr>
            <w:t>Air-liquid cooling compatibility</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1</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"_Toc142901897"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8</w:t>
          </w:r>
          <w:r>
            <w:rPr>
              <w:rFonts w:hint="eastAsia" w:ascii="Times New Roman" w:hAnsi="Times New Roman" w:eastAsia="微软雅黑" w:cs="Times New Roman"/>
              <w:color w:val="auto"/>
              <w:lang w:val="zh-CN"/>
            </w:rPr>
            <w:t xml:space="preserve"> </w:t>
          </w:r>
          <w:r>
            <w:rPr>
              <w:rFonts w:ascii="Times New Roman" w:hAnsi="Times New Roman" w:eastAsia="微软雅黑" w:cs="Times New Roman"/>
              <w:color w:val="auto"/>
              <w:lang w:val="zh-CN"/>
            </w:rPr>
            <w:t>O</w:t>
          </w:r>
          <w:r>
            <w:rPr>
              <w:rFonts w:hint="eastAsia" w:ascii="Times New Roman" w:hAnsi="Times New Roman" w:eastAsia="微软雅黑" w:cs="Times New Roman"/>
              <w:color w:val="auto"/>
              <w:lang w:val="zh-CN"/>
            </w:rPr>
            <w:t>peration management </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2</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"_Toc142901898"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8.1 Operations and management of immersed liquid-cooled data centres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2</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"_Toc142901899"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8.2 Operations and management </w:t>
          </w:r>
          <w:r>
            <w:rPr>
              <w:rFonts w:hint="eastAsia" w:ascii="Times New Roman" w:hAnsi="Times New Roman" w:eastAsia="微软雅黑" w:cs="Times New Roman"/>
              <w:color w:val="auto"/>
              <w:lang w:val="zh-CN"/>
            </w:rPr>
            <w:t>of</w:t>
          </w:r>
          <w:r>
            <w:rPr>
              <w:rFonts w:ascii="Times New Roman" w:hAnsi="Times New Roman" w:eastAsia="微软雅黑" w:cs="Times New Roman"/>
              <w:color w:val="auto"/>
              <w:lang w:val="zh-CN"/>
            </w:rPr>
            <w:t xml:space="preserve"> </w:t>
          </w:r>
          <w:r>
            <w:rPr>
              <w:rFonts w:hint="eastAsia" w:ascii="Times New Roman" w:hAnsi="Times New Roman" w:eastAsia="微软雅黑" w:cs="Times New Roman"/>
              <w:color w:val="auto"/>
              <w:lang w:val="zh-CN"/>
            </w:rPr>
            <w:t>Cold plate liquid</w:t>
          </w:r>
          <w:r>
            <w:rPr>
              <w:rFonts w:ascii="Times New Roman" w:hAnsi="Times New Roman" w:eastAsia="微软雅黑" w:cs="Times New Roman"/>
              <w:color w:val="auto"/>
              <w:lang w:val="zh-CN"/>
            </w:rPr>
            <w:t>-</w:t>
          </w:r>
          <w:r>
            <w:rPr>
              <w:rFonts w:hint="eastAsia" w:ascii="Times New Roman" w:hAnsi="Times New Roman" w:eastAsia="微软雅黑" w:cs="Times New Roman"/>
              <w:color w:val="auto"/>
              <w:lang w:val="zh-CN"/>
            </w:rPr>
            <w:t>cooled data center</w:t>
          </w:r>
          <w:r>
            <w:rPr>
              <w:rFonts w:ascii="Times New Roman" w:hAnsi="Times New Roman" w:eastAsia="微软雅黑" w:cs="Times New Roman"/>
              <w:color w:val="auto"/>
              <w:lang w:val="zh-CN"/>
            </w:rPr>
            <w:t xml:space="preserve">s </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8</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7</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"_Toc142901899"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 xml:space="preserve">8.3 </w:t>
          </w:r>
          <w:r>
            <w:rPr>
              <w:rFonts w:hint="eastAsia" w:ascii="Times New Roman" w:hAnsi="Times New Roman" w:eastAsia="微软雅黑" w:cs="Times New Roman"/>
              <w:color w:val="auto"/>
              <w:lang w:val="zh-CN"/>
            </w:rPr>
            <w:t>w</w:t>
          </w:r>
          <w:r>
            <w:rPr>
              <w:rFonts w:ascii="Times New Roman" w:hAnsi="Times New Roman" w:eastAsia="微软雅黑" w:cs="Times New Roman"/>
              <w:color w:val="auto"/>
              <w:lang w:val="zh-CN"/>
            </w:rPr>
            <w:t xml:space="preserve">ater </w:t>
          </w:r>
          <w:r>
            <w:rPr>
              <w:rFonts w:hint="eastAsia" w:ascii="Times New Roman" w:hAnsi="Times New Roman" w:eastAsia="微软雅黑" w:cs="Times New Roman"/>
              <w:color w:val="auto"/>
              <w:lang w:val="zh-CN"/>
            </w:rPr>
            <w:t>q</w:t>
          </w:r>
          <w:r>
            <w:rPr>
              <w:rFonts w:ascii="Times New Roman" w:hAnsi="Times New Roman" w:eastAsia="微软雅黑" w:cs="Times New Roman"/>
              <w:color w:val="auto"/>
              <w:lang w:val="zh-CN"/>
            </w:rPr>
            <w:t xml:space="preserve">uality  </w:t>
          </w:r>
          <w:r>
            <w:rPr>
              <w:rFonts w:hint="eastAsia" w:ascii="Times New Roman" w:hAnsi="Times New Roman" w:eastAsia="微软雅黑" w:cs="Times New Roman"/>
              <w:color w:val="auto"/>
              <w:lang w:val="zh-CN"/>
            </w:rPr>
            <w:t>m</w:t>
          </w:r>
          <w:r>
            <w:rPr>
              <w:rFonts w:ascii="Times New Roman" w:hAnsi="Times New Roman" w:eastAsia="微软雅黑" w:cs="Times New Roman"/>
              <w:color w:val="auto"/>
              <w:lang w:val="zh-CN"/>
            </w:rPr>
            <w:t>anagement</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9</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1</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t xml:space="preserve">Explanation of wording in this code </w:t>
          </w: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"_Toc142901900"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9</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3</w:t>
          </w:r>
        </w:p>
        <w:p>
          <w:pPr>
            <w:pStyle w:val="21"/>
            <w:tabs>
              <w:tab w:val="right" w:leader="dot" w:pos="8306"/>
            </w:tabs>
            <w:rPr>
              <w:rFonts w:hint="eastAsia" w:ascii="Times New Roman" w:hAnsi="Times New Roman" w:eastAsia="微软雅黑" w:cs="Times New Roman"/>
              <w:color w:val="auto"/>
              <w:lang w:val="en-US" w:eastAsia="zh-CN"/>
            </w:rPr>
          </w:pPr>
          <w:r>
            <w:rPr>
              <w:rFonts w:ascii="Times New Roman" w:hAnsi="Times New Roman" w:eastAsia="微软雅黑" w:cs="Times New Roman"/>
              <w:color w:val="auto"/>
              <w:lang w:val="zh-CN"/>
            </w:rPr>
            <w:t xml:space="preserve">List of quoted standards </w:t>
          </w: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"_Toc142901901"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9</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4</w:t>
          </w:r>
        </w:p>
        <w:p>
          <w:pPr>
            <w:pStyle w:val="21"/>
            <w:tabs>
              <w:tab w:val="right" w:leader="dot" w:pos="8306"/>
            </w:tabs>
            <w:rPr>
              <w:rFonts w:ascii="Times New Roman" w:hAnsi="Times New Roman" w:eastAsia="微软雅黑"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eastAsia="微软雅黑" w:cs="Times New Roman"/>
              <w:color w:val="auto"/>
              <w:lang w:val="zh-CN"/>
            </w:rPr>
            <w:fldChar w:fldCharType="begin"/>
          </w:r>
          <w:r>
            <w:rPr>
              <w:rFonts w:ascii="Times New Roman" w:hAnsi="Times New Roman" w:eastAsia="微软雅黑" w:cs="Times New Roman"/>
              <w:color w:val="auto"/>
              <w:lang w:val="zh-CN"/>
            </w:rPr>
            <w:instrText xml:space="preserve"> HYPERLINK \l "_Toc142901902" </w:instrText>
          </w:r>
          <w:r>
            <w:rPr>
              <w:rFonts w:ascii="Times New Roman" w:hAnsi="Times New Roman" w:eastAsia="微软雅黑" w:cs="Times New Roman"/>
              <w:color w:val="auto"/>
              <w:lang w:val="zh-CN"/>
            </w:rPr>
            <w:fldChar w:fldCharType="separate"/>
          </w:r>
          <w:r>
            <w:rPr>
              <w:rFonts w:ascii="Times New Roman" w:hAnsi="Times New Roman" w:eastAsia="微软雅黑" w:cs="Times New Roman"/>
              <w:color w:val="auto"/>
              <w:lang w:val="zh-CN"/>
            </w:rPr>
            <w:t>Explanation of provisions</w:t>
          </w:r>
          <w:r>
            <w:rPr>
              <w:rFonts w:ascii="Times New Roman" w:hAnsi="Times New Roman" w:eastAsia="微软雅黑" w:cs="Times New Roman"/>
              <w:color w:val="auto"/>
              <w:lang w:val="zh-CN"/>
            </w:rPr>
            <w:tab/>
          </w:r>
          <w:r>
            <w:rPr>
              <w:rFonts w:hint="eastAsia" w:ascii="Times New Roman" w:eastAsia="微软雅黑" w:cs="Times New Roman"/>
              <w:color w:val="auto"/>
              <w:lang w:val="en-US" w:eastAsia="zh-CN"/>
            </w:rPr>
            <w:t>9</w:t>
          </w:r>
          <w:r>
            <w:rPr>
              <w:rFonts w:ascii="Times New Roman" w:hAnsi="Times New Roman" w:eastAsia="微软雅黑" w:cs="Times New Roman"/>
              <w:color w:val="auto"/>
              <w:lang w:val="zh-CN"/>
            </w:rPr>
            <w:fldChar w:fldCharType="end"/>
          </w:r>
          <w:r>
            <w:rPr>
              <w:rFonts w:hint="eastAsia" w:ascii="Times New Roman" w:eastAsia="微软雅黑" w:cs="Times New Roman"/>
              <w:color w:val="auto"/>
              <w:lang w:val="en-US" w:eastAsia="zh-CN"/>
            </w:rPr>
            <w:t>5</w:t>
          </w:r>
          <w:bookmarkStart w:id="158" w:name="_GoBack"/>
          <w:bookmarkEnd w:id="158"/>
        </w:p>
      </w:sdtContent>
    </w:sdt>
    <w:p>
      <w:pPr>
        <w:spacing w:line="360" w:lineRule="auto"/>
        <w:ind w:firstLine="601" w:firstLineChars="200"/>
        <w:jc w:val="center"/>
        <w:outlineLvl w:val="0"/>
        <w:rPr>
          <w:b/>
          <w:sz w:val="30"/>
          <w:szCs w:val="30"/>
        </w:rPr>
      </w:pPr>
      <w:bookmarkStart w:id="6" w:name="_Toc78149568"/>
      <w:r>
        <w:rPr>
          <w:b/>
          <w:sz w:val="30"/>
          <w:szCs w:val="30"/>
        </w:rPr>
        <w:t xml:space="preserve">1  </w:t>
      </w:r>
      <w:r>
        <w:rPr>
          <w:b/>
          <w:spacing w:val="151"/>
          <w:kern w:val="0"/>
          <w:sz w:val="30"/>
          <w:szCs w:val="30"/>
          <w:fitText w:val="903" w:id="-1130626813"/>
        </w:rPr>
        <w:t>总</w:t>
      </w:r>
      <w:r>
        <w:rPr>
          <w:b/>
          <w:spacing w:val="0"/>
          <w:kern w:val="0"/>
          <w:sz w:val="30"/>
          <w:szCs w:val="30"/>
          <w:fitText w:val="903" w:id="-1130626813"/>
        </w:rPr>
        <w:t>则</w:t>
      </w:r>
      <w:bookmarkEnd w:id="6"/>
    </w:p>
    <w:p>
      <w:pPr>
        <w:widowControl/>
        <w:spacing w:line="360" w:lineRule="auto"/>
        <w:ind w:firstLine="480" w:firstLineChars="200"/>
        <w:rPr>
          <w:sz w:val="24"/>
          <w:szCs w:val="24"/>
        </w:rPr>
      </w:pPr>
      <w:r>
        <w:rPr>
          <w:kern w:val="0"/>
          <w:sz w:val="24"/>
          <w:szCs w:val="24"/>
          <w:lang w:bidi="ar"/>
        </w:rPr>
        <w:t>1.0.1 为规范数据中心液冷系统设计，确保电子信息系统安全、稳定、可靠地运行，做到技术先进、经济合理、安全适用、节能环保，制定本规范。</w:t>
      </w:r>
    </w:p>
    <w:p>
      <w:pPr>
        <w:widowControl/>
        <w:spacing w:line="360" w:lineRule="auto"/>
        <w:ind w:firstLine="480" w:firstLineChars="200"/>
        <w:rPr>
          <w:sz w:val="24"/>
          <w:szCs w:val="24"/>
        </w:rPr>
      </w:pPr>
      <w:r>
        <w:rPr>
          <w:kern w:val="0"/>
          <w:sz w:val="24"/>
          <w:szCs w:val="24"/>
          <w:lang w:bidi="ar"/>
        </w:rPr>
        <w:t>1.0.2 本规范适用于新建、改建和扩建的数据中心液冷系统设计。</w:t>
      </w:r>
    </w:p>
    <w:p>
      <w:pPr>
        <w:widowControl/>
        <w:spacing w:line="360" w:lineRule="auto"/>
        <w:ind w:firstLine="480" w:firstLineChars="200"/>
        <w:rPr>
          <w:sz w:val="24"/>
          <w:szCs w:val="24"/>
        </w:rPr>
      </w:pPr>
      <w:r>
        <w:rPr>
          <w:kern w:val="0"/>
          <w:sz w:val="24"/>
          <w:szCs w:val="24"/>
          <w:lang w:bidi="ar"/>
        </w:rPr>
        <w:t>1.0.3 数据中心液冷系统设计应遵循近期建设规模与远期发展规划协调一致的原则。</w:t>
      </w:r>
    </w:p>
    <w:p>
      <w:pPr>
        <w:widowControl/>
        <w:spacing w:line="360" w:lineRule="auto"/>
        <w:ind w:firstLine="480" w:firstLineChars="200"/>
        <w:rPr>
          <w:sz w:val="24"/>
          <w:szCs w:val="24"/>
        </w:rPr>
      </w:pPr>
      <w:r>
        <w:rPr>
          <w:kern w:val="0"/>
          <w:sz w:val="24"/>
          <w:szCs w:val="24"/>
          <w:lang w:bidi="ar"/>
        </w:rPr>
        <w:t>1.0.4 数据中心液冷系统设计除应符合本规范外，尚应符合国家现行有关标准的规定。</w:t>
      </w:r>
    </w:p>
    <w:p>
      <w:pPr>
        <w:spacing w:line="360" w:lineRule="auto"/>
        <w:rPr>
          <w:rFonts w:eastAsia="微软雅黑"/>
          <w:sz w:val="40"/>
        </w:rPr>
        <w:sectPr>
          <w:pgSz w:w="11906" w:h="16838"/>
          <w:pgMar w:top="1440" w:right="1800" w:bottom="1440" w:left="1800" w:header="851" w:footer="992" w:gutter="0"/>
          <w:cols w:space="425" w:num="1"/>
          <w:docGrid w:type="lines" w:linePitch="312" w:charSpace="0"/>
        </w:sectPr>
      </w:pPr>
    </w:p>
    <w:p>
      <w:pPr>
        <w:spacing w:line="360" w:lineRule="auto"/>
        <w:ind w:firstLine="601" w:firstLineChars="200"/>
        <w:jc w:val="center"/>
        <w:outlineLvl w:val="0"/>
        <w:rPr>
          <w:b/>
          <w:sz w:val="30"/>
          <w:szCs w:val="30"/>
        </w:rPr>
      </w:pPr>
      <w:bookmarkStart w:id="7" w:name="_Toc1347281059"/>
      <w:r>
        <w:rPr>
          <w:b/>
          <w:sz w:val="30"/>
          <w:szCs w:val="30"/>
        </w:rPr>
        <w:t>2 术语和符号</w:t>
      </w:r>
      <w:bookmarkEnd w:id="7"/>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2.0.1数据中心 Data Center</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为集中放置的电子信息设备提供运行环境的建筑场所，可以是一栋或几栋建筑物，也可以是一栋建筑物的一部分，包括主机房、辅助区、支持区和行政管理区等。</w:t>
      </w:r>
    </w:p>
    <w:p>
      <w:pPr>
        <w:widowControl/>
        <w:spacing w:line="360" w:lineRule="auto"/>
        <w:ind w:firstLine="480" w:firstLineChars="200"/>
        <w:rPr>
          <w:sz w:val="24"/>
          <w:szCs w:val="24"/>
        </w:rPr>
      </w:pPr>
      <w:r>
        <w:rPr>
          <w:sz w:val="24"/>
          <w:szCs w:val="24"/>
        </w:rPr>
        <w:t>条文说明：本规范定义的数据中心是以建筑空间或室外集装箱为电子信息设备提供运行环境的场所，不包括车辆、船舶等设施为电子信息设备提供运行环境的场所。</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 液冷 Liquid Cooling</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一种采用液体带走器件热量的冷却技术，器件通常包括芯片、内存条、卡等；液冷分为直接接触式液冷与</w:t>
      </w:r>
      <w:r>
        <w:rPr>
          <w:rFonts w:hint="eastAsia" w:ascii="Times New Roman" w:hAnsi="Times New Roman" w:cs="Times New Roman"/>
        </w:rPr>
        <w:t>间</w:t>
      </w:r>
      <w:r>
        <w:rPr>
          <w:rFonts w:ascii="Times New Roman" w:hAnsi="Times New Roman" w:cs="Times New Roman"/>
        </w:rPr>
        <w:t>接接触式液冷。</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2.0.3 直接接触式液冷 Direct-Contact Liquid Cooling</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直接接触式液冷是采用某种绝缘的液体与器件直接接触，液体吸热后经过换热装置将热量传给冷却系统；直接接触式液冷包括浸没式液冷与喷淋式液冷，浸没式液冷</w:t>
      </w:r>
      <w:r>
        <w:rPr>
          <w:rFonts w:hint="eastAsia" w:ascii="Times New Roman" w:hAnsi="Times New Roman" w:cs="Times New Roman"/>
        </w:rPr>
        <w:t>用液体浸没器件以吸收热量</w:t>
      </w:r>
      <w:r>
        <w:rPr>
          <w:rFonts w:ascii="Times New Roman" w:hAnsi="Times New Roman" w:cs="Times New Roman"/>
        </w:rPr>
        <w:t>；喷淋式液冷往往将液体定向喷淋在发热器件或其散热器上以吸收热量</w:t>
      </w:r>
      <w:r>
        <w:rPr>
          <w:rFonts w:hint="eastAsia" w:ascii="Times New Roman" w:hAnsi="Times New Roman" w:cs="Times New Roman"/>
        </w:rPr>
        <w:t>；按液体应用状态</w:t>
      </w:r>
      <w:r>
        <w:rPr>
          <w:rFonts w:ascii="Times New Roman" w:hAnsi="Times New Roman" w:cs="Times New Roman"/>
        </w:rPr>
        <w:t>又</w:t>
      </w:r>
      <w:r>
        <w:rPr>
          <w:rFonts w:hint="eastAsia" w:ascii="Times New Roman" w:hAnsi="Times New Roman" w:cs="Times New Roman"/>
        </w:rPr>
        <w:t>区分为</w:t>
      </w:r>
      <w:r>
        <w:rPr>
          <w:rFonts w:ascii="Times New Roman" w:hAnsi="Times New Roman" w:cs="Times New Roman"/>
        </w:rPr>
        <w:t>单相与两相</w:t>
      </w:r>
      <w:r>
        <w:rPr>
          <w:rFonts w:hint="eastAsia" w:ascii="Times New Roman" w:hAnsi="Times New Roman" w:cs="Times New Roman"/>
        </w:rPr>
        <w:t>直接接触（浸没或喷淋）</w:t>
      </w:r>
      <w:r>
        <w:rPr>
          <w:rFonts w:ascii="Times New Roman" w:hAnsi="Times New Roman" w:cs="Times New Roman"/>
        </w:rPr>
        <w:t>式液冷。</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2.0.4 间接接触式液冷 Indirect-Contact Liquid Cooling</w:t>
      </w:r>
    </w:p>
    <w:p>
      <w:pPr>
        <w:pStyle w:val="26"/>
        <w:spacing w:before="120" w:beforeAutospacing="0" w:after="120" w:afterAutospacing="0" w:line="360" w:lineRule="auto"/>
        <w:jc w:val="both"/>
        <w:rPr>
          <w:rFonts w:ascii="Times New Roman" w:hAnsi="Times New Roman" w:cs="Times New Roman"/>
        </w:rPr>
      </w:pPr>
      <w:r>
        <w:rPr>
          <w:rFonts w:ascii="Times New Roman" w:hAnsi="Times New Roman" w:cs="Times New Roman"/>
        </w:rPr>
        <w:t xml:space="preserve">   间接接触式液冷是液体通过换热器与器件间接接触，通过液体在冷板级换热器内流动或蒸发以吸收热量，并通过另一换热器将热量传给冷却系统；间接接触式液冷通常指冷板式液冷，冷板式液冷包括槽道冷却、微槽道冷却、液体喷射冷却等。</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2.0.5 液冷机柜 Liquid Cooling Rack/Liquid Cooling Tank</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液冷机柜是指采用液冷技术的机柜，往往包含电子信息设备、快速接头、冷却液分配装置、冷却液集液装置、漏液检测、仪表与传感器等。</w:t>
      </w:r>
    </w:p>
    <w:p>
      <w:pPr>
        <w:widowControl/>
        <w:spacing w:line="360" w:lineRule="auto"/>
        <w:ind w:firstLine="480" w:firstLineChars="200"/>
        <w:rPr>
          <w:sz w:val="24"/>
          <w:szCs w:val="24"/>
        </w:rPr>
      </w:pPr>
      <w:r>
        <w:rPr>
          <w:sz w:val="24"/>
          <w:szCs w:val="24"/>
        </w:rPr>
        <w:t>条文说明：间接接触式液冷机柜往往是立式机柜Rack，直接接触式液冷机柜往往是卧式机柜Tank。</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2.0.6 冷却液 Liquid Cooling Medium/Coolant</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冷却液是指采用液冷技术的冷却系统中采用的冷却工质。</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2.0.7冷却液分配单元 Coolant Distribution Unit </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简称CDU，是用于进行冷却液分配的装置，主要提供热交换、冷却液循环、冷却液流量控制、冷却液过滤等功能；主要由循环泵、换热器、过滤器、变频器、控制器、仪表或传感器、连接管路与阀门等部件组成。</w:t>
      </w:r>
    </w:p>
    <w:p>
      <w:pPr>
        <w:spacing w:line="360" w:lineRule="auto"/>
        <w:ind w:firstLine="480" w:firstLineChars="200"/>
        <w:jc w:val="left"/>
        <w:rPr>
          <w:kern w:val="0"/>
          <w:sz w:val="24"/>
          <w:szCs w:val="24"/>
        </w:rPr>
      </w:pPr>
      <w:r>
        <w:rPr>
          <w:kern w:val="0"/>
          <w:sz w:val="24"/>
          <w:szCs w:val="24"/>
        </w:rPr>
        <w:t>2.0.8一次侧/冷源侧 Primary Side/Cooling Source Side</w:t>
      </w:r>
    </w:p>
    <w:p>
      <w:pPr>
        <w:spacing w:line="360" w:lineRule="auto"/>
        <w:ind w:firstLine="480" w:firstLineChars="200"/>
        <w:jc w:val="left"/>
        <w:rPr>
          <w:kern w:val="0"/>
          <w:sz w:val="24"/>
          <w:szCs w:val="24"/>
        </w:rPr>
      </w:pPr>
      <w:r>
        <w:rPr>
          <w:kern w:val="0"/>
          <w:sz w:val="24"/>
          <w:szCs w:val="24"/>
        </w:rPr>
        <w:t>一次侧/冷源侧指的是冷量的来源侧，主要包含（室外）散热装置、循环泵、定压装置、水处理装置、管路、阀门与附件、仪表与传感器等。</w:t>
      </w:r>
    </w:p>
    <w:p>
      <w:pPr>
        <w:spacing w:line="360" w:lineRule="auto"/>
        <w:ind w:firstLine="480" w:firstLineChars="200"/>
        <w:jc w:val="left"/>
        <w:rPr>
          <w:kern w:val="0"/>
          <w:sz w:val="24"/>
          <w:szCs w:val="24"/>
        </w:rPr>
      </w:pPr>
      <w:r>
        <w:rPr>
          <w:kern w:val="0"/>
          <w:sz w:val="24"/>
          <w:szCs w:val="24"/>
        </w:rPr>
        <w:t>2.0.9二次侧/用冷侧 Secondary Side/Cooling-Consuption Side</w:t>
      </w:r>
    </w:p>
    <w:p>
      <w:pPr>
        <w:spacing w:line="360" w:lineRule="auto"/>
        <w:ind w:firstLine="480" w:firstLineChars="200"/>
        <w:jc w:val="left"/>
        <w:rPr>
          <w:kern w:val="0"/>
          <w:sz w:val="24"/>
          <w:szCs w:val="24"/>
        </w:rPr>
      </w:pPr>
      <w:r>
        <w:rPr>
          <w:kern w:val="0"/>
          <w:sz w:val="24"/>
          <w:szCs w:val="24"/>
        </w:rPr>
        <w:t>二次侧/用冷侧指的是冷量的消耗侧，主要</w:t>
      </w:r>
      <w:r>
        <w:rPr>
          <w:rFonts w:hint="eastAsia"/>
          <w:kern w:val="0"/>
          <w:sz w:val="24"/>
          <w:szCs w:val="24"/>
        </w:rPr>
        <w:t>包含</w:t>
      </w:r>
      <w:r>
        <w:rPr>
          <w:kern w:val="0"/>
          <w:sz w:val="24"/>
          <w:szCs w:val="24"/>
        </w:rPr>
        <w:t>冷却液分配单元（CDU）、液冷机柜、冷却液分液装置、冷却液集液装置、快速接头/盲插接头、管路、阀门与附件、仪表与传感器等。</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2.0.10 冷源 Cooling Source</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冷源指的是冷量的来源，通常指将热量传递到自然环境的设备，例如冷却塔、干冷器等，也可以指制冷设备，例如冷水机组等。</w:t>
      </w:r>
    </w:p>
    <w:p>
      <w:pPr>
        <w:pStyle w:val="26"/>
        <w:spacing w:before="120" w:beforeAutospacing="0" w:after="120" w:afterAutospacing="0" w:line="360" w:lineRule="auto"/>
        <w:ind w:firstLine="480" w:firstLineChars="200"/>
        <w:jc w:val="both"/>
        <w:rPr>
          <w:rFonts w:ascii="Times New Roman" w:hAnsi="Times New Roman" w:cs="Times New Roman"/>
          <w:b/>
          <w:bCs/>
        </w:rPr>
      </w:pPr>
      <w:r>
        <w:rPr>
          <w:rFonts w:ascii="Times New Roman" w:hAnsi="Times New Roman" w:cs="Times New Roman"/>
        </w:rPr>
        <w:t>2.0.11干冷器Dry Cooler</w:t>
      </w:r>
    </w:p>
    <w:p>
      <w:pPr>
        <w:pStyle w:val="26"/>
        <w:spacing w:before="120" w:beforeAutospacing="0" w:after="120" w:afterAutospacing="0" w:line="360" w:lineRule="auto"/>
        <w:ind w:firstLine="480" w:firstLineChars="200"/>
        <w:jc w:val="both"/>
        <w:rPr>
          <w:rFonts w:ascii="Times New Roman" w:hAnsi="Times New Roman" w:cs="Times New Roman"/>
        </w:rPr>
      </w:pPr>
      <w:r>
        <w:rPr>
          <w:rFonts w:hint="eastAsia" w:ascii="Times New Roman" w:hAnsi="Times New Roman" w:cs="Times New Roman"/>
        </w:rPr>
        <w:t>干冷器</w:t>
      </w:r>
      <w:r>
        <w:rPr>
          <w:rFonts w:ascii="Times New Roman" w:hAnsi="Times New Roman" w:cs="Times New Roman"/>
        </w:rPr>
        <w:t>指的是干式冷却器，通常</w:t>
      </w:r>
      <w:r>
        <w:rPr>
          <w:rFonts w:hint="eastAsia" w:ascii="Times New Roman" w:hAnsi="Times New Roman" w:cs="Times New Roman"/>
        </w:rPr>
        <w:t>于循环</w:t>
      </w:r>
      <w:r>
        <w:rPr>
          <w:rFonts w:ascii="Times New Roman" w:hAnsi="Times New Roman" w:cs="Times New Roman"/>
        </w:rPr>
        <w:t>管内走流体、</w:t>
      </w:r>
      <w:r>
        <w:rPr>
          <w:rFonts w:hint="eastAsia" w:ascii="Times New Roman" w:hAnsi="Times New Roman" w:cs="Times New Roman"/>
        </w:rPr>
        <w:t>通过</w:t>
      </w:r>
      <w:r>
        <w:rPr>
          <w:rFonts w:ascii="Times New Roman" w:hAnsi="Times New Roman" w:cs="Times New Roman"/>
        </w:rPr>
        <w:t>管外走自然风来冷却管内流体，其</w:t>
      </w:r>
      <w:r>
        <w:rPr>
          <w:rFonts w:hint="eastAsia" w:ascii="Times New Roman" w:hAnsi="Times New Roman" w:cs="Times New Roman"/>
        </w:rPr>
        <w:t>使用</w:t>
      </w:r>
      <w:r>
        <w:rPr>
          <w:rFonts w:ascii="Times New Roman" w:hAnsi="Times New Roman" w:cs="Times New Roman"/>
        </w:rPr>
        <w:t>过程不消耗水资源。</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2.0.12 快速接头 Quick Connector</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一种不需要工具就能实现管路连通或断开的可快速插拔的接头，插拔时可保证冷却液不泄漏。</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2.0.13 双向密封快速接头 Two-Way Sealing Quick Connector</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可实现阀体两侧流体的双向密封、双向止回，并可保证单侧关闭时另一端阀体可拆卸。</w:t>
      </w:r>
    </w:p>
    <w:p>
      <w:pPr>
        <w:pStyle w:val="26"/>
        <w:spacing w:before="120" w:beforeAutospacing="0" w:after="120" w:afterAutospacing="0" w:line="360" w:lineRule="auto"/>
        <w:rPr>
          <w:rFonts w:ascii="Times New Roman" w:hAnsi="Times New Roman" w:cs="Times New Roman"/>
        </w:rPr>
      </w:pPr>
      <w:r>
        <w:rPr>
          <w:rFonts w:ascii="Times New Roman" w:hAnsi="Times New Roman" w:cs="Times New Roman"/>
        </w:rPr>
        <w:t xml:space="preserve">    2.0.14 供/回液歧管 Manifold for Supply/Return Liquid </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用于冷板系统的二次侧/用冷侧，可将冷液体分配到各用冷的电子信息设备、可收集流经电子信息</w:t>
      </w:r>
      <w:r>
        <w:rPr>
          <w:rFonts w:hint="eastAsia" w:ascii="Times New Roman" w:hAnsi="Times New Roman" w:cs="Times New Roman"/>
        </w:rPr>
        <w:t>设备</w:t>
      </w:r>
      <w:r>
        <w:rPr>
          <w:rFonts w:ascii="Times New Roman" w:hAnsi="Times New Roman" w:cs="Times New Roman"/>
        </w:rPr>
        <w:t>的热</w:t>
      </w:r>
      <w:r>
        <w:rPr>
          <w:rFonts w:hint="eastAsia" w:ascii="Times New Roman" w:hAnsi="Times New Roman" w:cs="Times New Roman"/>
        </w:rPr>
        <w:t>液</w:t>
      </w:r>
      <w:r>
        <w:rPr>
          <w:rFonts w:ascii="Times New Roman" w:hAnsi="Times New Roman" w:cs="Times New Roman"/>
        </w:rPr>
        <w:t>体。</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2.0.15 液冷模拟负载 Simulation Electrical Load</w:t>
      </w:r>
    </w:p>
    <w:p>
      <w:pPr>
        <w:spacing w:line="360" w:lineRule="auto"/>
        <w:ind w:firstLine="480" w:firstLineChars="200"/>
        <w:jc w:val="left"/>
        <w:rPr>
          <w:kern w:val="0"/>
          <w:sz w:val="24"/>
          <w:szCs w:val="24"/>
        </w:rPr>
      </w:pPr>
      <w:r>
        <w:rPr>
          <w:kern w:val="0"/>
          <w:sz w:val="24"/>
          <w:szCs w:val="24"/>
        </w:rPr>
        <w:t>模拟负载又称假负载，液冷模拟负载指的是用于液冷场景的假负载，本质是电阻通电后发热，</w:t>
      </w:r>
      <w:r>
        <w:rPr>
          <w:rFonts w:hint="eastAsia"/>
          <w:kern w:val="0"/>
          <w:sz w:val="24"/>
          <w:szCs w:val="24"/>
        </w:rPr>
        <w:t>其</w:t>
      </w:r>
      <w:r>
        <w:rPr>
          <w:kern w:val="0"/>
          <w:sz w:val="24"/>
          <w:szCs w:val="24"/>
        </w:rPr>
        <w:t>热负载可等同于电子信息设备运行时的发热量，主要用于模拟数据中心设计热负荷，在验证测试阶段用于校验电气、冷却、弱电系统的功能、性能</w:t>
      </w:r>
      <w:r>
        <w:rPr>
          <w:rFonts w:hint="eastAsia"/>
          <w:kern w:val="0"/>
          <w:sz w:val="24"/>
          <w:szCs w:val="24"/>
        </w:rPr>
        <w:t>和</w:t>
      </w:r>
      <w:r>
        <w:rPr>
          <w:kern w:val="0"/>
          <w:sz w:val="24"/>
          <w:szCs w:val="24"/>
        </w:rPr>
        <w:t>可靠性。</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2.0.16 不间断电源 Uninterruptible Power System</w:t>
      </w:r>
    </w:p>
    <w:p>
      <w:pPr>
        <w:pStyle w:val="26"/>
        <w:spacing w:before="120" w:beforeAutospacing="0" w:after="120" w:afterAutospacing="0" w:line="360" w:lineRule="auto"/>
        <w:ind w:firstLine="480" w:firstLineChars="200"/>
        <w:rPr>
          <w:rFonts w:ascii="Times New Roman" w:hAnsi="Times New Roman" w:cs="Times New Roman"/>
        </w:rPr>
      </w:pPr>
      <w:r>
        <w:rPr>
          <w:rFonts w:hint="eastAsia" w:ascii="Times New Roman" w:hAnsi="Times New Roman" w:cs="Times New Roman"/>
        </w:rPr>
        <w:t>简称UPS，是</w:t>
      </w:r>
      <w:r>
        <w:rPr>
          <w:rFonts w:ascii="Times New Roman" w:hAnsi="Times New Roman" w:cs="Times New Roman"/>
        </w:rPr>
        <w:t>由变流器、开关和储能装置组合构成的装置，在主输入电源供电故障时，可输出交流或直流电能，在一定时间内维持对负载的连续供电。</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2.0.17 电源分配单元 Power Distribution Unit</w:t>
      </w:r>
    </w:p>
    <w:p>
      <w:pPr>
        <w:pStyle w:val="26"/>
        <w:spacing w:before="120" w:beforeAutospacing="0" w:after="120" w:afterAutospacing="0" w:line="360" w:lineRule="auto"/>
        <w:ind w:firstLine="480" w:firstLineChars="200"/>
        <w:rPr>
          <w:rFonts w:ascii="Times New Roman" w:hAnsi="Times New Roman" w:cs="Times New Roman"/>
        </w:rPr>
      </w:pPr>
      <w:r>
        <w:rPr>
          <w:rFonts w:hint="eastAsia" w:ascii="Times New Roman" w:hAnsi="Times New Roman" w:cs="Times New Roman"/>
        </w:rPr>
        <w:t>简称PDU，是指</w:t>
      </w:r>
      <w:r>
        <w:rPr>
          <w:rFonts w:ascii="Times New Roman" w:hAnsi="Times New Roman" w:cs="Times New Roman"/>
        </w:rPr>
        <w:t>放置于机架内的一种配电单元，通过该单元可为电子信息设备配电。 </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2.0.18 电源供应单元 Power Supply Unit</w:t>
      </w:r>
    </w:p>
    <w:p>
      <w:pPr>
        <w:pStyle w:val="26"/>
        <w:spacing w:before="120" w:beforeAutospacing="0" w:after="120" w:afterAutospacing="0" w:line="360" w:lineRule="auto"/>
        <w:ind w:firstLine="480" w:firstLineChars="200"/>
        <w:rPr>
          <w:rFonts w:ascii="Times New Roman" w:hAnsi="Times New Roman" w:cs="Times New Roman"/>
        </w:rPr>
      </w:pPr>
      <w:r>
        <w:rPr>
          <w:rFonts w:hint="eastAsia" w:ascii="Times New Roman" w:hAnsi="Times New Roman" w:cs="Times New Roman"/>
        </w:rPr>
        <w:t>简称PSU，</w:t>
      </w:r>
      <w:r>
        <w:rPr>
          <w:rFonts w:ascii="Times New Roman" w:hAnsi="Times New Roman" w:cs="Times New Roman"/>
        </w:rPr>
        <w:t>通常指</w:t>
      </w:r>
      <w:r>
        <w:rPr>
          <w:rFonts w:hint="eastAsia" w:ascii="Times New Roman" w:hAnsi="Times New Roman" w:cs="Times New Roman"/>
        </w:rPr>
        <w:t>为</w:t>
      </w:r>
      <w:r>
        <w:rPr>
          <w:rFonts w:ascii="Times New Roman" w:hAnsi="Times New Roman" w:cs="Times New Roman"/>
        </w:rPr>
        <w:t>电子信息设备</w:t>
      </w:r>
      <w:r>
        <w:rPr>
          <w:rFonts w:hint="eastAsia" w:ascii="Times New Roman" w:hAnsi="Times New Roman" w:cs="Times New Roman"/>
        </w:rPr>
        <w:t>配电用</w:t>
      </w:r>
      <w:r>
        <w:rPr>
          <w:rFonts w:ascii="Times New Roman" w:hAnsi="Times New Roman" w:cs="Times New Roman"/>
        </w:rPr>
        <w:t>的</w:t>
      </w:r>
      <w:r>
        <w:rPr>
          <w:rFonts w:hint="eastAsia" w:ascii="Times New Roman" w:hAnsi="Times New Roman" w:cs="Times New Roman"/>
        </w:rPr>
        <w:t>转换</w:t>
      </w:r>
      <w:r>
        <w:rPr>
          <w:rFonts w:ascii="Times New Roman" w:hAnsi="Times New Roman" w:cs="Times New Roman"/>
        </w:rPr>
        <w:t>电源，主要功能是将标准交流电转成低压稳定的直流电，或直接将直流电转成低压稳定的直流电，供给电子信息设备使用</w:t>
      </w:r>
      <w:r>
        <w:rPr>
          <w:rFonts w:hint="eastAsia" w:ascii="Times New Roman" w:hAnsi="Times New Roman" w:cs="Times New Roman"/>
        </w:rPr>
        <w:t>；</w:t>
      </w:r>
      <w:r>
        <w:rPr>
          <w:rFonts w:ascii="Times New Roman" w:hAnsi="Times New Roman" w:cs="Times New Roman"/>
        </w:rPr>
        <w:t>当多台电子信息设备采用集中供电时，该电源可独立于电子信息设备，成为单独的电源设备。</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2.0.19 移动补液工装 Mobile Feed Liquid Device</w:t>
      </w:r>
    </w:p>
    <w:p>
      <w:pPr>
        <w:pStyle w:val="26"/>
        <w:spacing w:before="120" w:beforeAutospacing="0" w:after="120" w:afterAutospacing="0" w:line="360" w:lineRule="auto"/>
        <w:ind w:firstLine="480" w:firstLineChars="200"/>
        <w:rPr>
          <w:rFonts w:ascii="Times New Roman" w:hAnsi="Times New Roman" w:cs="Times New Roman"/>
        </w:rPr>
      </w:pPr>
      <w:r>
        <w:rPr>
          <w:rFonts w:ascii="Times New Roman" w:hAnsi="Times New Roman" w:cs="Times New Roman"/>
        </w:rPr>
        <w:t>可实现正常、紧急补液功能的装置，通常包含储液箱、补液泵、补液枪、过滤器、基座、仪表与传感器</w:t>
      </w:r>
      <w:r>
        <w:rPr>
          <w:rFonts w:hint="eastAsia" w:ascii="Times New Roman" w:hAnsi="Times New Roman" w:cs="Times New Roman"/>
        </w:rPr>
        <w:t>及</w:t>
      </w:r>
      <w:r>
        <w:rPr>
          <w:rFonts w:ascii="Times New Roman" w:hAnsi="Times New Roman" w:cs="Times New Roman"/>
        </w:rPr>
        <w:t>控制器等。</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2.0.20 故障影响直径Failure Influence Diameter</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  </w:t>
      </w:r>
      <w:r>
        <w:rPr>
          <w:rFonts w:hint="eastAsia" w:ascii="Times New Roman" w:hAnsi="Times New Roman" w:cs="Times New Roman"/>
        </w:rPr>
        <w:t>指</w:t>
      </w:r>
      <w:r>
        <w:rPr>
          <w:rFonts w:ascii="Times New Roman" w:hAnsi="Times New Roman" w:cs="Times New Roman"/>
        </w:rPr>
        <w:t>故障发生时的影响范围，例如二次侧环管上某阀门发生故障、需要关闭其两侧阀门进行维修或更换时，可能停止运行的设备和子系统。</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2.0.21过滤装置Filter Unit</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通常包含一定精度的滤芯，用于过滤掉其精度控制范围内的颗粒物、碎屑和</w:t>
      </w:r>
      <w:r>
        <w:rPr>
          <w:rFonts w:hint="eastAsia" w:ascii="Times New Roman" w:hAnsi="Times New Roman" w:cs="Times New Roman"/>
        </w:rPr>
        <w:t>其他杂质</w:t>
      </w:r>
      <w:r>
        <w:rPr>
          <w:rFonts w:ascii="Times New Roman" w:hAnsi="Times New Roman" w:cs="Times New Roman"/>
        </w:rPr>
        <w:t>。</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2.0.22 时间加权平均允许浓度 Time-Weighted Average，TWA</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表示以时间为权数8小时每工作日、 40小时每工作周对化学物质职业接触的平均容许浓度。</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2.0.23物质的生物累积性Bioaccumulation</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物质的生物累积性是指生物食用或体表吸收生活环境中的某些化学物质，物质在生物体中累积的能力</w:t>
      </w:r>
      <w:r>
        <w:rPr>
          <w:rFonts w:hint="eastAsia" w:ascii="Times New Roman" w:hAnsi="Times New Roman" w:cs="Times New Roman"/>
        </w:rPr>
        <w:t>。</w:t>
      </w:r>
      <w:r>
        <w:rPr>
          <w:rFonts w:ascii="Times New Roman" w:hAnsi="Times New Roman" w:cs="Times New Roman"/>
        </w:rPr>
        <w:t>这种累积可能是短期的，也可能是长期的，取决于物质的性质和环境条件；一般可经由食物链中各阶层消费者的食性关系而累积，越高级消费者的体内其累积浓度越高；生物累积性是持久性有机污染物（POPs）的特征PBT(Persistent持久性、Bioaccumulation生物累积性和Toxicity毒性)之一。</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2.0.24生物富集系数Bioconcentration Factor</w:t>
      </w:r>
    </w:p>
    <w:p>
      <w:pPr>
        <w:pStyle w:val="26"/>
        <w:spacing w:before="120" w:beforeAutospacing="0" w:after="120" w:afterAutospacing="0" w:line="360" w:lineRule="auto"/>
        <w:ind w:firstLine="480" w:firstLineChars="200"/>
        <w:jc w:val="both"/>
        <w:rPr>
          <w:rFonts w:ascii="Times New Roman" w:hAnsi="Times New Roman" w:cs="Times New Roman"/>
        </w:rPr>
      </w:pPr>
      <w:r>
        <w:rPr>
          <w:rFonts w:hint="eastAsia" w:ascii="Times New Roman" w:hAnsi="Times New Roman" w:cs="Times New Roman"/>
        </w:rPr>
        <w:t>简称</w:t>
      </w:r>
      <w:r>
        <w:rPr>
          <w:rFonts w:ascii="Times New Roman" w:hAnsi="Times New Roman" w:cs="Times New Roman"/>
        </w:rPr>
        <w:t>BCF</w:t>
      </w:r>
      <w:r>
        <w:rPr>
          <w:rFonts w:hint="eastAsia" w:ascii="Times New Roman" w:hAnsi="Times New Roman" w:cs="Times New Roman"/>
        </w:rPr>
        <w:t>，</w:t>
      </w:r>
      <w:r>
        <w:rPr>
          <w:rFonts w:ascii="Times New Roman" w:hAnsi="Times New Roman" w:cs="Times New Roman"/>
        </w:rPr>
        <w:t>即生物体内（组织中）化学物质的平衡浓度与其生存环境（如溶解在水中）该物质浓度的比值，也可以认为是生物对化合物的吸收速率与生物体内化合物净化速率之比，是描述化学物质在生物体内累积趋势之重要指标 （不包括饮食摄入）。</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2.0.25 生物累积系数Bioaccumulation Factor</w:t>
      </w:r>
    </w:p>
    <w:p>
      <w:pPr>
        <w:pStyle w:val="26"/>
        <w:spacing w:before="120" w:beforeAutospacing="0" w:after="120" w:afterAutospacing="0" w:line="360" w:lineRule="auto"/>
        <w:ind w:firstLine="480" w:firstLineChars="200"/>
        <w:jc w:val="both"/>
        <w:rPr>
          <w:rFonts w:ascii="Times New Roman" w:hAnsi="Times New Roman" w:cs="Times New Roman"/>
        </w:rPr>
      </w:pPr>
      <w:r>
        <w:rPr>
          <w:rFonts w:hint="eastAsia" w:ascii="Times New Roman" w:hAnsi="Times New Roman" w:cs="Times New Roman"/>
        </w:rPr>
        <w:t>简称</w:t>
      </w:r>
      <w:r>
        <w:rPr>
          <w:rFonts w:ascii="Times New Roman" w:hAnsi="Times New Roman" w:cs="Times New Roman"/>
        </w:rPr>
        <w:t>BAF</w:t>
      </w:r>
      <w:r>
        <w:rPr>
          <w:rFonts w:hint="eastAsia" w:ascii="Times New Roman" w:hAnsi="Times New Roman" w:cs="Times New Roman"/>
        </w:rPr>
        <w:t>，即</w:t>
      </w:r>
      <w:r>
        <w:rPr>
          <w:rFonts w:ascii="Times New Roman" w:hAnsi="Times New Roman" w:cs="Times New Roman"/>
        </w:rPr>
        <w:t>生物体内物质的平衡浓度与环境中浓度的比值（包括饮食摄入）。</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2.0.26 生物放大系数Biomagnification Factor</w:t>
      </w:r>
    </w:p>
    <w:p>
      <w:pPr>
        <w:pStyle w:val="26"/>
        <w:spacing w:before="120" w:beforeAutospacing="0" w:after="120" w:afterAutospacing="0" w:line="360" w:lineRule="auto"/>
        <w:ind w:firstLine="480" w:firstLineChars="200"/>
        <w:jc w:val="both"/>
        <w:rPr>
          <w:rFonts w:ascii="Times New Roman" w:hAnsi="Times New Roman" w:cs="Times New Roman"/>
        </w:rPr>
      </w:pPr>
      <w:r>
        <w:rPr>
          <w:rFonts w:hint="eastAsia" w:ascii="Times New Roman" w:hAnsi="Times New Roman" w:cs="Times New Roman"/>
        </w:rPr>
        <w:t>简称</w:t>
      </w:r>
      <w:r>
        <w:rPr>
          <w:rFonts w:ascii="Times New Roman" w:hAnsi="Times New Roman" w:cs="Times New Roman"/>
        </w:rPr>
        <w:t>B</w:t>
      </w:r>
      <w:r>
        <w:rPr>
          <w:rFonts w:hint="eastAsia" w:ascii="Times New Roman" w:hAnsi="Times New Roman" w:cs="Times New Roman"/>
        </w:rPr>
        <w:t>M</w:t>
      </w:r>
      <w:r>
        <w:rPr>
          <w:rFonts w:ascii="Times New Roman" w:hAnsi="Times New Roman" w:cs="Times New Roman"/>
        </w:rPr>
        <w:t>F，为稳态条件下生物体内该化学物质浓度与其饮食中该化学物质浓度的比值，对于一个受污染的生态系统而言，处于不同营养级上的生物体内的污染物浓度，不仅高于环境中污染物的浓度，而且具有明显的随营养级升高而增加的现象。</w:t>
      </w:r>
    </w:p>
    <w:p>
      <w:pPr>
        <w:pStyle w:val="26"/>
        <w:shd w:val="clear" w:color="auto" w:fill="FFFFFF"/>
        <w:spacing w:before="0" w:beforeAutospacing="0" w:after="0" w:afterAutospacing="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  2.0.27 化学品安全说明书 Material Safety Data Sheet</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MSDS是化学品生产或销售企业按法律要求向</w:t>
      </w:r>
      <w:r>
        <w:rPr>
          <w:rFonts w:hint="eastAsia" w:ascii="Times New Roman" w:hAnsi="Times New Roman" w:cs="Times New Roman"/>
        </w:rPr>
        <w:t>用</w:t>
      </w:r>
      <w:r>
        <w:rPr>
          <w:rFonts w:ascii="Times New Roman" w:hAnsi="Times New Roman" w:cs="Times New Roman"/>
        </w:rPr>
        <w:t>户提供的有关化学品特征的一份综合性法律文件</w:t>
      </w:r>
      <w:r>
        <w:rPr>
          <w:rFonts w:hint="eastAsia" w:ascii="Times New Roman" w:hAnsi="Times New Roman" w:cs="Times New Roman"/>
        </w:rPr>
        <w:t>，文件包含</w:t>
      </w:r>
      <w:r>
        <w:rPr>
          <w:rFonts w:ascii="Times New Roman" w:hAnsi="Times New Roman" w:cs="Times New Roman"/>
        </w:rPr>
        <w:t>化学品的理化参数、燃爆性能、对健康的</w:t>
      </w:r>
      <w:r>
        <w:rPr>
          <w:rFonts w:hint="eastAsia" w:ascii="Times New Roman" w:hAnsi="Times New Roman" w:cs="Times New Roman"/>
        </w:rPr>
        <w:t>影响</w:t>
      </w:r>
      <w:r>
        <w:rPr>
          <w:rFonts w:ascii="Times New Roman" w:hAnsi="Times New Roman" w:cs="Times New Roman"/>
        </w:rPr>
        <w:t>、安全使用</w:t>
      </w:r>
      <w:r>
        <w:rPr>
          <w:rFonts w:hint="eastAsia" w:ascii="Times New Roman" w:hAnsi="Times New Roman" w:cs="Times New Roman"/>
        </w:rPr>
        <w:t>、</w:t>
      </w:r>
      <w:r>
        <w:rPr>
          <w:rFonts w:ascii="Times New Roman" w:hAnsi="Times New Roman" w:cs="Times New Roman"/>
        </w:rPr>
        <w:t>贮存、泄漏处置、急救措施</w:t>
      </w:r>
      <w:r>
        <w:rPr>
          <w:rFonts w:hint="eastAsia" w:ascii="Times New Roman" w:hAnsi="Times New Roman" w:cs="Times New Roman"/>
        </w:rPr>
        <w:t>等</w:t>
      </w:r>
      <w:r>
        <w:rPr>
          <w:rFonts w:ascii="Times New Roman" w:hAnsi="Times New Roman" w:cs="Times New Roman"/>
        </w:rPr>
        <w:t>等十六项内容</w:t>
      </w:r>
      <w:r>
        <w:rPr>
          <w:rFonts w:hint="eastAsia" w:ascii="Times New Roman" w:hAnsi="Times New Roman" w:cs="Times New Roman"/>
        </w:rPr>
        <w:t>；</w:t>
      </w:r>
      <w:r>
        <w:rPr>
          <w:rFonts w:ascii="Times New Roman" w:hAnsi="Times New Roman" w:cs="Times New Roman"/>
        </w:rPr>
        <w:t>GBT16483-2008《化学品安全技术说明书内容和项目顺序》中</w:t>
      </w:r>
      <w:r>
        <w:rPr>
          <w:rFonts w:hint="eastAsia" w:ascii="Times New Roman" w:hAnsi="Times New Roman" w:cs="Times New Roman"/>
        </w:rPr>
        <w:t>同等概念</w:t>
      </w:r>
      <w:r>
        <w:rPr>
          <w:rFonts w:ascii="Times New Roman" w:hAnsi="Times New Roman" w:cs="Times New Roman"/>
        </w:rPr>
        <w:t>为SDS</w:t>
      </w:r>
      <w:r>
        <w:rPr>
          <w:rFonts w:hint="eastAsia" w:ascii="Times New Roman" w:hAnsi="Times New Roman" w:cs="Times New Roman"/>
        </w:rPr>
        <w:t>（</w:t>
      </w:r>
      <w:r>
        <w:rPr>
          <w:rFonts w:ascii="Times New Roman" w:hAnsi="Times New Roman" w:cs="Times New Roman"/>
        </w:rPr>
        <w:t>Safety Data Sheet</w:t>
      </w:r>
      <w:r>
        <w:rPr>
          <w:rFonts w:hint="eastAsia" w:ascii="Times New Roman" w:hAnsi="Times New Roman" w:cs="Times New Roman"/>
        </w:rPr>
        <w:t>）。</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2.0.28 馏程 Distillation Range</w:t>
      </w:r>
    </w:p>
    <w:p>
      <w:pPr>
        <w:spacing w:line="360" w:lineRule="auto"/>
        <w:ind w:firstLine="480" w:firstLineChars="200"/>
        <w:jc w:val="left"/>
        <w:rPr>
          <w:kern w:val="0"/>
          <w:sz w:val="24"/>
          <w:szCs w:val="24"/>
        </w:rPr>
      </w:pPr>
      <w:r>
        <w:rPr>
          <w:kern w:val="0"/>
          <w:sz w:val="24"/>
          <w:szCs w:val="24"/>
        </w:rPr>
        <w:t>馏程是指</w:t>
      </w:r>
      <w:r>
        <w:rPr>
          <w:rFonts w:hint="eastAsia"/>
          <w:kern w:val="0"/>
          <w:sz w:val="24"/>
          <w:szCs w:val="24"/>
        </w:rPr>
        <w:t>液态化学物质如</w:t>
      </w:r>
      <w:r>
        <w:rPr>
          <w:kern w:val="0"/>
          <w:sz w:val="24"/>
          <w:szCs w:val="24"/>
        </w:rPr>
        <w:t>油品在规定条件下蒸馏所得到的从初馏点到终馏点表示蒸发特征的温度范围</w:t>
      </w:r>
      <w:r>
        <w:rPr>
          <w:rFonts w:hint="eastAsia"/>
          <w:kern w:val="0"/>
          <w:sz w:val="24"/>
          <w:szCs w:val="24"/>
        </w:rPr>
        <w:t>。</w:t>
      </w:r>
      <w:r>
        <w:rPr>
          <w:kern w:val="0"/>
          <w:sz w:val="24"/>
          <w:szCs w:val="24"/>
        </w:rPr>
        <w:t>初馏点是在规定的试验条件下，将100ml油品加热蒸馏，从冷凝器的末端馏出第一滴油时的温度称为初馏点，终馏点是在蒸馏的最后阶段，当全部液体蒸发后的最高温度称为终馏点。</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2.0.29 介电常数 Dielectric Constant</w:t>
      </w:r>
    </w:p>
    <w:p>
      <w:pPr>
        <w:spacing w:line="360" w:lineRule="auto"/>
        <w:ind w:firstLine="480" w:firstLineChars="200"/>
        <w:jc w:val="left"/>
        <w:rPr>
          <w:kern w:val="0"/>
          <w:sz w:val="24"/>
          <w:szCs w:val="24"/>
        </w:rPr>
      </w:pPr>
      <w:r>
        <w:rPr>
          <w:kern w:val="0"/>
          <w:sz w:val="24"/>
          <w:szCs w:val="24"/>
        </w:rPr>
        <w:t>介电常数又称电容率或相对电容率，表征电介质或绝缘材料电性能的一个重要数据，是指在同一电容器中用同一物质为电介质和真空时的电容的比值，表示电介质在电场中贮存静电能的相对能力。</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2.0.30 介质损失因数/介质损耗 Dielectric Dissipation Factor</w:t>
      </w:r>
    </w:p>
    <w:p>
      <w:pPr>
        <w:spacing w:line="360" w:lineRule="auto"/>
        <w:ind w:firstLine="480" w:firstLineChars="200"/>
        <w:jc w:val="left"/>
        <w:rPr>
          <w:kern w:val="0"/>
          <w:sz w:val="24"/>
          <w:szCs w:val="24"/>
        </w:rPr>
      </w:pPr>
      <w:r>
        <w:rPr>
          <w:kern w:val="0"/>
          <w:sz w:val="24"/>
          <w:szCs w:val="24"/>
        </w:rPr>
        <w:t>介质损耗是绝缘材料在电场作用下，由于介质电导和介质极化的滞后效应，在其内部引起的能量损耗，也叫介质损失，介质损耗因数指的是衡量介质损耗程度的参数。</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2.0.31 饱和蒸汽压 Saturated Vapor Pressure</w:t>
      </w:r>
    </w:p>
    <w:p>
      <w:pPr>
        <w:spacing w:line="360" w:lineRule="auto"/>
        <w:ind w:firstLine="480" w:firstLineChars="200"/>
        <w:jc w:val="left"/>
        <w:rPr>
          <w:kern w:val="0"/>
          <w:sz w:val="24"/>
          <w:szCs w:val="24"/>
        </w:rPr>
      </w:pPr>
      <w:r>
        <w:rPr>
          <w:kern w:val="0"/>
          <w:sz w:val="24"/>
          <w:szCs w:val="24"/>
        </w:rPr>
        <w:t>在密闭条件中，在一定温度下，与液体处于相平衡的蒸汽所具有的压强称为饱和蒸汽压（油类冷却液通常饱和蒸汽压低，可不列该参数）。</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2.0.32 表面张力 Surface Tension</w:t>
      </w:r>
    </w:p>
    <w:p>
      <w:pPr>
        <w:spacing w:line="360" w:lineRule="auto"/>
        <w:ind w:firstLine="480" w:firstLineChars="200"/>
        <w:jc w:val="left"/>
        <w:rPr>
          <w:kern w:val="0"/>
          <w:sz w:val="24"/>
          <w:szCs w:val="24"/>
        </w:rPr>
      </w:pPr>
      <w:r>
        <w:rPr>
          <w:kern w:val="0"/>
          <w:sz w:val="24"/>
          <w:szCs w:val="24"/>
        </w:rPr>
        <w:t>是液体表面层由于分子引力不均衡而产生的沿表面作用于任一界线上的张力。</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2.0.33 纯度 Pur</w:t>
      </w:r>
      <w:r>
        <w:rPr>
          <w:rFonts w:hint="eastAsia" w:ascii="Times New Roman" w:hAnsi="Times New Roman" w:cs="Times New Roman"/>
        </w:rPr>
        <w:t>ity</w:t>
      </w:r>
    </w:p>
    <w:p>
      <w:pPr>
        <w:spacing w:line="360" w:lineRule="auto"/>
        <w:ind w:firstLine="480" w:firstLineChars="200"/>
        <w:jc w:val="left"/>
        <w:rPr>
          <w:kern w:val="0"/>
          <w:sz w:val="24"/>
          <w:szCs w:val="24"/>
        </w:rPr>
      </w:pPr>
      <w:r>
        <w:rPr>
          <w:kern w:val="0"/>
          <w:sz w:val="24"/>
          <w:szCs w:val="24"/>
        </w:rPr>
        <w:t>纯度是指通过评估的主要冷却液成分在实际提供产品中的比例。</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2.0.34 ICT设备</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ICT设备</w:t>
      </w:r>
      <w:r>
        <w:rPr>
          <w:rFonts w:hint="eastAsia" w:ascii="Times New Roman" w:hAnsi="Times New Roman" w:cs="Times New Roman"/>
        </w:rPr>
        <w:t>是</w:t>
      </w:r>
      <w:r>
        <w:rPr>
          <w:rFonts w:ascii="Times New Roman" w:hAnsi="Times New Roman" w:cs="Times New Roman"/>
        </w:rPr>
        <w:t>IT（Information Technology</w:t>
      </w:r>
      <w:r>
        <w:rPr>
          <w:rFonts w:hint="eastAsia" w:ascii="Times New Roman" w:hAnsi="Times New Roman" w:cs="Times New Roman"/>
        </w:rPr>
        <w:t>，</w:t>
      </w:r>
      <w:r>
        <w:rPr>
          <w:rFonts w:ascii="Times New Roman" w:hAnsi="Times New Roman" w:cs="Times New Roman"/>
        </w:rPr>
        <w:t>互联网技术）设备和CT（Communication Technology</w:t>
      </w:r>
      <w:r>
        <w:rPr>
          <w:rFonts w:hint="eastAsia" w:ascii="Times New Roman" w:hAnsi="Times New Roman" w:cs="Times New Roman"/>
        </w:rPr>
        <w:t>，</w:t>
      </w:r>
      <w:r>
        <w:rPr>
          <w:rFonts w:ascii="Times New Roman" w:hAnsi="Times New Roman" w:cs="Times New Roman"/>
        </w:rPr>
        <w:t>通信技术）</w:t>
      </w:r>
      <w:r>
        <w:rPr>
          <w:rFonts w:hint="eastAsia" w:ascii="Times New Roman" w:hAnsi="Times New Roman" w:cs="Times New Roman"/>
        </w:rPr>
        <w:t>相关</w:t>
      </w:r>
      <w:r>
        <w:rPr>
          <w:rFonts w:ascii="Times New Roman" w:hAnsi="Times New Roman" w:cs="Times New Roman"/>
        </w:rPr>
        <w:t>设备</w:t>
      </w:r>
      <w:r>
        <w:rPr>
          <w:rFonts w:hint="eastAsia" w:ascii="Times New Roman" w:hAnsi="Times New Roman" w:cs="Times New Roman"/>
        </w:rPr>
        <w:t>的总称。</w:t>
      </w:r>
      <w:r>
        <w:rPr>
          <w:rFonts w:ascii="Times New Roman" w:hAnsi="Times New Roman" w:cs="Times New Roman"/>
        </w:rPr>
        <w:t>ICT设备属于电子信息设备。</w:t>
      </w:r>
    </w:p>
    <w:p>
      <w:pPr>
        <w:pStyle w:val="26"/>
        <w:spacing w:before="120" w:beforeAutospacing="0" w:after="120" w:afterAutospacing="0" w:line="360" w:lineRule="auto"/>
        <w:ind w:firstLine="480" w:firstLineChars="200"/>
        <w:jc w:val="both"/>
        <w:rPr>
          <w:rFonts w:ascii="Times New Roman" w:hAnsi="Times New Roman" w:cs="Times New Roman"/>
        </w:rPr>
      </w:pPr>
      <w:r>
        <w:rPr>
          <w:rFonts w:ascii="Times New Roman" w:hAnsi="Times New Roman" w:cs="Times New Roman"/>
        </w:rPr>
        <w:t xml:space="preserve">2.0.35 </w:t>
      </w:r>
      <w:r>
        <w:rPr>
          <w:rFonts w:hint="eastAsia" w:ascii="Times New Roman" w:hAnsi="Times New Roman" w:cs="Times New Roman"/>
        </w:rPr>
        <w:t xml:space="preserve">电能利用效率 </w:t>
      </w:r>
      <w:r>
        <w:rPr>
          <w:rFonts w:ascii="Times New Roman" w:hAnsi="Times New Roman" w:cs="Times New Roman"/>
        </w:rPr>
        <w:t>Power Usage Effectiveness</w:t>
      </w:r>
    </w:p>
    <w:p>
      <w:pPr>
        <w:pStyle w:val="26"/>
        <w:spacing w:before="120" w:beforeAutospacing="0" w:after="120" w:afterAutospacing="0" w:line="360" w:lineRule="auto"/>
        <w:ind w:firstLine="480" w:firstLineChars="200"/>
        <w:jc w:val="both"/>
        <w:rPr>
          <w:rFonts w:ascii="Times New Roman" w:hAnsi="Times New Roman" w:cs="Times New Roman"/>
        </w:rPr>
      </w:pPr>
      <w:r>
        <w:rPr>
          <w:rFonts w:hint="eastAsia" w:ascii="Times New Roman" w:hAnsi="Times New Roman" w:cs="Times New Roman"/>
        </w:rPr>
        <w:t>简称</w:t>
      </w:r>
      <w:r>
        <w:rPr>
          <w:rFonts w:ascii="Times New Roman" w:hAnsi="Times New Roman" w:cs="Times New Roman"/>
        </w:rPr>
        <w:t>PUE，是国际上比较通行的评价数据中心能源效率的指标，PUE是一个比值， 即数据中心总能耗/ICT设备能耗，越接近1表明能效水平越好，计算公式为：</w:t>
      </w:r>
    </w:p>
    <w:p>
      <w:pPr>
        <w:pStyle w:val="26"/>
        <w:spacing w:before="0" w:beforeAutospacing="0" w:after="0" w:afterAutospacing="0" w:line="360" w:lineRule="auto"/>
        <w:ind w:firstLine="240"/>
        <w:jc w:val="both"/>
        <w:rPr>
          <w:rFonts w:ascii="Times New Roman" w:hAnsi="Times New Roman" w:cs="Times New Roman"/>
        </w:rPr>
      </w:pPr>
      <w:r>
        <w:rPr>
          <w:rFonts w:ascii="Times New Roman" w:hAnsi="Times New Roman" w:cs="Times New Roman"/>
        </w:rPr>
        <w:t>PUE=（ΣP </w:t>
      </w:r>
      <w:r>
        <w:rPr>
          <w:rFonts w:ascii="Times New Roman" w:hAnsi="Times New Roman" w:cs="Times New Roman"/>
          <w:vertAlign w:val="subscript"/>
        </w:rPr>
        <w:t>Total</w:t>
      </w:r>
      <w:r>
        <w:rPr>
          <w:rFonts w:ascii="Times New Roman" w:hAnsi="Times New Roman" w:cs="Times New Roman"/>
        </w:rPr>
        <w:t>）/ ΣP</w:t>
      </w:r>
      <w:r>
        <w:rPr>
          <w:rFonts w:ascii="Times New Roman" w:hAnsi="Times New Roman" w:cs="Times New Roman"/>
          <w:vertAlign w:val="subscript"/>
        </w:rPr>
        <w:t>ICT</w:t>
      </w:r>
    </w:p>
    <w:p>
      <w:pPr>
        <w:pStyle w:val="26"/>
        <w:spacing w:before="0" w:beforeAutospacing="0" w:after="0" w:afterAutospacing="0" w:line="360" w:lineRule="auto"/>
        <w:ind w:firstLine="240"/>
        <w:jc w:val="both"/>
        <w:rPr>
          <w:rFonts w:ascii="Times New Roman" w:hAnsi="Times New Roman" w:cs="Times New Roman"/>
        </w:rPr>
      </w:pPr>
      <w:r>
        <w:rPr>
          <w:rFonts w:ascii="Times New Roman" w:hAnsi="Times New Roman" w:cs="Times New Roman"/>
        </w:rPr>
        <w:t>ΣP </w:t>
      </w:r>
      <w:r>
        <w:rPr>
          <w:rFonts w:ascii="Times New Roman" w:hAnsi="Times New Roman" w:cs="Times New Roman"/>
          <w:vertAlign w:val="subscript"/>
        </w:rPr>
        <w:t>Total</w:t>
      </w:r>
      <w:r>
        <w:rPr>
          <w:rFonts w:ascii="Times New Roman" w:hAnsi="Times New Roman" w:cs="Times New Roman"/>
        </w:rPr>
        <w:t>— 数据中心在统计期（某段连续运行的时间或全年）内的总耗电量，单位为千瓦时（kWh）</w:t>
      </w:r>
    </w:p>
    <w:p>
      <w:pPr>
        <w:pStyle w:val="26"/>
        <w:spacing w:before="0" w:beforeAutospacing="0" w:after="0" w:afterAutospacing="0" w:line="360" w:lineRule="auto"/>
        <w:ind w:firstLine="240"/>
        <w:jc w:val="both"/>
        <w:rPr>
          <w:rFonts w:ascii="Times New Roman" w:hAnsi="Times New Roman" w:cs="Times New Roman"/>
        </w:rPr>
      </w:pPr>
      <w:r>
        <w:rPr>
          <w:rFonts w:ascii="Times New Roman" w:hAnsi="Times New Roman" w:cs="Times New Roman"/>
        </w:rPr>
        <w:t>ΣP</w:t>
      </w:r>
      <w:r>
        <w:rPr>
          <w:rFonts w:ascii="Times New Roman" w:hAnsi="Times New Roman" w:cs="Times New Roman"/>
          <w:vertAlign w:val="subscript"/>
        </w:rPr>
        <w:t>ICT</w:t>
      </w:r>
      <w:r>
        <w:rPr>
          <w:rFonts w:ascii="Times New Roman" w:hAnsi="Times New Roman" w:cs="Times New Roman"/>
        </w:rPr>
        <w:t> — 数据中心在统计期（某段连续运行的时间或全年）内ICT设备（含I</w:t>
      </w:r>
      <w:r>
        <w:rPr>
          <w:rFonts w:hint="eastAsia" w:ascii="Times New Roman" w:hAnsi="Times New Roman" w:cs="Times New Roman"/>
        </w:rPr>
        <w:t>C</w:t>
      </w:r>
      <w:r>
        <w:rPr>
          <w:rFonts w:ascii="Times New Roman" w:hAnsi="Times New Roman" w:cs="Times New Roman"/>
        </w:rPr>
        <w:t>T设备风扇与PSU损耗）的耗电量，单位为千瓦时（kWh）</w:t>
      </w:r>
    </w:p>
    <w:p>
      <w:pPr>
        <w:pStyle w:val="26"/>
        <w:spacing w:before="0" w:beforeAutospacing="0" w:after="0" w:afterAutospacing="0" w:line="360" w:lineRule="auto"/>
        <w:ind w:firstLine="480"/>
        <w:jc w:val="both"/>
        <w:rPr>
          <w:rFonts w:ascii="Times New Roman" w:hAnsi="Times New Roman" w:cs="Times New Roman"/>
        </w:rPr>
      </w:pPr>
      <w:r>
        <w:rPr>
          <w:rFonts w:ascii="Times New Roman" w:hAnsi="Times New Roman" w:cs="Times New Roman"/>
        </w:rPr>
        <w:t xml:space="preserve">2.0.37 </w:t>
      </w:r>
      <w:r>
        <w:rPr>
          <w:rFonts w:hint="eastAsia" w:ascii="Times New Roman" w:hAnsi="Times New Roman" w:cs="Times New Roman"/>
        </w:rPr>
        <w:t>水资源利用效率</w:t>
      </w:r>
      <w:r>
        <w:rPr>
          <w:rFonts w:ascii="Times New Roman" w:hAnsi="Times New Roman" w:cs="Times New Roman"/>
        </w:rPr>
        <w:t>Water Usage Effectiveness</w:t>
      </w:r>
    </w:p>
    <w:p>
      <w:pPr>
        <w:pStyle w:val="26"/>
        <w:spacing w:before="0" w:beforeAutospacing="0" w:after="0" w:afterAutospacing="0" w:line="360" w:lineRule="auto"/>
        <w:ind w:firstLine="480"/>
        <w:jc w:val="both"/>
        <w:rPr>
          <w:rFonts w:ascii="Times New Roman" w:hAnsi="Times New Roman" w:cs="Times New Roman"/>
        </w:rPr>
      </w:pPr>
      <w:r>
        <w:rPr>
          <w:rFonts w:hint="eastAsia" w:ascii="Times New Roman" w:hAnsi="Times New Roman" w:cs="Times New Roman"/>
        </w:rPr>
        <w:t>简称</w:t>
      </w:r>
      <w:r>
        <w:rPr>
          <w:rFonts w:ascii="Times New Roman" w:hAnsi="Times New Roman" w:cs="Times New Roman"/>
        </w:rPr>
        <w:t>WUE</w:t>
      </w:r>
      <w:r>
        <w:rPr>
          <w:rFonts w:hint="eastAsia" w:ascii="Times New Roman" w:hAnsi="Times New Roman" w:cs="Times New Roman"/>
        </w:rPr>
        <w:t>，</w:t>
      </w:r>
      <w:r>
        <w:rPr>
          <w:rFonts w:ascii="Times New Roman" w:hAnsi="Times New Roman" w:cs="Times New Roman"/>
        </w:rPr>
        <w:t>是指数据中心总耗水量与数据中心ICT设备耗电量的比值（单位：L/kWh），一般用年均WUE值</w:t>
      </w:r>
      <w:r>
        <w:rPr>
          <w:rFonts w:hint="eastAsia" w:ascii="Times New Roman" w:hAnsi="Times New Roman" w:cs="Times New Roman"/>
        </w:rPr>
        <w:t>。</w:t>
      </w:r>
      <w:r>
        <w:rPr>
          <w:rFonts w:ascii="Times New Roman" w:hAnsi="Times New Roman" w:cs="Times New Roman"/>
        </w:rPr>
        <w:t>WUE数值越小，代表数据中心利用水资源的效率越高；计算公式为：</w:t>
      </w:r>
    </w:p>
    <w:p>
      <w:pPr>
        <w:pStyle w:val="26"/>
        <w:spacing w:before="0" w:beforeAutospacing="0" w:after="0" w:afterAutospacing="0" w:line="360" w:lineRule="auto"/>
        <w:rPr>
          <w:rFonts w:ascii="Times New Roman" w:hAnsi="Times New Roman" w:cs="Times New Roman"/>
          <w:vertAlign w:val="subscript"/>
        </w:rPr>
      </w:pPr>
      <w:r>
        <w:rPr>
          <w:rFonts w:ascii="Times New Roman" w:hAnsi="Times New Roman" w:cs="Times New Roman"/>
        </w:rPr>
        <w:t xml:space="preserve">  WUE=（ΣL）/ ΣP</w:t>
      </w:r>
      <w:r>
        <w:rPr>
          <w:rFonts w:ascii="Times New Roman" w:hAnsi="Times New Roman" w:cs="Times New Roman"/>
          <w:vertAlign w:val="subscript"/>
        </w:rPr>
        <w:t>IT</w:t>
      </w:r>
    </w:p>
    <w:p>
      <w:pPr>
        <w:pStyle w:val="26"/>
        <w:spacing w:before="0" w:beforeAutospacing="0" w:after="0" w:afterAutospacing="0" w:line="360" w:lineRule="auto"/>
        <w:rPr>
          <w:rFonts w:ascii="Times New Roman" w:hAnsi="Times New Roman" w:cs="Times New Roman"/>
        </w:rPr>
      </w:pPr>
      <w:r>
        <w:rPr>
          <w:rFonts w:ascii="Times New Roman" w:hAnsi="Times New Roman" w:cs="Times New Roman"/>
        </w:rPr>
        <w:t xml:space="preserve">  ΣL — 数据中心在统计期（某段连续运行的时间或全年）内的耗水量，单位为升（L）</w:t>
      </w:r>
    </w:p>
    <w:p>
      <w:pPr>
        <w:pStyle w:val="26"/>
        <w:spacing w:before="0" w:beforeAutospacing="0" w:after="0" w:afterAutospacing="0" w:line="360" w:lineRule="auto"/>
        <w:rPr>
          <w:rFonts w:ascii="Times New Roman" w:hAnsi="Times New Roman" w:cs="Times New Roman"/>
        </w:rPr>
      </w:pPr>
      <w:r>
        <w:rPr>
          <w:rFonts w:ascii="Times New Roman" w:hAnsi="Times New Roman" w:cs="Times New Roman"/>
        </w:rPr>
        <w:t xml:space="preserve">   ΣP</w:t>
      </w:r>
      <w:r>
        <w:rPr>
          <w:rFonts w:ascii="Times New Roman" w:hAnsi="Times New Roman" w:cs="Times New Roman"/>
          <w:vertAlign w:val="subscript"/>
        </w:rPr>
        <w:t>ICT</w:t>
      </w:r>
      <w:r>
        <w:rPr>
          <w:rFonts w:ascii="Times New Roman" w:hAnsi="Times New Roman" w:cs="Times New Roman"/>
        </w:rPr>
        <w:t> </w:t>
      </w:r>
      <w:bookmarkStart w:id="8" w:name="_Hlk123723587"/>
      <w:r>
        <w:rPr>
          <w:rFonts w:ascii="Times New Roman" w:hAnsi="Times New Roman" w:cs="Times New Roman"/>
        </w:rPr>
        <w:t>—</w:t>
      </w:r>
      <w:bookmarkEnd w:id="8"/>
      <w:r>
        <w:rPr>
          <w:rFonts w:ascii="Times New Roman" w:hAnsi="Times New Roman" w:cs="Times New Roman"/>
        </w:rPr>
        <w:t>数据中心ICT设备在统计期（某段连续运行的时间或全年）内ICT设备（含I</w:t>
      </w:r>
      <w:r>
        <w:rPr>
          <w:rFonts w:hint="eastAsia" w:ascii="Times New Roman" w:hAnsi="Times New Roman" w:cs="Times New Roman"/>
        </w:rPr>
        <w:t>C</w:t>
      </w:r>
      <w:r>
        <w:rPr>
          <w:rFonts w:ascii="Times New Roman" w:hAnsi="Times New Roman" w:cs="Times New Roman"/>
        </w:rPr>
        <w:t>T设备风扇与PSU损耗）的耗电量，单位为千瓦时（kWh）</w:t>
      </w:r>
    </w:p>
    <w:p>
      <w:pPr>
        <w:pStyle w:val="26"/>
        <w:spacing w:before="0" w:beforeAutospacing="0" w:after="0" w:afterAutospacing="0" w:line="360" w:lineRule="auto"/>
        <w:rPr>
          <w:rFonts w:ascii="Times New Roman" w:hAnsi="Times New Roman" w:cs="Times New Roman"/>
        </w:rPr>
      </w:pPr>
      <w:r>
        <w:rPr>
          <w:rFonts w:ascii="Times New Roman" w:hAnsi="Times New Roman" w:cs="Times New Roman"/>
        </w:rPr>
        <w:t>      2.0.38 ICT</w:t>
      </w:r>
      <w:r>
        <w:rPr>
          <w:rFonts w:hint="eastAsia" w:ascii="Times New Roman" w:hAnsi="Times New Roman" w:cs="Times New Roman"/>
        </w:rPr>
        <w:t>电能利用效率</w:t>
      </w:r>
      <w:r>
        <w:rPr>
          <w:rFonts w:ascii="Times New Roman" w:hAnsi="Times New Roman" w:cs="Times New Roman"/>
        </w:rPr>
        <w:t>ICT Power Usage Effectiveness</w:t>
      </w:r>
    </w:p>
    <w:p>
      <w:pPr>
        <w:pStyle w:val="26"/>
        <w:spacing w:before="0" w:beforeAutospacing="0" w:after="0" w:afterAutospacing="0" w:line="360" w:lineRule="auto"/>
        <w:ind w:firstLine="360" w:firstLineChars="150"/>
        <w:rPr>
          <w:rFonts w:ascii="Times New Roman" w:hAnsi="Times New Roman" w:cs="Times New Roman"/>
        </w:rPr>
      </w:pPr>
      <w:r>
        <w:rPr>
          <w:rFonts w:hint="eastAsia" w:ascii="Times New Roman" w:hAnsi="Times New Roman" w:cs="Times New Roman"/>
        </w:rPr>
        <w:t>简称</w:t>
      </w:r>
      <w:r>
        <w:rPr>
          <w:rFonts w:ascii="Times New Roman" w:hAnsi="Times New Roman" w:cs="Times New Roman"/>
        </w:rPr>
        <w:t>ICTPUE</w:t>
      </w:r>
      <w:r>
        <w:rPr>
          <w:rFonts w:hint="eastAsia" w:ascii="Times New Roman" w:hAnsi="Times New Roman" w:cs="Times New Roman"/>
        </w:rPr>
        <w:t>，</w:t>
      </w:r>
      <w:r>
        <w:rPr>
          <w:rFonts w:ascii="Times New Roman" w:hAnsi="Times New Roman" w:cs="Times New Roman"/>
        </w:rPr>
        <w:t>即数据中心总能耗/ICT有效能耗，越接近1表明能效水平越好；计算公式为：</w:t>
      </w:r>
    </w:p>
    <w:p>
      <w:pPr>
        <w:pStyle w:val="26"/>
        <w:spacing w:before="0" w:beforeAutospacing="0" w:after="0" w:afterAutospacing="0" w:line="360" w:lineRule="auto"/>
        <w:ind w:firstLine="240"/>
        <w:rPr>
          <w:rFonts w:ascii="Times New Roman" w:hAnsi="Times New Roman" w:cs="Times New Roman"/>
        </w:rPr>
      </w:pPr>
      <w:r>
        <w:rPr>
          <w:rFonts w:ascii="Times New Roman" w:hAnsi="Times New Roman" w:cs="Times New Roman"/>
        </w:rPr>
        <w:t xml:space="preserve">  ICTPUE=（ΣP </w:t>
      </w:r>
      <w:r>
        <w:rPr>
          <w:rFonts w:ascii="Times New Roman" w:hAnsi="Times New Roman" w:cs="Times New Roman"/>
          <w:vertAlign w:val="subscript"/>
        </w:rPr>
        <w:t>Total</w:t>
      </w:r>
      <w:r>
        <w:rPr>
          <w:rFonts w:ascii="Times New Roman" w:hAnsi="Times New Roman" w:cs="Times New Roman"/>
        </w:rPr>
        <w:t>）/ ΣP</w:t>
      </w:r>
      <w:r>
        <w:rPr>
          <w:rFonts w:ascii="Times New Roman" w:hAnsi="Times New Roman" w:cs="Times New Roman"/>
          <w:vertAlign w:val="subscript"/>
        </w:rPr>
        <w:t>EICT</w:t>
      </w:r>
    </w:p>
    <w:p>
      <w:pPr>
        <w:pStyle w:val="26"/>
        <w:spacing w:before="0" w:beforeAutospacing="0" w:after="0" w:afterAutospacing="0" w:line="360" w:lineRule="auto"/>
        <w:ind w:firstLine="240"/>
        <w:rPr>
          <w:rFonts w:ascii="Times New Roman" w:hAnsi="Times New Roman" w:cs="Times New Roman"/>
        </w:rPr>
      </w:pPr>
      <w:r>
        <w:rPr>
          <w:rFonts w:ascii="Times New Roman" w:hAnsi="Times New Roman" w:cs="Times New Roman"/>
        </w:rPr>
        <w:t xml:space="preserve">  ΣP </w:t>
      </w:r>
      <w:r>
        <w:rPr>
          <w:rFonts w:ascii="Times New Roman" w:hAnsi="Times New Roman" w:cs="Times New Roman"/>
          <w:vertAlign w:val="subscript"/>
        </w:rPr>
        <w:t>Total</w:t>
      </w:r>
      <w:r>
        <w:rPr>
          <w:rFonts w:ascii="Times New Roman" w:hAnsi="Times New Roman" w:cs="Times New Roman"/>
        </w:rPr>
        <w:t>— 数据中心在统计期（某段连续运行的时间或全年）内的总耗电量，单位为千瓦时（kWh）</w:t>
      </w:r>
    </w:p>
    <w:p>
      <w:pPr>
        <w:pStyle w:val="26"/>
        <w:spacing w:before="0" w:beforeAutospacing="0" w:after="0" w:afterAutospacing="0" w:line="360" w:lineRule="auto"/>
        <w:ind w:firstLine="240"/>
        <w:rPr>
          <w:rFonts w:ascii="Times New Roman" w:hAnsi="Times New Roman" w:cs="Times New Roman"/>
        </w:rPr>
      </w:pPr>
      <w:r>
        <w:rPr>
          <w:rFonts w:ascii="Times New Roman" w:hAnsi="Times New Roman" w:cs="Times New Roman"/>
        </w:rPr>
        <w:t xml:space="preserve">  ΣP</w:t>
      </w:r>
      <w:r>
        <w:rPr>
          <w:rFonts w:ascii="Times New Roman" w:hAnsi="Times New Roman" w:cs="Times New Roman"/>
          <w:vertAlign w:val="subscript"/>
        </w:rPr>
        <w:t>EICT</w:t>
      </w:r>
      <w:r>
        <w:rPr>
          <w:rFonts w:ascii="Times New Roman" w:hAnsi="Times New Roman" w:cs="Times New Roman"/>
        </w:rPr>
        <w:t> — 数据中心在统计期（某段连续运行的时间或全年）内ICT算力部分（不含ICT设备风扇与PSU损耗）的耗电量，单位为千瓦时（kWh）</w:t>
      </w:r>
    </w:p>
    <w:p>
      <w:pPr>
        <w:pStyle w:val="26"/>
        <w:spacing w:before="0" w:beforeAutospacing="0" w:after="0" w:afterAutospacing="0" w:line="360" w:lineRule="auto"/>
        <w:rPr>
          <w:rFonts w:ascii="Times New Roman" w:hAnsi="Times New Roman" w:cs="Times New Roman"/>
        </w:rPr>
      </w:pPr>
      <w:r>
        <w:rPr>
          <w:rFonts w:ascii="Times New Roman" w:hAnsi="Times New Roman" w:cs="Times New Roman"/>
        </w:rPr>
        <w:t xml:space="preserve"> 2.0.39 ICT算力产出率</w:t>
      </w:r>
    </w:p>
    <w:p>
      <w:pPr>
        <w:pStyle w:val="26"/>
        <w:spacing w:before="0" w:beforeAutospacing="0" w:after="0" w:afterAutospacing="0" w:line="360" w:lineRule="auto"/>
        <w:ind w:firstLine="480" w:firstLineChars="200"/>
        <w:rPr>
          <w:rFonts w:ascii="Times New Roman" w:hAnsi="Times New Roman" w:cs="Times New Roman"/>
        </w:rPr>
      </w:pPr>
      <w:r>
        <w:rPr>
          <w:rFonts w:ascii="Times New Roman" w:hAnsi="Times New Roman" w:cs="Times New Roman"/>
        </w:rPr>
        <w:t>数据中心ICT算力部分（不含ICT设备风扇与PSU损耗）的设计功率与数据中心市电输入功率的比值，ICT产出率越高越好；计算公式为：</w:t>
      </w:r>
    </w:p>
    <w:p>
      <w:pPr>
        <w:pStyle w:val="26"/>
        <w:spacing w:before="0" w:beforeAutospacing="0" w:after="0" w:afterAutospacing="0" w:line="360" w:lineRule="auto"/>
        <w:rPr>
          <w:rFonts w:ascii="Times New Roman" w:hAnsi="Times New Roman" w:cs="Times New Roman"/>
        </w:rPr>
      </w:pPr>
      <w:r>
        <w:rPr>
          <w:rFonts w:ascii="Times New Roman" w:hAnsi="Times New Roman" w:cs="Times New Roman"/>
        </w:rPr>
        <w:t>     ICT算力产出率= PW </w:t>
      </w:r>
      <w:r>
        <w:rPr>
          <w:rFonts w:ascii="Times New Roman" w:hAnsi="Times New Roman" w:cs="Times New Roman"/>
          <w:vertAlign w:val="subscript"/>
        </w:rPr>
        <w:t>ICT</w:t>
      </w:r>
      <w:r>
        <w:rPr>
          <w:rFonts w:ascii="Times New Roman" w:hAnsi="Times New Roman" w:cs="Times New Roman"/>
        </w:rPr>
        <w:t> /PW</w:t>
      </w:r>
      <w:r>
        <w:rPr>
          <w:rFonts w:ascii="Times New Roman" w:hAnsi="Times New Roman" w:cs="Times New Roman"/>
          <w:vertAlign w:val="subscript"/>
        </w:rPr>
        <w:t>Input</w:t>
      </w:r>
      <w:r>
        <w:rPr>
          <w:rFonts w:ascii="Times New Roman" w:hAnsi="Times New Roman" w:cs="Times New Roman"/>
        </w:rPr>
        <w:t>=（PW</w:t>
      </w:r>
      <w:r>
        <w:rPr>
          <w:rFonts w:ascii="Times New Roman" w:hAnsi="Times New Roman" w:cs="Times New Roman"/>
          <w:vertAlign w:val="subscript"/>
        </w:rPr>
        <w:t>Input</w:t>
      </w:r>
      <w:r>
        <w:rPr>
          <w:rFonts w:ascii="Times New Roman" w:hAnsi="Times New Roman" w:cs="Times New Roman"/>
        </w:rPr>
        <w:t> - 冷却系统夏季峰值耗电量 - 电气损耗 – ICT设备的风扇功耗 – ICT 设备的PSU损耗）/PW</w:t>
      </w:r>
      <w:r>
        <w:rPr>
          <w:rFonts w:ascii="Times New Roman" w:hAnsi="Times New Roman" w:cs="Times New Roman"/>
          <w:vertAlign w:val="subscript"/>
        </w:rPr>
        <w:t>Ci</w:t>
      </w:r>
    </w:p>
    <w:p>
      <w:pPr>
        <w:pStyle w:val="26"/>
        <w:spacing w:before="0" w:beforeAutospacing="0" w:after="0" w:afterAutospacing="0" w:line="360" w:lineRule="auto"/>
        <w:ind w:firstLine="360"/>
        <w:rPr>
          <w:rFonts w:ascii="Times New Roman" w:hAnsi="Times New Roman" w:cs="Times New Roman"/>
        </w:rPr>
      </w:pPr>
      <w:r>
        <w:rPr>
          <w:rFonts w:ascii="Times New Roman" w:hAnsi="Times New Roman" w:cs="Times New Roman"/>
        </w:rPr>
        <w:t>   PW</w:t>
      </w:r>
      <w:r>
        <w:rPr>
          <w:rFonts w:ascii="Times New Roman" w:hAnsi="Times New Roman" w:cs="Times New Roman"/>
          <w:vertAlign w:val="subscript"/>
        </w:rPr>
        <w:t>ICT</w:t>
      </w:r>
      <w:r>
        <w:rPr>
          <w:rFonts w:ascii="Times New Roman" w:hAnsi="Times New Roman" w:cs="Times New Roman"/>
        </w:rPr>
        <w:t> — 数据中心ICT部分的（不含ICT设备风扇与PSU损耗）的设计功率，单位为千瓦（kW）</w:t>
      </w:r>
    </w:p>
    <w:p>
      <w:pPr>
        <w:pStyle w:val="26"/>
        <w:spacing w:before="0" w:beforeAutospacing="0" w:after="0" w:afterAutospacing="0" w:line="360" w:lineRule="auto"/>
        <w:ind w:firstLine="240"/>
        <w:rPr>
          <w:rFonts w:ascii="Times New Roman" w:hAnsi="Times New Roman" w:cs="Times New Roman"/>
        </w:rPr>
      </w:pPr>
      <w:r>
        <w:rPr>
          <w:rFonts w:ascii="Times New Roman" w:hAnsi="Times New Roman" w:cs="Times New Roman"/>
        </w:rPr>
        <w:t>     PW</w:t>
      </w:r>
      <w:r>
        <w:rPr>
          <w:rFonts w:ascii="Times New Roman" w:hAnsi="Times New Roman" w:cs="Times New Roman"/>
          <w:vertAlign w:val="subscript"/>
        </w:rPr>
        <w:t>Input </w:t>
      </w:r>
      <w:r>
        <w:rPr>
          <w:rFonts w:ascii="Times New Roman" w:hAnsi="Times New Roman" w:cs="Times New Roman"/>
        </w:rPr>
        <w:t>— 数据中心电力输入总功率，单位为kW</w:t>
      </w:r>
    </w:p>
    <w:p>
      <w:pPr>
        <w:pStyle w:val="26"/>
        <w:spacing w:before="0" w:beforeAutospacing="0" w:after="0" w:afterAutospacing="0" w:line="360" w:lineRule="auto"/>
        <w:ind w:firstLine="600"/>
        <w:rPr>
          <w:rFonts w:ascii="Times New Roman" w:hAnsi="Times New Roman" w:cs="Times New Roman"/>
        </w:rPr>
      </w:pPr>
      <w:r>
        <w:rPr>
          <w:rFonts w:ascii="Times New Roman" w:hAnsi="Times New Roman" w:cs="Times New Roman"/>
        </w:rPr>
        <w:t>PW</w:t>
      </w:r>
      <w:r>
        <w:rPr>
          <w:rFonts w:ascii="Times New Roman" w:hAnsi="Times New Roman" w:cs="Times New Roman"/>
          <w:vertAlign w:val="subscript"/>
        </w:rPr>
        <w:t> Ci </w:t>
      </w:r>
      <w:r>
        <w:rPr>
          <w:rFonts w:ascii="Times New Roman" w:hAnsi="Times New Roman" w:cs="Times New Roman"/>
        </w:rPr>
        <w:t>— 数据中心市电输入总功率，单位为kW</w:t>
      </w:r>
    </w:p>
    <w:p>
      <w:pPr>
        <w:spacing w:line="360" w:lineRule="auto"/>
        <w:jc w:val="left"/>
        <w:rPr>
          <w:rFonts w:eastAsia="微软雅黑"/>
          <w:kern w:val="0"/>
          <w:sz w:val="24"/>
          <w:szCs w:val="24"/>
        </w:rPr>
      </w:pPr>
    </w:p>
    <w:p>
      <w:pPr>
        <w:spacing w:line="360" w:lineRule="auto"/>
        <w:jc w:val="left"/>
        <w:rPr>
          <w:rFonts w:eastAsia="微软雅黑"/>
          <w:kern w:val="0"/>
          <w:sz w:val="24"/>
          <w:szCs w:val="24"/>
        </w:rPr>
        <w:sectPr>
          <w:pgSz w:w="11906" w:h="16838"/>
          <w:pgMar w:top="1440" w:right="1800" w:bottom="1440" w:left="1800" w:header="851" w:footer="992" w:gutter="0"/>
          <w:cols w:space="425" w:num="1"/>
          <w:docGrid w:type="lines" w:linePitch="312" w:charSpace="0"/>
        </w:sectPr>
      </w:pPr>
    </w:p>
    <w:p>
      <w:pPr>
        <w:spacing w:line="360" w:lineRule="auto"/>
        <w:ind w:firstLine="601" w:firstLineChars="200"/>
        <w:jc w:val="center"/>
        <w:outlineLvl w:val="0"/>
        <w:rPr>
          <w:rFonts w:eastAsia="微软雅黑"/>
          <w:sz w:val="32"/>
          <w:szCs w:val="32"/>
        </w:rPr>
      </w:pPr>
      <w:bookmarkStart w:id="9" w:name="_Toc685184645"/>
      <w:r>
        <w:rPr>
          <w:b/>
          <w:sz w:val="30"/>
          <w:szCs w:val="30"/>
        </w:rPr>
        <w:t>3  基本规定</w:t>
      </w:r>
      <w:bookmarkEnd w:id="9"/>
    </w:p>
    <w:p>
      <w:pPr>
        <w:spacing w:line="360" w:lineRule="auto"/>
        <w:ind w:firstLine="561" w:firstLineChars="200"/>
        <w:jc w:val="center"/>
        <w:outlineLvl w:val="1"/>
        <w:rPr>
          <w:b/>
          <w:sz w:val="28"/>
          <w:szCs w:val="32"/>
        </w:rPr>
      </w:pPr>
      <w:bookmarkStart w:id="10" w:name="_Toc1091013301"/>
      <w:r>
        <w:rPr>
          <w:b/>
          <w:sz w:val="28"/>
          <w:szCs w:val="32"/>
        </w:rPr>
        <w:t>3.1 液冷系统的可靠性分级</w:t>
      </w:r>
      <w:bookmarkEnd w:id="10"/>
    </w:p>
    <w:p>
      <w:pPr>
        <w:widowControl/>
        <w:spacing w:line="360" w:lineRule="auto"/>
        <w:ind w:firstLine="480" w:firstLineChars="200"/>
        <w:rPr>
          <w:kern w:val="0"/>
          <w:sz w:val="24"/>
          <w:szCs w:val="24"/>
          <w:lang w:bidi="ar"/>
        </w:rPr>
      </w:pPr>
      <w:r>
        <w:rPr>
          <w:kern w:val="0"/>
          <w:sz w:val="24"/>
          <w:szCs w:val="24"/>
          <w:lang w:bidi="ar"/>
        </w:rPr>
        <w:t>3.1.1液冷系统的可靠性分级除应满足 GB50174-2017 3.1的要求，还应遵循本章的技术条文。</w:t>
      </w:r>
    </w:p>
    <w:p>
      <w:pPr>
        <w:widowControl/>
        <w:spacing w:line="360" w:lineRule="auto"/>
        <w:ind w:firstLine="480" w:firstLineChars="200"/>
        <w:rPr>
          <w:sz w:val="24"/>
          <w:szCs w:val="24"/>
        </w:rPr>
      </w:pPr>
      <w:r>
        <w:rPr>
          <w:sz w:val="24"/>
          <w:szCs w:val="24"/>
        </w:rPr>
        <w:t>条文说明：根据GB50174，数据中心的可靠性区分为A、B、C三个等级，液冷系统的可靠性也区分为A、B、C三个等级。</w:t>
      </w:r>
    </w:p>
    <w:p>
      <w:pPr>
        <w:widowControl/>
        <w:spacing w:line="360" w:lineRule="auto"/>
        <w:ind w:firstLine="480" w:firstLineChars="200"/>
        <w:rPr>
          <w:kern w:val="0"/>
          <w:sz w:val="24"/>
          <w:szCs w:val="24"/>
          <w:lang w:bidi="ar"/>
        </w:rPr>
      </w:pPr>
      <w:r>
        <w:rPr>
          <w:kern w:val="0"/>
          <w:sz w:val="24"/>
          <w:szCs w:val="24"/>
          <w:lang w:bidi="ar"/>
        </w:rPr>
        <w:t>3.1.2 适配C级数据中心的液冷系统配置应符合下列规定：</w:t>
      </w:r>
    </w:p>
    <w:p>
      <w:pPr>
        <w:pStyle w:val="44"/>
        <w:widowControl/>
        <w:numPr>
          <w:ilvl w:val="0"/>
          <w:numId w:val="5"/>
        </w:numPr>
        <w:spacing w:line="360" w:lineRule="auto"/>
        <w:ind w:left="1100" w:firstLineChars="0"/>
        <w:rPr>
          <w:kern w:val="0"/>
          <w:sz w:val="24"/>
          <w:szCs w:val="24"/>
          <w:lang w:bidi="ar"/>
        </w:rPr>
      </w:pPr>
      <w:r>
        <w:rPr>
          <w:kern w:val="0"/>
          <w:sz w:val="24"/>
          <w:szCs w:val="24"/>
          <w:lang w:bidi="ar"/>
        </w:rPr>
        <w:t>支持电子信息设备运行的液冷系统应满足ICT设备的最大散热需求；</w:t>
      </w:r>
    </w:p>
    <w:p>
      <w:pPr>
        <w:pStyle w:val="44"/>
        <w:widowControl/>
        <w:numPr>
          <w:ilvl w:val="0"/>
          <w:numId w:val="5"/>
        </w:numPr>
        <w:spacing w:line="360" w:lineRule="auto"/>
        <w:ind w:left="1100" w:firstLineChars="0"/>
        <w:rPr>
          <w:kern w:val="0"/>
          <w:sz w:val="24"/>
          <w:szCs w:val="24"/>
          <w:lang w:bidi="ar"/>
        </w:rPr>
      </w:pPr>
      <w:r>
        <w:rPr>
          <w:kern w:val="0"/>
          <w:sz w:val="24"/>
          <w:szCs w:val="24"/>
          <w:lang w:bidi="ar"/>
        </w:rPr>
        <w:t>液冷系统的冷源、CDU、冷量输配路由发生故障或需要维护时，应允许中断电子信息设备的运行；</w:t>
      </w:r>
    </w:p>
    <w:p>
      <w:pPr>
        <w:pStyle w:val="44"/>
        <w:widowControl/>
        <w:numPr>
          <w:ilvl w:val="0"/>
          <w:numId w:val="5"/>
        </w:numPr>
        <w:spacing w:line="360" w:lineRule="auto"/>
        <w:ind w:left="1100" w:firstLineChars="0"/>
        <w:rPr>
          <w:kern w:val="0"/>
          <w:sz w:val="24"/>
          <w:szCs w:val="24"/>
          <w:lang w:bidi="ar"/>
        </w:rPr>
      </w:pPr>
      <w:r>
        <w:rPr>
          <w:kern w:val="0"/>
          <w:sz w:val="24"/>
          <w:szCs w:val="24"/>
          <w:lang w:bidi="ar"/>
        </w:rPr>
        <w:t>液冷系统包含设备的供配电</w:t>
      </w:r>
      <w:r>
        <w:rPr>
          <w:rFonts w:hint="eastAsia"/>
          <w:kern w:val="0"/>
          <w:sz w:val="24"/>
          <w:szCs w:val="24"/>
          <w:lang w:bidi="ar"/>
        </w:rPr>
        <w:t>系统</w:t>
      </w:r>
      <w:r>
        <w:rPr>
          <w:kern w:val="0"/>
          <w:sz w:val="24"/>
          <w:szCs w:val="24"/>
          <w:lang w:bidi="ar"/>
        </w:rPr>
        <w:t>、给水系统、排水系统、排污系统发生故障或需要维护时，应允许中断电子信息设备的运行；</w:t>
      </w:r>
    </w:p>
    <w:p>
      <w:pPr>
        <w:pStyle w:val="44"/>
        <w:widowControl/>
        <w:numPr>
          <w:ilvl w:val="0"/>
          <w:numId w:val="5"/>
        </w:numPr>
        <w:spacing w:line="360" w:lineRule="auto"/>
        <w:ind w:left="1100" w:firstLineChars="0"/>
        <w:rPr>
          <w:kern w:val="0"/>
          <w:sz w:val="24"/>
          <w:szCs w:val="24"/>
          <w:lang w:bidi="ar"/>
        </w:rPr>
      </w:pPr>
      <w:r>
        <w:rPr>
          <w:kern w:val="0"/>
          <w:sz w:val="24"/>
          <w:szCs w:val="24"/>
          <w:lang w:bidi="ar"/>
        </w:rPr>
        <w:t>液冷系统用监控系统的可靠性等级应不低于液冷系统本身的可靠性等级。</w:t>
      </w:r>
    </w:p>
    <w:p>
      <w:pPr>
        <w:widowControl/>
        <w:spacing w:line="360" w:lineRule="auto"/>
        <w:ind w:firstLine="480" w:firstLineChars="200"/>
        <w:rPr>
          <w:sz w:val="24"/>
          <w:szCs w:val="24"/>
        </w:rPr>
      </w:pPr>
      <w:r>
        <w:rPr>
          <w:sz w:val="24"/>
          <w:szCs w:val="24"/>
        </w:rPr>
        <w:t>条文说明：C级数据中心属于运行可以中断的数据中心，不宜承载特别重要的信息业务与通信业务，其液冷系统满足正常运行的需要，容易受到有计划和非计划活动的影响，存在单点故障；在每年履行的预防性维护和维修期间，液冷系统允许全部关闭，紧急情况可频繁启停；有计划的运行维护、操作错误和系统组件自发的故障将导致数据中心内电子信息设备运行中断。</w:t>
      </w:r>
    </w:p>
    <w:p>
      <w:pPr>
        <w:widowControl/>
        <w:spacing w:line="360" w:lineRule="auto"/>
        <w:ind w:firstLine="480" w:firstLineChars="200"/>
        <w:rPr>
          <w:sz w:val="24"/>
          <w:szCs w:val="24"/>
        </w:rPr>
      </w:pPr>
      <w:r>
        <w:rPr>
          <w:kern w:val="0"/>
          <w:sz w:val="24"/>
          <w:szCs w:val="24"/>
          <w:lang w:bidi="ar"/>
        </w:rPr>
        <w:t>对于单相浸没式液冷系统，</w:t>
      </w:r>
      <w:r>
        <w:rPr>
          <w:sz w:val="24"/>
          <w:szCs w:val="24"/>
        </w:rPr>
        <w:t>C级的做法如下图所示（图3.1.2-1）：</w:t>
      </w:r>
    </w:p>
    <w:p>
      <w:pPr>
        <w:widowControl/>
        <w:spacing w:line="360" w:lineRule="auto"/>
        <w:ind w:firstLine="480" w:firstLineChars="200"/>
        <w:jc w:val="center"/>
        <w:rPr>
          <w:rFonts w:eastAsia="微软雅黑"/>
          <w:sz w:val="24"/>
          <w:szCs w:val="24"/>
        </w:rPr>
      </w:pPr>
      <w:r>
        <w:rPr>
          <w:rFonts w:eastAsia="微软雅黑"/>
          <w:sz w:val="24"/>
          <w:szCs w:val="24"/>
        </w:rPr>
        <w:drawing>
          <wp:inline distT="0" distB="0" distL="114300" distR="114300">
            <wp:extent cx="2348865" cy="3361690"/>
            <wp:effectExtent l="0" t="0" r="13335"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
                    <a:stretch>
                      <a:fillRect/>
                    </a:stretch>
                  </pic:blipFill>
                  <pic:spPr>
                    <a:xfrm>
                      <a:off x="0" y="0"/>
                      <a:ext cx="2348865" cy="3361690"/>
                    </a:xfrm>
                    <a:prstGeom prst="rect">
                      <a:avLst/>
                    </a:prstGeom>
                  </pic:spPr>
                </pic:pic>
              </a:graphicData>
            </a:graphic>
          </wp:inline>
        </w:drawing>
      </w:r>
    </w:p>
    <w:p>
      <w:pPr>
        <w:widowControl/>
        <w:spacing w:line="360" w:lineRule="auto"/>
        <w:ind w:firstLine="420" w:firstLineChars="200"/>
        <w:jc w:val="center"/>
        <w:rPr>
          <w:b/>
          <w:szCs w:val="24"/>
        </w:rPr>
      </w:pPr>
      <w:r>
        <w:rPr>
          <w:b/>
          <w:szCs w:val="24"/>
        </w:rPr>
        <w:t xml:space="preserve">图3.1.2-1 </w:t>
      </w:r>
      <w:r>
        <w:rPr>
          <w:b/>
          <w:kern w:val="0"/>
          <w:szCs w:val="24"/>
          <w:lang w:bidi="ar"/>
        </w:rPr>
        <w:t>单相浸没式液冷系统</w:t>
      </w:r>
      <w:r>
        <w:rPr>
          <w:b/>
          <w:szCs w:val="24"/>
        </w:rPr>
        <w:t>C级图示</w:t>
      </w:r>
    </w:p>
    <w:p>
      <w:pPr>
        <w:widowControl/>
        <w:spacing w:line="360" w:lineRule="auto"/>
        <w:ind w:firstLine="480" w:firstLineChars="200"/>
        <w:rPr>
          <w:sz w:val="24"/>
          <w:szCs w:val="24"/>
        </w:rPr>
      </w:pPr>
      <w:r>
        <w:rPr>
          <w:sz w:val="24"/>
          <w:szCs w:val="24"/>
        </w:rPr>
        <w:t>对于冷板式液冷系统，C级的做法如下图所示（图3.1.2-2）：</w:t>
      </w:r>
    </w:p>
    <w:p>
      <w:pPr>
        <w:widowControl/>
        <w:spacing w:line="360" w:lineRule="auto"/>
        <w:jc w:val="center"/>
        <w:rPr>
          <w:rFonts w:eastAsia="微软雅黑"/>
          <w:sz w:val="24"/>
          <w:szCs w:val="24"/>
        </w:rPr>
      </w:pPr>
      <w:r>
        <w:rPr>
          <w:rFonts w:eastAsia="微软雅黑"/>
          <w:sz w:val="24"/>
          <w:szCs w:val="24"/>
        </w:rPr>
        <w:drawing>
          <wp:inline distT="0" distB="0" distL="114300" distR="114300">
            <wp:extent cx="2393315" cy="3161665"/>
            <wp:effectExtent l="0" t="0" r="6985"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
                    <a:stretch>
                      <a:fillRect/>
                    </a:stretch>
                  </pic:blipFill>
                  <pic:spPr>
                    <a:xfrm>
                      <a:off x="0" y="0"/>
                      <a:ext cx="2393315" cy="3161665"/>
                    </a:xfrm>
                    <a:prstGeom prst="rect">
                      <a:avLst/>
                    </a:prstGeom>
                  </pic:spPr>
                </pic:pic>
              </a:graphicData>
            </a:graphic>
          </wp:inline>
        </w:drawing>
      </w:r>
    </w:p>
    <w:p>
      <w:pPr>
        <w:widowControl/>
        <w:spacing w:line="360" w:lineRule="auto"/>
        <w:ind w:firstLine="420" w:firstLineChars="200"/>
        <w:jc w:val="center"/>
        <w:rPr>
          <w:b/>
          <w:szCs w:val="24"/>
        </w:rPr>
      </w:pPr>
      <w:r>
        <w:rPr>
          <w:b/>
          <w:szCs w:val="24"/>
        </w:rPr>
        <w:t>图3.1.2-2</w:t>
      </w:r>
      <w:r>
        <w:rPr>
          <w:b/>
          <w:kern w:val="0"/>
          <w:szCs w:val="24"/>
          <w:lang w:bidi="ar"/>
        </w:rPr>
        <w:t>冷板式液冷系统</w:t>
      </w:r>
      <w:r>
        <w:rPr>
          <w:b/>
          <w:szCs w:val="24"/>
        </w:rPr>
        <w:t>C级图示</w:t>
      </w:r>
    </w:p>
    <w:p>
      <w:pPr>
        <w:widowControl/>
        <w:spacing w:line="360" w:lineRule="auto"/>
        <w:ind w:firstLine="480" w:firstLineChars="200"/>
        <w:rPr>
          <w:kern w:val="0"/>
          <w:sz w:val="24"/>
          <w:szCs w:val="24"/>
          <w:lang w:bidi="ar"/>
        </w:rPr>
      </w:pPr>
      <w:r>
        <w:rPr>
          <w:kern w:val="0"/>
          <w:sz w:val="24"/>
          <w:szCs w:val="24"/>
          <w:lang w:bidi="ar"/>
        </w:rPr>
        <w:t>3.1.3 B级液冷系统配置应符合下列规定：</w:t>
      </w:r>
    </w:p>
    <w:p>
      <w:pPr>
        <w:pStyle w:val="44"/>
        <w:widowControl/>
        <w:numPr>
          <w:ilvl w:val="0"/>
          <w:numId w:val="6"/>
        </w:numPr>
        <w:spacing w:line="360" w:lineRule="auto"/>
        <w:ind w:left="1157" w:firstLineChars="0"/>
        <w:rPr>
          <w:kern w:val="0"/>
          <w:sz w:val="24"/>
          <w:szCs w:val="24"/>
          <w:lang w:bidi="ar"/>
        </w:rPr>
      </w:pPr>
      <w:r>
        <w:rPr>
          <w:kern w:val="0"/>
          <w:sz w:val="24"/>
          <w:szCs w:val="24"/>
          <w:lang w:bidi="ar"/>
        </w:rPr>
        <w:t>满足C级的全部要求；</w:t>
      </w:r>
    </w:p>
    <w:p>
      <w:pPr>
        <w:pStyle w:val="44"/>
        <w:widowControl/>
        <w:numPr>
          <w:ilvl w:val="0"/>
          <w:numId w:val="6"/>
        </w:numPr>
        <w:spacing w:line="360" w:lineRule="auto"/>
        <w:ind w:left="1157" w:firstLineChars="0"/>
        <w:rPr>
          <w:kern w:val="0"/>
          <w:sz w:val="24"/>
          <w:szCs w:val="24"/>
          <w:lang w:bidi="ar"/>
        </w:rPr>
      </w:pPr>
      <w:r>
        <w:rPr>
          <w:kern w:val="0"/>
          <w:sz w:val="24"/>
          <w:szCs w:val="24"/>
          <w:lang w:bidi="ar"/>
        </w:rPr>
        <w:t>支持电子信息设备运行的液冷设备应设置冗余，在设备冗余能力范围内，设备故障不应影响电子信息设备的正常运行；</w:t>
      </w:r>
    </w:p>
    <w:p>
      <w:pPr>
        <w:pStyle w:val="44"/>
        <w:widowControl/>
        <w:numPr>
          <w:ilvl w:val="0"/>
          <w:numId w:val="6"/>
        </w:numPr>
        <w:spacing w:line="360" w:lineRule="auto"/>
        <w:ind w:left="1157" w:firstLineChars="0"/>
        <w:rPr>
          <w:kern w:val="0"/>
          <w:sz w:val="24"/>
          <w:szCs w:val="24"/>
          <w:lang w:bidi="ar"/>
        </w:rPr>
      </w:pPr>
      <w:r>
        <w:rPr>
          <w:kern w:val="0"/>
          <w:sz w:val="24"/>
          <w:szCs w:val="24"/>
          <w:lang w:bidi="ar"/>
        </w:rPr>
        <w:t>液冷系统包含设备的供配电路由、给水路由、排水路由、排污路由发生故障或需要维护时，应允许中断电子信息设备的运行；</w:t>
      </w:r>
    </w:p>
    <w:p>
      <w:pPr>
        <w:pStyle w:val="44"/>
        <w:widowControl/>
        <w:numPr>
          <w:ilvl w:val="0"/>
          <w:numId w:val="6"/>
        </w:numPr>
        <w:spacing w:line="360" w:lineRule="auto"/>
        <w:ind w:left="1157" w:firstLineChars="0"/>
        <w:rPr>
          <w:kern w:val="0"/>
          <w:sz w:val="24"/>
          <w:szCs w:val="24"/>
          <w:lang w:bidi="ar"/>
        </w:rPr>
      </w:pPr>
      <w:r>
        <w:rPr>
          <w:kern w:val="0"/>
          <w:sz w:val="24"/>
          <w:szCs w:val="24"/>
          <w:lang w:bidi="ar"/>
        </w:rPr>
        <w:t>液冷系统用监控系统的可靠性等级应不低于液冷系统本身的可靠性等级。</w:t>
      </w:r>
    </w:p>
    <w:p>
      <w:pPr>
        <w:widowControl/>
        <w:spacing w:line="360" w:lineRule="auto"/>
        <w:ind w:firstLine="480" w:firstLineChars="200"/>
        <w:rPr>
          <w:sz w:val="24"/>
          <w:szCs w:val="24"/>
        </w:rPr>
      </w:pPr>
      <w:r>
        <w:rPr>
          <w:sz w:val="24"/>
          <w:szCs w:val="24"/>
        </w:rPr>
        <w:t>条文说明：B级液冷系统配置会受到有计划和非计划活动的影响，但在冗余设备范围内，可以减少系统中断运行的可能性；B级液冷系统通常只有一个冷量输配路径，维护冷量输配路径和部分无冗余的组件时会导致数据中心内电子信息设备运行中断。</w:t>
      </w:r>
    </w:p>
    <w:p>
      <w:pPr>
        <w:widowControl/>
        <w:spacing w:line="360" w:lineRule="auto"/>
        <w:ind w:firstLine="480" w:firstLineChars="200"/>
        <w:rPr>
          <w:sz w:val="24"/>
          <w:szCs w:val="24"/>
        </w:rPr>
      </w:pPr>
      <w:r>
        <w:rPr>
          <w:kern w:val="0"/>
          <w:sz w:val="24"/>
          <w:szCs w:val="24"/>
          <w:lang w:bidi="ar"/>
        </w:rPr>
        <w:t>对于单相浸没式液冷系统，B</w:t>
      </w:r>
      <w:r>
        <w:rPr>
          <w:sz w:val="24"/>
          <w:szCs w:val="24"/>
        </w:rPr>
        <w:t>级的做法如下图所示（图3.1.3-1）：</w:t>
      </w:r>
    </w:p>
    <w:p>
      <w:pPr>
        <w:widowControl/>
        <w:spacing w:line="360" w:lineRule="auto"/>
        <w:ind w:firstLine="480" w:firstLineChars="200"/>
        <w:jc w:val="center"/>
        <w:rPr>
          <w:rFonts w:eastAsia="微软雅黑"/>
          <w:sz w:val="24"/>
          <w:szCs w:val="24"/>
        </w:rPr>
      </w:pPr>
      <w:r>
        <w:rPr>
          <w:rFonts w:eastAsia="微软雅黑"/>
          <w:sz w:val="24"/>
          <w:szCs w:val="24"/>
        </w:rPr>
        <w:drawing>
          <wp:inline distT="0" distB="0" distL="114300" distR="114300">
            <wp:extent cx="2994660" cy="4057015"/>
            <wp:effectExtent l="0" t="0" r="1524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
                    <a:stretch>
                      <a:fillRect/>
                    </a:stretch>
                  </pic:blipFill>
                  <pic:spPr>
                    <a:xfrm>
                      <a:off x="0" y="0"/>
                      <a:ext cx="2994660" cy="4057015"/>
                    </a:xfrm>
                    <a:prstGeom prst="rect">
                      <a:avLst/>
                    </a:prstGeom>
                  </pic:spPr>
                </pic:pic>
              </a:graphicData>
            </a:graphic>
          </wp:inline>
        </w:drawing>
      </w:r>
    </w:p>
    <w:p>
      <w:pPr>
        <w:widowControl/>
        <w:spacing w:line="360" w:lineRule="auto"/>
        <w:ind w:firstLine="420" w:firstLineChars="200"/>
        <w:jc w:val="center"/>
        <w:rPr>
          <w:b/>
          <w:szCs w:val="24"/>
        </w:rPr>
      </w:pPr>
      <w:r>
        <w:rPr>
          <w:b/>
          <w:szCs w:val="24"/>
        </w:rPr>
        <w:t xml:space="preserve">图3.1.3-1 </w:t>
      </w:r>
      <w:r>
        <w:rPr>
          <w:b/>
          <w:kern w:val="0"/>
          <w:szCs w:val="24"/>
          <w:lang w:bidi="ar"/>
        </w:rPr>
        <w:t>单相浸没式液冷系统B</w:t>
      </w:r>
      <w:r>
        <w:rPr>
          <w:b/>
          <w:szCs w:val="24"/>
        </w:rPr>
        <w:t>级图示</w:t>
      </w:r>
    </w:p>
    <w:p>
      <w:pPr>
        <w:widowControl/>
        <w:spacing w:line="360" w:lineRule="auto"/>
        <w:ind w:firstLine="480" w:firstLineChars="200"/>
        <w:rPr>
          <w:sz w:val="24"/>
          <w:szCs w:val="24"/>
        </w:rPr>
      </w:pPr>
      <w:r>
        <w:rPr>
          <w:sz w:val="24"/>
          <w:szCs w:val="24"/>
        </w:rPr>
        <w:t>对于冷板式液冷系统，B级的做法如下图所示（图3.1.3-2）：</w:t>
      </w:r>
    </w:p>
    <w:p>
      <w:pPr>
        <w:widowControl/>
        <w:spacing w:line="360" w:lineRule="auto"/>
        <w:ind w:firstLine="480" w:firstLineChars="200"/>
        <w:jc w:val="center"/>
        <w:rPr>
          <w:rFonts w:eastAsia="微软雅黑"/>
          <w:sz w:val="24"/>
          <w:szCs w:val="24"/>
        </w:rPr>
      </w:pPr>
      <w:r>
        <w:rPr>
          <w:rFonts w:eastAsia="微软雅黑"/>
          <w:sz w:val="24"/>
          <w:szCs w:val="24"/>
        </w:rPr>
        <w:drawing>
          <wp:inline distT="0" distB="0" distL="114300" distR="114300">
            <wp:extent cx="3568065" cy="3970655"/>
            <wp:effectExtent l="0" t="0" r="13335"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
                    <a:stretch>
                      <a:fillRect/>
                    </a:stretch>
                  </pic:blipFill>
                  <pic:spPr>
                    <a:xfrm>
                      <a:off x="0" y="0"/>
                      <a:ext cx="3568065" cy="3970655"/>
                    </a:xfrm>
                    <a:prstGeom prst="rect">
                      <a:avLst/>
                    </a:prstGeom>
                  </pic:spPr>
                </pic:pic>
              </a:graphicData>
            </a:graphic>
          </wp:inline>
        </w:drawing>
      </w:r>
    </w:p>
    <w:p>
      <w:pPr>
        <w:widowControl/>
        <w:spacing w:line="360" w:lineRule="auto"/>
        <w:ind w:firstLine="420" w:firstLineChars="200"/>
        <w:jc w:val="center"/>
        <w:rPr>
          <w:b/>
          <w:szCs w:val="24"/>
        </w:rPr>
      </w:pPr>
      <w:r>
        <w:rPr>
          <w:b/>
          <w:szCs w:val="24"/>
        </w:rPr>
        <w:t>图3.1.3-2</w:t>
      </w:r>
      <w:r>
        <w:rPr>
          <w:b/>
          <w:kern w:val="0"/>
          <w:szCs w:val="24"/>
          <w:lang w:bidi="ar"/>
        </w:rPr>
        <w:t>冷板式液冷系统B</w:t>
      </w:r>
      <w:r>
        <w:rPr>
          <w:b/>
          <w:szCs w:val="24"/>
        </w:rPr>
        <w:t>级图示</w:t>
      </w:r>
    </w:p>
    <w:p>
      <w:pPr>
        <w:widowControl/>
        <w:spacing w:line="360" w:lineRule="auto"/>
        <w:ind w:firstLine="480" w:firstLineChars="200"/>
        <w:rPr>
          <w:kern w:val="0"/>
          <w:sz w:val="24"/>
          <w:szCs w:val="24"/>
          <w:lang w:bidi="ar"/>
        </w:rPr>
      </w:pPr>
      <w:r>
        <w:rPr>
          <w:kern w:val="0"/>
          <w:sz w:val="24"/>
          <w:szCs w:val="24"/>
          <w:lang w:bidi="ar"/>
        </w:rPr>
        <w:t>3.1.4 A级液冷系统配置应符合下列规定：</w:t>
      </w:r>
    </w:p>
    <w:p>
      <w:pPr>
        <w:pStyle w:val="44"/>
        <w:widowControl/>
        <w:numPr>
          <w:ilvl w:val="0"/>
          <w:numId w:val="7"/>
        </w:numPr>
        <w:spacing w:line="360" w:lineRule="auto"/>
        <w:ind w:left="630" w:leftChars="300" w:firstLineChars="0"/>
        <w:rPr>
          <w:kern w:val="0"/>
          <w:sz w:val="24"/>
          <w:szCs w:val="24"/>
          <w:lang w:bidi="ar"/>
        </w:rPr>
      </w:pPr>
      <w:r>
        <w:rPr>
          <w:kern w:val="0"/>
          <w:sz w:val="24"/>
          <w:szCs w:val="24"/>
          <w:lang w:bidi="ar"/>
        </w:rPr>
        <w:t>满足B级的全部要求；</w:t>
      </w:r>
    </w:p>
    <w:p>
      <w:pPr>
        <w:pStyle w:val="44"/>
        <w:widowControl/>
        <w:numPr>
          <w:ilvl w:val="0"/>
          <w:numId w:val="7"/>
        </w:numPr>
        <w:spacing w:line="360" w:lineRule="auto"/>
        <w:ind w:left="630" w:leftChars="300" w:firstLineChars="0"/>
        <w:rPr>
          <w:kern w:val="0"/>
          <w:sz w:val="24"/>
          <w:szCs w:val="24"/>
          <w:lang w:bidi="ar"/>
        </w:rPr>
      </w:pPr>
      <w:r>
        <w:rPr>
          <w:kern w:val="0"/>
          <w:sz w:val="24"/>
          <w:szCs w:val="24"/>
          <w:lang w:bidi="ar"/>
        </w:rPr>
        <w:t>支持电子信息设备运行的液冷设备、冷量输配路由应设置冗余，在设备与路由冗余能力范内，任一组件故障不应影响电子信息设备的正常运行；</w:t>
      </w:r>
    </w:p>
    <w:p>
      <w:pPr>
        <w:pStyle w:val="44"/>
        <w:widowControl/>
        <w:numPr>
          <w:ilvl w:val="0"/>
          <w:numId w:val="7"/>
        </w:numPr>
        <w:spacing w:line="360" w:lineRule="auto"/>
        <w:ind w:left="630" w:leftChars="300" w:firstLineChars="0"/>
        <w:rPr>
          <w:kern w:val="0"/>
          <w:sz w:val="24"/>
          <w:szCs w:val="24"/>
          <w:lang w:bidi="ar"/>
        </w:rPr>
      </w:pPr>
      <w:r>
        <w:rPr>
          <w:kern w:val="0"/>
          <w:sz w:val="24"/>
          <w:szCs w:val="24"/>
          <w:lang w:bidi="ar"/>
        </w:rPr>
        <w:t>液冷系统包含设备的供配电设备及供配电路由、给水设备及给水路由、排水设备及排水路由、排污设备及排污路由发生故障或需要维护时，不应影响电子信息设备的正常运行；</w:t>
      </w:r>
    </w:p>
    <w:p>
      <w:pPr>
        <w:pStyle w:val="44"/>
        <w:widowControl/>
        <w:numPr>
          <w:ilvl w:val="0"/>
          <w:numId w:val="7"/>
        </w:numPr>
        <w:spacing w:line="360" w:lineRule="auto"/>
        <w:ind w:left="630" w:leftChars="300" w:firstLineChars="0"/>
        <w:rPr>
          <w:kern w:val="0"/>
          <w:sz w:val="24"/>
          <w:szCs w:val="24"/>
          <w:lang w:bidi="ar"/>
        </w:rPr>
      </w:pPr>
      <w:r>
        <w:rPr>
          <w:kern w:val="0"/>
          <w:sz w:val="24"/>
          <w:szCs w:val="24"/>
          <w:lang w:bidi="ar"/>
        </w:rPr>
        <w:t>液冷系统用监控系统的可靠性等级应不低于液冷系统本身的可靠性等级；</w:t>
      </w:r>
    </w:p>
    <w:p>
      <w:pPr>
        <w:pStyle w:val="44"/>
        <w:widowControl/>
        <w:numPr>
          <w:ilvl w:val="0"/>
          <w:numId w:val="7"/>
        </w:numPr>
        <w:spacing w:line="360" w:lineRule="auto"/>
        <w:ind w:left="630" w:leftChars="300" w:firstLineChars="0"/>
        <w:rPr>
          <w:kern w:val="0"/>
          <w:sz w:val="24"/>
          <w:szCs w:val="24"/>
          <w:lang w:bidi="ar"/>
        </w:rPr>
      </w:pPr>
      <w:r>
        <w:rPr>
          <w:kern w:val="0"/>
          <w:sz w:val="24"/>
          <w:szCs w:val="24"/>
          <w:lang w:bidi="ar"/>
        </w:rPr>
        <w:t>应为A级液冷系统包含的冷源设备、冷量输配设备、CDU设置不间断供电，以实现不间断供冷；</w:t>
      </w:r>
    </w:p>
    <w:p>
      <w:pPr>
        <w:pStyle w:val="44"/>
        <w:widowControl/>
        <w:numPr>
          <w:ilvl w:val="0"/>
          <w:numId w:val="7"/>
        </w:numPr>
        <w:spacing w:line="360" w:lineRule="auto"/>
        <w:ind w:left="630" w:leftChars="300" w:firstLineChars="0"/>
        <w:rPr>
          <w:kern w:val="0"/>
          <w:sz w:val="24"/>
          <w:szCs w:val="24"/>
          <w:lang w:bidi="ar"/>
        </w:rPr>
      </w:pPr>
      <w:r>
        <w:rPr>
          <w:kern w:val="0"/>
          <w:sz w:val="24"/>
          <w:szCs w:val="24"/>
          <w:lang w:bidi="ar"/>
        </w:rPr>
        <w:t>A级液冷需要分期部署时，应有技术措施避免新增设备、新增输配路由影响已有电子信息设备的正常运行。</w:t>
      </w:r>
    </w:p>
    <w:p>
      <w:pPr>
        <w:widowControl/>
        <w:spacing w:line="360" w:lineRule="auto"/>
        <w:ind w:firstLine="480" w:firstLineChars="200"/>
        <w:rPr>
          <w:sz w:val="24"/>
          <w:szCs w:val="24"/>
        </w:rPr>
      </w:pPr>
      <w:r>
        <w:rPr>
          <w:sz w:val="24"/>
          <w:szCs w:val="24"/>
        </w:rPr>
        <w:t>条文说明：A级液冷系统不允许存在单点故障，单一事件或单一故障不应影响电子信息设备的正常运行；液冷系统的任一组件及其支持系统（供配电、给水、排水、排污、监控）的任一组件，可以被维护或更换，这种维护或更换不应造成供冷中断或供冷不足，不应影响电子信息设备的正常运行，但维护期间可能降低液冷系统的整体可靠性。</w:t>
      </w:r>
    </w:p>
    <w:p>
      <w:pPr>
        <w:widowControl/>
        <w:spacing w:line="360" w:lineRule="auto"/>
        <w:ind w:firstLine="480" w:firstLineChars="200"/>
        <w:rPr>
          <w:sz w:val="24"/>
          <w:szCs w:val="24"/>
        </w:rPr>
      </w:pPr>
      <w:r>
        <w:rPr>
          <w:kern w:val="0"/>
          <w:sz w:val="24"/>
          <w:szCs w:val="24"/>
          <w:lang w:bidi="ar"/>
        </w:rPr>
        <w:t>对于单相浸没式液冷系统，A</w:t>
      </w:r>
      <w:r>
        <w:rPr>
          <w:sz w:val="24"/>
          <w:szCs w:val="24"/>
        </w:rPr>
        <w:t>级的做法如下图所示（图3.1.4-1）：</w:t>
      </w:r>
    </w:p>
    <w:p>
      <w:pPr>
        <w:widowControl/>
        <w:spacing w:line="360" w:lineRule="auto"/>
        <w:ind w:firstLine="480" w:firstLineChars="200"/>
        <w:jc w:val="center"/>
        <w:rPr>
          <w:rFonts w:eastAsia="微软雅黑"/>
          <w:sz w:val="24"/>
          <w:szCs w:val="24"/>
        </w:rPr>
      </w:pPr>
      <w:r>
        <w:rPr>
          <w:rFonts w:eastAsia="微软雅黑"/>
          <w:sz w:val="24"/>
          <w:szCs w:val="24"/>
        </w:rPr>
        <w:drawing>
          <wp:inline distT="0" distB="0" distL="114300" distR="114300">
            <wp:extent cx="3495675" cy="4037330"/>
            <wp:effectExtent l="0" t="0" r="952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a:stretch>
                      <a:fillRect/>
                    </a:stretch>
                  </pic:blipFill>
                  <pic:spPr>
                    <a:xfrm>
                      <a:off x="0" y="0"/>
                      <a:ext cx="3495675" cy="4037330"/>
                    </a:xfrm>
                    <a:prstGeom prst="rect">
                      <a:avLst/>
                    </a:prstGeom>
                  </pic:spPr>
                </pic:pic>
              </a:graphicData>
            </a:graphic>
          </wp:inline>
        </w:drawing>
      </w:r>
    </w:p>
    <w:p>
      <w:pPr>
        <w:widowControl/>
        <w:spacing w:line="360" w:lineRule="auto"/>
        <w:ind w:firstLine="420" w:firstLineChars="200"/>
        <w:jc w:val="center"/>
        <w:rPr>
          <w:b/>
          <w:szCs w:val="24"/>
        </w:rPr>
      </w:pPr>
      <w:r>
        <w:rPr>
          <w:b/>
          <w:szCs w:val="24"/>
        </w:rPr>
        <w:t>图3.1.4-1</w:t>
      </w:r>
      <w:r>
        <w:rPr>
          <w:b/>
          <w:kern w:val="0"/>
          <w:szCs w:val="24"/>
          <w:lang w:bidi="ar"/>
        </w:rPr>
        <w:t xml:space="preserve"> 单相浸没式液冷系统A</w:t>
      </w:r>
      <w:r>
        <w:rPr>
          <w:b/>
          <w:szCs w:val="24"/>
        </w:rPr>
        <w:t>级图示</w:t>
      </w:r>
    </w:p>
    <w:p>
      <w:pPr>
        <w:widowControl/>
        <w:spacing w:line="360" w:lineRule="auto"/>
        <w:ind w:firstLine="480" w:firstLineChars="200"/>
        <w:rPr>
          <w:kern w:val="0"/>
          <w:sz w:val="24"/>
          <w:szCs w:val="24"/>
          <w:lang w:bidi="ar"/>
        </w:rPr>
      </w:pPr>
      <w:r>
        <w:rPr>
          <w:kern w:val="0"/>
          <w:sz w:val="24"/>
          <w:szCs w:val="24"/>
          <w:lang w:bidi="ar"/>
        </w:rPr>
        <w:t>对于冷板式液冷系统，A级的做法如下图所示</w:t>
      </w:r>
      <w:r>
        <w:rPr>
          <w:sz w:val="24"/>
          <w:szCs w:val="24"/>
        </w:rPr>
        <w:t>（图3.1.4-2和图3.1.4-3）</w:t>
      </w:r>
      <w:r>
        <w:rPr>
          <w:kern w:val="0"/>
          <w:sz w:val="24"/>
          <w:szCs w:val="24"/>
          <w:lang w:bidi="ar"/>
        </w:rPr>
        <w:t>：</w:t>
      </w:r>
    </w:p>
    <w:p>
      <w:pPr>
        <w:widowControl/>
        <w:spacing w:line="360" w:lineRule="auto"/>
        <w:ind w:firstLine="480" w:firstLineChars="200"/>
        <w:jc w:val="center"/>
        <w:rPr>
          <w:rFonts w:eastAsia="微软雅黑"/>
          <w:sz w:val="24"/>
          <w:szCs w:val="24"/>
        </w:rPr>
      </w:pPr>
      <w:r>
        <w:rPr>
          <w:rFonts w:eastAsia="微软雅黑"/>
          <w:sz w:val="24"/>
          <w:szCs w:val="24"/>
        </w:rPr>
        <w:drawing>
          <wp:inline distT="0" distB="0" distL="114300" distR="114300">
            <wp:extent cx="3526790" cy="3293110"/>
            <wp:effectExtent l="0" t="0" r="1651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3526790" cy="3293110"/>
                    </a:xfrm>
                    <a:prstGeom prst="rect">
                      <a:avLst/>
                    </a:prstGeom>
                  </pic:spPr>
                </pic:pic>
              </a:graphicData>
            </a:graphic>
          </wp:inline>
        </w:drawing>
      </w:r>
    </w:p>
    <w:p>
      <w:pPr>
        <w:widowControl/>
        <w:spacing w:line="360" w:lineRule="auto"/>
        <w:ind w:firstLine="420" w:firstLineChars="200"/>
        <w:jc w:val="center"/>
        <w:rPr>
          <w:b/>
          <w:szCs w:val="24"/>
        </w:rPr>
      </w:pPr>
      <w:r>
        <w:rPr>
          <w:b/>
          <w:szCs w:val="24"/>
        </w:rPr>
        <w:t>图3.1.4-2</w:t>
      </w:r>
      <w:r>
        <w:rPr>
          <w:b/>
          <w:kern w:val="0"/>
          <w:szCs w:val="24"/>
          <w:lang w:bidi="ar"/>
        </w:rPr>
        <w:t>冷板式液冷系统A-1</w:t>
      </w:r>
      <w:r>
        <w:rPr>
          <w:b/>
          <w:szCs w:val="24"/>
        </w:rPr>
        <w:t>级图示</w:t>
      </w:r>
    </w:p>
    <w:p>
      <w:pPr>
        <w:widowControl/>
        <w:spacing w:line="360" w:lineRule="auto"/>
        <w:ind w:firstLine="480" w:firstLineChars="200"/>
        <w:jc w:val="center"/>
        <w:rPr>
          <w:rFonts w:eastAsia="微软雅黑"/>
          <w:sz w:val="24"/>
          <w:szCs w:val="24"/>
        </w:rPr>
      </w:pPr>
      <w:r>
        <w:rPr>
          <w:rFonts w:eastAsia="微软雅黑"/>
          <w:sz w:val="24"/>
          <w:szCs w:val="24"/>
        </w:rPr>
        <w:drawing>
          <wp:inline distT="0" distB="0" distL="114300" distR="114300">
            <wp:extent cx="3754755" cy="3379470"/>
            <wp:effectExtent l="0" t="0" r="17145"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tretch>
                      <a:fillRect/>
                    </a:stretch>
                  </pic:blipFill>
                  <pic:spPr>
                    <a:xfrm>
                      <a:off x="0" y="0"/>
                      <a:ext cx="3754755" cy="3379470"/>
                    </a:xfrm>
                    <a:prstGeom prst="rect">
                      <a:avLst/>
                    </a:prstGeom>
                  </pic:spPr>
                </pic:pic>
              </a:graphicData>
            </a:graphic>
          </wp:inline>
        </w:drawing>
      </w:r>
    </w:p>
    <w:p>
      <w:pPr>
        <w:widowControl/>
        <w:spacing w:line="360" w:lineRule="auto"/>
        <w:ind w:firstLine="420" w:firstLineChars="200"/>
        <w:jc w:val="center"/>
        <w:rPr>
          <w:b/>
          <w:szCs w:val="24"/>
        </w:rPr>
      </w:pPr>
      <w:r>
        <w:rPr>
          <w:b/>
          <w:szCs w:val="24"/>
        </w:rPr>
        <w:t>图3.1.4-3</w:t>
      </w:r>
      <w:r>
        <w:rPr>
          <w:b/>
          <w:kern w:val="0"/>
          <w:szCs w:val="24"/>
          <w:lang w:bidi="ar"/>
        </w:rPr>
        <w:t>冷板式液冷系统A-2</w:t>
      </w:r>
      <w:r>
        <w:rPr>
          <w:b/>
          <w:szCs w:val="24"/>
        </w:rPr>
        <w:t>级图示</w:t>
      </w:r>
    </w:p>
    <w:p>
      <w:pPr>
        <w:spacing w:line="360" w:lineRule="auto"/>
        <w:ind w:firstLine="561" w:firstLineChars="200"/>
        <w:jc w:val="center"/>
        <w:outlineLvl w:val="1"/>
        <w:rPr>
          <w:b/>
          <w:sz w:val="28"/>
          <w:szCs w:val="32"/>
        </w:rPr>
      </w:pPr>
      <w:bookmarkStart w:id="11" w:name="_Toc1445171821"/>
      <w:r>
        <w:rPr>
          <w:b/>
          <w:sz w:val="28"/>
          <w:szCs w:val="32"/>
        </w:rPr>
        <w:t>3.2 液冷</w:t>
      </w:r>
      <w:r>
        <w:rPr>
          <w:rFonts w:hint="eastAsia"/>
          <w:b/>
          <w:sz w:val="28"/>
          <w:szCs w:val="32"/>
        </w:rPr>
        <w:t>设备的可</w:t>
      </w:r>
      <w:r>
        <w:rPr>
          <w:b/>
          <w:sz w:val="28"/>
          <w:szCs w:val="32"/>
        </w:rPr>
        <w:t>靠</w:t>
      </w:r>
      <w:r>
        <w:rPr>
          <w:rFonts w:hint="eastAsia"/>
          <w:b/>
          <w:sz w:val="28"/>
          <w:szCs w:val="32"/>
        </w:rPr>
        <w:t>性</w:t>
      </w:r>
      <w:bookmarkEnd w:id="11"/>
    </w:p>
    <w:p>
      <w:pPr>
        <w:widowControl/>
        <w:spacing w:line="360" w:lineRule="auto"/>
        <w:ind w:firstLine="480" w:firstLineChars="200"/>
        <w:rPr>
          <w:kern w:val="0"/>
          <w:sz w:val="24"/>
          <w:szCs w:val="24"/>
          <w:lang w:bidi="ar"/>
        </w:rPr>
      </w:pPr>
      <w:r>
        <w:rPr>
          <w:kern w:val="0"/>
          <w:sz w:val="24"/>
          <w:szCs w:val="24"/>
          <w:lang w:bidi="ar"/>
        </w:rPr>
        <w:t>3.2.1</w:t>
      </w:r>
      <w:r>
        <w:rPr>
          <w:rFonts w:hint="eastAsia"/>
          <w:kern w:val="0"/>
          <w:sz w:val="24"/>
          <w:szCs w:val="24"/>
          <w:lang w:bidi="ar"/>
        </w:rPr>
        <w:t>液冷设备的可靠性可与液冷系统的可靠性不一致。</w:t>
      </w:r>
    </w:p>
    <w:p>
      <w:pPr>
        <w:widowControl/>
        <w:spacing w:line="360" w:lineRule="auto"/>
        <w:ind w:firstLine="480" w:firstLineChars="200"/>
        <w:rPr>
          <w:sz w:val="24"/>
          <w:szCs w:val="24"/>
        </w:rPr>
      </w:pPr>
      <w:r>
        <w:rPr>
          <w:sz w:val="24"/>
          <w:szCs w:val="24"/>
        </w:rPr>
        <w:t>条文说明：</w:t>
      </w:r>
      <w:r>
        <w:rPr>
          <w:rFonts w:hint="eastAsia"/>
          <w:sz w:val="24"/>
          <w:szCs w:val="24"/>
        </w:rPr>
        <w:t>冷板式服务器的进、出液管往往只有一路，即使Manifold、冷却管路、CDU、室外散热设备设置了冗余，冷板式服务器的可靠性与液冷系统的可靠性存在不一致的情况；冷板式液冷机柜的Manifold往往只有一路供液集管、一路回液集管，即使冷却管路、CDU、室外散热设备设置了冗余，Mani</w:t>
      </w:r>
      <w:r>
        <w:rPr>
          <w:sz w:val="24"/>
          <w:szCs w:val="24"/>
        </w:rPr>
        <w:t>fold</w:t>
      </w:r>
      <w:r>
        <w:rPr>
          <w:rFonts w:hint="eastAsia"/>
          <w:sz w:val="24"/>
          <w:szCs w:val="24"/>
        </w:rPr>
        <w:t>、冷板式服务器的可靠性与液冷系统的可靠性存在不一致的情况。</w:t>
      </w:r>
    </w:p>
    <w:p>
      <w:pPr>
        <w:widowControl/>
        <w:spacing w:line="360" w:lineRule="auto"/>
        <w:ind w:firstLine="480" w:firstLineChars="200"/>
        <w:rPr>
          <w:kern w:val="0"/>
          <w:sz w:val="24"/>
          <w:szCs w:val="24"/>
          <w:lang w:bidi="ar"/>
        </w:rPr>
      </w:pPr>
      <w:r>
        <w:rPr>
          <w:kern w:val="0"/>
          <w:sz w:val="24"/>
          <w:szCs w:val="24"/>
          <w:lang w:bidi="ar"/>
        </w:rPr>
        <w:t>3.2.2</w:t>
      </w:r>
      <w:r>
        <w:rPr>
          <w:rFonts w:hint="eastAsia"/>
          <w:kern w:val="0"/>
          <w:sz w:val="24"/>
          <w:szCs w:val="24"/>
          <w:lang w:bidi="ar"/>
        </w:rPr>
        <w:t>当数据中心的信息业务不具备冷板服务器级容灾能力时，宜设施应急供冷系统（例如液氮供冷、移动式冷源等）以满足整体液冷系统的可靠性要求。</w:t>
      </w:r>
    </w:p>
    <w:p>
      <w:pPr>
        <w:widowControl/>
        <w:spacing w:line="360" w:lineRule="auto"/>
        <w:ind w:firstLine="480" w:firstLineChars="200"/>
        <w:rPr>
          <w:sz w:val="24"/>
          <w:szCs w:val="24"/>
        </w:rPr>
      </w:pPr>
      <w:r>
        <w:rPr>
          <w:sz w:val="24"/>
          <w:szCs w:val="24"/>
        </w:rPr>
        <w:t>条文说明：</w:t>
      </w:r>
      <w:r>
        <w:rPr>
          <w:rFonts w:hint="eastAsia"/>
          <w:sz w:val="24"/>
          <w:szCs w:val="24"/>
        </w:rPr>
        <w:t>当信息业务具备冷板服务器级容灾能力时，冷板式服务器的可靠性不影响整体液冷系统的可靠性。</w:t>
      </w:r>
    </w:p>
    <w:p>
      <w:pPr>
        <w:widowControl/>
        <w:spacing w:line="360" w:lineRule="auto"/>
        <w:ind w:firstLine="480" w:firstLineChars="200"/>
        <w:rPr>
          <w:kern w:val="0"/>
          <w:sz w:val="24"/>
          <w:szCs w:val="24"/>
          <w:lang w:bidi="ar"/>
        </w:rPr>
      </w:pPr>
      <w:r>
        <w:rPr>
          <w:kern w:val="0"/>
          <w:sz w:val="24"/>
          <w:szCs w:val="24"/>
          <w:lang w:bidi="ar"/>
        </w:rPr>
        <w:t>3.2.2</w:t>
      </w:r>
      <w:r>
        <w:rPr>
          <w:rFonts w:hint="eastAsia"/>
          <w:kern w:val="0"/>
          <w:sz w:val="24"/>
          <w:szCs w:val="24"/>
          <w:lang w:bidi="ar"/>
        </w:rPr>
        <w:t xml:space="preserve"> 当数据中心的信息业务不具备液冷机柜级容灾能力时，液冷机柜的Manifold宜设置双供液集管与双回液集管。</w:t>
      </w:r>
    </w:p>
    <w:p>
      <w:pPr>
        <w:widowControl/>
        <w:spacing w:line="360" w:lineRule="auto"/>
        <w:ind w:firstLine="480" w:firstLineChars="200"/>
        <w:rPr>
          <w:sz w:val="24"/>
          <w:szCs w:val="24"/>
        </w:rPr>
      </w:pPr>
      <w:r>
        <w:rPr>
          <w:sz w:val="24"/>
          <w:szCs w:val="24"/>
        </w:rPr>
        <w:t>条文说明：</w:t>
      </w:r>
      <w:r>
        <w:rPr>
          <w:rFonts w:hint="eastAsia"/>
          <w:sz w:val="24"/>
          <w:szCs w:val="24"/>
        </w:rPr>
        <w:t>当信息业务具备液冷机柜级容灾能力时，液冷机柜Manifold的可靠性不影响整体液冷系统的可靠性。</w:t>
      </w:r>
    </w:p>
    <w:p>
      <w:pPr>
        <w:widowControl/>
        <w:spacing w:line="360" w:lineRule="auto"/>
        <w:ind w:firstLine="480" w:firstLineChars="200"/>
        <w:rPr>
          <w:sz w:val="24"/>
          <w:szCs w:val="24"/>
        </w:rPr>
      </w:pPr>
      <w:r>
        <w:rPr>
          <w:rFonts w:hint="eastAsia"/>
          <w:sz w:val="24"/>
          <w:szCs w:val="24"/>
        </w:rPr>
        <w:t>在概念设计或初步设计阶段，往往并不了解数据中心信息业务的容灾特性，因此冷板式液冷系统的可靠性预估暂不考虑液冷机柜的Manifold与液冷服务器，可</w:t>
      </w:r>
      <w:r>
        <w:rPr>
          <w:sz w:val="24"/>
          <w:szCs w:val="24"/>
        </w:rPr>
        <w:t>以</w:t>
      </w:r>
      <w:r>
        <w:rPr>
          <w:rFonts w:hint="eastAsia"/>
          <w:sz w:val="24"/>
          <w:szCs w:val="24"/>
        </w:rPr>
        <w:t>冷板式液冷</w:t>
      </w:r>
      <w:r>
        <w:rPr>
          <w:sz w:val="24"/>
          <w:szCs w:val="24"/>
        </w:rPr>
        <w:t>机柜</w:t>
      </w:r>
      <w:r>
        <w:rPr>
          <w:rFonts w:hint="eastAsia"/>
          <w:sz w:val="24"/>
          <w:szCs w:val="24"/>
        </w:rPr>
        <w:t>的</w:t>
      </w:r>
      <w:r>
        <w:rPr>
          <w:sz w:val="24"/>
          <w:szCs w:val="24"/>
        </w:rPr>
        <w:t>供回</w:t>
      </w:r>
      <w:r>
        <w:rPr>
          <w:rFonts w:hint="eastAsia"/>
          <w:sz w:val="24"/>
          <w:szCs w:val="24"/>
        </w:rPr>
        <w:t>液</w:t>
      </w:r>
      <w:r>
        <w:rPr>
          <w:sz w:val="24"/>
          <w:szCs w:val="24"/>
        </w:rPr>
        <w:t>接口</w:t>
      </w:r>
      <w:r>
        <w:rPr>
          <w:rFonts w:hint="eastAsia"/>
          <w:sz w:val="24"/>
          <w:szCs w:val="24"/>
        </w:rPr>
        <w:t>法兰</w:t>
      </w:r>
      <w:r>
        <w:rPr>
          <w:sz w:val="24"/>
          <w:szCs w:val="24"/>
        </w:rPr>
        <w:t>为界面</w:t>
      </w:r>
      <w:r>
        <w:rPr>
          <w:rFonts w:hint="eastAsia"/>
          <w:sz w:val="24"/>
          <w:szCs w:val="24"/>
        </w:rPr>
        <w:t>进行分隔；实施阶段</w:t>
      </w:r>
      <w:r>
        <w:rPr>
          <w:sz w:val="24"/>
          <w:szCs w:val="24"/>
        </w:rPr>
        <w:t>冷板式液冷机柜的Manifold可根据</w:t>
      </w:r>
      <w:r>
        <w:rPr>
          <w:rFonts w:hint="eastAsia"/>
          <w:sz w:val="24"/>
          <w:szCs w:val="24"/>
        </w:rPr>
        <w:t>信息业务的容灾</w:t>
      </w:r>
      <w:r>
        <w:rPr>
          <w:sz w:val="24"/>
          <w:szCs w:val="24"/>
        </w:rPr>
        <w:t>要求</w:t>
      </w:r>
      <w:r>
        <w:rPr>
          <w:rFonts w:hint="eastAsia"/>
          <w:sz w:val="24"/>
          <w:szCs w:val="24"/>
        </w:rPr>
        <w:t>设置</w:t>
      </w:r>
      <w:r>
        <w:rPr>
          <w:sz w:val="24"/>
          <w:szCs w:val="24"/>
        </w:rPr>
        <w:t>单</w:t>
      </w:r>
      <w:r>
        <w:rPr>
          <w:rFonts w:hint="eastAsia"/>
          <w:sz w:val="24"/>
          <w:szCs w:val="24"/>
        </w:rPr>
        <w:t>路</w:t>
      </w:r>
      <w:r>
        <w:rPr>
          <w:sz w:val="24"/>
          <w:szCs w:val="24"/>
        </w:rPr>
        <w:t>供</w:t>
      </w:r>
      <w:r>
        <w:rPr>
          <w:rFonts w:hint="eastAsia"/>
          <w:sz w:val="24"/>
          <w:szCs w:val="24"/>
        </w:rPr>
        <w:t>、回液集管或双路供、</w:t>
      </w:r>
      <w:r>
        <w:rPr>
          <w:sz w:val="24"/>
          <w:szCs w:val="24"/>
        </w:rPr>
        <w:t>回</w:t>
      </w:r>
      <w:r>
        <w:rPr>
          <w:rFonts w:hint="eastAsia"/>
          <w:sz w:val="24"/>
          <w:szCs w:val="24"/>
        </w:rPr>
        <w:t>液集管</w:t>
      </w:r>
      <w:r>
        <w:rPr>
          <w:sz w:val="24"/>
          <w:szCs w:val="24"/>
        </w:rPr>
        <w:t>或。</w:t>
      </w:r>
    </w:p>
    <w:p>
      <w:pPr>
        <w:spacing w:line="360" w:lineRule="auto"/>
        <w:jc w:val="center"/>
        <w:outlineLvl w:val="1"/>
        <w:rPr>
          <w:rFonts w:eastAsia="微软雅黑"/>
          <w:sz w:val="28"/>
          <w:szCs w:val="32"/>
        </w:rPr>
      </w:pPr>
    </w:p>
    <w:p>
      <w:pPr>
        <w:spacing w:line="360" w:lineRule="auto"/>
        <w:jc w:val="center"/>
        <w:outlineLvl w:val="1"/>
        <w:rPr>
          <w:rFonts w:eastAsia="微软雅黑"/>
          <w:sz w:val="28"/>
          <w:szCs w:val="32"/>
        </w:rPr>
      </w:pPr>
    </w:p>
    <w:p>
      <w:pPr>
        <w:spacing w:line="360" w:lineRule="auto"/>
        <w:jc w:val="center"/>
        <w:outlineLvl w:val="1"/>
        <w:rPr>
          <w:rFonts w:eastAsia="微软雅黑"/>
          <w:sz w:val="28"/>
          <w:szCs w:val="32"/>
        </w:rPr>
        <w:sectPr>
          <w:pgSz w:w="11906" w:h="16838"/>
          <w:pgMar w:top="1440" w:right="1800" w:bottom="1440" w:left="1800" w:header="851" w:footer="992" w:gutter="0"/>
          <w:cols w:space="425" w:num="1"/>
          <w:docGrid w:type="lines" w:linePitch="312" w:charSpace="0"/>
        </w:sectPr>
      </w:pPr>
    </w:p>
    <w:p>
      <w:pPr>
        <w:spacing w:line="360" w:lineRule="auto"/>
        <w:ind w:firstLine="1033" w:firstLineChars="200"/>
        <w:jc w:val="center"/>
        <w:outlineLvl w:val="0"/>
        <w:rPr>
          <w:b/>
          <w:sz w:val="30"/>
          <w:szCs w:val="30"/>
        </w:rPr>
      </w:pPr>
      <w:bookmarkStart w:id="12" w:name="_Toc962747977"/>
      <w:r>
        <w:rPr>
          <w:b/>
          <w:spacing w:val="108"/>
          <w:kern w:val="0"/>
          <w:sz w:val="30"/>
          <w:szCs w:val="30"/>
          <w:fitText w:val="1204" w:id="-1130628608"/>
        </w:rPr>
        <w:t>4设</w:t>
      </w:r>
      <w:r>
        <w:rPr>
          <w:b/>
          <w:spacing w:val="0"/>
          <w:kern w:val="0"/>
          <w:sz w:val="30"/>
          <w:szCs w:val="30"/>
          <w:fitText w:val="1204" w:id="-1130628608"/>
        </w:rPr>
        <w:t>计</w:t>
      </w:r>
      <w:bookmarkEnd w:id="12"/>
    </w:p>
    <w:p>
      <w:pPr>
        <w:spacing w:line="360" w:lineRule="auto"/>
        <w:ind w:firstLine="561" w:firstLineChars="200"/>
        <w:jc w:val="center"/>
        <w:outlineLvl w:val="1"/>
        <w:rPr>
          <w:b/>
          <w:sz w:val="28"/>
          <w:szCs w:val="24"/>
        </w:rPr>
      </w:pPr>
      <w:bookmarkStart w:id="13" w:name="_Toc1763452941"/>
      <w:r>
        <w:rPr>
          <w:b/>
          <w:sz w:val="28"/>
          <w:szCs w:val="24"/>
        </w:rPr>
        <w:t>4.1 一般规定</w:t>
      </w:r>
      <w:bookmarkEnd w:id="13"/>
    </w:p>
    <w:p>
      <w:pPr>
        <w:widowControl/>
        <w:spacing w:line="360" w:lineRule="auto"/>
        <w:ind w:firstLine="480" w:firstLineChars="200"/>
        <w:rPr>
          <w:kern w:val="0"/>
          <w:sz w:val="24"/>
          <w:szCs w:val="24"/>
          <w:lang w:bidi="ar"/>
        </w:rPr>
      </w:pPr>
      <w:r>
        <w:rPr>
          <w:kern w:val="0"/>
          <w:sz w:val="24"/>
          <w:szCs w:val="24"/>
          <w:lang w:bidi="ar"/>
        </w:rPr>
        <w:t>4.1.1 液冷系统设计除应满足GB50174，还应符合本章节条文。</w:t>
      </w:r>
    </w:p>
    <w:p>
      <w:pPr>
        <w:widowControl/>
        <w:spacing w:line="360" w:lineRule="auto"/>
        <w:ind w:firstLine="480" w:firstLineChars="200"/>
        <w:rPr>
          <w:kern w:val="0"/>
          <w:sz w:val="24"/>
          <w:szCs w:val="24"/>
          <w:lang w:bidi="ar"/>
        </w:rPr>
      </w:pPr>
      <w:r>
        <w:rPr>
          <w:kern w:val="0"/>
          <w:sz w:val="24"/>
          <w:szCs w:val="24"/>
          <w:lang w:bidi="ar"/>
        </w:rPr>
        <w:t>4.1.2 液冷系统设计应包含液冷系统本身及其支持系统，液冷系统的支持系统至少应包含供配电系统、给水系统、排水系统、排污系统和监控系统。</w:t>
      </w:r>
    </w:p>
    <w:p>
      <w:pPr>
        <w:widowControl/>
        <w:spacing w:line="360" w:lineRule="auto"/>
        <w:ind w:firstLine="480" w:firstLineChars="200"/>
        <w:rPr>
          <w:kern w:val="0"/>
          <w:sz w:val="24"/>
          <w:szCs w:val="24"/>
          <w:lang w:bidi="ar"/>
        </w:rPr>
      </w:pPr>
      <w:r>
        <w:rPr>
          <w:rFonts w:hint="eastAsia"/>
          <w:kern w:val="0"/>
          <w:sz w:val="24"/>
          <w:szCs w:val="24"/>
          <w:lang w:bidi="ar"/>
        </w:rPr>
        <w:t>4</w:t>
      </w:r>
      <w:r>
        <w:rPr>
          <w:kern w:val="0"/>
          <w:sz w:val="24"/>
          <w:szCs w:val="24"/>
          <w:lang w:bidi="ar"/>
        </w:rPr>
        <w:t xml:space="preserve">.1.3 </w:t>
      </w:r>
      <w:r>
        <w:rPr>
          <w:rFonts w:hint="eastAsia"/>
          <w:kern w:val="0"/>
          <w:sz w:val="24"/>
          <w:szCs w:val="24"/>
          <w:lang w:bidi="ar"/>
        </w:rPr>
        <w:t>液冷系统设计宜符合</w:t>
      </w:r>
      <w:r>
        <w:rPr>
          <w:kern w:val="0"/>
          <w:sz w:val="24"/>
          <w:szCs w:val="24"/>
          <w:lang w:bidi="ar"/>
        </w:rPr>
        <w:t>《建筑节能与可再生能源利用通用规范》GB55015</w:t>
      </w:r>
      <w:r>
        <w:rPr>
          <w:rFonts w:hint="eastAsia"/>
          <w:kern w:val="0"/>
          <w:sz w:val="24"/>
          <w:szCs w:val="24"/>
          <w:lang w:bidi="ar"/>
        </w:rPr>
        <w:t>中的相关条文。</w:t>
      </w:r>
    </w:p>
    <w:p>
      <w:pPr>
        <w:spacing w:before="312" w:beforeLines="100" w:line="360" w:lineRule="auto"/>
        <w:ind w:firstLine="561" w:firstLineChars="200"/>
        <w:jc w:val="center"/>
        <w:outlineLvl w:val="1"/>
        <w:rPr>
          <w:b/>
          <w:sz w:val="28"/>
          <w:szCs w:val="24"/>
        </w:rPr>
      </w:pPr>
      <w:bookmarkStart w:id="14" w:name="_Toc931767140"/>
      <w:r>
        <w:rPr>
          <w:b/>
          <w:sz w:val="28"/>
          <w:szCs w:val="24"/>
        </w:rPr>
        <w:t>4.2 工艺布置与平面布局</w:t>
      </w:r>
      <w:bookmarkEnd w:id="14"/>
    </w:p>
    <w:p>
      <w:pPr>
        <w:widowControl/>
        <w:spacing w:line="360" w:lineRule="auto"/>
        <w:ind w:firstLine="480" w:firstLineChars="200"/>
        <w:rPr>
          <w:kern w:val="0"/>
          <w:sz w:val="24"/>
          <w:szCs w:val="24"/>
          <w:lang w:bidi="ar"/>
        </w:rPr>
      </w:pPr>
      <w:r>
        <w:rPr>
          <w:kern w:val="0"/>
          <w:sz w:val="24"/>
          <w:szCs w:val="24"/>
          <w:lang w:bidi="ar"/>
        </w:rPr>
        <w:t>4.2.1采用液冷系统的机房区，其通道与设备之间的距离除应符合现行国家标准《数据中心设计规范》GB 50174的有关规定外，还应符合下列规定：</w:t>
      </w:r>
    </w:p>
    <w:p>
      <w:pPr>
        <w:pStyle w:val="44"/>
        <w:widowControl/>
        <w:numPr>
          <w:ilvl w:val="0"/>
          <w:numId w:val="8"/>
        </w:numPr>
        <w:spacing w:line="360" w:lineRule="auto"/>
        <w:ind w:left="630" w:leftChars="300" w:firstLineChars="0"/>
        <w:rPr>
          <w:kern w:val="0"/>
          <w:sz w:val="24"/>
          <w:szCs w:val="24"/>
          <w:lang w:bidi="ar"/>
        </w:rPr>
      </w:pPr>
      <w:r>
        <w:rPr>
          <w:kern w:val="0"/>
          <w:sz w:val="24"/>
          <w:szCs w:val="24"/>
          <w:lang w:bidi="ar"/>
        </w:rPr>
        <w:t>用于搬运设备的通道</w:t>
      </w:r>
      <w:r>
        <w:rPr>
          <w:rFonts w:hint="eastAsia"/>
          <w:kern w:val="0"/>
          <w:sz w:val="24"/>
          <w:szCs w:val="24"/>
          <w:lang w:bidi="ar"/>
        </w:rPr>
        <w:t>宜</w:t>
      </w:r>
      <w:r>
        <w:rPr>
          <w:kern w:val="0"/>
          <w:sz w:val="24"/>
          <w:szCs w:val="24"/>
          <w:lang w:bidi="ar"/>
        </w:rPr>
        <w:t>设置2条，搬运通道的净宽应根据机柜、设备的外观尺寸确定，搬运通道的净宽不宜小于1.5m。</w:t>
      </w:r>
    </w:p>
    <w:p>
      <w:pPr>
        <w:pStyle w:val="44"/>
        <w:widowControl/>
        <w:spacing w:line="360" w:lineRule="auto"/>
        <w:ind w:left="1050" w:firstLine="0" w:firstLineChars="0"/>
        <w:rPr>
          <w:sz w:val="24"/>
          <w:szCs w:val="24"/>
        </w:rPr>
      </w:pPr>
      <w:r>
        <w:rPr>
          <w:sz w:val="24"/>
          <w:szCs w:val="24"/>
        </w:rPr>
        <w:t>条文说明：立式CDU或立式液冷机柜的高度不小于3.0m时，维护通道的宽度根据CDU和液冷机柜的外观尺寸确定，通常宽度不宜小于1.5m。</w:t>
      </w:r>
    </w:p>
    <w:p>
      <w:pPr>
        <w:pStyle w:val="44"/>
        <w:numPr>
          <w:ilvl w:val="0"/>
          <w:numId w:val="8"/>
        </w:numPr>
        <w:topLinePunct/>
        <w:spacing w:line="360" w:lineRule="auto"/>
        <w:ind w:left="630" w:leftChars="300" w:firstLineChars="0"/>
        <w:jc w:val="left"/>
        <w:textAlignment w:val="center"/>
        <w:rPr>
          <w:sz w:val="24"/>
          <w:szCs w:val="24"/>
        </w:rPr>
      </w:pPr>
      <w:r>
        <w:rPr>
          <w:sz w:val="24"/>
          <w:szCs w:val="24"/>
          <w:lang w:bidi="ar"/>
        </w:rPr>
        <w:t>机房区需采用可移动、可升高式机械手进行设备维护时，通道的净宽应根据可移动底座的尺寸确定，通道的净宽不宜小于1.5m；通道的高度应根据机械手的活动尺寸确定，通道的净高不宜低于3.2m。</w:t>
      </w:r>
    </w:p>
    <w:p>
      <w:pPr>
        <w:pStyle w:val="44"/>
        <w:numPr>
          <w:ilvl w:val="0"/>
          <w:numId w:val="8"/>
        </w:numPr>
        <w:topLinePunct/>
        <w:spacing w:line="360" w:lineRule="auto"/>
        <w:ind w:left="630" w:leftChars="300" w:firstLineChars="0"/>
        <w:jc w:val="left"/>
        <w:textAlignment w:val="center"/>
        <w:rPr>
          <w:sz w:val="24"/>
          <w:szCs w:val="24"/>
          <w:lang w:bidi="ar"/>
        </w:rPr>
      </w:pPr>
      <w:r>
        <w:rPr>
          <w:sz w:val="24"/>
          <w:szCs w:val="24"/>
          <w:lang w:bidi="ar"/>
        </w:rPr>
        <w:t>数据中心采用液冷系统时，机房区梁下至完成面的净</w:t>
      </w:r>
      <w:r>
        <w:rPr>
          <w:rFonts w:hint="eastAsia"/>
          <w:sz w:val="24"/>
          <w:szCs w:val="24"/>
          <w:lang w:bidi="ar"/>
        </w:rPr>
        <w:t>空</w:t>
      </w:r>
      <w:r>
        <w:rPr>
          <w:sz w:val="24"/>
          <w:szCs w:val="24"/>
          <w:lang w:bidi="ar"/>
        </w:rPr>
        <w:t>高</w:t>
      </w:r>
      <w:r>
        <w:rPr>
          <w:rFonts w:hint="eastAsia"/>
          <w:sz w:val="24"/>
          <w:szCs w:val="24"/>
          <w:lang w:bidi="ar"/>
        </w:rPr>
        <w:t>度</w:t>
      </w:r>
      <w:r>
        <w:rPr>
          <w:sz w:val="24"/>
          <w:szCs w:val="24"/>
          <w:lang w:bidi="ar"/>
        </w:rPr>
        <w:t>不宜小于3.6m。</w:t>
      </w:r>
    </w:p>
    <w:p>
      <w:pPr>
        <w:widowControl/>
        <w:spacing w:line="360" w:lineRule="auto"/>
        <w:ind w:firstLine="480" w:firstLineChars="200"/>
        <w:rPr>
          <w:kern w:val="0"/>
          <w:sz w:val="24"/>
          <w:szCs w:val="24"/>
          <w:lang w:bidi="ar"/>
        </w:rPr>
      </w:pPr>
      <w:r>
        <w:rPr>
          <w:kern w:val="0"/>
          <w:sz w:val="24"/>
          <w:szCs w:val="24"/>
          <w:lang w:bidi="ar"/>
        </w:rPr>
        <w:t>4.2.2 当浸没式液冷机柜为卧式时，其平面布局应符合下列规定：</w:t>
      </w:r>
    </w:p>
    <w:p>
      <w:pPr>
        <w:pStyle w:val="44"/>
        <w:numPr>
          <w:ilvl w:val="0"/>
          <w:numId w:val="9"/>
        </w:numPr>
        <w:topLinePunct/>
        <w:spacing w:line="360" w:lineRule="auto"/>
        <w:ind w:left="630" w:leftChars="300" w:firstLineChars="0"/>
        <w:jc w:val="left"/>
        <w:textAlignment w:val="center"/>
        <w:rPr>
          <w:sz w:val="24"/>
          <w:szCs w:val="24"/>
          <w:lang w:bidi="ar"/>
        </w:rPr>
      </w:pPr>
      <w:r>
        <w:rPr>
          <w:sz w:val="24"/>
          <w:szCs w:val="24"/>
          <w:lang w:bidi="ar"/>
        </w:rPr>
        <w:t>卧式浸没液冷机柜布置应采用“面对面、背对背”的方式，“面对面”的两个卧式液冷机柜的间距应容许移动式机械臂通过，间距不宜小于1.2m，“背对背”的两个卧式浸没液冷机柜的间距应容许人员检修机柜背面的设施，间距不宜小于0.6m。</w:t>
      </w:r>
    </w:p>
    <w:p>
      <w:pPr>
        <w:pStyle w:val="44"/>
        <w:widowControl/>
        <w:spacing w:line="360" w:lineRule="auto"/>
        <w:ind w:left="1050" w:firstLine="0" w:firstLineChars="0"/>
        <w:rPr>
          <w:sz w:val="24"/>
          <w:szCs w:val="24"/>
        </w:rPr>
      </w:pPr>
      <w:r>
        <w:rPr>
          <w:sz w:val="24"/>
          <w:szCs w:val="24"/>
        </w:rPr>
        <w:t>条文说明：当卧式浸没液冷机柜的背面不需要检修时，“背对背”的间距不作要求。</w:t>
      </w:r>
    </w:p>
    <w:p>
      <w:pPr>
        <w:pStyle w:val="44"/>
        <w:numPr>
          <w:ilvl w:val="0"/>
          <w:numId w:val="9"/>
        </w:numPr>
        <w:topLinePunct/>
        <w:spacing w:line="360" w:lineRule="auto"/>
        <w:ind w:left="630" w:leftChars="300" w:firstLineChars="0"/>
        <w:jc w:val="left"/>
        <w:textAlignment w:val="center"/>
        <w:rPr>
          <w:kern w:val="0"/>
          <w:sz w:val="24"/>
          <w:szCs w:val="24"/>
          <w:lang w:bidi="ar"/>
        </w:rPr>
      </w:pPr>
      <w:r>
        <w:rPr>
          <w:sz w:val="24"/>
          <w:szCs w:val="24"/>
          <w:lang w:bidi="ar"/>
        </w:rPr>
        <w:t>CDU宜与卧式浸没液冷机柜混合部署于机房区。</w:t>
      </w:r>
    </w:p>
    <w:p>
      <w:pPr>
        <w:pStyle w:val="44"/>
        <w:widowControl/>
        <w:spacing w:line="360" w:lineRule="auto"/>
        <w:ind w:left="1050" w:firstLine="0" w:firstLineChars="0"/>
        <w:rPr>
          <w:sz w:val="24"/>
          <w:szCs w:val="24"/>
        </w:rPr>
      </w:pPr>
      <w:r>
        <w:rPr>
          <w:sz w:val="24"/>
          <w:szCs w:val="24"/>
        </w:rPr>
        <w:t>条文说明：CDU就近布置在卧式浸没液冷机柜附近，有利于减少冷却液的使用量。</w:t>
      </w:r>
    </w:p>
    <w:p>
      <w:pPr>
        <w:pStyle w:val="44"/>
        <w:numPr>
          <w:ilvl w:val="0"/>
          <w:numId w:val="9"/>
        </w:numPr>
        <w:topLinePunct/>
        <w:spacing w:line="360" w:lineRule="auto"/>
        <w:ind w:left="630" w:leftChars="300" w:firstLineChars="0"/>
        <w:jc w:val="left"/>
        <w:textAlignment w:val="center"/>
        <w:rPr>
          <w:sz w:val="24"/>
          <w:szCs w:val="24"/>
          <w:lang w:bidi="ar"/>
        </w:rPr>
      </w:pPr>
      <w:r>
        <w:rPr>
          <w:sz w:val="24"/>
          <w:szCs w:val="24"/>
          <w:lang w:bidi="ar"/>
        </w:rPr>
        <w:t>当用冷（二次）侧冷却液管路敷设于管沟内时，管沟应设置可开启式盖板以利于管路检修，盖板结构设计应允许移动式机械臂驻立或通过；当用冷（二次）侧冷却液管路敷设于高架地板空间内时，管路不宜布置在机柜正下方，应为管路设置支架，并应在管路与管架之间设置集液槽以利于冷却液回收。</w:t>
      </w:r>
    </w:p>
    <w:p>
      <w:pPr>
        <w:widowControl/>
        <w:spacing w:line="360" w:lineRule="auto"/>
        <w:ind w:firstLine="480" w:firstLineChars="200"/>
        <w:rPr>
          <w:kern w:val="0"/>
          <w:sz w:val="24"/>
          <w:szCs w:val="24"/>
          <w:lang w:bidi="ar"/>
        </w:rPr>
      </w:pPr>
      <w:r>
        <w:rPr>
          <w:kern w:val="0"/>
          <w:sz w:val="24"/>
          <w:szCs w:val="24"/>
          <w:lang w:bidi="ar"/>
        </w:rPr>
        <w:t>4.2.3 当冷板式液冷机柜为立式时，其平面布局应符合下列规定：</w:t>
      </w:r>
    </w:p>
    <w:p>
      <w:pPr>
        <w:pStyle w:val="44"/>
        <w:widowControl/>
        <w:numPr>
          <w:ilvl w:val="1"/>
          <w:numId w:val="10"/>
        </w:numPr>
        <w:spacing w:line="360" w:lineRule="auto"/>
        <w:ind w:left="1100" w:firstLineChars="0"/>
        <w:rPr>
          <w:kern w:val="0"/>
          <w:sz w:val="24"/>
          <w:szCs w:val="24"/>
          <w:lang w:bidi="ar"/>
        </w:rPr>
      </w:pPr>
      <w:r>
        <w:rPr>
          <w:kern w:val="0"/>
          <w:sz w:val="24"/>
          <w:szCs w:val="24"/>
          <w:lang w:bidi="ar"/>
        </w:rPr>
        <w:t>机柜间通道的净宽度不宜小于1.2m。</w:t>
      </w:r>
    </w:p>
    <w:p>
      <w:pPr>
        <w:pStyle w:val="44"/>
        <w:widowControl/>
        <w:numPr>
          <w:ilvl w:val="1"/>
          <w:numId w:val="10"/>
        </w:numPr>
        <w:spacing w:line="360" w:lineRule="auto"/>
        <w:ind w:left="1100" w:firstLineChars="0"/>
        <w:rPr>
          <w:sz w:val="24"/>
          <w:szCs w:val="24"/>
          <w:lang w:bidi="ar"/>
        </w:rPr>
      </w:pPr>
      <w:r>
        <w:rPr>
          <w:kern w:val="0"/>
          <w:sz w:val="24"/>
          <w:szCs w:val="24"/>
          <w:lang w:bidi="ar"/>
        </w:rPr>
        <w:t>当用冷（二次）侧冷却液管路敷设于高架地板空间内时，</w:t>
      </w:r>
      <w:r>
        <w:rPr>
          <w:sz w:val="24"/>
          <w:szCs w:val="24"/>
          <w:lang w:bidi="ar"/>
        </w:rPr>
        <w:t>地板的架空高</w:t>
      </w:r>
      <w:r>
        <w:rPr>
          <w:kern w:val="0"/>
          <w:sz w:val="24"/>
          <w:szCs w:val="24"/>
          <w:lang w:bidi="ar"/>
        </w:rPr>
        <w:t>度不宜低于0.6m。</w:t>
      </w:r>
    </w:p>
    <w:p>
      <w:pPr>
        <w:pStyle w:val="44"/>
        <w:numPr>
          <w:ilvl w:val="1"/>
          <w:numId w:val="10"/>
        </w:numPr>
        <w:topLinePunct/>
        <w:spacing w:line="360" w:lineRule="auto"/>
        <w:ind w:left="1100" w:firstLineChars="0"/>
        <w:jc w:val="left"/>
        <w:textAlignment w:val="center"/>
        <w:rPr>
          <w:sz w:val="24"/>
          <w:szCs w:val="24"/>
          <w:lang w:bidi="ar"/>
        </w:rPr>
      </w:pPr>
      <w:r>
        <w:rPr>
          <w:sz w:val="24"/>
          <w:szCs w:val="24"/>
          <w:lang w:bidi="ar"/>
        </w:rPr>
        <w:t>立式冷板机柜的冷通道或热通道封闭为单边使用隔墙或盲板进行封闭时，其隔墙或盲板与机柜的净距不宜小于1.0m。</w:t>
      </w:r>
    </w:p>
    <w:p>
      <w:pPr>
        <w:pStyle w:val="44"/>
        <w:widowControl/>
        <w:numPr>
          <w:ilvl w:val="1"/>
          <w:numId w:val="10"/>
        </w:numPr>
        <w:spacing w:line="360" w:lineRule="auto"/>
        <w:ind w:left="1100" w:firstLineChars="0"/>
        <w:jc w:val="left"/>
        <w:rPr>
          <w:sz w:val="24"/>
          <w:szCs w:val="22"/>
        </w:rPr>
      </w:pPr>
      <w:r>
        <w:rPr>
          <w:sz w:val="24"/>
          <w:szCs w:val="24"/>
          <w:lang w:bidi="ar"/>
        </w:rPr>
        <w:t>当CDU分散部署于冷板式液冷机柜内时，宜将CDU部署在机柜的底部，当CDU集中布置于冷却设备区时，宜将CDU部署在相应机柜列端部。</w:t>
      </w:r>
    </w:p>
    <w:p>
      <w:pPr>
        <w:spacing w:before="312" w:beforeLines="100" w:line="360" w:lineRule="auto"/>
        <w:ind w:firstLine="561" w:firstLineChars="200"/>
        <w:jc w:val="center"/>
        <w:outlineLvl w:val="1"/>
        <w:rPr>
          <w:b/>
          <w:sz w:val="28"/>
          <w:szCs w:val="24"/>
        </w:rPr>
      </w:pPr>
      <w:bookmarkStart w:id="15" w:name="_Toc759568056"/>
      <w:r>
        <w:rPr>
          <w:b/>
          <w:sz w:val="28"/>
          <w:szCs w:val="24"/>
        </w:rPr>
        <w:t>4.3 设计参数</w:t>
      </w:r>
      <w:bookmarkEnd w:id="15"/>
    </w:p>
    <w:p>
      <w:pPr>
        <w:spacing w:line="360" w:lineRule="auto"/>
        <w:ind w:firstLine="480" w:firstLineChars="200"/>
        <w:rPr>
          <w:sz w:val="24"/>
          <w:szCs w:val="24"/>
        </w:rPr>
      </w:pPr>
      <w:r>
        <w:rPr>
          <w:sz w:val="24"/>
          <w:szCs w:val="24"/>
        </w:rPr>
        <w:t>4.3.1 设计参数</w:t>
      </w:r>
    </w:p>
    <w:p>
      <w:pPr>
        <w:pStyle w:val="44"/>
        <w:numPr>
          <w:ilvl w:val="1"/>
          <w:numId w:val="11"/>
        </w:numPr>
        <w:spacing w:line="360" w:lineRule="auto"/>
        <w:ind w:firstLineChars="0"/>
        <w:rPr>
          <w:kern w:val="0"/>
          <w:sz w:val="24"/>
          <w:szCs w:val="24"/>
          <w:lang w:bidi="ar"/>
        </w:rPr>
      </w:pPr>
      <w:r>
        <w:rPr>
          <w:kern w:val="0"/>
          <w:sz w:val="24"/>
          <w:szCs w:val="24"/>
          <w:lang w:bidi="ar"/>
        </w:rPr>
        <w:t>液冷系统的冷源、室外散热设备选型，其气象依据应采用20年极端干、湿球温度；</w:t>
      </w:r>
    </w:p>
    <w:p>
      <w:pPr>
        <w:pStyle w:val="44"/>
        <w:numPr>
          <w:ilvl w:val="1"/>
          <w:numId w:val="11"/>
        </w:numPr>
        <w:spacing w:line="360" w:lineRule="auto"/>
        <w:ind w:firstLineChars="0"/>
        <w:rPr>
          <w:kern w:val="0"/>
          <w:sz w:val="24"/>
          <w:szCs w:val="24"/>
          <w:lang w:bidi="ar"/>
        </w:rPr>
      </w:pPr>
      <w:r>
        <w:rPr>
          <w:kern w:val="0"/>
          <w:sz w:val="24"/>
          <w:szCs w:val="24"/>
          <w:lang w:bidi="ar"/>
        </w:rPr>
        <w:t>采用浸没式液冷系统的数据中心，其液冷机柜的设计冷却液供、回液温度应根据柜内电子信息设备的最大发热量、电子信息设备本身的热设计、冷却液的物性参数、机柜内的流场设计确定；</w:t>
      </w:r>
    </w:p>
    <w:p>
      <w:pPr>
        <w:widowControl/>
        <w:spacing w:line="360" w:lineRule="auto"/>
        <w:ind w:left="840" w:leftChars="400"/>
        <w:rPr>
          <w:sz w:val="24"/>
          <w:szCs w:val="24"/>
        </w:rPr>
      </w:pPr>
      <w:r>
        <w:rPr>
          <w:sz w:val="24"/>
          <w:szCs w:val="24"/>
        </w:rPr>
        <w:t>条文说明：采用浸没式液冷的</w:t>
      </w:r>
      <w:r>
        <w:rPr>
          <w:rFonts w:hint="eastAsia"/>
          <w:sz w:val="24"/>
          <w:szCs w:val="24"/>
        </w:rPr>
        <w:t>电子信息</w:t>
      </w:r>
      <w:r>
        <w:rPr>
          <w:sz w:val="24"/>
          <w:szCs w:val="24"/>
        </w:rPr>
        <w:t>设备，其设备的热设计（散热器与热界面材料选择等）、选用冷却液的物性参数、机柜内的流场均影响设计冷却液供、回液温度，需要具体项目具体分析；</w:t>
      </w:r>
      <w:r>
        <w:rPr>
          <w:rFonts w:hint="eastAsia"/>
          <w:sz w:val="24"/>
          <w:szCs w:val="24"/>
        </w:rPr>
        <w:t>数据中心采用单相浸没式液冷时，</w:t>
      </w:r>
      <w:r>
        <w:rPr>
          <w:sz w:val="24"/>
          <w:szCs w:val="24"/>
        </w:rPr>
        <w:t>在概念设计阶段宜暂估供液温度为33℃～36℃</w:t>
      </w:r>
      <w:r>
        <w:rPr>
          <w:rFonts w:hint="eastAsia"/>
          <w:sz w:val="24"/>
          <w:szCs w:val="24"/>
        </w:rPr>
        <w:t>（没有硬盘时可放宽至4</w:t>
      </w:r>
      <w:r>
        <w:rPr>
          <w:sz w:val="24"/>
          <w:szCs w:val="24"/>
        </w:rPr>
        <w:t>0℃</w:t>
      </w:r>
      <w:r>
        <w:rPr>
          <w:rFonts w:hint="eastAsia"/>
          <w:sz w:val="24"/>
          <w:szCs w:val="24"/>
        </w:rPr>
        <w:t>）</w:t>
      </w:r>
      <w:r>
        <w:rPr>
          <w:sz w:val="24"/>
          <w:szCs w:val="24"/>
        </w:rPr>
        <w:t>，暂估回液温度为38℃～42℃</w:t>
      </w:r>
      <w:r>
        <w:rPr>
          <w:rFonts w:hint="eastAsia"/>
          <w:sz w:val="24"/>
          <w:szCs w:val="24"/>
        </w:rPr>
        <w:t>（没有硬盘时可放宽至5</w:t>
      </w:r>
      <w:r>
        <w:rPr>
          <w:sz w:val="24"/>
          <w:szCs w:val="24"/>
        </w:rPr>
        <w:t>0℃</w:t>
      </w:r>
      <w:r>
        <w:rPr>
          <w:rFonts w:hint="eastAsia"/>
          <w:sz w:val="24"/>
          <w:szCs w:val="24"/>
        </w:rPr>
        <w:t>）</w:t>
      </w:r>
      <w:r>
        <w:rPr>
          <w:sz w:val="24"/>
          <w:szCs w:val="24"/>
        </w:rPr>
        <w:t>，暂估供回液温差为5</w:t>
      </w:r>
      <w:r>
        <w:rPr>
          <w:rFonts w:hint="eastAsia"/>
          <w:sz w:val="24"/>
          <w:szCs w:val="24"/>
        </w:rPr>
        <w:t>～8</w:t>
      </w:r>
      <w:r>
        <w:rPr>
          <w:sz w:val="24"/>
          <w:szCs w:val="24"/>
        </w:rPr>
        <w:t>℃</w:t>
      </w:r>
      <w:r>
        <w:rPr>
          <w:rFonts w:hint="eastAsia"/>
          <w:sz w:val="24"/>
          <w:szCs w:val="24"/>
        </w:rPr>
        <w:t>；冷却液供液温度不宜低于1</w:t>
      </w:r>
      <w:r>
        <w:rPr>
          <w:sz w:val="24"/>
          <w:szCs w:val="24"/>
        </w:rPr>
        <w:t>5℃</w:t>
      </w:r>
      <w:r>
        <w:rPr>
          <w:rFonts w:hint="eastAsia"/>
          <w:sz w:val="24"/>
          <w:szCs w:val="24"/>
        </w:rPr>
        <w:t>。</w:t>
      </w:r>
    </w:p>
    <w:p>
      <w:pPr>
        <w:pStyle w:val="44"/>
        <w:numPr>
          <w:ilvl w:val="1"/>
          <w:numId w:val="11"/>
        </w:numPr>
        <w:spacing w:line="360" w:lineRule="auto"/>
        <w:ind w:firstLineChars="0"/>
        <w:rPr>
          <w:kern w:val="0"/>
          <w:sz w:val="24"/>
          <w:szCs w:val="24"/>
          <w:lang w:bidi="ar"/>
        </w:rPr>
      </w:pPr>
      <w:r>
        <w:rPr>
          <w:kern w:val="0"/>
          <w:sz w:val="24"/>
          <w:szCs w:val="24"/>
          <w:lang w:bidi="ar"/>
        </w:rPr>
        <w:t>采用冷板式液冷系统的数据中心，冷板的设计冷却液供液温度应根据电子信息设备的最大发热量、电子信息设备本身的热设计、冷却液的物性参数、冷板内的流场设计确定；</w:t>
      </w:r>
    </w:p>
    <w:p>
      <w:pPr>
        <w:widowControl/>
        <w:spacing w:line="360" w:lineRule="auto"/>
        <w:ind w:left="840" w:leftChars="400"/>
        <w:rPr>
          <w:sz w:val="24"/>
          <w:szCs w:val="24"/>
        </w:rPr>
      </w:pPr>
      <w:r>
        <w:rPr>
          <w:sz w:val="24"/>
          <w:szCs w:val="24"/>
        </w:rPr>
        <w:t>条文说明：采用冷板式液冷的</w:t>
      </w:r>
      <w:r>
        <w:rPr>
          <w:rFonts w:hint="eastAsia"/>
          <w:sz w:val="24"/>
          <w:szCs w:val="24"/>
        </w:rPr>
        <w:t>电子信息</w:t>
      </w:r>
      <w:r>
        <w:rPr>
          <w:sz w:val="24"/>
          <w:szCs w:val="24"/>
        </w:rPr>
        <w:t>设备，其设备的热设计（冷板设计与热界面材料选择等）、选用冷却液的物性参数、冷板内的流场均影响设计冷却液供、回液温度，需要具体项目具体分析；在数据中心概念设计阶段宜暂估</w:t>
      </w:r>
      <w:r>
        <w:rPr>
          <w:rFonts w:hint="eastAsia"/>
          <w:sz w:val="24"/>
          <w:szCs w:val="24"/>
        </w:rPr>
        <w:t>单相冷板系统的</w:t>
      </w:r>
      <w:r>
        <w:rPr>
          <w:sz w:val="24"/>
          <w:szCs w:val="24"/>
        </w:rPr>
        <w:t>供液温度为33℃～40℃，暂估回液温度为38</w:t>
      </w:r>
      <w:r>
        <w:rPr>
          <w:rFonts w:hint="eastAsia"/>
          <w:sz w:val="24"/>
          <w:szCs w:val="24"/>
        </w:rPr>
        <w:t>～5</w:t>
      </w:r>
      <w:r>
        <w:rPr>
          <w:sz w:val="24"/>
          <w:szCs w:val="24"/>
        </w:rPr>
        <w:t>0℃，暂估供回液温差为5～15℃</w:t>
      </w:r>
      <w:r>
        <w:rPr>
          <w:rFonts w:hint="eastAsia"/>
          <w:sz w:val="24"/>
          <w:szCs w:val="24"/>
        </w:rPr>
        <w:t>。</w:t>
      </w:r>
    </w:p>
    <w:p>
      <w:pPr>
        <w:pStyle w:val="44"/>
        <w:numPr>
          <w:ilvl w:val="1"/>
          <w:numId w:val="11"/>
        </w:numPr>
        <w:spacing w:line="360" w:lineRule="auto"/>
        <w:ind w:firstLineChars="0"/>
        <w:rPr>
          <w:kern w:val="0"/>
          <w:sz w:val="24"/>
          <w:szCs w:val="24"/>
          <w:lang w:bidi="ar"/>
        </w:rPr>
      </w:pPr>
      <w:r>
        <w:rPr>
          <w:kern w:val="0"/>
          <w:sz w:val="24"/>
          <w:szCs w:val="24"/>
          <w:lang w:bidi="ar"/>
        </w:rPr>
        <w:t>冷板式液冷系统的用冷侧（二次侧）供液温度的波动宜在设定供液温度值±1℃范围内，供液温度变化率宜小于±5℃/h；</w:t>
      </w:r>
    </w:p>
    <w:p>
      <w:pPr>
        <w:pStyle w:val="44"/>
        <w:numPr>
          <w:ilvl w:val="1"/>
          <w:numId w:val="11"/>
        </w:numPr>
        <w:spacing w:line="360" w:lineRule="auto"/>
        <w:ind w:firstLineChars="0"/>
        <w:rPr>
          <w:kern w:val="0"/>
          <w:sz w:val="24"/>
          <w:szCs w:val="24"/>
          <w:lang w:bidi="ar"/>
        </w:rPr>
      </w:pPr>
      <w:r>
        <w:rPr>
          <w:kern w:val="0"/>
          <w:sz w:val="24"/>
          <w:szCs w:val="24"/>
          <w:lang w:bidi="ar"/>
        </w:rPr>
        <w:t>采用冷板式液冷系统的数据中心，冷板的设计冷却液供液温度应考虑冷板、冷却液管路与电子信息设备之间的冷桥，应避免电子信息设备局部结露。</w:t>
      </w:r>
    </w:p>
    <w:p>
      <w:pPr>
        <w:widowControl/>
        <w:spacing w:line="360" w:lineRule="auto"/>
        <w:ind w:left="840" w:leftChars="400"/>
        <w:rPr>
          <w:sz w:val="24"/>
          <w:szCs w:val="24"/>
        </w:rPr>
      </w:pPr>
      <w:r>
        <w:rPr>
          <w:sz w:val="24"/>
          <w:szCs w:val="24"/>
        </w:rPr>
        <w:t>条文说明： 冷板式液冷系统的冷却液</w:t>
      </w:r>
      <w:r>
        <w:rPr>
          <w:rFonts w:hint="eastAsia"/>
          <w:sz w:val="24"/>
          <w:szCs w:val="24"/>
        </w:rPr>
        <w:t>可</w:t>
      </w:r>
      <w:r>
        <w:rPr>
          <w:sz w:val="24"/>
          <w:szCs w:val="24"/>
        </w:rPr>
        <w:t>执行YDT3983-2021《数据中心冷板式液冷服务器系统技术要求和测试方法》的相关要求。</w:t>
      </w:r>
    </w:p>
    <w:p>
      <w:pPr>
        <w:pStyle w:val="44"/>
        <w:numPr>
          <w:ilvl w:val="1"/>
          <w:numId w:val="11"/>
        </w:numPr>
        <w:spacing w:line="360" w:lineRule="auto"/>
        <w:ind w:firstLineChars="0"/>
        <w:rPr>
          <w:kern w:val="0"/>
          <w:sz w:val="24"/>
          <w:szCs w:val="24"/>
          <w:lang w:bidi="ar"/>
        </w:rPr>
      </w:pPr>
      <w:r>
        <w:rPr>
          <w:kern w:val="0"/>
          <w:sz w:val="24"/>
          <w:szCs w:val="24"/>
          <w:lang w:bidi="ar"/>
        </w:rPr>
        <w:t>采用冷板式液冷的电气信息设备区的设计温度应区分冷、热通道，冷通道的环境温度、相对湿度应执行《数据中心设计规范》GB50174附录1的条文。</w:t>
      </w:r>
    </w:p>
    <w:p>
      <w:pPr>
        <w:widowControl/>
        <w:spacing w:line="360" w:lineRule="auto"/>
        <w:ind w:left="840" w:leftChars="400"/>
        <w:rPr>
          <w:sz w:val="24"/>
          <w:szCs w:val="24"/>
        </w:rPr>
      </w:pPr>
      <w:r>
        <w:rPr>
          <w:sz w:val="24"/>
          <w:szCs w:val="24"/>
        </w:rPr>
        <w:t>条文说明：采用冷板式液冷的数据中心，通常冷板为电子信息设备的高热流密度器件（CPU、内存等）实现散热，其余低热流密度器件的散热仍然需要风冷，其风冷区环境需执行《数据中心设计规范》GB 50174中附录A的相关条文；环境要求中的干球温度和露点温度指的是冷通道测点的干球温度和露点温度。</w:t>
      </w:r>
    </w:p>
    <w:p>
      <w:pPr>
        <w:pStyle w:val="44"/>
        <w:numPr>
          <w:ilvl w:val="1"/>
          <w:numId w:val="11"/>
        </w:numPr>
        <w:spacing w:line="360" w:lineRule="auto"/>
        <w:ind w:firstLineChars="0"/>
        <w:rPr>
          <w:kern w:val="0"/>
          <w:sz w:val="24"/>
          <w:szCs w:val="24"/>
          <w:lang w:bidi="ar"/>
        </w:rPr>
      </w:pPr>
      <w:r>
        <w:rPr>
          <w:kern w:val="0"/>
          <w:sz w:val="24"/>
          <w:szCs w:val="24"/>
          <w:lang w:bidi="ar"/>
        </w:rPr>
        <w:t>采用浸没式液冷的电子信息设备区的设计温、相对湿度应满足人员舒适性要求，温度宜为18~30℃、相对湿度宜为30%～70%；</w:t>
      </w:r>
    </w:p>
    <w:p>
      <w:pPr>
        <w:widowControl/>
        <w:spacing w:line="360" w:lineRule="auto"/>
        <w:ind w:left="840" w:leftChars="400"/>
        <w:rPr>
          <w:sz w:val="24"/>
          <w:szCs w:val="24"/>
        </w:rPr>
      </w:pPr>
      <w:r>
        <w:rPr>
          <w:sz w:val="24"/>
          <w:szCs w:val="24"/>
        </w:rPr>
        <w:t>条文说明：采用浸没液冷的数据中心，其风冷区环境要求应执行《数据中心设计规范》GB 50174中附录A的相关条文，其辅助支持区应执行《工业建筑供暖通风与空气调节设计规范》GB50019与《民用建筑供暖通风与空气调节设计规范》GB50736中相关条文。</w:t>
      </w:r>
    </w:p>
    <w:p>
      <w:pPr>
        <w:spacing w:line="360" w:lineRule="auto"/>
        <w:ind w:firstLine="480" w:firstLineChars="200"/>
        <w:rPr>
          <w:sz w:val="24"/>
          <w:szCs w:val="24"/>
        </w:rPr>
      </w:pPr>
      <w:r>
        <w:rPr>
          <w:sz w:val="24"/>
          <w:szCs w:val="24"/>
        </w:rPr>
        <w:t>4.3.2 冷、热负荷计算</w:t>
      </w:r>
    </w:p>
    <w:p>
      <w:pPr>
        <w:pStyle w:val="44"/>
        <w:widowControl/>
        <w:numPr>
          <w:ilvl w:val="1"/>
          <w:numId w:val="12"/>
        </w:numPr>
        <w:spacing w:line="360" w:lineRule="auto"/>
        <w:ind w:firstLineChars="0"/>
        <w:jc w:val="left"/>
        <w:rPr>
          <w:kern w:val="0"/>
          <w:sz w:val="24"/>
          <w:szCs w:val="24"/>
          <w:lang w:bidi="ar"/>
        </w:rPr>
      </w:pPr>
      <w:r>
        <w:rPr>
          <w:kern w:val="0"/>
          <w:sz w:val="24"/>
          <w:szCs w:val="24"/>
          <w:lang w:bidi="ar"/>
        </w:rPr>
        <w:t>数据中心需要全年供冷，应对需要供冷的各个房间逐一进行冷负荷计算，夏季计算得热量应包括：电子信息设备的散热、通过围护结构传入的热量、通过围护结构透明部分进入的太阳辐射热量、人体散热量、照明散热量、渗透空气带入的热量</w:t>
      </w:r>
      <w:r>
        <w:rPr>
          <w:rFonts w:hint="eastAsia"/>
          <w:kern w:val="0"/>
          <w:sz w:val="24"/>
          <w:szCs w:val="24"/>
          <w:lang w:bidi="ar"/>
        </w:rPr>
        <w:t>和</w:t>
      </w:r>
      <w:r>
        <w:rPr>
          <w:kern w:val="0"/>
          <w:sz w:val="24"/>
          <w:szCs w:val="24"/>
          <w:lang w:bidi="ar"/>
        </w:rPr>
        <w:t>其他内部热源的散热量；</w:t>
      </w:r>
    </w:p>
    <w:p>
      <w:pPr>
        <w:pStyle w:val="44"/>
        <w:widowControl/>
        <w:numPr>
          <w:ilvl w:val="1"/>
          <w:numId w:val="12"/>
        </w:numPr>
        <w:spacing w:line="360" w:lineRule="auto"/>
        <w:ind w:firstLineChars="0"/>
        <w:jc w:val="left"/>
        <w:rPr>
          <w:kern w:val="0"/>
          <w:sz w:val="24"/>
          <w:szCs w:val="24"/>
          <w:lang w:bidi="ar"/>
        </w:rPr>
      </w:pPr>
      <w:r>
        <w:rPr>
          <w:sz w:val="24"/>
          <w:szCs w:val="24"/>
        </w:rPr>
        <w:t>冷却系统的附加冷负荷，应考虑冷却水通过水泵、管道、水箱等温升引起的冷负荷；</w:t>
      </w:r>
    </w:p>
    <w:p>
      <w:pPr>
        <w:pStyle w:val="44"/>
        <w:widowControl/>
        <w:numPr>
          <w:ilvl w:val="1"/>
          <w:numId w:val="12"/>
        </w:numPr>
        <w:spacing w:line="360" w:lineRule="auto"/>
        <w:ind w:firstLineChars="0"/>
        <w:jc w:val="left"/>
        <w:rPr>
          <w:kern w:val="0"/>
          <w:sz w:val="24"/>
          <w:szCs w:val="24"/>
          <w:lang w:bidi="ar"/>
        </w:rPr>
      </w:pPr>
      <w:r>
        <w:rPr>
          <w:kern w:val="0"/>
          <w:sz w:val="24"/>
          <w:szCs w:val="24"/>
          <w:lang w:bidi="ar"/>
        </w:rPr>
        <w:t>需要采暖或者热量的区域，应对需要供热的各个房间逐一进行热负荷计算，冬季计算热负荷应包括建筑本体传热量与室内热负荷。</w:t>
      </w:r>
    </w:p>
    <w:p>
      <w:pPr>
        <w:pStyle w:val="44"/>
        <w:widowControl/>
        <w:spacing w:line="360" w:lineRule="auto"/>
        <w:ind w:left="840" w:firstLine="0" w:firstLineChars="0"/>
        <w:rPr>
          <w:sz w:val="24"/>
          <w:szCs w:val="24"/>
        </w:rPr>
      </w:pPr>
      <w:r>
        <w:rPr>
          <w:sz w:val="24"/>
          <w:szCs w:val="24"/>
        </w:rPr>
        <w:t>条文说明：数据中心冷、热负荷计算宜执行《数据中心设计规范》GB 50174、《工业建筑供暖通风与空气调节设计规范》GB50019、《民用建筑供暖通风与空气调节设计规范》GB50736中相关条文。需要供热的区域，宜优先利用液冷系统的热回收进行供热。</w:t>
      </w:r>
    </w:p>
    <w:p>
      <w:pPr>
        <w:spacing w:line="360" w:lineRule="auto"/>
        <w:ind w:firstLine="480" w:firstLineChars="200"/>
        <w:rPr>
          <w:sz w:val="24"/>
          <w:szCs w:val="24"/>
        </w:rPr>
      </w:pPr>
      <w:r>
        <w:rPr>
          <w:sz w:val="24"/>
          <w:szCs w:val="24"/>
        </w:rPr>
        <w:t>4.3.3 湿负荷计算</w:t>
      </w:r>
    </w:p>
    <w:p>
      <w:pPr>
        <w:widowControl/>
        <w:spacing w:line="360" w:lineRule="auto"/>
        <w:ind w:firstLine="480" w:firstLineChars="200"/>
        <w:jc w:val="left"/>
        <w:rPr>
          <w:sz w:val="24"/>
          <w:szCs w:val="24"/>
        </w:rPr>
      </w:pPr>
      <w:r>
        <w:rPr>
          <w:sz w:val="24"/>
          <w:szCs w:val="24"/>
        </w:rPr>
        <w:t>液冷数据中心空调区的夏季计算散湿量，应考虑散湿源的种类、同时使用系数及通风系数，并应根据如下各项确定：</w:t>
      </w:r>
    </w:p>
    <w:p>
      <w:pPr>
        <w:pStyle w:val="44"/>
        <w:widowControl/>
        <w:numPr>
          <w:ilvl w:val="2"/>
          <w:numId w:val="13"/>
        </w:numPr>
        <w:spacing w:line="360" w:lineRule="auto"/>
        <w:ind w:left="987" w:firstLineChars="0"/>
        <w:jc w:val="left"/>
        <w:rPr>
          <w:sz w:val="24"/>
          <w:szCs w:val="24"/>
        </w:rPr>
      </w:pPr>
      <w:r>
        <w:rPr>
          <w:sz w:val="24"/>
          <w:szCs w:val="24"/>
        </w:rPr>
        <w:t>人体散湿量；</w:t>
      </w:r>
    </w:p>
    <w:p>
      <w:pPr>
        <w:pStyle w:val="44"/>
        <w:widowControl/>
        <w:numPr>
          <w:ilvl w:val="2"/>
          <w:numId w:val="13"/>
        </w:numPr>
        <w:spacing w:line="360" w:lineRule="auto"/>
        <w:ind w:left="987" w:firstLineChars="0"/>
        <w:jc w:val="left"/>
        <w:rPr>
          <w:sz w:val="24"/>
          <w:szCs w:val="24"/>
        </w:rPr>
      </w:pPr>
      <w:r>
        <w:rPr>
          <w:sz w:val="24"/>
          <w:szCs w:val="24"/>
        </w:rPr>
        <w:t>新风及渗透空气带入的湿量；</w:t>
      </w:r>
    </w:p>
    <w:p>
      <w:pPr>
        <w:pStyle w:val="44"/>
        <w:widowControl/>
        <w:numPr>
          <w:ilvl w:val="2"/>
          <w:numId w:val="13"/>
        </w:numPr>
        <w:spacing w:line="360" w:lineRule="auto"/>
        <w:ind w:left="987" w:firstLineChars="0"/>
        <w:jc w:val="left"/>
        <w:rPr>
          <w:sz w:val="24"/>
          <w:szCs w:val="24"/>
        </w:rPr>
      </w:pPr>
      <w:r>
        <w:rPr>
          <w:sz w:val="24"/>
          <w:szCs w:val="24"/>
        </w:rPr>
        <w:t>围护结构散湿量；</w:t>
      </w:r>
    </w:p>
    <w:p>
      <w:pPr>
        <w:pStyle w:val="44"/>
        <w:widowControl/>
        <w:numPr>
          <w:ilvl w:val="2"/>
          <w:numId w:val="13"/>
        </w:numPr>
        <w:spacing w:line="360" w:lineRule="auto"/>
        <w:ind w:left="987" w:firstLineChars="0"/>
        <w:jc w:val="left"/>
        <w:rPr>
          <w:rFonts w:eastAsia="微软雅黑"/>
          <w:sz w:val="24"/>
          <w:szCs w:val="24"/>
        </w:rPr>
      </w:pPr>
      <w:r>
        <w:rPr>
          <w:sz w:val="24"/>
          <w:szCs w:val="24"/>
        </w:rPr>
        <w:t>其它散湿量。</w:t>
      </w:r>
    </w:p>
    <w:p>
      <w:pPr>
        <w:spacing w:before="312" w:beforeLines="100" w:line="360" w:lineRule="auto"/>
        <w:ind w:firstLine="561" w:firstLineChars="200"/>
        <w:jc w:val="center"/>
        <w:outlineLvl w:val="1"/>
        <w:rPr>
          <w:b/>
          <w:sz w:val="28"/>
          <w:szCs w:val="24"/>
        </w:rPr>
      </w:pPr>
      <w:bookmarkStart w:id="16" w:name="_Toc1417519424"/>
      <w:r>
        <w:rPr>
          <w:b/>
          <w:sz w:val="28"/>
          <w:szCs w:val="24"/>
        </w:rPr>
        <w:t>4.4 建筑与结构</w:t>
      </w:r>
      <w:bookmarkEnd w:id="16"/>
    </w:p>
    <w:p>
      <w:pPr>
        <w:widowControl/>
        <w:spacing w:line="360" w:lineRule="auto"/>
        <w:ind w:firstLine="480" w:firstLineChars="200"/>
        <w:jc w:val="left"/>
        <w:rPr>
          <w:sz w:val="24"/>
          <w:szCs w:val="24"/>
        </w:rPr>
      </w:pPr>
      <w:r>
        <w:rPr>
          <w:rFonts w:eastAsia="微软雅黑"/>
          <w:sz w:val="24"/>
          <w:szCs w:val="24"/>
        </w:rPr>
        <w:t xml:space="preserve">4.4.1 </w:t>
      </w:r>
      <w:r>
        <w:rPr>
          <w:sz w:val="24"/>
          <w:szCs w:val="24"/>
        </w:rPr>
        <w:t xml:space="preserve"> 数据中心采用液冷系统时，其建筑平面和空间设计应首先满足液冷机柜、液冷系统的工艺要求，并宜兼容风冷机柜、风冷系统的工艺。</w:t>
      </w:r>
    </w:p>
    <w:p>
      <w:pPr>
        <w:widowControl/>
        <w:spacing w:line="360" w:lineRule="auto"/>
        <w:ind w:firstLine="480" w:firstLineChars="200"/>
        <w:rPr>
          <w:sz w:val="24"/>
          <w:szCs w:val="24"/>
        </w:rPr>
      </w:pPr>
      <w:r>
        <w:rPr>
          <w:sz w:val="24"/>
          <w:szCs w:val="24"/>
        </w:rPr>
        <w:t>条文说明：一栋数据中心采用液冷系统，可以是一个机房区采用液冷、其他机房区维持风冷，也可以是全部机房区采用液冷；数据中心内的机房区可能前几年部署风冷机柜，后几年部署液冷机柜；因此数据中心的建筑和空间设计需要考虑兼容风冷与液冷，也需要考虑风冷平滑过渡到液冷。</w:t>
      </w:r>
    </w:p>
    <w:p>
      <w:pPr>
        <w:widowControl/>
        <w:spacing w:line="360" w:lineRule="auto"/>
        <w:ind w:firstLine="480" w:firstLineChars="200"/>
        <w:jc w:val="left"/>
        <w:rPr>
          <w:sz w:val="24"/>
          <w:szCs w:val="24"/>
        </w:rPr>
      </w:pPr>
      <w:r>
        <w:rPr>
          <w:sz w:val="24"/>
          <w:szCs w:val="24"/>
        </w:rPr>
        <w:t>4.4.2  数据中心采用液冷系统时，其结构设计除了应符合《数据中心设计规范》GB 50174的相关规定，还应根据液冷电子信息设备、液冷机柜的工艺布局、重量、搬运荷载、附属管路等参数核算楼板的整体荷载、局部荷载、吊挂荷载及物流通道的荷载。</w:t>
      </w:r>
    </w:p>
    <w:p>
      <w:pPr>
        <w:widowControl/>
        <w:spacing w:line="360" w:lineRule="auto"/>
        <w:rPr>
          <w:sz w:val="24"/>
          <w:szCs w:val="24"/>
        </w:rPr>
      </w:pPr>
      <w:r>
        <w:rPr>
          <w:kern w:val="0"/>
          <w:sz w:val="24"/>
          <w:szCs w:val="24"/>
          <w:lang w:bidi="ar"/>
        </w:rPr>
        <w:t xml:space="preserve">  </w:t>
      </w:r>
      <w:r>
        <w:rPr>
          <w:sz w:val="24"/>
          <w:szCs w:val="24"/>
        </w:rPr>
        <w:t xml:space="preserve">  条文说明：冷板式液冷数据中心的机柜是立式的，需要根据冷板及充注的冷却液、附属管路、电子信息设备、机柜与附属PDU（Power Distribution Unit）等的总重量确定结构设计荷载，初步设计可取经验值12kN/平方米；</w:t>
      </w:r>
      <w:r>
        <w:rPr>
          <w:rFonts w:hint="eastAsia"/>
          <w:sz w:val="24"/>
          <w:szCs w:val="24"/>
        </w:rPr>
        <w:t>当数据中心采用</w:t>
      </w:r>
      <w:r>
        <w:rPr>
          <w:sz w:val="24"/>
          <w:szCs w:val="24"/>
        </w:rPr>
        <w:t>浸没式液冷</w:t>
      </w:r>
      <w:r>
        <w:rPr>
          <w:rFonts w:hint="eastAsia"/>
          <w:sz w:val="24"/>
          <w:szCs w:val="24"/>
        </w:rPr>
        <w:t>时</w:t>
      </w:r>
      <w:r>
        <w:rPr>
          <w:sz w:val="24"/>
          <w:szCs w:val="24"/>
        </w:rPr>
        <w:t>，需要根据</w:t>
      </w:r>
      <w:r>
        <w:rPr>
          <w:rFonts w:hint="eastAsia"/>
          <w:sz w:val="24"/>
          <w:szCs w:val="24"/>
        </w:rPr>
        <w:t>液冷</w:t>
      </w:r>
      <w:r>
        <w:rPr>
          <w:sz w:val="24"/>
          <w:szCs w:val="24"/>
        </w:rPr>
        <w:t>机柜内的冷却液、附属管路、电子信息设计设备、机柜与附属PDU等的总重量确定结构设计荷载</w:t>
      </w:r>
      <w:r>
        <w:rPr>
          <w:rFonts w:hint="eastAsia"/>
          <w:sz w:val="24"/>
          <w:szCs w:val="24"/>
        </w:rPr>
        <w:t>；当</w:t>
      </w:r>
      <w:r>
        <w:rPr>
          <w:sz w:val="24"/>
          <w:szCs w:val="24"/>
        </w:rPr>
        <w:t>浸没式液冷机柜</w:t>
      </w:r>
      <w:r>
        <w:rPr>
          <w:rFonts w:hint="eastAsia"/>
          <w:sz w:val="24"/>
          <w:szCs w:val="24"/>
        </w:rPr>
        <w:t>是卧式时，初</w:t>
      </w:r>
      <w:r>
        <w:rPr>
          <w:sz w:val="24"/>
          <w:szCs w:val="24"/>
        </w:rPr>
        <w:t>步设计可</w:t>
      </w:r>
      <w:r>
        <w:rPr>
          <w:rFonts w:hint="eastAsia"/>
          <w:sz w:val="24"/>
          <w:szCs w:val="24"/>
        </w:rPr>
        <w:t>暂估</w:t>
      </w:r>
      <w:r>
        <w:rPr>
          <w:sz w:val="24"/>
          <w:szCs w:val="24"/>
        </w:rPr>
        <w:t>结构设计荷载</w:t>
      </w:r>
      <w:r>
        <w:rPr>
          <w:rFonts w:hint="eastAsia"/>
          <w:sz w:val="24"/>
          <w:szCs w:val="24"/>
        </w:rPr>
        <w:t>为</w:t>
      </w:r>
      <w:r>
        <w:rPr>
          <w:sz w:val="24"/>
          <w:szCs w:val="24"/>
        </w:rPr>
        <w:t>12kN/</w:t>
      </w:r>
      <w:r>
        <w:rPr>
          <w:rFonts w:hint="eastAsia"/>
          <w:sz w:val="24"/>
          <w:szCs w:val="24"/>
        </w:rPr>
        <w:t>m</w:t>
      </w:r>
      <w:r>
        <w:rPr>
          <w:sz w:val="24"/>
          <w:szCs w:val="24"/>
          <w:vertAlign w:val="superscript"/>
        </w:rPr>
        <w:t>2</w:t>
      </w:r>
      <w:r>
        <w:rPr>
          <w:rFonts w:hint="eastAsia"/>
          <w:sz w:val="24"/>
          <w:szCs w:val="24"/>
        </w:rPr>
        <w:t>，当</w:t>
      </w:r>
      <w:r>
        <w:rPr>
          <w:sz w:val="24"/>
          <w:szCs w:val="24"/>
        </w:rPr>
        <w:t>浸没式液冷机柜</w:t>
      </w:r>
      <w:r>
        <w:rPr>
          <w:rFonts w:hint="eastAsia"/>
          <w:sz w:val="24"/>
          <w:szCs w:val="24"/>
        </w:rPr>
        <w:t>是立式时，初</w:t>
      </w:r>
      <w:r>
        <w:rPr>
          <w:sz w:val="24"/>
          <w:szCs w:val="24"/>
        </w:rPr>
        <w:t>步设计可</w:t>
      </w:r>
      <w:r>
        <w:rPr>
          <w:rFonts w:hint="eastAsia"/>
          <w:sz w:val="24"/>
          <w:szCs w:val="24"/>
        </w:rPr>
        <w:t>暂估</w:t>
      </w:r>
      <w:r>
        <w:rPr>
          <w:sz w:val="24"/>
          <w:szCs w:val="24"/>
        </w:rPr>
        <w:t>结构设计荷载</w:t>
      </w:r>
      <w:r>
        <w:rPr>
          <w:rFonts w:hint="eastAsia"/>
          <w:sz w:val="24"/>
          <w:szCs w:val="24"/>
        </w:rPr>
        <w:t>为</w:t>
      </w:r>
      <w:r>
        <w:rPr>
          <w:sz w:val="24"/>
          <w:szCs w:val="24"/>
        </w:rPr>
        <w:t>20kN/m</w:t>
      </w:r>
      <w:r>
        <w:rPr>
          <w:sz w:val="24"/>
          <w:szCs w:val="24"/>
          <w:vertAlign w:val="superscript"/>
        </w:rPr>
        <w:t>2</w:t>
      </w:r>
      <w:r>
        <w:rPr>
          <w:sz w:val="24"/>
          <w:szCs w:val="24"/>
        </w:rPr>
        <w:t>。</w:t>
      </w:r>
    </w:p>
    <w:p>
      <w:pPr>
        <w:widowControl/>
        <w:spacing w:line="360" w:lineRule="auto"/>
        <w:ind w:firstLine="480" w:firstLineChars="200"/>
        <w:rPr>
          <w:kern w:val="0"/>
          <w:sz w:val="24"/>
          <w:szCs w:val="24"/>
          <w:lang w:bidi="ar"/>
        </w:rPr>
      </w:pPr>
      <w:r>
        <w:rPr>
          <w:kern w:val="0"/>
          <w:sz w:val="24"/>
          <w:szCs w:val="24"/>
          <w:lang w:bidi="ar"/>
        </w:rPr>
        <w:t>4.4.3 民用建筑或工业建筑改建为数据中心并采用液冷系统时，应按照《建筑抗震鉴定标准》GB 50023的规定进行抗震鉴定与结构评估，经抗震鉴定需要进行加固时应符合 《混凝土结构加固设计规范》GB 50367、《建筑抗震加固技术规程》JGJ116和《混凝土结构后锚固技术规程》JGJ145的相关条文。</w:t>
      </w:r>
    </w:p>
    <w:p>
      <w:pPr>
        <w:widowControl/>
        <w:spacing w:line="360" w:lineRule="auto"/>
        <w:rPr>
          <w:kern w:val="0"/>
          <w:sz w:val="24"/>
          <w:szCs w:val="24"/>
          <w:lang w:bidi="ar"/>
        </w:rPr>
      </w:pPr>
      <w:r>
        <w:rPr>
          <w:kern w:val="0"/>
          <w:sz w:val="24"/>
          <w:szCs w:val="24"/>
          <w:lang w:bidi="ar"/>
        </w:rPr>
        <w:t xml:space="preserve">    </w:t>
      </w:r>
      <w:r>
        <w:rPr>
          <w:sz w:val="24"/>
          <w:szCs w:val="24"/>
        </w:rPr>
        <w:t>条文说明：数据中心无论采用风冷系统还是液冷系统，其首层建筑完成面均宜高出当地百年洪水的水位线1.0m以上， 并应高出室外地坪至少0.6m。</w:t>
      </w:r>
    </w:p>
    <w:p>
      <w:pPr>
        <w:widowControl/>
        <w:spacing w:line="360" w:lineRule="auto"/>
        <w:ind w:firstLine="480" w:firstLineChars="200"/>
        <w:rPr>
          <w:kern w:val="0"/>
          <w:sz w:val="24"/>
          <w:szCs w:val="24"/>
          <w:lang w:bidi="ar"/>
        </w:rPr>
      </w:pPr>
      <w:r>
        <w:rPr>
          <w:kern w:val="0"/>
          <w:sz w:val="24"/>
          <w:szCs w:val="24"/>
          <w:lang w:bidi="ar"/>
        </w:rPr>
        <w:t>4.4.5数据中心采用液冷系统时，液冷机柜区的防水等级应为《</w:t>
      </w:r>
      <w:r>
        <w:fldChar w:fldCharType="begin"/>
      </w:r>
      <w:r>
        <w:instrText xml:space="preserve"> HYPERLINK "https://www.baidu.com/link?url=AG2ac0k6PPO18J6eoVjf4mwNCmbJzm_8W-cEG25ezBzoyFKtbVBDW---0XZ1O-2IyxMAQ3EGQDRd662b6CEQcq&amp;wd=&amp;eqid=f5bf8bab003ab91c0000000264f2d0b7" \t "_blank" </w:instrText>
      </w:r>
      <w:r>
        <w:fldChar w:fldCharType="separate"/>
      </w:r>
      <w:r>
        <w:rPr>
          <w:kern w:val="0"/>
          <w:sz w:val="24"/>
          <w:szCs w:val="24"/>
          <w:lang w:bidi="ar"/>
        </w:rPr>
        <w:t>建筑与市政工程防水通用规范</w:t>
      </w:r>
      <w:r>
        <w:rPr>
          <w:kern w:val="0"/>
          <w:sz w:val="24"/>
          <w:szCs w:val="24"/>
          <w:lang w:bidi="ar"/>
        </w:rPr>
        <w:fldChar w:fldCharType="end"/>
      </w:r>
      <w:r>
        <w:rPr>
          <w:kern w:val="0"/>
          <w:sz w:val="24"/>
          <w:szCs w:val="24"/>
          <w:lang w:bidi="ar"/>
        </w:rPr>
        <w:t>》GB55030的I级。</w:t>
      </w:r>
    </w:p>
    <w:p>
      <w:pPr>
        <w:widowControl/>
        <w:spacing w:line="360" w:lineRule="auto"/>
        <w:rPr>
          <w:kern w:val="0"/>
          <w:sz w:val="24"/>
          <w:szCs w:val="24"/>
          <w:lang w:bidi="ar"/>
        </w:rPr>
      </w:pPr>
      <w:r>
        <w:rPr>
          <w:kern w:val="0"/>
          <w:sz w:val="24"/>
          <w:szCs w:val="24"/>
          <w:lang w:bidi="ar"/>
        </w:rPr>
        <w:t xml:space="preserve">    4.4.6数据中心采用液冷系统时，液冷机柜区的地面材料应平整，高度偏差不宜超过±3mm/平方米；液冷机柜区的地面材料宜耐磨。</w:t>
      </w:r>
    </w:p>
    <w:p>
      <w:pPr>
        <w:widowControl/>
        <w:spacing w:line="360" w:lineRule="auto"/>
        <w:rPr>
          <w:kern w:val="0"/>
          <w:sz w:val="24"/>
          <w:szCs w:val="24"/>
          <w:lang w:bidi="ar"/>
        </w:rPr>
      </w:pPr>
      <w:r>
        <w:rPr>
          <w:kern w:val="0"/>
          <w:sz w:val="24"/>
          <w:szCs w:val="24"/>
          <w:lang w:bidi="ar"/>
        </w:rPr>
        <w:t xml:space="preserve"> </w:t>
      </w:r>
      <w:r>
        <w:rPr>
          <w:sz w:val="24"/>
          <w:szCs w:val="24"/>
        </w:rPr>
        <w:t xml:space="preserve">   条文说明：液冷机柜区采用架空地板时，其地板下的地面和四壁材料宜采用不起尘、不易积灰、易于清洁的材料。</w:t>
      </w:r>
    </w:p>
    <w:p>
      <w:pPr>
        <w:widowControl/>
        <w:spacing w:line="360" w:lineRule="auto"/>
        <w:rPr>
          <w:kern w:val="0"/>
          <w:sz w:val="24"/>
          <w:szCs w:val="24"/>
          <w:lang w:bidi="ar"/>
        </w:rPr>
      </w:pPr>
      <w:r>
        <w:rPr>
          <w:kern w:val="0"/>
          <w:sz w:val="24"/>
          <w:szCs w:val="24"/>
          <w:lang w:bidi="ar"/>
        </w:rPr>
        <w:t xml:space="preserve">    4.4.7数据中心采用冷板式液冷系统时，液冷机柜区的楼板或地面应采取防潮、防水漫溢、防液体渗漏的技术措施，并宜设置专用回收与排液措施。</w:t>
      </w:r>
    </w:p>
    <w:p>
      <w:pPr>
        <w:widowControl/>
        <w:spacing w:line="360" w:lineRule="auto"/>
        <w:rPr>
          <w:kern w:val="0"/>
          <w:sz w:val="24"/>
          <w:szCs w:val="24"/>
          <w:lang w:bidi="ar"/>
        </w:rPr>
      </w:pPr>
      <w:r>
        <w:rPr>
          <w:kern w:val="0"/>
          <w:sz w:val="24"/>
          <w:szCs w:val="24"/>
          <w:lang w:bidi="ar"/>
        </w:rPr>
        <w:t xml:space="preserve">    </w:t>
      </w:r>
      <w:r>
        <w:rPr>
          <w:sz w:val="24"/>
          <w:szCs w:val="24"/>
        </w:rPr>
        <w:t>条文说明：冷板式液冷的冷却液可能是乙二醇溶液、丙二醇溶液、添加了化学药品的纯水，这些冷却液不能与常规排水一起排放，需要专用回收与排液设施。</w:t>
      </w:r>
    </w:p>
    <w:p>
      <w:pPr>
        <w:widowControl/>
        <w:spacing w:line="360" w:lineRule="auto"/>
        <w:rPr>
          <w:kern w:val="0"/>
          <w:sz w:val="24"/>
          <w:szCs w:val="24"/>
          <w:lang w:bidi="ar"/>
        </w:rPr>
      </w:pPr>
      <w:r>
        <w:rPr>
          <w:kern w:val="0"/>
          <w:sz w:val="24"/>
          <w:szCs w:val="24"/>
          <w:lang w:bidi="ar"/>
        </w:rPr>
        <w:t xml:space="preserve">    4.4.8数据中心采用浸没式液冷系统时，液冷机柜区的楼板或地面应采取防潮、防水漫溢、防液体渗漏的技术措施，并宜设置专用回收与排液措施。</w:t>
      </w:r>
    </w:p>
    <w:p>
      <w:pPr>
        <w:widowControl/>
        <w:spacing w:line="360" w:lineRule="auto"/>
        <w:ind w:firstLine="480" w:firstLineChars="200"/>
        <w:rPr>
          <w:sz w:val="24"/>
          <w:szCs w:val="24"/>
        </w:rPr>
      </w:pPr>
      <w:r>
        <w:rPr>
          <w:sz w:val="24"/>
          <w:szCs w:val="24"/>
        </w:rPr>
        <w:t>条文说明：浸式液冷的冷却液可能是氟化液、油类等化学品，这些冷却液不能与常规排水一起排放，需要专用回收与排液设施。</w:t>
      </w:r>
    </w:p>
    <w:p>
      <w:pPr>
        <w:widowControl/>
        <w:spacing w:line="360" w:lineRule="auto"/>
        <w:rPr>
          <w:kern w:val="0"/>
          <w:sz w:val="24"/>
          <w:szCs w:val="24"/>
          <w:lang w:bidi="ar"/>
        </w:rPr>
      </w:pPr>
      <w:r>
        <w:rPr>
          <w:kern w:val="0"/>
          <w:sz w:val="24"/>
          <w:szCs w:val="24"/>
          <w:lang w:bidi="ar"/>
        </w:rPr>
        <w:t xml:space="preserve">    4.4.9 液冷机柜区的物流通道需要做坡道时，其倾斜角应小于等于10度。</w:t>
      </w:r>
    </w:p>
    <w:p>
      <w:pPr>
        <w:widowControl/>
        <w:spacing w:line="360" w:lineRule="auto"/>
        <w:ind w:firstLine="480" w:firstLineChars="200"/>
        <w:rPr>
          <w:sz w:val="24"/>
          <w:szCs w:val="24"/>
        </w:rPr>
      </w:pPr>
      <w:r>
        <w:rPr>
          <w:sz w:val="24"/>
          <w:szCs w:val="24"/>
        </w:rPr>
        <w:t>条文说明：物流通道的电梯轿厢与门洞的宽度与高度需考虑移动机械臂的通行；数据中心内物流通道的尺寸无法满足液冷机柜、及其必需的机械工具与材料的通行要求时，需</w:t>
      </w:r>
      <w:r>
        <w:rPr>
          <w:rFonts w:hint="eastAsia"/>
          <w:sz w:val="24"/>
          <w:szCs w:val="24"/>
        </w:rPr>
        <w:t>要</w:t>
      </w:r>
      <w:r>
        <w:rPr>
          <w:sz w:val="24"/>
          <w:szCs w:val="24"/>
        </w:rPr>
        <w:t>设置设备搬入口或吊装口。</w:t>
      </w:r>
    </w:p>
    <w:p>
      <w:pPr>
        <w:widowControl/>
        <w:spacing w:line="360" w:lineRule="auto"/>
        <w:rPr>
          <w:kern w:val="0"/>
          <w:sz w:val="24"/>
          <w:szCs w:val="24"/>
          <w:lang w:bidi="ar"/>
        </w:rPr>
      </w:pPr>
      <w:r>
        <w:rPr>
          <w:kern w:val="0"/>
          <w:sz w:val="24"/>
          <w:szCs w:val="24"/>
          <w:lang w:bidi="ar"/>
        </w:rPr>
        <w:t xml:space="preserve">    4.4.10 液冷机柜区设置管沟与冷却液收集装置时，不应阻碍人员、物料、移动机械臂的通行。</w:t>
      </w:r>
    </w:p>
    <w:p>
      <w:pPr>
        <w:widowControl/>
        <w:spacing w:line="360" w:lineRule="auto"/>
        <w:ind w:firstLine="480" w:firstLineChars="200"/>
        <w:rPr>
          <w:kern w:val="0"/>
          <w:sz w:val="24"/>
          <w:szCs w:val="24"/>
          <w:lang w:bidi="ar"/>
        </w:rPr>
      </w:pPr>
      <w:r>
        <w:rPr>
          <w:kern w:val="0"/>
          <w:sz w:val="24"/>
          <w:szCs w:val="24"/>
          <w:lang w:bidi="ar"/>
        </w:rPr>
        <w:t>4.4.11 液冷机柜区不宜设置外窗</w:t>
      </w:r>
      <w:r>
        <w:rPr>
          <w:rFonts w:hint="eastAsia"/>
          <w:kern w:val="0"/>
          <w:sz w:val="24"/>
          <w:szCs w:val="24"/>
          <w:lang w:bidi="ar"/>
        </w:rPr>
        <w:t>。</w:t>
      </w:r>
      <w:r>
        <w:rPr>
          <w:kern w:val="0"/>
          <w:sz w:val="24"/>
          <w:szCs w:val="24"/>
          <w:lang w:bidi="ar"/>
        </w:rPr>
        <w:t>设有外窗时，应有措施避免阳光直射。</w:t>
      </w:r>
    </w:p>
    <w:p>
      <w:pPr>
        <w:widowControl/>
        <w:spacing w:line="360" w:lineRule="auto"/>
        <w:ind w:firstLine="480" w:firstLineChars="200"/>
        <w:rPr>
          <w:sz w:val="24"/>
          <w:szCs w:val="24"/>
        </w:rPr>
      </w:pPr>
      <w:r>
        <w:rPr>
          <w:sz w:val="24"/>
          <w:szCs w:val="24"/>
        </w:rPr>
        <w:t>条文说明：外窗会增加辐射热负荷，从而增加冷却系统的负荷，增加能耗。从安全、节能</w:t>
      </w:r>
      <w:r>
        <w:rPr>
          <w:rFonts w:hint="eastAsia"/>
          <w:sz w:val="24"/>
          <w:szCs w:val="24"/>
        </w:rPr>
        <w:t>和</w:t>
      </w:r>
      <w:r>
        <w:rPr>
          <w:sz w:val="24"/>
          <w:szCs w:val="24"/>
        </w:rPr>
        <w:t>洁净的角度出发，电子信息设备区不宜设置外窗；总控中心、测试间等有人工作区域可以设置外窗，但应保证外窗有安全措施，有良好的气密性。</w:t>
      </w:r>
    </w:p>
    <w:p>
      <w:pPr>
        <w:spacing w:before="312" w:beforeLines="100" w:line="360" w:lineRule="auto"/>
        <w:ind w:firstLine="561" w:firstLineChars="200"/>
        <w:jc w:val="center"/>
        <w:outlineLvl w:val="1"/>
        <w:rPr>
          <w:b/>
          <w:sz w:val="28"/>
          <w:szCs w:val="24"/>
        </w:rPr>
      </w:pPr>
      <w:bookmarkStart w:id="17" w:name="_Toc65379350"/>
      <w:r>
        <w:rPr>
          <w:b/>
          <w:sz w:val="28"/>
          <w:szCs w:val="24"/>
        </w:rPr>
        <w:t>4.5 冷却设备</w:t>
      </w:r>
      <w:bookmarkEnd w:id="17"/>
    </w:p>
    <w:p>
      <w:pPr>
        <w:widowControl/>
        <w:numPr>
          <w:ilvl w:val="2"/>
          <w:numId w:val="0"/>
        </w:numPr>
        <w:spacing w:line="360" w:lineRule="auto"/>
        <w:jc w:val="left"/>
        <w:rPr>
          <w:kern w:val="0"/>
          <w:lang w:bidi="ar"/>
        </w:rPr>
      </w:pPr>
      <w:r>
        <w:rPr>
          <w:rFonts w:eastAsia="微软雅黑"/>
          <w:kern w:val="0"/>
          <w:lang w:bidi="ar"/>
        </w:rPr>
        <w:t xml:space="preserve">   </w:t>
      </w:r>
      <w:r>
        <w:rPr>
          <w:kern w:val="0"/>
          <w:sz w:val="24"/>
          <w:szCs w:val="24"/>
          <w:lang w:bidi="ar"/>
        </w:rPr>
        <w:t xml:space="preserve"> 4.5.1 液冷系统的室外散热设备选型宜综合考量项目所在地的气象条件、水资源情况、PUE及WUE的政策要求。</w:t>
      </w:r>
    </w:p>
    <w:p>
      <w:pPr>
        <w:widowControl/>
        <w:spacing w:line="360" w:lineRule="auto"/>
        <w:ind w:firstLine="480" w:firstLineChars="200"/>
        <w:rPr>
          <w:sz w:val="24"/>
          <w:szCs w:val="24"/>
        </w:rPr>
      </w:pPr>
      <w:r>
        <w:rPr>
          <w:sz w:val="24"/>
          <w:szCs w:val="24"/>
        </w:rPr>
        <w:t>条文说明：室外散热设备的选型与项目所在地的水资源情况、WUE的控标要求息息相关，水资源富足区域宜选择开式冷却塔或闭式冷却塔，当选择开式冷却塔时，需额外加配水处理装置，水资源匮乏区域宜选择干冷器。</w:t>
      </w:r>
    </w:p>
    <w:p>
      <w:pPr>
        <w:widowControl/>
        <w:numPr>
          <w:ilvl w:val="2"/>
          <w:numId w:val="0"/>
        </w:numPr>
        <w:spacing w:line="360" w:lineRule="auto"/>
        <w:jc w:val="left"/>
        <w:rPr>
          <w:kern w:val="0"/>
          <w:lang w:bidi="ar"/>
        </w:rPr>
      </w:pPr>
      <w:r>
        <w:rPr>
          <w:kern w:val="0"/>
          <w:lang w:bidi="ar"/>
        </w:rPr>
        <w:t xml:space="preserve">    </w:t>
      </w:r>
      <w:r>
        <w:rPr>
          <w:kern w:val="0"/>
          <w:sz w:val="24"/>
          <w:szCs w:val="24"/>
          <w:lang w:bidi="ar"/>
        </w:rPr>
        <w:t>4.5.2液冷系统的室外散热设备选型宜计及换热衰减，其单机的冷量宜为设计冷量的1.05～1.1倍。</w:t>
      </w:r>
    </w:p>
    <w:p>
      <w:pPr>
        <w:widowControl/>
        <w:numPr>
          <w:ilvl w:val="2"/>
          <w:numId w:val="0"/>
        </w:numPr>
        <w:spacing w:line="360" w:lineRule="auto"/>
        <w:jc w:val="left"/>
        <w:rPr>
          <w:kern w:val="0"/>
          <w:lang w:bidi="ar"/>
        </w:rPr>
      </w:pPr>
      <w:r>
        <w:rPr>
          <w:kern w:val="0"/>
          <w:lang w:bidi="ar"/>
        </w:rPr>
        <w:t xml:space="preserve">    </w:t>
      </w:r>
      <w:r>
        <w:rPr>
          <w:kern w:val="0"/>
          <w:sz w:val="24"/>
          <w:szCs w:val="24"/>
          <w:lang w:bidi="ar"/>
        </w:rPr>
        <w:t>4.5.3冷板式液冷系统应根据电子信息设备的热设计、可靠性要求确定液冷和风冷的相对比例；风冷系统的设备选型应以风冷器件的设计进风温度为依据；液冷</w:t>
      </w:r>
      <w:r>
        <w:rPr>
          <w:rFonts w:hint="eastAsia"/>
          <w:kern w:val="0"/>
          <w:sz w:val="24"/>
          <w:szCs w:val="24"/>
          <w:lang w:bidi="ar"/>
        </w:rPr>
        <w:t>相关</w:t>
      </w:r>
      <w:r>
        <w:rPr>
          <w:kern w:val="0"/>
          <w:sz w:val="24"/>
          <w:szCs w:val="24"/>
          <w:lang w:bidi="ar"/>
        </w:rPr>
        <w:t>设备</w:t>
      </w:r>
      <w:r>
        <w:rPr>
          <w:rFonts w:hint="eastAsia"/>
          <w:kern w:val="0"/>
          <w:sz w:val="24"/>
          <w:szCs w:val="24"/>
          <w:lang w:bidi="ar"/>
        </w:rPr>
        <w:t>（例如冷板、CDU、Manifold等）的</w:t>
      </w:r>
      <w:r>
        <w:rPr>
          <w:kern w:val="0"/>
          <w:sz w:val="24"/>
          <w:szCs w:val="24"/>
          <w:lang w:bidi="ar"/>
        </w:rPr>
        <w:t>选型应以液冷器件的热设计为依据。</w:t>
      </w:r>
    </w:p>
    <w:p>
      <w:pPr>
        <w:widowControl/>
        <w:spacing w:line="360" w:lineRule="auto"/>
        <w:rPr>
          <w:kern w:val="0"/>
          <w:sz w:val="24"/>
          <w:szCs w:val="24"/>
          <w:lang w:bidi="ar"/>
        </w:rPr>
      </w:pPr>
      <w:r>
        <w:rPr>
          <w:kern w:val="0"/>
          <w:sz w:val="24"/>
          <w:szCs w:val="24"/>
          <w:lang w:bidi="ar"/>
        </w:rPr>
        <w:t xml:space="preserve">    4.5.4 液冷系统用CDU的冗余设计应以液冷机柜承载业务的可靠性为依据。</w:t>
      </w:r>
    </w:p>
    <w:p>
      <w:pPr>
        <w:widowControl/>
        <w:spacing w:line="360" w:lineRule="auto"/>
        <w:ind w:firstLine="480" w:firstLineChars="200"/>
        <w:jc w:val="left"/>
        <w:rPr>
          <w:kern w:val="0"/>
          <w:sz w:val="24"/>
          <w:szCs w:val="24"/>
          <w:lang w:bidi="ar"/>
        </w:rPr>
      </w:pPr>
      <w:r>
        <w:rPr>
          <w:kern w:val="0"/>
          <w:sz w:val="24"/>
          <w:szCs w:val="24"/>
          <w:lang w:bidi="ar"/>
        </w:rPr>
        <w:t>4.5.5 液冷系统用CDU内换热器的对数换热温差宜根据技术经济分析确定，宜选为2~8℃。</w:t>
      </w:r>
    </w:p>
    <w:p>
      <w:pPr>
        <w:widowControl/>
        <w:spacing w:line="360" w:lineRule="auto"/>
        <w:ind w:firstLine="480" w:firstLineChars="200"/>
        <w:jc w:val="left"/>
        <w:rPr>
          <w:kern w:val="0"/>
          <w:sz w:val="24"/>
          <w:szCs w:val="24"/>
          <w:lang w:bidi="ar"/>
        </w:rPr>
      </w:pPr>
      <w:r>
        <w:rPr>
          <w:kern w:val="0"/>
          <w:sz w:val="24"/>
          <w:szCs w:val="24"/>
          <w:lang w:bidi="ar"/>
        </w:rPr>
        <w:t>4.5.6 液冷系统用CDU的设计冷量宜考虑生命周期内的换热衰减，设计冷量宜为计算冷负荷的105～110%。</w:t>
      </w:r>
    </w:p>
    <w:p>
      <w:pPr>
        <w:widowControl/>
        <w:spacing w:line="360" w:lineRule="auto"/>
        <w:ind w:firstLine="480" w:firstLineChars="200"/>
        <w:rPr>
          <w:sz w:val="24"/>
          <w:szCs w:val="24"/>
        </w:rPr>
      </w:pPr>
      <w:r>
        <w:rPr>
          <w:sz w:val="24"/>
          <w:szCs w:val="24"/>
        </w:rPr>
        <w:t>条文说明：CDU的生命周期通常为5～10年，维护良好时生命周期可达10年以上。</w:t>
      </w:r>
    </w:p>
    <w:p>
      <w:pPr>
        <w:widowControl/>
        <w:spacing w:line="360" w:lineRule="auto"/>
        <w:jc w:val="left"/>
        <w:rPr>
          <w:kern w:val="0"/>
          <w:sz w:val="24"/>
          <w:szCs w:val="24"/>
          <w:lang w:bidi="ar"/>
        </w:rPr>
      </w:pPr>
      <w:r>
        <w:rPr>
          <w:kern w:val="0"/>
          <w:sz w:val="24"/>
          <w:szCs w:val="24"/>
          <w:lang w:bidi="ar"/>
        </w:rPr>
        <w:t xml:space="preserve">    4.5.7 液冷系统用CDU的冷源侧（一次侧）的流量宜满足0～100%可调，用冷侧（二次侧）的流量调节宜通过调节冷却液循环泵的转速来实现。</w:t>
      </w:r>
    </w:p>
    <w:p>
      <w:pPr>
        <w:widowControl/>
        <w:spacing w:line="360" w:lineRule="auto"/>
        <w:ind w:firstLine="480" w:firstLineChars="200"/>
        <w:rPr>
          <w:kern w:val="0"/>
          <w:sz w:val="24"/>
          <w:szCs w:val="24"/>
          <w:lang w:bidi="ar"/>
        </w:rPr>
      </w:pPr>
      <w:r>
        <w:rPr>
          <w:kern w:val="0"/>
          <w:sz w:val="24"/>
          <w:szCs w:val="24"/>
          <w:lang w:bidi="ar"/>
        </w:rPr>
        <w:t>4.5.8 冷板式液冷系统用CDU的布置宜根据电子信息设备的要求选用分布式或集中式，分布式CDU宜放置于液冷机柜的底部，集中式CDU宜放置于液冷机柜列的端部或置于独立的设备间。</w:t>
      </w:r>
    </w:p>
    <w:p>
      <w:pPr>
        <w:widowControl/>
        <w:spacing w:line="360" w:lineRule="auto"/>
        <w:ind w:firstLine="480" w:firstLineChars="200"/>
        <w:rPr>
          <w:kern w:val="0"/>
          <w:sz w:val="24"/>
          <w:szCs w:val="24"/>
          <w:lang w:bidi="ar"/>
        </w:rPr>
      </w:pPr>
      <w:r>
        <w:rPr>
          <w:kern w:val="0"/>
          <w:sz w:val="24"/>
          <w:szCs w:val="24"/>
          <w:lang w:bidi="ar"/>
        </w:rPr>
        <w:t>4.5.9 浸没式液冷系统用CDU的布置宜根据电子信息设备的要求选用分布式或集中式，分布式CDU宜放置于液冷机柜的两侧，集中式CDU宜放置于液冷机柜列的端部或置于独立的设备间。</w:t>
      </w:r>
    </w:p>
    <w:p>
      <w:pPr>
        <w:widowControl/>
        <w:spacing w:line="360" w:lineRule="auto"/>
        <w:jc w:val="left"/>
        <w:rPr>
          <w:kern w:val="0"/>
          <w:sz w:val="24"/>
          <w:szCs w:val="24"/>
          <w:lang w:bidi="ar"/>
        </w:rPr>
      </w:pPr>
      <w:r>
        <w:rPr>
          <w:kern w:val="0"/>
          <w:sz w:val="24"/>
          <w:szCs w:val="24"/>
          <w:lang w:bidi="ar"/>
        </w:rPr>
        <w:t xml:space="preserve">    4.5.10 液冷系统用CDU宜包含换热装置、循环装置、过滤装置、阀门、管道及附件等，CDU内与冷却液、冷却介质</w:t>
      </w:r>
      <w:r>
        <w:rPr>
          <w:rFonts w:hint="eastAsia"/>
          <w:kern w:val="0"/>
          <w:sz w:val="24"/>
          <w:szCs w:val="24"/>
          <w:lang w:bidi="ar"/>
        </w:rPr>
        <w:t>接触</w:t>
      </w:r>
      <w:r>
        <w:rPr>
          <w:kern w:val="0"/>
          <w:sz w:val="24"/>
          <w:szCs w:val="24"/>
          <w:lang w:bidi="ar"/>
        </w:rPr>
        <w:t>的部件应选用与冷却液、冷却介质兼容的材料。</w:t>
      </w:r>
    </w:p>
    <w:p>
      <w:pPr>
        <w:widowControl/>
        <w:spacing w:line="360" w:lineRule="auto"/>
        <w:ind w:firstLine="480" w:firstLineChars="200"/>
        <w:rPr>
          <w:sz w:val="24"/>
          <w:szCs w:val="24"/>
        </w:rPr>
      </w:pPr>
      <w:r>
        <w:rPr>
          <w:sz w:val="24"/>
          <w:szCs w:val="24"/>
        </w:rPr>
        <w:t>条文说明：冷板式液冷的用冷侧（二次侧）采用的冷却液可能是添加了化学药剂的去离子水、乙二醇水溶液、丙二醇水溶液、氟化液等，浸没式液冷的用冷侧（二次侧）可能是氟化液、合成油、硅油、矿物油等；冷源侧（一次侧）采用的冷却介质可能是氟化液、添加了化学药剂的冷却水、冷冻水、乙二醇溶液、丙二醇溶液等；CDU内用冷侧（二次侧）与冷却液接触的部件材料及冷源侧（一次侧）与冷却介质接触的部件材料均需关注材料的兼容性。</w:t>
      </w:r>
    </w:p>
    <w:p>
      <w:pPr>
        <w:widowControl/>
        <w:spacing w:line="360" w:lineRule="auto"/>
        <w:jc w:val="left"/>
        <w:rPr>
          <w:kern w:val="0"/>
          <w:sz w:val="24"/>
          <w:szCs w:val="24"/>
          <w:lang w:bidi="ar"/>
        </w:rPr>
      </w:pPr>
      <w:r>
        <w:rPr>
          <w:kern w:val="0"/>
          <w:sz w:val="24"/>
          <w:szCs w:val="24"/>
          <w:lang w:bidi="ar"/>
        </w:rPr>
        <w:t xml:space="preserve">    4.5.11液冷系统用CDU内的换热器宜采用不锈钢钎焊式。</w:t>
      </w:r>
    </w:p>
    <w:p>
      <w:pPr>
        <w:widowControl/>
        <w:spacing w:line="360" w:lineRule="auto"/>
        <w:ind w:firstLine="480" w:firstLineChars="200"/>
        <w:rPr>
          <w:sz w:val="24"/>
          <w:szCs w:val="24"/>
        </w:rPr>
      </w:pPr>
      <w:r>
        <w:rPr>
          <w:sz w:val="24"/>
          <w:szCs w:val="24"/>
        </w:rPr>
        <w:t xml:space="preserve"> 条文说明：钎焊式板换热的板片材料是不锈钢，焊接材料是铜，换热器内一次侧的冷却介质、二次侧的冷却液如果需要添加缓蚀剂与杀菌剂等化学药剂，需选择与不锈钢、铜兼容的化学药剂。</w:t>
      </w:r>
    </w:p>
    <w:p>
      <w:pPr>
        <w:widowControl/>
        <w:spacing w:line="360" w:lineRule="auto"/>
        <w:jc w:val="left"/>
        <w:rPr>
          <w:kern w:val="0"/>
          <w:sz w:val="24"/>
          <w:szCs w:val="24"/>
          <w:lang w:bidi="ar"/>
        </w:rPr>
      </w:pPr>
      <w:r>
        <w:rPr>
          <w:kern w:val="0"/>
          <w:sz w:val="24"/>
          <w:szCs w:val="24"/>
          <w:lang w:bidi="ar"/>
        </w:rPr>
        <w:t xml:space="preserve">    4.5.12液冷系统用CDU宜支持打开盖板可维护。</w:t>
      </w:r>
    </w:p>
    <w:p>
      <w:pPr>
        <w:widowControl/>
        <w:spacing w:line="360" w:lineRule="auto"/>
        <w:ind w:firstLine="480" w:firstLineChars="200"/>
        <w:rPr>
          <w:kern w:val="0"/>
          <w:sz w:val="24"/>
          <w:szCs w:val="24"/>
          <w:lang w:bidi="ar"/>
        </w:rPr>
      </w:pPr>
      <w:r>
        <w:rPr>
          <w:kern w:val="0"/>
          <w:sz w:val="24"/>
          <w:szCs w:val="24"/>
          <w:lang w:bidi="ar"/>
        </w:rPr>
        <w:t>4.5.13 冷板式液冷系统用CDU应在系统最低点设置排液装置，在系统最高点设置自动排气装置，自动排气装置宜设置手动隔离阀以利于维护。</w:t>
      </w:r>
    </w:p>
    <w:p>
      <w:pPr>
        <w:widowControl/>
        <w:spacing w:line="360" w:lineRule="auto"/>
        <w:rPr>
          <w:kern w:val="0"/>
          <w:sz w:val="24"/>
          <w:szCs w:val="24"/>
          <w:lang w:bidi="ar"/>
        </w:rPr>
      </w:pPr>
      <w:r>
        <w:rPr>
          <w:kern w:val="0"/>
          <w:sz w:val="24"/>
          <w:szCs w:val="24"/>
          <w:lang w:bidi="ar"/>
        </w:rPr>
        <w:t xml:space="preserve">    4.5.14冷板式液冷系统用CDU的冷源侧（一次侧）与用冷侧（二次侧）宜设置过滤器，冷源侧（一次侧）过滤器精度宜为28～50目，用冷侧（二次侧）过滤器精度宜为300目。</w:t>
      </w:r>
    </w:p>
    <w:p>
      <w:pPr>
        <w:widowControl/>
        <w:spacing w:line="360" w:lineRule="auto"/>
        <w:ind w:firstLine="480" w:firstLineChars="200"/>
        <w:rPr>
          <w:sz w:val="24"/>
          <w:szCs w:val="24"/>
        </w:rPr>
      </w:pPr>
      <w:r>
        <w:rPr>
          <w:sz w:val="24"/>
          <w:szCs w:val="24"/>
        </w:rPr>
        <w:t>条文说明：当冷板运行的可用性要求高时，由于冷板的流道狭窄，杂质、颗粒物易导致冷板堵塞、换热性能下降，故用冷侧（二次侧）的过滤器需要过滤掉粒径为50µm及以上的杂质，对应过滤器的目数为300目。</w:t>
      </w:r>
    </w:p>
    <w:p>
      <w:pPr>
        <w:widowControl/>
        <w:spacing w:line="360" w:lineRule="auto"/>
        <w:ind w:firstLine="480" w:firstLineChars="200"/>
        <w:rPr>
          <w:kern w:val="0"/>
          <w:sz w:val="24"/>
          <w:szCs w:val="24"/>
          <w:lang w:bidi="ar"/>
        </w:rPr>
      </w:pPr>
      <w:r>
        <w:rPr>
          <w:kern w:val="0"/>
          <w:sz w:val="24"/>
          <w:szCs w:val="24"/>
          <w:lang w:bidi="ar"/>
        </w:rPr>
        <w:t>4.5.15 浸没式液冷系统用CDU的冷源侧（一次侧）与用冷侧（二次侧）应设置过滤器，用冷侧（二次侧）的冷却液过滤装置宜为并联旁滤，过滤流量宜为20%～50%设计流量，过滤器精度宜为300目，冷源侧（一次侧）过滤器精度宜为28～50目。</w:t>
      </w:r>
    </w:p>
    <w:p>
      <w:pPr>
        <w:widowControl/>
        <w:spacing w:line="360" w:lineRule="auto"/>
        <w:ind w:firstLine="480" w:firstLineChars="200"/>
        <w:rPr>
          <w:sz w:val="24"/>
          <w:szCs w:val="24"/>
        </w:rPr>
      </w:pPr>
      <w:r>
        <w:rPr>
          <w:sz w:val="24"/>
          <w:szCs w:val="24"/>
        </w:rPr>
        <w:t>条文说明：浸没式液冷机柜内往往在安装与运维过程中易产生颗粒物或灰尘，需要过滤装置将这些颗粒物与灰尘滤掉以减少系统风险；旁滤比较节能，也可以设置为串联全滤；用冷侧（二次侧）过滤器需要过滤掉粒径为50µm及以上的杂质，对应过滤器的目数为300目。</w:t>
      </w:r>
    </w:p>
    <w:p>
      <w:pPr>
        <w:widowControl/>
        <w:spacing w:line="360" w:lineRule="auto"/>
        <w:ind w:firstLine="480" w:firstLineChars="200"/>
        <w:rPr>
          <w:kern w:val="0"/>
          <w:sz w:val="24"/>
          <w:szCs w:val="24"/>
          <w:lang w:bidi="ar"/>
        </w:rPr>
      </w:pPr>
      <w:r>
        <w:rPr>
          <w:kern w:val="0"/>
          <w:sz w:val="24"/>
          <w:szCs w:val="24"/>
          <w:lang w:bidi="ar"/>
        </w:rPr>
        <w:t>4.5.16 冷板式液冷系统用CDU的用冷侧（二次侧）的冷却液管路与液冷机柜的Manifold管路之间宜采用快装盘或法兰连接，并宜设置隔离阀，Manifold管路与支路软管之间的联接宜采用快速接头。</w:t>
      </w:r>
    </w:p>
    <w:p>
      <w:pPr>
        <w:widowControl/>
        <w:spacing w:line="360" w:lineRule="auto"/>
        <w:ind w:firstLine="480" w:firstLineChars="200"/>
        <w:rPr>
          <w:kern w:val="0"/>
          <w:sz w:val="24"/>
          <w:szCs w:val="24"/>
          <w:lang w:bidi="ar"/>
        </w:rPr>
      </w:pPr>
      <w:r>
        <w:rPr>
          <w:kern w:val="0"/>
          <w:sz w:val="24"/>
          <w:szCs w:val="24"/>
          <w:lang w:bidi="ar"/>
        </w:rPr>
        <w:t>4.5.17 冷板式液冷系统用CDU采用集中布置时，应设置流量平衡与流量检测装置以确保每个液冷机柜间的设计流量，机柜间的流量差异宜小于等于10%。</w:t>
      </w:r>
    </w:p>
    <w:p>
      <w:pPr>
        <w:widowControl/>
        <w:spacing w:line="360" w:lineRule="auto"/>
        <w:ind w:firstLine="480" w:firstLineChars="200"/>
        <w:rPr>
          <w:kern w:val="0"/>
          <w:sz w:val="24"/>
          <w:szCs w:val="24"/>
          <w:lang w:bidi="ar"/>
        </w:rPr>
      </w:pPr>
      <w:r>
        <w:rPr>
          <w:kern w:val="0"/>
          <w:sz w:val="24"/>
          <w:szCs w:val="24"/>
          <w:lang w:bidi="ar"/>
        </w:rPr>
        <w:t>4.5.18 浸没式液冷系统用CDU的用冷侧（二次侧）的冷却液管路宜敷设于地板下，并应设置集液盘或冷却液回收装置；无架空地板时，冷却液管路宜敷设于固定的管沟内，并应设置冷却液回收装置。</w:t>
      </w:r>
    </w:p>
    <w:p>
      <w:pPr>
        <w:widowControl/>
        <w:spacing w:line="360" w:lineRule="auto"/>
        <w:ind w:firstLine="480" w:firstLineChars="200"/>
        <w:rPr>
          <w:sz w:val="24"/>
          <w:szCs w:val="24"/>
        </w:rPr>
      </w:pPr>
      <w:r>
        <w:rPr>
          <w:sz w:val="24"/>
          <w:szCs w:val="24"/>
        </w:rPr>
        <w:t>条文说明：浸没式液冷机房用的冷却液通常为氟化液、合成油、硅油、矿物油等，这些冷却液不能直接排放或进入排水系统，需要设置冷却液回收装置。</w:t>
      </w:r>
    </w:p>
    <w:p>
      <w:pPr>
        <w:widowControl/>
        <w:spacing w:line="360" w:lineRule="auto"/>
        <w:ind w:firstLine="480" w:firstLineChars="200"/>
        <w:rPr>
          <w:kern w:val="0"/>
          <w:sz w:val="24"/>
          <w:szCs w:val="24"/>
          <w:lang w:bidi="ar"/>
        </w:rPr>
      </w:pPr>
      <w:r>
        <w:rPr>
          <w:kern w:val="0"/>
          <w:sz w:val="24"/>
          <w:szCs w:val="24"/>
          <w:lang w:bidi="ar"/>
        </w:rPr>
        <w:t>4.5.19 浸没式液冷系统用CDU的用冷侧（二次侧）的冷却液管路宜敷设于地板下，并应设置集液盘或冷却液回收装置，积液盘内宜布置漏液检测装置；冷却液管路的最高处应设置自动排气阀。</w:t>
      </w:r>
    </w:p>
    <w:p>
      <w:pPr>
        <w:widowControl/>
        <w:spacing w:line="360" w:lineRule="auto"/>
        <w:ind w:firstLine="480" w:firstLineChars="200"/>
        <w:rPr>
          <w:kern w:val="0"/>
          <w:sz w:val="24"/>
          <w:szCs w:val="24"/>
          <w:lang w:bidi="ar"/>
        </w:rPr>
      </w:pPr>
      <w:r>
        <w:rPr>
          <w:kern w:val="0"/>
          <w:sz w:val="24"/>
          <w:szCs w:val="24"/>
          <w:lang w:bidi="ar"/>
        </w:rPr>
        <w:t>4.5.20冷板式液冷系统用CDU的用冷侧（二次侧）的冷却液管路内液体流速应根据水力计算确定</w:t>
      </w:r>
      <w:r>
        <w:rPr>
          <w:rFonts w:hint="eastAsia"/>
          <w:kern w:val="0"/>
          <w:sz w:val="24"/>
          <w:szCs w:val="24"/>
          <w:lang w:bidi="ar"/>
        </w:rPr>
        <w:t>。</w:t>
      </w:r>
      <w:r>
        <w:rPr>
          <w:kern w:val="0"/>
          <w:sz w:val="24"/>
          <w:szCs w:val="24"/>
          <w:lang w:bidi="ar"/>
        </w:rPr>
        <w:t>当管路直径大于75mm时，流速不宜大于2.1m/s</w:t>
      </w:r>
      <w:r>
        <w:rPr>
          <w:rFonts w:hint="eastAsia"/>
          <w:kern w:val="0"/>
          <w:sz w:val="24"/>
          <w:szCs w:val="24"/>
          <w:lang w:bidi="ar"/>
        </w:rPr>
        <w:t>；</w:t>
      </w:r>
      <w:r>
        <w:rPr>
          <w:kern w:val="0"/>
          <w:sz w:val="24"/>
          <w:szCs w:val="24"/>
          <w:lang w:bidi="ar"/>
        </w:rPr>
        <w:t>当管路直径大于等于38mm小于等于75mm时，流速不宜大于1.8m/s</w:t>
      </w:r>
      <w:r>
        <w:rPr>
          <w:rFonts w:hint="eastAsia"/>
          <w:kern w:val="0"/>
          <w:sz w:val="24"/>
          <w:szCs w:val="24"/>
          <w:lang w:bidi="ar"/>
        </w:rPr>
        <w:t>；</w:t>
      </w:r>
      <w:r>
        <w:rPr>
          <w:kern w:val="0"/>
          <w:sz w:val="24"/>
          <w:szCs w:val="24"/>
          <w:lang w:bidi="ar"/>
        </w:rPr>
        <w:t>当管路直径小于38mm时，流速不宜大于1.5m/s；当冷却液管路材质为软管时，流速不宜大于1.5m/s。</w:t>
      </w:r>
    </w:p>
    <w:p>
      <w:pPr>
        <w:widowControl/>
        <w:spacing w:line="360" w:lineRule="auto"/>
        <w:ind w:firstLine="480" w:firstLineChars="200"/>
        <w:rPr>
          <w:kern w:val="0"/>
          <w:sz w:val="24"/>
          <w:szCs w:val="24"/>
          <w:lang w:bidi="ar"/>
        </w:rPr>
      </w:pPr>
      <w:r>
        <w:rPr>
          <w:kern w:val="0"/>
          <w:sz w:val="24"/>
          <w:szCs w:val="24"/>
          <w:lang w:bidi="ar"/>
        </w:rPr>
        <w:t>4.5.21 浸没式液冷系统用CDU的用冷侧（二次侧）的冷却液管路应设置补液接口，应可实现人工补液。</w:t>
      </w:r>
    </w:p>
    <w:p>
      <w:pPr>
        <w:widowControl/>
        <w:spacing w:line="360" w:lineRule="auto"/>
        <w:ind w:firstLine="480" w:firstLineChars="200"/>
        <w:rPr>
          <w:kern w:val="0"/>
          <w:sz w:val="24"/>
          <w:szCs w:val="24"/>
          <w:lang w:bidi="ar"/>
        </w:rPr>
      </w:pPr>
      <w:r>
        <w:rPr>
          <w:kern w:val="0"/>
          <w:sz w:val="24"/>
          <w:szCs w:val="24"/>
          <w:lang w:bidi="ar"/>
        </w:rPr>
        <w:t>4.5.22 冷板式液冷系统用CDU的用冷侧（二次侧）的冷却液管路敷设于液冷机柜内的部分，应将Manifold与配电用PDU分离。</w:t>
      </w:r>
    </w:p>
    <w:p>
      <w:pPr>
        <w:widowControl/>
        <w:spacing w:line="360" w:lineRule="auto"/>
        <w:ind w:firstLine="480" w:firstLineChars="200"/>
        <w:rPr>
          <w:kern w:val="0"/>
          <w:sz w:val="24"/>
          <w:szCs w:val="24"/>
          <w:lang w:bidi="ar"/>
        </w:rPr>
      </w:pPr>
      <w:r>
        <w:rPr>
          <w:kern w:val="0"/>
          <w:sz w:val="24"/>
          <w:szCs w:val="24"/>
          <w:lang w:bidi="ar"/>
        </w:rPr>
        <w:t>4.5.23 冷板式液冷系统用CDU的用冷侧（二次侧）的冷却液管路的Manifold宜预留接口用于人工检测温度及压力。</w:t>
      </w:r>
    </w:p>
    <w:p>
      <w:pPr>
        <w:widowControl/>
        <w:spacing w:line="360" w:lineRule="auto"/>
        <w:ind w:firstLine="480" w:firstLineChars="200"/>
        <w:rPr>
          <w:sz w:val="24"/>
          <w:szCs w:val="22"/>
        </w:rPr>
      </w:pPr>
      <w:r>
        <w:rPr>
          <w:kern w:val="0"/>
          <w:sz w:val="24"/>
          <w:szCs w:val="24"/>
          <w:lang w:bidi="ar"/>
        </w:rPr>
        <w:t>4.5.24 冷板式液冷系统用CDU的用冷侧（二次侧）的Manifold或管路上宜预留取样点用于取得冷却液样品并进行冷却液的品质检查。</w:t>
      </w:r>
    </w:p>
    <w:p>
      <w:pPr>
        <w:widowControl/>
        <w:spacing w:line="360" w:lineRule="auto"/>
        <w:ind w:firstLine="480" w:firstLineChars="200"/>
        <w:rPr>
          <w:kern w:val="0"/>
          <w:sz w:val="24"/>
          <w:szCs w:val="24"/>
          <w:lang w:bidi="ar"/>
        </w:rPr>
      </w:pPr>
      <w:r>
        <w:rPr>
          <w:kern w:val="0"/>
          <w:sz w:val="24"/>
          <w:szCs w:val="24"/>
          <w:lang w:bidi="ar"/>
        </w:rPr>
        <w:t>4.5.25 冷板式液冷系统用CDU的用冷侧（二次侧）宜设置支路流量计。</w:t>
      </w:r>
    </w:p>
    <w:p>
      <w:pPr>
        <w:widowControl/>
        <w:spacing w:line="360" w:lineRule="auto"/>
        <w:ind w:firstLine="480" w:firstLineChars="200"/>
        <w:rPr>
          <w:kern w:val="0"/>
          <w:sz w:val="24"/>
          <w:szCs w:val="24"/>
          <w:lang w:bidi="ar"/>
        </w:rPr>
      </w:pPr>
      <w:r>
        <w:rPr>
          <w:kern w:val="0"/>
          <w:sz w:val="24"/>
          <w:szCs w:val="24"/>
          <w:lang w:bidi="ar"/>
        </w:rPr>
        <w:t>4.5.26 液冷系统用CDU内的换热器与一次侧管路宜保温，用冷侧（二次侧）不宜保温。</w:t>
      </w:r>
    </w:p>
    <w:p>
      <w:pPr>
        <w:widowControl/>
        <w:spacing w:line="360" w:lineRule="auto"/>
        <w:ind w:firstLine="480" w:firstLineChars="200"/>
        <w:rPr>
          <w:kern w:val="0"/>
          <w:sz w:val="24"/>
          <w:szCs w:val="24"/>
          <w:lang w:bidi="ar"/>
        </w:rPr>
      </w:pPr>
      <w:r>
        <w:rPr>
          <w:kern w:val="0"/>
          <w:sz w:val="24"/>
          <w:szCs w:val="24"/>
          <w:lang w:bidi="ar"/>
        </w:rPr>
        <w:t>4.5.27 冷板式液冷系统用CDU的Manifold 到液冷机柜内各电子信息设备各分支管的分液流量应均匀一致，Manifold与各分支管之间应实现即插即通、即拔即断。</w:t>
      </w:r>
    </w:p>
    <w:p>
      <w:pPr>
        <w:widowControl/>
        <w:spacing w:line="360" w:lineRule="auto"/>
        <w:ind w:firstLine="480" w:firstLineChars="200"/>
        <w:rPr>
          <w:kern w:val="0"/>
          <w:sz w:val="24"/>
          <w:szCs w:val="24"/>
          <w:lang w:bidi="ar"/>
        </w:rPr>
      </w:pPr>
      <w:r>
        <w:rPr>
          <w:kern w:val="0"/>
          <w:sz w:val="24"/>
          <w:szCs w:val="24"/>
          <w:lang w:bidi="ar"/>
        </w:rPr>
        <w:t>4.5.28 冷板式液冷系统用CDU的Manifold 与各分支管之间的快速接头宜选用盲插式或非盲插式，快速接头插拔时的冷却液泄漏量不宜超过0.05mL，可插拔次数宜大于1000次。</w:t>
      </w:r>
    </w:p>
    <w:p>
      <w:pPr>
        <w:widowControl/>
        <w:spacing w:line="360" w:lineRule="auto"/>
        <w:ind w:firstLine="480" w:firstLineChars="200"/>
        <w:rPr>
          <w:sz w:val="24"/>
          <w:szCs w:val="24"/>
        </w:rPr>
      </w:pPr>
      <w:r>
        <w:rPr>
          <w:sz w:val="24"/>
          <w:szCs w:val="24"/>
        </w:rPr>
        <w:t>条文说明：快速接头常见的材料为不锈钢、黄铜、铝合金。</w:t>
      </w:r>
    </w:p>
    <w:p>
      <w:pPr>
        <w:widowControl/>
        <w:spacing w:line="360" w:lineRule="auto"/>
        <w:ind w:firstLine="480" w:firstLineChars="200"/>
        <w:rPr>
          <w:kern w:val="0"/>
          <w:sz w:val="24"/>
          <w:szCs w:val="24"/>
          <w:lang w:bidi="ar"/>
        </w:rPr>
      </w:pPr>
      <w:r>
        <w:rPr>
          <w:kern w:val="0"/>
          <w:sz w:val="24"/>
          <w:szCs w:val="24"/>
          <w:lang w:bidi="ar"/>
        </w:rPr>
        <w:t>4.5.29 冷板式液冷系统用CDU的用冷侧（二次侧）的设计压力应考虑电子信息设备冷板组件、管路、Manifold、CDU等部件的承压能力，设计压力不宜高于1.0MPa。</w:t>
      </w:r>
    </w:p>
    <w:p>
      <w:pPr>
        <w:widowControl/>
        <w:spacing w:line="360" w:lineRule="auto"/>
        <w:ind w:firstLine="480" w:firstLineChars="200"/>
        <w:rPr>
          <w:kern w:val="0"/>
          <w:sz w:val="24"/>
          <w:szCs w:val="24"/>
          <w:lang w:bidi="ar"/>
        </w:rPr>
      </w:pPr>
      <w:r>
        <w:rPr>
          <w:kern w:val="0"/>
          <w:sz w:val="24"/>
          <w:szCs w:val="24"/>
          <w:lang w:bidi="ar"/>
        </w:rPr>
        <w:t>4.5.30 冷板式液冷系统用CDU的用冷侧（二次侧）</w:t>
      </w:r>
      <w:r>
        <w:rPr>
          <w:rFonts w:hint="eastAsia"/>
          <w:kern w:val="0"/>
          <w:sz w:val="24"/>
          <w:szCs w:val="24"/>
          <w:lang w:bidi="ar"/>
        </w:rPr>
        <w:t>的</w:t>
      </w:r>
      <w:r>
        <w:rPr>
          <w:kern w:val="0"/>
          <w:sz w:val="24"/>
          <w:szCs w:val="24"/>
          <w:lang w:bidi="ar"/>
        </w:rPr>
        <w:t>Manifold管路、冷板、软管应无油，Manifold管路与冷板在运输前宜预先充入惰性气体以避免运输过程中的污染。</w:t>
      </w:r>
    </w:p>
    <w:p>
      <w:pPr>
        <w:spacing w:before="312" w:beforeLines="100" w:line="360" w:lineRule="auto"/>
        <w:ind w:firstLine="561" w:firstLineChars="200"/>
        <w:jc w:val="center"/>
        <w:outlineLvl w:val="1"/>
        <w:rPr>
          <w:b/>
          <w:sz w:val="28"/>
          <w:szCs w:val="24"/>
        </w:rPr>
      </w:pPr>
      <w:bookmarkStart w:id="18" w:name="_Toc1466591833"/>
      <w:r>
        <w:rPr>
          <w:b/>
          <w:sz w:val="28"/>
          <w:szCs w:val="24"/>
        </w:rPr>
        <w:t>4.6 冷却系统与空调系统</w:t>
      </w:r>
      <w:bookmarkEnd w:id="18"/>
    </w:p>
    <w:p>
      <w:pPr>
        <w:widowControl/>
        <w:spacing w:line="360" w:lineRule="auto"/>
        <w:ind w:firstLine="480" w:firstLineChars="200"/>
        <w:rPr>
          <w:kern w:val="0"/>
          <w:sz w:val="24"/>
          <w:szCs w:val="24"/>
          <w:lang w:bidi="ar"/>
        </w:rPr>
      </w:pPr>
      <w:r>
        <w:rPr>
          <w:kern w:val="0"/>
          <w:sz w:val="24"/>
          <w:szCs w:val="24"/>
          <w:lang w:bidi="ar"/>
        </w:rPr>
        <w:t>4.6.1液冷系统的室外散热设备选型宜根据系统可靠性要求采用N+X（X=0～N）冗余设计。</w:t>
      </w:r>
    </w:p>
    <w:p>
      <w:pPr>
        <w:widowControl/>
        <w:spacing w:line="360" w:lineRule="auto"/>
        <w:ind w:firstLine="480" w:firstLineChars="200"/>
        <w:rPr>
          <w:sz w:val="24"/>
          <w:szCs w:val="24"/>
        </w:rPr>
      </w:pPr>
      <w:r>
        <w:rPr>
          <w:sz w:val="24"/>
          <w:szCs w:val="24"/>
        </w:rPr>
        <w:t>条文说明：采用冷却塔的液冷冷却系统可参考下图（图4.6.1-1）：</w:t>
      </w:r>
    </w:p>
    <w:p>
      <w:pPr>
        <w:widowControl/>
        <w:spacing w:line="360" w:lineRule="auto"/>
        <w:rPr>
          <w:kern w:val="0"/>
          <w:sz w:val="24"/>
          <w:szCs w:val="24"/>
          <w:lang w:bidi="ar"/>
        </w:rPr>
      </w:pPr>
      <w:r>
        <w:rPr>
          <w:kern w:val="0"/>
          <w:sz w:val="24"/>
          <w:szCs w:val="24"/>
          <w:lang w:bidi="ar"/>
        </w:rPr>
        <w:drawing>
          <wp:inline distT="0" distB="0" distL="114300" distR="114300">
            <wp:extent cx="5271135" cy="3587750"/>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82347" cy="3595572"/>
                    </a:xfrm>
                    <a:prstGeom prst="rect">
                      <a:avLst/>
                    </a:prstGeom>
                  </pic:spPr>
                </pic:pic>
              </a:graphicData>
            </a:graphic>
          </wp:inline>
        </w:drawing>
      </w:r>
    </w:p>
    <w:p>
      <w:pPr>
        <w:widowControl/>
        <w:spacing w:line="360" w:lineRule="auto"/>
        <w:ind w:firstLine="420" w:firstLineChars="200"/>
        <w:jc w:val="center"/>
        <w:rPr>
          <w:b/>
          <w:szCs w:val="24"/>
        </w:rPr>
      </w:pPr>
      <w:r>
        <w:rPr>
          <w:b/>
          <w:szCs w:val="24"/>
        </w:rPr>
        <w:t>图4.6.1-1 冷却塔液冷冷却系统图示</w:t>
      </w:r>
    </w:p>
    <w:p>
      <w:pPr>
        <w:widowControl/>
        <w:spacing w:line="360" w:lineRule="auto"/>
        <w:rPr>
          <w:kern w:val="0"/>
          <w:sz w:val="24"/>
          <w:szCs w:val="24"/>
          <w:lang w:bidi="ar"/>
        </w:rPr>
      </w:pPr>
    </w:p>
    <w:p>
      <w:pPr>
        <w:widowControl/>
        <w:spacing w:line="360" w:lineRule="auto"/>
        <w:ind w:firstLine="480" w:firstLineChars="200"/>
        <w:rPr>
          <w:sz w:val="24"/>
          <w:szCs w:val="24"/>
        </w:rPr>
      </w:pPr>
      <w:r>
        <w:rPr>
          <w:sz w:val="24"/>
          <w:szCs w:val="24"/>
        </w:rPr>
        <w:t>条文说明：采用干冷器的液冷冷却系统可参考下图（图4.6.1-2）：</w:t>
      </w:r>
    </w:p>
    <w:p>
      <w:pPr>
        <w:widowControl/>
        <w:spacing w:line="360" w:lineRule="auto"/>
        <w:rPr>
          <w:kern w:val="0"/>
          <w:sz w:val="24"/>
          <w:szCs w:val="24"/>
          <w:lang w:bidi="ar"/>
        </w:rPr>
      </w:pPr>
      <w:r>
        <w:rPr>
          <w:kern w:val="0"/>
          <w:sz w:val="24"/>
          <w:szCs w:val="24"/>
          <w:lang w:bidi="ar"/>
        </w:rPr>
        <w:drawing>
          <wp:inline distT="0" distB="0" distL="114300" distR="114300">
            <wp:extent cx="5270500" cy="3856355"/>
            <wp:effectExtent l="0" t="0" r="635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5270500" cy="3856355"/>
                    </a:xfrm>
                    <a:prstGeom prst="rect">
                      <a:avLst/>
                    </a:prstGeom>
                  </pic:spPr>
                </pic:pic>
              </a:graphicData>
            </a:graphic>
          </wp:inline>
        </w:drawing>
      </w:r>
    </w:p>
    <w:p>
      <w:pPr>
        <w:widowControl/>
        <w:spacing w:line="360" w:lineRule="auto"/>
        <w:ind w:firstLine="420" w:firstLineChars="200"/>
        <w:jc w:val="center"/>
        <w:rPr>
          <w:b/>
          <w:szCs w:val="24"/>
        </w:rPr>
      </w:pPr>
      <w:r>
        <w:rPr>
          <w:b/>
          <w:szCs w:val="24"/>
        </w:rPr>
        <w:t>图4.6.1-2干冷器液冷冷却系统图示</w:t>
      </w:r>
    </w:p>
    <w:p>
      <w:pPr>
        <w:widowControl/>
        <w:spacing w:line="360" w:lineRule="auto"/>
        <w:ind w:firstLine="480" w:firstLineChars="200"/>
        <w:rPr>
          <w:kern w:val="0"/>
          <w:sz w:val="24"/>
          <w:szCs w:val="24"/>
          <w:lang w:bidi="ar"/>
        </w:rPr>
      </w:pPr>
      <w:r>
        <w:rPr>
          <w:kern w:val="0"/>
          <w:sz w:val="24"/>
          <w:szCs w:val="24"/>
          <w:lang w:bidi="ar"/>
        </w:rPr>
        <w:t>4.6.2 当可用性要求为A级时，液冷系统用冷源侧（一次侧）管路设计应为环形管路或双支路设计，冷源侧（一次侧）的设备、泵、CDU、阀门等配置应满足“在线维护”或容错的要求。</w:t>
      </w:r>
    </w:p>
    <w:p>
      <w:pPr>
        <w:widowControl/>
        <w:spacing w:line="360" w:lineRule="auto"/>
        <w:rPr>
          <w:kern w:val="0"/>
          <w:sz w:val="24"/>
          <w:szCs w:val="24"/>
          <w:lang w:bidi="ar"/>
        </w:rPr>
      </w:pPr>
      <w:r>
        <w:rPr>
          <w:kern w:val="0"/>
          <w:sz w:val="24"/>
          <w:szCs w:val="24"/>
          <w:lang w:bidi="ar"/>
        </w:rPr>
        <w:t xml:space="preserve">    4.6.3 当液冷系统用冷源侧（一次侧）管路设计采用双支路时，支路间的压力损失与流量差异不宜大于15%。</w:t>
      </w:r>
    </w:p>
    <w:p>
      <w:pPr>
        <w:widowControl/>
        <w:spacing w:line="360" w:lineRule="auto"/>
        <w:rPr>
          <w:kern w:val="0"/>
          <w:sz w:val="24"/>
          <w:szCs w:val="24"/>
          <w:lang w:bidi="ar"/>
        </w:rPr>
      </w:pPr>
      <w:r>
        <w:rPr>
          <w:kern w:val="0"/>
          <w:sz w:val="24"/>
          <w:szCs w:val="24"/>
          <w:lang w:bidi="ar"/>
        </w:rPr>
        <w:t xml:space="preserve">    4.6.4 采用液冷系统的数据中心，其冷却系统宜采用不间断供冷措施，不间断供冷时间宜与电池的不间断供电时间相同。</w:t>
      </w:r>
    </w:p>
    <w:p>
      <w:pPr>
        <w:widowControl/>
        <w:spacing w:line="360" w:lineRule="auto"/>
        <w:ind w:firstLine="480" w:firstLineChars="200"/>
        <w:rPr>
          <w:sz w:val="24"/>
          <w:szCs w:val="24"/>
        </w:rPr>
      </w:pPr>
      <w:r>
        <w:rPr>
          <w:sz w:val="24"/>
          <w:szCs w:val="24"/>
        </w:rPr>
        <w:t>条文说明：液冷系统的冷却液循环泵、冷源侧（一次侧）的冷却设备与循环泵采用不间断供电即可实现不间断供冷。</w:t>
      </w:r>
    </w:p>
    <w:p>
      <w:pPr>
        <w:widowControl/>
        <w:spacing w:line="360" w:lineRule="auto"/>
        <w:ind w:firstLine="480" w:firstLineChars="200"/>
        <w:rPr>
          <w:strike/>
          <w:sz w:val="28"/>
          <w:szCs w:val="32"/>
        </w:rPr>
      </w:pPr>
      <w:r>
        <w:rPr>
          <w:kern w:val="0"/>
          <w:sz w:val="24"/>
          <w:szCs w:val="24"/>
          <w:lang w:bidi="ar"/>
        </w:rPr>
        <w:t>4.6.5 当项目所在地冬季干球温度低于-5℃时，室外部分的散热设备、冷却管路、自动化仪表应设置防冻措施。</w:t>
      </w:r>
    </w:p>
    <w:p>
      <w:pPr>
        <w:widowControl/>
        <w:spacing w:line="360" w:lineRule="auto"/>
        <w:ind w:firstLine="480" w:firstLineChars="200"/>
        <w:rPr>
          <w:kern w:val="0"/>
          <w:sz w:val="24"/>
          <w:szCs w:val="24"/>
          <w:lang w:bidi="ar"/>
        </w:rPr>
      </w:pPr>
      <w:r>
        <w:rPr>
          <w:kern w:val="0"/>
          <w:sz w:val="24"/>
          <w:szCs w:val="24"/>
          <w:lang w:bidi="ar"/>
        </w:rPr>
        <w:t>4.6.6 当数据中心采用冷板式液冷系统时，风冷区的内循环型空气冷却设备宜设置初效过滤器或中效过滤器，新风型空气冷却设备应设置初效和中效空气过滤器，宜设置亚高效空气过滤器。</w:t>
      </w:r>
    </w:p>
    <w:p>
      <w:pPr>
        <w:widowControl/>
        <w:spacing w:line="360" w:lineRule="auto"/>
        <w:ind w:firstLine="480" w:firstLineChars="200"/>
        <w:rPr>
          <w:sz w:val="24"/>
          <w:szCs w:val="24"/>
        </w:rPr>
      </w:pPr>
      <w:r>
        <w:rPr>
          <w:sz w:val="24"/>
          <w:szCs w:val="24"/>
        </w:rPr>
        <w:t>条文说明：根据项目所在地的空气污染情况确定新风型空气冷却设备是否设置化学过滤装置。</w:t>
      </w:r>
    </w:p>
    <w:p>
      <w:pPr>
        <w:widowControl/>
        <w:spacing w:line="360" w:lineRule="auto"/>
        <w:ind w:firstLine="480" w:firstLineChars="200"/>
        <w:rPr>
          <w:sz w:val="24"/>
          <w:szCs w:val="24"/>
        </w:rPr>
      </w:pPr>
      <w:r>
        <w:rPr>
          <w:kern w:val="0"/>
          <w:sz w:val="24"/>
          <w:szCs w:val="24"/>
          <w:lang w:bidi="ar"/>
        </w:rPr>
        <w:t>4.6.7 当数据中心采用冷板式液冷系统时，风冷区的冷却系统与空调系统设计宜采用如下节能措施：</w:t>
      </w:r>
    </w:p>
    <w:p>
      <w:pPr>
        <w:pStyle w:val="44"/>
        <w:widowControl/>
        <w:numPr>
          <w:ilvl w:val="1"/>
          <w:numId w:val="14"/>
        </w:numPr>
        <w:spacing w:line="360" w:lineRule="auto"/>
        <w:ind w:firstLineChars="0"/>
        <w:rPr>
          <w:sz w:val="24"/>
          <w:szCs w:val="24"/>
        </w:rPr>
      </w:pPr>
      <w:r>
        <w:rPr>
          <w:kern w:val="0"/>
          <w:sz w:val="24"/>
          <w:szCs w:val="24"/>
          <w:lang w:bidi="ar"/>
        </w:rPr>
        <w:t>根据项目所在地气象条件，宜充分利用自然冷却；</w:t>
      </w:r>
    </w:p>
    <w:p>
      <w:pPr>
        <w:pStyle w:val="44"/>
        <w:widowControl/>
        <w:numPr>
          <w:ilvl w:val="1"/>
          <w:numId w:val="14"/>
        </w:numPr>
        <w:spacing w:line="360" w:lineRule="auto"/>
        <w:ind w:firstLineChars="0"/>
        <w:rPr>
          <w:sz w:val="24"/>
          <w:szCs w:val="24"/>
        </w:rPr>
      </w:pPr>
      <w:r>
        <w:rPr>
          <w:kern w:val="0"/>
          <w:sz w:val="24"/>
          <w:szCs w:val="24"/>
          <w:lang w:bidi="ar"/>
        </w:rPr>
        <w:t>当项目所在地空气质量良好时，宜采用直接新风自然冷却；</w:t>
      </w:r>
    </w:p>
    <w:p>
      <w:pPr>
        <w:pStyle w:val="44"/>
        <w:widowControl/>
        <w:numPr>
          <w:ilvl w:val="1"/>
          <w:numId w:val="14"/>
        </w:numPr>
        <w:spacing w:line="360" w:lineRule="auto"/>
        <w:ind w:firstLineChars="0"/>
        <w:rPr>
          <w:sz w:val="24"/>
          <w:szCs w:val="24"/>
        </w:rPr>
      </w:pPr>
      <w:r>
        <w:rPr>
          <w:kern w:val="0"/>
          <w:sz w:val="24"/>
          <w:szCs w:val="24"/>
          <w:lang w:bidi="ar"/>
        </w:rPr>
        <w:t>压缩机、泵、风机宜采用变频技术进行负荷调节。</w:t>
      </w:r>
    </w:p>
    <w:p>
      <w:pPr>
        <w:widowControl/>
        <w:spacing w:line="360" w:lineRule="auto"/>
        <w:ind w:firstLine="480" w:firstLineChars="200"/>
      </w:pPr>
      <w:r>
        <w:rPr>
          <w:kern w:val="0"/>
          <w:sz w:val="24"/>
          <w:szCs w:val="24"/>
          <w:lang w:bidi="ar"/>
        </w:rPr>
        <w:t>4.6.8 当数据中心采用冷板式液冷系统时，其风冷区的新风量应能维持电子信息设备区的正压，当数据中心采用浸没式液冷系统时，其风冷区的新风量宜满足人员舒适度要求。</w:t>
      </w:r>
    </w:p>
    <w:p>
      <w:pPr>
        <w:spacing w:before="312" w:beforeLines="100" w:line="360" w:lineRule="auto"/>
        <w:ind w:firstLine="561" w:firstLineChars="200"/>
        <w:jc w:val="center"/>
        <w:outlineLvl w:val="1"/>
        <w:rPr>
          <w:b/>
          <w:sz w:val="28"/>
          <w:szCs w:val="24"/>
        </w:rPr>
      </w:pPr>
      <w:bookmarkStart w:id="19" w:name="_Toc191636965"/>
      <w:r>
        <w:rPr>
          <w:b/>
          <w:sz w:val="28"/>
          <w:szCs w:val="24"/>
        </w:rPr>
        <w:t xml:space="preserve">4.7 </w:t>
      </w:r>
      <w:r>
        <w:rPr>
          <w:rFonts w:hint="eastAsia"/>
          <w:b/>
          <w:sz w:val="28"/>
          <w:szCs w:val="24"/>
        </w:rPr>
        <w:t>冷却液</w:t>
      </w:r>
      <w:bookmarkEnd w:id="19"/>
    </w:p>
    <w:p>
      <w:pPr>
        <w:spacing w:line="360" w:lineRule="auto"/>
        <w:ind w:firstLine="480" w:firstLineChars="200"/>
        <w:jc w:val="left"/>
        <w:rPr>
          <w:sz w:val="24"/>
          <w:szCs w:val="24"/>
        </w:rPr>
      </w:pPr>
      <w:r>
        <w:rPr>
          <w:sz w:val="24"/>
          <w:szCs w:val="24"/>
        </w:rPr>
        <w:t>4.7</w:t>
      </w:r>
      <w:r>
        <w:rPr>
          <w:kern w:val="0"/>
          <w:sz w:val="24"/>
          <w:szCs w:val="24"/>
          <w:lang w:bidi="ar"/>
        </w:rPr>
        <w:t>.1当数据中心采用液冷系统时，</w:t>
      </w:r>
      <w:r>
        <w:rPr>
          <w:sz w:val="24"/>
          <w:szCs w:val="24"/>
        </w:rPr>
        <w:t>冷却液应根据使用场景、热工需求、系统类型、系统功能、可靠性要求进行选择。</w:t>
      </w:r>
    </w:p>
    <w:p>
      <w:pPr>
        <w:spacing w:line="360" w:lineRule="auto"/>
        <w:ind w:firstLine="480" w:firstLineChars="200"/>
        <w:jc w:val="left"/>
        <w:rPr>
          <w:sz w:val="24"/>
          <w:szCs w:val="24"/>
        </w:rPr>
      </w:pPr>
      <w:r>
        <w:rPr>
          <w:sz w:val="24"/>
          <w:szCs w:val="24"/>
        </w:rPr>
        <w:t>4.7.2 在冷板式液冷系统中，选择冷却液应综合考虑冷却液的工作温度、比热容、流动性、冷却液与换热冷板及接触组件的材料兼容性、冷却液对接触组件材料的腐蚀性等。</w:t>
      </w:r>
    </w:p>
    <w:p>
      <w:pPr>
        <w:spacing w:line="360" w:lineRule="auto"/>
        <w:ind w:firstLine="480" w:firstLineChars="200"/>
        <w:rPr>
          <w:sz w:val="24"/>
          <w:szCs w:val="24"/>
        </w:rPr>
      </w:pPr>
      <w:r>
        <w:rPr>
          <w:sz w:val="24"/>
          <w:szCs w:val="24"/>
        </w:rPr>
        <w:t>条文说明：在单相冷板式液冷系统中，冷却液主要包括水基冷却液与非水基溶液，水基溶液主要包括去离子配方水、乙二醇水溶液、丙二醇水溶液，非水基溶液主要包括有机溶剂、高沸点（100～130℃）氟化液；在两相</w:t>
      </w:r>
      <w:r>
        <w:rPr>
          <w:rFonts w:hint="eastAsia"/>
          <w:sz w:val="24"/>
          <w:szCs w:val="24"/>
        </w:rPr>
        <w:t>冷</w:t>
      </w:r>
      <w:r>
        <w:rPr>
          <w:sz w:val="24"/>
          <w:szCs w:val="24"/>
        </w:rPr>
        <w:t>板</w:t>
      </w:r>
      <w:r>
        <w:rPr>
          <w:rFonts w:hint="eastAsia"/>
          <w:sz w:val="24"/>
          <w:szCs w:val="24"/>
        </w:rPr>
        <w:t>式</w:t>
      </w:r>
      <w:r>
        <w:rPr>
          <w:sz w:val="24"/>
          <w:szCs w:val="24"/>
        </w:rPr>
        <w:t>液冷系统中，冷却液主要为低沸点（30～40℃）氟化液。乙二醇水溶液和丙二醇水溶液的共同点是二者均具有一定的抑菌作用，区别在于乙二醇水溶液在使用过程中易产生酸性物质，从而腐蚀冷板及管路等，另外乙二醇有微毒，且不易降解，排放须遵守项目所在地的环保规定，丙二醇则毒性较低，较易生物降解；</w:t>
      </w:r>
      <w:r>
        <w:rPr>
          <w:rFonts w:hint="eastAsia"/>
          <w:sz w:val="24"/>
          <w:szCs w:val="24"/>
        </w:rPr>
        <w:t>一般</w:t>
      </w:r>
      <w:r>
        <w:rPr>
          <w:sz w:val="24"/>
          <w:szCs w:val="24"/>
        </w:rPr>
        <w:t>25%的乙二醇或丙二醇溶液即可</w:t>
      </w:r>
      <w:r>
        <w:rPr>
          <w:rFonts w:hint="eastAsia"/>
          <w:sz w:val="24"/>
          <w:szCs w:val="24"/>
        </w:rPr>
        <w:t>达到</w:t>
      </w:r>
      <w:r>
        <w:rPr>
          <w:sz w:val="24"/>
          <w:szCs w:val="24"/>
        </w:rPr>
        <w:t>抑菌</w:t>
      </w:r>
      <w:r>
        <w:rPr>
          <w:rFonts w:hint="eastAsia"/>
          <w:sz w:val="24"/>
          <w:szCs w:val="24"/>
        </w:rPr>
        <w:t>效果，</w:t>
      </w:r>
      <w:r>
        <w:rPr>
          <w:sz w:val="24"/>
          <w:szCs w:val="24"/>
        </w:rPr>
        <w:t>不需要添加过高比例的乙二醇或丙二醇。</w:t>
      </w:r>
    </w:p>
    <w:p>
      <w:pPr>
        <w:spacing w:line="360" w:lineRule="auto"/>
        <w:ind w:firstLine="480" w:firstLineChars="200"/>
        <w:rPr>
          <w:sz w:val="24"/>
          <w:szCs w:val="24"/>
        </w:rPr>
      </w:pPr>
      <w:r>
        <w:rPr>
          <w:sz w:val="24"/>
          <w:szCs w:val="24"/>
        </w:rPr>
        <w:t>在两相冷板式液冷系统中，冷却液主要包括纯水、氟化液。纯水看上去似乎是单相冷板式液冷系统用的工质，需要说明的是单相冷却液和两相冷却液在绝对压力变化时可相互转化，单相冷却液在一定的真空度环境中沸点降低成为两相冷却液。氟化液（例如R134a、R513A、R515B等）</w:t>
      </w:r>
      <w:r>
        <w:rPr>
          <w:rFonts w:hint="eastAsia"/>
          <w:sz w:val="24"/>
          <w:szCs w:val="24"/>
        </w:rPr>
        <w:t>在特定的压力下</w:t>
      </w:r>
      <w:r>
        <w:rPr>
          <w:sz w:val="24"/>
          <w:szCs w:val="24"/>
        </w:rPr>
        <w:t>则具有较低的沸点，</w:t>
      </w:r>
      <w:r>
        <w:rPr>
          <w:rFonts w:hint="eastAsia"/>
          <w:sz w:val="24"/>
          <w:szCs w:val="24"/>
        </w:rPr>
        <w:t>可</w:t>
      </w:r>
      <w:r>
        <w:rPr>
          <w:sz w:val="24"/>
          <w:szCs w:val="24"/>
        </w:rPr>
        <w:t>通过汽化吸收热量，冷凝后再次吸热</w:t>
      </w:r>
      <w:r>
        <w:rPr>
          <w:rFonts w:hint="eastAsia"/>
          <w:sz w:val="24"/>
          <w:szCs w:val="24"/>
        </w:rPr>
        <w:t>，可作为冷却液用于两相冷板式液冷系统。</w:t>
      </w:r>
    </w:p>
    <w:p>
      <w:pPr>
        <w:spacing w:line="360" w:lineRule="auto"/>
        <w:ind w:firstLine="480" w:firstLineChars="200"/>
        <w:rPr>
          <w:sz w:val="24"/>
          <w:szCs w:val="24"/>
        </w:rPr>
      </w:pPr>
      <w:r>
        <w:rPr>
          <w:sz w:val="24"/>
          <w:szCs w:val="24"/>
        </w:rPr>
        <w:t>4.7.3当单相冷板式液冷系统选择水基冷却液时，宜在冷却液中添加缓蚀剂以防止冷却液的浸润对冷板换热器金属的腐蚀，宜添加杀菌剂以抑制细菌的生长；运行过程中宜定期取样检测冷却液，以确保冷却液满足热工要求</w:t>
      </w:r>
      <w:r>
        <w:rPr>
          <w:rFonts w:hint="eastAsia"/>
          <w:sz w:val="24"/>
          <w:szCs w:val="24"/>
        </w:rPr>
        <w:t>和</w:t>
      </w:r>
      <w:r>
        <w:rPr>
          <w:sz w:val="24"/>
          <w:szCs w:val="24"/>
        </w:rPr>
        <w:t>系统</w:t>
      </w:r>
      <w:r>
        <w:rPr>
          <w:rFonts w:hint="eastAsia"/>
          <w:sz w:val="24"/>
          <w:szCs w:val="24"/>
        </w:rPr>
        <w:t>的</w:t>
      </w:r>
      <w:r>
        <w:rPr>
          <w:sz w:val="24"/>
          <w:szCs w:val="24"/>
        </w:rPr>
        <w:t>可靠性。</w:t>
      </w:r>
    </w:p>
    <w:p>
      <w:pPr>
        <w:spacing w:line="360" w:lineRule="auto"/>
        <w:ind w:firstLine="480" w:firstLineChars="200"/>
        <w:rPr>
          <w:sz w:val="24"/>
          <w:szCs w:val="24"/>
        </w:rPr>
      </w:pPr>
      <w:r>
        <w:rPr>
          <w:sz w:val="24"/>
          <w:szCs w:val="24"/>
        </w:rPr>
        <w:t>条文说明：水基冷却液通过换热冷板、管路等与电子器件接触，添加化学处理剂需考虑：应用条件、材料兼容性、管路与冷板的预清洗、调试过程的杂质影响、化学药剂处理规程以及项目所在地的政府监管要求。</w:t>
      </w:r>
    </w:p>
    <w:p>
      <w:pPr>
        <w:spacing w:line="360" w:lineRule="auto"/>
        <w:ind w:firstLine="480" w:firstLineChars="200"/>
        <w:rPr>
          <w:sz w:val="24"/>
          <w:szCs w:val="24"/>
        </w:rPr>
      </w:pPr>
      <w:r>
        <w:rPr>
          <w:sz w:val="24"/>
          <w:szCs w:val="24"/>
        </w:rPr>
        <w:t>去离子水在35℃～45℃的环境下易滋生细菌微生物，引起菌落超标，不适合单独使用，需要添加抑菌剂，还需要根据管路材质与管径添加金属缓蚀剂、阻垢剂、抑泡剂等。</w:t>
      </w:r>
    </w:p>
    <w:p>
      <w:pPr>
        <w:spacing w:line="360" w:lineRule="auto"/>
        <w:ind w:firstLine="480" w:firstLineChars="200"/>
        <w:rPr>
          <w:sz w:val="24"/>
          <w:szCs w:val="24"/>
        </w:rPr>
      </w:pPr>
      <w:r>
        <w:rPr>
          <w:sz w:val="24"/>
          <w:szCs w:val="24"/>
        </w:rPr>
        <w:t>乙二醇水溶液选择可参考《工业用乙二醇》GB/T 4649-2018 ，丙二醇水溶液选择可参考《食品安全国家标准 食品添加剂 丙二醇》GB 29216—2012</w:t>
      </w:r>
      <w:r>
        <w:rPr>
          <w:rFonts w:hint="eastAsia"/>
          <w:sz w:val="24"/>
          <w:szCs w:val="24"/>
        </w:rPr>
        <w:t>。</w:t>
      </w:r>
    </w:p>
    <w:p>
      <w:pPr>
        <w:widowControl/>
        <w:spacing w:line="360" w:lineRule="auto"/>
        <w:jc w:val="left"/>
        <w:rPr>
          <w:kern w:val="0"/>
          <w:sz w:val="24"/>
          <w:szCs w:val="24"/>
          <w:lang w:bidi="ar"/>
        </w:rPr>
      </w:pPr>
      <w:r>
        <w:rPr>
          <w:sz w:val="24"/>
          <w:szCs w:val="24"/>
        </w:rPr>
        <w:t xml:space="preserve">    4.7.4当数据中心采用的单相冷板式液冷系统的冷却液是乙二醇水溶液或丙二醇水溶液时，其乙二醇水溶液或丙二醇水溶液的储存库房温度不宜超过37℃，相对湿度宜为30%～70%，库房宜通风、防静电、防火、避免阳光直射，照明宜采用防爆型，库房内不应使用易产生火花的机械工具；乙二醇水溶液或丙二醇水溶液不宜与空气直接接触，其包装宜密封；乙二醇水溶液或丙二醇水溶液不应与氧化剂、酸类共用库房。  </w:t>
      </w:r>
      <w:r>
        <w:rPr>
          <w:kern w:val="0"/>
          <w:sz w:val="24"/>
          <w:szCs w:val="24"/>
          <w:lang w:bidi="ar"/>
        </w:rPr>
        <w:t xml:space="preserve">  </w:t>
      </w:r>
    </w:p>
    <w:p>
      <w:pPr>
        <w:widowControl/>
        <w:spacing w:line="360" w:lineRule="auto"/>
        <w:jc w:val="left"/>
        <w:rPr>
          <w:sz w:val="24"/>
          <w:szCs w:val="24"/>
        </w:rPr>
      </w:pPr>
      <w:r>
        <w:rPr>
          <w:sz w:val="24"/>
          <w:szCs w:val="24"/>
        </w:rPr>
        <w:t xml:space="preserve">    4.7.5 冷板式液冷系统的用冷侧（二次侧）的管路宜选用SUS304或SUS316不锈钢管，不宜选用普通碳钢或镀锌钢管、铝及铝合金、锌含量&gt;15%的黄铜、含铅的黄铜</w:t>
      </w:r>
      <w:r>
        <w:rPr>
          <w:rFonts w:hint="eastAsia"/>
          <w:sz w:val="24"/>
          <w:szCs w:val="24"/>
        </w:rPr>
        <w:t>；</w:t>
      </w:r>
      <w:r>
        <w:rPr>
          <w:sz w:val="24"/>
          <w:szCs w:val="24"/>
        </w:rPr>
        <w:t>管路组件应不含焊剂、助焊剂、钎焊剂。</w:t>
      </w:r>
    </w:p>
    <w:p>
      <w:pPr>
        <w:spacing w:line="360" w:lineRule="auto"/>
        <w:ind w:firstLine="480" w:firstLineChars="200"/>
        <w:rPr>
          <w:kern w:val="0"/>
          <w:sz w:val="24"/>
          <w:szCs w:val="24"/>
          <w:lang w:bidi="ar"/>
        </w:rPr>
      </w:pPr>
      <w:r>
        <w:rPr>
          <w:sz w:val="24"/>
          <w:szCs w:val="24"/>
        </w:rPr>
        <w:t xml:space="preserve">条文说明：不选用普通碳钢或镀锌钢管的原因是材料易被冷却液腐蚀，内壁脱落杂质易污染管路系统，不选用铝及铝合金的原因是材料不耐磨损、不耐压， 不选用锌含量&gt;15%的黄铜、含铅的黄铜的原因是易出现脱锌等现象。 </w:t>
      </w:r>
    </w:p>
    <w:p>
      <w:pPr>
        <w:spacing w:line="360" w:lineRule="auto"/>
        <w:jc w:val="left"/>
        <w:rPr>
          <w:sz w:val="24"/>
          <w:szCs w:val="24"/>
        </w:rPr>
      </w:pPr>
      <w:r>
        <w:rPr>
          <w:sz w:val="24"/>
          <w:szCs w:val="24"/>
        </w:rPr>
        <w:t xml:space="preserve">    4.7.6 冷板式液冷系统的用冷侧（二次侧）的弹性密封材料宜选用EPDM、FEP或PTFE等橡胶材料，弹性密封材料不宜选用生料带或螺纹胶。</w:t>
      </w:r>
    </w:p>
    <w:p>
      <w:pPr>
        <w:spacing w:line="360" w:lineRule="auto"/>
        <w:ind w:firstLine="480" w:firstLineChars="200"/>
        <w:rPr>
          <w:sz w:val="24"/>
          <w:szCs w:val="24"/>
        </w:rPr>
      </w:pPr>
      <w:r>
        <w:rPr>
          <w:sz w:val="24"/>
          <w:szCs w:val="24"/>
        </w:rPr>
        <w:t>条文说明：</w:t>
      </w:r>
      <w:r>
        <w:rPr>
          <w:rFonts w:hint="eastAsia"/>
          <w:sz w:val="24"/>
          <w:szCs w:val="24"/>
        </w:rPr>
        <w:t>不</w:t>
      </w:r>
      <w:r>
        <w:rPr>
          <w:sz w:val="24"/>
          <w:szCs w:val="24"/>
        </w:rPr>
        <w:t>选</w:t>
      </w:r>
      <w:r>
        <w:rPr>
          <w:rFonts w:hint="eastAsia"/>
          <w:sz w:val="24"/>
          <w:szCs w:val="24"/>
        </w:rPr>
        <w:t>用生胶带或称铁氟龙（PTFE）胶带</w:t>
      </w:r>
      <w:r>
        <w:rPr>
          <w:sz w:val="24"/>
          <w:szCs w:val="24"/>
        </w:rPr>
        <w:t>的原因是</w:t>
      </w:r>
      <w:r>
        <w:rPr>
          <w:rFonts w:hint="eastAsia"/>
          <w:sz w:val="24"/>
          <w:szCs w:val="24"/>
        </w:rPr>
        <w:t>易掉屑造成污染、</w:t>
      </w:r>
      <w:r>
        <w:rPr>
          <w:sz w:val="24"/>
          <w:szCs w:val="24"/>
        </w:rPr>
        <w:t>管路堵塞</w:t>
      </w:r>
    </w:p>
    <w:p>
      <w:pPr>
        <w:spacing w:line="360" w:lineRule="auto"/>
        <w:jc w:val="left"/>
        <w:rPr>
          <w:sz w:val="24"/>
          <w:szCs w:val="24"/>
        </w:rPr>
      </w:pPr>
      <w:r>
        <w:rPr>
          <w:sz w:val="24"/>
          <w:szCs w:val="24"/>
        </w:rPr>
        <w:t xml:space="preserve">    4.7.7 浸没式液冷系统的用冷侧（二次侧）应用的冷却液应</w:t>
      </w:r>
      <w:r>
        <w:rPr>
          <w:rFonts w:hint="eastAsia"/>
          <w:sz w:val="24"/>
          <w:szCs w:val="24"/>
        </w:rPr>
        <w:t>保持</w:t>
      </w:r>
      <w:r>
        <w:rPr>
          <w:sz w:val="24"/>
          <w:szCs w:val="24"/>
        </w:rPr>
        <w:t>绝缘。</w:t>
      </w:r>
    </w:p>
    <w:p>
      <w:pPr>
        <w:spacing w:line="360" w:lineRule="auto"/>
        <w:ind w:firstLine="480" w:firstLineChars="200"/>
        <w:rPr>
          <w:sz w:val="24"/>
          <w:szCs w:val="24"/>
        </w:rPr>
      </w:pPr>
      <w:r>
        <w:rPr>
          <w:sz w:val="24"/>
          <w:szCs w:val="24"/>
        </w:rPr>
        <w:t>条文说明：浸没式液冷系统中，液冷机柜中充满冷却液，冷却液直接接触电子信息设备与大量带电工作的器件，冷却液在可预期最不利的工况下需要保持绝缘特性，因此冷却液常常为有机化合物。浸没式冷却液主要分类如下：</w:t>
      </w:r>
    </w:p>
    <w:p>
      <w:pPr>
        <w:pStyle w:val="44"/>
        <w:numPr>
          <w:ilvl w:val="1"/>
          <w:numId w:val="15"/>
        </w:numPr>
        <w:spacing w:line="360" w:lineRule="auto"/>
        <w:ind w:left="817" w:firstLineChars="0"/>
        <w:rPr>
          <w:sz w:val="24"/>
          <w:szCs w:val="24"/>
        </w:rPr>
      </w:pPr>
      <w:r>
        <w:rPr>
          <w:sz w:val="24"/>
          <w:szCs w:val="24"/>
        </w:rPr>
        <w:t>碳氢化合物类，主要指以碳（C）氢（H）元素组成的有机化合物：含来自于天然石油馏分、经过高压加氢处理等工艺炼制的、品质达到技术级白油及以上要求的水白色天然烃类液体化合物，称为矿物白油；以人工合成的以异构烷烃为主的水白色合成烃类液体化合物，称为合成油。</w:t>
      </w:r>
    </w:p>
    <w:p>
      <w:pPr>
        <w:pStyle w:val="44"/>
        <w:numPr>
          <w:ilvl w:val="1"/>
          <w:numId w:val="15"/>
        </w:numPr>
        <w:spacing w:line="360" w:lineRule="auto"/>
        <w:ind w:left="817" w:firstLineChars="0"/>
        <w:rPr>
          <w:sz w:val="24"/>
          <w:szCs w:val="24"/>
        </w:rPr>
      </w:pPr>
      <w:r>
        <w:rPr>
          <w:sz w:val="24"/>
          <w:szCs w:val="24"/>
        </w:rPr>
        <w:t>有机硅化合物类，主要为以</w:t>
      </w:r>
      <w:r>
        <w:fldChar w:fldCharType="begin"/>
      </w:r>
      <w:r>
        <w:instrText xml:space="preserve"> HYPERLINK "https://baike.baidu.com/item/%E8%81%9A%E6%9C%89%E6%9C%BA%E7%A1%85%E6%B0%A7%E7%83%B7/3675973?fromModule=lemma_inlink" \t "_blank" </w:instrText>
      </w:r>
      <w:r>
        <w:fldChar w:fldCharType="separate"/>
      </w:r>
      <w:r>
        <w:rPr>
          <w:sz w:val="24"/>
          <w:szCs w:val="24"/>
        </w:rPr>
        <w:t>聚有机硅氧烷</w:t>
      </w:r>
      <w:r>
        <w:rPr>
          <w:sz w:val="24"/>
          <w:szCs w:val="24"/>
        </w:rPr>
        <w:fldChar w:fldCharType="end"/>
      </w:r>
      <w:r>
        <w:fldChar w:fldCharType="begin"/>
      </w:r>
      <w:r>
        <w:instrText xml:space="preserve"> HYPERLINK "https://baike.baidu.com/item/%E9%93%BE%E7%8A%B6%E7%BB%93%E6%9E%84/8919554?fromModule=lemma_inlink" \t "_blank" </w:instrText>
      </w:r>
      <w:r>
        <w:fldChar w:fldCharType="separate"/>
      </w:r>
      <w:r>
        <w:rPr>
          <w:sz w:val="24"/>
          <w:szCs w:val="24"/>
        </w:rPr>
        <w:t>链状结构</w:t>
      </w:r>
      <w:r>
        <w:rPr>
          <w:sz w:val="24"/>
          <w:szCs w:val="24"/>
        </w:rPr>
        <w:fldChar w:fldCharType="end"/>
      </w:r>
      <w:r>
        <w:rPr>
          <w:sz w:val="24"/>
          <w:szCs w:val="24"/>
        </w:rPr>
        <w:t>（-Si-O-Si-）为骨架，带有不同</w:t>
      </w:r>
      <w:r>
        <w:fldChar w:fldCharType="begin"/>
      </w:r>
      <w:r>
        <w:instrText xml:space="preserve"> HYPERLINK "https://baike.baidu.com/item/%E8%81%9A%E5%90%88%E5%BA%A6/9609825?fromModule=lemma_inlink" \t "_blank" </w:instrText>
      </w:r>
      <w:r>
        <w:fldChar w:fldCharType="separate"/>
      </w:r>
      <w:r>
        <w:rPr>
          <w:sz w:val="24"/>
          <w:szCs w:val="24"/>
        </w:rPr>
        <w:t>聚合度</w:t>
      </w:r>
      <w:r>
        <w:rPr>
          <w:sz w:val="24"/>
          <w:szCs w:val="24"/>
        </w:rPr>
        <w:fldChar w:fldCharType="end"/>
      </w:r>
      <w:r>
        <w:rPr>
          <w:sz w:val="24"/>
          <w:szCs w:val="24"/>
        </w:rPr>
        <w:t>的有机液体化合物，一般称为有机硅油，包括甲基硅油和改性硅油等，具有耐热性、电绝缘性、耐候性、疏水性等特点。</w:t>
      </w:r>
    </w:p>
    <w:p>
      <w:pPr>
        <w:pStyle w:val="44"/>
        <w:numPr>
          <w:ilvl w:val="1"/>
          <w:numId w:val="15"/>
        </w:numPr>
        <w:spacing w:line="360" w:lineRule="auto"/>
        <w:ind w:left="817" w:firstLineChars="0"/>
        <w:rPr>
          <w:sz w:val="24"/>
          <w:szCs w:val="24"/>
        </w:rPr>
      </w:pPr>
      <w:r>
        <w:rPr>
          <w:sz w:val="24"/>
          <w:szCs w:val="24"/>
        </w:rPr>
        <w:t>碳氟化合物类，主要为人工合成以氟（F）元素取代部分或全部有机化合物中的氢（H）而得到的一类液体有机物，一般称为氟化液。</w:t>
      </w:r>
    </w:p>
    <w:p>
      <w:pPr>
        <w:pStyle w:val="44"/>
        <w:spacing w:line="360" w:lineRule="auto"/>
        <w:ind w:left="817" w:firstLine="0" w:firstLineChars="0"/>
        <w:rPr>
          <w:sz w:val="24"/>
          <w:szCs w:val="24"/>
        </w:rPr>
      </w:pPr>
      <w:r>
        <w:rPr>
          <w:rFonts w:hint="eastAsia"/>
          <w:sz w:val="24"/>
          <w:szCs w:val="24"/>
        </w:rPr>
        <w:t>碳氢化合物类液体（矿物油、合成油）与有机硅化合物类液体（硅油）通常用于单相浸没</w:t>
      </w:r>
      <w:r>
        <w:rPr>
          <w:sz w:val="24"/>
          <w:szCs w:val="24"/>
        </w:rPr>
        <w:t>式液冷系统</w:t>
      </w:r>
      <w:r>
        <w:rPr>
          <w:rFonts w:hint="eastAsia"/>
          <w:sz w:val="24"/>
          <w:szCs w:val="24"/>
        </w:rPr>
        <w:t>，在使用和选择时注意其粘度和易吸湿水解等问题。碳氟化合物类液体则既可以用于单相浸没冷却也可以用于</w:t>
      </w:r>
      <w:r>
        <w:rPr>
          <w:sz w:val="24"/>
          <w:szCs w:val="24"/>
        </w:rPr>
        <w:t>两</w:t>
      </w:r>
      <w:r>
        <w:rPr>
          <w:rFonts w:hint="eastAsia"/>
          <w:sz w:val="24"/>
          <w:szCs w:val="24"/>
        </w:rPr>
        <w:t>相浸没</w:t>
      </w:r>
      <w:r>
        <w:rPr>
          <w:sz w:val="24"/>
          <w:szCs w:val="24"/>
        </w:rPr>
        <w:t>式液冷系统</w:t>
      </w:r>
      <w:r>
        <w:rPr>
          <w:rFonts w:hint="eastAsia"/>
          <w:sz w:val="24"/>
          <w:szCs w:val="24"/>
        </w:rPr>
        <w:t>。</w:t>
      </w:r>
    </w:p>
    <w:p>
      <w:pPr>
        <w:spacing w:line="360" w:lineRule="auto"/>
        <w:jc w:val="left"/>
        <w:rPr>
          <w:sz w:val="24"/>
          <w:szCs w:val="24"/>
        </w:rPr>
      </w:pPr>
      <w:r>
        <w:rPr>
          <w:rFonts w:eastAsia="微软雅黑"/>
          <w:sz w:val="24"/>
          <w:szCs w:val="24"/>
        </w:rPr>
        <w:t xml:space="preserve"> </w:t>
      </w:r>
      <w:r>
        <w:rPr>
          <w:sz w:val="24"/>
          <w:szCs w:val="24"/>
        </w:rPr>
        <w:t xml:space="preserve">   4.7.8 当冷板式液冷系统选用水基冷却液时，应关注</w:t>
      </w:r>
      <w:r>
        <w:rPr>
          <w:rFonts w:hint="eastAsia"/>
          <w:sz w:val="24"/>
          <w:szCs w:val="24"/>
        </w:rPr>
        <w:t>冷却液的p</w:t>
      </w:r>
      <w:r>
        <w:rPr>
          <w:sz w:val="24"/>
          <w:szCs w:val="24"/>
        </w:rPr>
        <w:t>H值、菌落总数、浊度、氯离子、总硬度、电导率、硫酸根、铜离子、铁离子、铝离子、缓蚀剂、</w:t>
      </w:r>
      <w:r>
        <w:rPr>
          <w:rFonts w:hint="eastAsia"/>
          <w:sz w:val="24"/>
          <w:szCs w:val="24"/>
        </w:rPr>
        <w:t>抑</w:t>
      </w:r>
      <w:r>
        <w:rPr>
          <w:sz w:val="24"/>
          <w:szCs w:val="24"/>
        </w:rPr>
        <w:t>菌剂等。</w:t>
      </w:r>
    </w:p>
    <w:p>
      <w:pPr>
        <w:spacing w:line="360" w:lineRule="auto"/>
        <w:rPr>
          <w:sz w:val="24"/>
          <w:szCs w:val="24"/>
        </w:rPr>
      </w:pPr>
      <w:r>
        <w:rPr>
          <w:kern w:val="0"/>
          <w:sz w:val="24"/>
          <w:szCs w:val="24"/>
          <w:lang w:bidi="ar"/>
        </w:rPr>
        <w:t xml:space="preserve">    </w:t>
      </w:r>
      <w:r>
        <w:rPr>
          <w:sz w:val="24"/>
          <w:szCs w:val="24"/>
        </w:rPr>
        <w:t>条文说明：水基冷却液关键指标说明如下：</w:t>
      </w:r>
    </w:p>
    <w:p>
      <w:pPr>
        <w:pStyle w:val="44"/>
        <w:numPr>
          <w:ilvl w:val="1"/>
          <w:numId w:val="16"/>
        </w:numPr>
        <w:spacing w:line="360" w:lineRule="auto"/>
        <w:ind w:firstLineChars="0"/>
        <w:rPr>
          <w:sz w:val="24"/>
          <w:szCs w:val="24"/>
        </w:rPr>
      </w:pPr>
      <w:r>
        <w:rPr>
          <w:sz w:val="24"/>
          <w:szCs w:val="24"/>
        </w:rPr>
        <w:t>pH值：当pH值过低时，水溶液呈酸性易与金属发生置换反应，不仅金属部件遭受腐蚀损坏，还会释放出氢气，导致冷板鼓包，当pH值过高时，则易结垢；当冷板的材质为铝时，水基冷却液的pH值宜大于7.5小于8.7，pH值小于7.5（</w:t>
      </w:r>
      <w:r>
        <w:rPr>
          <w:rFonts w:hint="eastAsia"/>
          <w:sz w:val="24"/>
          <w:szCs w:val="24"/>
        </w:rPr>
        <w:t>偏</w:t>
      </w:r>
      <w:r>
        <w:rPr>
          <w:sz w:val="24"/>
          <w:szCs w:val="24"/>
        </w:rPr>
        <w:t>酸性）或超过8.7（偏碱性）时易发生腐蚀；当冷板的材质为铜时，水基冷却液的pH值宜为8.0~10，pH值小于8.0时易发生腐蚀。</w:t>
      </w:r>
    </w:p>
    <w:p>
      <w:pPr>
        <w:pStyle w:val="44"/>
        <w:numPr>
          <w:ilvl w:val="1"/>
          <w:numId w:val="16"/>
        </w:numPr>
        <w:spacing w:line="360" w:lineRule="auto"/>
        <w:ind w:firstLineChars="0"/>
        <w:rPr>
          <w:sz w:val="24"/>
          <w:szCs w:val="24"/>
        </w:rPr>
      </w:pPr>
      <w:r>
        <w:rPr>
          <w:sz w:val="24"/>
          <w:szCs w:val="24"/>
        </w:rPr>
        <w:t>浊度：浊度是指溶液对光线通过所产生的阻碍程度，包括悬浮物对光的散射、溶质分子对光的吸收，浊度反映水中悬浮物的含量、大小、形状等，当浊度过高时易导致冷板的流道堵塞、传热性能下降。</w:t>
      </w:r>
    </w:p>
    <w:p>
      <w:pPr>
        <w:pStyle w:val="44"/>
        <w:numPr>
          <w:ilvl w:val="1"/>
          <w:numId w:val="16"/>
        </w:numPr>
        <w:spacing w:line="360" w:lineRule="auto"/>
        <w:ind w:firstLineChars="0"/>
        <w:rPr>
          <w:sz w:val="24"/>
          <w:szCs w:val="24"/>
        </w:rPr>
      </w:pPr>
      <w:r>
        <w:rPr>
          <w:sz w:val="24"/>
          <w:szCs w:val="24"/>
        </w:rPr>
        <w:t>电导率：电导率过高易发生腐蚀，电导率宜小于2000μs/cm（25℃）。</w:t>
      </w:r>
    </w:p>
    <w:p>
      <w:pPr>
        <w:pStyle w:val="44"/>
        <w:numPr>
          <w:ilvl w:val="1"/>
          <w:numId w:val="16"/>
        </w:numPr>
        <w:spacing w:line="360" w:lineRule="auto"/>
        <w:ind w:firstLineChars="0"/>
        <w:rPr>
          <w:sz w:val="24"/>
          <w:szCs w:val="24"/>
        </w:rPr>
      </w:pPr>
      <w:r>
        <w:rPr>
          <w:sz w:val="24"/>
          <w:szCs w:val="24"/>
        </w:rPr>
        <w:t>氯离子：氯离子的半径小穿透力强，易替代钝化膜中的氧原子造成金属水解，加速腐蚀的发生。</w:t>
      </w:r>
    </w:p>
    <w:p>
      <w:pPr>
        <w:pStyle w:val="44"/>
        <w:numPr>
          <w:ilvl w:val="1"/>
          <w:numId w:val="16"/>
        </w:numPr>
        <w:spacing w:line="360" w:lineRule="auto"/>
        <w:ind w:firstLineChars="0"/>
        <w:rPr>
          <w:sz w:val="24"/>
          <w:szCs w:val="24"/>
        </w:rPr>
      </w:pPr>
      <w:r>
        <w:rPr>
          <w:sz w:val="24"/>
          <w:szCs w:val="24"/>
        </w:rPr>
        <w:t>硫酸根：硫酸根会与某些离子发生反应，如镁离子与硫酸根离子化合产生硫酸镁沉淀物，钙离子与硫酸根离子化合产生硫酸钙沉淀物，这些沉淀物易造成冷板与管路的结垢、传热性能下降。</w:t>
      </w:r>
    </w:p>
    <w:p>
      <w:pPr>
        <w:pStyle w:val="44"/>
        <w:numPr>
          <w:ilvl w:val="1"/>
          <w:numId w:val="16"/>
        </w:numPr>
        <w:spacing w:line="360" w:lineRule="auto"/>
        <w:ind w:firstLineChars="0"/>
        <w:rPr>
          <w:sz w:val="24"/>
          <w:szCs w:val="24"/>
        </w:rPr>
      </w:pPr>
      <w:r>
        <w:rPr>
          <w:sz w:val="24"/>
          <w:szCs w:val="24"/>
        </w:rPr>
        <w:t>铁离子：铁离子会与氢氧根离子（OH-）结合形成沉淀，易造成冷板与管路的结垢、堵塞、传热性能下降。</w:t>
      </w:r>
    </w:p>
    <w:p>
      <w:pPr>
        <w:pStyle w:val="44"/>
        <w:numPr>
          <w:ilvl w:val="1"/>
          <w:numId w:val="16"/>
        </w:numPr>
        <w:spacing w:line="360" w:lineRule="auto"/>
        <w:ind w:firstLineChars="0"/>
        <w:rPr>
          <w:sz w:val="24"/>
          <w:szCs w:val="24"/>
        </w:rPr>
      </w:pPr>
      <w:r>
        <w:rPr>
          <w:sz w:val="24"/>
          <w:szCs w:val="24"/>
        </w:rPr>
        <w:t>铜离子、铝离子：用于监测判断铜/铝冷板、铜/铝部件是否发生腐蚀。</w:t>
      </w:r>
    </w:p>
    <w:p>
      <w:pPr>
        <w:pStyle w:val="44"/>
        <w:numPr>
          <w:ilvl w:val="1"/>
          <w:numId w:val="16"/>
        </w:numPr>
        <w:spacing w:line="360" w:lineRule="auto"/>
        <w:ind w:firstLineChars="0"/>
        <w:rPr>
          <w:sz w:val="24"/>
          <w:szCs w:val="24"/>
        </w:rPr>
      </w:pPr>
      <w:r>
        <w:rPr>
          <w:sz w:val="24"/>
          <w:szCs w:val="24"/>
        </w:rPr>
        <w:t>总硬度：是指水中钙离子（Ca2+）、镁离子（Mg2+）的总量，钙离子（Ca2+）、镁离子（Mg2+）与碳酸根、氢氧根、磷酸根、硫酸根离子均可化合反应，倾向于在换热器表面结垢，易造成冷板与管路的结垢、堵塞、传热性能下降。</w:t>
      </w:r>
    </w:p>
    <w:p>
      <w:pPr>
        <w:pStyle w:val="44"/>
        <w:numPr>
          <w:ilvl w:val="1"/>
          <w:numId w:val="16"/>
        </w:numPr>
        <w:spacing w:line="360" w:lineRule="auto"/>
        <w:ind w:firstLineChars="0"/>
        <w:rPr>
          <w:sz w:val="24"/>
          <w:szCs w:val="24"/>
        </w:rPr>
      </w:pPr>
      <w:r>
        <w:rPr>
          <w:sz w:val="24"/>
          <w:szCs w:val="24"/>
        </w:rPr>
        <w:t>菌落总数（微生物）：微生物含量太高易产生软垢，易堵塞冷板、影响换热；闭式水系统内易产生微生物，导致的软垢又会造成冷板堵塞、热性能下降；微生物可使水溶液酸化导致腐蚀加速。</w:t>
      </w:r>
    </w:p>
    <w:p>
      <w:pPr>
        <w:widowControl/>
        <w:spacing w:line="360" w:lineRule="auto"/>
        <w:ind w:firstLine="480" w:firstLineChars="200"/>
        <w:jc w:val="center"/>
        <w:rPr>
          <w:rFonts w:eastAsia="微软雅黑"/>
          <w:b/>
          <w:kern w:val="0"/>
          <w:sz w:val="18"/>
          <w:szCs w:val="21"/>
          <w:lang w:bidi="ar"/>
        </w:rPr>
      </w:pPr>
      <w:r>
        <w:rPr>
          <w:rFonts w:eastAsia="微软雅黑"/>
          <w:kern w:val="0"/>
          <w:sz w:val="24"/>
          <w:szCs w:val="24"/>
          <w:lang w:bidi="ar"/>
        </w:rPr>
        <w:t xml:space="preserve">   </w:t>
      </w:r>
      <w:r>
        <w:rPr>
          <w:b/>
          <w:kern w:val="0"/>
          <w:szCs w:val="24"/>
          <w:lang w:bidi="ar"/>
        </w:rPr>
        <w:t>表4.7.8  水基冷却液的水质标准举例表</w:t>
      </w:r>
    </w:p>
    <w:tbl>
      <w:tblPr>
        <w:tblStyle w:val="27"/>
        <w:tblW w:w="7964" w:type="dxa"/>
        <w:jc w:val="center"/>
        <w:tblLayout w:type="fixed"/>
        <w:tblCellMar>
          <w:top w:w="0" w:type="dxa"/>
          <w:left w:w="108" w:type="dxa"/>
          <w:bottom w:w="0" w:type="dxa"/>
          <w:right w:w="108" w:type="dxa"/>
        </w:tblCellMar>
      </w:tblPr>
      <w:tblGrid>
        <w:gridCol w:w="2443"/>
        <w:gridCol w:w="2737"/>
        <w:gridCol w:w="2784"/>
      </w:tblGrid>
      <w:tr>
        <w:trPr>
          <w:trHeight w:val="315" w:hRule="atLeast"/>
          <w:jc w:val="center"/>
        </w:trPr>
        <w:tc>
          <w:tcPr>
            <w:tcW w:w="244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项目</w:t>
            </w:r>
          </w:p>
        </w:tc>
        <w:tc>
          <w:tcPr>
            <w:tcW w:w="273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单位</w:t>
            </w:r>
          </w:p>
        </w:tc>
        <w:tc>
          <w:tcPr>
            <w:tcW w:w="278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水基冷却液水质</w:t>
            </w:r>
          </w:p>
        </w:tc>
      </w:tr>
      <w:tr>
        <w:trPr>
          <w:trHeight w:val="1021" w:hRule="atLeast"/>
          <w:jc w:val="center"/>
        </w:trPr>
        <w:tc>
          <w:tcPr>
            <w:tcW w:w="244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pH（25℃）</w:t>
            </w:r>
          </w:p>
        </w:tc>
        <w:tc>
          <w:tcPr>
            <w:tcW w:w="273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w:t>
            </w:r>
          </w:p>
        </w:tc>
        <w:tc>
          <w:tcPr>
            <w:tcW w:w="278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铜冷板8.0~10</w:t>
            </w:r>
          </w:p>
          <w:p>
            <w:pPr>
              <w:spacing w:line="360" w:lineRule="auto"/>
              <w:jc w:val="left"/>
              <w:rPr>
                <w:kern w:val="0"/>
                <w:szCs w:val="21"/>
                <w:lang w:bidi="ar"/>
              </w:rPr>
            </w:pPr>
            <w:r>
              <w:rPr>
                <w:kern w:val="0"/>
                <w:szCs w:val="21"/>
                <w:lang w:bidi="ar"/>
              </w:rPr>
              <w:t>铝冷板7.5~8.7</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菌落总数</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cfu/ml</w:t>
            </w:r>
          </w:p>
        </w:tc>
        <w:tc>
          <w:tcPr>
            <w:tcW w:w="2784" w:type="dxa"/>
            <w:tcBorders>
              <w:top w:val="nil"/>
              <w:left w:val="nil"/>
              <w:bottom w:val="single" w:color="auto" w:sz="4" w:space="0"/>
              <w:right w:val="single" w:color="auto" w:sz="4" w:space="0"/>
            </w:tcBorders>
            <w:shd w:val="clear" w:color="auto" w:fill="auto"/>
            <w:vAlign w:val="center"/>
          </w:tcPr>
          <w:p>
            <w:pPr>
              <w:spacing w:line="360" w:lineRule="auto"/>
              <w:jc w:val="left"/>
              <w:rPr>
                <w:kern w:val="0"/>
                <w:szCs w:val="21"/>
                <w:lang w:bidi="ar"/>
              </w:rPr>
            </w:pPr>
            <w:r>
              <w:rPr>
                <w:kern w:val="0"/>
                <w:szCs w:val="21"/>
                <w:lang w:bidi="ar"/>
              </w:rPr>
              <w:t xml:space="preserve">&lt;1000 </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浊度</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NTU</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&lt;10</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氯离子</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&lt;30</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总硬度</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 as CaCO3</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&lt;20</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电导率</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μs/cm</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&lt;2,000</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硫酸根</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&lt;10</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铜离子</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&lt;0.5</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铁离子</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&lt;0.5</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铝离子</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&lt;0.5</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缓蚀剂</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必须</w:t>
            </w:r>
          </w:p>
        </w:tc>
      </w:tr>
      <w:tr>
        <w:trPr>
          <w:trHeight w:val="315" w:hRule="atLeast"/>
          <w:jc w:val="center"/>
        </w:trPr>
        <w:tc>
          <w:tcPr>
            <w:tcW w:w="2443"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rFonts w:hint="eastAsia"/>
                <w:kern w:val="0"/>
                <w:szCs w:val="21"/>
                <w:lang w:bidi="ar"/>
              </w:rPr>
              <w:t>抑</w:t>
            </w:r>
            <w:r>
              <w:rPr>
                <w:kern w:val="0"/>
                <w:szCs w:val="21"/>
                <w:lang w:bidi="ar"/>
              </w:rPr>
              <w:t>菌剂</w:t>
            </w:r>
          </w:p>
        </w:tc>
        <w:tc>
          <w:tcPr>
            <w:tcW w:w="2737"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mg/L</w:t>
            </w:r>
          </w:p>
        </w:tc>
        <w:tc>
          <w:tcPr>
            <w:tcW w:w="2784" w:type="dxa"/>
            <w:tcBorders>
              <w:top w:val="nil"/>
              <w:left w:val="nil"/>
              <w:bottom w:val="single" w:color="auto" w:sz="4" w:space="0"/>
              <w:right w:val="single" w:color="auto" w:sz="4" w:space="0"/>
            </w:tcBorders>
            <w:shd w:val="clear" w:color="auto" w:fill="auto"/>
            <w:noWrap/>
            <w:vAlign w:val="center"/>
          </w:tcPr>
          <w:p>
            <w:pPr>
              <w:spacing w:line="360" w:lineRule="auto"/>
              <w:jc w:val="left"/>
              <w:rPr>
                <w:kern w:val="0"/>
                <w:szCs w:val="21"/>
                <w:lang w:bidi="ar"/>
              </w:rPr>
            </w:pPr>
            <w:r>
              <w:rPr>
                <w:kern w:val="0"/>
                <w:szCs w:val="21"/>
                <w:lang w:bidi="ar"/>
              </w:rPr>
              <w:t>必须</w:t>
            </w:r>
          </w:p>
        </w:tc>
      </w:tr>
    </w:tbl>
    <w:p>
      <w:pPr>
        <w:spacing w:line="360" w:lineRule="auto"/>
        <w:jc w:val="left"/>
        <w:rPr>
          <w:sz w:val="24"/>
          <w:szCs w:val="24"/>
        </w:rPr>
      </w:pPr>
      <w:r>
        <w:rPr>
          <w:rFonts w:eastAsia="微软雅黑"/>
          <w:sz w:val="24"/>
          <w:szCs w:val="24"/>
        </w:rPr>
        <w:t xml:space="preserve">   </w:t>
      </w:r>
      <w:r>
        <w:rPr>
          <w:sz w:val="24"/>
          <w:szCs w:val="24"/>
        </w:rPr>
        <w:t xml:space="preserve"> 4.7.9 当冷板式液冷系统选用水基冷却液时，去离子配方水基冷却液中应添加缓蚀剂、pH 调节剂、防菌剂，乙二醇水溶液与丙二醇水溶液中应添加抗氧化剂，宜添加抗泡剂、促进流动剂。</w:t>
      </w:r>
    </w:p>
    <w:p>
      <w:pPr>
        <w:spacing w:line="360" w:lineRule="auto"/>
        <w:rPr>
          <w:sz w:val="24"/>
          <w:szCs w:val="24"/>
        </w:rPr>
      </w:pPr>
      <w:r>
        <w:rPr>
          <w:sz w:val="24"/>
          <w:szCs w:val="24"/>
        </w:rPr>
        <w:t xml:space="preserve">    条文说明：水基冷却液的相关添加剂说明如下：</w:t>
      </w:r>
    </w:p>
    <w:p>
      <w:pPr>
        <w:numPr>
          <w:ilvl w:val="0"/>
          <w:numId w:val="17"/>
        </w:numPr>
        <w:spacing w:line="360" w:lineRule="auto"/>
        <w:jc w:val="left"/>
        <w:rPr>
          <w:sz w:val="24"/>
          <w:szCs w:val="24"/>
        </w:rPr>
      </w:pPr>
      <w:r>
        <w:rPr>
          <w:sz w:val="24"/>
          <w:szCs w:val="24"/>
        </w:rPr>
        <w:t>缓蚀剂：用于抑制冷却液对金属的腐蚀，缓蚀剂可减缓冷却液对金属的腐蚀性化学反应，缓蚀剂在金属表面形成薄的氧化膜，氧化膜把金属与冷却液隔离开，从而起到抗腐蚀的作用；添加缓蚀剂宜考虑系统生命周期内冷却液中金属离子的浓度能够维持在5ppm以下。</w:t>
      </w:r>
    </w:p>
    <w:p>
      <w:pPr>
        <w:numPr>
          <w:ilvl w:val="0"/>
          <w:numId w:val="17"/>
        </w:numPr>
        <w:spacing w:line="360" w:lineRule="auto"/>
        <w:jc w:val="left"/>
        <w:rPr>
          <w:sz w:val="24"/>
          <w:szCs w:val="24"/>
        </w:rPr>
      </w:pPr>
      <w:r>
        <w:rPr>
          <w:sz w:val="24"/>
          <w:szCs w:val="24"/>
        </w:rPr>
        <w:t>pH 调节剂：用于调节冷却液的酸碱度，确保冷却液的pH值维持在合理范围内。</w:t>
      </w:r>
    </w:p>
    <w:p>
      <w:pPr>
        <w:numPr>
          <w:ilvl w:val="0"/>
          <w:numId w:val="17"/>
        </w:numPr>
        <w:spacing w:line="360" w:lineRule="auto"/>
        <w:jc w:val="left"/>
        <w:rPr>
          <w:sz w:val="24"/>
          <w:szCs w:val="24"/>
        </w:rPr>
      </w:pPr>
      <w:r>
        <w:rPr>
          <w:sz w:val="24"/>
          <w:szCs w:val="24"/>
        </w:rPr>
        <w:t xml:space="preserve">防腐剂：用于防止冷却液中微生物的生长，有效维持冷却液中的总菌落数低于100cfu/mL以下，减少系统被污染的风险。 </w:t>
      </w:r>
    </w:p>
    <w:p>
      <w:pPr>
        <w:numPr>
          <w:ilvl w:val="0"/>
          <w:numId w:val="17"/>
        </w:numPr>
        <w:spacing w:line="360" w:lineRule="auto"/>
        <w:jc w:val="left"/>
        <w:rPr>
          <w:sz w:val="24"/>
          <w:szCs w:val="24"/>
        </w:rPr>
      </w:pPr>
      <w:r>
        <w:rPr>
          <w:sz w:val="24"/>
          <w:szCs w:val="24"/>
        </w:rPr>
        <w:t>抗氧化剂：用于防止冷却液长时间使用后被氧化，可有效阻止乙二醇水溶液发生酸化，减少氧化对冷却系统的影响。</w:t>
      </w:r>
    </w:p>
    <w:p>
      <w:pPr>
        <w:numPr>
          <w:ilvl w:val="0"/>
          <w:numId w:val="17"/>
        </w:numPr>
        <w:spacing w:line="360" w:lineRule="auto"/>
        <w:jc w:val="left"/>
        <w:rPr>
          <w:sz w:val="24"/>
          <w:szCs w:val="24"/>
        </w:rPr>
      </w:pPr>
      <w:r>
        <w:rPr>
          <w:rFonts w:hint="eastAsia"/>
          <w:sz w:val="24"/>
          <w:szCs w:val="24"/>
        </w:rPr>
        <w:t>抑</w:t>
      </w:r>
      <w:r>
        <w:rPr>
          <w:sz w:val="24"/>
          <w:szCs w:val="24"/>
        </w:rPr>
        <w:t>泡剂：用于防止冷却液在循环过程中产生气泡，可有效避免气穴腐蚀的发生；按照《乙二醇基变流器冷却液》NBTSH 6000-2019，泡沫体积应＜150ml，消泡时间应＜4s。</w:t>
      </w:r>
    </w:p>
    <w:p>
      <w:pPr>
        <w:numPr>
          <w:ilvl w:val="0"/>
          <w:numId w:val="17"/>
        </w:numPr>
        <w:spacing w:line="360" w:lineRule="auto"/>
        <w:jc w:val="left"/>
        <w:rPr>
          <w:sz w:val="24"/>
          <w:szCs w:val="24"/>
        </w:rPr>
      </w:pPr>
      <w:r>
        <w:rPr>
          <w:sz w:val="24"/>
          <w:szCs w:val="24"/>
        </w:rPr>
        <w:t>促进流动剂：用于提高冷却液的流动性，降低冷却液的运动粘度。</w:t>
      </w:r>
    </w:p>
    <w:p>
      <w:pPr>
        <w:spacing w:line="360" w:lineRule="auto"/>
        <w:jc w:val="left"/>
        <w:rPr>
          <w:kern w:val="0"/>
          <w:sz w:val="24"/>
          <w:szCs w:val="24"/>
          <w:lang w:bidi="ar"/>
        </w:rPr>
      </w:pPr>
      <w:r>
        <w:rPr>
          <w:sz w:val="24"/>
          <w:szCs w:val="24"/>
        </w:rPr>
        <w:t xml:space="preserve">    4.7.10 当冷板式液冷系统选用水基冷却液时，冷板、CDU内换热器、管路及附件中用到的金属材料应与水基冷却液兼容。</w:t>
      </w:r>
    </w:p>
    <w:p>
      <w:pPr>
        <w:spacing w:line="360" w:lineRule="auto"/>
        <w:rPr>
          <w:sz w:val="24"/>
          <w:szCs w:val="24"/>
        </w:rPr>
      </w:pPr>
      <w:r>
        <w:rPr>
          <w:lang w:bidi="ar"/>
        </w:rPr>
        <w:t xml:space="preserve">  </w:t>
      </w:r>
      <w:r>
        <w:rPr>
          <w:sz w:val="24"/>
          <w:szCs w:val="24"/>
        </w:rPr>
        <w:t xml:space="preserve">  条文说明：冷板散热器、钎焊料、管材的首选材料为铜，黄铜易在镀铬层的断裂处遭受腐蚀，需定期检查黄铜部件，确保系统安全运行；冷板散热器、钎焊料、管材与水基冷却液接触的弹性密封材料宜选用三元乙丙橡胶 （EPDM），与水基冷却液接触的软管宜选用兼容性良好的丁腈橡胶；冷板散热器、钎焊料、管材的O形密封圈与快速联接装置的润滑脂宜选用全氟聚醚或聚四氟乙烯；快速联接装置的材料宜为三元乙丙橡胶（EPDM）、镀铬黄铜、聚砜或不锈钢。</w:t>
      </w:r>
    </w:p>
    <w:p>
      <w:pPr>
        <w:widowControl/>
        <w:spacing w:line="360" w:lineRule="auto"/>
        <w:ind w:firstLine="480" w:firstLineChars="200"/>
        <w:jc w:val="center"/>
        <w:rPr>
          <w:b/>
          <w:kern w:val="0"/>
          <w:szCs w:val="24"/>
          <w:lang w:bidi="ar"/>
        </w:rPr>
      </w:pPr>
      <w:r>
        <w:rPr>
          <w:rFonts w:eastAsia="微软雅黑"/>
          <w:sz w:val="24"/>
          <w:szCs w:val="24"/>
        </w:rPr>
        <w:t xml:space="preserve">    </w:t>
      </w:r>
      <w:r>
        <w:rPr>
          <w:b/>
          <w:kern w:val="0"/>
          <w:szCs w:val="24"/>
          <w:lang w:bidi="ar"/>
        </w:rPr>
        <w:t>表4.7.10  冷板式液冷系统用冷侧（二次侧）金属材料兼容性表</w:t>
      </w:r>
    </w:p>
    <w:tbl>
      <w:tblPr>
        <w:tblStyle w:val="28"/>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564"/>
        <w:gridCol w:w="1782"/>
        <w:gridCol w:w="3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5" w:type="dxa"/>
            <w:gridSpan w:val="4"/>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1"/>
              </w:rPr>
            </w:pPr>
            <w:r>
              <w:rPr>
                <w:kern w:val="0"/>
                <w:szCs w:val="21"/>
                <w:lang w:bidi="ar"/>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1"/>
              </w:rPr>
            </w:pPr>
            <w:r>
              <w:rPr>
                <w:kern w:val="0"/>
                <w:szCs w:val="21"/>
                <w:lang w:bidi="ar"/>
              </w:rPr>
              <w:t>材料</w:t>
            </w: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1"/>
              </w:rPr>
            </w:pPr>
            <w:r>
              <w:rPr>
                <w:kern w:val="0"/>
                <w:szCs w:val="21"/>
                <w:lang w:bidi="ar"/>
              </w:rPr>
              <w:t>金属代码</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1"/>
              </w:rPr>
            </w:pPr>
            <w:r>
              <w:rPr>
                <w:kern w:val="0"/>
                <w:szCs w:val="21"/>
              </w:rPr>
              <w:t>UNS（国标）</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1"/>
              </w:rPr>
            </w:pPr>
            <w:r>
              <w:rPr>
                <w:kern w:val="0"/>
                <w:szCs w:val="21"/>
                <w:lang w:bidi="ar"/>
              </w:rPr>
              <w:t>合金成分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0"/>
                <w:szCs w:val="21"/>
              </w:rPr>
            </w:pPr>
            <w:r>
              <w:rPr>
                <w:kern w:val="0"/>
                <w:szCs w:val="21"/>
              </w:rPr>
              <w:t>铜</w:t>
            </w: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CDA1020</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最低99.95%铜+0.002%银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CDA110</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C11000</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最低99.95%铜+0.002%银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CDA1220</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99.9%铜+0.02%磷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CDA1100</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99.9%铜+0.04%氧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0"/>
                <w:szCs w:val="21"/>
              </w:rPr>
            </w:pPr>
            <w:r>
              <w:rPr>
                <w:kern w:val="0"/>
                <w:szCs w:val="21"/>
                <w:lang w:bidi="ar"/>
              </w:rPr>
              <w:t>钎焊填料</w:t>
            </w: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B-Ni-6</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88.9%镍+11%磷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BCuP-2</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93%铜+7%磷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BCuP-1</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95%铜+5%磷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BCuP-5</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80%铜+5%磷+15%银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0"/>
                <w:szCs w:val="21"/>
              </w:rPr>
            </w:pPr>
            <w:r>
              <w:rPr>
                <w:kern w:val="0"/>
                <w:szCs w:val="21"/>
                <w:lang w:bidi="ar"/>
              </w:rPr>
              <w:t>不锈钢</w:t>
            </w: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302</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S30200</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304</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S30400</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304L</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S30403</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316</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S31600</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strike/>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316L</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S31603</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321</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S32100</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430F</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S43020</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440C</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UNS S44004</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0"/>
                <w:szCs w:val="21"/>
              </w:rPr>
            </w:pPr>
            <w:r>
              <w:rPr>
                <w:kern w:val="0"/>
                <w:szCs w:val="21"/>
                <w:lang w:bidi="ar"/>
              </w:rPr>
              <w:t>不锈钢焊接填料</w:t>
            </w: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ER-316L</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strike/>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ER-308L</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strike/>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ER-308LSi</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strike/>
                <w:kern w:val="0"/>
                <w:szCs w:val="21"/>
              </w:rPr>
            </w:pP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钛合金</w:t>
            </w:r>
          </w:p>
        </w:tc>
        <w:tc>
          <w:tcPr>
            <w:tcW w:w="156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r>
              <w:rPr>
                <w:kern w:val="0"/>
                <w:szCs w:val="21"/>
                <w:lang w:bidi="ar"/>
              </w:rPr>
              <w:t>2级</w:t>
            </w:r>
          </w:p>
        </w:tc>
        <w:tc>
          <w:tcPr>
            <w:tcW w:w="1782" w:type="dxa"/>
            <w:tcBorders>
              <w:top w:val="single" w:color="auto" w:sz="4" w:space="0"/>
              <w:left w:val="single" w:color="auto" w:sz="4" w:space="0"/>
              <w:bottom w:val="single" w:color="auto" w:sz="4" w:space="0"/>
              <w:right w:val="single" w:color="auto" w:sz="4" w:space="0"/>
            </w:tcBorders>
            <w:shd w:val="clear" w:color="auto" w:fill="auto"/>
          </w:tcPr>
          <w:p>
            <w:pPr>
              <w:jc w:val="left"/>
              <w:rPr>
                <w:strike/>
                <w:kern w:val="0"/>
                <w:szCs w:val="21"/>
              </w:rPr>
            </w:pPr>
            <w:r>
              <w:rPr>
                <w:kern w:val="0"/>
                <w:szCs w:val="21"/>
                <w:lang w:bidi="ar"/>
              </w:rPr>
              <w:t>UNS R50400</w:t>
            </w:r>
          </w:p>
        </w:tc>
        <w:tc>
          <w:tcPr>
            <w:tcW w:w="3445"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21"/>
              </w:rPr>
            </w:pPr>
          </w:p>
        </w:tc>
      </w:tr>
    </w:tbl>
    <w:p>
      <w:pPr>
        <w:spacing w:line="360" w:lineRule="auto"/>
        <w:jc w:val="left"/>
        <w:rPr>
          <w:sz w:val="24"/>
          <w:szCs w:val="24"/>
        </w:rPr>
      </w:pPr>
      <w:r>
        <w:rPr>
          <w:rFonts w:eastAsia="微软雅黑"/>
          <w:sz w:val="24"/>
          <w:szCs w:val="24"/>
        </w:rPr>
        <w:t xml:space="preserve">  </w:t>
      </w:r>
      <w:r>
        <w:rPr>
          <w:sz w:val="24"/>
          <w:szCs w:val="24"/>
        </w:rPr>
        <w:t xml:space="preserve">  4.7.11 冷板式液冷系统用冷侧（二次侧）应避免使用镀镍和镀铬的快速接头，应定期检查快速接头。</w:t>
      </w:r>
    </w:p>
    <w:p>
      <w:pPr>
        <w:spacing w:line="360" w:lineRule="auto"/>
        <w:jc w:val="left"/>
        <w:rPr>
          <w:sz w:val="24"/>
          <w:szCs w:val="24"/>
        </w:rPr>
      </w:pPr>
      <w:r>
        <w:rPr>
          <w:sz w:val="24"/>
          <w:szCs w:val="24"/>
        </w:rPr>
        <w:t xml:space="preserve">    4.7.12 冷板式液冷系统用冷侧（二次侧）的机械密封材料与轴承材料应与冷却液兼容。</w:t>
      </w:r>
    </w:p>
    <w:p>
      <w:pPr>
        <w:spacing w:line="360" w:lineRule="auto"/>
        <w:ind w:firstLine="480"/>
        <w:rPr>
          <w:sz w:val="24"/>
          <w:szCs w:val="24"/>
        </w:rPr>
      </w:pPr>
      <w:r>
        <w:rPr>
          <w:sz w:val="24"/>
          <w:szCs w:val="24"/>
        </w:rPr>
        <w:t>条文说明：如下表格中的氧化铝和石墨碳化硅化合物具有高温稳定性和良好的化学惰性，可形成高密度、高强度和高硬度的陶瓷材料，适合用作冷板式液冷系统用冷侧（二次侧）的泵、涡轮流量计的机械密封与轴承。</w:t>
      </w:r>
    </w:p>
    <w:p>
      <w:pPr>
        <w:spacing w:line="360" w:lineRule="auto"/>
        <w:rPr>
          <w:b/>
          <w:kern w:val="0"/>
          <w:szCs w:val="24"/>
          <w:lang w:bidi="ar"/>
        </w:rPr>
      </w:pPr>
      <w:r>
        <w:rPr>
          <w:b/>
          <w:kern w:val="0"/>
          <w:szCs w:val="24"/>
          <w:lang w:bidi="ar"/>
        </w:rPr>
        <w:t>表4.7.12  冷板式液冷系统用冷侧（二次侧）机械密封材料与轴承材料与冷却液兼容性表</w:t>
      </w:r>
    </w:p>
    <w:tbl>
      <w:tblPr>
        <w:tblStyle w:val="28"/>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2"/>
        <w:gridCol w:w="4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5" w:type="dxa"/>
            <w:gridSpan w:val="2"/>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18"/>
                <w:lang w:bidi="ar"/>
              </w:rPr>
            </w:pPr>
            <w:r>
              <w:rPr>
                <w:kern w:val="0"/>
                <w:szCs w:val="18"/>
                <w:lang w:bidi="ar"/>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32"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18"/>
                <w:lang w:bidi="ar"/>
              </w:rPr>
            </w:pPr>
            <w:r>
              <w:rPr>
                <w:kern w:val="0"/>
                <w:szCs w:val="18"/>
                <w:lang w:bidi="ar"/>
              </w:rPr>
              <w:t>Al2O3</w:t>
            </w:r>
          </w:p>
        </w:tc>
        <w:tc>
          <w:tcPr>
            <w:tcW w:w="4143"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18"/>
                <w:lang w:bidi="ar"/>
              </w:rPr>
            </w:pPr>
            <w:r>
              <w:rPr>
                <w:kern w:val="0"/>
                <w:szCs w:val="18"/>
                <w:lang w:bidi="ar"/>
              </w:rPr>
              <w:t>氧化铝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32"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18"/>
                <w:lang w:bidi="ar"/>
              </w:rPr>
            </w:pPr>
            <w:r>
              <w:rPr>
                <w:kern w:val="0"/>
                <w:szCs w:val="18"/>
                <w:lang w:bidi="ar"/>
              </w:rPr>
              <w:t xml:space="preserve">GLSC </w:t>
            </w:r>
          </w:p>
        </w:tc>
        <w:tc>
          <w:tcPr>
            <w:tcW w:w="4143"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18"/>
                <w:lang w:bidi="ar"/>
              </w:rPr>
            </w:pPr>
            <w:r>
              <w:rPr>
                <w:kern w:val="0"/>
                <w:szCs w:val="18"/>
                <w:lang w:bidi="ar"/>
              </w:rPr>
              <w:t>石墨碳化硅</w:t>
            </w:r>
          </w:p>
        </w:tc>
      </w:tr>
    </w:tbl>
    <w:p>
      <w:pPr>
        <w:pStyle w:val="26"/>
        <w:widowControl w:val="0"/>
        <w:autoSpaceDE w:val="0"/>
        <w:autoSpaceDN w:val="0"/>
        <w:spacing w:before="120" w:beforeAutospacing="0" w:after="0" w:afterAutospacing="0"/>
        <w:rPr>
          <w:rFonts w:ascii="Times New Roman" w:hAnsi="Times New Roman" w:cs="Times New Roman"/>
        </w:rPr>
      </w:pPr>
      <w:r>
        <w:rPr>
          <w:rFonts w:ascii="Times New Roman" w:hAnsi="Times New Roman" w:eastAsia="微软雅黑" w:cs="Times New Roman"/>
        </w:rPr>
        <w:t xml:space="preserve">    </w:t>
      </w:r>
      <w:r>
        <w:rPr>
          <w:rFonts w:ascii="Times New Roman" w:hAnsi="Times New Roman" w:cs="Times New Roman"/>
        </w:rPr>
        <w:t>4.7.13 冷板式液冷系统用冷侧（二次侧）的有机聚合物应与冷却液兼容。</w:t>
      </w:r>
    </w:p>
    <w:p>
      <w:pPr>
        <w:spacing w:line="360" w:lineRule="auto"/>
        <w:ind w:firstLine="444"/>
        <w:rPr>
          <w:sz w:val="24"/>
          <w:szCs w:val="24"/>
        </w:rPr>
      </w:pPr>
      <w:r>
        <w:rPr>
          <w:sz w:val="24"/>
          <w:szCs w:val="24"/>
        </w:rPr>
        <w:t xml:space="preserve">条文说明：有机聚合物通常用于O形圈、软管、管道、接头密封剂、密封件、储罐和配件，兼容性良好的聚合物材料如下表格: </w:t>
      </w:r>
    </w:p>
    <w:p>
      <w:pPr>
        <w:spacing w:line="360" w:lineRule="auto"/>
        <w:jc w:val="center"/>
        <w:rPr>
          <w:b/>
          <w:kern w:val="0"/>
          <w:szCs w:val="24"/>
          <w:lang w:bidi="ar"/>
        </w:rPr>
      </w:pPr>
      <w:r>
        <w:rPr>
          <w:b/>
          <w:kern w:val="0"/>
          <w:szCs w:val="24"/>
          <w:lang w:bidi="ar"/>
        </w:rPr>
        <w:t>表4.7.13  冷板式液冷系统用冷侧（二次侧）有机聚合物应与冷却液兼容性表</w:t>
      </w:r>
    </w:p>
    <w:tbl>
      <w:tblPr>
        <w:tblStyle w:val="28"/>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0"/>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34" w:type="dxa"/>
            <w:gridSpan w:val="2"/>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18"/>
                <w:lang w:bidi="ar"/>
              </w:rPr>
            </w:pPr>
            <w:r>
              <w:rPr>
                <w:kern w:val="0"/>
                <w:szCs w:val="18"/>
                <w:lang w:bidi="ar"/>
              </w:rPr>
              <w:t>聚合物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EPDM</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三元乙丙橡胶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AFLAS</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四氟乙烯-丙烯共聚物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氟橡胶A</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亚氟乙烯-六氟丙烯共聚物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氟橡胶GF</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四氟乙烯-偏氟乙烯-六氟丙烯共聚物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氟橡胶ETP</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乙烯、四氟乙烯、全氟甲基乙烯基醚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丁腈橡胶</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丙烯腈丁二烯橡胶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EPR</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乙丙橡胶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FEP</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氟化乙丙橡胶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PTFE</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聚四氟乙烯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PP</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聚丙烯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PEX</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交联聚乙烯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 xml:space="preserve">UHMW PE </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超高分子量聚乙烯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HDPE</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高密度聚乙烯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bookmarkStart w:id="20" w:name="_Hlk148689681"/>
            <w:r>
              <w:rPr>
                <w:kern w:val="0"/>
                <w:szCs w:val="18"/>
                <w:lang w:bidi="ar"/>
              </w:rPr>
              <w:t>PVDF</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聚偏二氟乙烯</w:t>
            </w:r>
          </w:p>
        </w:tc>
      </w:tr>
      <w:bookmark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PEEK</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聚醚醚酮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0"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PFA, ASTM D3307</w:t>
            </w:r>
          </w:p>
        </w:tc>
        <w:tc>
          <w:tcPr>
            <w:tcW w:w="4144" w:type="dxa"/>
            <w:tcBorders>
              <w:top w:val="single" w:color="auto" w:sz="4" w:space="0"/>
              <w:left w:val="single" w:color="auto" w:sz="4" w:space="0"/>
              <w:bottom w:val="single" w:color="auto" w:sz="4" w:space="0"/>
              <w:right w:val="single" w:color="auto" w:sz="4" w:space="0"/>
            </w:tcBorders>
            <w:shd w:val="clear" w:color="auto" w:fill="auto"/>
          </w:tcPr>
          <w:p>
            <w:pPr>
              <w:jc w:val="left"/>
              <w:rPr>
                <w:kern w:val="0"/>
                <w:szCs w:val="18"/>
                <w:lang w:bidi="ar"/>
              </w:rPr>
            </w:pPr>
            <w:r>
              <w:rPr>
                <w:kern w:val="0"/>
                <w:szCs w:val="18"/>
                <w:lang w:bidi="ar"/>
              </w:rPr>
              <w:t>全氟烷氧基化合物(ASTM D3307)</w:t>
            </w:r>
          </w:p>
        </w:tc>
      </w:tr>
    </w:tbl>
    <w:p>
      <w:pPr>
        <w:spacing w:line="360" w:lineRule="auto"/>
        <w:rPr>
          <w:sz w:val="24"/>
          <w:szCs w:val="24"/>
        </w:rPr>
      </w:pPr>
      <w:r>
        <w:rPr>
          <w:rFonts w:eastAsia="微软雅黑"/>
          <w:sz w:val="24"/>
          <w:szCs w:val="24"/>
        </w:rPr>
        <w:t xml:space="preserve">  </w:t>
      </w:r>
      <w:r>
        <w:rPr>
          <w:sz w:val="24"/>
          <w:szCs w:val="24"/>
        </w:rPr>
        <w:t xml:space="preserve">  由于某些等级的尼龙（聚酰胺）会在水中产生铵离子，进而导致铜受到严重腐蚀，因此不建议在含有黄色金属（例如铜）的处理水系统中使用尼龙；聚氨酯与浓缩的铜缓蚀剂量不兼容，不建议使用聚氨酯。用冷侧（二次侧）通常工作温度低于50°C，当工作温度超过 65°C时，需要重新制定兼容材料的清单。</w:t>
      </w:r>
    </w:p>
    <w:p>
      <w:pPr>
        <w:spacing w:line="360" w:lineRule="auto"/>
        <w:jc w:val="left"/>
      </w:pPr>
      <w:r>
        <w:t xml:space="preserve"> </w:t>
      </w:r>
      <w:r>
        <w:rPr>
          <w:sz w:val="24"/>
          <w:szCs w:val="24"/>
        </w:rPr>
        <w:t xml:space="preserve">   4.7.14 冷板式液冷系统用冷侧（二次侧）冷却液的化学性质应稳定，冷却液的化学性质应根据系统中的材料、冷却液的工作温度、离子种类、离子浓度等确定。</w:t>
      </w:r>
    </w:p>
    <w:p>
      <w:pPr>
        <w:spacing w:line="360" w:lineRule="auto"/>
        <w:rPr>
          <w:sz w:val="24"/>
          <w:szCs w:val="24"/>
        </w:rPr>
      </w:pPr>
      <w:r>
        <w:rPr>
          <w:sz w:val="24"/>
          <w:szCs w:val="24"/>
        </w:rPr>
        <w:t xml:space="preserve">    条文说明：维护冷却液化学性质的目的是为了防止金属材料遭受腐蚀，金属材料主要包括不锈钢、铜、铝合金材料（铝合金有8个系列）；不同的金属材料对冷却液化学性质的要求不同</w:t>
      </w:r>
      <w:r>
        <w:rPr>
          <w:rFonts w:hint="eastAsia"/>
          <w:sz w:val="24"/>
          <w:szCs w:val="24"/>
        </w:rPr>
        <w:t>。</w:t>
      </w:r>
      <w:r>
        <w:rPr>
          <w:sz w:val="24"/>
          <w:szCs w:val="24"/>
        </w:rPr>
        <w:t>例如，不锈钢在温度超过 60°C 时易发生腐蚀导致开裂，影响不锈钢腐蚀的因素包括温度、pH值、氯离子浓度及表面清洁度等。</w:t>
      </w:r>
    </w:p>
    <w:p>
      <w:pPr>
        <w:spacing w:line="360" w:lineRule="auto"/>
        <w:jc w:val="left"/>
      </w:pPr>
      <w:r>
        <w:t xml:space="preserve">   </w:t>
      </w:r>
      <w:r>
        <w:rPr>
          <w:sz w:val="24"/>
          <w:szCs w:val="24"/>
        </w:rPr>
        <w:t xml:space="preserve"> 4.7.15 冷板式液冷系统用冷侧（二次侧）冷却液的缓蚀剂应根据系统中接触冷却液的金属材料确定。</w:t>
      </w:r>
    </w:p>
    <w:p>
      <w:pPr>
        <w:spacing w:line="360" w:lineRule="auto"/>
        <w:rPr>
          <w:sz w:val="24"/>
          <w:szCs w:val="24"/>
        </w:rPr>
      </w:pPr>
      <w:r>
        <w:rPr>
          <w:sz w:val="24"/>
          <w:szCs w:val="24"/>
        </w:rPr>
        <w:t xml:space="preserve">    条文说明：铜合金的缓蚀剂通常为唑类（苯并三唑或甲基苯并三唑等）。</w:t>
      </w:r>
    </w:p>
    <w:p>
      <w:pPr>
        <w:pStyle w:val="26"/>
        <w:widowControl w:val="0"/>
        <w:autoSpaceDE w:val="0"/>
        <w:autoSpaceDN w:val="0"/>
        <w:spacing w:before="120" w:beforeAutospacing="0" w:after="0" w:afterAutospacing="0"/>
        <w:rPr>
          <w:rFonts w:ascii="Times New Roman" w:hAnsi="Times New Roman" w:cs="Times New Roman"/>
        </w:rPr>
      </w:pPr>
      <w:r>
        <w:rPr>
          <w:rFonts w:ascii="Times New Roman" w:hAnsi="Times New Roman" w:cs="Times New Roman"/>
        </w:rPr>
        <w:t xml:space="preserve">    4.7.16 冷板式液冷系统用冷侧（二次侧）冷却液应监测pH值和电导率。</w:t>
      </w:r>
    </w:p>
    <w:p>
      <w:pPr>
        <w:spacing w:line="360" w:lineRule="auto"/>
        <w:rPr>
          <w:kern w:val="0"/>
          <w:sz w:val="24"/>
          <w:szCs w:val="24"/>
          <w:lang w:bidi="ar"/>
        </w:rPr>
      </w:pPr>
      <w:r>
        <w:rPr>
          <w:kern w:val="0"/>
          <w:lang w:bidi="ar"/>
        </w:rPr>
        <w:t xml:space="preserve"> </w:t>
      </w:r>
      <w:r>
        <w:rPr>
          <w:sz w:val="24"/>
          <w:szCs w:val="24"/>
        </w:rPr>
        <w:t xml:space="preserve">   条文说明：当冷却液的pH值超出允许范围（例如碳钢、不锈钢、铜共存的系统pH 值范围是8.0～10，最佳pH值范围是8～9.5，含有铝的系统pH值范围是7.5～8.7）时，为了维持pH值在合理范围，需在冷却液中添加pH调节剂。</w:t>
      </w:r>
    </w:p>
    <w:p>
      <w:pPr>
        <w:spacing w:line="360" w:lineRule="auto"/>
        <w:jc w:val="left"/>
      </w:pPr>
      <w:r>
        <w:t xml:space="preserve">    </w:t>
      </w:r>
      <w:r>
        <w:rPr>
          <w:sz w:val="24"/>
          <w:szCs w:val="24"/>
        </w:rPr>
        <w:t>4.7.17 当冷板式液冷系统用冷侧（二次侧）冷却液与不锈钢和铜共存时，宜监测不锈钢和铜的腐蚀率。</w:t>
      </w:r>
    </w:p>
    <w:p>
      <w:pPr>
        <w:spacing w:line="360" w:lineRule="auto"/>
        <w:rPr>
          <w:kern w:val="0"/>
          <w:sz w:val="24"/>
          <w:szCs w:val="24"/>
          <w:lang w:bidi="ar"/>
        </w:rPr>
      </w:pPr>
      <w:r>
        <w:rPr>
          <w:kern w:val="0"/>
          <w:lang w:bidi="ar"/>
        </w:rPr>
        <w:t xml:space="preserve">   </w:t>
      </w:r>
      <w:r>
        <w:rPr>
          <w:sz w:val="24"/>
          <w:szCs w:val="24"/>
        </w:rPr>
        <w:t xml:space="preserve"> 条文说明：铜和不锈钢的腐蚀率宜＜0.2mpy，腐蚀率过高会影响系统可靠性，易产生污染物导致管路和接口堵塞；当腐蚀率超标时，需根据实测情况添加缓蚀剂进行防腐，条件允许时需置换或更换冷却液。</w:t>
      </w:r>
    </w:p>
    <w:p>
      <w:pPr>
        <w:spacing w:line="360" w:lineRule="auto"/>
        <w:jc w:val="left"/>
      </w:pPr>
      <w:r>
        <w:t xml:space="preserve"> </w:t>
      </w:r>
      <w:r>
        <w:rPr>
          <w:sz w:val="24"/>
          <w:szCs w:val="24"/>
        </w:rPr>
        <w:t xml:space="preserve">   4.7.18 冷板式液冷系统用冷侧（二次侧）冷却液的细菌含量应控制在1000CFU/ml以下。</w:t>
      </w:r>
    </w:p>
    <w:p>
      <w:pPr>
        <w:spacing w:line="360" w:lineRule="auto"/>
        <w:rPr>
          <w:sz w:val="24"/>
          <w:szCs w:val="24"/>
        </w:rPr>
      </w:pPr>
      <w:r>
        <w:rPr>
          <w:sz w:val="24"/>
          <w:szCs w:val="24"/>
        </w:rPr>
        <w:t xml:space="preserve">    条文说明：细菌含量高会增加腐蚀和生物污垢的风险，易堵塞热交换器和冷板的微通道，当细菌含量超标时宜添加非氧化性</w:t>
      </w:r>
      <w:r>
        <w:rPr>
          <w:rFonts w:hint="eastAsia"/>
          <w:sz w:val="24"/>
          <w:szCs w:val="24"/>
        </w:rPr>
        <w:t>抑</w:t>
      </w:r>
      <w:r>
        <w:rPr>
          <w:sz w:val="24"/>
          <w:szCs w:val="24"/>
        </w:rPr>
        <w:t>菌剂进行</w:t>
      </w:r>
      <w:r>
        <w:rPr>
          <w:rFonts w:hint="eastAsia"/>
          <w:sz w:val="24"/>
          <w:szCs w:val="24"/>
        </w:rPr>
        <w:t>杀</w:t>
      </w:r>
      <w:r>
        <w:rPr>
          <w:sz w:val="24"/>
          <w:szCs w:val="24"/>
        </w:rPr>
        <w:t>菌；非氧化性</w:t>
      </w:r>
      <w:r>
        <w:rPr>
          <w:rFonts w:hint="eastAsia"/>
          <w:sz w:val="24"/>
          <w:szCs w:val="24"/>
        </w:rPr>
        <w:t>抑</w:t>
      </w:r>
      <w:r>
        <w:rPr>
          <w:sz w:val="24"/>
          <w:szCs w:val="24"/>
        </w:rPr>
        <w:t>菌剂不含铜，且总有机物含量（TOC）和化学需氧量（COD）含量低；不宜使用氧化型</w:t>
      </w:r>
      <w:r>
        <w:rPr>
          <w:rFonts w:hint="eastAsia"/>
          <w:sz w:val="24"/>
          <w:szCs w:val="24"/>
        </w:rPr>
        <w:t>抑</w:t>
      </w:r>
      <w:r>
        <w:rPr>
          <w:sz w:val="24"/>
          <w:szCs w:val="24"/>
        </w:rPr>
        <w:t>菌剂，易促进腐蚀。</w:t>
      </w:r>
    </w:p>
    <w:p>
      <w:pPr>
        <w:spacing w:line="360" w:lineRule="auto"/>
        <w:jc w:val="left"/>
        <w:rPr>
          <w:sz w:val="24"/>
          <w:szCs w:val="24"/>
        </w:rPr>
      </w:pPr>
      <w:r>
        <w:rPr>
          <w:lang w:bidi="ar"/>
        </w:rPr>
        <w:t xml:space="preserve">  </w:t>
      </w:r>
      <w:r>
        <w:t xml:space="preserve">  </w:t>
      </w:r>
      <w:r>
        <w:rPr>
          <w:sz w:val="24"/>
          <w:szCs w:val="24"/>
        </w:rPr>
        <w:t>4.7.19 冷板式液冷系统用冷侧（二次侧）冷却液的总硬度宜&lt;20ppm；浊度宜＜10NTU；蒸发残留物宜＜50ppm。</w:t>
      </w:r>
    </w:p>
    <w:p>
      <w:pPr>
        <w:spacing w:line="360" w:lineRule="auto"/>
        <w:jc w:val="left"/>
        <w:rPr>
          <w:sz w:val="24"/>
          <w:szCs w:val="24"/>
        </w:rPr>
      </w:pPr>
      <w:r>
        <w:rPr>
          <w:sz w:val="24"/>
          <w:szCs w:val="24"/>
        </w:rPr>
        <w:t xml:space="preserve">    4.7.20 冷板式液冷系统用冷侧（二次侧）冷却液的硫化物含量宜＜1ppm，硫酸盐的含量宜＜10ppm；卤化物应根据管路材质进行控制与监测。</w:t>
      </w:r>
    </w:p>
    <w:p>
      <w:pPr>
        <w:spacing w:line="360" w:lineRule="auto"/>
        <w:ind w:firstLine="432"/>
        <w:rPr>
          <w:sz w:val="24"/>
          <w:szCs w:val="24"/>
        </w:rPr>
      </w:pPr>
      <w:r>
        <w:rPr>
          <w:sz w:val="24"/>
          <w:szCs w:val="24"/>
        </w:rPr>
        <w:t>条文说明</w:t>
      </w:r>
      <w:r>
        <w:rPr>
          <w:rFonts w:hint="eastAsia"/>
          <w:sz w:val="24"/>
          <w:szCs w:val="24"/>
        </w:rPr>
        <w:t>：抑菌</w:t>
      </w:r>
      <w:r>
        <w:rPr>
          <w:sz w:val="24"/>
          <w:szCs w:val="24"/>
        </w:rPr>
        <w:t>剂会向水中输入卤化物。卤化物可导致不锈钢遭受腐蚀导致开裂，当卤化物含量过高时宜及时置换或更换冷却液。冷板式液冷系统用冷侧（二次侧）冷却液的化学性质如下表所示：</w:t>
      </w:r>
    </w:p>
    <w:p>
      <w:pPr>
        <w:widowControl/>
        <w:spacing w:line="360" w:lineRule="auto"/>
        <w:ind w:firstLine="420" w:firstLineChars="200"/>
        <w:jc w:val="center"/>
        <w:rPr>
          <w:rFonts w:eastAsia="微软雅黑"/>
          <w:b/>
          <w:kern w:val="0"/>
          <w:sz w:val="18"/>
          <w:szCs w:val="21"/>
          <w:lang w:bidi="ar"/>
        </w:rPr>
      </w:pPr>
      <w:r>
        <w:rPr>
          <w:b/>
          <w:kern w:val="0"/>
          <w:szCs w:val="24"/>
          <w:lang w:bidi="ar"/>
        </w:rPr>
        <w:t>表4.7.20  板式液冷系统用冷侧（二次侧）冷却液的化学性质表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561"/>
        <w:gridCol w:w="1560"/>
        <w:gridCol w:w="1701"/>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5" w:hRule="atLeast"/>
          <w:tblHeader/>
          <w:jc w:val="center"/>
        </w:trPr>
        <w:tc>
          <w:tcPr>
            <w:tcW w:w="1145" w:type="pct"/>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snapToGrid w:val="0"/>
              <w:jc w:val="center"/>
              <w:rPr>
                <w:szCs w:val="21"/>
              </w:rPr>
            </w:pPr>
            <w:r>
              <w:rPr>
                <w:szCs w:val="21"/>
                <w:lang w:bidi="ar"/>
              </w:rPr>
              <w:t>参数</w:t>
            </w:r>
          </w:p>
        </w:tc>
        <w:tc>
          <w:tcPr>
            <w:tcW w:w="916"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lang w:bidi="ar"/>
              </w:rPr>
              <w:t>单位</w:t>
            </w:r>
          </w:p>
        </w:tc>
        <w:tc>
          <w:tcPr>
            <w:tcW w:w="915"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lang w:bidi="ar"/>
              </w:rPr>
              <w:t>去离子水</w:t>
            </w:r>
          </w:p>
        </w:tc>
        <w:tc>
          <w:tcPr>
            <w:tcW w:w="2024" w:type="pct"/>
            <w:gridSpan w:val="2"/>
            <w:tcBorders>
              <w:top w:val="single" w:color="auto" w:sz="12" w:space="0"/>
              <w:left w:val="single" w:color="auto" w:sz="4" w:space="0"/>
              <w:bottom w:val="single" w:color="auto" w:sz="2" w:space="0"/>
              <w:right w:val="single" w:color="auto" w:sz="12" w:space="0"/>
            </w:tcBorders>
            <w:shd w:val="clear" w:color="auto" w:fill="auto"/>
            <w:vAlign w:val="center"/>
          </w:tcPr>
          <w:p>
            <w:pPr>
              <w:snapToGrid w:val="0"/>
              <w:jc w:val="center"/>
              <w:rPr>
                <w:szCs w:val="21"/>
              </w:rPr>
            </w:pPr>
            <w:r>
              <w:rPr>
                <w:szCs w:val="21"/>
                <w:lang w:bidi="ar"/>
              </w:rPr>
              <w:t>乙二醇水溶液、丙二醇水溶液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5" w:hRule="atLeast"/>
          <w:tblHeader/>
          <w:jc w:val="center"/>
        </w:trPr>
        <w:tc>
          <w:tcPr>
            <w:tcW w:w="1145" w:type="pct"/>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rPr>
                <w:szCs w:val="21"/>
              </w:rPr>
            </w:pPr>
          </w:p>
        </w:tc>
        <w:tc>
          <w:tcPr>
            <w:tcW w:w="916"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rPr>
                <w:szCs w:val="21"/>
              </w:rPr>
            </w:pPr>
          </w:p>
        </w:tc>
        <w:tc>
          <w:tcPr>
            <w:tcW w:w="915"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rPr>
                <w:szCs w:val="21"/>
              </w:rPr>
            </w:pPr>
          </w:p>
        </w:tc>
        <w:tc>
          <w:tcPr>
            <w:tcW w:w="998" w:type="pct"/>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lang w:bidi="ar"/>
              </w:rPr>
              <w:t>铜冷板</w:t>
            </w:r>
          </w:p>
        </w:tc>
        <w:tc>
          <w:tcPr>
            <w:tcW w:w="1026" w:type="pct"/>
            <w:tcBorders>
              <w:top w:val="single" w:color="auto" w:sz="2" w:space="0"/>
              <w:left w:val="single" w:color="auto" w:sz="4" w:space="0"/>
              <w:bottom w:val="single" w:color="auto" w:sz="4" w:space="0"/>
              <w:right w:val="single" w:color="auto" w:sz="12" w:space="0"/>
            </w:tcBorders>
            <w:shd w:val="clear" w:color="auto" w:fill="auto"/>
            <w:vAlign w:val="center"/>
          </w:tcPr>
          <w:p>
            <w:pPr>
              <w:snapToGrid w:val="0"/>
              <w:jc w:val="center"/>
              <w:rPr>
                <w:szCs w:val="21"/>
              </w:rPr>
            </w:pPr>
            <w:r>
              <w:rPr>
                <w:szCs w:val="21"/>
                <w:lang w:bidi="ar"/>
              </w:rPr>
              <w:t>铝冷板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PH值（25℃）</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8.5～</w:t>
            </w:r>
            <w:r>
              <w:rPr>
                <w:rFonts w:hint="eastAsia"/>
                <w:bCs/>
                <w:szCs w:val="21"/>
                <w:lang w:bidi="ar"/>
              </w:rPr>
              <w:t>1</w:t>
            </w:r>
            <w:r>
              <w:rPr>
                <w:bCs/>
                <w:szCs w:val="21"/>
                <w:lang w:bidi="ar"/>
              </w:rPr>
              <w:t>0</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8.0～10</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7.5～8.7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细菌群</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CFUs/ml</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＜1000</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＜1000</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电导率</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μs/cm</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＜500</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＜2000</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浊度</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NTU</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＜10</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 xml:space="preserve">＜5 </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lang w:bidi="ar"/>
              </w:rPr>
            </w:pPr>
            <w:r>
              <w:rPr>
                <w:rFonts w:hint="eastAsia"/>
                <w:bCs/>
                <w:szCs w:val="21"/>
                <w:lang w:bidi="ar"/>
              </w:rPr>
              <w:t>硫化物</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lang w:bidi="ar"/>
              </w:rPr>
            </w:pPr>
            <w:r>
              <w:rPr>
                <w:rFonts w:hint="eastAsia"/>
                <w:bCs/>
                <w:szCs w:val="21"/>
                <w:lang w:bidi="ar"/>
              </w:rPr>
              <w:t>p</w:t>
            </w:r>
            <w:r>
              <w:rPr>
                <w:bCs/>
                <w:szCs w:val="21"/>
                <w:lang w:bidi="ar"/>
              </w:rPr>
              <w:t>pm</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lang w:bidi="ar"/>
              </w:rPr>
            </w:pPr>
            <w:r>
              <w:rPr>
                <w:kern w:val="0"/>
                <w:szCs w:val="21"/>
                <w:lang w:bidi="ar"/>
              </w:rPr>
              <w:t>&lt;1ppm</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lang w:bidi="ar"/>
              </w:rPr>
            </w:pPr>
            <w:r>
              <w:rPr>
                <w:kern w:val="0"/>
                <w:szCs w:val="21"/>
                <w:lang w:bidi="ar"/>
              </w:rPr>
              <w:t>&lt;1ppm</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lang w:bidi="ar"/>
              </w:rPr>
            </w:pPr>
            <w:r>
              <w:rPr>
                <w:kern w:val="0"/>
                <w:szCs w:val="21"/>
                <w:lang w:bidi="ar"/>
              </w:rPr>
              <w:t>&lt;1ppm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硫酸根</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szCs w:val="21"/>
                <w:lang w:bidi="ar"/>
              </w:rPr>
              <w:t>mg/L</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＜10</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＜10</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氯离子</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szCs w:val="21"/>
                <w:lang w:bidi="ar"/>
              </w:rPr>
              <w:t>mg/L</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＜30</w:t>
            </w:r>
            <w:r>
              <w:rPr>
                <w:rFonts w:hint="eastAsia"/>
                <w:bCs/>
                <w:szCs w:val="21"/>
                <w:lang w:bidi="ar"/>
              </w:rPr>
              <w:t>（5</w:t>
            </w:r>
            <w:r>
              <w:rPr>
                <w:bCs/>
                <w:szCs w:val="21"/>
                <w:lang w:bidi="ar"/>
              </w:rPr>
              <w:t>0</w:t>
            </w:r>
            <w:r>
              <w:rPr>
                <w:rFonts w:hint="eastAsia"/>
                <w:bCs/>
                <w:szCs w:val="21"/>
                <w:lang w:bidi="ar"/>
              </w:rPr>
              <w:t>）</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＜30</w:t>
            </w:r>
            <w:r>
              <w:rPr>
                <w:rFonts w:hint="eastAsia"/>
                <w:bCs/>
                <w:szCs w:val="21"/>
                <w:lang w:bidi="ar"/>
              </w:rPr>
              <w:t>（5</w:t>
            </w:r>
            <w:r>
              <w:rPr>
                <w:bCs/>
                <w:szCs w:val="21"/>
                <w:lang w:bidi="ar"/>
              </w:rPr>
              <w:t>0</w:t>
            </w:r>
            <w:r>
              <w:rPr>
                <w:rFonts w:hint="eastAsia"/>
                <w:bCs/>
                <w:szCs w:val="21"/>
                <w:lang w:bidi="ar"/>
              </w:rPr>
              <w:t>）</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＜30</w:t>
            </w:r>
            <w:r>
              <w:rPr>
                <w:rFonts w:hint="eastAsia"/>
                <w:bCs/>
                <w:szCs w:val="21"/>
                <w:lang w:bidi="ar"/>
              </w:rPr>
              <w:t>（5</w:t>
            </w:r>
            <w:r>
              <w:rPr>
                <w:bCs/>
                <w:szCs w:val="21"/>
                <w:lang w:bidi="ar"/>
              </w:rPr>
              <w:t>0</w:t>
            </w:r>
            <w:r>
              <w:rPr>
                <w:rFonts w:hint="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铜离子</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szCs w:val="21"/>
                <w:lang w:bidi="ar"/>
              </w:rPr>
              <w:t>mg/L</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＜0.5</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＜0.5</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铁离子</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szCs w:val="21"/>
                <w:lang w:bidi="ar"/>
              </w:rPr>
              <w:t>mg/L</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＜0.5</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＜0.5</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铝离子</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szCs w:val="21"/>
                <w:lang w:bidi="ar"/>
              </w:rPr>
              <w:t>mg/L</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＜0.5</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NA</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总硬度</w:t>
            </w:r>
            <w:r>
              <w:rPr>
                <w:szCs w:val="21"/>
                <w:lang w:bidi="ar"/>
              </w:rPr>
              <w:t>(以CaCO</w:t>
            </w:r>
            <w:r>
              <w:rPr>
                <w:szCs w:val="21"/>
                <w:vertAlign w:val="subscript"/>
                <w:lang w:bidi="ar"/>
              </w:rPr>
              <w:t>3</w:t>
            </w:r>
            <w:r>
              <w:rPr>
                <w:szCs w:val="21"/>
                <w:lang w:bidi="ar"/>
              </w:rPr>
              <w:t>计)</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szCs w:val="21"/>
                <w:lang w:bidi="ar"/>
              </w:rPr>
              <w:t>mg/L</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＜20</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＜20</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lang w:bidi="ar"/>
              </w:rPr>
            </w:pPr>
            <w:r>
              <w:rPr>
                <w:rFonts w:hint="eastAsia"/>
                <w:bCs/>
                <w:szCs w:val="21"/>
                <w:lang w:bidi="ar"/>
              </w:rPr>
              <w:t>p</w:t>
            </w:r>
            <w:r>
              <w:rPr>
                <w:bCs/>
                <w:szCs w:val="21"/>
                <w:lang w:bidi="ar"/>
              </w:rPr>
              <w:t>H</w:t>
            </w:r>
            <w:r>
              <w:rPr>
                <w:rFonts w:hint="eastAsia"/>
                <w:bCs/>
                <w:szCs w:val="21"/>
                <w:lang w:bidi="ar"/>
              </w:rPr>
              <w:t>调节剂</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lang w:bidi="ar"/>
              </w:rPr>
            </w:pPr>
            <w:r>
              <w:rPr>
                <w:rFonts w:hint="eastAsia"/>
                <w:szCs w:val="21"/>
                <w:lang w:bidi="ar"/>
              </w:rPr>
              <w:t>-</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lang w:bidi="ar"/>
              </w:rPr>
            </w:pPr>
            <w:r>
              <w:rPr>
                <w:rFonts w:hint="eastAsia"/>
                <w:bCs/>
                <w:szCs w:val="21"/>
                <w:lang w:bidi="ar"/>
              </w:rPr>
              <w:t>必需</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lang w:bidi="ar"/>
              </w:rPr>
            </w:pPr>
            <w:r>
              <w:rPr>
                <w:bCs/>
                <w:szCs w:val="21"/>
                <w:lang w:bidi="ar"/>
              </w:rPr>
              <w:t>必需</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lang w:bidi="ar"/>
              </w:rPr>
            </w:pPr>
            <w:r>
              <w:rPr>
                <w:bCs/>
                <w:szCs w:val="21"/>
                <w:lang w:bidi="ar"/>
              </w:rPr>
              <w:t>必需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缓蚀剂</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bCs/>
                <w:szCs w:val="21"/>
                <w:lang w:bidi="ar"/>
              </w:rPr>
              <w:t>-</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snapToGrid w:val="0"/>
              <w:jc w:val="center"/>
              <w:rPr>
                <w:bCs/>
                <w:szCs w:val="21"/>
              </w:rPr>
            </w:pPr>
            <w:r>
              <w:rPr>
                <w:rFonts w:hint="eastAsia"/>
                <w:bCs/>
                <w:szCs w:val="21"/>
                <w:lang w:bidi="ar"/>
              </w:rPr>
              <w:t>必需</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Cs/>
                <w:szCs w:val="21"/>
              </w:rPr>
            </w:pPr>
            <w:r>
              <w:rPr>
                <w:bCs/>
                <w:szCs w:val="21"/>
                <w:lang w:bidi="ar"/>
              </w:rPr>
              <w:t>必需</w:t>
            </w:r>
          </w:p>
        </w:tc>
        <w:tc>
          <w:tcPr>
            <w:tcW w:w="1026" w:type="pct"/>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bCs/>
                <w:szCs w:val="21"/>
              </w:rPr>
            </w:pPr>
            <w:r>
              <w:rPr>
                <w:bCs/>
                <w:szCs w:val="21"/>
                <w:lang w:bidi="ar"/>
              </w:rPr>
              <w:t>必需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1145" w:type="pct"/>
            <w:tcBorders>
              <w:top w:val="single" w:color="auto" w:sz="4" w:space="0"/>
              <w:left w:val="single" w:color="auto" w:sz="12" w:space="0"/>
              <w:bottom w:val="single" w:color="auto" w:sz="12" w:space="0"/>
              <w:right w:val="single" w:color="auto" w:sz="4" w:space="0"/>
            </w:tcBorders>
            <w:shd w:val="clear" w:color="auto" w:fill="auto"/>
            <w:vAlign w:val="center"/>
          </w:tcPr>
          <w:p>
            <w:pPr>
              <w:snapToGrid w:val="0"/>
              <w:jc w:val="center"/>
              <w:rPr>
                <w:bCs/>
                <w:szCs w:val="21"/>
              </w:rPr>
            </w:pPr>
            <w:r>
              <w:rPr>
                <w:rFonts w:hint="eastAsia"/>
                <w:bCs/>
                <w:szCs w:val="21"/>
                <w:lang w:bidi="ar"/>
              </w:rPr>
              <w:t>抑</w:t>
            </w:r>
            <w:r>
              <w:rPr>
                <w:bCs/>
                <w:szCs w:val="21"/>
                <w:lang w:bidi="ar"/>
              </w:rPr>
              <w:t>菌剂</w:t>
            </w:r>
          </w:p>
        </w:tc>
        <w:tc>
          <w:tcPr>
            <w:tcW w:w="916" w:type="pct"/>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bCs/>
                <w:szCs w:val="21"/>
              </w:rPr>
            </w:pPr>
            <w:r>
              <w:rPr>
                <w:bCs/>
                <w:szCs w:val="21"/>
                <w:lang w:bidi="ar"/>
              </w:rPr>
              <w:t>-</w:t>
            </w:r>
          </w:p>
        </w:tc>
        <w:tc>
          <w:tcPr>
            <w:tcW w:w="915" w:type="pct"/>
            <w:tcBorders>
              <w:top w:val="single" w:color="auto" w:sz="4" w:space="0"/>
              <w:left w:val="single" w:color="auto" w:sz="4" w:space="0"/>
              <w:bottom w:val="single" w:color="auto" w:sz="12" w:space="0"/>
              <w:right w:val="single" w:color="auto" w:sz="4" w:space="0"/>
            </w:tcBorders>
            <w:shd w:val="clear" w:color="auto" w:fill="auto"/>
          </w:tcPr>
          <w:p>
            <w:pPr>
              <w:snapToGrid w:val="0"/>
              <w:jc w:val="center"/>
              <w:rPr>
                <w:bCs/>
                <w:szCs w:val="21"/>
              </w:rPr>
            </w:pPr>
            <w:r>
              <w:rPr>
                <w:rFonts w:hint="eastAsia"/>
                <w:bCs/>
                <w:szCs w:val="21"/>
                <w:lang w:bidi="ar"/>
              </w:rPr>
              <w:t>必需</w:t>
            </w:r>
          </w:p>
        </w:tc>
        <w:tc>
          <w:tcPr>
            <w:tcW w:w="998" w:type="pct"/>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bCs/>
                <w:szCs w:val="21"/>
              </w:rPr>
            </w:pPr>
            <w:r>
              <w:rPr>
                <w:bCs/>
                <w:szCs w:val="21"/>
                <w:lang w:bidi="ar"/>
              </w:rPr>
              <w:t>必需</w:t>
            </w:r>
          </w:p>
        </w:tc>
        <w:tc>
          <w:tcPr>
            <w:tcW w:w="1026" w:type="pct"/>
            <w:tcBorders>
              <w:top w:val="single" w:color="auto" w:sz="4" w:space="0"/>
              <w:left w:val="single" w:color="auto" w:sz="4" w:space="0"/>
              <w:bottom w:val="single" w:color="auto" w:sz="12" w:space="0"/>
              <w:right w:val="single" w:color="auto" w:sz="12" w:space="0"/>
            </w:tcBorders>
            <w:shd w:val="clear" w:color="auto" w:fill="auto"/>
            <w:vAlign w:val="center"/>
          </w:tcPr>
          <w:p>
            <w:pPr>
              <w:snapToGrid w:val="0"/>
              <w:jc w:val="center"/>
              <w:rPr>
                <w:bCs/>
                <w:szCs w:val="21"/>
              </w:rPr>
            </w:pPr>
            <w:r>
              <w:rPr>
                <w:bCs/>
                <w:szCs w:val="21"/>
                <w:lang w:bidi="ar"/>
              </w:rPr>
              <w:t>必需</w:t>
            </w:r>
          </w:p>
        </w:tc>
      </w:tr>
    </w:tbl>
    <w:p>
      <w:pPr>
        <w:spacing w:line="360" w:lineRule="auto"/>
        <w:ind w:firstLine="480" w:firstLineChars="200"/>
        <w:jc w:val="left"/>
        <w:rPr>
          <w:sz w:val="24"/>
          <w:szCs w:val="24"/>
        </w:rPr>
      </w:pPr>
      <w:r>
        <w:rPr>
          <w:sz w:val="24"/>
          <w:szCs w:val="24"/>
        </w:rPr>
        <w:t>4.7.21 冷板式液冷系统用冷侧（二次侧）冷却液的电导率宜&lt;1000us/cm。</w:t>
      </w:r>
    </w:p>
    <w:p>
      <w:pPr>
        <w:spacing w:line="360" w:lineRule="auto"/>
        <w:ind w:firstLine="480"/>
        <w:rPr>
          <w:sz w:val="24"/>
          <w:szCs w:val="24"/>
        </w:rPr>
      </w:pPr>
      <w:r>
        <w:rPr>
          <w:sz w:val="24"/>
          <w:szCs w:val="24"/>
        </w:rPr>
        <w:t>条文说明：抑制剂和</w:t>
      </w:r>
      <w:r>
        <w:rPr>
          <w:rFonts w:hint="eastAsia"/>
          <w:sz w:val="24"/>
          <w:szCs w:val="24"/>
        </w:rPr>
        <w:t>抑</w:t>
      </w:r>
      <w:r>
        <w:rPr>
          <w:sz w:val="24"/>
          <w:szCs w:val="24"/>
        </w:rPr>
        <w:t>菌剂会增加电导率，添加抑制剂和</w:t>
      </w:r>
      <w:r>
        <w:rPr>
          <w:rFonts w:hint="eastAsia"/>
          <w:sz w:val="24"/>
          <w:szCs w:val="24"/>
        </w:rPr>
        <w:t>抑</w:t>
      </w:r>
      <w:r>
        <w:rPr>
          <w:sz w:val="24"/>
          <w:szCs w:val="24"/>
        </w:rPr>
        <w:t>菌剂时需参考剂量对电导率的影响值。</w:t>
      </w:r>
    </w:p>
    <w:p>
      <w:pPr>
        <w:spacing w:line="360" w:lineRule="auto"/>
        <w:ind w:firstLine="480" w:firstLineChars="200"/>
        <w:jc w:val="left"/>
        <w:rPr>
          <w:sz w:val="24"/>
          <w:szCs w:val="24"/>
        </w:rPr>
      </w:pPr>
      <w:r>
        <w:rPr>
          <w:sz w:val="24"/>
          <w:szCs w:val="24"/>
        </w:rPr>
        <w:t>4.7.22 当冷板式液冷系统用冷侧（二次侧）含有铜时，冷却液的唑含量宜&gt;20ppm。</w:t>
      </w:r>
    </w:p>
    <w:p>
      <w:pPr>
        <w:spacing w:line="360" w:lineRule="auto"/>
        <w:rPr>
          <w:kern w:val="0"/>
          <w:lang w:bidi="ar"/>
        </w:rPr>
      </w:pPr>
      <w:r>
        <w:rPr>
          <w:kern w:val="0"/>
          <w:lang w:bidi="ar"/>
        </w:rPr>
        <w:t xml:space="preserve"> </w:t>
      </w:r>
      <w:r>
        <w:rPr>
          <w:sz w:val="24"/>
          <w:szCs w:val="24"/>
        </w:rPr>
        <w:t xml:space="preserve">   条文说明：随着系统运行时间越来越久，冷却液中的唑浓度会逐渐降低，当低于阈值时，宜添加铜缓蚀剂使唑含量回到合理值。</w:t>
      </w:r>
    </w:p>
    <w:p>
      <w:pPr>
        <w:spacing w:line="360" w:lineRule="auto"/>
        <w:rPr>
          <w:sz w:val="24"/>
          <w:szCs w:val="24"/>
        </w:rPr>
      </w:pPr>
      <w:r>
        <w:rPr>
          <w:sz w:val="24"/>
          <w:szCs w:val="24"/>
        </w:rPr>
        <w:t xml:space="preserve">    4.7.23 当冷板式液冷系统用冷侧（二次侧）水基冷却液定期取样检测时，宜取1000毫升的水样用于检测水质，系统刚投入运行后的第一个月里，取样检测频次宜为每1周1次，系统稳定运行期的取样检测频次宜为每2个月1次；宜连续监测冷却液的化学成份、pH 值、腐蚀率和浊度等。</w:t>
      </w:r>
    </w:p>
    <w:p>
      <w:pPr>
        <w:spacing w:line="360" w:lineRule="auto"/>
        <w:rPr>
          <w:sz w:val="24"/>
          <w:szCs w:val="24"/>
        </w:rPr>
      </w:pPr>
      <w:r>
        <w:rPr>
          <w:kern w:val="0"/>
          <w:sz w:val="24"/>
          <w:szCs w:val="24"/>
          <w:lang w:bidi="ar"/>
        </w:rPr>
        <w:t xml:space="preserve">  </w:t>
      </w:r>
      <w:r>
        <w:rPr>
          <w:sz w:val="24"/>
          <w:szCs w:val="24"/>
        </w:rPr>
        <w:t xml:space="preserve">  条文说明：宜采用1000毫升的水样进行离子浓度测试，例如唑类物质的浓度、各类离子（阳离子和阴离子）的浓度、硬度等数据。</w:t>
      </w:r>
    </w:p>
    <w:p>
      <w:pPr>
        <w:spacing w:line="360" w:lineRule="auto"/>
        <w:ind w:firstLine="480"/>
        <w:rPr>
          <w:sz w:val="24"/>
          <w:szCs w:val="24"/>
        </w:rPr>
      </w:pPr>
      <w:r>
        <w:rPr>
          <w:sz w:val="24"/>
          <w:szCs w:val="24"/>
        </w:rPr>
        <w:t>接触冷却液的材料、pH调节剂、缓蚀剂、抑制剂、</w:t>
      </w:r>
      <w:r>
        <w:rPr>
          <w:rFonts w:hint="eastAsia"/>
          <w:sz w:val="24"/>
          <w:szCs w:val="24"/>
        </w:rPr>
        <w:t>抑</w:t>
      </w:r>
      <w:r>
        <w:rPr>
          <w:sz w:val="24"/>
          <w:szCs w:val="24"/>
        </w:rPr>
        <w:t>菌剂和外部污染（如现场更换部件造成的污染）均会导致各种离子进入冷却液中并长期存在，某些离子的存在易导致腐蚀，宜监测下列表中离子的浓度，当离子浓度超标时，宜置换或更换冷却液。</w:t>
      </w:r>
    </w:p>
    <w:p>
      <w:pPr>
        <w:spacing w:line="360" w:lineRule="auto"/>
        <w:jc w:val="center"/>
        <w:rPr>
          <w:b/>
          <w:kern w:val="0"/>
          <w:szCs w:val="24"/>
          <w:lang w:bidi="ar"/>
        </w:rPr>
      </w:pPr>
      <w:r>
        <w:rPr>
          <w:b/>
          <w:kern w:val="0"/>
          <w:szCs w:val="24"/>
          <w:lang w:bidi="ar"/>
        </w:rPr>
        <w:t>表4.7.23  板式液冷系统用冷侧（二次侧）水基冷却液离子浓度监测参考表</w:t>
      </w:r>
    </w:p>
    <w:tbl>
      <w:tblPr>
        <w:tblStyle w:val="28"/>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3404"/>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离子</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组成物</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氯</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lang w:bidi="ar"/>
              </w:rPr>
            </w:pPr>
            <w:r>
              <w:rPr>
                <w:rFonts w:hint="eastAsia"/>
                <w:kern w:val="0"/>
                <w:szCs w:val="28"/>
                <w:lang w:bidi="ar"/>
              </w:rPr>
              <w:t>抑</w:t>
            </w:r>
            <w:r>
              <w:rPr>
                <w:kern w:val="0"/>
                <w:szCs w:val="28"/>
                <w:lang w:bidi="ar"/>
              </w:rPr>
              <w:t>菌剂</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易导致不锈钢应力腐蚀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溴</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lang w:bidi="ar"/>
              </w:rPr>
            </w:pPr>
            <w:r>
              <w:rPr>
                <w:rFonts w:hint="eastAsia"/>
                <w:kern w:val="0"/>
                <w:szCs w:val="28"/>
                <w:lang w:bidi="ar"/>
              </w:rPr>
              <w:t>抑</w:t>
            </w:r>
            <w:r>
              <w:rPr>
                <w:kern w:val="0"/>
                <w:szCs w:val="28"/>
                <w:lang w:bidi="ar"/>
              </w:rPr>
              <w:t>菌剂</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易导致不锈钢应力腐蚀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硫酸盐</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易导致铜腐蚀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铜</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叶片散热解决方案、铜管和冷板</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泄漏、微通道堵塞、电化学腐蚀。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镍</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铜钎焊接头</w:t>
            </w:r>
          </w:p>
          <w:p>
            <w:pPr>
              <w:jc w:val="center"/>
              <w:rPr>
                <w:kern w:val="0"/>
                <w:szCs w:val="28"/>
              </w:rPr>
            </w:pPr>
            <w:r>
              <w:rPr>
                <w:kern w:val="0"/>
                <w:szCs w:val="28"/>
                <w:lang w:bidi="ar"/>
              </w:rPr>
              <w:t>电镀层</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泄露、缝隙腐蚀</w:t>
            </w:r>
          </w:p>
          <w:p>
            <w:pPr>
              <w:jc w:val="center"/>
              <w:rPr>
                <w:kern w:val="0"/>
                <w:szCs w:val="28"/>
              </w:rPr>
            </w:pPr>
            <w:r>
              <w:rPr>
                <w:kern w:val="0"/>
                <w:szCs w:val="28"/>
                <w:lang w:bidi="ar"/>
              </w:rPr>
              <w:t>侵蚀、电化学腐蚀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磷</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铜钎焊接头</w:t>
            </w:r>
          </w:p>
          <w:p>
            <w:pPr>
              <w:jc w:val="center"/>
              <w:rPr>
                <w:kern w:val="0"/>
                <w:szCs w:val="28"/>
              </w:rPr>
            </w:pPr>
            <w:r>
              <w:rPr>
                <w:kern w:val="0"/>
                <w:szCs w:val="28"/>
                <w:lang w:bidi="ar"/>
              </w:rPr>
              <w:t>化学镀镍</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渗漏、缝隙腐蚀</w:t>
            </w:r>
          </w:p>
          <w:p>
            <w:pPr>
              <w:jc w:val="center"/>
              <w:rPr>
                <w:kern w:val="0"/>
                <w:szCs w:val="28"/>
              </w:rPr>
            </w:pPr>
            <w:r>
              <w:rPr>
                <w:kern w:val="0"/>
                <w:szCs w:val="28"/>
                <w:lang w:bidi="ar"/>
              </w:rPr>
              <w:t>侵蚀、电化学腐蚀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锌</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还童</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黄铜部件脱锌和失效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镁</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杀菌剂稳定剂</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结垢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钙、镁</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水硬度，引入非ASTM I类化学的基础水</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结垢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铝</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不宜在含铜的TCS回路中使用（但现实工程TCS回路中往往存在铝元素）</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铝腐蚀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硫</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塑料</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铬</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镀铬不锈钢</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点状腐蚀，当镀铬层被损坏时候，金属材料会出现腐蚀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铁</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不锈钢部件</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铵</w:t>
            </w:r>
          </w:p>
        </w:tc>
        <w:tc>
          <w:tcPr>
            <w:tcW w:w="3404"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尼龙部件</w:t>
            </w:r>
          </w:p>
        </w:tc>
        <w:tc>
          <w:tcPr>
            <w:tcW w:w="3906" w:type="dxa"/>
            <w:tcBorders>
              <w:top w:val="single" w:color="auto" w:sz="4" w:space="0"/>
              <w:left w:val="single" w:color="auto" w:sz="4" w:space="0"/>
              <w:bottom w:val="single" w:color="auto" w:sz="4" w:space="0"/>
              <w:right w:val="single" w:color="auto" w:sz="4" w:space="0"/>
            </w:tcBorders>
            <w:shd w:val="clear" w:color="auto" w:fill="auto"/>
          </w:tcPr>
          <w:p>
            <w:pPr>
              <w:jc w:val="center"/>
              <w:rPr>
                <w:kern w:val="0"/>
                <w:szCs w:val="28"/>
              </w:rPr>
            </w:pPr>
            <w:r>
              <w:rPr>
                <w:kern w:val="0"/>
                <w:szCs w:val="28"/>
                <w:lang w:bidi="ar"/>
              </w:rPr>
              <w:t>氨元素易导致铜的大面积腐蚀</w:t>
            </w:r>
          </w:p>
        </w:tc>
      </w:tr>
    </w:tbl>
    <w:p>
      <w:pPr>
        <w:spacing w:line="360" w:lineRule="auto"/>
        <w:ind w:firstLine="480"/>
        <w:rPr>
          <w:sz w:val="24"/>
          <w:szCs w:val="24"/>
        </w:rPr>
      </w:pPr>
      <w:r>
        <w:rPr>
          <w:sz w:val="24"/>
          <w:szCs w:val="24"/>
        </w:rPr>
        <w:t>4.7.24  冷板式液冷系统用冷侧（二次侧）充入冷却液之前或添加化学药剂之前，应对用冷侧（二次侧）系统进行清洁与钝化，应根据系统材质和运行要求选择合适的清洗剂和钝化处理剂，清洁剂或钝化处理剂应在系统内循环至少24 小时后，再从系统排出；置换冷却液之前，宜检查并更换系统中的过滤元件后再注入维护用冷却液和化学处理剂，并在系统内循环至少1小时后，再从系统排出。</w:t>
      </w:r>
    </w:p>
    <w:p>
      <w:pPr>
        <w:spacing w:line="360" w:lineRule="auto"/>
        <w:ind w:firstLine="480"/>
        <w:rPr>
          <w:sz w:val="24"/>
          <w:szCs w:val="24"/>
        </w:rPr>
      </w:pPr>
      <w:r>
        <w:rPr>
          <w:sz w:val="24"/>
          <w:szCs w:val="24"/>
        </w:rPr>
        <w:t>条文说明：更换冷却液的方法如下：</w:t>
      </w:r>
    </w:p>
    <w:p>
      <w:pPr>
        <w:widowControl/>
        <w:spacing w:line="360" w:lineRule="auto"/>
        <w:ind w:firstLine="480" w:firstLineChars="200"/>
        <w:rPr>
          <w:sz w:val="24"/>
          <w:szCs w:val="24"/>
        </w:rPr>
      </w:pPr>
      <w:r>
        <w:rPr>
          <w:sz w:val="24"/>
          <w:szCs w:val="24"/>
        </w:rPr>
        <w:t>排放流体并重新注入流体：应尽量缩短排水和注水之间的时间，以降低接液表面因暴露在空气中而被腐蚀的风险，排水后到重新注水前的时间间隔宜在1周或更短。</w:t>
      </w:r>
    </w:p>
    <w:p>
      <w:pPr>
        <w:widowControl/>
        <w:spacing w:line="360" w:lineRule="auto"/>
        <w:ind w:firstLine="480" w:firstLineChars="200"/>
        <w:rPr>
          <w:sz w:val="24"/>
          <w:szCs w:val="24"/>
        </w:rPr>
      </w:pPr>
      <w:r>
        <w:rPr>
          <w:sz w:val="24"/>
          <w:szCs w:val="24"/>
        </w:rPr>
        <w:t>在排放和进水期间，IT 设备需不间断运行，并且需依次进行流体排放和填充，保证接触液体的路径不会暴露在空气中，也不会出现潜在的腐蚀。</w:t>
      </w:r>
    </w:p>
    <w:p>
      <w:pPr>
        <w:widowControl/>
        <w:spacing w:line="360" w:lineRule="auto"/>
        <w:ind w:firstLine="480" w:firstLineChars="200"/>
        <w:rPr>
          <w:sz w:val="24"/>
          <w:szCs w:val="24"/>
        </w:rPr>
      </w:pPr>
      <w:r>
        <w:rPr>
          <w:sz w:val="24"/>
          <w:szCs w:val="24"/>
        </w:rPr>
        <w:t>在放水和进水操作中测量的pH值和电导率数据可用于确定是否更换了足够比例的冷却液。</w:t>
      </w:r>
    </w:p>
    <w:p>
      <w:pPr>
        <w:widowControl/>
        <w:spacing w:line="360" w:lineRule="auto"/>
        <w:ind w:firstLine="480" w:firstLineChars="200"/>
        <w:rPr>
          <w:sz w:val="24"/>
          <w:szCs w:val="24"/>
        </w:rPr>
      </w:pPr>
      <w:r>
        <w:rPr>
          <w:sz w:val="24"/>
          <w:szCs w:val="24"/>
        </w:rPr>
        <w:t>4）如不使用预混合流体，稀释水应是高纯度的，如蒸馏水、去离子水或反渗透水，其氯化物（以 Cl 计）含量宜&lt; 10 ppm，硫酸盐（以SO4计）含量&lt; 10 ppm，总硬度（以CaCO3计）含量宜&lt; 20 ppm。</w:t>
      </w:r>
    </w:p>
    <w:p>
      <w:pPr>
        <w:spacing w:line="360" w:lineRule="auto"/>
        <w:rPr>
          <w:sz w:val="24"/>
          <w:szCs w:val="24"/>
        </w:rPr>
      </w:pPr>
      <w:r>
        <w:rPr>
          <w:sz w:val="24"/>
          <w:szCs w:val="24"/>
        </w:rPr>
        <w:t xml:space="preserve">    4.7.25  冷板式液冷系统用冷侧（二次侧）管路系统的设计应能实现完全排水，而不会有任何死角截留污染物；二次侧管路系统应配置旁流过滤器，过滤精度宜≤5 μm，以防止微粒滞留在冷板微通道内，并在过滤器前、过滤器后配备压力表。</w:t>
      </w:r>
    </w:p>
    <w:p>
      <w:pPr>
        <w:widowControl/>
        <w:spacing w:line="360" w:lineRule="auto"/>
        <w:ind w:firstLine="480" w:firstLineChars="200"/>
        <w:rPr>
          <w:sz w:val="24"/>
          <w:szCs w:val="24"/>
        </w:rPr>
      </w:pPr>
      <w:r>
        <w:rPr>
          <w:sz w:val="24"/>
          <w:szCs w:val="24"/>
        </w:rPr>
        <w:t>条文说明：由于冷却液长期运行、添加剂及污染物的沉淀易导致冷却液性质变化，需定期取样冷却液并检测，品质不达标则需要置换或更换冷却液。</w:t>
      </w:r>
    </w:p>
    <w:p>
      <w:pPr>
        <w:spacing w:line="360" w:lineRule="auto"/>
      </w:pPr>
      <w:bookmarkStart w:id="21" w:name="_Toc146288576"/>
      <w:r>
        <w:t xml:space="preserve"> </w:t>
      </w:r>
      <w:r>
        <w:rPr>
          <w:sz w:val="24"/>
          <w:szCs w:val="24"/>
        </w:rPr>
        <w:t xml:space="preserve">   4.7.26 </w:t>
      </w:r>
      <w:bookmarkEnd w:id="21"/>
      <w:r>
        <w:rPr>
          <w:sz w:val="24"/>
          <w:szCs w:val="24"/>
        </w:rPr>
        <w:t>冷却液不应向清水沟、地面或任何水体中倾倒，特别是乙二醇/丙二醇溶液的排放处置应遵守地方法律法规；当如回收优于处置时，应联系冷却液回收商。</w:t>
      </w:r>
    </w:p>
    <w:p>
      <w:pPr>
        <w:widowControl/>
        <w:spacing w:line="360" w:lineRule="auto"/>
        <w:ind w:firstLine="480" w:firstLineChars="200"/>
        <w:rPr>
          <w:sz w:val="24"/>
          <w:szCs w:val="24"/>
        </w:rPr>
      </w:pPr>
      <w:r>
        <w:rPr>
          <w:sz w:val="24"/>
          <w:szCs w:val="24"/>
        </w:rPr>
        <w:t>条文说明：由于冷却液大多数为使用过的丙二醇或乙二醇水溶液，可作为原料提供给丙二醇或乙二醇回收公司。</w:t>
      </w:r>
    </w:p>
    <w:p>
      <w:pPr>
        <w:spacing w:line="360" w:lineRule="auto"/>
        <w:jc w:val="left"/>
        <w:rPr>
          <w:sz w:val="24"/>
          <w:szCs w:val="24"/>
        </w:rPr>
      </w:pPr>
      <w:r>
        <w:rPr>
          <w:rFonts w:eastAsia="微软雅黑"/>
          <w:sz w:val="24"/>
          <w:szCs w:val="24"/>
        </w:rPr>
        <w:t xml:space="preserve">   </w:t>
      </w:r>
      <w:r>
        <w:rPr>
          <w:sz w:val="24"/>
          <w:szCs w:val="24"/>
        </w:rPr>
        <w:t xml:space="preserve"> 4.7.27 浸没式液冷系统用冷却液的选择首先应关注安全性与可靠性，其次是物理性能、兼容性与可维护性。</w:t>
      </w:r>
    </w:p>
    <w:p>
      <w:pPr>
        <w:widowControl/>
        <w:spacing w:line="360" w:lineRule="auto"/>
        <w:ind w:firstLine="480" w:firstLineChars="200"/>
        <w:rPr>
          <w:sz w:val="24"/>
          <w:szCs w:val="24"/>
        </w:rPr>
      </w:pPr>
      <w:r>
        <w:rPr>
          <w:sz w:val="24"/>
          <w:szCs w:val="24"/>
        </w:rPr>
        <w:t>条文说明：浸没式液冷系统中，液冷机柜开盖维护过程会有冷却液的少量挥发，液冷机柜密封不良也会造成冷却液的挥发，需关注冷却液的安全性。</w:t>
      </w:r>
    </w:p>
    <w:p>
      <w:pPr>
        <w:spacing w:line="360" w:lineRule="auto"/>
        <w:jc w:val="left"/>
        <w:rPr>
          <w:sz w:val="24"/>
          <w:szCs w:val="24"/>
        </w:rPr>
      </w:pPr>
      <w:r>
        <w:rPr>
          <w:sz w:val="24"/>
          <w:szCs w:val="24"/>
        </w:rPr>
        <w:t xml:space="preserve">    4.7.28 评估浸没式冷却液对人体安全的影响应重点评估急性毒性与慢性毒性，应查看冷却液的化学品安全说明书（MSDS）。</w:t>
      </w:r>
    </w:p>
    <w:p>
      <w:pPr>
        <w:widowControl/>
        <w:spacing w:line="360" w:lineRule="auto"/>
        <w:ind w:firstLine="480" w:firstLineChars="200"/>
        <w:rPr>
          <w:sz w:val="24"/>
          <w:szCs w:val="24"/>
        </w:rPr>
      </w:pPr>
      <w:r>
        <w:rPr>
          <w:sz w:val="24"/>
          <w:szCs w:val="24"/>
        </w:rPr>
        <w:t>条文说明：急性毒性根据国家GB30000.18急性毒性标准，评估冷却液短期作用于人体不会产生急性有害影响的剂量水平或概率，结果以经口及经皮肤的单次剂量LD50，和4小时吸入LC50的健康毒理学数据表示。慢性毒性根据国家GB30000.26特异性靶器官毒性 反复接触标准，评估冷却液长期作用于人体不会产生明显不良效应的剂量水平或概率，结果以经过健康危害识别后的关键效应数据NOAEL（未观察到有害作用剂量）或LOAEL（最小观察到有害作用剂量）表示，单位mg·kg -1·d -1（经口、经皮）或mg·l-1（吸入），测试时间为14/28天（亚急性）或91天（13周，亚慢性）。</w:t>
      </w:r>
    </w:p>
    <w:p>
      <w:pPr>
        <w:spacing w:line="360" w:lineRule="auto"/>
        <w:ind w:firstLine="480" w:firstLineChars="200"/>
        <w:jc w:val="left"/>
        <w:rPr>
          <w:sz w:val="24"/>
          <w:szCs w:val="24"/>
        </w:rPr>
      </w:pPr>
      <w:r>
        <w:rPr>
          <w:sz w:val="24"/>
          <w:szCs w:val="24"/>
        </w:rPr>
        <w:t>4.7.29 评估浸没式冷却液对环境安全的影响应重点评估生物累积性、环境长期残留性、时间加权平均允许浓度、ODP与GWP；冷却液的ODP应为0，GWP应尽量低。</w:t>
      </w:r>
    </w:p>
    <w:p>
      <w:pPr>
        <w:widowControl/>
        <w:spacing w:line="360" w:lineRule="auto"/>
        <w:ind w:firstLine="480" w:firstLineChars="200"/>
        <w:rPr>
          <w:sz w:val="24"/>
          <w:szCs w:val="24"/>
        </w:rPr>
      </w:pPr>
      <w:r>
        <w:rPr>
          <w:sz w:val="24"/>
          <w:szCs w:val="24"/>
        </w:rPr>
        <w:t>条文说明：生物累积性指生物食用或体表吸收环境中的某些化学物质，物质在生物体中累积的能力。环境长期残留性是根据GB/T 24782对物质持久性的分析方法，评估冷却液长期存在于环境抗光解性、化学分解和生物降解性的能力。时间加权平均允许浓度（TWA），或称PEL或TDI，表示以时间为权数8h每工作日、 40h每工作周对冷却液的平均容许接触浓度 ，是评价工作场所环境卫生状况和劳动者接触水平的主要指标。</w:t>
      </w:r>
    </w:p>
    <w:p>
      <w:pPr>
        <w:widowControl/>
        <w:spacing w:line="360" w:lineRule="auto"/>
        <w:ind w:firstLine="480" w:firstLineChars="200"/>
        <w:jc w:val="left"/>
        <w:rPr>
          <w:kern w:val="0"/>
          <w:sz w:val="24"/>
          <w:szCs w:val="24"/>
          <w:lang w:bidi="ar"/>
        </w:rPr>
      </w:pPr>
      <w:r>
        <w:rPr>
          <w:kern w:val="0"/>
          <w:sz w:val="24"/>
          <w:szCs w:val="24"/>
          <w:lang w:bidi="ar"/>
        </w:rPr>
        <w:t>关于“生物累积性”，可根据国家《新化学物质环境管理登记管理办法》中的管理方法，对未列入《中国现有化学物质名录》的冷却液物质的生物富集系数 BCF进行评估。</w:t>
      </w:r>
    </w:p>
    <w:p>
      <w:pPr>
        <w:widowControl/>
        <w:spacing w:line="360" w:lineRule="auto"/>
        <w:ind w:firstLine="480" w:firstLineChars="200"/>
        <w:jc w:val="left"/>
        <w:rPr>
          <w:kern w:val="0"/>
          <w:sz w:val="24"/>
          <w:szCs w:val="24"/>
          <w:lang w:bidi="ar"/>
        </w:rPr>
      </w:pPr>
      <w:r>
        <w:rPr>
          <w:kern w:val="0"/>
          <w:sz w:val="24"/>
          <w:szCs w:val="24"/>
          <w:lang w:bidi="ar"/>
        </w:rPr>
        <w:t>关于“环境长期残留性”，一般通过测定物质在环境条件中的半衰期和降解性试验评估。</w:t>
      </w:r>
    </w:p>
    <w:p>
      <w:pPr>
        <w:widowControl/>
        <w:spacing w:line="360" w:lineRule="auto"/>
        <w:ind w:firstLine="480" w:firstLineChars="200"/>
        <w:jc w:val="left"/>
        <w:rPr>
          <w:kern w:val="0"/>
          <w:sz w:val="24"/>
          <w:szCs w:val="24"/>
          <w:lang w:bidi="ar"/>
        </w:rPr>
      </w:pPr>
      <w:r>
        <w:rPr>
          <w:kern w:val="0"/>
          <w:sz w:val="24"/>
          <w:szCs w:val="24"/>
          <w:lang w:bidi="ar"/>
        </w:rPr>
        <w:t>关于“时间加权平均允许浓度（TWA）”，对已知部分物质可参考GBZ2.1工作场所有害因素职业接触限值的PC-TWA数值，对未列入物质由冷却液厂商根据综合分析所采用的化学物质关键效应数据情况并结合专家判断进行确定（于MSDS标明）。计算方法参考《化学物质环境与健康危害评估技术导则》，一般采用以NOAEL除以相应不确定系数。通常将动物试验数据外推到人以100倍的不确定系数为起点，即体现种间差异10倍和种内差异10倍。</w:t>
      </w:r>
      <w:r>
        <w:rPr>
          <w:rFonts w:hint="eastAsia"/>
          <w:kern w:val="0"/>
          <w:sz w:val="24"/>
          <w:szCs w:val="24"/>
          <w:lang w:bidi="ar"/>
        </w:rPr>
        <w:t>N</w:t>
      </w:r>
      <w:r>
        <w:rPr>
          <w:kern w:val="0"/>
          <w:sz w:val="24"/>
          <w:szCs w:val="24"/>
          <w:lang w:bidi="ar"/>
        </w:rPr>
        <w:t>OAEL（无可见作用有害水平） 值</w:t>
      </w:r>
      <w:r>
        <w:rPr>
          <w:rFonts w:hint="eastAsia"/>
          <w:kern w:val="0"/>
          <w:sz w:val="24"/>
          <w:szCs w:val="24"/>
          <w:lang w:bidi="ar"/>
        </w:rPr>
        <w:t>根据</w:t>
      </w:r>
      <w:r>
        <w:rPr>
          <w:kern w:val="0"/>
          <w:sz w:val="24"/>
          <w:szCs w:val="24"/>
          <w:lang w:bidi="ar"/>
        </w:rPr>
        <w:t>卫生部2005年版《化学品毒性鉴定技术规范》中的方法测得。</w:t>
      </w:r>
    </w:p>
    <w:p>
      <w:pPr>
        <w:widowControl/>
        <w:spacing w:line="360" w:lineRule="auto"/>
        <w:ind w:firstLine="480" w:firstLineChars="200"/>
        <w:jc w:val="left"/>
        <w:rPr>
          <w:kern w:val="0"/>
          <w:sz w:val="24"/>
          <w:szCs w:val="24"/>
          <w:lang w:bidi="ar"/>
        </w:rPr>
      </w:pPr>
      <w:r>
        <w:rPr>
          <w:kern w:val="0"/>
          <w:sz w:val="24"/>
          <w:szCs w:val="24"/>
          <w:lang w:bidi="ar"/>
        </w:rPr>
        <w:t>GBZ2.1给出部分物质的TWA，通常具体TWA值由冷却液厂商给出应用值（见MSDS）。</w:t>
      </w:r>
    </w:p>
    <w:p>
      <w:pPr>
        <w:widowControl/>
        <w:spacing w:line="360" w:lineRule="auto"/>
        <w:ind w:firstLine="480" w:firstLineChars="200"/>
        <w:jc w:val="left"/>
        <w:rPr>
          <w:kern w:val="0"/>
          <w:sz w:val="24"/>
          <w:szCs w:val="24"/>
          <w:lang w:bidi="ar"/>
        </w:rPr>
      </w:pPr>
      <w:r>
        <w:rPr>
          <w:rFonts w:hint="eastAsia"/>
          <w:kern w:val="0"/>
          <w:sz w:val="24"/>
          <w:szCs w:val="24"/>
          <w:lang w:bidi="ar"/>
        </w:rPr>
        <w:t>全球变暖潜能值</w:t>
      </w:r>
      <w:r>
        <w:rPr>
          <w:kern w:val="0"/>
          <w:sz w:val="24"/>
          <w:szCs w:val="24"/>
          <w:lang w:bidi="ar"/>
        </w:rPr>
        <w:t>（</w:t>
      </w:r>
      <w:r>
        <w:rPr>
          <w:rFonts w:hint="eastAsia"/>
          <w:kern w:val="0"/>
          <w:sz w:val="24"/>
          <w:szCs w:val="24"/>
          <w:lang w:bidi="ar"/>
        </w:rPr>
        <w:t>GWP</w:t>
      </w:r>
      <w:r>
        <w:rPr>
          <w:kern w:val="0"/>
          <w:sz w:val="24"/>
          <w:szCs w:val="24"/>
          <w:lang w:bidi="ar"/>
        </w:rPr>
        <w:t>）</w:t>
      </w:r>
      <w:r>
        <w:rPr>
          <w:rFonts w:hint="eastAsia"/>
          <w:kern w:val="0"/>
          <w:sz w:val="24"/>
          <w:szCs w:val="24"/>
          <w:lang w:bidi="ar"/>
        </w:rPr>
        <w:t>是衡量不同气体相对全球变暖潜在影响的指标。在特定时间内，它通过对比一定量二氧化碳所捕获的热量来赋予同体量的另一气体所捕获热量一个相对值。政府间气候变化专门委员会（IPCC）选择二氧化碳作为参考气体，其GWP取为1。与二氧化碳相比，GWP值越高，特定气体使地球变暖的程度就越高。氢氟碳化物 (HFC) 的 GWP 值范围从小于 1 到超过 10,000。《蒙特利尔议定书》的基加利修正案进一步限制了某些GWP较高氢氟碳化合物的使用。</w:t>
      </w:r>
    </w:p>
    <w:p>
      <w:pPr>
        <w:widowControl/>
        <w:spacing w:line="360" w:lineRule="auto"/>
        <w:ind w:firstLine="480" w:firstLineChars="200"/>
        <w:jc w:val="left"/>
        <w:rPr>
          <w:kern w:val="0"/>
          <w:sz w:val="24"/>
          <w:szCs w:val="24"/>
          <w:lang w:bidi="ar"/>
        </w:rPr>
      </w:pPr>
      <w:r>
        <w:rPr>
          <w:rFonts w:hint="eastAsia"/>
          <w:kern w:val="0"/>
          <w:sz w:val="24"/>
          <w:szCs w:val="24"/>
          <w:lang w:bidi="ar"/>
        </w:rPr>
        <w:t>同样，ODP（臭氧消耗潜能）是一种化合物破坏平流层臭氧（其作用是保护地球免受有害的高能紫外线辐射）能力的量度。《蒙特利尔议定书》规定了臭氧消耗物质的逐步淘汰，这也是氯氟烃（CFC）已被氢氟碳化合物（HFCs）取代，不再用于制冷系统的原因。</w:t>
      </w:r>
    </w:p>
    <w:p>
      <w:pPr>
        <w:spacing w:line="360" w:lineRule="auto"/>
        <w:ind w:firstLine="480" w:firstLineChars="200"/>
        <w:jc w:val="left"/>
        <w:rPr>
          <w:sz w:val="24"/>
          <w:szCs w:val="24"/>
        </w:rPr>
      </w:pPr>
      <w:r>
        <w:rPr>
          <w:sz w:val="24"/>
          <w:szCs w:val="24"/>
        </w:rPr>
        <w:t>4.7.30 评估浸没式冷却液对消防安全的影响应重点评估</w:t>
      </w:r>
      <w:r>
        <w:rPr>
          <w:rFonts w:hint="eastAsia"/>
          <w:sz w:val="24"/>
          <w:szCs w:val="24"/>
        </w:rPr>
        <w:t>其</w:t>
      </w:r>
      <w:r>
        <w:rPr>
          <w:sz w:val="24"/>
          <w:szCs w:val="24"/>
        </w:rPr>
        <w:t>燃点与闪点，当冷却液“可</w:t>
      </w:r>
      <w:r>
        <w:rPr>
          <w:rFonts w:hint="eastAsia"/>
          <w:sz w:val="24"/>
          <w:szCs w:val="24"/>
        </w:rPr>
        <w:t>燃</w:t>
      </w:r>
      <w:r>
        <w:rPr>
          <w:sz w:val="24"/>
          <w:szCs w:val="24"/>
        </w:rPr>
        <w:t>”时，其闭杯闪点不宜低于150℃。</w:t>
      </w:r>
    </w:p>
    <w:p>
      <w:pPr>
        <w:spacing w:line="360" w:lineRule="auto"/>
        <w:ind w:firstLine="480" w:firstLineChars="200"/>
        <w:jc w:val="left"/>
        <w:rPr>
          <w:sz w:val="24"/>
          <w:szCs w:val="24"/>
        </w:rPr>
      </w:pPr>
      <w:r>
        <w:rPr>
          <w:sz w:val="24"/>
          <w:szCs w:val="24"/>
        </w:rPr>
        <w:t>条文说明：闭杯闪点是指在一稳定的空气环境中，可燃性液体表面产生的蒸汽在试验火焰作用下被闪燃时的最低温度。燃点是指在规定的试验条件下，应用外部热源使物质表面起火并持续燃烧一定时间所需的最低温度。</w:t>
      </w:r>
    </w:p>
    <w:p>
      <w:pPr>
        <w:spacing w:line="360" w:lineRule="auto"/>
        <w:ind w:firstLine="480" w:firstLineChars="200"/>
        <w:jc w:val="left"/>
        <w:rPr>
          <w:sz w:val="24"/>
          <w:szCs w:val="24"/>
        </w:rPr>
      </w:pPr>
      <w:r>
        <w:rPr>
          <w:sz w:val="24"/>
          <w:szCs w:val="24"/>
        </w:rPr>
        <w:t>4.7.31 当浸没式液冷系统选择氟化液时，应关注全氟烷基物质（PFAS）的监管风险。</w:t>
      </w:r>
    </w:p>
    <w:p>
      <w:pPr>
        <w:spacing w:line="360" w:lineRule="auto"/>
        <w:ind w:firstLine="480" w:firstLineChars="200"/>
        <w:jc w:val="left"/>
        <w:rPr>
          <w:sz w:val="24"/>
          <w:szCs w:val="24"/>
        </w:rPr>
      </w:pPr>
      <w:r>
        <w:rPr>
          <w:sz w:val="24"/>
          <w:szCs w:val="24"/>
        </w:rPr>
        <w:t>条文说明：全氟烷基和多氟烷基物质（PFAS）是指分子结构中含有-CF2或-CF3基团的</w:t>
      </w:r>
      <w:r>
        <w:rPr>
          <w:rFonts w:hint="eastAsia"/>
          <w:sz w:val="24"/>
          <w:szCs w:val="24"/>
        </w:rPr>
        <w:t>有机</w:t>
      </w:r>
      <w:r>
        <w:rPr>
          <w:sz w:val="24"/>
          <w:szCs w:val="24"/>
        </w:rPr>
        <w:t>物质，对PFAS类化学品的诸多监管与限制增加了某些冷却液选择的风险；浸没式液冷的用户需关注项目所在地PFAS的相关政策。</w:t>
      </w:r>
    </w:p>
    <w:p>
      <w:pPr>
        <w:spacing w:line="360" w:lineRule="auto"/>
        <w:ind w:firstLine="480" w:firstLineChars="200"/>
        <w:jc w:val="left"/>
        <w:rPr>
          <w:sz w:val="24"/>
          <w:szCs w:val="24"/>
        </w:rPr>
      </w:pPr>
      <w:r>
        <w:rPr>
          <w:sz w:val="24"/>
          <w:szCs w:val="24"/>
        </w:rPr>
        <w:t>4.7.32 评估浸没式冷却液本身的可靠性应重点评估热稳定性与化学稳定性。</w:t>
      </w:r>
    </w:p>
    <w:p>
      <w:pPr>
        <w:widowControl/>
        <w:spacing w:line="360" w:lineRule="auto"/>
        <w:ind w:firstLine="420"/>
        <w:jc w:val="left"/>
        <w:rPr>
          <w:kern w:val="0"/>
          <w:sz w:val="24"/>
          <w:szCs w:val="24"/>
          <w:shd w:val="clear" w:color="auto" w:fill="00FFFF"/>
          <w:lang w:bidi="ar"/>
        </w:rPr>
      </w:pPr>
      <w:r>
        <w:rPr>
          <w:kern w:val="0"/>
          <w:sz w:val="24"/>
          <w:szCs w:val="24"/>
        </w:rPr>
        <w:t>条文说明：热稳定性是材料承受温度变化而不致破坏的能力；化学稳定性是化学物质在现实状态（所处的环境）下发生变化的难易程度，如：与氧气反应、自然分解、与空气中水分发生反应、沉淀、浓缩等；冷却液应在在电子元器件设计的最高工作温度下保持热稳定性。</w:t>
      </w:r>
    </w:p>
    <w:p>
      <w:pPr>
        <w:spacing w:line="360" w:lineRule="auto"/>
        <w:ind w:firstLine="480" w:firstLineChars="200"/>
        <w:jc w:val="left"/>
        <w:rPr>
          <w:sz w:val="24"/>
          <w:szCs w:val="24"/>
        </w:rPr>
      </w:pPr>
      <w:r>
        <w:rPr>
          <w:sz w:val="24"/>
          <w:szCs w:val="24"/>
        </w:rPr>
        <w:t>4.7.33 评估浸没式冷却液在液冷系统中长期运行的稳定性应重点考察冷却液体的使用寿命、酸度与酸值变化。</w:t>
      </w:r>
    </w:p>
    <w:p>
      <w:pPr>
        <w:widowControl/>
        <w:spacing w:line="360" w:lineRule="auto"/>
        <w:ind w:firstLine="420"/>
        <w:jc w:val="left"/>
        <w:rPr>
          <w:kern w:val="0"/>
          <w:sz w:val="24"/>
          <w:szCs w:val="24"/>
        </w:rPr>
      </w:pPr>
      <w:r>
        <w:rPr>
          <w:kern w:val="0"/>
          <w:sz w:val="24"/>
          <w:szCs w:val="24"/>
        </w:rPr>
        <w:t>条文说明：冷却液应在系统长期运行环境下具备良好的抗氧化性，液体老化时间需大于 ICT 设备的设计寿命。</w:t>
      </w:r>
    </w:p>
    <w:p>
      <w:pPr>
        <w:spacing w:line="360" w:lineRule="auto"/>
        <w:ind w:firstLine="480" w:firstLineChars="200"/>
        <w:jc w:val="left"/>
        <w:rPr>
          <w:sz w:val="24"/>
          <w:szCs w:val="24"/>
        </w:rPr>
      </w:pPr>
      <w:r>
        <w:rPr>
          <w:sz w:val="24"/>
          <w:szCs w:val="24"/>
        </w:rPr>
        <w:t>4.7.34 评估浸没式冷却液物理性能应重点关注绝缘性能与热力学性能。</w:t>
      </w:r>
    </w:p>
    <w:p>
      <w:pPr>
        <w:spacing w:line="360" w:lineRule="auto"/>
        <w:ind w:firstLine="480" w:firstLineChars="200"/>
        <w:jc w:val="left"/>
        <w:rPr>
          <w:kern w:val="0"/>
          <w:sz w:val="24"/>
          <w:szCs w:val="24"/>
        </w:rPr>
      </w:pPr>
      <w:r>
        <w:rPr>
          <w:kern w:val="0"/>
          <w:sz w:val="24"/>
          <w:szCs w:val="24"/>
        </w:rPr>
        <w:t>条文说明：冷却液的绝缘性相关参数包括击穿电压与体积电阻率。击穿电压（kV）是使电介质击穿的电压，电介质在足够强的电场作用下将失去其介电性能成为导体，称为电介质击穿，所对应的电压称为击穿电压。体积电阻率（Ω*cm ）是材料每单位体积对电流的阻抗，用来表征材料的电性质。热力学性能相关的参数包括导热系数、比热容、密度、运动粘度、倾点、体积膨胀系数、沸点/馏程。</w:t>
      </w:r>
    </w:p>
    <w:p>
      <w:pPr>
        <w:spacing w:line="360" w:lineRule="auto"/>
        <w:ind w:firstLine="480" w:firstLineChars="200"/>
        <w:jc w:val="left"/>
        <w:rPr>
          <w:sz w:val="24"/>
          <w:szCs w:val="24"/>
        </w:rPr>
      </w:pPr>
      <w:r>
        <w:rPr>
          <w:sz w:val="24"/>
          <w:szCs w:val="24"/>
        </w:rPr>
        <w:t>4.7.35 评估浸没式冷却液的热力学性能应重点关注无量纲组合传热优值。</w:t>
      </w:r>
    </w:p>
    <w:p>
      <w:pPr>
        <w:spacing w:line="360" w:lineRule="auto"/>
        <w:ind w:left="1020" w:leftChars="200" w:hanging="600" w:hangingChars="250"/>
        <w:rPr>
          <w:kern w:val="0"/>
          <w:sz w:val="24"/>
          <w:szCs w:val="24"/>
        </w:rPr>
      </w:pPr>
      <w:r>
        <w:rPr>
          <w:kern w:val="0"/>
          <w:sz w:val="24"/>
          <w:szCs w:val="24"/>
        </w:rPr>
        <w:t>条文说明：</w:t>
      </w:r>
    </w:p>
    <w:p>
      <w:pPr>
        <w:spacing w:line="360" w:lineRule="auto"/>
        <w:ind w:left="1020" w:leftChars="200" w:hanging="600" w:hangingChars="250"/>
        <w:rPr>
          <w:sz w:val="24"/>
          <w:szCs w:val="24"/>
        </w:rPr>
      </w:pPr>
      <w:r>
        <w:rPr>
          <w:kern w:val="0"/>
          <w:sz w:val="24"/>
          <w:szCs w:val="24"/>
        </w:rPr>
        <w:t>单相冷却液传热能力由传热优值FOM1=</w:t>
      </w:r>
      <m:oMath>
        <m:sSub>
          <m:sSubPr>
            <m:ctrlPr>
              <w:rPr>
                <w:rFonts w:ascii="Cambria Math" w:hAnsi="Cambria Math"/>
                <w:kern w:val="0"/>
                <w:sz w:val="24"/>
                <w:szCs w:val="24"/>
              </w:rPr>
            </m:ctrlPr>
          </m:sSubPr>
          <m:e>
            <m:r>
              <m:rPr/>
              <w:rPr>
                <w:rFonts w:ascii="Cambria Math" w:hAnsi="Cambria Math"/>
                <w:kern w:val="0"/>
                <w:sz w:val="24"/>
                <w:szCs w:val="24"/>
              </w:rPr>
              <m:t>ρ</m:t>
            </m:r>
            <m:ctrlPr>
              <w:rPr>
                <w:rFonts w:ascii="Cambria Math" w:hAnsi="Cambria Math"/>
                <w:kern w:val="0"/>
                <w:sz w:val="24"/>
                <w:szCs w:val="24"/>
              </w:rPr>
            </m:ctrlPr>
          </m:e>
          <m:sub>
            <m:r>
              <m:rPr/>
              <w:rPr>
                <w:rFonts w:ascii="Cambria Math" w:hAnsi="Cambria Math"/>
                <w:kern w:val="0"/>
                <w:sz w:val="24"/>
                <w:szCs w:val="24"/>
              </w:rPr>
              <m:t>l</m:t>
            </m:r>
            <m:ctrlPr>
              <w:rPr>
                <w:rFonts w:ascii="Cambria Math" w:hAnsi="Cambria Math"/>
                <w:kern w:val="0"/>
                <w:sz w:val="24"/>
                <w:szCs w:val="24"/>
              </w:rPr>
            </m:ctrlPr>
          </m:sub>
        </m:sSub>
      </m:oMath>
      <w:r>
        <w:rPr>
          <w:sz w:val="24"/>
          <w:szCs w:val="24"/>
          <w:vertAlign w:val="superscript"/>
        </w:rPr>
        <w:t>m</w:t>
      </w:r>
      <w:r>
        <w:rPr>
          <w:sz w:val="24"/>
          <w:szCs w:val="24"/>
        </w:rPr>
        <w:t>*</w:t>
      </w:r>
      <m:oMath>
        <m:sSub>
          <m:sSubPr>
            <m:ctrlPr>
              <w:rPr>
                <w:rFonts w:ascii="Cambria Math" w:hAnsi="Cambria Math"/>
                <w:i/>
                <w:iCs/>
                <w:sz w:val="24"/>
                <w:szCs w:val="24"/>
              </w:rPr>
            </m:ctrlPr>
          </m:sSubPr>
          <m:e>
            <m:r>
              <m:rPr/>
              <w:rPr>
                <w:rFonts w:ascii="Cambria Math" w:hAnsi="Cambria Math"/>
                <w:sz w:val="24"/>
                <w:szCs w:val="24"/>
              </w:rPr>
              <m:t>k</m:t>
            </m:r>
            <m:ctrlPr>
              <w:rPr>
                <w:rFonts w:ascii="Cambria Math" w:hAnsi="Cambria Math"/>
                <w:i/>
                <w:iCs/>
                <w:sz w:val="24"/>
                <w:szCs w:val="24"/>
              </w:rPr>
            </m:ctrlPr>
          </m:e>
          <m:sub>
            <m:r>
              <m:rPr/>
              <w:rPr>
                <w:rFonts w:ascii="Cambria Math" w:hAnsi="Cambria Math"/>
                <w:sz w:val="24"/>
                <w:szCs w:val="24"/>
              </w:rPr>
              <m:t>l</m:t>
            </m:r>
            <m:ctrlPr>
              <w:rPr>
                <w:rFonts w:ascii="Cambria Math" w:hAnsi="Cambria Math"/>
                <w:i/>
                <w:iCs/>
                <w:sz w:val="24"/>
                <w:szCs w:val="24"/>
              </w:rPr>
            </m:ctrlPr>
          </m:sub>
        </m:sSub>
      </m:oMath>
      <w:r>
        <w:rPr>
          <w:sz w:val="24"/>
          <w:szCs w:val="24"/>
          <w:vertAlign w:val="superscript"/>
        </w:rPr>
        <w:t>z</w:t>
      </w:r>
      <w:r>
        <w:rPr>
          <w:sz w:val="24"/>
          <w:szCs w:val="24"/>
        </w:rPr>
        <w:t xml:space="preserve"> *Cp</w:t>
      </w:r>
      <w:r>
        <w:rPr>
          <w:sz w:val="24"/>
          <w:szCs w:val="24"/>
          <w:vertAlign w:val="superscript"/>
        </w:rPr>
        <w:t>n</w:t>
      </w:r>
      <w:r>
        <w:rPr>
          <w:sz w:val="24"/>
          <w:szCs w:val="24"/>
        </w:rPr>
        <w:t xml:space="preserve"> *</w:t>
      </w:r>
      <m:oMath>
        <m:sSub>
          <m:sSubPr>
            <m:ctrlPr>
              <w:rPr>
                <w:rFonts w:ascii="Cambria Math" w:hAnsi="Cambria Math"/>
                <w:i/>
                <w:iCs/>
                <w:sz w:val="24"/>
                <w:szCs w:val="24"/>
              </w:rPr>
            </m:ctrlPr>
          </m:sSubPr>
          <m:e>
            <m:r>
              <m:rPr/>
              <w:rPr>
                <w:rFonts w:ascii="Cambria Math" w:hAnsi="Cambria Math"/>
                <w:sz w:val="24"/>
                <w:szCs w:val="24"/>
              </w:rPr>
              <m:t>μ</m:t>
            </m:r>
            <m:ctrlPr>
              <w:rPr>
                <w:rFonts w:ascii="Cambria Math" w:hAnsi="Cambria Math"/>
                <w:i/>
                <w:iCs/>
                <w:sz w:val="24"/>
                <w:szCs w:val="24"/>
              </w:rPr>
            </m:ctrlPr>
          </m:e>
          <m:sub>
            <m:r>
              <m:rPr/>
              <w:rPr>
                <w:rFonts w:ascii="Cambria Math" w:hAnsi="Cambria Math"/>
                <w:sz w:val="24"/>
                <w:szCs w:val="24"/>
              </w:rPr>
              <m:t>l</m:t>
            </m:r>
            <m:ctrlPr>
              <w:rPr>
                <w:rFonts w:ascii="Cambria Math" w:hAnsi="Cambria Math"/>
                <w:i/>
                <w:iCs/>
                <w:sz w:val="24"/>
                <w:szCs w:val="24"/>
              </w:rPr>
            </m:ctrlPr>
          </m:sub>
        </m:sSub>
      </m:oMath>
      <w:r>
        <w:rPr>
          <w:sz w:val="24"/>
          <w:szCs w:val="24"/>
          <w:vertAlign w:val="superscript"/>
        </w:rPr>
        <w:t>-n</w:t>
      </w:r>
      <w:r>
        <w:rPr>
          <w:sz w:val="24"/>
          <w:szCs w:val="24"/>
        </w:rPr>
        <w:t>表征，其中</w:t>
      </w:r>
    </w:p>
    <w:p>
      <w:pPr>
        <w:spacing w:line="360" w:lineRule="auto"/>
        <w:ind w:left="945" w:leftChars="450"/>
        <w:rPr>
          <w:sz w:val="24"/>
          <w:szCs w:val="24"/>
        </w:rPr>
      </w:pPr>
      <m:oMath>
        <m:sSub>
          <m:sSubPr>
            <m:ctrlPr>
              <w:rPr>
                <w:rFonts w:ascii="Cambria Math" w:hAnsi="Cambria Math"/>
                <w:kern w:val="0"/>
                <w:sz w:val="24"/>
                <w:szCs w:val="24"/>
              </w:rPr>
            </m:ctrlPr>
          </m:sSubPr>
          <m:e>
            <m:r>
              <m:rPr/>
              <w:rPr>
                <w:rFonts w:ascii="Cambria Math" w:hAnsi="Cambria Math"/>
                <w:kern w:val="0"/>
                <w:sz w:val="24"/>
                <w:szCs w:val="24"/>
              </w:rPr>
              <m:t>k</m:t>
            </m:r>
            <m:ctrlPr>
              <w:rPr>
                <w:rFonts w:ascii="Cambria Math" w:hAnsi="Cambria Math"/>
                <w:kern w:val="0"/>
                <w:sz w:val="24"/>
                <w:szCs w:val="24"/>
              </w:rPr>
            </m:ctrlPr>
          </m:e>
          <m:sub>
            <m:r>
              <m:rPr/>
              <w:rPr>
                <w:rFonts w:ascii="Cambria Math" w:hAnsi="Cambria Math"/>
                <w:kern w:val="0"/>
                <w:sz w:val="24"/>
                <w:szCs w:val="24"/>
              </w:rPr>
              <m:t>l</m:t>
            </m:r>
            <m:ctrlPr>
              <w:rPr>
                <w:rFonts w:ascii="Cambria Math" w:hAnsi="Cambria Math"/>
                <w:kern w:val="0"/>
                <w:sz w:val="24"/>
                <w:szCs w:val="24"/>
              </w:rPr>
            </m:ctrlPr>
          </m:sub>
        </m:sSub>
      </m:oMath>
      <w:r>
        <w:rPr>
          <w:kern w:val="0"/>
          <w:sz w:val="24"/>
          <w:szCs w:val="24"/>
        </w:rPr>
        <w:t>——25℃或用户指定运行温度时冷却液的导热系数，单位</w:t>
      </w:r>
      <w:r>
        <w:rPr>
          <w:sz w:val="24"/>
          <w:szCs w:val="24"/>
        </w:rPr>
        <w:t>W/（m·K）</w:t>
      </w:r>
    </w:p>
    <w:p>
      <w:pPr>
        <w:spacing w:line="360" w:lineRule="auto"/>
        <w:ind w:firstLine="960" w:firstLineChars="400"/>
        <w:jc w:val="left"/>
        <w:rPr>
          <w:kern w:val="0"/>
          <w:sz w:val="24"/>
          <w:szCs w:val="24"/>
        </w:rPr>
      </w:pPr>
      <w:r>
        <w:rPr>
          <w:kern w:val="0"/>
          <w:sz w:val="24"/>
          <w:szCs w:val="24"/>
        </w:rPr>
        <w:t>Cp——25℃或用户指定运行温度时冷却液的比热，单位</w:t>
      </w:r>
      <w:r>
        <w:rPr>
          <w:sz w:val="24"/>
          <w:szCs w:val="24"/>
        </w:rPr>
        <w:t>J/（g·K）</w:t>
      </w:r>
    </w:p>
    <w:p>
      <w:pPr>
        <w:spacing w:line="360" w:lineRule="auto"/>
        <w:ind w:left="945" w:leftChars="450"/>
        <w:jc w:val="left"/>
        <w:rPr>
          <w:sz w:val="24"/>
          <w:szCs w:val="24"/>
          <w:vertAlign w:val="superscript"/>
        </w:rPr>
      </w:pPr>
      <m:oMath>
        <m:sSub>
          <m:sSubPr>
            <m:ctrlPr>
              <w:rPr>
                <w:rFonts w:ascii="Cambria Math" w:hAnsi="Cambria Math"/>
                <w:kern w:val="0"/>
                <w:sz w:val="24"/>
                <w:szCs w:val="24"/>
              </w:rPr>
            </m:ctrlPr>
          </m:sSubPr>
          <m:e>
            <m:r>
              <m:rPr/>
              <w:rPr>
                <w:rFonts w:ascii="Cambria Math" w:hAnsi="Cambria Math"/>
                <w:kern w:val="0"/>
                <w:sz w:val="24"/>
                <w:szCs w:val="24"/>
              </w:rPr>
              <m:t>μ</m:t>
            </m:r>
            <m:ctrlPr>
              <w:rPr>
                <w:rFonts w:ascii="Cambria Math" w:hAnsi="Cambria Math"/>
                <w:kern w:val="0"/>
                <w:sz w:val="24"/>
                <w:szCs w:val="24"/>
              </w:rPr>
            </m:ctrlPr>
          </m:e>
          <m:sub>
            <m:r>
              <m:rPr/>
              <w:rPr>
                <w:rFonts w:ascii="Cambria Math" w:hAnsi="Cambria Math"/>
                <w:kern w:val="0"/>
                <w:sz w:val="24"/>
                <w:szCs w:val="24"/>
              </w:rPr>
              <m:t>l</m:t>
            </m:r>
            <m:ctrlPr>
              <w:rPr>
                <w:rFonts w:ascii="Cambria Math" w:hAnsi="Cambria Math"/>
                <w:kern w:val="0"/>
                <w:sz w:val="24"/>
                <w:szCs w:val="24"/>
              </w:rPr>
            </m:ctrlPr>
          </m:sub>
        </m:sSub>
      </m:oMath>
      <w:r>
        <w:rPr>
          <w:kern w:val="0"/>
          <w:sz w:val="24"/>
          <w:szCs w:val="24"/>
        </w:rPr>
        <w:t>——25℃或用户指定运行温度时冷却液的绝对粘度，</w:t>
      </w:r>
      <w:r>
        <w:rPr>
          <w:sz w:val="24"/>
          <w:szCs w:val="24"/>
        </w:rPr>
        <w:t>（N·s）/m</w:t>
      </w:r>
      <w:r>
        <w:rPr>
          <w:sz w:val="24"/>
          <w:szCs w:val="24"/>
          <w:vertAlign w:val="superscript"/>
        </w:rPr>
        <w:t>2</w:t>
      </w:r>
    </w:p>
    <w:p>
      <w:pPr>
        <w:spacing w:line="360" w:lineRule="auto"/>
        <w:ind w:left="945" w:leftChars="450"/>
        <w:jc w:val="left"/>
        <w:rPr>
          <w:kern w:val="0"/>
          <w:sz w:val="24"/>
          <w:szCs w:val="24"/>
        </w:rPr>
      </w:pPr>
      <w:r>
        <w:rPr>
          <w:kern w:val="0"/>
          <w:sz w:val="24"/>
          <w:szCs w:val="24"/>
        </w:rPr>
        <w:t>m, n, z——测试经验值</w:t>
      </w:r>
    </w:p>
    <w:p>
      <w:pPr>
        <w:spacing w:line="360" w:lineRule="auto"/>
        <w:ind w:left="1020" w:leftChars="200" w:hanging="600" w:hangingChars="250"/>
        <w:jc w:val="left"/>
        <w:rPr>
          <w:sz w:val="24"/>
          <w:szCs w:val="24"/>
        </w:rPr>
      </w:pPr>
      <w:r>
        <w:rPr>
          <w:sz w:val="24"/>
          <w:szCs w:val="24"/>
        </w:rPr>
        <w:t>两相冷却液传热能力与传热优值FOM2=</w:t>
      </w:r>
      <m:oMath>
        <m:sSup>
          <m:sSupPr>
            <m:ctrlPr>
              <w:rPr>
                <w:rFonts w:ascii="Cambria Math" w:hAnsi="Cambria Math"/>
                <w:sz w:val="24"/>
                <w:szCs w:val="24"/>
              </w:rPr>
            </m:ctrlPr>
          </m:sSupPr>
          <m:e>
            <m:d>
              <m:dPr>
                <m:begChr m:val="["/>
                <m:endChr m:val="]"/>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w:rPr>
                            <w:rFonts w:ascii="Cambria Math" w:hAnsi="Cambria Math"/>
                            <w:sz w:val="24"/>
                            <w:szCs w:val="24"/>
                          </w:rPr>
                          <m:t>ρ</m:t>
                        </m:r>
                        <m:ctrlPr>
                          <w:rPr>
                            <w:rFonts w:ascii="Cambria Math" w:hAnsi="Cambria Math"/>
                            <w:sz w:val="24"/>
                            <w:szCs w:val="24"/>
                          </w:rPr>
                        </m:ctrlPr>
                      </m:e>
                      <m:sub>
                        <m:r>
                          <m:rPr/>
                          <w:rPr>
                            <w:rFonts w:ascii="Cambria Math" w:hAnsi="Cambria Math"/>
                            <w:sz w:val="24"/>
                            <w:szCs w:val="24"/>
                          </w:rPr>
                          <m:t>l@bp</m:t>
                        </m:r>
                        <m:ctrlPr>
                          <w:rPr>
                            <w:rFonts w:ascii="Cambria Math" w:hAnsi="Cambria Math"/>
                            <w:sz w:val="24"/>
                            <w:szCs w:val="24"/>
                          </w:rPr>
                        </m:ctrlP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w:rPr>
                                <w:rFonts w:ascii="Cambria Math" w:hAnsi="Cambria Math"/>
                                <w:sz w:val="24"/>
                                <w:szCs w:val="24"/>
                              </w:rPr>
                              <m:t>ρ</m:t>
                            </m:r>
                            <m:ctrlPr>
                              <w:rPr>
                                <w:rFonts w:ascii="Cambria Math" w:hAnsi="Cambria Math"/>
                                <w:sz w:val="24"/>
                                <w:szCs w:val="24"/>
                              </w:rPr>
                            </m:ctrlPr>
                          </m:e>
                          <m:sub>
                            <m:r>
                              <m:rPr/>
                              <w:rPr>
                                <w:rFonts w:ascii="Cambria Math" w:hAnsi="Cambria Math"/>
                                <w:sz w:val="24"/>
                                <w:szCs w:val="24"/>
                              </w:rPr>
                              <m:t>l@bp</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ρ</m:t>
                            </m:r>
                            <m:ctrlPr>
                              <w:rPr>
                                <w:rFonts w:ascii="Cambria Math" w:hAnsi="Cambria Math"/>
                                <w:sz w:val="24"/>
                                <w:szCs w:val="24"/>
                              </w:rPr>
                            </m:ctrlPr>
                          </m:e>
                          <m:sub>
                            <m:r>
                              <m:rPr/>
                              <w:rPr>
                                <w:rFonts w:ascii="Cambria Math" w:hAnsi="Cambria Math"/>
                                <w:sz w:val="24"/>
                                <w:szCs w:val="24"/>
                              </w:rPr>
                              <m:t>v@bp</m:t>
                            </m:r>
                            <m:ctrlPr>
                              <w:rPr>
                                <w:rFonts w:ascii="Cambria Math" w:hAnsi="Cambria Math"/>
                                <w:sz w:val="24"/>
                                <w:szCs w:val="24"/>
                              </w:rPr>
                            </m:ctrlPr>
                          </m:sub>
                        </m:sSub>
                        <m:ctrlPr>
                          <w:rPr>
                            <w:rFonts w:ascii="Cambria Math" w:hAnsi="Cambria Math"/>
                            <w:sz w:val="24"/>
                            <w:szCs w:val="24"/>
                          </w:rPr>
                        </m:ctrlPr>
                      </m:e>
                    </m:d>
                    <m:sSup>
                      <m:sSupPr>
                        <m:ctrlPr>
                          <w:rPr>
                            <w:rFonts w:ascii="Cambria Math" w:hAnsi="Cambria Math"/>
                            <w:sz w:val="24"/>
                            <w:szCs w:val="24"/>
                          </w:rPr>
                        </m:ctrlPr>
                      </m:sSupPr>
                      <m:e>
                        <m:sSub>
                          <m:sSubPr>
                            <m:ctrlPr>
                              <w:rPr>
                                <w:rFonts w:ascii="Cambria Math" w:hAnsi="Cambria Math"/>
                                <w:sz w:val="24"/>
                                <w:szCs w:val="24"/>
                              </w:rPr>
                            </m:ctrlPr>
                          </m:sSubPr>
                          <m:e>
                            <m:r>
                              <m:rPr/>
                              <w:rPr>
                                <w:rFonts w:ascii="Cambria Math" w:hAnsi="Cambria Math"/>
                                <w:sz w:val="24"/>
                                <w:szCs w:val="24"/>
                              </w:rPr>
                              <m:t>∗k</m:t>
                            </m:r>
                            <m:ctrlPr>
                              <w:rPr>
                                <w:rFonts w:ascii="Cambria Math" w:hAnsi="Cambria Math"/>
                                <w:sz w:val="24"/>
                                <w:szCs w:val="24"/>
                              </w:rPr>
                            </m:ctrlPr>
                          </m:e>
                          <m:sub>
                            <m:r>
                              <m:rPr/>
                              <w:rPr>
                                <w:rFonts w:ascii="Cambria Math" w:hAnsi="Cambria Math"/>
                                <w:sz w:val="24"/>
                                <w:szCs w:val="24"/>
                              </w:rPr>
                              <m:t>l</m:t>
                            </m:r>
                            <m:ctrlPr>
                              <w:rPr>
                                <w:rFonts w:ascii="Cambria Math" w:hAnsi="Cambria Math"/>
                                <w:sz w:val="24"/>
                                <w:szCs w:val="24"/>
                              </w:rPr>
                            </m:ctrlPr>
                          </m:sub>
                        </m:sSub>
                        <m:ctrlPr>
                          <w:rPr>
                            <w:rFonts w:ascii="Cambria Math" w:hAnsi="Cambria Math"/>
                            <w:sz w:val="24"/>
                            <w:szCs w:val="24"/>
                          </w:rPr>
                        </m:ctrlPr>
                      </m:e>
                      <m:sup>
                        <m:r>
                          <m:rPr>
                            <m:sty m:val="p"/>
                          </m:rPr>
                          <w:rPr>
                            <w:rFonts w:ascii="Cambria Math" w:hAnsi="Cambria Math"/>
                            <w:sz w:val="24"/>
                            <w:szCs w:val="24"/>
                          </w:rPr>
                          <m:t>3</m:t>
                        </m:r>
                        <m:ctrlPr>
                          <w:rPr>
                            <w:rFonts w:ascii="Cambria Math" w:hAnsi="Cambria Math"/>
                            <w:sz w:val="24"/>
                            <w:szCs w:val="24"/>
                          </w:rPr>
                        </m:ctrlPr>
                      </m:sup>
                    </m:sSup>
                    <m:r>
                      <m:rPr/>
                      <w:rPr>
                        <w:rFonts w:ascii="Cambria Math" w:hAnsi="Cambria Math"/>
                        <w:sz w:val="24"/>
                        <w:szCs w:val="24"/>
                      </w:rPr>
                      <m:t>∗ℎ</m:t>
                    </m:r>
                    <m:ctrlPr>
                      <w:rPr>
                        <w:rFonts w:ascii="Cambria Math" w:hAnsi="Cambria Math"/>
                        <w:sz w:val="24"/>
                        <w:szCs w:val="24"/>
                      </w:rPr>
                    </m:ctrlPr>
                  </m:num>
                  <m:den>
                    <m:sSub>
                      <m:sSubPr>
                        <m:ctrlPr>
                          <w:rPr>
                            <w:rFonts w:ascii="Cambria Math" w:hAnsi="Cambria Math"/>
                            <w:sz w:val="24"/>
                            <w:szCs w:val="24"/>
                          </w:rPr>
                        </m:ctrlPr>
                      </m:sSubPr>
                      <m:e>
                        <m:r>
                          <m:rPr/>
                          <w:rPr>
                            <w:rFonts w:ascii="Cambria Math" w:hAnsi="Cambria Math"/>
                            <w:sz w:val="24"/>
                            <w:szCs w:val="24"/>
                          </w:rPr>
                          <m:t>μ</m:t>
                        </m:r>
                        <m:ctrlPr>
                          <w:rPr>
                            <w:rFonts w:ascii="Cambria Math" w:hAnsi="Cambria Math"/>
                            <w:sz w:val="24"/>
                            <w:szCs w:val="24"/>
                          </w:rPr>
                        </m:ctrlPr>
                      </m:e>
                      <m:sub>
                        <m:r>
                          <m:rPr/>
                          <w:rPr>
                            <w:rFonts w:ascii="Cambria Math" w:hAnsi="Cambria Math"/>
                            <w:sz w:val="24"/>
                            <w:szCs w:val="24"/>
                          </w:rPr>
                          <m:t>l</m:t>
                        </m:r>
                        <m:ctrlPr>
                          <w:rPr>
                            <w:rFonts w:ascii="Cambria Math" w:hAnsi="Cambria Math"/>
                            <w:sz w:val="24"/>
                            <w:szCs w:val="24"/>
                          </w:rPr>
                        </m:ctrlPr>
                      </m:sub>
                    </m:sSub>
                    <m:ctrlPr>
                      <w:rPr>
                        <w:rFonts w:ascii="Cambria Math" w:hAnsi="Cambria Math"/>
                        <w:sz w:val="24"/>
                        <w:szCs w:val="24"/>
                      </w:rPr>
                    </m:ctrlPr>
                  </m:den>
                </m:f>
                <m:ctrlPr>
                  <w:rPr>
                    <w:rFonts w:ascii="Cambria Math" w:hAnsi="Cambria Math"/>
                    <w:sz w:val="24"/>
                    <w:szCs w:val="24"/>
                  </w:rPr>
                </m:ctrlPr>
              </m:e>
            </m:d>
            <m:ctrlPr>
              <w:rPr>
                <w:rFonts w:ascii="Cambria Math" w:hAnsi="Cambria Math"/>
                <w:sz w:val="24"/>
                <w:szCs w:val="24"/>
              </w:rPr>
            </m:ctrlPr>
          </m:e>
          <m:sup>
            <m:r>
              <m:rPr/>
              <w:rPr>
                <w:rFonts w:ascii="Cambria Math" w:hAnsi="Cambria Math"/>
                <w:sz w:val="24"/>
                <w:szCs w:val="24"/>
              </w:rPr>
              <m:t>y</m:t>
            </m:r>
            <m:ctrlPr>
              <w:rPr>
                <w:rFonts w:ascii="Cambria Math" w:hAnsi="Cambria Math"/>
                <w:sz w:val="24"/>
                <w:szCs w:val="24"/>
              </w:rPr>
            </m:ctrlPr>
          </m:sup>
        </m:sSup>
      </m:oMath>
      <w:r>
        <w:rPr>
          <w:sz w:val="24"/>
          <w:szCs w:val="24"/>
        </w:rPr>
        <w:t>表征，其中</w:t>
      </w:r>
    </w:p>
    <w:p>
      <w:pPr>
        <w:spacing w:line="360" w:lineRule="auto"/>
        <w:ind w:left="945" w:leftChars="450"/>
        <w:jc w:val="left"/>
        <w:rPr>
          <w:kern w:val="0"/>
          <w:sz w:val="24"/>
          <w:szCs w:val="24"/>
        </w:rPr>
      </w:pPr>
      <m:oMath>
        <m:sSub>
          <m:sSubPr>
            <m:ctrlPr>
              <w:rPr>
                <w:rFonts w:ascii="Cambria Math" w:hAnsi="Cambria Math"/>
                <w:kern w:val="0"/>
                <w:sz w:val="24"/>
                <w:szCs w:val="24"/>
              </w:rPr>
            </m:ctrlPr>
          </m:sSubPr>
          <m:e>
            <m:r>
              <m:rPr/>
              <w:rPr>
                <w:rFonts w:ascii="Cambria Math" w:hAnsi="Cambria Math"/>
                <w:kern w:val="0"/>
                <w:sz w:val="24"/>
                <w:szCs w:val="24"/>
              </w:rPr>
              <m:t>ρ</m:t>
            </m:r>
            <m:ctrlPr>
              <w:rPr>
                <w:rFonts w:ascii="Cambria Math" w:hAnsi="Cambria Math"/>
                <w:kern w:val="0"/>
                <w:sz w:val="24"/>
                <w:szCs w:val="24"/>
              </w:rPr>
            </m:ctrlPr>
          </m:e>
          <m:sub>
            <m:r>
              <m:rPr/>
              <w:rPr>
                <w:rFonts w:ascii="Cambria Math" w:hAnsi="Cambria Math"/>
                <w:kern w:val="0"/>
                <w:sz w:val="24"/>
                <w:szCs w:val="24"/>
              </w:rPr>
              <m:t>l</m:t>
            </m:r>
            <m:r>
              <m:rPr>
                <m:sty m:val="p"/>
              </m:rPr>
              <w:rPr>
                <w:rFonts w:ascii="Cambria Math" w:hAnsi="Cambria Math"/>
                <w:kern w:val="0"/>
                <w:sz w:val="24"/>
                <w:szCs w:val="24"/>
              </w:rPr>
              <m:t>@</m:t>
            </m:r>
            <m:r>
              <m:rPr/>
              <w:rPr>
                <w:rFonts w:ascii="Cambria Math" w:hAnsi="Cambria Math"/>
                <w:kern w:val="0"/>
                <w:sz w:val="24"/>
                <w:szCs w:val="24"/>
              </w:rPr>
              <m:t>bp</m:t>
            </m:r>
            <m:ctrlPr>
              <w:rPr>
                <w:rFonts w:ascii="Cambria Math" w:hAnsi="Cambria Math"/>
                <w:kern w:val="0"/>
                <w:sz w:val="24"/>
                <w:szCs w:val="24"/>
              </w:rPr>
            </m:ctrlPr>
          </m:sub>
        </m:sSub>
      </m:oMath>
      <w:r>
        <w:rPr>
          <w:kern w:val="0"/>
          <w:sz w:val="24"/>
          <w:szCs w:val="24"/>
        </w:rPr>
        <w:t>——沸点时冷却液的密度</w:t>
      </w:r>
    </w:p>
    <w:p>
      <w:pPr>
        <w:spacing w:line="360" w:lineRule="auto"/>
        <w:ind w:left="945" w:leftChars="450"/>
        <w:jc w:val="left"/>
        <w:rPr>
          <w:kern w:val="0"/>
          <w:sz w:val="24"/>
          <w:szCs w:val="24"/>
        </w:rPr>
      </w:pPr>
      <m:oMath>
        <m:sSub>
          <m:sSubPr>
            <m:ctrlPr>
              <w:rPr>
                <w:rFonts w:ascii="Cambria Math" w:hAnsi="Cambria Math"/>
                <w:kern w:val="0"/>
                <w:sz w:val="24"/>
                <w:szCs w:val="24"/>
              </w:rPr>
            </m:ctrlPr>
          </m:sSubPr>
          <m:e>
            <m:r>
              <m:rPr/>
              <w:rPr>
                <w:rFonts w:ascii="Cambria Math" w:hAnsi="Cambria Math"/>
                <w:kern w:val="0"/>
                <w:sz w:val="24"/>
                <w:szCs w:val="24"/>
              </w:rPr>
              <m:t>ρ</m:t>
            </m:r>
            <m:ctrlPr>
              <w:rPr>
                <w:rFonts w:ascii="Cambria Math" w:hAnsi="Cambria Math"/>
                <w:kern w:val="0"/>
                <w:sz w:val="24"/>
                <w:szCs w:val="24"/>
              </w:rPr>
            </m:ctrlPr>
          </m:e>
          <m:sub>
            <m:r>
              <m:rPr/>
              <w:rPr>
                <w:rFonts w:ascii="Cambria Math" w:hAnsi="Cambria Math"/>
                <w:kern w:val="0"/>
                <w:sz w:val="24"/>
                <w:szCs w:val="24"/>
              </w:rPr>
              <m:t>v</m:t>
            </m:r>
            <m:r>
              <m:rPr>
                <m:sty m:val="p"/>
              </m:rPr>
              <w:rPr>
                <w:rFonts w:ascii="Cambria Math" w:hAnsi="Cambria Math"/>
                <w:kern w:val="0"/>
                <w:sz w:val="24"/>
                <w:szCs w:val="24"/>
              </w:rPr>
              <m:t>@</m:t>
            </m:r>
            <m:r>
              <m:rPr/>
              <w:rPr>
                <w:rFonts w:ascii="Cambria Math" w:hAnsi="Cambria Math"/>
                <w:kern w:val="0"/>
                <w:sz w:val="24"/>
                <w:szCs w:val="24"/>
              </w:rPr>
              <m:t>bp</m:t>
            </m:r>
            <m:ctrlPr>
              <w:rPr>
                <w:rFonts w:ascii="Cambria Math" w:hAnsi="Cambria Math"/>
                <w:kern w:val="0"/>
                <w:sz w:val="24"/>
                <w:szCs w:val="24"/>
              </w:rPr>
            </m:ctrlPr>
          </m:sub>
        </m:sSub>
      </m:oMath>
      <w:r>
        <w:rPr>
          <w:kern w:val="0"/>
          <w:sz w:val="24"/>
          <w:szCs w:val="24"/>
        </w:rPr>
        <w:t>——沸点时冷却液的蒸汽密度</w:t>
      </w:r>
    </w:p>
    <w:p>
      <w:pPr>
        <w:spacing w:line="360" w:lineRule="auto"/>
        <w:ind w:left="945" w:leftChars="450"/>
        <w:jc w:val="left"/>
        <w:rPr>
          <w:kern w:val="0"/>
          <w:sz w:val="24"/>
          <w:szCs w:val="24"/>
        </w:rPr>
      </w:pPr>
      <w:r>
        <w:rPr>
          <w:kern w:val="0"/>
          <w:sz w:val="24"/>
          <w:szCs w:val="24"/>
        </w:rPr>
        <w:t>h——液体蒸发潜热</w:t>
      </w:r>
    </w:p>
    <w:p>
      <w:pPr>
        <w:spacing w:line="360" w:lineRule="auto"/>
        <w:ind w:left="945" w:leftChars="450"/>
        <w:jc w:val="left"/>
        <w:rPr>
          <w:kern w:val="0"/>
          <w:sz w:val="24"/>
          <w:szCs w:val="24"/>
        </w:rPr>
      </w:pPr>
      <w:r>
        <w:rPr>
          <w:kern w:val="0"/>
          <w:sz w:val="24"/>
          <w:szCs w:val="24"/>
        </w:rPr>
        <w:t>y——测试经验值</w:t>
      </w:r>
    </w:p>
    <w:p>
      <w:pPr>
        <w:pStyle w:val="26"/>
        <w:spacing w:before="0" w:beforeAutospacing="0" w:after="0" w:afterAutospacing="0" w:line="360" w:lineRule="auto"/>
        <w:ind w:firstLine="480" w:firstLineChars="200"/>
        <w:rPr>
          <w:rFonts w:ascii="Times New Roman" w:hAnsi="Times New Roman" w:cs="Times New Roman"/>
        </w:rPr>
      </w:pPr>
      <w:r>
        <w:rPr>
          <w:rFonts w:ascii="Times New Roman" w:hAnsi="Times New Roman" w:cs="Times New Roman"/>
        </w:rPr>
        <w:t>4.7.36 “兼容”是指在浸没式液冷系统的运行中，相关器件及材料与冷却液长期直接接触，冷却液与组件材料的相互影响应满足系统的可用性要求。</w:t>
      </w:r>
    </w:p>
    <w:p>
      <w:pPr>
        <w:pStyle w:val="26"/>
        <w:spacing w:before="0" w:beforeAutospacing="0" w:after="0" w:afterAutospacing="0" w:line="360" w:lineRule="auto"/>
        <w:ind w:firstLine="480" w:firstLineChars="200"/>
        <w:rPr>
          <w:rFonts w:ascii="Times New Roman" w:hAnsi="Times New Roman" w:cs="Times New Roman"/>
        </w:rPr>
      </w:pPr>
      <w:r>
        <w:rPr>
          <w:rFonts w:ascii="Times New Roman" w:hAnsi="Times New Roman" w:cs="Times New Roman"/>
        </w:rPr>
        <w:t>条文说明：“不兼容”是指在液冷系统的运行中，相关器件及材料与冷却液长期直接接触，冷却液与组件材料的相互影响易导致器件及材料的性能变化甚至引起组件失效、或导致冷却液的组分及特性变化，进而引发系统级故障，无法满足系统的可用性要求。</w:t>
      </w:r>
    </w:p>
    <w:p>
      <w:pPr>
        <w:pStyle w:val="26"/>
        <w:spacing w:before="0" w:beforeAutospacing="0" w:after="0" w:afterAutospacing="0" w:line="360" w:lineRule="auto"/>
        <w:ind w:firstLine="480" w:firstLineChars="200"/>
        <w:rPr>
          <w:rFonts w:ascii="Times New Roman" w:hAnsi="Times New Roman" w:cs="Times New Roman"/>
        </w:rPr>
      </w:pPr>
      <w:r>
        <w:rPr>
          <w:rFonts w:ascii="Times New Roman" w:hAnsi="Times New Roman" w:cs="Times New Roman"/>
        </w:rPr>
        <w:t>“不兼容”往往体现为三方面的变化：1）器件及材料引起冷却液的变化，材料与冷却液发生化学反应，或长期运行导致冷却液的特性变化，例如残留的助焊剂酸化后与冷却液发生反应；2）冷却液引起器件的性能变化，冷却液的溶解、萃取、腐蚀、被吸附，作用并影响相关器件中的材料，易导致材料的质量、体积或其他关键参数的变化，变化超过一定幅度则导致组件破坏或失效，例如某类PVC线缆长期浸没在某种冷却液中会出现硬化开裂的现象，某类EPDM密封圈在某种冷却液中变形导致密封失效等，硅橡胶与氟橡胶在某种冷却液中存在相似相溶的风险；3）冷却液与组件材料的相互作用影响到其他部位的器件及材料，冷却液与组件材料的直接相互作用并未影响组件的正常运行，但通过液体的流动携带作用，被溶解或萃取的材料在其他部位沉积或接触，引起沉积部位的材料特性变化，进而导致故障，例如线缆增塑剂溶解、标签的胶水溶解，溶解物沉积于高热通量部位导致冷却液的酸化进而引发腐蚀。</w:t>
      </w:r>
    </w:p>
    <w:p>
      <w:pPr>
        <w:spacing w:line="360" w:lineRule="auto"/>
        <w:ind w:firstLine="480" w:firstLineChars="200"/>
        <w:jc w:val="left"/>
        <w:rPr>
          <w:sz w:val="24"/>
          <w:szCs w:val="24"/>
        </w:rPr>
      </w:pPr>
      <w:r>
        <w:rPr>
          <w:sz w:val="24"/>
          <w:szCs w:val="24"/>
        </w:rPr>
        <w:t>4.7.37 当数据中心采用浸没式液冷系统时，系统相关组件在运行过程中与冷却液长期直接接触，应预先验证冷却液对组件材料的影响、及组件材料对冷却液的反向影响是否满足系统的可用性要求。</w:t>
      </w:r>
    </w:p>
    <w:p>
      <w:pPr>
        <w:spacing w:line="360" w:lineRule="auto"/>
        <w:ind w:firstLine="480" w:firstLineChars="200"/>
        <w:jc w:val="left"/>
        <w:rPr>
          <w:kern w:val="0"/>
          <w:sz w:val="24"/>
          <w:szCs w:val="24"/>
        </w:rPr>
      </w:pPr>
      <w:r>
        <w:rPr>
          <w:kern w:val="0"/>
          <w:sz w:val="24"/>
          <w:szCs w:val="24"/>
        </w:rPr>
        <w:t>条文说明：验证的方法是兼容性测试，单相冷却液采用浸泡法进行兼容性测试，两相冷却液采用萃取法进行兼容性测试。</w:t>
      </w:r>
    </w:p>
    <w:p>
      <w:pPr>
        <w:spacing w:line="360" w:lineRule="auto"/>
        <w:ind w:firstLine="480" w:firstLineChars="200"/>
        <w:jc w:val="left"/>
        <w:rPr>
          <w:sz w:val="24"/>
          <w:szCs w:val="24"/>
        </w:rPr>
      </w:pPr>
      <w:r>
        <w:rPr>
          <w:sz w:val="24"/>
          <w:szCs w:val="24"/>
        </w:rPr>
        <w:t>4.7.38 评估浸没式冷却液的兼容性应重点评估与冷却液长期接触的系统器件、组件、材料长期运行的稳定性。</w:t>
      </w:r>
    </w:p>
    <w:p>
      <w:pPr>
        <w:pStyle w:val="15"/>
        <w:spacing w:line="360" w:lineRule="auto"/>
        <w:ind w:left="426"/>
        <w:jc w:val="both"/>
        <w:rPr>
          <w:rFonts w:ascii="Times New Roman" w:hAnsi="Times New Roman"/>
          <w:sz w:val="24"/>
          <w:szCs w:val="24"/>
        </w:rPr>
      </w:pPr>
      <w:r>
        <w:rPr>
          <w:rFonts w:ascii="Times New Roman" w:hAnsi="Times New Roman"/>
          <w:kern w:val="0"/>
          <w:sz w:val="24"/>
          <w:szCs w:val="24"/>
        </w:rPr>
        <w:t>条文说明：</w:t>
      </w:r>
      <w:r>
        <w:rPr>
          <w:rFonts w:ascii="Times New Roman" w:hAnsi="Times New Roman"/>
          <w:sz w:val="24"/>
          <w:szCs w:val="24"/>
        </w:rPr>
        <w:t>材料兼容性可通过以下三种途径测试验证：</w:t>
      </w:r>
    </w:p>
    <w:p>
      <w:pPr>
        <w:pStyle w:val="15"/>
        <w:numPr>
          <w:ilvl w:val="1"/>
          <w:numId w:val="18"/>
        </w:numPr>
        <w:spacing w:line="360" w:lineRule="auto"/>
        <w:jc w:val="both"/>
        <w:rPr>
          <w:rFonts w:ascii="Times New Roman" w:hAnsi="Times New Roman"/>
          <w:sz w:val="24"/>
          <w:szCs w:val="24"/>
        </w:rPr>
      </w:pPr>
      <w:r>
        <w:rPr>
          <w:rFonts w:ascii="Times New Roman" w:hAnsi="Times New Roman"/>
          <w:sz w:val="24"/>
          <w:szCs w:val="24"/>
        </w:rPr>
        <w:t>测试冷却液与系统中某典型单一材料的相互影响，包括冷却液对金属、无机非金属及有机材料关键指标的影响程度，以及冷却液性能受到该系统材料的影响，包括冷却液的绝缘性、酸性、介电特性等关键指标和溶解污染物等情况，以判断冷却液与相应材料的兼容性；</w:t>
      </w:r>
    </w:p>
    <w:p>
      <w:pPr>
        <w:pStyle w:val="15"/>
        <w:numPr>
          <w:ilvl w:val="1"/>
          <w:numId w:val="18"/>
        </w:numPr>
        <w:spacing w:line="360" w:lineRule="auto"/>
        <w:jc w:val="both"/>
        <w:rPr>
          <w:rFonts w:ascii="Times New Roman" w:hAnsi="Times New Roman"/>
          <w:sz w:val="24"/>
          <w:szCs w:val="24"/>
        </w:rPr>
      </w:pPr>
      <w:r>
        <w:rPr>
          <w:rFonts w:ascii="Times New Roman" w:hAnsi="Times New Roman"/>
          <w:sz w:val="24"/>
          <w:szCs w:val="24"/>
        </w:rPr>
        <w:t>在高温加速老化条件下测试冷却液对各类器件及其组成材料的影响（关注器件的主要功能性变化，如粘性、弹性、导热系数等方面），通过冷却液对各类器件的功能影响程度，以及浸没相应器件材料的加速老化环境对冷却液性能的影响，以判断冷却液与特定器件材料的兼容性；</w:t>
      </w:r>
    </w:p>
    <w:p>
      <w:pPr>
        <w:pStyle w:val="15"/>
        <w:numPr>
          <w:ilvl w:val="1"/>
          <w:numId w:val="18"/>
        </w:numPr>
        <w:spacing w:line="360" w:lineRule="auto"/>
        <w:jc w:val="both"/>
        <w:rPr>
          <w:rFonts w:ascii="Times New Roman" w:hAnsi="Times New Roman"/>
          <w:sz w:val="24"/>
          <w:szCs w:val="24"/>
        </w:rPr>
      </w:pPr>
      <w:r>
        <w:rPr>
          <w:rFonts w:ascii="Times New Roman" w:hAnsi="Times New Roman"/>
          <w:sz w:val="24"/>
          <w:szCs w:val="24"/>
        </w:rPr>
        <w:t>由系统设计者或使用者模拟实际应用典型场景与工况，在一段连续运行时间内测试冷却液对系统整体运行的影响，以判断液冷系统长期运行的稳定性和可靠性。</w:t>
      </w:r>
    </w:p>
    <w:p>
      <w:pPr>
        <w:spacing w:line="360" w:lineRule="auto"/>
        <w:ind w:firstLine="480" w:firstLineChars="200"/>
        <w:jc w:val="left"/>
        <w:rPr>
          <w:sz w:val="24"/>
          <w:szCs w:val="24"/>
        </w:rPr>
      </w:pPr>
      <w:r>
        <w:rPr>
          <w:sz w:val="24"/>
          <w:szCs w:val="24"/>
        </w:rPr>
        <w:t>4.7.39 浸没式冷却液的兼容性测试应区分电子信息设备包含的金属材料、无机材料、有机材料，冷却系统包含的金属材料、无机材料、有机材料，布线工程包含的金属材料、无机材料、有机材料。</w:t>
      </w:r>
    </w:p>
    <w:p>
      <w:pPr>
        <w:spacing w:line="360" w:lineRule="auto"/>
        <w:ind w:firstLine="480" w:firstLineChars="200"/>
        <w:jc w:val="left"/>
        <w:rPr>
          <w:kern w:val="0"/>
          <w:sz w:val="24"/>
          <w:szCs w:val="24"/>
        </w:rPr>
      </w:pPr>
      <w:r>
        <w:rPr>
          <w:kern w:val="0"/>
          <w:sz w:val="24"/>
          <w:szCs w:val="24"/>
        </w:rPr>
        <w:t>条文说明：冷却系统与布线工程包含的材料如下表格：</w:t>
      </w:r>
    </w:p>
    <w:p>
      <w:pPr>
        <w:spacing w:line="360" w:lineRule="auto"/>
        <w:jc w:val="center"/>
        <w:rPr>
          <w:b/>
          <w:kern w:val="0"/>
          <w:szCs w:val="24"/>
          <w:lang w:bidi="ar"/>
        </w:rPr>
      </w:pPr>
      <w:r>
        <w:rPr>
          <w:b/>
          <w:kern w:val="0"/>
          <w:szCs w:val="24"/>
          <w:lang w:bidi="ar"/>
        </w:rPr>
        <w:t>表4.7.39  冷却系统与布线工程包含的材料表</w:t>
      </w:r>
    </w:p>
    <w:tbl>
      <w:tblPr>
        <w:tblStyle w:val="27"/>
        <w:tblW w:w="8495" w:type="dxa"/>
        <w:jc w:val="center"/>
        <w:tblLayout w:type="autofit"/>
        <w:tblCellMar>
          <w:top w:w="0" w:type="dxa"/>
          <w:left w:w="0" w:type="dxa"/>
          <w:bottom w:w="0" w:type="dxa"/>
          <w:right w:w="0" w:type="dxa"/>
        </w:tblCellMar>
      </w:tblPr>
      <w:tblGrid>
        <w:gridCol w:w="557"/>
        <w:gridCol w:w="709"/>
        <w:gridCol w:w="1134"/>
        <w:gridCol w:w="3260"/>
        <w:gridCol w:w="2835"/>
      </w:tblGrid>
      <w:tr>
        <w:trPr>
          <w:trHeight w:val="235" w:hRule="atLeast"/>
          <w:jc w:val="center"/>
        </w:trPr>
        <w:tc>
          <w:tcPr>
            <w:tcW w:w="5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r>
              <w:rPr>
                <w:kern w:val="0"/>
                <w:szCs w:val="21"/>
              </w:rPr>
              <w:t>材料</w:t>
            </w: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类别</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功能</w:t>
            </w:r>
          </w:p>
        </w:tc>
        <w:tc>
          <w:tcPr>
            <w:tcW w:w="326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应用系统器件</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典型材料型号</w:t>
            </w:r>
          </w:p>
        </w:tc>
      </w:tr>
      <w:tr>
        <w:trPr>
          <w:trHeight w:val="235" w:hRule="atLeast"/>
          <w:jc w:val="center"/>
        </w:trPr>
        <w:tc>
          <w:tcPr>
            <w:tcW w:w="557"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金属材料</w:t>
            </w: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钢材</w:t>
            </w:r>
          </w:p>
          <w:p>
            <w:pPr>
              <w:autoSpaceDE w:val="0"/>
              <w:autoSpaceDN w:val="0"/>
              <w:adjustRightInd w:val="0"/>
              <w:jc w:val="center"/>
              <w:rPr>
                <w:kern w:val="0"/>
                <w:szCs w:val="21"/>
              </w:rPr>
            </w:pP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结构件、承载、检测</w:t>
            </w:r>
          </w:p>
        </w:tc>
        <w:tc>
          <w:tcPr>
            <w:tcW w:w="3260" w:type="dxa"/>
            <w:tcBorders>
              <w:top w:val="single" w:color="000000" w:sz="8" w:space="0"/>
              <w:left w:val="single" w:color="000000" w:sz="8" w:space="0"/>
              <w:bottom w:val="single" w:color="000000" w:sz="8" w:space="0"/>
              <w:right w:val="single" w:color="000000" w:sz="8" w:space="0"/>
            </w:tcBorders>
          </w:tcPr>
          <w:p>
            <w:pPr>
              <w:autoSpaceDE w:val="0"/>
              <w:autoSpaceDN w:val="0"/>
              <w:adjustRightInd w:val="0"/>
              <w:rPr>
                <w:kern w:val="0"/>
                <w:szCs w:val="21"/>
              </w:rPr>
            </w:pPr>
            <w:r>
              <w:rPr>
                <w:kern w:val="0"/>
                <w:szCs w:val="21"/>
              </w:rPr>
              <w:t>液冷机柜本体内部、传感器、过滤器、液体循环泵叶轮、管道（含金属软管）及管件（含法兰、卡箍、阀门、补偿器、排气装置等、阀门</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ind w:firstLine="105" w:firstLineChars="50"/>
              <w:jc w:val="center"/>
              <w:rPr>
                <w:kern w:val="0"/>
                <w:szCs w:val="21"/>
              </w:rPr>
            </w:pPr>
            <w:r>
              <w:rPr>
                <w:kern w:val="0"/>
                <w:szCs w:val="21"/>
              </w:rPr>
              <w:t>SUS304、316L</w:t>
            </w:r>
          </w:p>
        </w:tc>
      </w:tr>
      <w:tr>
        <w:trPr>
          <w:trHeight w:val="235" w:hRule="atLeast"/>
          <w:jc w:val="center"/>
        </w:trPr>
        <w:tc>
          <w:tcPr>
            <w:tcW w:w="557" w:type="dxa"/>
            <w:vMerge w:val="continue"/>
            <w:tcBorders>
              <w:left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铝</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结构件</w:t>
            </w:r>
          </w:p>
        </w:tc>
        <w:tc>
          <w:tcPr>
            <w:tcW w:w="3260" w:type="dxa"/>
            <w:tcBorders>
              <w:top w:val="single" w:color="000000" w:sz="8" w:space="0"/>
              <w:left w:val="single" w:color="000000" w:sz="8" w:space="0"/>
              <w:bottom w:val="single" w:color="000000" w:sz="8" w:space="0"/>
              <w:right w:val="single" w:color="000000" w:sz="8" w:space="0"/>
            </w:tcBorders>
          </w:tcPr>
          <w:p>
            <w:pPr>
              <w:autoSpaceDE w:val="0"/>
              <w:autoSpaceDN w:val="0"/>
              <w:adjustRightInd w:val="0"/>
              <w:jc w:val="center"/>
              <w:rPr>
                <w:kern w:val="0"/>
                <w:szCs w:val="21"/>
              </w:rPr>
            </w:pPr>
            <w:r>
              <w:rPr>
                <w:kern w:val="0"/>
                <w:szCs w:val="21"/>
              </w:rPr>
              <w:t>PDU外壳</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Al</w:t>
            </w:r>
          </w:p>
        </w:tc>
      </w:tr>
      <w:tr>
        <w:trPr>
          <w:trHeight w:val="235" w:hRule="atLeast"/>
          <w:jc w:val="center"/>
        </w:trPr>
        <w:tc>
          <w:tcPr>
            <w:tcW w:w="557" w:type="dxa"/>
            <w:vMerge w:val="continue"/>
            <w:tcBorders>
              <w:left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铜</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结构件</w:t>
            </w:r>
          </w:p>
        </w:tc>
        <w:tc>
          <w:tcPr>
            <w:tcW w:w="3260" w:type="dxa"/>
            <w:tcBorders>
              <w:top w:val="single" w:color="000000" w:sz="8" w:space="0"/>
              <w:left w:val="single" w:color="000000" w:sz="8" w:space="0"/>
              <w:bottom w:val="single" w:color="000000" w:sz="8" w:space="0"/>
              <w:right w:val="single" w:color="000000" w:sz="8" w:space="0"/>
            </w:tcBorders>
          </w:tcPr>
          <w:p>
            <w:pPr>
              <w:autoSpaceDE w:val="0"/>
              <w:autoSpaceDN w:val="0"/>
              <w:adjustRightInd w:val="0"/>
              <w:rPr>
                <w:kern w:val="0"/>
                <w:szCs w:val="21"/>
              </w:rPr>
            </w:pPr>
            <w:r>
              <w:rPr>
                <w:kern w:val="0"/>
                <w:szCs w:val="21"/>
              </w:rPr>
              <w:t>板式换热器、排气装置、安全阀、阀体</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ind w:firstLine="105" w:firstLineChars="50"/>
              <w:jc w:val="center"/>
              <w:rPr>
                <w:kern w:val="0"/>
                <w:szCs w:val="21"/>
              </w:rPr>
            </w:pPr>
            <w:r>
              <w:rPr>
                <w:kern w:val="0"/>
                <w:szCs w:val="21"/>
              </w:rPr>
              <w:t>黄铜镀镍</w:t>
            </w:r>
          </w:p>
        </w:tc>
      </w:tr>
      <w:tr>
        <w:trPr>
          <w:trHeight w:val="235" w:hRule="atLeast"/>
          <w:jc w:val="center"/>
        </w:trPr>
        <w:tc>
          <w:tcPr>
            <w:tcW w:w="557" w:type="dxa"/>
            <w:vMerge w:val="continu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铸铁</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结构件</w:t>
            </w:r>
          </w:p>
        </w:tc>
        <w:tc>
          <w:tcPr>
            <w:tcW w:w="3260" w:type="dxa"/>
            <w:tcBorders>
              <w:top w:val="single" w:color="000000" w:sz="8" w:space="0"/>
              <w:left w:val="single" w:color="000000" w:sz="8" w:space="0"/>
              <w:bottom w:val="single" w:color="000000" w:sz="8" w:space="0"/>
              <w:right w:val="single" w:color="000000" w:sz="8" w:space="0"/>
            </w:tcBorders>
          </w:tcPr>
          <w:p>
            <w:pPr>
              <w:autoSpaceDE w:val="0"/>
              <w:autoSpaceDN w:val="0"/>
              <w:adjustRightInd w:val="0"/>
              <w:jc w:val="center"/>
              <w:rPr>
                <w:kern w:val="0"/>
                <w:szCs w:val="21"/>
              </w:rPr>
            </w:pPr>
            <w:r>
              <w:rPr>
                <w:kern w:val="0"/>
                <w:szCs w:val="21"/>
              </w:rPr>
              <w:t>阀体</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ind w:firstLine="105" w:firstLineChars="50"/>
              <w:jc w:val="center"/>
              <w:rPr>
                <w:kern w:val="0"/>
                <w:szCs w:val="21"/>
              </w:rPr>
            </w:pPr>
            <w:r>
              <w:rPr>
                <w:kern w:val="0"/>
                <w:szCs w:val="21"/>
              </w:rPr>
              <w:t>球墨铸铁</w:t>
            </w:r>
          </w:p>
        </w:tc>
      </w:tr>
      <w:tr>
        <w:trPr>
          <w:trHeight w:val="235" w:hRule="atLeast"/>
          <w:jc w:val="center"/>
        </w:trPr>
        <w:tc>
          <w:tcPr>
            <w:tcW w:w="557"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有机材料</w:t>
            </w: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硬质塑料</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可视化、密封</w:t>
            </w:r>
          </w:p>
        </w:tc>
        <w:tc>
          <w:tcPr>
            <w:tcW w:w="326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盖板、PDU面板、补偿器</w:t>
            </w:r>
          </w:p>
        </w:tc>
        <w:tc>
          <w:tcPr>
            <w:tcW w:w="2835" w:type="dxa"/>
            <w:tcBorders>
              <w:top w:val="single" w:color="000000" w:sz="8" w:space="0"/>
              <w:left w:val="single" w:color="000000" w:sz="8" w:space="0"/>
              <w:bottom w:val="single" w:color="000000" w:sz="8" w:space="0"/>
              <w:right w:val="single" w:color="000000" w:sz="8" w:space="0"/>
            </w:tcBorders>
          </w:tcPr>
          <w:p>
            <w:pPr>
              <w:autoSpaceDE w:val="0"/>
              <w:autoSpaceDN w:val="0"/>
              <w:adjustRightInd w:val="0"/>
              <w:rPr>
                <w:kern w:val="0"/>
                <w:szCs w:val="21"/>
              </w:rPr>
            </w:pPr>
            <w:r>
              <w:rPr>
                <w:szCs w:val="21"/>
                <w:shd w:val="clear" w:color="auto" w:fill="FFFFFF"/>
              </w:rPr>
              <w:t>聚碳酸酯、四氟垫、RPTFE（聚四氟乙烯玻璃纤维）、TMF1600改性聚四氟乙烯、PTFE（聚四氟乙烯）、乙烯-醋酸乙烯共聚体EVA</w:t>
            </w:r>
          </w:p>
        </w:tc>
      </w:tr>
      <w:tr>
        <w:trPr>
          <w:trHeight w:val="235" w:hRule="atLeast"/>
          <w:jc w:val="center"/>
        </w:trPr>
        <w:tc>
          <w:tcPr>
            <w:tcW w:w="557" w:type="dxa"/>
            <w:vMerge w:val="continue"/>
            <w:tcBorders>
              <w:left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软质塑料</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外包装</w:t>
            </w:r>
          </w:p>
        </w:tc>
        <w:tc>
          <w:tcPr>
            <w:tcW w:w="326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ind w:firstLine="105" w:firstLineChars="50"/>
              <w:jc w:val="center"/>
              <w:rPr>
                <w:kern w:val="0"/>
                <w:szCs w:val="21"/>
              </w:rPr>
            </w:pPr>
            <w:r>
              <w:rPr>
                <w:kern w:val="0"/>
                <w:szCs w:val="21"/>
              </w:rPr>
              <w:t>PDU电源线外皮</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ind w:firstLine="105" w:firstLineChars="50"/>
              <w:jc w:val="center"/>
              <w:rPr>
                <w:kern w:val="0"/>
                <w:szCs w:val="21"/>
              </w:rPr>
            </w:pPr>
            <w:r>
              <w:rPr>
                <w:kern w:val="0"/>
                <w:szCs w:val="21"/>
              </w:rPr>
              <w:t>PVC聚氯乙烯、PC聚碳酸酯</w:t>
            </w:r>
          </w:p>
        </w:tc>
      </w:tr>
      <w:tr>
        <w:trPr>
          <w:trHeight w:val="235" w:hRule="atLeast"/>
          <w:jc w:val="center"/>
        </w:trPr>
        <w:tc>
          <w:tcPr>
            <w:tcW w:w="557" w:type="dxa"/>
            <w:vMerge w:val="continu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橡胶</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密封</w:t>
            </w:r>
          </w:p>
        </w:tc>
        <w:tc>
          <w:tcPr>
            <w:tcW w:w="326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阀门密封圈、泵密封圈</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氟橡胶、丁腈橡胶、</w:t>
            </w:r>
            <w:r>
              <w:rPr>
                <w:szCs w:val="21"/>
                <w:shd w:val="clear" w:color="auto" w:fill="FFFFFF"/>
              </w:rPr>
              <w:t>EPDM三元乙丙橡胶、氟橡胶KVM</w:t>
            </w:r>
          </w:p>
        </w:tc>
      </w:tr>
      <w:tr>
        <w:trPr>
          <w:trHeight w:val="235" w:hRule="atLeast"/>
          <w:jc w:val="center"/>
        </w:trPr>
        <w:tc>
          <w:tcPr>
            <w:tcW w:w="5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r>
              <w:rPr>
                <w:kern w:val="0"/>
                <w:szCs w:val="21"/>
              </w:rPr>
              <w:t>无机材料</w:t>
            </w: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碳化硅</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承载</w:t>
            </w:r>
          </w:p>
        </w:tc>
        <w:tc>
          <w:tcPr>
            <w:tcW w:w="326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冷却液循环泵轴</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ind w:firstLine="105" w:firstLineChars="50"/>
              <w:jc w:val="center"/>
              <w:rPr>
                <w:kern w:val="0"/>
                <w:szCs w:val="21"/>
              </w:rPr>
            </w:pPr>
            <w:r>
              <w:rPr>
                <w:kern w:val="0"/>
                <w:szCs w:val="21"/>
              </w:rPr>
              <w:t>SiC</w:t>
            </w:r>
          </w:p>
        </w:tc>
      </w:tr>
      <w:tr>
        <w:trPr>
          <w:trHeight w:val="235" w:hRule="atLeast"/>
          <w:jc w:val="center"/>
        </w:trPr>
        <w:tc>
          <w:tcPr>
            <w:tcW w:w="5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r>
              <w:rPr>
                <w:kern w:val="0"/>
                <w:szCs w:val="21"/>
              </w:rPr>
              <w:t>其他</w:t>
            </w:r>
          </w:p>
        </w:tc>
        <w:tc>
          <w:tcPr>
            <w:tcW w:w="7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autoSpaceDE w:val="0"/>
              <w:autoSpaceDN w:val="0"/>
              <w:adjustRightInd w:val="0"/>
              <w:rPr>
                <w:kern w:val="0"/>
                <w:szCs w:val="21"/>
              </w:rPr>
            </w:pPr>
            <w:r>
              <w:rPr>
                <w:kern w:val="0"/>
                <w:szCs w:val="21"/>
              </w:rPr>
              <w:t>碳钢喷塑</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autoSpaceDE w:val="0"/>
              <w:autoSpaceDN w:val="0"/>
              <w:adjustRightInd w:val="0"/>
              <w:jc w:val="center"/>
              <w:rPr>
                <w:kern w:val="0"/>
                <w:szCs w:val="21"/>
              </w:rPr>
            </w:pPr>
            <w:r>
              <w:rPr>
                <w:kern w:val="0"/>
                <w:szCs w:val="21"/>
              </w:rPr>
              <w:t>承载</w:t>
            </w:r>
          </w:p>
        </w:tc>
        <w:tc>
          <w:tcPr>
            <w:tcW w:w="326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kern w:val="0"/>
                <w:szCs w:val="21"/>
              </w:rPr>
            </w:pPr>
            <w:r>
              <w:rPr>
                <w:kern w:val="0"/>
                <w:szCs w:val="21"/>
              </w:rPr>
              <w:t>机柜Tank本体、IT设备安装支架</w:t>
            </w:r>
          </w:p>
        </w:tc>
        <w:tc>
          <w:tcPr>
            <w:tcW w:w="2835"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ind w:firstLine="105" w:firstLineChars="50"/>
              <w:jc w:val="center"/>
              <w:rPr>
                <w:kern w:val="0"/>
                <w:szCs w:val="21"/>
              </w:rPr>
            </w:pPr>
            <w:r>
              <w:rPr>
                <w:kern w:val="0"/>
                <w:szCs w:val="21"/>
              </w:rPr>
              <w:t>碳钢、自喷漆</w:t>
            </w:r>
          </w:p>
        </w:tc>
      </w:tr>
    </w:tbl>
    <w:p>
      <w:pPr>
        <w:pStyle w:val="26"/>
        <w:widowControl w:val="0"/>
        <w:spacing w:before="0" w:beforeAutospacing="0" w:after="0" w:afterAutospacing="0" w:line="360" w:lineRule="auto"/>
        <w:jc w:val="both"/>
        <w:rPr>
          <w:rFonts w:ascii="Times New Roman" w:hAnsi="Times New Roman" w:cs="Times New Roman"/>
        </w:rPr>
      </w:pPr>
      <w:r>
        <w:rPr>
          <w:rFonts w:ascii="Times New Roman" w:hAnsi="Times New Roman" w:eastAsia="微软雅黑" w:cs="Times New Roman"/>
        </w:rPr>
        <w:t xml:space="preserve">   </w:t>
      </w:r>
      <w:r>
        <w:rPr>
          <w:rFonts w:ascii="Times New Roman" w:hAnsi="Times New Roman" w:cs="Times New Roman"/>
        </w:rPr>
        <w:t xml:space="preserve"> 氟化液场景材料兼容性说明如下：</w:t>
      </w:r>
    </w:p>
    <w:p>
      <w:pPr>
        <w:pStyle w:val="26"/>
        <w:widowControl w:val="0"/>
        <w:spacing w:before="0" w:beforeAutospacing="0" w:after="0" w:afterAutospacing="0" w:line="360" w:lineRule="auto"/>
        <w:jc w:val="both"/>
        <w:rPr>
          <w:rFonts w:ascii="Times New Roman" w:hAnsi="Times New Roman" w:cs="Times New Roman"/>
        </w:rPr>
      </w:pPr>
      <w:r>
        <w:rPr>
          <w:rFonts w:ascii="Times New Roman" w:hAnsi="Times New Roman" w:cs="Times New Roman"/>
        </w:rPr>
        <w:t xml:space="preserve">    氟化液（PFC</w:t>
      </w:r>
      <w:r>
        <w:rPr>
          <w:rFonts w:hint="eastAsia" w:ascii="Times New Roman" w:hAnsi="Times New Roman" w:cs="Times New Roman"/>
        </w:rPr>
        <w:t>类）</w:t>
      </w:r>
      <w:r>
        <w:rPr>
          <w:rFonts w:ascii="Times New Roman" w:hAnsi="Times New Roman" w:cs="Times New Roman"/>
        </w:rPr>
        <w:t>兼容性可能不佳的材料包含：聚四氟乙烯（Teflon）、膨胀型聚四氟乙烯、含氟聚合物 (Raychem Flexlite)、聚氯乙烯PVC (Soflex TQ)、氟化乙烯丙烯(FEP)；氟化液（PFPE</w:t>
      </w:r>
      <w:r>
        <w:rPr>
          <w:rFonts w:hint="eastAsia" w:ascii="Times New Roman" w:hAnsi="Times New Roman" w:cs="Times New Roman"/>
        </w:rPr>
        <w:t>类</w:t>
      </w:r>
      <w:r>
        <w:rPr>
          <w:rFonts w:ascii="Times New Roman" w:hAnsi="Times New Roman" w:cs="Times New Roman"/>
        </w:rPr>
        <w:t>）兼容性可能不佳的材料包含：天然橡胶、顺丁橡胶（BR）、氟橡胶（FKM）。</w:t>
      </w:r>
    </w:p>
    <w:p>
      <w:pPr>
        <w:pStyle w:val="26"/>
        <w:widowControl w:val="0"/>
        <w:spacing w:before="0" w:beforeAutospacing="0" w:after="0" w:afterAutospacing="0" w:line="360" w:lineRule="auto"/>
        <w:ind w:left="420"/>
        <w:jc w:val="both"/>
        <w:rPr>
          <w:rFonts w:ascii="Times New Roman" w:hAnsi="Times New Roman" w:cs="Times New Roman"/>
        </w:rPr>
      </w:pPr>
      <w:r>
        <w:rPr>
          <w:rFonts w:ascii="Times New Roman" w:hAnsi="Times New Roman" w:cs="Times New Roman"/>
        </w:rPr>
        <w:t>油类冷却液场景材料兼容性说明如下：</w:t>
      </w:r>
    </w:p>
    <w:p>
      <w:pPr>
        <w:pStyle w:val="26"/>
        <w:widowControl w:val="0"/>
        <w:numPr>
          <w:ilvl w:val="1"/>
          <w:numId w:val="19"/>
        </w:numPr>
        <w:spacing w:before="0" w:beforeAutospacing="0" w:after="0" w:afterAutospacing="0" w:line="360" w:lineRule="auto"/>
        <w:jc w:val="both"/>
        <w:rPr>
          <w:rFonts w:ascii="Times New Roman" w:hAnsi="Times New Roman" w:cs="Times New Roman"/>
        </w:rPr>
      </w:pPr>
      <w:r>
        <w:rPr>
          <w:rFonts w:ascii="Times New Roman" w:hAnsi="Times New Roman" w:cs="Times New Roman"/>
        </w:rPr>
        <w:t>天然气合成油（GTL）场景下兼容性不佳的材料包含：三元乙丙橡胶（EPDM）、硅橡胶和天然橡胶；可能兼容性不佳的材料包含：氯丁橡胶</w:t>
      </w:r>
      <w:r>
        <w:rPr>
          <w:rFonts w:hint="eastAsia" w:ascii="Times New Roman" w:hAnsi="Times New Roman" w:cs="Times New Roman"/>
        </w:rPr>
        <w:t>（</w:t>
      </w:r>
      <w:r>
        <w:rPr>
          <w:rFonts w:ascii="Times New Roman" w:hAnsi="Times New Roman" w:cs="Times New Roman"/>
        </w:rPr>
        <w:t>CR</w:t>
      </w:r>
      <w:r>
        <w:rPr>
          <w:rFonts w:hint="eastAsia" w:ascii="Times New Roman" w:hAnsi="Times New Roman" w:cs="Times New Roman"/>
        </w:rPr>
        <w:t>）、</w:t>
      </w:r>
      <w:r>
        <w:rPr>
          <w:rFonts w:ascii="Times New Roman" w:hAnsi="Times New Roman" w:cs="Times New Roman"/>
        </w:rPr>
        <w:t>聚氯乙烯(PVC)、氯化聚氯乙烯（c-PVC）、低密度聚乙烯、聚丙烯30%玻璃纤维（PP GF）、聚丙烯(PP)、聚烯烃（LSZH）、氯丁橡胶（PCP）。</w:t>
      </w:r>
    </w:p>
    <w:p>
      <w:pPr>
        <w:pStyle w:val="26"/>
        <w:widowControl w:val="0"/>
        <w:numPr>
          <w:ilvl w:val="1"/>
          <w:numId w:val="19"/>
        </w:numPr>
        <w:spacing w:before="0" w:beforeAutospacing="0" w:after="0" w:afterAutospacing="0" w:line="360" w:lineRule="auto"/>
        <w:jc w:val="both"/>
        <w:rPr>
          <w:rFonts w:ascii="Times New Roman" w:hAnsi="Times New Roman" w:cs="Times New Roman"/>
        </w:rPr>
      </w:pPr>
      <w:r>
        <w:rPr>
          <w:rFonts w:hint="eastAsia" w:ascii="Times New Roman" w:hAnsi="Times New Roman" w:cs="Times New Roman"/>
        </w:rPr>
        <w:t>碳氢化合物合成油（PAO）场景下兼容性不佳的材料包含: 三元乙丙橡胶（EPDM）、天然橡胶、交联的聚烯烃、PS（聚苯乙烯）、聚丙烯(PP)、聚酰胺（PA）、高温聚酰胺碳纤维增强型(CF PA)、聚对苯二甲酸乙二醇酯-改性（PETG）、硅胶、矿物棉(岩棉)；可能兼容性不佳的材料包含：硅橡胶、氯丁橡胶(</w:t>
      </w:r>
      <w:r>
        <w:rPr>
          <w:rFonts w:ascii="Times New Roman" w:hAnsi="Times New Roman" w:cs="Times New Roman"/>
        </w:rPr>
        <w:t>CR)</w:t>
      </w:r>
      <w:r>
        <w:rPr>
          <w:rFonts w:hint="eastAsia" w:ascii="Times New Roman" w:hAnsi="Times New Roman" w:cs="Times New Roman"/>
        </w:rPr>
        <w:t>、丁腈橡胶、膨胀型聚四氟乙烯、聚氯乙烯(PVC)、丙烯腈-丁二烯-苯乙烯（ABS）、聚丙烯30%玻璃纤维（PP GF）、、交联改性聚酯(Raychem 99M)、有机硅塑料、聚烯烃（LSZH）、热塑性弹性体(TPE)、氯丁橡胶（PCP）、氟化乙烯丙烯(FEP)、聚酰亚胺胶带（Kapton）、聚异氰脲酸酯(PIR)B、聚异氰脲酸酯（PIR）CASSPIR、挤压聚苯乙烯(XPS)、聚氨酯泡沫(PUR)、织物钩和环扣紧固件(聚酯)纤维。</w:t>
      </w:r>
    </w:p>
    <w:p>
      <w:pPr>
        <w:pStyle w:val="26"/>
        <w:widowControl w:val="0"/>
        <w:numPr>
          <w:ilvl w:val="1"/>
          <w:numId w:val="19"/>
        </w:numPr>
        <w:spacing w:before="0" w:beforeAutospacing="0" w:after="0" w:afterAutospacing="0" w:line="360" w:lineRule="auto"/>
        <w:jc w:val="both"/>
        <w:rPr>
          <w:rFonts w:ascii="Times New Roman" w:hAnsi="Times New Roman" w:cs="Times New Roman"/>
        </w:rPr>
      </w:pPr>
      <w:r>
        <w:rPr>
          <w:rFonts w:hint="eastAsia" w:ascii="Times New Roman" w:hAnsi="Times New Roman" w:cs="Times New Roman"/>
        </w:rPr>
        <w:t>合成</w:t>
      </w:r>
      <w:r>
        <w:rPr>
          <w:rFonts w:ascii="Times New Roman" w:hAnsi="Times New Roman" w:cs="Times New Roman"/>
        </w:rPr>
        <w:t>酯</w:t>
      </w:r>
      <w:r>
        <w:rPr>
          <w:rFonts w:hint="eastAsia" w:ascii="Times New Roman" w:hAnsi="Times New Roman" w:cs="Times New Roman"/>
        </w:rPr>
        <w:t>类合成油场景下兼容性不佳的材料包含: 氯丁橡胶（CR）、天然橡胶、丁腈橡胶、铅、聚氯乙烯(PVC)、氯化聚氯乙烯（c-PVC）、交联聚乙烯、交联的聚烯烃、聚碳酸酯、低密度聚乙烯、通用热塑性工程塑料（ABS）、PS（聚苯乙烯）、三元乙丙橡胶（EPDM）、硅胶、聚硅氧烷；合成脂类合成油场景下可能兼容性不佳的材料包含：硅橡胶、聚甲基丙烯酸甲酯(Perspex)、聚丙烯、聚乙烯、有机硅塑料、硅酮密封剂。</w:t>
      </w:r>
    </w:p>
    <w:p>
      <w:pPr>
        <w:pStyle w:val="26"/>
        <w:widowControl w:val="0"/>
        <w:numPr>
          <w:ilvl w:val="1"/>
          <w:numId w:val="19"/>
        </w:numPr>
        <w:spacing w:before="0" w:beforeAutospacing="0" w:after="0" w:afterAutospacing="0" w:line="360" w:lineRule="auto"/>
        <w:jc w:val="both"/>
        <w:rPr>
          <w:rFonts w:ascii="Times New Roman" w:hAnsi="Times New Roman" w:cs="Times New Roman"/>
        </w:rPr>
      </w:pPr>
      <w:r>
        <w:rPr>
          <w:rFonts w:hint="eastAsia" w:ascii="Times New Roman" w:hAnsi="Times New Roman" w:cs="Times New Roman"/>
        </w:rPr>
        <w:t>天然酯类合成油场景下兼容性不佳的材料包含：天然橡胶、交联的聚烯烃、POM（聚氧乙烯）、PS（聚苯乙烯）、聚氨酯 (PUR/PU/TPU)、聚烯烃（LSZH）、挤压聚苯乙烯(XPS)、聚氨酯泡沫(PUR)；天然酯类合成油场景下可能兼容性不佳的材料包含：CR (氯丁橡胶)、聚酯/玻璃、聚氯乙烯(PVC)、氯化聚氯乙烯（c-PVC）、聚氯乙烯PVC (Soflex TQ)、氯丁橡胶（PCP）、三元乙丙橡胶EPDM、聚异氰脲酸酯(PIR)B、聚异氰脲酸酯（PIR）CASSPIR。</w:t>
      </w:r>
    </w:p>
    <w:p>
      <w:pPr>
        <w:pStyle w:val="26"/>
        <w:widowControl w:val="0"/>
        <w:numPr>
          <w:ilvl w:val="1"/>
          <w:numId w:val="19"/>
        </w:numPr>
        <w:spacing w:before="0" w:beforeAutospacing="0" w:after="0" w:afterAutospacing="0" w:line="360" w:lineRule="auto"/>
        <w:jc w:val="both"/>
        <w:rPr>
          <w:rFonts w:ascii="Times New Roman" w:hAnsi="Times New Roman" w:cs="Times New Roman"/>
        </w:rPr>
      </w:pPr>
      <w:r>
        <w:rPr>
          <w:rFonts w:hint="eastAsia" w:ascii="Times New Roman" w:hAnsi="Times New Roman" w:cs="Times New Roman"/>
        </w:rPr>
        <w:t>生物基可再生碳氢化合物合成油兼容性不佳的材料包含：三元乙丙橡胶（EPDM）、硅橡胶、天然橡胶、硅胶、硅酮密封剂；生物基可再生碳氢化合物合成油可能兼容性不佳的材料包含：CR (氯丁橡胶)、聚氯乙烯(PVC)、氯化聚氯乙烯（c-PVC）、低密度聚乙烯、PS（聚苯乙烯）、聚丙烯30%玻璃纤维（PP GF）、有机硅塑料、聚烯烃（LSZH）、聚氯乙烯 PVC、氰基丙烯酸酯、挤压聚苯乙烯(XPS)。</w:t>
      </w:r>
    </w:p>
    <w:p>
      <w:pPr>
        <w:pStyle w:val="26"/>
        <w:widowControl w:val="0"/>
        <w:numPr>
          <w:ilvl w:val="1"/>
          <w:numId w:val="19"/>
        </w:numPr>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rPr>
        <w:t>有机硅合成油兼容性不佳的材料包含：三元乙丙橡胶（EPDM）、硅橡胶、天然橡胶、硅胶、某些氟橡胶、某些丁腈橡胶、软质聚氯乙烯、氯丁橡胶、回收料HDPE。</w:t>
      </w:r>
      <w:bookmarkStart w:id="22" w:name="_msocom_1"/>
      <w:bookmarkEnd w:id="22"/>
    </w:p>
    <w:p>
      <w:pPr>
        <w:spacing w:line="360" w:lineRule="auto"/>
        <w:ind w:firstLine="480" w:firstLineChars="200"/>
        <w:jc w:val="left"/>
        <w:rPr>
          <w:sz w:val="24"/>
          <w:szCs w:val="24"/>
        </w:rPr>
      </w:pPr>
      <w:r>
        <w:rPr>
          <w:sz w:val="24"/>
          <w:szCs w:val="24"/>
        </w:rPr>
        <w:t>4.7.40 评估浸没式冷却液的兼容性还应重点评估冷却液对设备工作高速信号</w:t>
      </w:r>
      <w:r>
        <w:rPr>
          <w:rFonts w:hint="eastAsia"/>
          <w:sz w:val="24"/>
          <w:szCs w:val="24"/>
        </w:rPr>
        <w:t>完整性的</w:t>
      </w:r>
      <w:r>
        <w:rPr>
          <w:sz w:val="24"/>
          <w:szCs w:val="24"/>
        </w:rPr>
        <w:t>影响，应关注</w:t>
      </w:r>
      <w:r>
        <w:rPr>
          <w:rFonts w:hint="eastAsia"/>
          <w:sz w:val="24"/>
          <w:szCs w:val="24"/>
        </w:rPr>
        <w:t>其</w:t>
      </w:r>
      <w:r>
        <w:rPr>
          <w:sz w:val="24"/>
          <w:szCs w:val="24"/>
        </w:rPr>
        <w:t>介电常数与介质损耗因数。</w:t>
      </w:r>
    </w:p>
    <w:p>
      <w:pPr>
        <w:spacing w:line="360" w:lineRule="auto"/>
        <w:ind w:firstLine="480" w:firstLineChars="200"/>
        <w:jc w:val="left"/>
        <w:rPr>
          <w:kern w:val="0"/>
          <w:szCs w:val="21"/>
        </w:rPr>
      </w:pPr>
      <w:r>
        <w:rPr>
          <w:kern w:val="0"/>
          <w:sz w:val="24"/>
          <w:szCs w:val="24"/>
        </w:rPr>
        <w:t>条文说明：冷却液与信号相关的参数主要包括介电常数与介质损失因数。介电常数又称电容率或相对电容率，表征电介质或绝缘材料电性能的一个重要数据，是指在同一电容器中用同一物质为电介质和真空时的电容的比值，表示电介质在电场中贮存静电能的相对能力。介质损耗因数指的是衡量介质损耗程度的参数；介质损耗指的是绝缘材料在电场作用下，由于介质电导和介质极化的滞后效应，在其内部引起的能量损耗，也叫介质损失。介电常数与介质损失因数的测试方法与测试标准可参考电子信息设备厂商的成熟流程，暂无国标。</w:t>
      </w:r>
    </w:p>
    <w:p>
      <w:pPr>
        <w:spacing w:line="360" w:lineRule="auto"/>
        <w:ind w:firstLine="480" w:firstLineChars="200"/>
        <w:jc w:val="left"/>
        <w:rPr>
          <w:sz w:val="24"/>
          <w:szCs w:val="24"/>
        </w:rPr>
      </w:pPr>
      <w:r>
        <w:rPr>
          <w:sz w:val="24"/>
          <w:szCs w:val="24"/>
        </w:rPr>
        <w:t>4.7.41 评估浸没式冷却液的可维护性应重点评估冷却液成份的稳定性与外观的一致性。</w:t>
      </w:r>
    </w:p>
    <w:p>
      <w:pPr>
        <w:spacing w:line="360" w:lineRule="auto"/>
        <w:ind w:firstLine="480" w:firstLineChars="200"/>
        <w:jc w:val="left"/>
        <w:rPr>
          <w:kern w:val="0"/>
          <w:sz w:val="24"/>
          <w:szCs w:val="24"/>
        </w:rPr>
      </w:pPr>
      <w:r>
        <w:rPr>
          <w:kern w:val="0"/>
          <w:sz w:val="24"/>
          <w:szCs w:val="24"/>
        </w:rPr>
        <w:t>条文说明：冷却液成份的稳定性是指主要冷却液成份在长期运行后与出厂（或竣工验收时）是否一致；外观的一致性包括冷却液的颜色与出厂（或竣工验收时）时是否一致，气味是否发生变化。</w:t>
      </w:r>
    </w:p>
    <w:p>
      <w:pPr>
        <w:spacing w:line="360" w:lineRule="auto"/>
        <w:jc w:val="left"/>
        <w:rPr>
          <w:kern w:val="0"/>
          <w:sz w:val="24"/>
          <w:szCs w:val="24"/>
        </w:rPr>
      </w:pPr>
      <w:r>
        <w:rPr>
          <w:kern w:val="0"/>
          <w:sz w:val="24"/>
          <w:szCs w:val="24"/>
        </w:rPr>
        <w:t xml:space="preserve">    成份的稳定性可通过气相色谱质谱法（GC/MS）定量测定MSDS中（列明CAS号）的主要物质成份的质量百分比，测试方法</w:t>
      </w:r>
      <w:r>
        <w:rPr>
          <w:rFonts w:hint="eastAsia"/>
          <w:kern w:val="0"/>
          <w:sz w:val="24"/>
          <w:szCs w:val="24"/>
        </w:rPr>
        <w:t>可依据</w:t>
      </w:r>
      <w:r>
        <w:rPr>
          <w:kern w:val="0"/>
          <w:sz w:val="24"/>
          <w:szCs w:val="24"/>
        </w:rPr>
        <w:t>GB/T4946；也可测试关键物理化学参数，例如酸度、蒸汽压、介电常数、击穿电压等。</w:t>
      </w:r>
    </w:p>
    <w:p>
      <w:pPr>
        <w:pStyle w:val="26"/>
        <w:spacing w:before="0" w:beforeAutospacing="0" w:after="0" w:afterAutospacing="0" w:line="360" w:lineRule="auto"/>
        <w:rPr>
          <w:rFonts w:ascii="Times New Roman" w:hAnsi="Times New Roman" w:cs="Times New Roman"/>
        </w:rPr>
      </w:pPr>
      <w:r>
        <w:rPr>
          <w:rFonts w:ascii="Times New Roman" w:hAnsi="Times New Roman" w:cs="Times New Roman"/>
        </w:rPr>
        <w:t xml:space="preserve">    4.7.42 评估浸没式冷却液的可维护性应重点评估</w:t>
      </w:r>
      <w:r>
        <w:rPr>
          <w:rFonts w:hint="eastAsia" w:ascii="Times New Roman" w:hAnsi="Times New Roman" w:cs="Times New Roman"/>
        </w:rPr>
        <w:t>其</w:t>
      </w:r>
      <w:r>
        <w:rPr>
          <w:rFonts w:ascii="Times New Roman" w:hAnsi="Times New Roman" w:cs="Times New Roman"/>
        </w:rPr>
        <w:t>饱和蒸汽压、运动粘度、沸点或沸程/馏程、氟离子浓度、酸值。</w:t>
      </w:r>
    </w:p>
    <w:p>
      <w:pPr>
        <w:spacing w:line="360" w:lineRule="auto"/>
        <w:ind w:firstLine="480"/>
        <w:jc w:val="left"/>
        <w:rPr>
          <w:kern w:val="0"/>
          <w:sz w:val="24"/>
          <w:szCs w:val="24"/>
        </w:rPr>
      </w:pPr>
      <w:r>
        <w:rPr>
          <w:kern w:val="0"/>
          <w:sz w:val="24"/>
          <w:szCs w:val="24"/>
        </w:rPr>
        <w:t>条文说明：</w:t>
      </w:r>
      <w:r>
        <w:rPr>
          <w:rFonts w:hint="eastAsia"/>
          <w:kern w:val="0"/>
          <w:sz w:val="24"/>
          <w:szCs w:val="24"/>
        </w:rPr>
        <w:t>沸点就是液体发生沸腾时的温度，即物质由液态转变为气态的温度</w:t>
      </w:r>
      <w:r>
        <w:rPr>
          <w:kern w:val="0"/>
          <w:sz w:val="24"/>
          <w:szCs w:val="24"/>
        </w:rPr>
        <w:t>，浸没式冷却液采用混合物</w:t>
      </w:r>
      <w:r>
        <w:rPr>
          <w:rFonts w:hint="eastAsia"/>
          <w:kern w:val="0"/>
          <w:sz w:val="24"/>
          <w:szCs w:val="24"/>
        </w:rPr>
        <w:t>或聚合物类有机物质时</w:t>
      </w:r>
      <w:r>
        <w:rPr>
          <w:kern w:val="0"/>
          <w:sz w:val="24"/>
          <w:szCs w:val="24"/>
        </w:rPr>
        <w:t>，沸腾温度是一个区间，称为馏程。</w:t>
      </w:r>
    </w:p>
    <w:p>
      <w:pPr>
        <w:spacing w:line="360" w:lineRule="auto"/>
        <w:ind w:firstLine="480" w:firstLineChars="200"/>
        <w:jc w:val="left"/>
        <w:rPr>
          <w:kern w:val="0"/>
          <w:sz w:val="24"/>
          <w:szCs w:val="24"/>
        </w:rPr>
      </w:pPr>
      <w:r>
        <w:rPr>
          <w:kern w:val="0"/>
          <w:sz w:val="24"/>
          <w:szCs w:val="24"/>
        </w:rPr>
        <w:t>运动粘度：流体的动力粘度与同温度下该流体密度ρ之比。在温度t℃时，运动粘度用符号γ表示，在国际单位制中，运动粘度单位为斯，即每秒平方米(m2/s)，实际测定中常用厘斯，(cst)表示厘斯的单位为每秒平方毫米(即1cst=1mm2/s)；测试方法参考GB/T265-1988。</w:t>
      </w:r>
    </w:p>
    <w:p>
      <w:pPr>
        <w:spacing w:line="360" w:lineRule="auto"/>
        <w:ind w:firstLine="480" w:firstLineChars="200"/>
        <w:jc w:val="left"/>
        <w:rPr>
          <w:kern w:val="0"/>
          <w:sz w:val="24"/>
          <w:szCs w:val="24"/>
        </w:rPr>
      </w:pPr>
      <w:r>
        <w:rPr>
          <w:kern w:val="0"/>
          <w:sz w:val="24"/>
          <w:szCs w:val="24"/>
        </w:rPr>
        <w:t>油类</w:t>
      </w:r>
      <w:bookmarkStart w:id="23" w:name="_Hlk146009794"/>
      <w:r>
        <w:rPr>
          <w:kern w:val="0"/>
          <w:sz w:val="24"/>
          <w:szCs w:val="24"/>
        </w:rPr>
        <w:t>冷却液的可维护性指标</w:t>
      </w:r>
      <w:bookmarkEnd w:id="23"/>
      <w:r>
        <w:rPr>
          <w:kern w:val="0"/>
          <w:sz w:val="24"/>
          <w:szCs w:val="24"/>
        </w:rPr>
        <w:t>如下：</w:t>
      </w:r>
    </w:p>
    <w:p>
      <w:pPr>
        <w:spacing w:line="360" w:lineRule="auto"/>
        <w:ind w:firstLine="480" w:firstLineChars="200"/>
        <w:jc w:val="left"/>
        <w:rPr>
          <w:kern w:val="0"/>
          <w:sz w:val="24"/>
          <w:szCs w:val="24"/>
        </w:rPr>
      </w:pPr>
      <w:r>
        <w:rPr>
          <w:kern w:val="0"/>
          <w:sz w:val="24"/>
          <w:szCs w:val="24"/>
        </w:rPr>
        <w:t>馏程：是指油品在规定条件下（GB/T 6536）蒸馏所得到的从初馏点到终馏点表示蒸发特征的温度范围；初馏点：在规定的试验条件下，将100ml油品加热蒸馏，从冷凝器的末端馏出第一滴油时的温度称为初馏点；终馏点：在蒸馏的最后阶段，当全部液体蒸发后的最高温度称为终馏点。</w:t>
      </w:r>
    </w:p>
    <w:p>
      <w:pPr>
        <w:spacing w:line="360" w:lineRule="auto"/>
        <w:ind w:firstLine="480" w:firstLineChars="200"/>
        <w:jc w:val="left"/>
        <w:rPr>
          <w:kern w:val="0"/>
          <w:sz w:val="24"/>
          <w:szCs w:val="24"/>
        </w:rPr>
      </w:pPr>
    </w:p>
    <w:p>
      <w:pPr>
        <w:spacing w:line="360" w:lineRule="auto"/>
        <w:ind w:firstLine="480" w:firstLineChars="200"/>
        <w:jc w:val="left"/>
        <w:rPr>
          <w:kern w:val="0"/>
          <w:szCs w:val="21"/>
        </w:rPr>
      </w:pPr>
      <w:r>
        <w:rPr>
          <w:kern w:val="0"/>
          <w:sz w:val="24"/>
          <w:szCs w:val="24"/>
        </w:rPr>
        <w:t>安定性是评价油类冷却液在实际使用、贮存和运输过程中可能发生氧化变质的重要特性。冷却液氧化的结果使物理化学性质发生变化，伴随着冷却液颜色变深、黏度增大、酸性物质增多并产生沉淀，从而导致其绝缘性能变差、使用寿命缩短。对于碳氢化合物液体来讲，一般在30℃以下不容易氧化，需在150℃以上氧化才会剧烈地进行。对于工作温度低于100℃的碳氢化合物液体在大气环境中的氧化，主要是液层厚度大于200微米的厚液层氧化，旋转氧弹试验是衡量液体碳氢化合物抗氧化安定性的快速而有效的测试方法，其结果直接反映其抗氧化能力，旋转氧弹试验结果越长，意味着碳氢化合物液体拥有更长的使用寿命。测试方法</w:t>
      </w:r>
      <w:r>
        <w:rPr>
          <w:rFonts w:hint="eastAsia"/>
          <w:kern w:val="0"/>
          <w:sz w:val="24"/>
          <w:szCs w:val="24"/>
        </w:rPr>
        <w:t>依据</w:t>
      </w:r>
      <w:r>
        <w:rPr>
          <w:kern w:val="0"/>
          <w:sz w:val="24"/>
          <w:szCs w:val="24"/>
        </w:rPr>
        <w:t>SH/T 0193-2008《润滑油氧化安定性的测定 旋转氧弹法》。</w:t>
      </w:r>
      <w:r>
        <w:rPr>
          <w:rFonts w:hint="eastAsia"/>
          <w:kern w:val="0"/>
          <w:sz w:val="24"/>
          <w:szCs w:val="24"/>
        </w:rPr>
        <w:t>可选取</w:t>
      </w:r>
      <w:r>
        <w:rPr>
          <w:kern w:val="0"/>
          <w:sz w:val="24"/>
          <w:szCs w:val="24"/>
        </w:rPr>
        <w:t>其在140±2℃条件下的旋转氧弹实验结果不小于380min作为限值指标。此氧化安定性试验方法及其限定指标适用于碳氢化合物类单相冷却液，可</w:t>
      </w:r>
      <w:r>
        <w:rPr>
          <w:rFonts w:hint="eastAsia"/>
          <w:kern w:val="0"/>
          <w:sz w:val="24"/>
          <w:szCs w:val="24"/>
        </w:rPr>
        <w:t>以</w:t>
      </w:r>
      <w:r>
        <w:rPr>
          <w:kern w:val="0"/>
          <w:sz w:val="24"/>
          <w:szCs w:val="24"/>
        </w:rPr>
        <w:t>此方法开展实测试验、积累数据、验证其适用性，也可以根据自身冷却液的结构和性质特点，提出相适应的试验方法及限定指标。</w:t>
      </w:r>
    </w:p>
    <w:p>
      <w:pPr>
        <w:spacing w:line="360" w:lineRule="auto"/>
        <w:ind w:firstLine="480" w:firstLineChars="200"/>
        <w:jc w:val="left"/>
        <w:rPr>
          <w:kern w:val="0"/>
          <w:sz w:val="24"/>
          <w:szCs w:val="24"/>
        </w:rPr>
      </w:pPr>
      <w:r>
        <w:rPr>
          <w:kern w:val="0"/>
          <w:sz w:val="24"/>
          <w:szCs w:val="24"/>
        </w:rPr>
        <w:t>氟化液的可维护性指标包含氟离子浓度、酸值；氟离子浓度主要检测冷却液运行一段时间后氟离子含量是否发生变化，取适量样品经纯水萃取，可采用离子色谱-外标法定量测试；酸值主要检测冷却液运行一段时间后酸值是否发生变化，取适量样品经纯水萃取，测试方法参考ASTM D1613。</w:t>
      </w:r>
    </w:p>
    <w:p>
      <w:pPr>
        <w:spacing w:line="360" w:lineRule="auto"/>
        <w:ind w:firstLine="420"/>
        <w:jc w:val="left"/>
        <w:rPr>
          <w:sz w:val="24"/>
          <w:szCs w:val="24"/>
        </w:rPr>
      </w:pPr>
      <w:r>
        <w:rPr>
          <w:sz w:val="24"/>
          <w:szCs w:val="24"/>
        </w:rPr>
        <w:t>4.7.43 浸没式冷却液应关注的关键参数表举例如下：</w:t>
      </w:r>
    </w:p>
    <w:p>
      <w:pPr>
        <w:spacing w:line="360" w:lineRule="auto"/>
        <w:jc w:val="center"/>
        <w:rPr>
          <w:b/>
          <w:kern w:val="0"/>
          <w:szCs w:val="24"/>
          <w:lang w:bidi="ar"/>
        </w:rPr>
      </w:pPr>
      <w:r>
        <w:rPr>
          <w:b/>
          <w:kern w:val="0"/>
          <w:szCs w:val="24"/>
          <w:lang w:bidi="ar"/>
        </w:rPr>
        <w:t>表4.7.43  浸没式冷却液应关注的关键参数表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418"/>
        <w:gridCol w:w="1908"/>
        <w:gridCol w:w="3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tcPr>
          <w:p>
            <w:pPr>
              <w:spacing w:line="360" w:lineRule="auto"/>
              <w:jc w:val="center"/>
            </w:pPr>
            <w:r>
              <w:rPr>
                <w:szCs w:val="21"/>
              </w:rPr>
              <w:t>主要项</w:t>
            </w:r>
          </w:p>
        </w:tc>
        <w:tc>
          <w:tcPr>
            <w:tcW w:w="1418" w:type="dxa"/>
          </w:tcPr>
          <w:p>
            <w:pPr>
              <w:spacing w:line="360" w:lineRule="auto"/>
              <w:jc w:val="center"/>
            </w:pPr>
            <w:r>
              <w:rPr>
                <w:szCs w:val="21"/>
              </w:rPr>
              <w:t>分类</w:t>
            </w:r>
          </w:p>
        </w:tc>
        <w:tc>
          <w:tcPr>
            <w:tcW w:w="1908" w:type="dxa"/>
          </w:tcPr>
          <w:p>
            <w:pPr>
              <w:spacing w:line="360" w:lineRule="auto"/>
              <w:jc w:val="center"/>
            </w:pPr>
            <w:r>
              <w:rPr>
                <w:szCs w:val="21"/>
              </w:rPr>
              <w:t>细分项</w:t>
            </w:r>
          </w:p>
        </w:tc>
        <w:tc>
          <w:tcPr>
            <w:tcW w:w="3841" w:type="dxa"/>
          </w:tcPr>
          <w:p>
            <w:pPr>
              <w:spacing w:line="360" w:lineRule="auto"/>
              <w:jc w:val="center"/>
            </w:pPr>
            <w:r>
              <w:rPr>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trPr>
        <w:tc>
          <w:tcPr>
            <w:tcW w:w="1129" w:type="dxa"/>
            <w:vMerge w:val="restart"/>
          </w:tcPr>
          <w:p>
            <w:pPr>
              <w:spacing w:line="360" w:lineRule="auto"/>
              <w:jc w:val="center"/>
            </w:pPr>
            <w:r>
              <w:rPr>
                <w:szCs w:val="21"/>
              </w:rPr>
              <w:t>详情</w:t>
            </w:r>
          </w:p>
        </w:tc>
        <w:tc>
          <w:tcPr>
            <w:tcW w:w="1418" w:type="dxa"/>
            <w:vAlign w:val="center"/>
          </w:tcPr>
          <w:p>
            <w:pPr>
              <w:spacing w:line="360" w:lineRule="auto"/>
              <w:jc w:val="center"/>
            </w:pPr>
            <w:r>
              <w:rPr>
                <w:szCs w:val="21"/>
              </w:rPr>
              <w:t>分子式</w:t>
            </w:r>
          </w:p>
        </w:tc>
        <w:tc>
          <w:tcPr>
            <w:tcW w:w="1908" w:type="dxa"/>
          </w:tcPr>
          <w:p>
            <w:pPr>
              <w:spacing w:line="360" w:lineRule="auto"/>
              <w:jc w:val="left"/>
            </w:pPr>
          </w:p>
        </w:tc>
        <w:tc>
          <w:tcPr>
            <w:tcW w:w="3841" w:type="dxa"/>
          </w:tcPr>
          <w:p>
            <w:pPr>
              <w:spacing w:line="360" w:lineRule="auto"/>
              <w:jc w:val="left"/>
            </w:pPr>
            <w:r>
              <w:rPr>
                <w:szCs w:val="21"/>
              </w:rPr>
              <w:t>全氟化合物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129" w:type="dxa"/>
            <w:vMerge w:val="continue"/>
          </w:tcPr>
          <w:p>
            <w:pPr>
              <w:spacing w:line="360" w:lineRule="auto"/>
              <w:jc w:val="center"/>
            </w:pPr>
          </w:p>
        </w:tc>
        <w:tc>
          <w:tcPr>
            <w:tcW w:w="1418" w:type="dxa"/>
            <w:vMerge w:val="restart"/>
            <w:vAlign w:val="center"/>
          </w:tcPr>
          <w:p>
            <w:pPr>
              <w:spacing w:line="360" w:lineRule="auto"/>
              <w:jc w:val="center"/>
            </w:pPr>
            <w:r>
              <w:rPr>
                <w:szCs w:val="21"/>
              </w:rPr>
              <w:t>分子量</w:t>
            </w:r>
          </w:p>
        </w:tc>
        <w:tc>
          <w:tcPr>
            <w:tcW w:w="1908" w:type="dxa"/>
          </w:tcPr>
          <w:p>
            <w:pPr>
              <w:spacing w:line="360" w:lineRule="auto"/>
              <w:jc w:val="left"/>
            </w:pPr>
            <w:r>
              <w:rPr>
                <w:szCs w:val="21"/>
              </w:rPr>
              <w:t>Mn(g/mole)</w:t>
            </w:r>
          </w:p>
        </w:tc>
        <w:tc>
          <w:tcPr>
            <w:tcW w:w="3841" w:type="dxa"/>
          </w:tcPr>
          <w:p>
            <w:pPr>
              <w:spacing w:line="360" w:lineRule="auto"/>
              <w:jc w:val="left"/>
            </w:pPr>
            <w:r>
              <w:rPr>
                <w:szCs w:val="21"/>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pPr>
          </w:p>
        </w:tc>
        <w:tc>
          <w:tcPr>
            <w:tcW w:w="1418" w:type="dxa"/>
            <w:vMerge w:val="continue"/>
          </w:tcPr>
          <w:p>
            <w:pPr>
              <w:spacing w:line="360" w:lineRule="auto"/>
              <w:jc w:val="center"/>
            </w:pPr>
          </w:p>
        </w:tc>
        <w:tc>
          <w:tcPr>
            <w:tcW w:w="1908" w:type="dxa"/>
          </w:tcPr>
          <w:p>
            <w:pPr>
              <w:spacing w:line="360" w:lineRule="auto"/>
              <w:jc w:val="left"/>
            </w:pPr>
            <w:r>
              <w:rPr>
                <w:szCs w:val="21"/>
              </w:rPr>
              <w:t>急性毒性</w:t>
            </w:r>
          </w:p>
        </w:tc>
        <w:tc>
          <w:tcPr>
            <w:tcW w:w="3841" w:type="dxa"/>
          </w:tcPr>
          <w:p>
            <w:pPr>
              <w:spacing w:line="360" w:lineRule="auto"/>
              <w:ind w:right="-311" w:rightChars="-148"/>
              <w:jc w:val="left"/>
            </w:pPr>
            <w:r>
              <w:rPr>
                <w:szCs w:val="21"/>
              </w:rPr>
              <w:t>吸入LC50&gt;最大可能接触浓度，经LD50&gt;5000mg/kg，经口LD50&gt;10000mg/kg，眼刺激、无，皮刺激、无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pPr>
          </w:p>
        </w:tc>
        <w:tc>
          <w:tcPr>
            <w:tcW w:w="1418" w:type="dxa"/>
            <w:vMerge w:val="restart"/>
          </w:tcPr>
          <w:p>
            <w:pPr>
              <w:spacing w:line="360" w:lineRule="auto"/>
              <w:jc w:val="center"/>
            </w:pPr>
            <w:r>
              <w:rPr>
                <w:szCs w:val="21"/>
              </w:rPr>
              <w:t>对人体</w:t>
            </w:r>
          </w:p>
        </w:tc>
        <w:tc>
          <w:tcPr>
            <w:tcW w:w="1908" w:type="dxa"/>
          </w:tcPr>
          <w:p>
            <w:pPr>
              <w:spacing w:line="360" w:lineRule="auto"/>
              <w:jc w:val="left"/>
            </w:pPr>
            <w:r>
              <w:rPr>
                <w:szCs w:val="21"/>
              </w:rPr>
              <w:t>慢性毒性</w:t>
            </w:r>
          </w:p>
        </w:tc>
        <w:tc>
          <w:tcPr>
            <w:tcW w:w="3841" w:type="dxa"/>
          </w:tcPr>
          <w:p>
            <w:pPr>
              <w:spacing w:line="360" w:lineRule="auto"/>
              <w:jc w:val="left"/>
            </w:pPr>
            <w:r>
              <w:rPr>
                <w:szCs w:val="21"/>
              </w:rPr>
              <w:t>经口NOAEL1545mg/kg/天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pPr>
          </w:p>
        </w:tc>
        <w:tc>
          <w:tcPr>
            <w:tcW w:w="1418" w:type="dxa"/>
            <w:vMerge w:val="continue"/>
          </w:tcPr>
          <w:p>
            <w:pPr>
              <w:spacing w:line="360" w:lineRule="auto"/>
              <w:jc w:val="center"/>
            </w:pPr>
          </w:p>
        </w:tc>
        <w:tc>
          <w:tcPr>
            <w:tcW w:w="1908" w:type="dxa"/>
          </w:tcPr>
          <w:p>
            <w:pPr>
              <w:spacing w:line="360" w:lineRule="auto"/>
              <w:jc w:val="left"/>
            </w:pPr>
            <w:r>
              <w:rPr>
                <w:szCs w:val="22"/>
              </w:rPr>
              <w:t>生物累积性</w:t>
            </w:r>
          </w:p>
        </w:tc>
        <w:tc>
          <w:tcPr>
            <w:tcW w:w="3841" w:type="dxa"/>
          </w:tcPr>
          <w:p>
            <w:pPr>
              <w:spacing w:line="360" w:lineRule="auto"/>
              <w:jc w:val="left"/>
            </w:pPr>
            <w:r>
              <w:rPr>
                <w:szCs w:val="21"/>
              </w:rPr>
              <w:t>未被《中国生态环境部12号令》列入生物累积性物质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restart"/>
          </w:tcPr>
          <w:p>
            <w:pPr>
              <w:spacing w:line="360" w:lineRule="auto"/>
              <w:jc w:val="center"/>
            </w:pPr>
            <w:r>
              <w:rPr>
                <w:szCs w:val="21"/>
              </w:rPr>
              <w:t>安全性</w:t>
            </w:r>
          </w:p>
        </w:tc>
        <w:tc>
          <w:tcPr>
            <w:tcW w:w="1418" w:type="dxa"/>
            <w:vMerge w:val="restart"/>
          </w:tcPr>
          <w:p>
            <w:pPr>
              <w:spacing w:line="360" w:lineRule="auto"/>
              <w:jc w:val="center"/>
            </w:pPr>
            <w:r>
              <w:rPr>
                <w:szCs w:val="21"/>
              </w:rPr>
              <w:t>对环境</w:t>
            </w:r>
          </w:p>
        </w:tc>
        <w:tc>
          <w:tcPr>
            <w:tcW w:w="1908" w:type="dxa"/>
          </w:tcPr>
          <w:p>
            <w:pPr>
              <w:spacing w:line="360" w:lineRule="auto"/>
              <w:jc w:val="left"/>
            </w:pPr>
            <w:r>
              <w:rPr>
                <w:szCs w:val="22"/>
              </w:rPr>
              <w:t>环境长期残留性</w:t>
            </w:r>
          </w:p>
        </w:tc>
        <w:tc>
          <w:tcPr>
            <w:tcW w:w="3841" w:type="dxa"/>
          </w:tcPr>
          <w:p>
            <w:pPr>
              <w:spacing w:line="360" w:lineRule="auto"/>
              <w:jc w:val="left"/>
            </w:pPr>
            <w:r>
              <w:rPr>
                <w:szCs w:val="21"/>
              </w:rPr>
              <w:t>属于持久性化学物质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tcPr>
          <w:p>
            <w:pPr>
              <w:spacing w:line="360" w:lineRule="auto"/>
              <w:jc w:val="center"/>
            </w:pPr>
          </w:p>
        </w:tc>
        <w:tc>
          <w:tcPr>
            <w:tcW w:w="1908" w:type="dxa"/>
          </w:tcPr>
          <w:p>
            <w:pPr>
              <w:spacing w:line="360" w:lineRule="auto"/>
              <w:jc w:val="left"/>
            </w:pPr>
            <w:r>
              <w:rPr>
                <w:szCs w:val="22"/>
              </w:rPr>
              <w:t>TWA（职业允许暴露浓度）</w:t>
            </w:r>
          </w:p>
        </w:tc>
        <w:tc>
          <w:tcPr>
            <w:tcW w:w="3841" w:type="dxa"/>
          </w:tcPr>
          <w:p>
            <w:pPr>
              <w:spacing w:line="360" w:lineRule="auto"/>
              <w:jc w:val="left"/>
            </w:pPr>
            <w:r>
              <w:rPr>
                <w:szCs w:val="21"/>
              </w:rPr>
              <w:t>无职业接触限值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tcPr>
          <w:p>
            <w:pPr>
              <w:spacing w:line="360" w:lineRule="auto"/>
              <w:jc w:val="center"/>
            </w:pPr>
          </w:p>
        </w:tc>
        <w:tc>
          <w:tcPr>
            <w:tcW w:w="1908" w:type="dxa"/>
          </w:tcPr>
          <w:p>
            <w:pPr>
              <w:spacing w:line="360" w:lineRule="auto"/>
              <w:jc w:val="left"/>
            </w:pPr>
            <w:r>
              <w:rPr>
                <w:szCs w:val="21"/>
              </w:rPr>
              <w:t>MSDS（化学品安全说明书）</w:t>
            </w:r>
          </w:p>
        </w:tc>
        <w:tc>
          <w:tcPr>
            <w:tcW w:w="3841" w:type="dxa"/>
          </w:tcPr>
          <w:p>
            <w:pPr>
              <w:spacing w:line="360" w:lineRule="auto"/>
              <w:jc w:val="left"/>
            </w:pPr>
            <w:r>
              <w:rPr>
                <w:szCs w:val="21"/>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tcPr>
          <w:p>
            <w:pPr>
              <w:spacing w:line="360" w:lineRule="auto"/>
              <w:jc w:val="center"/>
            </w:pPr>
          </w:p>
        </w:tc>
        <w:tc>
          <w:tcPr>
            <w:tcW w:w="1908" w:type="dxa"/>
          </w:tcPr>
          <w:p>
            <w:pPr>
              <w:spacing w:line="360" w:lineRule="auto"/>
              <w:jc w:val="left"/>
            </w:pPr>
            <w:r>
              <w:rPr>
                <w:szCs w:val="21"/>
              </w:rPr>
              <w:t>ODP</w:t>
            </w:r>
          </w:p>
        </w:tc>
        <w:tc>
          <w:tcPr>
            <w:tcW w:w="3841" w:type="dxa"/>
          </w:tcPr>
          <w:p>
            <w:pPr>
              <w:spacing w:line="360" w:lineRule="auto"/>
              <w:jc w:val="left"/>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tcPr>
          <w:p>
            <w:pPr>
              <w:spacing w:line="360" w:lineRule="auto"/>
              <w:jc w:val="center"/>
            </w:pPr>
          </w:p>
        </w:tc>
        <w:tc>
          <w:tcPr>
            <w:tcW w:w="1908" w:type="dxa"/>
          </w:tcPr>
          <w:p>
            <w:pPr>
              <w:spacing w:line="360" w:lineRule="auto"/>
              <w:jc w:val="left"/>
            </w:pPr>
            <w:r>
              <w:rPr>
                <w:szCs w:val="21"/>
              </w:rPr>
              <w:t>GWP</w:t>
            </w:r>
          </w:p>
        </w:tc>
        <w:tc>
          <w:tcPr>
            <w:tcW w:w="3841" w:type="dxa"/>
          </w:tcPr>
          <w:p>
            <w:pPr>
              <w:spacing w:line="360" w:lineRule="auto"/>
              <w:jc w:val="left"/>
            </w:pPr>
            <w:r>
              <w:rPr>
                <w:szCs w:val="21"/>
              </w:rPr>
              <w:t>&lt;5000（越低越好）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tcPr>
          <w:p>
            <w:pPr>
              <w:spacing w:line="360" w:lineRule="auto"/>
              <w:jc w:val="center"/>
            </w:pPr>
          </w:p>
        </w:tc>
        <w:tc>
          <w:tcPr>
            <w:tcW w:w="1908" w:type="dxa"/>
          </w:tcPr>
          <w:p>
            <w:pPr>
              <w:spacing w:line="360" w:lineRule="auto"/>
              <w:jc w:val="left"/>
            </w:pPr>
            <w:r>
              <w:rPr>
                <w:szCs w:val="21"/>
              </w:rPr>
              <w:t>VOC</w:t>
            </w:r>
          </w:p>
        </w:tc>
        <w:tc>
          <w:tcPr>
            <w:tcW w:w="3841" w:type="dxa"/>
          </w:tcPr>
          <w:p>
            <w:pPr>
              <w:spacing w:line="360" w:lineRule="auto"/>
              <w:jc w:val="left"/>
            </w:pPr>
            <w:r>
              <w:rPr>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restart"/>
            <w:vAlign w:val="center"/>
          </w:tcPr>
          <w:p>
            <w:pPr>
              <w:spacing w:line="360" w:lineRule="auto"/>
              <w:jc w:val="center"/>
              <w:rPr>
                <w:szCs w:val="21"/>
              </w:rPr>
            </w:pPr>
            <w:r>
              <w:rPr>
                <w:szCs w:val="21"/>
              </w:rPr>
              <w:t>稳定性</w:t>
            </w:r>
          </w:p>
        </w:tc>
        <w:tc>
          <w:tcPr>
            <w:tcW w:w="1908" w:type="dxa"/>
          </w:tcPr>
          <w:p>
            <w:pPr>
              <w:spacing w:line="360" w:lineRule="auto"/>
              <w:jc w:val="left"/>
              <w:rPr>
                <w:szCs w:val="21"/>
              </w:rPr>
            </w:pPr>
            <w:r>
              <w:rPr>
                <w:szCs w:val="21"/>
              </w:rPr>
              <w:t>化学稳定性</w:t>
            </w:r>
          </w:p>
        </w:tc>
        <w:tc>
          <w:tcPr>
            <w:tcW w:w="3841" w:type="dxa"/>
          </w:tcPr>
          <w:p>
            <w:pPr>
              <w:spacing w:line="360" w:lineRule="auto"/>
              <w:jc w:val="left"/>
              <w:rPr>
                <w:szCs w:val="21"/>
              </w:rPr>
            </w:pPr>
            <w:r>
              <w:rPr>
                <w:szCs w:val="21"/>
              </w:rPr>
              <w:t>避免接触碱金属和碱土金属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vAlign w:val="center"/>
          </w:tcPr>
          <w:p>
            <w:pPr>
              <w:spacing w:line="360" w:lineRule="auto"/>
              <w:jc w:val="center"/>
              <w:rPr>
                <w:szCs w:val="21"/>
              </w:rPr>
            </w:pPr>
          </w:p>
        </w:tc>
        <w:tc>
          <w:tcPr>
            <w:tcW w:w="1908" w:type="dxa"/>
          </w:tcPr>
          <w:p>
            <w:pPr>
              <w:spacing w:line="360" w:lineRule="auto"/>
              <w:jc w:val="left"/>
              <w:rPr>
                <w:szCs w:val="21"/>
              </w:rPr>
            </w:pPr>
            <w:r>
              <w:rPr>
                <w:szCs w:val="21"/>
              </w:rPr>
              <w:t>热稳定性</w:t>
            </w:r>
          </w:p>
        </w:tc>
        <w:tc>
          <w:tcPr>
            <w:tcW w:w="3841" w:type="dxa"/>
          </w:tcPr>
          <w:p>
            <w:pPr>
              <w:spacing w:line="360" w:lineRule="auto"/>
              <w:jc w:val="left"/>
              <w:rPr>
                <w:szCs w:val="21"/>
              </w:rPr>
            </w:pPr>
            <w:r>
              <w:rPr>
                <w:szCs w:val="21"/>
              </w:rPr>
              <w:t>遇火或高温超过200°C可能产生热分解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restart"/>
            <w:vAlign w:val="center"/>
          </w:tcPr>
          <w:p>
            <w:pPr>
              <w:spacing w:line="360" w:lineRule="auto"/>
              <w:jc w:val="center"/>
              <w:rPr>
                <w:szCs w:val="21"/>
              </w:rPr>
            </w:pPr>
            <w:r>
              <w:rPr>
                <w:szCs w:val="21"/>
              </w:rPr>
              <w:t>消防安全</w:t>
            </w:r>
          </w:p>
        </w:tc>
        <w:tc>
          <w:tcPr>
            <w:tcW w:w="1908" w:type="dxa"/>
          </w:tcPr>
          <w:p>
            <w:pPr>
              <w:spacing w:line="360" w:lineRule="auto"/>
              <w:jc w:val="left"/>
              <w:rPr>
                <w:szCs w:val="21"/>
              </w:rPr>
            </w:pPr>
            <w:r>
              <w:rPr>
                <w:szCs w:val="21"/>
              </w:rPr>
              <w:t>闭杯闪点（可燃液体）</w:t>
            </w:r>
          </w:p>
        </w:tc>
        <w:tc>
          <w:tcPr>
            <w:tcW w:w="3841" w:type="dxa"/>
          </w:tcPr>
          <w:p>
            <w:pPr>
              <w:spacing w:line="360" w:lineRule="auto"/>
              <w:jc w:val="left"/>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vAlign w:val="center"/>
          </w:tcPr>
          <w:p>
            <w:pPr>
              <w:spacing w:line="360" w:lineRule="auto"/>
              <w:jc w:val="center"/>
              <w:rPr>
                <w:szCs w:val="21"/>
              </w:rPr>
            </w:pPr>
          </w:p>
        </w:tc>
        <w:tc>
          <w:tcPr>
            <w:tcW w:w="1908" w:type="dxa"/>
          </w:tcPr>
          <w:p>
            <w:pPr>
              <w:spacing w:line="360" w:lineRule="auto"/>
              <w:jc w:val="left"/>
              <w:rPr>
                <w:szCs w:val="21"/>
              </w:rPr>
            </w:pPr>
            <w:r>
              <w:rPr>
                <w:szCs w:val="21"/>
              </w:rPr>
              <w:t>燃点（可燃液体）</w:t>
            </w:r>
          </w:p>
        </w:tc>
        <w:tc>
          <w:tcPr>
            <w:tcW w:w="3841" w:type="dxa"/>
          </w:tcPr>
          <w:p>
            <w:pPr>
              <w:spacing w:line="360" w:lineRule="auto"/>
              <w:jc w:val="left"/>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vAlign w:val="center"/>
          </w:tcPr>
          <w:p>
            <w:pPr>
              <w:spacing w:line="360" w:lineRule="auto"/>
              <w:jc w:val="center"/>
            </w:pPr>
          </w:p>
        </w:tc>
        <w:tc>
          <w:tcPr>
            <w:tcW w:w="1908" w:type="dxa"/>
          </w:tcPr>
          <w:p>
            <w:pPr>
              <w:spacing w:line="360" w:lineRule="auto"/>
              <w:jc w:val="left"/>
              <w:rPr>
                <w:szCs w:val="21"/>
              </w:rPr>
            </w:pPr>
            <w:r>
              <w:rPr>
                <w:szCs w:val="21"/>
              </w:rPr>
              <w:t>自燃点（可燃液体）</w:t>
            </w:r>
          </w:p>
        </w:tc>
        <w:tc>
          <w:tcPr>
            <w:tcW w:w="3841" w:type="dxa"/>
          </w:tcPr>
          <w:p>
            <w:pPr>
              <w:spacing w:line="360" w:lineRule="auto"/>
              <w:jc w:val="left"/>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restart"/>
            <w:vAlign w:val="center"/>
          </w:tcPr>
          <w:p>
            <w:pPr>
              <w:spacing w:line="360" w:lineRule="auto"/>
              <w:jc w:val="center"/>
              <w:rPr>
                <w:szCs w:val="21"/>
              </w:rPr>
            </w:pPr>
            <w:r>
              <w:rPr>
                <w:szCs w:val="21"/>
              </w:rPr>
              <w:t>物理性能（标况）</w:t>
            </w:r>
          </w:p>
        </w:tc>
        <w:tc>
          <w:tcPr>
            <w:tcW w:w="1418" w:type="dxa"/>
            <w:vMerge w:val="restart"/>
            <w:vAlign w:val="center"/>
          </w:tcPr>
          <w:p>
            <w:pPr>
              <w:spacing w:line="360" w:lineRule="auto"/>
              <w:jc w:val="center"/>
              <w:rPr>
                <w:szCs w:val="21"/>
              </w:rPr>
            </w:pPr>
            <w:r>
              <w:rPr>
                <w:szCs w:val="21"/>
              </w:rPr>
              <w:t>绝缘性能</w:t>
            </w:r>
          </w:p>
        </w:tc>
        <w:tc>
          <w:tcPr>
            <w:tcW w:w="1908" w:type="dxa"/>
          </w:tcPr>
          <w:p>
            <w:pPr>
              <w:spacing w:line="360" w:lineRule="auto"/>
              <w:jc w:val="left"/>
              <w:rPr>
                <w:szCs w:val="21"/>
              </w:rPr>
            </w:pPr>
            <w:r>
              <w:rPr>
                <w:szCs w:val="21"/>
              </w:rPr>
              <w:t>击穿电压kV（@2.54mm）</w:t>
            </w:r>
          </w:p>
        </w:tc>
        <w:tc>
          <w:tcPr>
            <w:tcW w:w="3841" w:type="dxa"/>
          </w:tcPr>
          <w:p>
            <w:pPr>
              <w:spacing w:line="360" w:lineRule="auto"/>
              <w:jc w:val="left"/>
              <w:rPr>
                <w:szCs w:val="21"/>
              </w:rPr>
            </w:pPr>
            <w:r>
              <w:rPr>
                <w:rFonts w:eastAsia="微软雅黑"/>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continue"/>
            <w:vAlign w:val="center"/>
          </w:tcPr>
          <w:p>
            <w:pPr>
              <w:spacing w:line="360" w:lineRule="auto"/>
              <w:jc w:val="center"/>
              <w:rPr>
                <w:szCs w:val="21"/>
              </w:rPr>
            </w:pPr>
          </w:p>
        </w:tc>
        <w:tc>
          <w:tcPr>
            <w:tcW w:w="1908" w:type="dxa"/>
          </w:tcPr>
          <w:p>
            <w:pPr>
              <w:spacing w:line="360" w:lineRule="auto"/>
              <w:jc w:val="left"/>
              <w:rPr>
                <w:szCs w:val="21"/>
              </w:rPr>
            </w:pPr>
            <w:r>
              <w:rPr>
                <w:szCs w:val="21"/>
              </w:rPr>
              <w:t>体积电阻率Ω*cm(25℃,250V)</w:t>
            </w:r>
          </w:p>
        </w:tc>
        <w:tc>
          <w:tcPr>
            <w:tcW w:w="3841" w:type="dxa"/>
          </w:tcPr>
          <w:p>
            <w:pPr>
              <w:spacing w:line="360" w:lineRule="auto"/>
              <w:jc w:val="left"/>
              <w:rPr>
                <w:szCs w:val="21"/>
              </w:rPr>
            </w:pPr>
            <w:r>
              <w:rPr>
                <w:szCs w:val="21"/>
              </w:rPr>
              <w:t>4*10^15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center"/>
              <w:rPr>
                <w:szCs w:val="21"/>
              </w:rPr>
            </w:pPr>
          </w:p>
        </w:tc>
        <w:tc>
          <w:tcPr>
            <w:tcW w:w="1418" w:type="dxa"/>
            <w:vMerge w:val="restart"/>
            <w:vAlign w:val="center"/>
          </w:tcPr>
          <w:p>
            <w:pPr>
              <w:spacing w:line="360" w:lineRule="auto"/>
              <w:jc w:val="center"/>
              <w:rPr>
                <w:szCs w:val="21"/>
              </w:rPr>
            </w:pPr>
            <w:r>
              <w:rPr>
                <w:szCs w:val="21"/>
              </w:rPr>
              <w:t>热力学性能</w:t>
            </w:r>
          </w:p>
        </w:tc>
        <w:tc>
          <w:tcPr>
            <w:tcW w:w="1908" w:type="dxa"/>
          </w:tcPr>
          <w:p>
            <w:pPr>
              <w:spacing w:line="360" w:lineRule="auto"/>
              <w:jc w:val="left"/>
              <w:rPr>
                <w:szCs w:val="21"/>
              </w:rPr>
            </w:pPr>
            <w:r>
              <w:rPr>
                <w:szCs w:val="21"/>
              </w:rPr>
              <w:t>饱和水含量ppm</w:t>
            </w:r>
          </w:p>
        </w:tc>
        <w:tc>
          <w:tcPr>
            <w:tcW w:w="3841" w:type="dxa"/>
          </w:tcPr>
          <w:p>
            <w:pPr>
              <w:spacing w:line="360" w:lineRule="auto"/>
              <w:jc w:val="left"/>
              <w:rPr>
                <w:szCs w:val="21"/>
              </w:rPr>
            </w:pPr>
            <w:r>
              <w:rPr>
                <w:szCs w:val="21"/>
              </w:rPr>
              <w:t>&lt;5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left"/>
            </w:pPr>
          </w:p>
        </w:tc>
        <w:tc>
          <w:tcPr>
            <w:tcW w:w="1908" w:type="dxa"/>
          </w:tcPr>
          <w:p>
            <w:pPr>
              <w:spacing w:line="360" w:lineRule="auto"/>
              <w:jc w:val="left"/>
              <w:rPr>
                <w:szCs w:val="21"/>
              </w:rPr>
            </w:pPr>
            <w:r>
              <w:rPr>
                <w:szCs w:val="21"/>
              </w:rPr>
              <w:t>密度kg/m3(25℃)</w:t>
            </w:r>
          </w:p>
        </w:tc>
        <w:tc>
          <w:tcPr>
            <w:tcW w:w="3841" w:type="dxa"/>
          </w:tcPr>
          <w:p>
            <w:pPr>
              <w:spacing w:line="360" w:lineRule="auto"/>
              <w:jc w:val="left"/>
              <w:rPr>
                <w:szCs w:val="21"/>
              </w:rPr>
            </w:pPr>
            <w:r>
              <w:rPr>
                <w:szCs w:val="21"/>
              </w:rPr>
              <w:t>1855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left"/>
            </w:pPr>
          </w:p>
        </w:tc>
        <w:tc>
          <w:tcPr>
            <w:tcW w:w="1908" w:type="dxa"/>
          </w:tcPr>
          <w:p>
            <w:pPr>
              <w:spacing w:line="360" w:lineRule="auto"/>
              <w:jc w:val="left"/>
              <w:rPr>
                <w:szCs w:val="21"/>
              </w:rPr>
            </w:pPr>
            <w:r>
              <w:rPr>
                <w:szCs w:val="21"/>
              </w:rPr>
              <w:t>沸点℃</w:t>
            </w:r>
          </w:p>
        </w:tc>
        <w:tc>
          <w:tcPr>
            <w:tcW w:w="3841" w:type="dxa"/>
          </w:tcPr>
          <w:p>
            <w:pPr>
              <w:spacing w:line="360" w:lineRule="auto"/>
              <w:jc w:val="left"/>
              <w:rPr>
                <w:szCs w:val="21"/>
              </w:rPr>
            </w:pPr>
            <w:r>
              <w:rPr>
                <w:szCs w:val="21"/>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left"/>
            </w:pPr>
          </w:p>
        </w:tc>
        <w:tc>
          <w:tcPr>
            <w:tcW w:w="1908" w:type="dxa"/>
          </w:tcPr>
          <w:p>
            <w:pPr>
              <w:spacing w:line="360" w:lineRule="auto"/>
              <w:jc w:val="left"/>
              <w:rPr>
                <w:szCs w:val="21"/>
              </w:rPr>
            </w:pPr>
            <w:r>
              <w:rPr>
                <w:szCs w:val="21"/>
              </w:rPr>
              <w:t>运动粘度cSt(25℃)</w:t>
            </w:r>
          </w:p>
        </w:tc>
        <w:tc>
          <w:tcPr>
            <w:tcW w:w="3841" w:type="dxa"/>
          </w:tcPr>
          <w:p>
            <w:pPr>
              <w:spacing w:line="360" w:lineRule="auto"/>
              <w:jc w:val="left"/>
              <w:rPr>
                <w:szCs w:val="21"/>
              </w:rPr>
            </w:pPr>
            <w:r>
              <w:rPr>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left"/>
            </w:pPr>
          </w:p>
        </w:tc>
        <w:tc>
          <w:tcPr>
            <w:tcW w:w="1908" w:type="dxa"/>
          </w:tcPr>
          <w:p>
            <w:pPr>
              <w:spacing w:line="360" w:lineRule="auto"/>
              <w:jc w:val="left"/>
              <w:rPr>
                <w:szCs w:val="21"/>
              </w:rPr>
            </w:pPr>
            <w:r>
              <w:rPr>
                <w:szCs w:val="21"/>
              </w:rPr>
              <w:t>倾点℃</w:t>
            </w:r>
          </w:p>
        </w:tc>
        <w:tc>
          <w:tcPr>
            <w:tcW w:w="3841" w:type="dxa"/>
          </w:tcPr>
          <w:p>
            <w:pPr>
              <w:spacing w:line="360" w:lineRule="auto"/>
              <w:jc w:val="left"/>
              <w:rPr>
                <w:szCs w:val="21"/>
              </w:rPr>
            </w:pPr>
            <w:r>
              <w:rPr>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left"/>
            </w:pPr>
          </w:p>
        </w:tc>
        <w:tc>
          <w:tcPr>
            <w:tcW w:w="1908" w:type="dxa"/>
          </w:tcPr>
          <w:p>
            <w:pPr>
              <w:spacing w:line="360" w:lineRule="auto"/>
              <w:jc w:val="left"/>
              <w:rPr>
                <w:szCs w:val="21"/>
              </w:rPr>
            </w:pPr>
            <w:r>
              <w:rPr>
                <w:szCs w:val="21"/>
              </w:rPr>
              <w:t>体积膨胀率1/K(25℃)</w:t>
            </w:r>
          </w:p>
        </w:tc>
        <w:tc>
          <w:tcPr>
            <w:tcW w:w="3841" w:type="dxa"/>
          </w:tcPr>
          <w:p>
            <w:pPr>
              <w:spacing w:line="360" w:lineRule="auto"/>
              <w:jc w:val="left"/>
              <w:rPr>
                <w:szCs w:val="21"/>
              </w:rPr>
            </w:pPr>
            <w:r>
              <w:rPr>
                <w:szCs w:val="21"/>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left"/>
            </w:pPr>
          </w:p>
        </w:tc>
        <w:tc>
          <w:tcPr>
            <w:tcW w:w="1908" w:type="dxa"/>
          </w:tcPr>
          <w:p>
            <w:pPr>
              <w:spacing w:line="360" w:lineRule="auto"/>
              <w:jc w:val="left"/>
              <w:rPr>
                <w:szCs w:val="21"/>
              </w:rPr>
            </w:pPr>
            <w:r>
              <w:rPr>
                <w:szCs w:val="21"/>
              </w:rPr>
              <w:t>导热系数W/m*K(25℃)</w:t>
            </w:r>
          </w:p>
        </w:tc>
        <w:tc>
          <w:tcPr>
            <w:tcW w:w="3841" w:type="dxa"/>
          </w:tcPr>
          <w:p>
            <w:pPr>
              <w:spacing w:line="360" w:lineRule="auto"/>
              <w:jc w:val="left"/>
              <w:rPr>
                <w:szCs w:val="21"/>
              </w:rPr>
            </w:pPr>
            <w:r>
              <w:rPr>
                <w:szCs w:val="21"/>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left"/>
            </w:pPr>
          </w:p>
        </w:tc>
        <w:tc>
          <w:tcPr>
            <w:tcW w:w="1908" w:type="dxa"/>
          </w:tcPr>
          <w:p>
            <w:pPr>
              <w:spacing w:line="360" w:lineRule="auto"/>
              <w:jc w:val="left"/>
              <w:rPr>
                <w:szCs w:val="21"/>
              </w:rPr>
            </w:pPr>
            <w:r>
              <w:rPr>
                <w:szCs w:val="21"/>
              </w:rPr>
              <w:t>比热J/kg*k(25℃)</w:t>
            </w:r>
          </w:p>
        </w:tc>
        <w:tc>
          <w:tcPr>
            <w:tcW w:w="3841" w:type="dxa"/>
          </w:tcPr>
          <w:p>
            <w:pPr>
              <w:spacing w:line="360" w:lineRule="auto"/>
              <w:jc w:val="left"/>
              <w:rPr>
                <w:szCs w:val="21"/>
              </w:rPr>
            </w:pPr>
            <w:r>
              <w:rPr>
                <w:szCs w:val="21"/>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restart"/>
            <w:vAlign w:val="center"/>
          </w:tcPr>
          <w:p>
            <w:pPr>
              <w:spacing w:line="360" w:lineRule="auto"/>
              <w:jc w:val="center"/>
            </w:pPr>
            <w:r>
              <w:rPr>
                <w:szCs w:val="21"/>
              </w:rPr>
              <w:t>信号性能</w:t>
            </w:r>
          </w:p>
        </w:tc>
        <w:tc>
          <w:tcPr>
            <w:tcW w:w="1908" w:type="dxa"/>
          </w:tcPr>
          <w:p>
            <w:pPr>
              <w:spacing w:line="360" w:lineRule="auto"/>
              <w:jc w:val="left"/>
              <w:rPr>
                <w:szCs w:val="21"/>
              </w:rPr>
            </w:pPr>
            <w:r>
              <w:rPr>
                <w:szCs w:val="21"/>
              </w:rPr>
              <w:t>介电常数（1-32GHz）(25℃)</w:t>
            </w:r>
          </w:p>
        </w:tc>
        <w:tc>
          <w:tcPr>
            <w:tcW w:w="3841" w:type="dxa"/>
          </w:tcPr>
          <w:p>
            <w:pPr>
              <w:spacing w:line="360" w:lineRule="auto"/>
              <w:jc w:val="left"/>
              <w:rPr>
                <w:szCs w:val="21"/>
              </w:rPr>
            </w:pPr>
            <w:r>
              <w:rPr>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center"/>
            </w:pPr>
          </w:p>
        </w:tc>
        <w:tc>
          <w:tcPr>
            <w:tcW w:w="1908" w:type="dxa"/>
          </w:tcPr>
          <w:p>
            <w:pPr>
              <w:spacing w:line="360" w:lineRule="auto"/>
              <w:jc w:val="left"/>
              <w:rPr>
                <w:szCs w:val="21"/>
              </w:rPr>
            </w:pPr>
            <w:r>
              <w:rPr>
                <w:szCs w:val="21"/>
              </w:rPr>
              <w:t>介质损失因数(25℃)</w:t>
            </w:r>
          </w:p>
        </w:tc>
        <w:tc>
          <w:tcPr>
            <w:tcW w:w="3841" w:type="dxa"/>
          </w:tcPr>
          <w:p>
            <w:pPr>
              <w:spacing w:line="360" w:lineRule="auto"/>
              <w:jc w:val="left"/>
              <w:rPr>
                <w:szCs w:val="21"/>
              </w:rPr>
            </w:pPr>
            <w:r>
              <w:rPr>
                <w:szCs w:val="21"/>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restart"/>
            <w:vAlign w:val="center"/>
          </w:tcPr>
          <w:p>
            <w:pPr>
              <w:spacing w:line="360" w:lineRule="auto"/>
              <w:jc w:val="center"/>
            </w:pPr>
            <w:r>
              <w:rPr>
                <w:szCs w:val="21"/>
              </w:rPr>
              <w:t>耗散损失</w:t>
            </w:r>
          </w:p>
        </w:tc>
        <w:tc>
          <w:tcPr>
            <w:tcW w:w="1908" w:type="dxa"/>
          </w:tcPr>
          <w:p>
            <w:pPr>
              <w:spacing w:line="360" w:lineRule="auto"/>
              <w:jc w:val="left"/>
              <w:rPr>
                <w:szCs w:val="21"/>
              </w:rPr>
            </w:pPr>
            <w:r>
              <w:rPr>
                <w:szCs w:val="21"/>
              </w:rPr>
              <w:t>饱和蒸汽压kPa(25℃)</w:t>
            </w:r>
          </w:p>
        </w:tc>
        <w:tc>
          <w:tcPr>
            <w:tcW w:w="3841" w:type="dxa"/>
          </w:tcPr>
          <w:p>
            <w:pPr>
              <w:spacing w:line="360" w:lineRule="auto"/>
              <w:jc w:val="left"/>
              <w:rPr>
                <w:szCs w:val="21"/>
              </w:rPr>
            </w:pPr>
            <w:r>
              <w:rPr>
                <w:szCs w:val="21"/>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Merge w:val="continue"/>
            <w:vAlign w:val="center"/>
          </w:tcPr>
          <w:p>
            <w:pPr>
              <w:spacing w:line="360" w:lineRule="auto"/>
              <w:jc w:val="center"/>
            </w:pPr>
          </w:p>
        </w:tc>
        <w:tc>
          <w:tcPr>
            <w:tcW w:w="1908" w:type="dxa"/>
          </w:tcPr>
          <w:p>
            <w:pPr>
              <w:spacing w:line="360" w:lineRule="auto"/>
              <w:jc w:val="left"/>
              <w:rPr>
                <w:szCs w:val="21"/>
              </w:rPr>
            </w:pPr>
            <w:r>
              <w:rPr>
                <w:szCs w:val="21"/>
              </w:rPr>
              <w:t>表面张力dy/cm(25℃)</w:t>
            </w:r>
          </w:p>
        </w:tc>
        <w:tc>
          <w:tcPr>
            <w:tcW w:w="3841" w:type="dxa"/>
          </w:tcPr>
          <w:p>
            <w:pPr>
              <w:spacing w:line="360" w:lineRule="auto"/>
              <w:jc w:val="left"/>
              <w:rPr>
                <w:szCs w:val="21"/>
              </w:rPr>
            </w:pPr>
            <w:r>
              <w:rPr>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center"/>
            </w:pPr>
            <w:r>
              <w:rPr>
                <w:szCs w:val="21"/>
              </w:rPr>
              <w:t>其他</w:t>
            </w:r>
          </w:p>
        </w:tc>
        <w:tc>
          <w:tcPr>
            <w:tcW w:w="1908" w:type="dxa"/>
          </w:tcPr>
          <w:p>
            <w:pPr>
              <w:spacing w:line="360" w:lineRule="auto"/>
              <w:jc w:val="left"/>
              <w:rPr>
                <w:szCs w:val="21"/>
              </w:rPr>
            </w:pPr>
            <w:r>
              <w:rPr>
                <w:szCs w:val="21"/>
              </w:rPr>
              <w:t>颜色</w:t>
            </w:r>
          </w:p>
        </w:tc>
        <w:tc>
          <w:tcPr>
            <w:tcW w:w="3841" w:type="dxa"/>
          </w:tcPr>
          <w:p>
            <w:pPr>
              <w:spacing w:line="360" w:lineRule="auto"/>
              <w:jc w:val="left"/>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center"/>
            </w:pPr>
          </w:p>
        </w:tc>
        <w:tc>
          <w:tcPr>
            <w:tcW w:w="1908" w:type="dxa"/>
          </w:tcPr>
          <w:p>
            <w:pPr>
              <w:spacing w:line="360" w:lineRule="auto"/>
              <w:jc w:val="left"/>
              <w:rPr>
                <w:szCs w:val="21"/>
              </w:rPr>
            </w:pPr>
            <w:r>
              <w:rPr>
                <w:szCs w:val="21"/>
              </w:rPr>
              <w:t>气味</w:t>
            </w:r>
          </w:p>
        </w:tc>
        <w:tc>
          <w:tcPr>
            <w:tcW w:w="3841" w:type="dxa"/>
          </w:tcPr>
          <w:p>
            <w:pPr>
              <w:spacing w:line="360" w:lineRule="auto"/>
              <w:jc w:val="left"/>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center"/>
            </w:pPr>
          </w:p>
        </w:tc>
        <w:tc>
          <w:tcPr>
            <w:tcW w:w="1908" w:type="dxa"/>
          </w:tcPr>
          <w:p>
            <w:pPr>
              <w:spacing w:line="360" w:lineRule="auto"/>
              <w:jc w:val="left"/>
              <w:rPr>
                <w:szCs w:val="21"/>
              </w:rPr>
            </w:pPr>
            <w:r>
              <w:rPr>
                <w:szCs w:val="21"/>
              </w:rPr>
              <w:t>PH值</w:t>
            </w:r>
          </w:p>
        </w:tc>
        <w:tc>
          <w:tcPr>
            <w:tcW w:w="3841" w:type="dxa"/>
          </w:tcPr>
          <w:p>
            <w:pPr>
              <w:spacing w:line="360" w:lineRule="auto"/>
              <w:jc w:val="left"/>
              <w:rPr>
                <w:szCs w:val="21"/>
              </w:rPr>
            </w:pPr>
            <w:r>
              <w:rPr>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center"/>
            </w:pPr>
          </w:p>
        </w:tc>
        <w:tc>
          <w:tcPr>
            <w:tcW w:w="1908" w:type="dxa"/>
          </w:tcPr>
          <w:p>
            <w:pPr>
              <w:spacing w:line="360" w:lineRule="auto"/>
              <w:jc w:val="left"/>
              <w:rPr>
                <w:szCs w:val="21"/>
              </w:rPr>
            </w:pPr>
            <w:r>
              <w:rPr>
                <w:szCs w:val="21"/>
              </w:rPr>
              <w:t>使用寿命</w:t>
            </w:r>
          </w:p>
        </w:tc>
        <w:tc>
          <w:tcPr>
            <w:tcW w:w="3841" w:type="dxa"/>
          </w:tcPr>
          <w:p>
            <w:pPr>
              <w:spacing w:line="360" w:lineRule="auto"/>
              <w:jc w:val="left"/>
              <w:rPr>
                <w:szCs w:val="21"/>
              </w:rPr>
            </w:pPr>
            <w:r>
              <w:rPr>
                <w:szCs w:val="21"/>
              </w:rPr>
              <w:t>10年以上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center"/>
            </w:pPr>
          </w:p>
        </w:tc>
        <w:tc>
          <w:tcPr>
            <w:tcW w:w="1908" w:type="dxa"/>
          </w:tcPr>
          <w:p>
            <w:pPr>
              <w:spacing w:line="360" w:lineRule="auto"/>
              <w:jc w:val="left"/>
              <w:rPr>
                <w:szCs w:val="21"/>
              </w:rPr>
            </w:pPr>
            <w:r>
              <w:rPr>
                <w:szCs w:val="21"/>
              </w:rPr>
              <w:t>硫含量ppm</w:t>
            </w:r>
          </w:p>
        </w:tc>
        <w:tc>
          <w:tcPr>
            <w:tcW w:w="3841" w:type="dxa"/>
          </w:tcPr>
          <w:p>
            <w:pPr>
              <w:spacing w:line="360" w:lineRule="auto"/>
              <w:jc w:val="left"/>
              <w:rPr>
                <w:szCs w:val="21"/>
              </w:rPr>
            </w:pPr>
            <w:r>
              <w:rPr>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center"/>
            </w:pPr>
          </w:p>
        </w:tc>
        <w:tc>
          <w:tcPr>
            <w:tcW w:w="1908" w:type="dxa"/>
          </w:tcPr>
          <w:p>
            <w:pPr>
              <w:spacing w:line="360" w:lineRule="auto"/>
              <w:jc w:val="left"/>
              <w:rPr>
                <w:szCs w:val="21"/>
              </w:rPr>
            </w:pPr>
            <w:r>
              <w:rPr>
                <w:szCs w:val="21"/>
              </w:rPr>
              <w:t>非挥发性残留物 毫克/ml</w:t>
            </w:r>
          </w:p>
        </w:tc>
        <w:tc>
          <w:tcPr>
            <w:tcW w:w="3841" w:type="dxa"/>
          </w:tcPr>
          <w:p>
            <w:pPr>
              <w:spacing w:line="360" w:lineRule="auto"/>
              <w:jc w:val="left"/>
              <w:rPr>
                <w:szCs w:val="21"/>
              </w:rPr>
            </w:pPr>
            <w:r>
              <w:rPr>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center"/>
            </w:pPr>
          </w:p>
        </w:tc>
        <w:tc>
          <w:tcPr>
            <w:tcW w:w="1908" w:type="dxa"/>
          </w:tcPr>
          <w:p>
            <w:pPr>
              <w:spacing w:line="360" w:lineRule="auto"/>
              <w:jc w:val="left"/>
              <w:rPr>
                <w:szCs w:val="21"/>
              </w:rPr>
            </w:pPr>
            <w:r>
              <w:rPr>
                <w:szCs w:val="21"/>
              </w:rPr>
              <w:t>固态颗粒物 颗/ml(50微米)</w:t>
            </w:r>
          </w:p>
        </w:tc>
        <w:tc>
          <w:tcPr>
            <w:tcW w:w="3841" w:type="dxa"/>
          </w:tcPr>
          <w:p>
            <w:pPr>
              <w:spacing w:line="360" w:lineRule="auto"/>
              <w:jc w:val="left"/>
              <w:rPr>
                <w:szCs w:val="21"/>
              </w:rPr>
            </w:pPr>
            <w:r>
              <w:rPr>
                <w:szCs w:val="21"/>
              </w:rPr>
              <w:t>&lt;50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left"/>
            </w:pPr>
          </w:p>
        </w:tc>
        <w:tc>
          <w:tcPr>
            <w:tcW w:w="1908" w:type="dxa"/>
          </w:tcPr>
          <w:p>
            <w:pPr>
              <w:spacing w:line="360" w:lineRule="auto"/>
              <w:jc w:val="left"/>
              <w:rPr>
                <w:szCs w:val="21"/>
              </w:rPr>
            </w:pPr>
            <w:r>
              <w:rPr>
                <w:szCs w:val="21"/>
              </w:rPr>
              <w:t>纯度%</w:t>
            </w:r>
          </w:p>
        </w:tc>
        <w:tc>
          <w:tcPr>
            <w:tcW w:w="3841" w:type="dxa"/>
          </w:tcPr>
          <w:p>
            <w:pPr>
              <w:spacing w:line="360" w:lineRule="auto"/>
              <w:jc w:val="left"/>
              <w:rPr>
                <w:szCs w:val="21"/>
              </w:rPr>
            </w:pPr>
            <w:r>
              <w:rPr>
                <w:szCs w:val="21"/>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tcPr>
          <w:p>
            <w:pPr>
              <w:spacing w:line="360" w:lineRule="auto"/>
              <w:jc w:val="left"/>
              <w:rPr>
                <w:szCs w:val="21"/>
              </w:rPr>
            </w:pPr>
          </w:p>
        </w:tc>
        <w:tc>
          <w:tcPr>
            <w:tcW w:w="1418" w:type="dxa"/>
            <w:vAlign w:val="center"/>
          </w:tcPr>
          <w:p>
            <w:pPr>
              <w:spacing w:line="360" w:lineRule="auto"/>
              <w:jc w:val="left"/>
            </w:pPr>
          </w:p>
        </w:tc>
        <w:tc>
          <w:tcPr>
            <w:tcW w:w="1908" w:type="dxa"/>
          </w:tcPr>
          <w:p>
            <w:pPr>
              <w:spacing w:line="360" w:lineRule="auto"/>
              <w:jc w:val="left"/>
              <w:rPr>
                <w:szCs w:val="21"/>
              </w:rPr>
            </w:pPr>
            <w:r>
              <w:rPr>
                <w:szCs w:val="21"/>
              </w:rPr>
              <w:t>酸度（以KOH计）mg/g</w:t>
            </w:r>
          </w:p>
        </w:tc>
        <w:tc>
          <w:tcPr>
            <w:tcW w:w="3841" w:type="dxa"/>
          </w:tcPr>
          <w:p>
            <w:pPr>
              <w:spacing w:line="360" w:lineRule="auto"/>
              <w:jc w:val="left"/>
              <w:rPr>
                <w:szCs w:val="21"/>
              </w:rPr>
            </w:pPr>
            <w:r>
              <w:rPr>
                <w:szCs w:val="21"/>
              </w:rPr>
              <w:t>不适用</w:t>
            </w:r>
          </w:p>
        </w:tc>
      </w:tr>
    </w:tbl>
    <w:p>
      <w:pPr>
        <w:spacing w:line="360" w:lineRule="auto"/>
        <w:ind w:firstLine="480" w:firstLineChars="200"/>
        <w:jc w:val="left"/>
        <w:rPr>
          <w:kern w:val="0"/>
          <w:szCs w:val="21"/>
        </w:rPr>
      </w:pPr>
      <w:r>
        <w:rPr>
          <w:kern w:val="0"/>
          <w:sz w:val="24"/>
          <w:szCs w:val="24"/>
        </w:rPr>
        <w:t>条文说明：介电常数大会引起高频信号传输延时、介质损失因数过大会引起信号衰减，如上表格的介电常数和介质损失因数应填写25℃时0.1-32GHz测试的最大值，单相浸没液冷用冷却液还应列出40℃时0.1-32GHz测试的最大值，双相浸没液冷用冷却液应列出沸点温度时0.1-32GHz测试的最大值。</w:t>
      </w:r>
    </w:p>
    <w:p>
      <w:pPr>
        <w:spacing w:before="312" w:beforeLines="100" w:line="360" w:lineRule="auto"/>
        <w:ind w:firstLine="561" w:firstLineChars="200"/>
        <w:jc w:val="center"/>
        <w:outlineLvl w:val="1"/>
        <w:rPr>
          <w:b/>
          <w:sz w:val="28"/>
          <w:szCs w:val="24"/>
        </w:rPr>
      </w:pPr>
      <w:bookmarkStart w:id="24" w:name="_Toc1764483902"/>
      <w:r>
        <w:rPr>
          <w:rFonts w:hint="eastAsia"/>
          <w:b/>
          <w:sz w:val="28"/>
          <w:szCs w:val="24"/>
        </w:rPr>
        <w:t>4</w:t>
      </w:r>
      <w:r>
        <w:rPr>
          <w:b/>
          <w:sz w:val="28"/>
          <w:szCs w:val="24"/>
        </w:rPr>
        <w:t>.8 供暖系统与通风系统</w:t>
      </w:r>
      <w:bookmarkEnd w:id="24"/>
    </w:p>
    <w:p>
      <w:pPr>
        <w:widowControl/>
        <w:spacing w:line="360" w:lineRule="auto"/>
        <w:ind w:firstLine="480" w:firstLineChars="200"/>
        <w:rPr>
          <w:strike/>
          <w:kern w:val="0"/>
          <w:sz w:val="24"/>
          <w:szCs w:val="24"/>
          <w:lang w:bidi="ar"/>
        </w:rPr>
      </w:pPr>
      <w:r>
        <w:rPr>
          <w:kern w:val="0"/>
          <w:sz w:val="24"/>
          <w:szCs w:val="24"/>
          <w:lang w:bidi="ar"/>
        </w:rPr>
        <w:t>4.8.1 当数据中心采用液冷系统时，其供暖系统与通风系统应</w:t>
      </w:r>
      <w:r>
        <w:rPr>
          <w:rFonts w:hint="eastAsia"/>
          <w:kern w:val="0"/>
          <w:sz w:val="24"/>
          <w:szCs w:val="24"/>
          <w:lang w:bidi="ar"/>
        </w:rPr>
        <w:t>符合</w:t>
      </w:r>
      <w:r>
        <w:rPr>
          <w:kern w:val="0"/>
          <w:sz w:val="24"/>
          <w:szCs w:val="24"/>
          <w:lang w:bidi="ar"/>
        </w:rPr>
        <w:t>《工业建筑供暖通风与空气调节设计规范》GB50019或《民用建筑供暖通风与空气调节设计规范》GB50736中相关要求</w:t>
      </w:r>
      <w:r>
        <w:rPr>
          <w:rFonts w:hint="eastAsia"/>
          <w:kern w:val="0"/>
          <w:sz w:val="24"/>
          <w:szCs w:val="24"/>
          <w:lang w:bidi="ar"/>
        </w:rPr>
        <w:t>。</w:t>
      </w:r>
    </w:p>
    <w:p>
      <w:pPr>
        <w:widowControl/>
        <w:spacing w:line="360" w:lineRule="auto"/>
        <w:rPr>
          <w:kern w:val="0"/>
          <w:sz w:val="24"/>
          <w:szCs w:val="24"/>
          <w:lang w:bidi="ar"/>
        </w:rPr>
      </w:pPr>
      <w:r>
        <w:rPr>
          <w:kern w:val="0"/>
          <w:sz w:val="24"/>
          <w:szCs w:val="24"/>
          <w:lang w:bidi="ar"/>
        </w:rPr>
        <w:t xml:space="preserve">    4.8.2 当数据中心采用液冷系统时，需要供暖的区域宜优先利用液冷系统的余热回收。</w:t>
      </w:r>
    </w:p>
    <w:p>
      <w:pPr>
        <w:widowControl/>
        <w:spacing w:line="360" w:lineRule="auto"/>
        <w:ind w:firstLine="480" w:firstLineChars="200"/>
        <w:rPr>
          <w:sz w:val="24"/>
          <w:szCs w:val="24"/>
        </w:rPr>
      </w:pPr>
      <w:r>
        <w:rPr>
          <w:sz w:val="24"/>
          <w:szCs w:val="24"/>
        </w:rPr>
        <w:t>条文说明：余热回收有利于提高能源利用率，也可减少采暖系统的碳排放。</w:t>
      </w:r>
    </w:p>
    <w:p>
      <w:pPr>
        <w:widowControl/>
        <w:spacing w:line="360" w:lineRule="auto"/>
        <w:ind w:firstLine="480" w:firstLineChars="200"/>
        <w:rPr>
          <w:kern w:val="0"/>
          <w:sz w:val="24"/>
          <w:szCs w:val="24"/>
          <w:lang w:bidi="ar"/>
        </w:rPr>
      </w:pPr>
      <w:r>
        <w:rPr>
          <w:kern w:val="0"/>
          <w:sz w:val="24"/>
          <w:szCs w:val="24"/>
          <w:lang w:bidi="ar"/>
        </w:rPr>
        <w:t>4.8.3 当数据中心采用液冷系统时，其冷却液储存区的采暖温度设计值应考虑冷却液的倾点，采暖设计温度宜高于冷却液的倾点15℃。</w:t>
      </w:r>
    </w:p>
    <w:p>
      <w:pPr>
        <w:widowControl/>
        <w:spacing w:line="360" w:lineRule="auto"/>
        <w:rPr>
          <w:kern w:val="0"/>
          <w:sz w:val="24"/>
          <w:szCs w:val="24"/>
          <w:lang w:bidi="ar"/>
        </w:rPr>
      </w:pPr>
      <w:r>
        <w:rPr>
          <w:kern w:val="0"/>
          <w:sz w:val="24"/>
          <w:szCs w:val="24"/>
          <w:lang w:bidi="ar"/>
        </w:rPr>
        <w:t xml:space="preserve">    4.8.4 当数据中心的电气房间采用热水型散热器供暖时，散热器的安装位置不宜靠近电气设备，供暖水管宜短直，宜尽量减少接头和阀件。</w:t>
      </w:r>
    </w:p>
    <w:p>
      <w:pPr>
        <w:widowControl/>
        <w:spacing w:line="360" w:lineRule="auto"/>
        <w:ind w:firstLine="480" w:firstLineChars="200"/>
        <w:rPr>
          <w:sz w:val="24"/>
          <w:szCs w:val="24"/>
        </w:rPr>
      </w:pPr>
      <w:r>
        <w:rPr>
          <w:sz w:val="24"/>
          <w:szCs w:val="24"/>
        </w:rPr>
        <w:t>条文说明：电气房间尽量避免使用热水型散热器，必须使用时需采取措施以防止漏水引发事故。</w:t>
      </w:r>
    </w:p>
    <w:p>
      <w:pPr>
        <w:widowControl/>
        <w:spacing w:line="360" w:lineRule="auto"/>
        <w:ind w:firstLine="480" w:firstLineChars="200"/>
        <w:rPr>
          <w:kern w:val="0"/>
          <w:sz w:val="24"/>
          <w:szCs w:val="24"/>
          <w:lang w:bidi="ar"/>
        </w:rPr>
      </w:pPr>
      <w:r>
        <w:rPr>
          <w:kern w:val="0"/>
          <w:sz w:val="24"/>
          <w:szCs w:val="24"/>
          <w:lang w:bidi="ar"/>
        </w:rPr>
        <w:t>4.8.5 当数据中心的液冷系统采用的冷却液可挥发时，应设置强制通风设施</w:t>
      </w:r>
      <w:r>
        <w:rPr>
          <w:rFonts w:hint="eastAsia"/>
          <w:kern w:val="0"/>
          <w:sz w:val="24"/>
          <w:szCs w:val="24"/>
          <w:lang w:bidi="ar"/>
        </w:rPr>
        <w:t>。</w:t>
      </w:r>
      <w:r>
        <w:rPr>
          <w:kern w:val="0"/>
          <w:sz w:val="24"/>
          <w:szCs w:val="24"/>
          <w:lang w:bidi="ar"/>
        </w:rPr>
        <w:t>当冷却液蒸汽比空气重时，应采用下排风，排风口或吸风格栅应位于通风区的下部</w:t>
      </w:r>
      <w:r>
        <w:rPr>
          <w:rFonts w:hint="eastAsia"/>
          <w:kern w:val="0"/>
          <w:sz w:val="24"/>
          <w:szCs w:val="24"/>
          <w:lang w:bidi="ar"/>
        </w:rPr>
        <w:t>；</w:t>
      </w:r>
      <w:r>
        <w:rPr>
          <w:kern w:val="0"/>
          <w:sz w:val="24"/>
          <w:szCs w:val="24"/>
          <w:lang w:bidi="ar"/>
        </w:rPr>
        <w:t>当冷却液蒸汽比空气轻时，应采用上排风，排风口或吸风格栅应位于通风区的上部</w:t>
      </w:r>
      <w:r>
        <w:rPr>
          <w:rFonts w:hint="eastAsia"/>
          <w:kern w:val="0"/>
          <w:sz w:val="24"/>
          <w:szCs w:val="24"/>
          <w:lang w:bidi="ar"/>
        </w:rPr>
        <w:t>。</w:t>
      </w:r>
      <w:r>
        <w:rPr>
          <w:kern w:val="0"/>
          <w:sz w:val="24"/>
          <w:szCs w:val="24"/>
          <w:lang w:bidi="ar"/>
        </w:rPr>
        <w:t>计算强制通风量时，换气次数宜为每小时2到3次。</w:t>
      </w:r>
    </w:p>
    <w:p>
      <w:pPr>
        <w:widowControl/>
        <w:spacing w:line="360" w:lineRule="auto"/>
        <w:ind w:firstLine="480" w:firstLineChars="200"/>
        <w:rPr>
          <w:sz w:val="24"/>
          <w:szCs w:val="24"/>
        </w:rPr>
      </w:pPr>
      <w:r>
        <w:rPr>
          <w:sz w:val="24"/>
          <w:szCs w:val="24"/>
        </w:rPr>
        <w:t>条文说明：强制通风可设计为定期通风，例如每6小时通风30分钟，或设计为自动化通风系统，当冷却液蒸汽浓度传感器监测到的数值达到阈值时由监控系统自动启动</w:t>
      </w:r>
      <w:r>
        <w:rPr>
          <w:rFonts w:hint="eastAsia"/>
          <w:sz w:val="24"/>
          <w:szCs w:val="24"/>
        </w:rPr>
        <w:t>强制</w:t>
      </w:r>
      <w:r>
        <w:rPr>
          <w:sz w:val="24"/>
          <w:szCs w:val="24"/>
        </w:rPr>
        <w:t>通风</w:t>
      </w:r>
      <w:r>
        <w:rPr>
          <w:rFonts w:hint="eastAsia"/>
          <w:sz w:val="24"/>
          <w:szCs w:val="24"/>
        </w:rPr>
        <w:t>系统；如果发生冷</w:t>
      </w:r>
      <w:r>
        <w:rPr>
          <w:sz w:val="24"/>
          <w:szCs w:val="24"/>
        </w:rPr>
        <w:t>却液漏</w:t>
      </w:r>
      <w:r>
        <w:rPr>
          <w:rFonts w:hint="eastAsia"/>
          <w:sz w:val="24"/>
          <w:szCs w:val="24"/>
        </w:rPr>
        <w:t>液</w:t>
      </w:r>
      <w:r>
        <w:rPr>
          <w:sz w:val="24"/>
          <w:szCs w:val="24"/>
        </w:rPr>
        <w:t>，</w:t>
      </w:r>
      <w:r>
        <w:rPr>
          <w:rFonts w:hint="eastAsia"/>
          <w:sz w:val="24"/>
          <w:szCs w:val="24"/>
        </w:rPr>
        <w:t>则可手动开启强制通风系统或由监控系统自动启动强制通风系统</w:t>
      </w:r>
      <w:r>
        <w:rPr>
          <w:sz w:val="24"/>
          <w:szCs w:val="24"/>
        </w:rPr>
        <w:t>。</w:t>
      </w:r>
    </w:p>
    <w:p>
      <w:pPr>
        <w:widowControl/>
        <w:spacing w:line="360" w:lineRule="auto"/>
        <w:ind w:firstLine="480" w:firstLineChars="200"/>
        <w:rPr>
          <w:kern w:val="0"/>
          <w:sz w:val="24"/>
          <w:szCs w:val="24"/>
          <w:lang w:bidi="ar"/>
        </w:rPr>
      </w:pPr>
      <w:r>
        <w:rPr>
          <w:kern w:val="0"/>
          <w:sz w:val="24"/>
          <w:szCs w:val="24"/>
          <w:lang w:bidi="ar"/>
        </w:rPr>
        <w:t>4.8.6 冷却液储存区的环境相对湿度宜为30%～70%，温度宜高于冷却液的倾点15℃</w:t>
      </w:r>
      <w:r>
        <w:rPr>
          <w:rFonts w:hint="eastAsia"/>
          <w:kern w:val="0"/>
          <w:sz w:val="24"/>
          <w:szCs w:val="24"/>
          <w:lang w:bidi="ar"/>
        </w:rPr>
        <w:t>以上</w:t>
      </w:r>
      <w:r>
        <w:rPr>
          <w:kern w:val="0"/>
          <w:sz w:val="24"/>
          <w:szCs w:val="24"/>
          <w:lang w:bidi="ar"/>
        </w:rPr>
        <w:t>；冷却液的储存区不应放置酸、碱类物质。</w:t>
      </w:r>
    </w:p>
    <w:p>
      <w:pPr>
        <w:widowControl/>
        <w:spacing w:line="360" w:lineRule="auto"/>
        <w:ind w:firstLine="480" w:firstLineChars="200"/>
        <w:rPr>
          <w:kern w:val="0"/>
          <w:sz w:val="24"/>
          <w:szCs w:val="24"/>
          <w:lang w:bidi="ar"/>
        </w:rPr>
      </w:pPr>
      <w:r>
        <w:rPr>
          <w:kern w:val="0"/>
          <w:sz w:val="24"/>
          <w:szCs w:val="24"/>
          <w:lang w:bidi="ar"/>
        </w:rPr>
        <w:t>4.8.7 当数据中心的液冷系统采用的冷却液可挥发时，宜定期检测空气质量，检测项宜包含冷却液</w:t>
      </w:r>
      <w:r>
        <w:rPr>
          <w:rFonts w:hint="eastAsia"/>
          <w:kern w:val="0"/>
          <w:sz w:val="24"/>
          <w:szCs w:val="24"/>
          <w:lang w:bidi="ar"/>
        </w:rPr>
        <w:t>蒸汽</w:t>
      </w:r>
      <w:r>
        <w:rPr>
          <w:kern w:val="0"/>
          <w:sz w:val="24"/>
          <w:szCs w:val="24"/>
          <w:lang w:bidi="ar"/>
        </w:rPr>
        <w:t>浓度及其可能的分解产物的浓度。</w:t>
      </w:r>
    </w:p>
    <w:p>
      <w:pPr>
        <w:spacing w:before="312" w:beforeLines="100" w:line="360" w:lineRule="auto"/>
        <w:ind w:firstLine="561" w:firstLineChars="200"/>
        <w:jc w:val="center"/>
        <w:outlineLvl w:val="1"/>
        <w:rPr>
          <w:b/>
          <w:sz w:val="28"/>
          <w:szCs w:val="24"/>
        </w:rPr>
      </w:pPr>
      <w:bookmarkStart w:id="25" w:name="_Toc1079259491"/>
      <w:r>
        <w:rPr>
          <w:b/>
          <w:sz w:val="28"/>
          <w:szCs w:val="24"/>
        </w:rPr>
        <w:t>4.9 给排水系统</w:t>
      </w:r>
      <w:bookmarkEnd w:id="25"/>
    </w:p>
    <w:p>
      <w:pPr>
        <w:widowControl/>
        <w:spacing w:line="360" w:lineRule="auto"/>
        <w:ind w:firstLine="480" w:firstLineChars="200"/>
        <w:rPr>
          <w:kern w:val="0"/>
          <w:sz w:val="24"/>
          <w:szCs w:val="24"/>
          <w:lang w:bidi="ar"/>
        </w:rPr>
      </w:pPr>
      <w:r>
        <w:rPr>
          <w:kern w:val="0"/>
          <w:sz w:val="24"/>
          <w:szCs w:val="24"/>
          <w:lang w:bidi="ar"/>
        </w:rPr>
        <w:t>4.9.1当数据中心采用液冷系统时，宜根据CDU及冷却水管路、冷却液管路的布置设置防水、排水、排液</w:t>
      </w:r>
      <w:r>
        <w:rPr>
          <w:rFonts w:hint="eastAsia"/>
          <w:kern w:val="0"/>
          <w:sz w:val="24"/>
          <w:szCs w:val="24"/>
          <w:lang w:bidi="ar"/>
        </w:rPr>
        <w:t>和</w:t>
      </w:r>
      <w:r>
        <w:rPr>
          <w:kern w:val="0"/>
          <w:sz w:val="24"/>
          <w:szCs w:val="24"/>
          <w:lang w:bidi="ar"/>
        </w:rPr>
        <w:t>冷却液收集措施。</w:t>
      </w:r>
    </w:p>
    <w:p>
      <w:pPr>
        <w:widowControl/>
        <w:spacing w:line="360" w:lineRule="auto"/>
        <w:ind w:firstLine="480" w:firstLineChars="200"/>
        <w:rPr>
          <w:sz w:val="24"/>
          <w:szCs w:val="24"/>
        </w:rPr>
      </w:pPr>
      <w:r>
        <w:rPr>
          <w:sz w:val="24"/>
          <w:szCs w:val="24"/>
        </w:rPr>
        <w:t>条文说明：地面坡度及排水口设计，需设置必要的引流措施；冷却液不允许直接排放，需设置专用的冷却液收集装置。</w:t>
      </w:r>
    </w:p>
    <w:p>
      <w:pPr>
        <w:widowControl/>
        <w:spacing w:line="360" w:lineRule="auto"/>
        <w:ind w:firstLine="480" w:firstLineChars="200"/>
        <w:rPr>
          <w:kern w:val="0"/>
          <w:sz w:val="24"/>
          <w:szCs w:val="24"/>
          <w:lang w:bidi="ar"/>
        </w:rPr>
      </w:pPr>
      <w:r>
        <w:rPr>
          <w:kern w:val="0"/>
          <w:sz w:val="24"/>
          <w:szCs w:val="24"/>
          <w:lang w:bidi="ar"/>
        </w:rPr>
        <w:t>4.9.2 当数据中心采用冷板式液冷系统时，配电列头柜的下方宜设置防水措施，以防止冷却水或冷却液喷溅至列头柜内。</w:t>
      </w:r>
    </w:p>
    <w:p>
      <w:pPr>
        <w:widowControl/>
        <w:spacing w:line="360" w:lineRule="auto"/>
        <w:ind w:firstLine="480" w:firstLineChars="200"/>
        <w:rPr>
          <w:kern w:val="0"/>
          <w:sz w:val="24"/>
          <w:szCs w:val="24"/>
          <w:lang w:bidi="ar"/>
        </w:rPr>
      </w:pPr>
      <w:r>
        <w:rPr>
          <w:kern w:val="0"/>
          <w:sz w:val="24"/>
          <w:szCs w:val="24"/>
          <w:lang w:bidi="ar"/>
        </w:rPr>
        <w:t>4.9.3 数据中心的电子信息设备区不应布置无关的给排水管道，相关的给排水管道不应布置在电子信息设备的上方</w:t>
      </w:r>
      <w:r>
        <w:rPr>
          <w:rFonts w:hint="eastAsia"/>
          <w:kern w:val="0"/>
          <w:sz w:val="24"/>
          <w:szCs w:val="24"/>
          <w:lang w:bidi="ar"/>
        </w:rPr>
        <w:t>，</w:t>
      </w:r>
      <w:r>
        <w:rPr>
          <w:kern w:val="0"/>
          <w:sz w:val="24"/>
          <w:szCs w:val="24"/>
          <w:lang w:bidi="ar"/>
        </w:rPr>
        <w:t>相关的给排水管道接入电子信息设备区之前应设置隔离阀。</w:t>
      </w:r>
    </w:p>
    <w:p>
      <w:pPr>
        <w:widowControl/>
        <w:spacing w:line="360" w:lineRule="auto"/>
        <w:rPr>
          <w:kern w:val="0"/>
          <w:sz w:val="24"/>
          <w:szCs w:val="24"/>
          <w:lang w:bidi="ar"/>
        </w:rPr>
      </w:pPr>
      <w:r>
        <w:rPr>
          <w:kern w:val="0"/>
          <w:sz w:val="24"/>
          <w:szCs w:val="24"/>
          <w:lang w:bidi="ar"/>
        </w:rPr>
        <w:t xml:space="preserve">    4.9.4当数据中心采用液冷系统时，冷却液不应直接排放至排水系统，应为冷却液设置专用的收集系统，收集系统的面层宜作防渗处理</w:t>
      </w:r>
      <w:r>
        <w:rPr>
          <w:rFonts w:hint="eastAsia"/>
          <w:kern w:val="0"/>
          <w:sz w:val="24"/>
          <w:szCs w:val="24"/>
          <w:lang w:bidi="ar"/>
        </w:rPr>
        <w:t>。</w:t>
      </w:r>
      <w:r>
        <w:rPr>
          <w:kern w:val="0"/>
          <w:sz w:val="24"/>
          <w:szCs w:val="24"/>
          <w:lang w:bidi="ar"/>
        </w:rPr>
        <w:t>不同种类的冷却液不应共用收集系统。</w:t>
      </w:r>
    </w:p>
    <w:p>
      <w:pPr>
        <w:widowControl/>
        <w:spacing w:line="360" w:lineRule="auto"/>
        <w:ind w:firstLine="480" w:firstLineChars="200"/>
        <w:rPr>
          <w:sz w:val="24"/>
          <w:szCs w:val="24"/>
        </w:rPr>
      </w:pPr>
      <w:r>
        <w:rPr>
          <w:sz w:val="24"/>
          <w:szCs w:val="24"/>
        </w:rPr>
        <w:t>条文说明：浸没式液冷系统用的冷却液通常为氟化液、合成油、硅油、矿物油等，冷板式液冷系统用冷却液通常为乙二醇溶液、丙二醇溶液、去离子水等，冷却液漏液或置换过程产生的废液可能含有机物、重金属、油脂、醇类等污染物，环保要求不可直接排放，设置专用的装置收集后交由专业公司处理。</w:t>
      </w:r>
    </w:p>
    <w:p>
      <w:pPr>
        <w:widowControl/>
        <w:spacing w:line="360" w:lineRule="auto"/>
        <w:rPr>
          <w:kern w:val="0"/>
          <w:sz w:val="24"/>
          <w:szCs w:val="24"/>
          <w:lang w:bidi="ar"/>
        </w:rPr>
      </w:pPr>
      <w:r>
        <w:rPr>
          <w:kern w:val="0"/>
          <w:sz w:val="24"/>
          <w:szCs w:val="24"/>
          <w:lang w:bidi="ar"/>
        </w:rPr>
        <w:t xml:space="preserve">    4.9.5 当数据中心采用液冷系统时，CDU冷源侧（一次侧）的水质除应符合《采暖空调系统水质标准》GB/T 29044标准中的要求，还应根据CDU内配置的换热器类型、材质、流道确定水质指标要求，并应根据水质要求设置相应的水处理系统。</w:t>
      </w:r>
    </w:p>
    <w:p>
      <w:pPr>
        <w:widowControl/>
        <w:spacing w:line="360" w:lineRule="auto"/>
        <w:ind w:firstLine="480" w:firstLineChars="200"/>
        <w:rPr>
          <w:sz w:val="24"/>
          <w:szCs w:val="24"/>
        </w:rPr>
      </w:pPr>
      <w:r>
        <w:rPr>
          <w:sz w:val="24"/>
          <w:szCs w:val="24"/>
        </w:rPr>
        <w:t>条文说明：CDU冷源侧（一次侧）的水质需要关注PH值、浊度、电导率、氯离子、铁含量、钙硬度(以CaCO3计)、总碱度、溶解氧、有机磷（以P计）。</w:t>
      </w:r>
    </w:p>
    <w:p>
      <w:pPr>
        <w:widowControl/>
        <w:spacing w:line="360" w:lineRule="auto"/>
        <w:ind w:firstLine="480" w:firstLineChars="200"/>
        <w:rPr>
          <w:kern w:val="0"/>
          <w:sz w:val="24"/>
          <w:szCs w:val="24"/>
          <w:lang w:bidi="ar"/>
        </w:rPr>
      </w:pPr>
      <w:r>
        <w:rPr>
          <w:kern w:val="0"/>
          <w:sz w:val="24"/>
          <w:szCs w:val="24"/>
          <w:lang w:bidi="ar"/>
        </w:rPr>
        <w:t>4.9.6 当数据中心采用</w:t>
      </w:r>
      <w:r>
        <w:rPr>
          <w:rFonts w:hint="eastAsia"/>
          <w:kern w:val="0"/>
          <w:sz w:val="24"/>
          <w:szCs w:val="24"/>
          <w:lang w:bidi="ar"/>
        </w:rPr>
        <w:t>冷</w:t>
      </w:r>
      <w:r>
        <w:rPr>
          <w:kern w:val="0"/>
          <w:sz w:val="24"/>
          <w:szCs w:val="24"/>
          <w:lang w:bidi="ar"/>
        </w:rPr>
        <w:t>板式液冷系统时，CDU冷源侧（一次侧）的金属应根据一次侧的</w:t>
      </w:r>
      <w:r>
        <w:rPr>
          <w:rFonts w:hint="eastAsia"/>
          <w:kern w:val="0"/>
          <w:sz w:val="24"/>
          <w:szCs w:val="24"/>
          <w:lang w:bidi="ar"/>
        </w:rPr>
        <w:t>冷却介质</w:t>
      </w:r>
      <w:r>
        <w:rPr>
          <w:kern w:val="0"/>
          <w:sz w:val="24"/>
          <w:szCs w:val="24"/>
          <w:lang w:bidi="ar"/>
        </w:rPr>
        <w:t>进行处理。</w:t>
      </w:r>
    </w:p>
    <w:p>
      <w:pPr>
        <w:widowControl/>
        <w:spacing w:line="360" w:lineRule="auto"/>
        <w:ind w:firstLine="480" w:firstLineChars="200"/>
        <w:rPr>
          <w:sz w:val="24"/>
          <w:szCs w:val="24"/>
        </w:rPr>
      </w:pPr>
      <w:r>
        <w:rPr>
          <w:sz w:val="24"/>
          <w:szCs w:val="24"/>
        </w:rPr>
        <w:t>条文说明：冷板系统的冷源侧（一次侧）回路中如果含有铝，需对金属进行表面处理（涂层或镀膜），避免铝成为其他金属电化学腐蚀反应的催化剂；冷板系统的冷源侧（一次侧）回路中如果含有碳钢，则需添加缓蚀剂并保持一定的缓蚀剂浓度。</w:t>
      </w:r>
    </w:p>
    <w:p>
      <w:pPr>
        <w:widowControl/>
        <w:spacing w:line="360" w:lineRule="auto"/>
        <w:ind w:firstLine="480" w:firstLineChars="200"/>
        <w:rPr>
          <w:sz w:val="24"/>
          <w:szCs w:val="24"/>
        </w:rPr>
      </w:pPr>
      <w:r>
        <w:rPr>
          <w:sz w:val="24"/>
          <w:szCs w:val="24"/>
        </w:rPr>
        <w:t>冷板系统的冷源侧（一次侧）回路中可采用液态螺纹密封胶和生料带做密封材料，但在使用时需经专业工程师确认，以确保密封效果。</w:t>
      </w:r>
    </w:p>
    <w:p>
      <w:pPr>
        <w:widowControl/>
        <w:spacing w:line="360" w:lineRule="auto"/>
        <w:ind w:firstLine="480" w:firstLineChars="200"/>
        <w:rPr>
          <w:kern w:val="0"/>
          <w:sz w:val="24"/>
          <w:szCs w:val="24"/>
          <w:lang w:bidi="ar"/>
        </w:rPr>
      </w:pPr>
      <w:r>
        <w:rPr>
          <w:kern w:val="0"/>
          <w:sz w:val="24"/>
          <w:szCs w:val="24"/>
          <w:lang w:bidi="ar"/>
        </w:rPr>
        <w:t>4.9.7 当数据中心采用冷板式液冷系统、CDU用冷侧（二次侧）采用了去离子水、乙二醇溶液或丙二醇溶液时，其水质应根据冷板换热器的材质、流道与CDU内配置的换热器类型、材质、流道确定指标要求，并应根据运行可用性要求添加缓蚀剂与杀菌剂。</w:t>
      </w:r>
    </w:p>
    <w:p>
      <w:pPr>
        <w:widowControl/>
        <w:spacing w:line="360" w:lineRule="auto"/>
        <w:ind w:firstLine="480" w:firstLineChars="200"/>
        <w:rPr>
          <w:kern w:val="0"/>
          <w:sz w:val="24"/>
          <w:szCs w:val="24"/>
          <w:lang w:bidi="ar"/>
        </w:rPr>
      </w:pPr>
      <w:r>
        <w:rPr>
          <w:sz w:val="24"/>
          <w:szCs w:val="24"/>
        </w:rPr>
        <w:t>条文说明：冷板系统用CDU用冷侧（二次侧）水质指标要求</w:t>
      </w:r>
      <w:r>
        <w:rPr>
          <w:rFonts w:hint="eastAsia"/>
          <w:sz w:val="24"/>
          <w:szCs w:val="24"/>
        </w:rPr>
        <w:t>详见第五章。</w:t>
      </w:r>
    </w:p>
    <w:p>
      <w:pPr>
        <w:spacing w:before="312" w:beforeLines="100" w:line="360" w:lineRule="auto"/>
        <w:ind w:firstLine="561" w:firstLineChars="200"/>
        <w:jc w:val="center"/>
        <w:outlineLvl w:val="1"/>
        <w:rPr>
          <w:b/>
          <w:sz w:val="28"/>
          <w:szCs w:val="24"/>
        </w:rPr>
      </w:pPr>
      <w:bookmarkStart w:id="26" w:name="_Toc1467382675"/>
      <w:r>
        <w:rPr>
          <w:b/>
          <w:sz w:val="28"/>
          <w:szCs w:val="24"/>
        </w:rPr>
        <w:t>4.10 电气系统</w:t>
      </w:r>
      <w:bookmarkEnd w:id="26"/>
    </w:p>
    <w:p>
      <w:pPr>
        <w:widowControl/>
        <w:spacing w:line="360" w:lineRule="auto"/>
        <w:ind w:firstLine="480" w:firstLineChars="200"/>
        <w:rPr>
          <w:kern w:val="0"/>
          <w:sz w:val="24"/>
          <w:szCs w:val="24"/>
          <w:lang w:bidi="ar"/>
        </w:rPr>
      </w:pPr>
      <w:r>
        <w:rPr>
          <w:kern w:val="0"/>
          <w:sz w:val="24"/>
          <w:szCs w:val="24"/>
          <w:lang w:bidi="ar"/>
        </w:rPr>
        <w:t>4.10.1 当数据中心采用液冷系统时，其用冷侧（二次侧）的循环泵、冷源侧（一次侧）的室外散热设备、循环泵应采用不间断电源供电，冷却系统的控制系统及其自动化仪表应采用不间断电源供电。</w:t>
      </w:r>
    </w:p>
    <w:p>
      <w:pPr>
        <w:widowControl/>
        <w:spacing w:line="360" w:lineRule="auto"/>
        <w:ind w:firstLine="480" w:firstLineChars="200"/>
        <w:rPr>
          <w:sz w:val="24"/>
          <w:szCs w:val="24"/>
        </w:rPr>
      </w:pPr>
      <w:r>
        <w:rPr>
          <w:sz w:val="24"/>
          <w:szCs w:val="24"/>
        </w:rPr>
        <w:t xml:space="preserve">条文说明：当不间断电源为交流电时，CDU可与液冷机柜共用不间断电源；当不间断电源为直流电时，CDU可与液冷机柜共用不间断电源，但需装设独立的逆变器。 </w:t>
      </w:r>
    </w:p>
    <w:p>
      <w:pPr>
        <w:widowControl/>
        <w:spacing w:line="360" w:lineRule="auto"/>
        <w:ind w:firstLine="480" w:firstLineChars="200"/>
        <w:rPr>
          <w:sz w:val="24"/>
          <w:szCs w:val="24"/>
        </w:rPr>
      </w:pPr>
      <w:r>
        <w:rPr>
          <w:kern w:val="0"/>
          <w:sz w:val="24"/>
          <w:szCs w:val="24"/>
          <w:lang w:bidi="ar"/>
        </w:rPr>
        <w:t>4.10.2 液冷系统中的冷却设备的配套电动机宜采用软启动器或变频器启动的方式；配套电动机的外壳防护等级应与环境相匹配。</w:t>
      </w:r>
    </w:p>
    <w:p>
      <w:pPr>
        <w:spacing w:before="312" w:beforeLines="100" w:line="360" w:lineRule="auto"/>
        <w:ind w:firstLine="561" w:firstLineChars="200"/>
        <w:jc w:val="center"/>
        <w:outlineLvl w:val="1"/>
        <w:rPr>
          <w:b/>
          <w:sz w:val="28"/>
          <w:szCs w:val="24"/>
        </w:rPr>
      </w:pPr>
      <w:bookmarkStart w:id="27" w:name="_Toc598416577"/>
      <w:r>
        <w:rPr>
          <w:b/>
          <w:sz w:val="28"/>
          <w:szCs w:val="24"/>
        </w:rPr>
        <w:t>4.11 消防系统</w:t>
      </w:r>
      <w:bookmarkEnd w:id="27"/>
    </w:p>
    <w:p>
      <w:pPr>
        <w:widowControl/>
        <w:spacing w:line="360" w:lineRule="auto"/>
        <w:ind w:firstLine="480" w:firstLineChars="200"/>
        <w:rPr>
          <w:sz w:val="24"/>
          <w:szCs w:val="24"/>
        </w:rPr>
      </w:pPr>
      <w:r>
        <w:rPr>
          <w:kern w:val="0"/>
          <w:sz w:val="24"/>
          <w:szCs w:val="24"/>
          <w:lang w:bidi="ar"/>
        </w:rPr>
        <w:t>4.11.1当数据中心采用液冷系统时，其消防系统设计与实施除应符合现行国家标准《建筑设计防火规范（2018年版）》 GB50016、《建筑防烟排烟系统技术标准》GB51251、《气体灭火系统设计规范》GB50370、《细水雾灭火系统技术规范》GB50898、《自动喷水灭火系统设计规范》GB50084和《数据中心设计规范》GB50174，还应符合数据中心建设所在地的地方消防规范。</w:t>
      </w:r>
    </w:p>
    <w:p>
      <w:pPr>
        <w:widowControl/>
        <w:spacing w:line="360" w:lineRule="auto"/>
        <w:rPr>
          <w:kern w:val="0"/>
          <w:sz w:val="24"/>
          <w:szCs w:val="24"/>
          <w:lang w:bidi="ar"/>
        </w:rPr>
      </w:pPr>
      <w:r>
        <w:rPr>
          <w:kern w:val="0"/>
          <w:sz w:val="24"/>
          <w:szCs w:val="24"/>
          <w:lang w:bidi="ar"/>
        </w:rPr>
        <w:t xml:space="preserve">    4.11.2当数据中心采用浸没式液冷系统且冷却液“可燃”时，电子信息设备区宜设置气体灭火系统或高压细水雾灭火系统；当数据中心采用浸没式液冷系统且冷却液“不燃”时，电子信息设备区宜设置预作用自动喷水灭火系统。</w:t>
      </w:r>
    </w:p>
    <w:p>
      <w:pPr>
        <w:widowControl/>
        <w:spacing w:line="360" w:lineRule="auto"/>
        <w:ind w:firstLine="480" w:firstLineChars="200"/>
        <w:rPr>
          <w:kern w:val="0"/>
          <w:sz w:val="24"/>
          <w:szCs w:val="24"/>
          <w:lang w:bidi="ar"/>
        </w:rPr>
      </w:pPr>
      <w:r>
        <w:rPr>
          <w:kern w:val="0"/>
          <w:sz w:val="24"/>
          <w:szCs w:val="24"/>
          <w:lang w:bidi="ar"/>
        </w:rPr>
        <w:t>4.11.3 当数据中心采用冷板式液冷系统时，其通道封闭材料</w:t>
      </w:r>
      <w:r>
        <w:rPr>
          <w:rFonts w:hint="eastAsia"/>
          <w:kern w:val="0"/>
          <w:sz w:val="24"/>
          <w:szCs w:val="24"/>
          <w:lang w:bidi="ar"/>
        </w:rPr>
        <w:t>的燃烧性能等级应不</w:t>
      </w:r>
      <w:r>
        <w:rPr>
          <w:kern w:val="0"/>
          <w:sz w:val="24"/>
          <w:szCs w:val="24"/>
          <w:lang w:bidi="ar"/>
        </w:rPr>
        <w:t xml:space="preserve">低于B1级。 </w:t>
      </w:r>
    </w:p>
    <w:p>
      <w:pPr>
        <w:widowControl/>
        <w:spacing w:line="360" w:lineRule="auto"/>
        <w:ind w:firstLine="480" w:firstLineChars="200"/>
        <w:rPr>
          <w:sz w:val="24"/>
          <w:szCs w:val="24"/>
        </w:rPr>
      </w:pPr>
      <w:r>
        <w:rPr>
          <w:kern w:val="0"/>
          <w:sz w:val="24"/>
          <w:szCs w:val="24"/>
          <w:lang w:bidi="ar"/>
        </w:rPr>
        <w:t>4.11.4 当数据中心采用液冷系统时，其管线穿防火分区处宜采用防火套管或其他防火措施。</w:t>
      </w:r>
    </w:p>
    <w:p>
      <w:pPr>
        <w:widowControl/>
        <w:spacing w:line="360" w:lineRule="auto"/>
        <w:rPr>
          <w:kern w:val="0"/>
          <w:sz w:val="24"/>
          <w:szCs w:val="24"/>
          <w:lang w:bidi="ar"/>
        </w:rPr>
      </w:pPr>
      <w:r>
        <w:rPr>
          <w:kern w:val="0"/>
          <w:sz w:val="24"/>
          <w:szCs w:val="24"/>
          <w:lang w:bidi="ar"/>
        </w:rPr>
        <w:t xml:space="preserve">    4.11.5 当数据中心采用液冷系统时，宜在电子信息设备区</w:t>
      </w:r>
      <w:r>
        <w:rPr>
          <w:rFonts w:hint="eastAsia"/>
          <w:kern w:val="0"/>
          <w:sz w:val="24"/>
          <w:szCs w:val="24"/>
          <w:lang w:bidi="ar"/>
        </w:rPr>
        <w:t>的</w:t>
      </w:r>
      <w:r>
        <w:rPr>
          <w:kern w:val="0"/>
          <w:sz w:val="24"/>
          <w:szCs w:val="24"/>
          <w:lang w:bidi="ar"/>
        </w:rPr>
        <w:t>邻近房间设置洗眼器。</w:t>
      </w:r>
    </w:p>
    <w:p>
      <w:pPr>
        <w:spacing w:before="312" w:beforeLines="100" w:line="360" w:lineRule="auto"/>
        <w:ind w:firstLine="561" w:firstLineChars="200"/>
        <w:jc w:val="center"/>
        <w:outlineLvl w:val="1"/>
        <w:rPr>
          <w:b/>
          <w:sz w:val="28"/>
          <w:szCs w:val="24"/>
        </w:rPr>
      </w:pPr>
      <w:bookmarkStart w:id="28" w:name="_Toc921490738"/>
      <w:r>
        <w:rPr>
          <w:b/>
          <w:sz w:val="28"/>
          <w:szCs w:val="24"/>
        </w:rPr>
        <w:t>4.12 布线工程</w:t>
      </w:r>
      <w:bookmarkEnd w:id="28"/>
    </w:p>
    <w:p>
      <w:pPr>
        <w:widowControl/>
        <w:spacing w:line="360" w:lineRule="auto"/>
        <w:ind w:firstLine="480" w:firstLineChars="200"/>
        <w:rPr>
          <w:kern w:val="0"/>
          <w:sz w:val="24"/>
          <w:szCs w:val="24"/>
          <w:lang w:bidi="ar"/>
        </w:rPr>
      </w:pPr>
      <w:r>
        <w:rPr>
          <w:kern w:val="0"/>
          <w:sz w:val="24"/>
          <w:szCs w:val="24"/>
          <w:lang w:bidi="ar"/>
        </w:rPr>
        <w:t>4.12.1当数据中心采用液冷系统时，其布线系统应符合《综合布线系统工程设计规范》GB 50311和《数据中心设计规范》GB 50174、《建筑机电工程抗震设计规范》GB50981和《建筑与市政工程抗震通用规范》GB55002的相关规定。</w:t>
      </w:r>
    </w:p>
    <w:p>
      <w:pPr>
        <w:topLinePunct/>
        <w:spacing w:line="360" w:lineRule="auto"/>
        <w:ind w:firstLine="480" w:firstLineChars="200"/>
        <w:jc w:val="left"/>
        <w:textAlignment w:val="center"/>
        <w:rPr>
          <w:kern w:val="0"/>
          <w:sz w:val="24"/>
          <w:szCs w:val="24"/>
          <w:lang w:bidi="ar"/>
        </w:rPr>
      </w:pPr>
      <w:r>
        <w:rPr>
          <w:kern w:val="0"/>
          <w:sz w:val="24"/>
          <w:szCs w:val="24"/>
          <w:lang w:bidi="ar"/>
        </w:rPr>
        <w:t>4.12.2当数据中心采用浸没式液冷系统时，线缆穿</w:t>
      </w:r>
      <w:r>
        <w:rPr>
          <w:rFonts w:hint="eastAsia"/>
          <w:kern w:val="0"/>
          <w:sz w:val="24"/>
          <w:szCs w:val="24"/>
          <w:lang w:bidi="ar"/>
        </w:rPr>
        <w:t>过</w:t>
      </w:r>
      <w:r>
        <w:rPr>
          <w:kern w:val="0"/>
          <w:sz w:val="24"/>
          <w:szCs w:val="24"/>
          <w:lang w:bidi="ar"/>
        </w:rPr>
        <w:t>液冷机柜处应设置密封措施以降低冷却液的挥发。</w:t>
      </w:r>
    </w:p>
    <w:p>
      <w:pPr>
        <w:pStyle w:val="26"/>
        <w:widowControl w:val="0"/>
        <w:spacing w:before="0" w:beforeAutospacing="0" w:after="0" w:afterAutospacing="0" w:line="360" w:lineRule="auto"/>
        <w:ind w:firstLine="480" w:firstLineChars="200"/>
        <w:rPr>
          <w:rFonts w:ascii="Times New Roman" w:hAnsi="Times New Roman" w:cs="Times New Roman"/>
          <w:lang w:bidi="ar"/>
        </w:rPr>
      </w:pPr>
      <w:r>
        <w:rPr>
          <w:rFonts w:ascii="Times New Roman" w:hAnsi="Times New Roman" w:cs="Times New Roman"/>
          <w:lang w:bidi="ar"/>
        </w:rPr>
        <w:t>4.12.3当数据中心采用浸没式液冷系统时，与冷却液接触的联接件、线缆外皮等应采用与冷却液兼容的材料。</w:t>
      </w:r>
    </w:p>
    <w:p>
      <w:pPr>
        <w:widowControl/>
        <w:spacing w:line="360" w:lineRule="auto"/>
        <w:ind w:firstLine="480" w:firstLineChars="200"/>
        <w:rPr>
          <w:sz w:val="24"/>
          <w:szCs w:val="24"/>
        </w:rPr>
      </w:pPr>
      <w:r>
        <w:rPr>
          <w:sz w:val="24"/>
          <w:szCs w:val="24"/>
        </w:rPr>
        <w:t>条文说明：布线系统中的联接器、桥架、线缆外皮材料中往往含有塑化剂，如果溶解在冷却液中，易导致线缆脆化、硬化、开裂，从而影响布线的可靠</w:t>
      </w:r>
      <w:r>
        <w:rPr>
          <w:rFonts w:hint="eastAsia"/>
          <w:sz w:val="24"/>
          <w:szCs w:val="24"/>
        </w:rPr>
        <w:t>。</w:t>
      </w:r>
    </w:p>
    <w:p>
      <w:pPr>
        <w:widowControl/>
        <w:spacing w:line="360" w:lineRule="auto"/>
        <w:ind w:firstLine="480" w:firstLineChars="200"/>
        <w:rPr>
          <w:sz w:val="24"/>
          <w:szCs w:val="24"/>
        </w:rPr>
      </w:pPr>
      <w:r>
        <w:rPr>
          <w:kern w:val="0"/>
          <w:sz w:val="24"/>
          <w:szCs w:val="24"/>
          <w:lang w:bidi="ar"/>
        </w:rPr>
        <w:t>4.12.4当数据中心采用浸没式液冷系统且有铜缆浸没在冷却液中时，应提前测试铜缆系统的特性阻抗。</w:t>
      </w:r>
    </w:p>
    <w:p>
      <w:pPr>
        <w:widowControl/>
        <w:spacing w:line="360" w:lineRule="auto"/>
        <w:ind w:firstLine="480" w:firstLineChars="200"/>
        <w:rPr>
          <w:sz w:val="24"/>
          <w:szCs w:val="24"/>
        </w:rPr>
      </w:pPr>
      <w:r>
        <w:rPr>
          <w:sz w:val="24"/>
          <w:szCs w:val="24"/>
        </w:rPr>
        <w:t>条文说明：冷却液的</w:t>
      </w:r>
      <w:r>
        <w:rPr>
          <w:rFonts w:hint="eastAsia"/>
          <w:sz w:val="24"/>
          <w:szCs w:val="24"/>
        </w:rPr>
        <w:t>电</w:t>
      </w:r>
      <w:r>
        <w:rPr>
          <w:sz w:val="24"/>
          <w:szCs w:val="24"/>
        </w:rPr>
        <w:t>学特性影响铜缆布线系统的特性阻抗，可</w:t>
      </w:r>
      <w:r>
        <w:rPr>
          <w:rFonts w:hint="eastAsia"/>
          <w:sz w:val="24"/>
          <w:szCs w:val="24"/>
        </w:rPr>
        <w:t>符合</w:t>
      </w:r>
      <w:r>
        <w:rPr>
          <w:sz w:val="24"/>
          <w:szCs w:val="24"/>
        </w:rPr>
        <w:t>《综合布线系统工程设计规范》GB 50311中的相关条文。</w:t>
      </w:r>
    </w:p>
    <w:p>
      <w:pPr>
        <w:spacing w:before="312" w:beforeLines="100" w:line="360" w:lineRule="auto"/>
        <w:ind w:firstLine="561" w:firstLineChars="200"/>
        <w:jc w:val="center"/>
        <w:outlineLvl w:val="1"/>
        <w:rPr>
          <w:b/>
          <w:sz w:val="28"/>
          <w:szCs w:val="24"/>
        </w:rPr>
      </w:pPr>
      <w:bookmarkStart w:id="29" w:name="_Toc1990255049"/>
      <w:r>
        <w:rPr>
          <w:b/>
          <w:sz w:val="28"/>
          <w:szCs w:val="24"/>
        </w:rPr>
        <w:t>4.13 智能化系统</w:t>
      </w:r>
      <w:bookmarkEnd w:id="29"/>
    </w:p>
    <w:p>
      <w:pPr>
        <w:widowControl/>
        <w:spacing w:line="360" w:lineRule="auto"/>
        <w:rPr>
          <w:kern w:val="0"/>
          <w:sz w:val="24"/>
          <w:szCs w:val="24"/>
          <w:lang w:bidi="ar"/>
        </w:rPr>
      </w:pPr>
      <w:r>
        <w:rPr>
          <w:rFonts w:eastAsia="微软雅黑"/>
          <w:kern w:val="0"/>
          <w:sz w:val="24"/>
          <w:szCs w:val="24"/>
          <w:lang w:bidi="ar"/>
        </w:rPr>
        <w:t xml:space="preserve"> </w:t>
      </w:r>
      <w:r>
        <w:rPr>
          <w:kern w:val="0"/>
          <w:sz w:val="24"/>
          <w:szCs w:val="24"/>
          <w:lang w:bidi="ar"/>
        </w:rPr>
        <w:t xml:space="preserve">  4.13.1 当数据中心采用液冷系统时，应根据可靠性要求配置液冷系统的监控系统，监控系统的可靠性等级应与液冷系统的可靠性等级保持一致。</w:t>
      </w:r>
    </w:p>
    <w:p>
      <w:pPr>
        <w:widowControl/>
        <w:spacing w:line="360" w:lineRule="auto"/>
        <w:ind w:firstLine="480" w:firstLineChars="200"/>
        <w:rPr>
          <w:sz w:val="24"/>
          <w:szCs w:val="24"/>
        </w:rPr>
      </w:pPr>
      <w:r>
        <w:rPr>
          <w:sz w:val="24"/>
          <w:szCs w:val="24"/>
        </w:rPr>
        <w:t>条文说明：当液冷系统可靠性等级为B级或C级时，其监控系统的故障或维护允许中断液冷系统的正常运行；当液冷系统可靠性等级为A级时，其监控系统的故障或维护不允许中断液冷系统的正常运行。</w:t>
      </w:r>
    </w:p>
    <w:p>
      <w:pPr>
        <w:widowControl/>
        <w:spacing w:line="360" w:lineRule="auto"/>
        <w:ind w:firstLine="480" w:firstLineChars="200"/>
        <w:rPr>
          <w:sz w:val="24"/>
          <w:szCs w:val="24"/>
        </w:rPr>
      </w:pPr>
      <w:r>
        <w:rPr>
          <w:sz w:val="24"/>
          <w:szCs w:val="24"/>
        </w:rPr>
        <w:t>C级监控系统做法示例如下图（图4.13.1-1）：</w:t>
      </w:r>
    </w:p>
    <w:p>
      <w:pPr>
        <w:widowControl/>
        <w:spacing w:line="360" w:lineRule="auto"/>
        <w:ind w:firstLine="480" w:firstLineChars="200"/>
        <w:jc w:val="left"/>
        <w:rPr>
          <w:kern w:val="0"/>
          <w:sz w:val="24"/>
          <w:szCs w:val="24"/>
          <w:lang w:bidi="ar"/>
        </w:rPr>
      </w:pPr>
      <w:r>
        <w:rPr>
          <w:kern w:val="0"/>
          <w:sz w:val="24"/>
          <w:szCs w:val="24"/>
          <w:lang w:bidi="ar"/>
        </w:rPr>
        <w:drawing>
          <wp:inline distT="0" distB="0" distL="114300" distR="114300">
            <wp:extent cx="4420870" cy="340106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4424047" cy="3403734"/>
                    </a:xfrm>
                    <a:prstGeom prst="rect">
                      <a:avLst/>
                    </a:prstGeom>
                  </pic:spPr>
                </pic:pic>
              </a:graphicData>
            </a:graphic>
          </wp:inline>
        </w:drawing>
      </w:r>
    </w:p>
    <w:p>
      <w:pPr>
        <w:widowControl/>
        <w:spacing w:line="360" w:lineRule="auto"/>
        <w:ind w:firstLine="420" w:firstLineChars="200"/>
        <w:jc w:val="center"/>
        <w:rPr>
          <w:b/>
          <w:szCs w:val="24"/>
        </w:rPr>
      </w:pPr>
      <w:r>
        <w:rPr>
          <w:b/>
          <w:szCs w:val="24"/>
        </w:rPr>
        <w:t>图4.13.1-1  C级监控系统图示</w:t>
      </w:r>
    </w:p>
    <w:p>
      <w:pPr>
        <w:widowControl/>
        <w:spacing w:line="360" w:lineRule="auto"/>
        <w:ind w:firstLine="480" w:firstLineChars="200"/>
        <w:rPr>
          <w:sz w:val="24"/>
          <w:szCs w:val="24"/>
        </w:rPr>
      </w:pPr>
      <w:r>
        <w:rPr>
          <w:sz w:val="24"/>
          <w:szCs w:val="24"/>
        </w:rPr>
        <w:t>B级监控系统做法示例如下图（图4.13.1-2）：</w:t>
      </w:r>
    </w:p>
    <w:p>
      <w:pPr>
        <w:widowControl/>
        <w:spacing w:line="360" w:lineRule="auto"/>
        <w:ind w:firstLine="480" w:firstLineChars="200"/>
        <w:jc w:val="left"/>
        <w:rPr>
          <w:kern w:val="0"/>
          <w:sz w:val="24"/>
          <w:szCs w:val="24"/>
          <w:lang w:bidi="ar"/>
        </w:rPr>
      </w:pPr>
      <w:r>
        <w:rPr>
          <w:kern w:val="0"/>
          <w:sz w:val="24"/>
          <w:szCs w:val="24"/>
          <w:lang w:bidi="ar"/>
        </w:rPr>
        <w:drawing>
          <wp:inline distT="0" distB="0" distL="114300" distR="114300">
            <wp:extent cx="4911090" cy="2932430"/>
            <wp:effectExtent l="0" t="0" r="381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4911841" cy="2932672"/>
                    </a:xfrm>
                    <a:prstGeom prst="rect">
                      <a:avLst/>
                    </a:prstGeom>
                  </pic:spPr>
                </pic:pic>
              </a:graphicData>
            </a:graphic>
          </wp:inline>
        </w:drawing>
      </w:r>
    </w:p>
    <w:p>
      <w:pPr>
        <w:widowControl/>
        <w:spacing w:line="360" w:lineRule="auto"/>
        <w:ind w:firstLine="420" w:firstLineChars="200"/>
        <w:jc w:val="center"/>
        <w:rPr>
          <w:b/>
          <w:szCs w:val="24"/>
        </w:rPr>
      </w:pPr>
      <w:r>
        <w:rPr>
          <w:b/>
          <w:szCs w:val="24"/>
        </w:rPr>
        <w:t>图4.13.1-2  B级监控系统图示</w:t>
      </w:r>
    </w:p>
    <w:p>
      <w:pPr>
        <w:widowControl/>
        <w:spacing w:line="360" w:lineRule="auto"/>
        <w:ind w:firstLine="480" w:firstLineChars="200"/>
        <w:rPr>
          <w:sz w:val="24"/>
          <w:szCs w:val="24"/>
        </w:rPr>
      </w:pPr>
      <w:r>
        <w:rPr>
          <w:sz w:val="24"/>
          <w:szCs w:val="24"/>
        </w:rPr>
        <w:t>A级监控系统做法示例如下图（图4.13.1-3）：</w:t>
      </w:r>
    </w:p>
    <w:p>
      <w:pPr>
        <w:widowControl/>
        <w:spacing w:line="360" w:lineRule="auto"/>
        <w:ind w:firstLine="480" w:firstLineChars="200"/>
        <w:jc w:val="left"/>
        <w:rPr>
          <w:kern w:val="0"/>
          <w:sz w:val="24"/>
          <w:szCs w:val="24"/>
          <w:lang w:bidi="ar"/>
        </w:rPr>
      </w:pPr>
      <w:r>
        <w:rPr>
          <w:kern w:val="0"/>
          <w:sz w:val="24"/>
          <w:szCs w:val="24"/>
          <w:lang w:bidi="ar"/>
        </w:rPr>
        <w:drawing>
          <wp:inline distT="0" distB="0" distL="114300" distR="114300">
            <wp:extent cx="4932045" cy="3060700"/>
            <wp:effectExtent l="0" t="0" r="190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4934693" cy="3062236"/>
                    </a:xfrm>
                    <a:prstGeom prst="rect">
                      <a:avLst/>
                    </a:prstGeom>
                  </pic:spPr>
                </pic:pic>
              </a:graphicData>
            </a:graphic>
          </wp:inline>
        </w:drawing>
      </w:r>
    </w:p>
    <w:p>
      <w:pPr>
        <w:widowControl/>
        <w:spacing w:line="360" w:lineRule="auto"/>
        <w:ind w:firstLine="420" w:firstLineChars="200"/>
        <w:jc w:val="center"/>
        <w:rPr>
          <w:b/>
          <w:szCs w:val="24"/>
        </w:rPr>
      </w:pPr>
      <w:r>
        <w:rPr>
          <w:b/>
          <w:szCs w:val="24"/>
        </w:rPr>
        <w:t>图4.13.1-3  A级监控系统图示</w:t>
      </w:r>
    </w:p>
    <w:p>
      <w:pPr>
        <w:widowControl/>
        <w:spacing w:line="360" w:lineRule="auto"/>
        <w:rPr>
          <w:kern w:val="0"/>
          <w:sz w:val="24"/>
          <w:szCs w:val="24"/>
          <w:lang w:bidi="ar"/>
        </w:rPr>
      </w:pPr>
      <w:bookmarkStart w:id="30" w:name="_Toc29046295"/>
      <w:r>
        <w:rPr>
          <w:kern w:val="0"/>
          <w:sz w:val="24"/>
          <w:szCs w:val="24"/>
          <w:lang w:bidi="ar"/>
        </w:rPr>
        <w:t xml:space="preserve">    4.13.2 当液冷系统的可靠性等级为A级时，其监控系统相关的软件程序宜内置于控制器，程序执行不宜依赖上位计算机（如客户端和服务器）</w:t>
      </w:r>
      <w:bookmarkEnd w:id="30"/>
      <w:bookmarkStart w:id="31" w:name="_Toc29046296"/>
      <w:r>
        <w:rPr>
          <w:kern w:val="0"/>
          <w:sz w:val="24"/>
          <w:szCs w:val="24"/>
          <w:lang w:bidi="ar"/>
        </w:rPr>
        <w:t>。</w:t>
      </w:r>
      <w:bookmarkEnd w:id="31"/>
    </w:p>
    <w:p>
      <w:pPr>
        <w:widowControl/>
        <w:spacing w:line="360" w:lineRule="auto"/>
        <w:ind w:firstLine="480" w:firstLineChars="200"/>
        <w:rPr>
          <w:kern w:val="0"/>
          <w:sz w:val="24"/>
          <w:szCs w:val="24"/>
          <w:lang w:bidi="ar"/>
        </w:rPr>
      </w:pPr>
      <w:bookmarkStart w:id="32" w:name="_Toc29138216"/>
      <w:bookmarkStart w:id="33" w:name="_Toc26566553"/>
      <w:bookmarkStart w:id="34" w:name="_Toc29046297"/>
      <w:r>
        <w:rPr>
          <w:kern w:val="0"/>
          <w:sz w:val="24"/>
          <w:szCs w:val="24"/>
          <w:lang w:bidi="ar"/>
        </w:rPr>
        <w:t>4.13.</w:t>
      </w:r>
      <w:bookmarkEnd w:id="32"/>
      <w:bookmarkEnd w:id="33"/>
      <w:bookmarkStart w:id="35" w:name="_Toc29046290"/>
      <w:r>
        <w:rPr>
          <w:kern w:val="0"/>
          <w:sz w:val="24"/>
          <w:szCs w:val="24"/>
          <w:lang w:bidi="ar"/>
        </w:rPr>
        <w:t>3 液冷系统的监控系统宜采用 DDC（Direct Digital Controller）或PLC（Programmable Logic Controller）型控制器</w:t>
      </w:r>
      <w:bookmarkEnd w:id="35"/>
      <w:bookmarkStart w:id="36" w:name="_Toc29046293"/>
      <w:r>
        <w:rPr>
          <w:kern w:val="0"/>
          <w:sz w:val="24"/>
          <w:szCs w:val="24"/>
          <w:lang w:bidi="ar"/>
        </w:rPr>
        <w:t>，控制器宜为网络型，每个控制器可接入的点位数量宜预留10%～20%的扩充裕量。</w:t>
      </w:r>
      <w:bookmarkEnd w:id="36"/>
    </w:p>
    <w:p>
      <w:pPr>
        <w:widowControl/>
        <w:spacing w:line="360" w:lineRule="auto"/>
        <w:rPr>
          <w:kern w:val="0"/>
          <w:sz w:val="24"/>
          <w:szCs w:val="24"/>
          <w:lang w:bidi="ar"/>
        </w:rPr>
      </w:pPr>
      <w:r>
        <w:rPr>
          <w:kern w:val="0"/>
          <w:sz w:val="24"/>
          <w:szCs w:val="24"/>
          <w:lang w:bidi="ar"/>
        </w:rPr>
        <w:t xml:space="preserve">    4.13.4 当液冷系统的可靠性等级为A级时，其监控系统宜采用以太网作为核心通讯主干。</w:t>
      </w:r>
      <w:bookmarkEnd w:id="34"/>
    </w:p>
    <w:p>
      <w:pPr>
        <w:widowControl/>
        <w:spacing w:line="360" w:lineRule="auto"/>
        <w:ind w:firstLine="480" w:firstLineChars="200"/>
        <w:rPr>
          <w:sz w:val="24"/>
          <w:szCs w:val="24"/>
        </w:rPr>
      </w:pPr>
      <w:r>
        <w:rPr>
          <w:sz w:val="24"/>
          <w:szCs w:val="24"/>
        </w:rPr>
        <w:t>条文说明：每个DDC/PLC控制器作为网络的一个 IP 节点，直接汇报给服务器，进行广播和数据传输，需要采用以太网作为通讯主干，不宜采用MS/TP（主从令牌传递）网络作为通信主干。基于以太网的通信系统，某事件发生时即进行记录，独立于系统的轮询延迟，用于预测性控制的数据实时存放于控制器中，然后发送至服务器进行存储备案</w:t>
      </w:r>
      <w:r>
        <w:rPr>
          <w:rFonts w:hint="eastAsia"/>
          <w:sz w:val="24"/>
          <w:szCs w:val="24"/>
        </w:rPr>
        <w:t>。</w:t>
      </w:r>
      <w:r>
        <w:rPr>
          <w:sz w:val="24"/>
          <w:szCs w:val="24"/>
        </w:rPr>
        <w:t>如果发生报警，则警报注明发生时间并即时传送至服务器进行告警，可在一秒内完成告警；而MS/TP 网络由于轮询协议延迟，传递关键数据需花费长达数分钟的时间。各独立的控制器直接接入以太网，系统网络采用“以太网”点对点通信，各控制器需自带CPU及内存用于运行操作系统和应用程序，并需自带Flash存储器及数据库用于存储应用程序、逻辑和所有相关数据，控制器之间在网络上全面交换系统数据。</w:t>
      </w:r>
    </w:p>
    <w:p>
      <w:pPr>
        <w:widowControl/>
        <w:spacing w:line="360" w:lineRule="auto"/>
        <w:rPr>
          <w:kern w:val="0"/>
          <w:sz w:val="24"/>
          <w:szCs w:val="24"/>
          <w:lang w:bidi="ar"/>
        </w:rPr>
      </w:pPr>
      <w:bookmarkStart w:id="37" w:name="_Toc29046294"/>
      <w:r>
        <w:rPr>
          <w:kern w:val="0"/>
          <w:sz w:val="24"/>
          <w:szCs w:val="24"/>
          <w:lang w:bidi="ar"/>
        </w:rPr>
        <w:t xml:space="preserve">    4.13.5 液冷系统的监控系统用控制器的时钟应与通信系统的时钟保持同步。</w:t>
      </w:r>
      <w:bookmarkEnd w:id="37"/>
    </w:p>
    <w:p>
      <w:pPr>
        <w:spacing w:line="360" w:lineRule="auto"/>
        <w:ind w:firstLine="480" w:firstLineChars="200"/>
        <w:rPr>
          <w:sz w:val="24"/>
          <w:szCs w:val="24"/>
        </w:rPr>
      </w:pPr>
      <w:r>
        <w:rPr>
          <w:sz w:val="24"/>
          <w:szCs w:val="24"/>
        </w:rPr>
        <w:t>条文说明：控制器时钟与通信系统时钟不一致易导致监控系统的混乱，如告警时间与告警事件难以回溯追踪等，因此监控系统调试时须确保所有控制器的时钟与通信系统时钟保持同步。</w:t>
      </w:r>
    </w:p>
    <w:p>
      <w:pPr>
        <w:widowControl/>
        <w:spacing w:line="360" w:lineRule="auto"/>
        <w:rPr>
          <w:kern w:val="0"/>
          <w:sz w:val="24"/>
          <w:szCs w:val="24"/>
          <w:lang w:bidi="ar"/>
        </w:rPr>
      </w:pPr>
      <w:r>
        <w:rPr>
          <w:kern w:val="0"/>
          <w:sz w:val="24"/>
          <w:szCs w:val="24"/>
          <w:lang w:bidi="ar"/>
        </w:rPr>
        <w:t xml:space="preserve">    4.13.6 冷板式液冷系统的用冷侧（二次侧）宜监测冷却液供液温度、回液温度、供液压力、冷却液循环泵转速、冷却液供液流量等，冷却液循环泵转速宜根据供、回液压差进行调速控制；当冷源侧（一次侧）采用冷却水时，宜监测冷却水供水温度、回水温度、冷却水供回水压差、冷却水供水流量、冷却水循转泵转速、室外散热设备的风扇转速等，冷却水循环泵转速宜根据一次侧供回水压差进行调速控制，冷却水质宜监测PH值、电导率、过滤器前后压差；当冷源侧（一次侧）采用氟化液时，宜监测氟化液供液温度、供液压力、氟化液回液温度、回液压力、压缩机或氟化液循环泵的转速等，压缩机转速宜根据供、回液压差进行调速控制。</w:t>
      </w:r>
    </w:p>
    <w:p>
      <w:pPr>
        <w:widowControl/>
        <w:spacing w:line="360" w:lineRule="auto"/>
        <w:ind w:firstLine="480" w:firstLineChars="200"/>
        <w:rPr>
          <w:kern w:val="0"/>
          <w:sz w:val="24"/>
          <w:szCs w:val="24"/>
          <w:lang w:bidi="ar"/>
        </w:rPr>
      </w:pPr>
      <w:r>
        <w:rPr>
          <w:kern w:val="0"/>
          <w:sz w:val="24"/>
          <w:szCs w:val="24"/>
          <w:lang w:bidi="ar"/>
        </w:rPr>
        <w:t>4.13.7 单相浸没式液冷系统的用冷侧（二次侧）宜监测液冷机柜的高区冷却液温度、低区冷却液温度、液位，CDU宜监测冷却液供液温度、回液温度、供液压力、冷却液循环泵转速等，CDU内冷却液循环泵的转速宜根据供、回液温差进行调速控制；当冷源侧（一次侧）采用冷却水时，宜监测冷却水供水温度、回水温度、冷却水供回水压差、冷却水供水流量、冷却水循转泵转速、室外散热设备的风扇转速等，冷却水循环泵转速宜根据一次侧供回水压差进行调速控制，冷却水质宜监测PH值、电导率、过滤器前后压差；当冷源侧（一次侧）采用氟化液时，宜监测氟化液供液温度、供液压力、氟化液回液温度、回液压力、压缩机或氟化液循环泵的转速等，压缩机转速宜根据供、回液压差进行调速控制。</w:t>
      </w:r>
    </w:p>
    <w:p>
      <w:pPr>
        <w:widowControl/>
        <w:spacing w:line="360" w:lineRule="auto"/>
        <w:ind w:firstLine="480" w:firstLineChars="200"/>
        <w:rPr>
          <w:kern w:val="0"/>
          <w:sz w:val="24"/>
          <w:szCs w:val="24"/>
          <w:lang w:bidi="ar"/>
        </w:rPr>
      </w:pPr>
      <w:r>
        <w:rPr>
          <w:kern w:val="0"/>
          <w:sz w:val="24"/>
          <w:szCs w:val="24"/>
          <w:lang w:bidi="ar"/>
        </w:rPr>
        <w:t>4.13.8 两相浸没式液冷系统的用冷侧（二次侧）宜监测液冷机柜的蒸汽压、冷却液温度、液位，CDU宜监测储液罐液位、冷却液供液压力、冷却液供液流量、系统压力、供液温度、压缩机转速等；当冷源侧（一次侧）采用冷却水时，宜监测冷却水供水温度、回水温度、冷却水供回水压差、冷却水供水流量、冷却水循转泵转速、室外散热设备的风扇转速等，冷却水循环泵转速宜根据一次侧供回水压差进行调速控制，冷却水质宜监测PH值、电导率、过滤器前后压差。</w:t>
      </w:r>
    </w:p>
    <w:p>
      <w:pPr>
        <w:widowControl/>
        <w:spacing w:line="360" w:lineRule="auto"/>
        <w:ind w:firstLine="480" w:firstLineChars="200"/>
        <w:rPr>
          <w:kern w:val="0"/>
          <w:sz w:val="24"/>
          <w:szCs w:val="24"/>
          <w:lang w:bidi="ar"/>
        </w:rPr>
      </w:pPr>
      <w:bookmarkStart w:id="38" w:name="_Toc29046305"/>
      <w:r>
        <w:rPr>
          <w:kern w:val="0"/>
          <w:sz w:val="24"/>
          <w:szCs w:val="24"/>
          <w:lang w:bidi="ar"/>
        </w:rPr>
        <w:t>4.13.9 当数据中心采用浸没式液冷系统时，宜监测冷却液储藏室与液冷机柜区的冷却液蒸汽浓度或氧气浓度，当冷却液蒸汽浓度超标或氧气浓度不达标时，宜联动强制通风系统以确保空气质量符合国家标准《室内空气质量标准》GB/T188 83-2002 中的相关规定。</w:t>
      </w:r>
    </w:p>
    <w:p>
      <w:pPr>
        <w:spacing w:line="360" w:lineRule="auto"/>
        <w:ind w:firstLine="480" w:firstLineChars="200"/>
        <w:rPr>
          <w:sz w:val="24"/>
          <w:szCs w:val="24"/>
        </w:rPr>
      </w:pPr>
      <w:r>
        <w:rPr>
          <w:sz w:val="24"/>
          <w:szCs w:val="24"/>
        </w:rPr>
        <w:t>条文说明：冷却液蒸汽的允许浓度可参考TWA容许浓度。</w:t>
      </w:r>
      <w:bookmarkEnd w:id="38"/>
    </w:p>
    <w:p>
      <w:pPr>
        <w:widowControl/>
        <w:spacing w:line="360" w:lineRule="auto"/>
        <w:ind w:firstLine="480" w:firstLineChars="200"/>
        <w:rPr>
          <w:kern w:val="0"/>
          <w:sz w:val="24"/>
          <w:szCs w:val="24"/>
          <w:lang w:bidi="ar"/>
        </w:rPr>
      </w:pPr>
      <w:r>
        <w:rPr>
          <w:kern w:val="0"/>
          <w:sz w:val="24"/>
          <w:szCs w:val="24"/>
          <w:lang w:bidi="ar"/>
        </w:rPr>
        <w:t>4.13.10 当数据中心采用浸没式液冷系统时，液冷机柜区宜设置冷却液泄漏检测装置，检测到冷却液泄漏时宜报警并联动强制通风系统。</w:t>
      </w:r>
    </w:p>
    <w:p>
      <w:pPr>
        <w:widowControl/>
        <w:spacing w:line="360" w:lineRule="auto"/>
        <w:ind w:firstLine="480" w:firstLineChars="200"/>
        <w:jc w:val="left"/>
        <w:rPr>
          <w:kern w:val="0"/>
          <w:sz w:val="24"/>
          <w:szCs w:val="24"/>
          <w:lang w:bidi="ar"/>
        </w:rPr>
      </w:pPr>
      <w:bookmarkStart w:id="39" w:name="_Toc29046300"/>
      <w:r>
        <w:rPr>
          <w:kern w:val="0"/>
          <w:sz w:val="24"/>
          <w:szCs w:val="24"/>
          <w:lang w:bidi="ar"/>
        </w:rPr>
        <w:t>4.13.11 液冷系统的监控系统宜具备手动操作模式与自动控制模式的切换选择功能。</w:t>
      </w:r>
      <w:bookmarkEnd w:id="39"/>
    </w:p>
    <w:p>
      <w:pPr>
        <w:spacing w:line="360" w:lineRule="auto"/>
        <w:ind w:firstLine="480" w:firstLineChars="200"/>
        <w:rPr>
          <w:sz w:val="24"/>
          <w:szCs w:val="24"/>
        </w:rPr>
      </w:pPr>
      <w:r>
        <w:rPr>
          <w:sz w:val="24"/>
          <w:szCs w:val="24"/>
        </w:rPr>
        <w:t>条文说明：监控系统调试、维护、软件升级时，需要手动越控，因此需设置手动操作模式与自动控制模式的切换。</w:t>
      </w:r>
    </w:p>
    <w:p>
      <w:pPr>
        <w:widowControl/>
        <w:spacing w:line="360" w:lineRule="auto"/>
        <w:ind w:firstLine="480" w:firstLineChars="200"/>
        <w:jc w:val="left"/>
        <w:rPr>
          <w:kern w:val="0"/>
          <w:sz w:val="24"/>
          <w:szCs w:val="24"/>
          <w:lang w:bidi="ar"/>
        </w:rPr>
      </w:pPr>
      <w:bookmarkStart w:id="40" w:name="_Toc29046301"/>
      <w:r>
        <w:rPr>
          <w:kern w:val="0"/>
          <w:sz w:val="24"/>
          <w:szCs w:val="24"/>
          <w:lang w:bidi="ar"/>
        </w:rPr>
        <w:t>4</w:t>
      </w:r>
      <w:bookmarkEnd w:id="40"/>
      <w:bookmarkStart w:id="41" w:name="_Toc29046306"/>
      <w:r>
        <w:rPr>
          <w:kern w:val="0"/>
          <w:sz w:val="24"/>
          <w:szCs w:val="24"/>
          <w:lang w:bidi="ar"/>
        </w:rPr>
        <w:t>.13.12 电动阀门的设置应满足液冷系统运行的要求，应明确电动阀为开关型还是调节型，明确控制信号反馈的类型。</w:t>
      </w:r>
      <w:bookmarkEnd w:id="41"/>
    </w:p>
    <w:p>
      <w:pPr>
        <w:widowControl/>
        <w:spacing w:line="360" w:lineRule="auto"/>
        <w:ind w:firstLine="480" w:firstLineChars="200"/>
        <w:jc w:val="left"/>
        <w:rPr>
          <w:kern w:val="0"/>
          <w:sz w:val="24"/>
          <w:szCs w:val="24"/>
          <w:lang w:bidi="ar"/>
        </w:rPr>
      </w:pPr>
      <w:bookmarkStart w:id="42" w:name="_Toc29046307"/>
      <w:r>
        <w:rPr>
          <w:kern w:val="0"/>
          <w:sz w:val="24"/>
          <w:szCs w:val="24"/>
          <w:lang w:bidi="ar"/>
        </w:rPr>
        <w:t>4.13.13 自控仪表、传感器、电动阀门与执行器的类型与防护等级应根据安装环境选择，测量类的自控仪表应在投入正式运行前进行校准，宜根据应用环境规定维护周期。</w:t>
      </w:r>
      <w:bookmarkEnd w:id="42"/>
    </w:p>
    <w:p>
      <w:pPr>
        <w:spacing w:line="360" w:lineRule="auto"/>
        <w:ind w:firstLine="480" w:firstLineChars="200"/>
        <w:rPr>
          <w:kern w:val="0"/>
          <w:sz w:val="24"/>
          <w:szCs w:val="24"/>
          <w:lang w:bidi="ar"/>
        </w:rPr>
      </w:pPr>
      <w:r>
        <w:rPr>
          <w:sz w:val="24"/>
          <w:szCs w:val="24"/>
        </w:rPr>
        <w:t>条文说明：户外型电动阀门应考虑防冻、防风雨、防腐蚀措施；户外型传感器不应设置在阳光直射的位置，应防腐蚀，配有防护罩，以保护传感器免受太阳辐射和降雨等的影响；电动水阀、电动风阀执行器的行程时间应根据系统功能要求明确规定。</w:t>
      </w:r>
      <w:r>
        <w:rPr>
          <w:kern w:val="0"/>
          <w:sz w:val="24"/>
          <w:szCs w:val="24"/>
          <w:lang w:bidi="ar"/>
        </w:rPr>
        <w:t xml:space="preserve"> </w:t>
      </w:r>
    </w:p>
    <w:p>
      <w:pPr>
        <w:widowControl/>
        <w:spacing w:line="360" w:lineRule="auto"/>
        <w:ind w:firstLine="480" w:firstLineChars="200"/>
        <w:jc w:val="left"/>
        <w:rPr>
          <w:kern w:val="0"/>
          <w:sz w:val="24"/>
          <w:szCs w:val="24"/>
          <w:lang w:bidi="ar"/>
        </w:rPr>
      </w:pPr>
      <w:bookmarkStart w:id="43" w:name="_Toc29046308"/>
      <w:r>
        <w:rPr>
          <w:kern w:val="0"/>
          <w:sz w:val="24"/>
          <w:szCs w:val="24"/>
          <w:lang w:bidi="ar"/>
        </w:rPr>
        <w:t>4.13.14根据监控系统的功能要求，应明确控制信号丢失后液冷系统中电动阀的最后状态。</w:t>
      </w:r>
      <w:bookmarkEnd w:id="43"/>
    </w:p>
    <w:p>
      <w:pPr>
        <w:spacing w:line="360" w:lineRule="auto"/>
        <w:ind w:firstLine="480" w:firstLineChars="200"/>
        <w:rPr>
          <w:sz w:val="24"/>
          <w:szCs w:val="24"/>
        </w:rPr>
      </w:pPr>
      <w:r>
        <w:rPr>
          <w:sz w:val="24"/>
          <w:szCs w:val="24"/>
        </w:rPr>
        <w:t>条文说明：当控制信号故障时，调节型电动阀的状态可以维持在原位，可以设置为“关”，也可以设置为“开“，状态设置错误易导致冷却关键设施运行失常，不满足冷却要求，进而导致电子信息设备运行故障，因此应根据液冷系统的功能要求明确电动阀在控制信号丢失后的状态，避免状态设置错误导致冷却中断。</w:t>
      </w:r>
    </w:p>
    <w:p>
      <w:pPr>
        <w:widowControl/>
        <w:spacing w:line="360" w:lineRule="auto"/>
        <w:jc w:val="left"/>
        <w:rPr>
          <w:rFonts w:eastAsia="微软雅黑"/>
          <w:kern w:val="0"/>
          <w:sz w:val="24"/>
          <w:szCs w:val="24"/>
          <w:lang w:bidi="ar"/>
        </w:rPr>
      </w:pPr>
    </w:p>
    <w:p>
      <w:pPr>
        <w:widowControl/>
        <w:spacing w:line="360" w:lineRule="auto"/>
        <w:jc w:val="left"/>
        <w:rPr>
          <w:rFonts w:eastAsia="微软雅黑"/>
          <w:kern w:val="0"/>
          <w:sz w:val="24"/>
          <w:szCs w:val="24"/>
          <w:lang w:bidi="ar"/>
        </w:rPr>
        <w:sectPr>
          <w:pgSz w:w="11906" w:h="16838"/>
          <w:pgMar w:top="1440" w:right="1800" w:bottom="1440" w:left="1800" w:header="851" w:footer="992" w:gutter="0"/>
          <w:cols w:space="425" w:num="1"/>
          <w:docGrid w:type="lines" w:linePitch="312" w:charSpace="0"/>
        </w:sectPr>
      </w:pPr>
    </w:p>
    <w:p>
      <w:pPr>
        <w:spacing w:line="360" w:lineRule="auto"/>
        <w:ind w:firstLine="601" w:firstLineChars="200"/>
        <w:jc w:val="center"/>
        <w:outlineLvl w:val="0"/>
        <w:rPr>
          <w:b/>
          <w:spacing w:val="37"/>
          <w:kern w:val="0"/>
          <w:sz w:val="30"/>
          <w:szCs w:val="30"/>
        </w:rPr>
      </w:pPr>
      <w:bookmarkStart w:id="44" w:name="_Toc1011322871"/>
      <w:r>
        <w:rPr>
          <w:b/>
          <w:kern w:val="0"/>
          <w:sz w:val="30"/>
          <w:szCs w:val="30"/>
        </w:rPr>
        <w:t>5</w:t>
      </w:r>
      <w:r>
        <w:rPr>
          <w:b/>
          <w:spacing w:val="7"/>
          <w:w w:val="100"/>
          <w:kern w:val="0"/>
          <w:sz w:val="30"/>
          <w:szCs w:val="30"/>
          <w:fitText w:val="1729" w:id="-1130628350"/>
        </w:rPr>
        <w:t xml:space="preserve"> 安装与实</w:t>
      </w:r>
      <w:r>
        <w:rPr>
          <w:b/>
          <w:spacing w:val="4"/>
          <w:w w:val="100"/>
          <w:kern w:val="0"/>
          <w:sz w:val="30"/>
          <w:szCs w:val="30"/>
          <w:fitText w:val="1729" w:id="-1130628350"/>
        </w:rPr>
        <w:t>施</w:t>
      </w:r>
      <w:bookmarkEnd w:id="44"/>
    </w:p>
    <w:p>
      <w:pPr>
        <w:spacing w:before="312" w:beforeLines="100" w:line="360" w:lineRule="auto"/>
        <w:ind w:firstLine="561" w:firstLineChars="200"/>
        <w:jc w:val="center"/>
        <w:outlineLvl w:val="1"/>
        <w:rPr>
          <w:b/>
          <w:sz w:val="28"/>
          <w:szCs w:val="24"/>
        </w:rPr>
      </w:pPr>
      <w:bookmarkStart w:id="45" w:name="_Toc2117910539"/>
      <w:r>
        <w:rPr>
          <w:b/>
          <w:sz w:val="28"/>
          <w:szCs w:val="24"/>
        </w:rPr>
        <w:t>5.1一般规定</w:t>
      </w:r>
      <w:bookmarkEnd w:id="45"/>
    </w:p>
    <w:p>
      <w:pPr>
        <w:spacing w:line="360" w:lineRule="auto"/>
        <w:jc w:val="left"/>
        <w:rPr>
          <w:szCs w:val="21"/>
        </w:rPr>
      </w:pPr>
      <w:r>
        <w:rPr>
          <w:rFonts w:eastAsia="微软雅黑"/>
          <w:sz w:val="24"/>
          <w:szCs w:val="24"/>
        </w:rPr>
        <w:t xml:space="preserve">   </w:t>
      </w:r>
      <w:r>
        <w:rPr>
          <w:sz w:val="24"/>
          <w:szCs w:val="24"/>
        </w:rPr>
        <w:t xml:space="preserve"> 5.1.1液冷系统的安装与实施应满足的标准与规范包括：《数据中心基础设施施工及验收规范》GB50462-2015；《机械设备安装工程施工及验收通用规范》GB 50231-2009；《工业金属管道工程施工规范》GB 50235-2010；《钢制管法兰.垫片.紧固件》HG/T 20592~20635-2009；《电气装置安装工程电气设备交接试验标准》 GA50150-2016；《电气装置安装工程 盘、柜及二次回路接线施工及验收规范》 GB50171-2012；《数据中心基础设施施工及验收规范》 GB50462-2015；《数据中心工程设计与安装》18DX009；</w:t>
      </w:r>
    </w:p>
    <w:p>
      <w:pPr>
        <w:spacing w:line="360" w:lineRule="auto"/>
        <w:jc w:val="left"/>
        <w:rPr>
          <w:sz w:val="24"/>
          <w:szCs w:val="24"/>
        </w:rPr>
      </w:pPr>
      <w:r>
        <w:rPr>
          <w:sz w:val="24"/>
          <w:szCs w:val="24"/>
        </w:rPr>
        <w:t>《钢制管法兰.垫片.紧固件》 HG/T 20592~20635-2009；《电气装置安装工程及验收规范》GBJ232-83；《电气装置安装工程接地装置施工及验收规范》GB50169-2016的相关技术要求。</w:t>
      </w:r>
    </w:p>
    <w:p>
      <w:pPr>
        <w:spacing w:line="360" w:lineRule="auto"/>
        <w:jc w:val="left"/>
        <w:rPr>
          <w:sz w:val="24"/>
          <w:szCs w:val="24"/>
        </w:rPr>
      </w:pPr>
      <w:r>
        <w:rPr>
          <w:sz w:val="24"/>
          <w:szCs w:val="24"/>
        </w:rPr>
        <w:t xml:space="preserve">    5.1.2液冷系统施工应按照设计要求编制施工方案及施工组织设计，液冷系统冲洗，打压等应编制专项方案；液冷系统安装应符合设计图纸、深化图纸等相关技术要求。</w:t>
      </w:r>
    </w:p>
    <w:p>
      <w:pPr>
        <w:spacing w:line="360" w:lineRule="auto"/>
        <w:jc w:val="left"/>
        <w:rPr>
          <w:szCs w:val="21"/>
        </w:rPr>
      </w:pPr>
      <w:r>
        <w:rPr>
          <w:sz w:val="24"/>
          <w:szCs w:val="24"/>
        </w:rPr>
        <w:t xml:space="preserve">    5.1.3液冷系统二次侧管路安装宜选择无尘环境实施，宜选择工厂预制的方式。</w:t>
      </w:r>
    </w:p>
    <w:p>
      <w:pPr>
        <w:spacing w:before="312" w:beforeLines="100" w:line="360" w:lineRule="auto"/>
        <w:ind w:firstLine="561" w:firstLineChars="200"/>
        <w:jc w:val="center"/>
        <w:outlineLvl w:val="1"/>
        <w:rPr>
          <w:b/>
          <w:sz w:val="28"/>
          <w:szCs w:val="24"/>
        </w:rPr>
      </w:pPr>
      <w:bookmarkStart w:id="46" w:name="_Toc1180979948"/>
      <w:r>
        <w:rPr>
          <w:b/>
          <w:sz w:val="28"/>
          <w:szCs w:val="24"/>
        </w:rPr>
        <w:t>5.2 安装</w:t>
      </w:r>
      <w:bookmarkEnd w:id="46"/>
    </w:p>
    <w:p>
      <w:pPr>
        <w:spacing w:line="360" w:lineRule="auto"/>
        <w:ind w:firstLine="480" w:firstLineChars="200"/>
        <w:jc w:val="left"/>
        <w:rPr>
          <w:sz w:val="24"/>
          <w:szCs w:val="24"/>
        </w:rPr>
      </w:pPr>
      <w:r>
        <w:rPr>
          <w:sz w:val="24"/>
          <w:szCs w:val="24"/>
        </w:rPr>
        <w:t>5.2.1液冷设备与系统安装需要满足的前置条件应包括：冷源侧（一次侧）管道已完成安装、冲洗、打压、镀膜、保温、首次充液等；已经完成舒适性空调、通风和消防等系统的安装与初步调试；已完成强电&amp;弱电配电柜及相关桥架、线缆的安装；已完成排水设施的安装；已完成液冷设备和CDU的基础安装；已完成环境的初步清洁；已经具备畅通的搬运通道；已完成管路物料检查、密封检查、外观一致性检查、阀门位置检查、清洁度检查等。</w:t>
      </w:r>
    </w:p>
    <w:p>
      <w:pPr>
        <w:widowControl/>
        <w:spacing w:line="360" w:lineRule="auto"/>
        <w:jc w:val="left"/>
        <w:rPr>
          <w:kern w:val="0"/>
          <w:sz w:val="24"/>
          <w:szCs w:val="24"/>
        </w:rPr>
      </w:pPr>
      <w:r>
        <w:rPr>
          <w:kern w:val="0"/>
          <w:sz w:val="24"/>
          <w:szCs w:val="24"/>
        </w:rPr>
        <w:t xml:space="preserve">    条文说明：液冷机柜及CDU的运输通道中如果存在踏步，则宜搭建斜坡，其坡度宜小于15°，如果存在门槛等障碍物，则宜提前进行跨桥处理；运输通道的净空宜满足设备搬运；CDU设备与其支架的固定点宜多于4个，固定点宜位于设备边角。</w:t>
      </w:r>
    </w:p>
    <w:p>
      <w:pPr>
        <w:widowControl/>
        <w:spacing w:line="360" w:lineRule="auto"/>
        <w:jc w:val="left"/>
        <w:rPr>
          <w:kern w:val="0"/>
          <w:sz w:val="24"/>
          <w:szCs w:val="24"/>
        </w:rPr>
      </w:pPr>
      <w:r>
        <w:rPr>
          <w:kern w:val="0"/>
          <w:sz w:val="24"/>
          <w:szCs w:val="24"/>
        </w:rPr>
        <w:t xml:space="preserve">    液冷设备与CDU检查主要包括设备基础位置，预埋件（管）、预留接口、支架等；采用角钢作为液冷末端底座基础的材料时，焊缝应为角焊缝(hf≤6mm)且为满焊；液冷机房无湿度处理装置，环境相对湿度在10%-80%之间波动，角钢表面应有防腐措施。</w:t>
      </w:r>
    </w:p>
    <w:p>
      <w:pPr>
        <w:spacing w:line="360" w:lineRule="auto"/>
        <w:ind w:firstLine="480" w:firstLineChars="200"/>
        <w:jc w:val="left"/>
        <w:rPr>
          <w:sz w:val="24"/>
          <w:szCs w:val="24"/>
          <w:lang w:bidi="ar"/>
        </w:rPr>
      </w:pPr>
      <w:r>
        <w:rPr>
          <w:sz w:val="24"/>
          <w:szCs w:val="24"/>
        </w:rPr>
        <w:t>5.2.2 液冷系统安装需要配置的工具应包括：叉车、焊机、电钻、各类扳手、激光水平仪、水平尺、角尺、卷尺、墨盒、记号笔、水桶、安全用具、脚手架、密封垫、打压工装、打压设备（含氮气瓶、限压阀等）、检漏液、缠绕膜、万用表、兆欧表、电流表</w:t>
      </w:r>
      <w:r>
        <w:rPr>
          <w:sz w:val="24"/>
          <w:szCs w:val="24"/>
          <w:lang w:bidi="ar"/>
        </w:rPr>
        <w:t>、浊度仪、电导率测试仪、蓝光笔等。</w:t>
      </w:r>
    </w:p>
    <w:p>
      <w:pPr>
        <w:spacing w:line="360" w:lineRule="auto"/>
        <w:ind w:firstLine="480" w:firstLineChars="200"/>
        <w:jc w:val="left"/>
        <w:rPr>
          <w:kern w:val="0"/>
          <w:sz w:val="24"/>
          <w:szCs w:val="24"/>
          <w:lang w:bidi="ar"/>
        </w:rPr>
      </w:pPr>
      <w:r>
        <w:rPr>
          <w:sz w:val="24"/>
          <w:szCs w:val="24"/>
        </w:rPr>
        <w:t xml:space="preserve"> 5.2.3 液冷末端安装顺序宜为：液冷设备与CDU的设备基础、</w:t>
      </w:r>
      <w:r>
        <w:rPr>
          <w:kern w:val="0"/>
          <w:sz w:val="24"/>
          <w:szCs w:val="24"/>
          <w:lang w:bidi="ar"/>
        </w:rPr>
        <w:t>支架位置、各类接口安装位置校核；</w:t>
      </w:r>
      <w:r>
        <w:rPr>
          <w:sz w:val="24"/>
          <w:szCs w:val="24"/>
        </w:rPr>
        <w:t>液冷设备与CDU的设备定位与就位；液冷设备与CDU的</w:t>
      </w:r>
      <w:r>
        <w:rPr>
          <w:kern w:val="0"/>
          <w:sz w:val="24"/>
          <w:szCs w:val="24"/>
          <w:lang w:bidi="ar"/>
        </w:rPr>
        <w:t>强电配电箱的接线；</w:t>
      </w:r>
      <w:r>
        <w:rPr>
          <w:sz w:val="24"/>
          <w:szCs w:val="24"/>
        </w:rPr>
        <w:t>液冷设备与CDU的</w:t>
      </w:r>
      <w:r>
        <w:rPr>
          <w:kern w:val="0"/>
          <w:sz w:val="24"/>
          <w:szCs w:val="24"/>
          <w:lang w:bidi="ar"/>
        </w:rPr>
        <w:t>弱电配电箱的接线与相关传感器安装&amp;校准；管道支架、接液装置（如有）定位与安装；管道定位与安装；接地线（如有）连接与安装；</w:t>
      </w:r>
      <w:r>
        <w:rPr>
          <w:sz w:val="24"/>
          <w:szCs w:val="24"/>
        </w:rPr>
        <w:t>液冷设备与CDU</w:t>
      </w:r>
      <w:r>
        <w:rPr>
          <w:kern w:val="0"/>
          <w:sz w:val="24"/>
          <w:szCs w:val="24"/>
          <w:lang w:bidi="ar"/>
        </w:rPr>
        <w:t>相关的冷却液管道打压（如需要）；</w:t>
      </w:r>
      <w:r>
        <w:rPr>
          <w:sz w:val="24"/>
          <w:szCs w:val="24"/>
        </w:rPr>
        <w:t>液冷设备与CDU的用冷侧（</w:t>
      </w:r>
      <w:r>
        <w:rPr>
          <w:kern w:val="0"/>
          <w:sz w:val="24"/>
          <w:szCs w:val="24"/>
          <w:lang w:bidi="ar"/>
        </w:rPr>
        <w:t>二次侧）调试；</w:t>
      </w:r>
      <w:r>
        <w:rPr>
          <w:sz w:val="24"/>
          <w:szCs w:val="24"/>
        </w:rPr>
        <w:t>液冷设备与CDU的冷源侧（</w:t>
      </w:r>
      <w:r>
        <w:rPr>
          <w:kern w:val="0"/>
          <w:sz w:val="24"/>
          <w:szCs w:val="24"/>
          <w:lang w:bidi="ar"/>
        </w:rPr>
        <w:t>一次侧）调试；液冷末端</w:t>
      </w:r>
      <w:r>
        <w:rPr>
          <w:sz w:val="24"/>
          <w:szCs w:val="24"/>
        </w:rPr>
        <w:t>冷源侧（</w:t>
      </w:r>
      <w:r>
        <w:rPr>
          <w:kern w:val="0"/>
          <w:sz w:val="24"/>
          <w:szCs w:val="24"/>
          <w:lang w:bidi="ar"/>
        </w:rPr>
        <w:t>一次侧）、</w:t>
      </w:r>
      <w:r>
        <w:rPr>
          <w:sz w:val="24"/>
          <w:szCs w:val="24"/>
        </w:rPr>
        <w:t>用冷侧（</w:t>
      </w:r>
      <w:r>
        <w:rPr>
          <w:kern w:val="0"/>
          <w:sz w:val="24"/>
          <w:szCs w:val="24"/>
          <w:lang w:bidi="ar"/>
        </w:rPr>
        <w:t>二次侧）、强电系统、弱电系统联合调试；安装完成。</w:t>
      </w:r>
    </w:p>
    <w:p>
      <w:pPr>
        <w:spacing w:line="360" w:lineRule="auto"/>
        <w:jc w:val="left"/>
        <w:rPr>
          <w:kern w:val="0"/>
          <w:sz w:val="24"/>
          <w:szCs w:val="24"/>
        </w:rPr>
      </w:pPr>
      <w:r>
        <w:rPr>
          <w:kern w:val="0"/>
          <w:sz w:val="24"/>
          <w:szCs w:val="24"/>
        </w:rPr>
        <w:t xml:space="preserve">    条文说明：当采用不锈钢预制管路时，预制好的不锈钢管路在现场安装前宜确保安装空间洁净；预制的不锈钢管路宜符合设计单线图并做好编号；预制好的不锈钢管路在运输、安装的过程中应小心轻放，宜采用三元乙丙橡胶、聚四氟乙烯等柔性材料进行保护；不锈钢管路的安装支架和固定管卡宜采用不锈钢材质或者采用三元乙丙橡胶或聚四氟乙烯对管路与支架进行有效隔离；安装前宜进行检查，核定管件无损伤且干净无灰尘；连接件（法兰或卡盘）应与管道同心，并确保螺栓可自由穿入、法兰螺栓孔跨中安装；同方向管路的法兰间应保持平行，其偏差不得大于法兰外径的1.5％，且不得大于2mm；成对法兰的卡盘间应保持对称，错位偏差不宜大于1mm，不宜用强紧螺性的方法消除歪斜；采用卡盘连接或者法兰连接时，垫圈不宜扭曲移位，管路紧固时宜对称、均匀用力，确保密封圈压缩形变以形成无间隙密封；不锈钢预制管路安装时，每间隔6～10m（根据系统设计确定）左右宜设置不锈钢软连接或者不锈钢波纹管路；不锈钢预制管路连接的密封垫宜根据管道内流体类型选择兼容性良好的材质；不锈钢预制管路在现场的安装宜分段进行；不锈钢预制管路的防尘包装不应拆除，直到安装工作开始。</w:t>
      </w:r>
    </w:p>
    <w:p>
      <w:pPr>
        <w:spacing w:line="360" w:lineRule="auto"/>
        <w:ind w:firstLine="480" w:firstLineChars="200"/>
        <w:jc w:val="left"/>
        <w:rPr>
          <w:sz w:val="24"/>
          <w:szCs w:val="24"/>
        </w:rPr>
      </w:pPr>
      <w:r>
        <w:rPr>
          <w:sz w:val="24"/>
          <w:szCs w:val="24"/>
        </w:rPr>
        <w:t>5.2.3液冷系统用冷侧（二次侧）安装应符合：分段组装的管路，预先摆放到实际安装位置，确保管路接口和CDU及液冷机柜的接口对齐，同时，确保管路的路由与地板支脚、机柜支撑架、地板下走线槽、集水盘、集液槽等无碰撞；安装过程中应确保分段阀门处于关闭状态，避免引入杂质；应确保连接软管的转弯半径与机柜支撑架等无干涉；应确保卡箍或法兰、阀门手柄的操作空间；采用卡箍或法兰连接时，密封垫圈应不透气、不起尘、与冷却液兼容且具有一定弹性的材料，紧固时，不得损坏密封垫圈；管道穿墙时，对底座、隔墙接缝处应采取密封措施；管道下方应设有支架，支架宜设置橡胶垫等减振装置，且支架不应穿过集水盘。</w:t>
      </w:r>
    </w:p>
    <w:p>
      <w:pPr>
        <w:spacing w:line="360" w:lineRule="auto"/>
        <w:ind w:firstLine="480" w:firstLineChars="200"/>
        <w:jc w:val="left"/>
        <w:rPr>
          <w:sz w:val="24"/>
          <w:szCs w:val="24"/>
        </w:rPr>
      </w:pPr>
      <w:r>
        <w:rPr>
          <w:sz w:val="24"/>
          <w:szCs w:val="24"/>
        </w:rPr>
        <w:t>5.2.4 当数据中心采用浸没式液冷系统时，安装液冷机柜顺序宜为：安装液冷机柜座架；将液冷机柜固定在座架上；检查液冷机柜的气密性；安装PDU并完成PDU的线缆布放；完成机柜接地线接驳。</w:t>
      </w:r>
    </w:p>
    <w:p>
      <w:pPr>
        <w:spacing w:line="360" w:lineRule="auto"/>
        <w:ind w:firstLine="480" w:firstLineChars="200"/>
        <w:jc w:val="left"/>
        <w:rPr>
          <w:sz w:val="24"/>
          <w:szCs w:val="24"/>
        </w:rPr>
      </w:pPr>
      <w:r>
        <w:rPr>
          <w:sz w:val="24"/>
          <w:szCs w:val="24"/>
        </w:rPr>
        <w:t>5.2.5 当数据中心采用冷板式液冷系统时，冷板散热器往往是充氮保护并运送到现场的，现场需要检查冷板散热器的气密性，检查顺序宜为：检测冷板散热器中预充填的保压氮气压力是否正常（残余压力≥预充压力50%为正常，否则为异常）；将冷板散热器的任一针阀与压力表对接；将空压机及其转接管与针阀中任一个对接，加压600 kPa；断开空压机，静置5min后，读取并记录压力表数值P1，继续保压1h后，读取并记录压力表数值P2；计算压降ΔP是否超出5 kPa（ΔP=P1-P2）；将冷板散热器管路中气体排出；连接冷板散热器管路末端的球阀与冷源侧（一次侧）管路，红色标签为回水管，蓝色标签为供水管。</w:t>
      </w:r>
    </w:p>
    <w:p>
      <w:pPr>
        <w:spacing w:line="360" w:lineRule="auto"/>
        <w:jc w:val="left"/>
        <w:rPr>
          <w:sz w:val="24"/>
          <w:szCs w:val="24"/>
        </w:rPr>
      </w:pPr>
      <w:r>
        <w:rPr>
          <w:kern w:val="0"/>
          <w:sz w:val="24"/>
          <w:szCs w:val="24"/>
        </w:rPr>
        <w:t xml:space="preserve">    条文说明：在运输过程中，冷板散热器和Manifold通常预先充入冷却液或惰性气体加以保护，系统现场装配时，除了遵守制造商提供的操作流程，还需要在系统投入运行前排空预充的冷却液。</w:t>
      </w:r>
    </w:p>
    <w:p>
      <w:pPr>
        <w:spacing w:line="360" w:lineRule="auto"/>
        <w:jc w:val="left"/>
        <w:rPr>
          <w:sz w:val="24"/>
          <w:szCs w:val="24"/>
        </w:rPr>
      </w:pPr>
      <w:r>
        <w:rPr>
          <w:sz w:val="24"/>
          <w:szCs w:val="24"/>
        </w:rPr>
        <w:t xml:space="preserve">    5.2.6 当数据中心采用浸没式液冷系统时，冷板散热器及其配套管路Manifold往往是充氮保护并运送到现场的，现场需要检查Manifold的气密性，检查顺序宜为：检测Manifold中预充填的保压氮气压力是否正常（残余压力≥预充压力50%为正常，否则为异常；使用软接管对接Manifold进出快接头，短接Manifold进出水管；将Manifold的压力表与转接管对接；将空压机和加压堵头上的针阀对接，加压600 kPa；断开空压机，静置5min后读取并记录压力表数值P1，继续保压1 h后，读取并记录压力表数值P2；计算压降ΔP是否超出5 kPa（ΔP=P1-P2）；打开Manifold管路上的排气阀进行泄压；将Manifold管路与二次侧管路对接；打开球阀，将Manifold管路与用冷侧（二次侧）管路连通。</w:t>
      </w:r>
    </w:p>
    <w:p>
      <w:pPr>
        <w:spacing w:line="360" w:lineRule="auto"/>
        <w:jc w:val="left"/>
        <w:rPr>
          <w:sz w:val="24"/>
          <w:szCs w:val="24"/>
        </w:rPr>
      </w:pPr>
      <w:r>
        <w:rPr>
          <w:sz w:val="24"/>
          <w:szCs w:val="24"/>
        </w:rPr>
        <w:t xml:space="preserve">    5.2.7 冷板式液冷机柜的Manifold布置在液冷机柜内部时，液冷机柜底板上应布置漏液检测；Manifold顶部排气阀应设置关断阀，排气阀应设置引流管至液冷机柜底板排水口；Manifold排水阀应布置在液冷机柜外侧。  </w:t>
      </w:r>
    </w:p>
    <w:p>
      <w:pPr>
        <w:spacing w:line="360" w:lineRule="auto"/>
        <w:jc w:val="left"/>
        <w:rPr>
          <w:sz w:val="24"/>
          <w:szCs w:val="24"/>
        </w:rPr>
      </w:pPr>
      <w:r>
        <w:rPr>
          <w:sz w:val="24"/>
          <w:szCs w:val="24"/>
        </w:rPr>
        <w:t xml:space="preserve">    5.2.8 当数据中心采用冷板式液冷系统时，液冷机柜为立式，安装顺序宜为：打开前门成90度状态；清理液冷机柜内部缓冲泡棉等物料；安装液冷机柜；关闭前门并锁紧前门地线。</w:t>
      </w:r>
    </w:p>
    <w:p>
      <w:pPr>
        <w:spacing w:line="360" w:lineRule="auto"/>
        <w:jc w:val="left"/>
        <w:rPr>
          <w:kern w:val="0"/>
          <w:sz w:val="24"/>
          <w:szCs w:val="24"/>
        </w:rPr>
      </w:pPr>
      <w:r>
        <w:rPr>
          <w:kern w:val="0"/>
          <w:sz w:val="24"/>
          <w:szCs w:val="24"/>
        </w:rPr>
        <w:t xml:space="preserve">    条文说明：设备柜安装设计需符合YD 5059的规定，按所要求的抗震加固措施进行加固；加固底座宜使用膨胀螺栓直接固定在数据中心的水泥地面上，加固底座与水泥地面之间不应有任何的软连接，加固底座不得安装在保温层之上或浮搁在活动地板上。</w:t>
      </w:r>
    </w:p>
    <w:p>
      <w:pPr>
        <w:spacing w:line="360" w:lineRule="auto"/>
        <w:jc w:val="left"/>
        <w:rPr>
          <w:kern w:val="0"/>
          <w:sz w:val="24"/>
          <w:szCs w:val="24"/>
        </w:rPr>
      </w:pPr>
      <w:r>
        <w:rPr>
          <w:kern w:val="0"/>
          <w:sz w:val="24"/>
          <w:szCs w:val="24"/>
        </w:rPr>
        <w:t xml:space="preserve">    已安装的加固底座上方未安裝机柜时，需采用不透风的不燃板材覆盖；数据中心投入运行时，需在机柜内未安装服务器的U位安装盲板，以防止漏风与气流混合。</w:t>
      </w:r>
    </w:p>
    <w:p>
      <w:pPr>
        <w:spacing w:line="360" w:lineRule="auto"/>
        <w:jc w:val="left"/>
        <w:rPr>
          <w:sz w:val="24"/>
          <w:szCs w:val="24"/>
        </w:rPr>
      </w:pPr>
      <w:r>
        <w:rPr>
          <w:kern w:val="0"/>
          <w:sz w:val="24"/>
          <w:szCs w:val="24"/>
        </w:rPr>
        <w:t xml:space="preserve">   </w:t>
      </w:r>
      <w:r>
        <w:rPr>
          <w:sz w:val="24"/>
          <w:szCs w:val="24"/>
        </w:rPr>
        <w:t xml:space="preserve"> 5.2.9 当数据中心采用冷板式液冷系统时，安装用冷侧（二次侧）管路前需要针对单个液冷节点内部残余压力进行确认，残余压力应＜出厂压力的50%。</w:t>
      </w:r>
    </w:p>
    <w:p>
      <w:pPr>
        <w:spacing w:line="360" w:lineRule="auto"/>
        <w:jc w:val="left"/>
        <w:rPr>
          <w:sz w:val="24"/>
          <w:szCs w:val="24"/>
        </w:rPr>
      </w:pPr>
      <w:r>
        <w:rPr>
          <w:sz w:val="24"/>
          <w:szCs w:val="24"/>
        </w:rPr>
        <w:t xml:space="preserve">    5.2.10 当数据中心采用冷板式液冷系统时，注入冷却液之前，应单独对整柜再次进行气密性检测，检查完气密性后的注液顺序宜为：旋转松开排气阀螺母；确保CDU自带补液管洁净；将CDU自带补液管插入冷却液桶，并连接补液管的快接头与CDU补水口快接头；上电CDU，并确保水路运行稳定且无漏水；启动CDU，进入自动运行模式后开始补水，补水到1bar压力后，CDU自动停止补水；拔出补水管，放到指定位置，并将补水袋灌满水，接入CDU补水接口；待气体完全排出稳定运行一周后，旋转拧紧排气阀螺母，关闭排气阀。</w:t>
      </w:r>
    </w:p>
    <w:p>
      <w:pPr>
        <w:spacing w:line="360" w:lineRule="auto"/>
        <w:jc w:val="left"/>
        <w:rPr>
          <w:sz w:val="24"/>
          <w:szCs w:val="24"/>
        </w:rPr>
      </w:pPr>
      <w:r>
        <w:rPr>
          <w:sz w:val="24"/>
          <w:szCs w:val="24"/>
        </w:rPr>
        <w:t xml:space="preserve">    5.2.11 当数据中心采用冷板式液冷系统时，调试用冷侧（二次侧）冷却液管路顺序宜为：打开用冷侧（二次侧）管路系统上的所有自动排气阀，利用CDU手动补水功能对用冷侧（二次侧）系统充入冷却液；排气；打开冷源侧（一次侧）供、回水阀门并将阀门开度调整到100%，检查冷源侧（一次侧）流量计读数是否达到流量要求；检查用冷侧（二次侧）流量计读数是否满足要求；调试CDU。</w:t>
      </w:r>
    </w:p>
    <w:p>
      <w:pPr>
        <w:spacing w:line="360" w:lineRule="auto"/>
        <w:jc w:val="left"/>
        <w:rPr>
          <w:sz w:val="24"/>
          <w:szCs w:val="24"/>
        </w:rPr>
      </w:pPr>
      <w:r>
        <w:rPr>
          <w:sz w:val="24"/>
          <w:szCs w:val="24"/>
        </w:rPr>
        <w:t xml:space="preserve">    5.2.12 当数据中心采用冷板式液冷系统时，Manifold分液、回液管路应易于安装、拆卸；分液、回液管路在液冷机柜内的安装位置应利于装设的流体连接器或管路插拔维护。</w:t>
      </w:r>
    </w:p>
    <w:p>
      <w:pPr>
        <w:spacing w:line="360" w:lineRule="auto"/>
        <w:jc w:val="left"/>
        <w:rPr>
          <w:sz w:val="24"/>
          <w:szCs w:val="24"/>
        </w:rPr>
      </w:pPr>
      <w:r>
        <w:rPr>
          <w:sz w:val="24"/>
          <w:szCs w:val="24"/>
        </w:rPr>
        <w:t xml:space="preserve">    5.2.13 冷板式液冷系统的安装应满足的要求包括：配管位置、方向及液体进出口位置应利于电子信息设备的安装与插拔、维护；冷板散热器和配套管路宜统一采用铜或统一采用铝合金，系统中不应有两种电位差较大的金属；应为手动插拔快速接头考虑锁紧机构、连接力、空间等，确保维修方便；应为盲插联接器考虑安装公差和不对中公差，设计可靠的盲插配合机构，如导向装置；快换接头与用冷侧（二次侧）组件，例如Manifold、软管、CDU等的接口宜通过多种方式实现；宜为软管连接设置椎管扣压式或卡箍式连接；宜为刚性连接设置螺纹连接，螺纹连接处不应使用生料带和螺纹密封胶。</w:t>
      </w:r>
    </w:p>
    <w:p>
      <w:pPr>
        <w:spacing w:line="360" w:lineRule="auto"/>
        <w:jc w:val="left"/>
        <w:rPr>
          <w:sz w:val="24"/>
          <w:szCs w:val="24"/>
        </w:rPr>
      </w:pPr>
      <w:r>
        <w:rPr>
          <w:sz w:val="24"/>
          <w:szCs w:val="24"/>
        </w:rPr>
        <w:t xml:space="preserve">    5.2.14 冷板式液冷系统的用冷侧（二次侧）管路在安装过程中应避免外界杂质、微生物等影响管道内壁的洁净度；安装完成后宜用纯水清洗，清洗后排水的电导率宜不高于10μs/cm。</w:t>
      </w:r>
    </w:p>
    <w:p>
      <w:pPr>
        <w:spacing w:line="360" w:lineRule="auto"/>
        <w:jc w:val="left"/>
        <w:rPr>
          <w:sz w:val="24"/>
          <w:szCs w:val="24"/>
        </w:rPr>
      </w:pPr>
      <w:r>
        <w:rPr>
          <w:sz w:val="24"/>
          <w:szCs w:val="24"/>
        </w:rPr>
        <w:t xml:space="preserve">    5.2.15 冷板式液冷系统的用冷侧（二次侧）管路采用预制时，应包含酸洗钝化、超声波清洗、探伤检测、烘干密封、压力测试等工艺流程，确保管路外表面及内壁无腐蚀、无黄锈、无内壁拉伤起砂等。</w:t>
      </w:r>
    </w:p>
    <w:p>
      <w:pPr>
        <w:spacing w:line="360" w:lineRule="auto"/>
        <w:jc w:val="left"/>
        <w:rPr>
          <w:szCs w:val="21"/>
          <w:lang w:bidi="ar"/>
        </w:rPr>
      </w:pPr>
      <w:r>
        <w:rPr>
          <w:sz w:val="24"/>
          <w:szCs w:val="24"/>
        </w:rPr>
        <w:t xml:space="preserve">    5.2.16 液冷设备与CDU安装应符合：设备与冷源侧（</w:t>
      </w:r>
      <w:r>
        <w:rPr>
          <w:sz w:val="24"/>
          <w:szCs w:val="24"/>
          <w:lang w:bidi="ar"/>
        </w:rPr>
        <w:t>一次侧）、用冷侧（二次侧）供回液管路应连接正确，管路或其标签宜用四种颜色标识；</w:t>
      </w:r>
      <w:r>
        <w:rPr>
          <w:sz w:val="24"/>
          <w:szCs w:val="24"/>
        </w:rPr>
        <w:t>液冷设备与CDU</w:t>
      </w:r>
      <w:r>
        <w:rPr>
          <w:sz w:val="24"/>
          <w:szCs w:val="24"/>
          <w:lang w:bidi="ar"/>
        </w:rPr>
        <w:t>搬运至指定位置后，应确保设备与基础的安装精度；</w:t>
      </w:r>
      <w:r>
        <w:rPr>
          <w:sz w:val="24"/>
          <w:szCs w:val="24"/>
        </w:rPr>
        <w:t>设备</w:t>
      </w:r>
      <w:r>
        <w:rPr>
          <w:sz w:val="24"/>
          <w:szCs w:val="24"/>
          <w:lang w:bidi="ar"/>
        </w:rPr>
        <w:t>与基座之间应固定牢靠。</w:t>
      </w:r>
    </w:p>
    <w:p>
      <w:pPr>
        <w:spacing w:line="360" w:lineRule="auto"/>
        <w:ind w:firstLine="480" w:firstLineChars="200"/>
        <w:jc w:val="left"/>
        <w:rPr>
          <w:sz w:val="24"/>
          <w:szCs w:val="24"/>
        </w:rPr>
      </w:pPr>
      <w:r>
        <w:rPr>
          <w:sz w:val="24"/>
          <w:szCs w:val="24"/>
        </w:rPr>
        <w:t>5.2.16液冷系统漏水监控系统安装应满足：设置漏水检测绳的位置应搭载集水盘一起使用，集水盘应设置不小于千分之一的坡度并设有泄水口。</w:t>
      </w:r>
    </w:p>
    <w:p>
      <w:pPr>
        <w:spacing w:line="360" w:lineRule="auto"/>
        <w:ind w:firstLine="480" w:firstLineChars="200"/>
        <w:jc w:val="left"/>
        <w:rPr>
          <w:sz w:val="24"/>
          <w:szCs w:val="24"/>
        </w:rPr>
      </w:pPr>
      <w:r>
        <w:rPr>
          <w:sz w:val="24"/>
          <w:szCs w:val="24"/>
        </w:rPr>
        <w:t>5.2.17液冷系统的用冷侧（二次侧）管路应设置纠偏管段，以减少管道连接间的应力。</w:t>
      </w:r>
    </w:p>
    <w:p>
      <w:pPr>
        <w:spacing w:line="360" w:lineRule="auto"/>
        <w:ind w:firstLine="420" w:firstLineChars="200"/>
        <w:jc w:val="left"/>
        <w:rPr>
          <w:rFonts w:eastAsia="微软雅黑"/>
          <w:szCs w:val="24"/>
        </w:rPr>
      </w:pPr>
    </w:p>
    <w:p>
      <w:pPr>
        <w:spacing w:line="360" w:lineRule="auto"/>
        <w:jc w:val="left"/>
        <w:rPr>
          <w:rFonts w:eastAsia="微软雅黑"/>
        </w:rPr>
        <w:sectPr>
          <w:pgSz w:w="11906" w:h="16838"/>
          <w:pgMar w:top="1440" w:right="1800" w:bottom="1440" w:left="1800" w:header="851" w:footer="992" w:gutter="0"/>
          <w:cols w:space="425" w:num="1"/>
          <w:docGrid w:type="lines" w:linePitch="312" w:charSpace="0"/>
        </w:sectPr>
      </w:pPr>
    </w:p>
    <w:p>
      <w:pPr>
        <w:spacing w:line="360" w:lineRule="auto"/>
        <w:ind w:firstLine="601" w:firstLineChars="200"/>
        <w:jc w:val="center"/>
        <w:outlineLvl w:val="0"/>
        <w:rPr>
          <w:b/>
          <w:spacing w:val="5"/>
          <w:kern w:val="0"/>
          <w:sz w:val="30"/>
          <w:szCs w:val="30"/>
        </w:rPr>
      </w:pPr>
      <w:bookmarkStart w:id="47" w:name="_Toc1686120462"/>
      <w:r>
        <w:rPr>
          <w:b/>
          <w:kern w:val="0"/>
          <w:sz w:val="30"/>
          <w:szCs w:val="30"/>
        </w:rPr>
        <w:t>6</w:t>
      </w:r>
      <w:r>
        <w:rPr>
          <w:b/>
          <w:spacing w:val="45"/>
          <w:kern w:val="0"/>
          <w:sz w:val="30"/>
          <w:szCs w:val="30"/>
          <w:fitText w:val="2107" w:id="-1130628349"/>
        </w:rPr>
        <w:t xml:space="preserve"> 验证与验</w:t>
      </w:r>
      <w:r>
        <w:rPr>
          <w:b/>
          <w:spacing w:val="3"/>
          <w:kern w:val="0"/>
          <w:sz w:val="30"/>
          <w:szCs w:val="30"/>
          <w:fitText w:val="2107" w:id="-1130628349"/>
        </w:rPr>
        <w:t>收</w:t>
      </w:r>
      <w:bookmarkEnd w:id="47"/>
    </w:p>
    <w:p>
      <w:pPr>
        <w:spacing w:before="312" w:beforeLines="100" w:line="360" w:lineRule="auto"/>
        <w:ind w:firstLine="561" w:firstLineChars="200"/>
        <w:jc w:val="center"/>
        <w:outlineLvl w:val="1"/>
        <w:rPr>
          <w:b/>
          <w:sz w:val="28"/>
          <w:szCs w:val="24"/>
        </w:rPr>
      </w:pPr>
      <w:bookmarkStart w:id="48" w:name="_Toc432399022"/>
      <w:r>
        <w:rPr>
          <w:b/>
          <w:sz w:val="28"/>
          <w:szCs w:val="24"/>
        </w:rPr>
        <w:t>6.1 一般规定</w:t>
      </w:r>
      <w:bookmarkEnd w:id="48"/>
    </w:p>
    <w:p>
      <w:pPr>
        <w:spacing w:line="360" w:lineRule="auto"/>
        <w:ind w:firstLine="480" w:firstLineChars="200"/>
        <w:jc w:val="left"/>
        <w:rPr>
          <w:sz w:val="24"/>
          <w:szCs w:val="24"/>
        </w:rPr>
      </w:pPr>
      <w:bookmarkStart w:id="49" w:name="_Toc142300457"/>
      <w:bookmarkStart w:id="50" w:name="_Toc142298617"/>
      <w:r>
        <w:rPr>
          <w:sz w:val="24"/>
          <w:szCs w:val="24"/>
        </w:rPr>
        <w:t xml:space="preserve">6.1.1 </w:t>
      </w:r>
      <w:r>
        <w:rPr>
          <w:rFonts w:hint="eastAsia"/>
          <w:sz w:val="24"/>
          <w:szCs w:val="24"/>
        </w:rPr>
        <w:t>数据中心液冷系统验收除符合本技术规程要求外，尚应符合《数据中心基础设施施工及验收规范》GB50462-2015、《互联网数据中心工程技术规范》GB 51195-2016、《数据中心设计标准》GB / 50174、《建筑工程施工质量验收统一标准》GB50300、《通风与空调工程施工质量验收规范》GB5024要求中的相关规定。</w:t>
      </w:r>
    </w:p>
    <w:p>
      <w:pPr>
        <w:spacing w:line="360" w:lineRule="auto"/>
        <w:ind w:firstLine="480" w:firstLineChars="200"/>
        <w:jc w:val="left"/>
        <w:rPr>
          <w:sz w:val="24"/>
          <w:szCs w:val="24"/>
        </w:rPr>
      </w:pPr>
      <w:r>
        <w:rPr>
          <w:sz w:val="24"/>
          <w:szCs w:val="24"/>
        </w:rPr>
        <w:t>6.1.2 验证应发生在建设工程实施完成之后、验收与交付运维之前，以校验设备性能、系统功能、系统可靠性是否满足设计要求。</w:t>
      </w:r>
      <w:bookmarkEnd w:id="49"/>
      <w:bookmarkEnd w:id="50"/>
    </w:p>
    <w:p>
      <w:pPr>
        <w:spacing w:line="360" w:lineRule="auto"/>
        <w:ind w:firstLine="480" w:firstLineChars="200"/>
        <w:jc w:val="left"/>
        <w:rPr>
          <w:sz w:val="24"/>
          <w:szCs w:val="24"/>
        </w:rPr>
      </w:pPr>
      <w:bookmarkStart w:id="51" w:name="_Toc142300458"/>
      <w:bookmarkStart w:id="52" w:name="_Toc142298618"/>
      <w:r>
        <w:rPr>
          <w:sz w:val="24"/>
          <w:szCs w:val="24"/>
        </w:rPr>
        <w:t>6.1.3 验证测试的主体单位应为独立的第三方，且现场验证测试期间，识别的问题销项需至少运维及建设方到场见证。</w:t>
      </w:r>
      <w:bookmarkEnd w:id="51"/>
      <w:bookmarkEnd w:id="52"/>
    </w:p>
    <w:p>
      <w:pPr>
        <w:spacing w:line="360" w:lineRule="auto"/>
        <w:ind w:firstLine="480" w:firstLineChars="200"/>
        <w:jc w:val="left"/>
        <w:rPr>
          <w:sz w:val="24"/>
          <w:szCs w:val="24"/>
        </w:rPr>
      </w:pPr>
      <w:bookmarkStart w:id="53" w:name="_Toc142298619"/>
      <w:bookmarkStart w:id="54" w:name="_Toc142300459"/>
      <w:r>
        <w:rPr>
          <w:sz w:val="24"/>
          <w:szCs w:val="24"/>
        </w:rPr>
        <w:t>6.1.4 验证测试之前应确保液冷系统CDU、一次侧冷源系统、配套强电系统、BA监控系统、电力监控系统已实施完成。</w:t>
      </w:r>
      <w:bookmarkEnd w:id="53"/>
      <w:bookmarkEnd w:id="54"/>
    </w:p>
    <w:p>
      <w:pPr>
        <w:spacing w:line="360" w:lineRule="auto"/>
        <w:ind w:firstLine="480" w:firstLineChars="200"/>
        <w:jc w:val="left"/>
        <w:rPr>
          <w:sz w:val="24"/>
          <w:szCs w:val="24"/>
        </w:rPr>
      </w:pPr>
      <w:r>
        <w:rPr>
          <w:sz w:val="24"/>
          <w:szCs w:val="24"/>
        </w:rPr>
        <w:t>6.1.5液冷系统工程实施竣工后，应进行工程验收，按规定需要进行安全、合规、节能验收的要求进行验收，工程验收不合格的不得投入使用。</w:t>
      </w:r>
    </w:p>
    <w:p>
      <w:pPr>
        <w:spacing w:line="360" w:lineRule="auto"/>
        <w:ind w:firstLine="480" w:firstLineChars="200"/>
        <w:jc w:val="left"/>
        <w:rPr>
          <w:sz w:val="24"/>
          <w:szCs w:val="24"/>
        </w:rPr>
      </w:pPr>
      <w:bookmarkStart w:id="55" w:name="_Toc142298620"/>
      <w:bookmarkStart w:id="56" w:name="_Toc142300460"/>
      <w:r>
        <w:rPr>
          <w:sz w:val="24"/>
          <w:szCs w:val="24"/>
        </w:rPr>
        <w:t>6.1.6液冷系统在验证之前，应已做好冷却系统的预膜、水处理工程，且液冷管路已完成全量吹扫、气压等前置工作。</w:t>
      </w:r>
      <w:bookmarkEnd w:id="55"/>
      <w:bookmarkEnd w:id="56"/>
    </w:p>
    <w:p>
      <w:pPr>
        <w:spacing w:line="360" w:lineRule="auto"/>
        <w:ind w:firstLine="480" w:firstLineChars="200"/>
        <w:jc w:val="left"/>
        <w:rPr>
          <w:sz w:val="24"/>
          <w:szCs w:val="24"/>
        </w:rPr>
      </w:pPr>
      <w:bookmarkStart w:id="57" w:name="_Toc142298621"/>
      <w:bookmarkStart w:id="58" w:name="_Toc142300461"/>
      <w:r>
        <w:rPr>
          <w:sz w:val="24"/>
          <w:szCs w:val="24"/>
        </w:rPr>
        <w:t>6.1.7液冷系统应在完成以上工作和检查后，注入液冷冷却液循环。</w:t>
      </w:r>
      <w:bookmarkEnd w:id="57"/>
      <w:bookmarkEnd w:id="58"/>
    </w:p>
    <w:p>
      <w:pPr>
        <w:spacing w:line="360" w:lineRule="auto"/>
        <w:ind w:firstLine="480" w:firstLineChars="200"/>
        <w:jc w:val="left"/>
        <w:rPr>
          <w:sz w:val="24"/>
          <w:szCs w:val="24"/>
        </w:rPr>
      </w:pPr>
      <w:bookmarkStart w:id="59" w:name="_Toc142300462"/>
      <w:bookmarkStart w:id="60" w:name="_Toc142298622"/>
      <w:r>
        <w:rPr>
          <w:sz w:val="24"/>
          <w:szCs w:val="24"/>
        </w:rPr>
        <w:t>6.1.8液冷系统在首次注入冷却液后，应进行至少24小时的循环、补液、排气、过滤措施。</w:t>
      </w:r>
      <w:bookmarkEnd w:id="59"/>
      <w:bookmarkEnd w:id="60"/>
    </w:p>
    <w:p>
      <w:pPr>
        <w:spacing w:before="312" w:beforeLines="100" w:line="360" w:lineRule="auto"/>
        <w:ind w:firstLine="561" w:firstLineChars="200"/>
        <w:jc w:val="center"/>
        <w:outlineLvl w:val="1"/>
        <w:rPr>
          <w:b/>
          <w:sz w:val="28"/>
          <w:szCs w:val="24"/>
        </w:rPr>
      </w:pPr>
      <w:bookmarkStart w:id="61" w:name="_Toc245701306"/>
      <w:r>
        <w:rPr>
          <w:b/>
          <w:sz w:val="28"/>
          <w:szCs w:val="24"/>
        </w:rPr>
        <w:t>6.2 液冷系统验证用负载与工具</w:t>
      </w:r>
      <w:bookmarkEnd w:id="61"/>
    </w:p>
    <w:p>
      <w:pPr>
        <w:spacing w:line="360" w:lineRule="auto"/>
        <w:ind w:firstLine="480" w:firstLineChars="200"/>
        <w:jc w:val="left"/>
        <w:rPr>
          <w:sz w:val="24"/>
          <w:szCs w:val="24"/>
        </w:rPr>
      </w:pPr>
      <w:bookmarkStart w:id="62" w:name="_Toc142298624"/>
      <w:bookmarkStart w:id="63" w:name="_Toc142300464"/>
      <w:r>
        <w:rPr>
          <w:sz w:val="24"/>
          <w:szCs w:val="24"/>
        </w:rPr>
        <w:t>6.2.1验证用负载工具一般根据是否与冷却液直接接触，分为直接式与间接式负载两种，应根据使用场景选择合适的测试负载</w:t>
      </w:r>
      <w:bookmarkEnd w:id="62"/>
      <w:bookmarkEnd w:id="63"/>
      <w:bookmarkStart w:id="64" w:name="_Toc142300465"/>
      <w:bookmarkStart w:id="65" w:name="_Toc142298625"/>
      <w:r>
        <w:rPr>
          <w:sz w:val="24"/>
          <w:szCs w:val="24"/>
        </w:rPr>
        <w:t>。</w:t>
      </w:r>
    </w:p>
    <w:p>
      <w:pPr>
        <w:spacing w:line="360" w:lineRule="auto"/>
        <w:ind w:firstLine="480" w:firstLineChars="200"/>
        <w:jc w:val="left"/>
        <w:rPr>
          <w:sz w:val="24"/>
          <w:szCs w:val="24"/>
        </w:rPr>
      </w:pPr>
      <w:r>
        <w:rPr>
          <w:sz w:val="24"/>
          <w:szCs w:val="24"/>
        </w:rPr>
        <w:t>6.2.2</w:t>
      </w:r>
      <w:r>
        <w:rPr>
          <w:sz w:val="24"/>
          <w:szCs w:val="24"/>
          <w:lang w:bidi="ar"/>
        </w:rPr>
        <w:t>在浸没式</w:t>
      </w:r>
      <w:r>
        <w:rPr>
          <w:sz w:val="24"/>
          <w:szCs w:val="24"/>
        </w:rPr>
        <w:t>液冷系统对冷却液的温度、压力、电导率等参数有严格要求，宜采用间接式负载进行液冷系统验证，避免冷却液因测试环境的波动发生液体特性变化。</w:t>
      </w:r>
      <w:bookmarkEnd w:id="64"/>
      <w:bookmarkEnd w:id="65"/>
    </w:p>
    <w:p>
      <w:pPr>
        <w:widowControl/>
        <w:spacing w:line="360" w:lineRule="auto"/>
        <w:ind w:firstLine="480" w:firstLineChars="200"/>
        <w:jc w:val="left"/>
        <w:rPr>
          <w:kern w:val="0"/>
          <w:sz w:val="24"/>
          <w:szCs w:val="24"/>
        </w:rPr>
      </w:pPr>
      <w:r>
        <w:rPr>
          <w:kern w:val="0"/>
          <w:sz w:val="24"/>
          <w:szCs w:val="24"/>
        </w:rPr>
        <w:t>条文说明：间接式负载原理为发热电阻与冷却液间接接触换热，一般间接式负载宜采用板换、盘管等方式与液冷的冷却液进行换热，热量通过发热电阻传递至负载内液体，再通过负载内的板换/盘管等换热至CDU，最终通过CDU换热至冷却系统，通过冷却系统的冷却塔/干冷器等设备完成热量的循环。间接式负载原理如下图所示(图6.2.2-1)：</w:t>
      </w:r>
    </w:p>
    <w:p>
      <w:pPr>
        <w:spacing w:line="360" w:lineRule="auto"/>
        <w:ind w:firstLine="480" w:firstLineChars="200"/>
        <w:jc w:val="left"/>
        <w:rPr>
          <w:rFonts w:eastAsia="微软雅黑"/>
          <w:sz w:val="24"/>
          <w:szCs w:val="24"/>
        </w:rPr>
      </w:pPr>
      <w:r>
        <w:rPr>
          <w:rFonts w:eastAsia="微软雅黑"/>
          <w:sz w:val="24"/>
          <w:szCs w:val="24"/>
        </w:rPr>
        <w:drawing>
          <wp:inline distT="0" distB="0" distL="114300" distR="114300">
            <wp:extent cx="5272405" cy="1343660"/>
            <wp:effectExtent l="0" t="0" r="4445"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5272405" cy="1343660"/>
                    </a:xfrm>
                    <a:prstGeom prst="rect">
                      <a:avLst/>
                    </a:prstGeom>
                  </pic:spPr>
                </pic:pic>
              </a:graphicData>
            </a:graphic>
          </wp:inline>
        </w:drawing>
      </w:r>
    </w:p>
    <w:p>
      <w:pPr>
        <w:widowControl/>
        <w:spacing w:line="360" w:lineRule="auto"/>
        <w:ind w:firstLine="420" w:firstLineChars="200"/>
        <w:jc w:val="center"/>
        <w:rPr>
          <w:b/>
          <w:szCs w:val="24"/>
        </w:rPr>
      </w:pPr>
      <w:r>
        <w:rPr>
          <w:b/>
          <w:szCs w:val="24"/>
        </w:rPr>
        <w:t>图6.2.2-1  间接式负载原理图</w:t>
      </w:r>
    </w:p>
    <w:p>
      <w:pPr>
        <w:widowControl/>
        <w:spacing w:line="360" w:lineRule="auto"/>
        <w:ind w:firstLine="480" w:firstLineChars="200"/>
        <w:jc w:val="left"/>
        <w:rPr>
          <w:kern w:val="0"/>
          <w:sz w:val="24"/>
          <w:szCs w:val="24"/>
        </w:rPr>
      </w:pPr>
      <w:r>
        <w:rPr>
          <w:kern w:val="0"/>
          <w:sz w:val="24"/>
          <w:szCs w:val="24"/>
        </w:rPr>
        <w:t>传统风冷假负载组成包括负载外壳、热电阻、风机、保护开关，其工作原理为给定输入的电功率，热电阻发热产生热负荷，风机进行散热至包间内，进而通过风系统循环，验证测试该机房电气、暖通系统是否稳定运行（图6.2.2-2）。</w:t>
      </w:r>
    </w:p>
    <w:p>
      <w:pPr>
        <w:spacing w:line="360" w:lineRule="auto"/>
        <w:ind w:firstLine="480" w:firstLineChars="200"/>
        <w:jc w:val="left"/>
        <w:rPr>
          <w:rFonts w:eastAsia="微软雅黑"/>
          <w:sz w:val="24"/>
          <w:szCs w:val="24"/>
        </w:rPr>
      </w:pPr>
      <w:r>
        <w:rPr>
          <w:rFonts w:eastAsia="微软雅黑"/>
          <w:sz w:val="24"/>
          <w:szCs w:val="24"/>
        </w:rPr>
        <w:drawing>
          <wp:inline distT="0" distB="0" distL="114300" distR="114300">
            <wp:extent cx="5271770" cy="1494155"/>
            <wp:effectExtent l="0" t="0" r="508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271770" cy="1494155"/>
                    </a:xfrm>
                    <a:prstGeom prst="rect">
                      <a:avLst/>
                    </a:prstGeom>
                  </pic:spPr>
                </pic:pic>
              </a:graphicData>
            </a:graphic>
          </wp:inline>
        </w:drawing>
      </w:r>
    </w:p>
    <w:p>
      <w:pPr>
        <w:widowControl/>
        <w:spacing w:line="360" w:lineRule="auto"/>
        <w:ind w:firstLine="420" w:firstLineChars="200"/>
        <w:jc w:val="center"/>
        <w:rPr>
          <w:b/>
          <w:szCs w:val="24"/>
        </w:rPr>
      </w:pPr>
      <w:r>
        <w:rPr>
          <w:b/>
          <w:szCs w:val="24"/>
        </w:rPr>
        <w:t>图6.2.2-2  传统风冷假负载原理图</w:t>
      </w:r>
    </w:p>
    <w:p>
      <w:pPr>
        <w:widowControl/>
        <w:spacing w:line="360" w:lineRule="auto"/>
        <w:ind w:firstLine="480" w:firstLineChars="200"/>
        <w:jc w:val="left"/>
        <w:rPr>
          <w:kern w:val="0"/>
          <w:sz w:val="24"/>
          <w:szCs w:val="24"/>
        </w:rPr>
      </w:pPr>
      <w:r>
        <w:rPr>
          <w:kern w:val="0"/>
          <w:sz w:val="24"/>
          <w:szCs w:val="24"/>
        </w:rPr>
        <w:t>与传统风冷假负载不同，液冷假负载的换热介质主要依靠测试液体，通过热电阻的热量，通过热传导至测试液体，并通过换热装置将热量传送至液冷系统中，验证该机房电气、暖通系统是否稳定运行。</w:t>
      </w:r>
    </w:p>
    <w:p>
      <w:pPr>
        <w:spacing w:line="360" w:lineRule="auto"/>
        <w:ind w:firstLine="480" w:firstLineChars="200"/>
        <w:jc w:val="left"/>
        <w:rPr>
          <w:sz w:val="24"/>
          <w:szCs w:val="24"/>
        </w:rPr>
      </w:pPr>
      <w:bookmarkStart w:id="66" w:name="_Toc142298626"/>
      <w:bookmarkStart w:id="67" w:name="_Toc142300466"/>
      <w:r>
        <w:rPr>
          <w:sz w:val="24"/>
          <w:szCs w:val="24"/>
        </w:rPr>
        <w:t>6.2.3冷板式液冷系统由于液体与服务器发热器件未直接接触 运行对冷却液的参数无非常严格的要求，宜采用直接式负载进行液冷系统验证。</w:t>
      </w:r>
      <w:bookmarkEnd w:id="66"/>
      <w:bookmarkEnd w:id="67"/>
    </w:p>
    <w:p>
      <w:pPr>
        <w:widowControl/>
        <w:spacing w:line="360" w:lineRule="auto"/>
        <w:ind w:firstLine="480" w:firstLineChars="200"/>
        <w:jc w:val="left"/>
        <w:rPr>
          <w:kern w:val="0"/>
          <w:sz w:val="24"/>
          <w:szCs w:val="24"/>
        </w:rPr>
      </w:pPr>
      <w:r>
        <w:rPr>
          <w:kern w:val="0"/>
          <w:sz w:val="24"/>
          <w:szCs w:val="24"/>
        </w:rPr>
        <w:t>条文说明：直接式负载原理为发热电阻与冷却液直接接触换热，热量通过液冷系统的CDU换热至冷却系统，最终通过冷却系统的冷却塔/干冷器等设备完成热量的循环。直接式负载原理如下图所示（图6.2.3）：</w:t>
      </w:r>
    </w:p>
    <w:p>
      <w:pPr>
        <w:widowControl/>
        <w:ind w:firstLine="480" w:firstLineChars="200"/>
        <w:jc w:val="center"/>
        <w:rPr>
          <w:rFonts w:eastAsia="微软雅黑"/>
          <w:sz w:val="24"/>
          <w:szCs w:val="24"/>
        </w:rPr>
      </w:pPr>
      <w:r>
        <w:rPr>
          <w:rFonts w:eastAsia="微软雅黑"/>
          <w:sz w:val="24"/>
          <w:szCs w:val="24"/>
        </w:rPr>
        <w:drawing>
          <wp:inline distT="0" distB="0" distL="114300" distR="114300">
            <wp:extent cx="4330700" cy="1435100"/>
            <wp:effectExtent l="0" t="0" r="12700"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4330700" cy="1435100"/>
                    </a:xfrm>
                    <a:prstGeom prst="rect">
                      <a:avLst/>
                    </a:prstGeom>
                  </pic:spPr>
                </pic:pic>
              </a:graphicData>
            </a:graphic>
          </wp:inline>
        </w:drawing>
      </w:r>
    </w:p>
    <w:p>
      <w:pPr>
        <w:widowControl/>
        <w:spacing w:line="360" w:lineRule="auto"/>
        <w:ind w:firstLine="420" w:firstLineChars="200"/>
        <w:jc w:val="center"/>
        <w:rPr>
          <w:b/>
          <w:szCs w:val="24"/>
        </w:rPr>
      </w:pPr>
      <w:r>
        <w:rPr>
          <w:b/>
          <w:szCs w:val="24"/>
        </w:rPr>
        <w:t>图6.2.3  直接式负载原理图</w:t>
      </w:r>
    </w:p>
    <w:p>
      <w:pPr>
        <w:widowControl/>
        <w:spacing w:line="360" w:lineRule="auto"/>
        <w:ind w:firstLine="480" w:firstLineChars="200"/>
        <w:jc w:val="left"/>
        <w:rPr>
          <w:kern w:val="0"/>
          <w:sz w:val="24"/>
          <w:szCs w:val="24"/>
        </w:rPr>
      </w:pPr>
      <w:r>
        <w:rPr>
          <w:kern w:val="0"/>
          <w:sz w:val="24"/>
          <w:szCs w:val="24"/>
        </w:rPr>
        <w:t>在直接式测试负载中，冷却液与热电阻直接接触，应此在测试前需针对材料兼容性进行筛选，避免测试负载与冷却液进行反应。其负载热量通过冷却液直接传递到冷板式液冷系统的冷却侧，实现系统高效换热。</w:t>
      </w:r>
    </w:p>
    <w:p>
      <w:pPr>
        <w:spacing w:line="360" w:lineRule="auto"/>
        <w:ind w:firstLine="480" w:firstLineChars="200"/>
        <w:jc w:val="left"/>
        <w:rPr>
          <w:sz w:val="24"/>
          <w:szCs w:val="24"/>
        </w:rPr>
      </w:pPr>
      <w:bookmarkStart w:id="68" w:name="_Toc142300467"/>
      <w:bookmarkStart w:id="69" w:name="_Toc142298627"/>
      <w:r>
        <w:rPr>
          <w:sz w:val="24"/>
          <w:szCs w:val="24"/>
        </w:rPr>
        <w:t>6.2.4 验证用负载与工具应具备对液冷冷却、配套强电供电、配套BA监控、配套电力监控系统测试验证的能力。</w:t>
      </w:r>
      <w:bookmarkEnd w:id="68"/>
      <w:bookmarkEnd w:id="69"/>
    </w:p>
    <w:p>
      <w:pPr>
        <w:widowControl/>
        <w:spacing w:line="360" w:lineRule="auto"/>
        <w:ind w:firstLine="480" w:firstLineChars="200"/>
        <w:jc w:val="left"/>
        <w:rPr>
          <w:kern w:val="0"/>
          <w:sz w:val="24"/>
          <w:szCs w:val="24"/>
        </w:rPr>
      </w:pPr>
      <w:r>
        <w:rPr>
          <w:kern w:val="0"/>
          <w:sz w:val="24"/>
          <w:szCs w:val="24"/>
        </w:rPr>
        <w:t>条文说明：验证用假负载应可提供设计工况的最大负载，即设计电气负载与设计发热量。</w:t>
      </w:r>
    </w:p>
    <w:p>
      <w:pPr>
        <w:spacing w:line="360" w:lineRule="auto"/>
        <w:ind w:firstLine="480" w:firstLineChars="200"/>
        <w:jc w:val="left"/>
        <w:rPr>
          <w:sz w:val="24"/>
          <w:szCs w:val="24"/>
        </w:rPr>
      </w:pPr>
      <w:bookmarkStart w:id="70" w:name="_Toc142298628"/>
      <w:bookmarkStart w:id="71" w:name="_Toc142300468"/>
      <w:r>
        <w:rPr>
          <w:sz w:val="24"/>
          <w:szCs w:val="24"/>
        </w:rPr>
        <w:t>6.2.5验证用负载与工具接触冷却液的部分，其材料应与冷却液兼容，不应因负载与工具的使用影响测试结果或导致液体性质发生变化。</w:t>
      </w:r>
      <w:bookmarkEnd w:id="70"/>
      <w:bookmarkEnd w:id="71"/>
    </w:p>
    <w:p>
      <w:pPr>
        <w:widowControl/>
        <w:spacing w:line="360" w:lineRule="auto"/>
        <w:ind w:firstLine="480" w:firstLineChars="200"/>
        <w:jc w:val="left"/>
        <w:rPr>
          <w:kern w:val="0"/>
          <w:sz w:val="24"/>
          <w:szCs w:val="24"/>
        </w:rPr>
      </w:pPr>
      <w:r>
        <w:rPr>
          <w:kern w:val="0"/>
          <w:sz w:val="24"/>
          <w:szCs w:val="24"/>
        </w:rPr>
        <w:t>条文说明：负载设计与制造需谨慎选择与冷却液接触部分的材料，避免使用与冷却液不兼容的材料，尤其是管道材质、法兰密封件、阀门密封件、传感器等。</w:t>
      </w:r>
    </w:p>
    <w:p>
      <w:pPr>
        <w:spacing w:line="360" w:lineRule="auto"/>
        <w:ind w:firstLine="480" w:firstLineChars="200"/>
        <w:jc w:val="left"/>
        <w:rPr>
          <w:sz w:val="24"/>
          <w:szCs w:val="24"/>
        </w:rPr>
      </w:pPr>
      <w:bookmarkStart w:id="72" w:name="_Toc142300469"/>
      <w:bookmarkStart w:id="73" w:name="_Toc142298629"/>
      <w:r>
        <w:rPr>
          <w:sz w:val="24"/>
          <w:szCs w:val="24"/>
        </w:rPr>
        <w:t>6.2.6验证用负载与工具应设置合理保护措施，以保护测试人员、测试负载及冷却液。</w:t>
      </w:r>
      <w:bookmarkEnd w:id="72"/>
      <w:bookmarkEnd w:id="73"/>
    </w:p>
    <w:p>
      <w:pPr>
        <w:widowControl/>
        <w:spacing w:line="360" w:lineRule="auto"/>
        <w:ind w:firstLine="480" w:firstLineChars="200"/>
        <w:jc w:val="left"/>
        <w:rPr>
          <w:kern w:val="0"/>
          <w:sz w:val="24"/>
          <w:szCs w:val="24"/>
        </w:rPr>
      </w:pPr>
      <w:r>
        <w:rPr>
          <w:kern w:val="0"/>
          <w:sz w:val="24"/>
          <w:szCs w:val="24"/>
        </w:rPr>
        <w:t>条文说明：负载与工具应设置必要的安全措施，例如绝缘、急停开关、隔离关断阀、安全阀等，以确保人员安全，避免冷却液受到污染。</w:t>
      </w:r>
    </w:p>
    <w:p>
      <w:pPr>
        <w:spacing w:line="360" w:lineRule="auto"/>
        <w:ind w:firstLine="480" w:firstLineChars="200"/>
        <w:jc w:val="left"/>
        <w:rPr>
          <w:sz w:val="24"/>
          <w:szCs w:val="24"/>
        </w:rPr>
      </w:pPr>
      <w:bookmarkStart w:id="74" w:name="_Toc142298630"/>
      <w:bookmarkStart w:id="75" w:name="_Toc142300470"/>
      <w:r>
        <w:rPr>
          <w:sz w:val="24"/>
          <w:szCs w:val="24"/>
        </w:rPr>
        <w:t>6.2.7验证用负载与工具在设计时，宜设置注液、排液装置。</w:t>
      </w:r>
      <w:bookmarkEnd w:id="74"/>
      <w:bookmarkEnd w:id="75"/>
    </w:p>
    <w:p>
      <w:pPr>
        <w:spacing w:line="360" w:lineRule="auto"/>
        <w:ind w:firstLine="480" w:firstLineChars="200"/>
        <w:jc w:val="left"/>
        <w:rPr>
          <w:sz w:val="24"/>
          <w:szCs w:val="24"/>
        </w:rPr>
      </w:pPr>
      <w:bookmarkStart w:id="76" w:name="_Toc142298631"/>
      <w:bookmarkStart w:id="77" w:name="_Toc142300471"/>
      <w:r>
        <w:rPr>
          <w:sz w:val="24"/>
          <w:szCs w:val="24"/>
        </w:rPr>
        <w:t>6.2.8验证用负载与工具应可调节负载容量、占用体积需求、流体压力、系统阻力、流量等。</w:t>
      </w:r>
      <w:bookmarkEnd w:id="76"/>
      <w:bookmarkEnd w:id="77"/>
    </w:p>
    <w:p>
      <w:pPr>
        <w:spacing w:before="312" w:beforeLines="100" w:line="360" w:lineRule="auto"/>
        <w:ind w:firstLine="561" w:firstLineChars="200"/>
        <w:jc w:val="center"/>
        <w:outlineLvl w:val="1"/>
        <w:rPr>
          <w:b/>
          <w:sz w:val="28"/>
          <w:szCs w:val="24"/>
        </w:rPr>
      </w:pPr>
      <w:bookmarkStart w:id="78" w:name="_Toc2038280408"/>
      <w:r>
        <w:rPr>
          <w:b/>
          <w:sz w:val="28"/>
          <w:szCs w:val="24"/>
        </w:rPr>
        <w:t>6.3 验证用负载与工具的功能</w:t>
      </w:r>
      <w:bookmarkEnd w:id="78"/>
    </w:p>
    <w:p>
      <w:pPr>
        <w:spacing w:line="360" w:lineRule="auto"/>
        <w:ind w:firstLine="480" w:firstLineChars="200"/>
        <w:jc w:val="left"/>
        <w:rPr>
          <w:sz w:val="24"/>
          <w:szCs w:val="24"/>
        </w:rPr>
      </w:pPr>
      <w:bookmarkStart w:id="79" w:name="_Toc142300473"/>
      <w:bookmarkStart w:id="80" w:name="_Toc142298633"/>
      <w:r>
        <w:rPr>
          <w:sz w:val="24"/>
          <w:szCs w:val="24"/>
        </w:rPr>
        <w:t>6.3.1 验证用负载与工具应具备必要的传感器与监控功能。</w:t>
      </w:r>
      <w:bookmarkEnd w:id="79"/>
      <w:bookmarkEnd w:id="80"/>
    </w:p>
    <w:p>
      <w:pPr>
        <w:widowControl/>
        <w:spacing w:line="360" w:lineRule="auto"/>
        <w:ind w:firstLine="480" w:firstLineChars="200"/>
        <w:jc w:val="left"/>
        <w:rPr>
          <w:kern w:val="0"/>
          <w:sz w:val="24"/>
          <w:szCs w:val="24"/>
        </w:rPr>
      </w:pPr>
      <w:r>
        <w:rPr>
          <w:kern w:val="0"/>
          <w:sz w:val="24"/>
          <w:szCs w:val="24"/>
        </w:rPr>
        <w:t>条文说明：传感器设置可设置流量、温度、压力，电气负载宜可测量电阻功率、系统电流、电压等。</w:t>
      </w:r>
    </w:p>
    <w:p>
      <w:pPr>
        <w:spacing w:line="360" w:lineRule="auto"/>
        <w:ind w:firstLine="480" w:firstLineChars="200"/>
        <w:jc w:val="left"/>
        <w:rPr>
          <w:sz w:val="24"/>
          <w:szCs w:val="24"/>
        </w:rPr>
      </w:pPr>
      <w:bookmarkStart w:id="81" w:name="_Toc142300474"/>
      <w:bookmarkStart w:id="82" w:name="_Toc142298634"/>
      <w:r>
        <w:rPr>
          <w:sz w:val="24"/>
          <w:szCs w:val="24"/>
        </w:rPr>
        <w:t>6.3.2 验证用负载与工具应具备系统过载保护、短路保护、过流保护等功能。</w:t>
      </w:r>
      <w:bookmarkEnd w:id="81"/>
      <w:bookmarkEnd w:id="82"/>
    </w:p>
    <w:p>
      <w:pPr>
        <w:spacing w:line="360" w:lineRule="auto"/>
        <w:ind w:firstLine="480" w:firstLineChars="200"/>
        <w:jc w:val="left"/>
        <w:rPr>
          <w:sz w:val="24"/>
          <w:szCs w:val="24"/>
        </w:rPr>
      </w:pPr>
      <w:bookmarkStart w:id="83" w:name="_Toc142298635"/>
      <w:bookmarkStart w:id="84" w:name="_Toc142300475"/>
      <w:r>
        <w:rPr>
          <w:sz w:val="24"/>
          <w:szCs w:val="24"/>
        </w:rPr>
        <w:t>6.3.3 验证用负载与工具应设置声光报警，以有效提示系统异常。</w:t>
      </w:r>
      <w:bookmarkEnd w:id="83"/>
      <w:bookmarkEnd w:id="84"/>
    </w:p>
    <w:p>
      <w:pPr>
        <w:spacing w:line="360" w:lineRule="auto"/>
        <w:ind w:firstLine="480" w:firstLineChars="200"/>
        <w:jc w:val="left"/>
        <w:rPr>
          <w:sz w:val="24"/>
          <w:szCs w:val="24"/>
        </w:rPr>
      </w:pPr>
      <w:bookmarkStart w:id="85" w:name="_Toc142298636"/>
      <w:bookmarkStart w:id="86" w:name="_Toc142300476"/>
      <w:r>
        <w:rPr>
          <w:sz w:val="24"/>
          <w:szCs w:val="24"/>
        </w:rPr>
        <w:t>6.3.4 验证用负载与工具应设置液体管路对接装置，且对接装置相关管路宜设置漏液回收装置，以尽量避免冷却液损耗。</w:t>
      </w:r>
      <w:bookmarkEnd w:id="85"/>
      <w:bookmarkEnd w:id="86"/>
    </w:p>
    <w:p>
      <w:pPr>
        <w:widowControl/>
        <w:spacing w:line="360" w:lineRule="auto"/>
        <w:ind w:firstLine="480" w:firstLineChars="200"/>
        <w:jc w:val="left"/>
        <w:rPr>
          <w:kern w:val="0"/>
          <w:sz w:val="24"/>
          <w:szCs w:val="24"/>
        </w:rPr>
      </w:pPr>
      <w:r>
        <w:rPr>
          <w:kern w:val="0"/>
          <w:sz w:val="24"/>
          <w:szCs w:val="24"/>
        </w:rPr>
        <w:t>条文说明：测试负载一般采用法兰和卡扣进行液体管路的对接，以满足测试需求，在对接处附近的管路宜设置存液盘或回收装置，以尽量避免液体泄漏，存液盘宜设置千分之三或千分之五的倾斜度，以利于液体收集与回收。</w:t>
      </w:r>
    </w:p>
    <w:p>
      <w:pPr>
        <w:spacing w:line="360" w:lineRule="auto"/>
        <w:ind w:firstLine="480" w:firstLineChars="200"/>
        <w:jc w:val="left"/>
        <w:rPr>
          <w:sz w:val="24"/>
          <w:szCs w:val="24"/>
        </w:rPr>
      </w:pPr>
      <w:bookmarkStart w:id="87" w:name="_Toc142300477"/>
      <w:bookmarkStart w:id="88" w:name="_Toc142298637"/>
      <w:r>
        <w:rPr>
          <w:sz w:val="24"/>
          <w:szCs w:val="24"/>
        </w:rPr>
        <w:t>6.3.5 验证用负载与工具应设置电源PDU接口，其内部线缆敷设应按照电气规范实行强电线、弱电线分离，电、水系统宜进行分离。</w:t>
      </w:r>
      <w:bookmarkEnd w:id="87"/>
      <w:bookmarkEnd w:id="88"/>
    </w:p>
    <w:p>
      <w:pPr>
        <w:spacing w:line="360" w:lineRule="auto"/>
        <w:ind w:firstLine="480" w:firstLineChars="200"/>
        <w:jc w:val="left"/>
        <w:rPr>
          <w:sz w:val="24"/>
          <w:szCs w:val="24"/>
        </w:rPr>
      </w:pPr>
      <w:bookmarkStart w:id="89" w:name="_Toc142300478"/>
      <w:bookmarkStart w:id="90" w:name="_Toc142298638"/>
      <w:r>
        <w:rPr>
          <w:sz w:val="24"/>
          <w:szCs w:val="24"/>
        </w:rPr>
        <w:t>6.3.6 验证用负载与工具的监控系统宜具备参数设置、数据查看、数据存储与导出功能。</w:t>
      </w:r>
      <w:bookmarkEnd w:id="89"/>
      <w:bookmarkEnd w:id="90"/>
    </w:p>
    <w:p>
      <w:pPr>
        <w:spacing w:line="360" w:lineRule="auto"/>
        <w:ind w:firstLine="480" w:firstLineChars="200"/>
        <w:rPr>
          <w:sz w:val="24"/>
          <w:szCs w:val="24"/>
        </w:rPr>
      </w:pPr>
      <w:r>
        <w:rPr>
          <w:kern w:val="0"/>
          <w:sz w:val="24"/>
          <w:szCs w:val="24"/>
        </w:rPr>
        <w:t>条文说明：参数设置指的是系统控制相关参数的调整与重新设定，数据查看指的是告警查看、测试数据查看、保护装置启动/停止的信息查看等，数据存储与导出指的是测试数据的存储与导出，以利于测试数据的后期分析。</w:t>
      </w:r>
    </w:p>
    <w:p>
      <w:pPr>
        <w:spacing w:line="360" w:lineRule="auto"/>
        <w:ind w:firstLine="480" w:firstLineChars="200"/>
        <w:jc w:val="left"/>
        <w:rPr>
          <w:sz w:val="24"/>
          <w:szCs w:val="24"/>
        </w:rPr>
      </w:pPr>
      <w:bookmarkStart w:id="91" w:name="_Toc142300479"/>
      <w:bookmarkStart w:id="92" w:name="_Toc142298639"/>
      <w:r>
        <w:rPr>
          <w:sz w:val="24"/>
          <w:szCs w:val="24"/>
        </w:rPr>
        <w:t>6.3.7 验证用负载与工具应具备调节系统压力、流量的功能，满足不同系统设计参数验证的能力。</w:t>
      </w:r>
      <w:bookmarkEnd w:id="91"/>
      <w:bookmarkEnd w:id="92"/>
    </w:p>
    <w:p>
      <w:pPr>
        <w:spacing w:line="360" w:lineRule="auto"/>
        <w:ind w:firstLine="480" w:firstLineChars="200"/>
        <w:jc w:val="left"/>
        <w:rPr>
          <w:sz w:val="24"/>
          <w:szCs w:val="24"/>
        </w:rPr>
      </w:pPr>
      <w:bookmarkStart w:id="93" w:name="_Toc142300480"/>
      <w:bookmarkStart w:id="94" w:name="_Toc142298640"/>
      <w:r>
        <w:rPr>
          <w:sz w:val="24"/>
          <w:szCs w:val="24"/>
        </w:rPr>
        <w:t>6.3.8验证用负载与工具在应用于冷板式液冷系统时，测试负载内的相关材料均应与冷却液材料兼容，避免设备材料影响测试结果。</w:t>
      </w:r>
      <w:bookmarkEnd w:id="93"/>
      <w:bookmarkEnd w:id="94"/>
    </w:p>
    <w:p>
      <w:pPr>
        <w:spacing w:line="360" w:lineRule="auto"/>
        <w:ind w:firstLine="480" w:firstLineChars="200"/>
        <w:jc w:val="left"/>
        <w:rPr>
          <w:sz w:val="24"/>
          <w:szCs w:val="24"/>
        </w:rPr>
      </w:pPr>
      <w:bookmarkStart w:id="95" w:name="_Toc142298641"/>
      <w:bookmarkStart w:id="96" w:name="_Toc142300481"/>
      <w:r>
        <w:rPr>
          <w:sz w:val="24"/>
          <w:szCs w:val="24"/>
        </w:rPr>
        <w:t>6.3.9验证用负载与工具在应用与浸没式液冷系统时，测试负载应具备过滤、换热器清洗的功能，避免由于换热器脏堵导致系统换热效率过低。</w:t>
      </w:r>
      <w:bookmarkEnd w:id="95"/>
      <w:bookmarkEnd w:id="96"/>
    </w:p>
    <w:p>
      <w:pPr>
        <w:spacing w:line="360" w:lineRule="auto"/>
        <w:ind w:firstLine="561" w:firstLineChars="200"/>
        <w:jc w:val="center"/>
        <w:outlineLvl w:val="1"/>
        <w:rPr>
          <w:b/>
          <w:sz w:val="28"/>
          <w:szCs w:val="24"/>
        </w:rPr>
      </w:pPr>
      <w:bookmarkStart w:id="97" w:name="_Toc719680312"/>
      <w:r>
        <w:rPr>
          <w:b/>
          <w:sz w:val="28"/>
          <w:szCs w:val="24"/>
        </w:rPr>
        <w:t>6.4 验证用负载与工具实施方法</w:t>
      </w:r>
      <w:bookmarkEnd w:id="97"/>
    </w:p>
    <w:p>
      <w:pPr>
        <w:spacing w:line="360" w:lineRule="auto"/>
        <w:ind w:firstLine="480" w:firstLineChars="200"/>
        <w:jc w:val="left"/>
        <w:rPr>
          <w:sz w:val="24"/>
          <w:szCs w:val="24"/>
        </w:rPr>
      </w:pPr>
      <w:bookmarkStart w:id="98" w:name="_Toc142298643"/>
      <w:bookmarkStart w:id="99" w:name="_Toc142300483"/>
      <w:r>
        <w:rPr>
          <w:sz w:val="24"/>
          <w:szCs w:val="24"/>
        </w:rPr>
        <w:t>6.4.1 验证用负载与工具针对不同类型的冷却液，宜使用不锈钢材质</w:t>
      </w:r>
      <w:r>
        <w:rPr>
          <w:sz w:val="24"/>
          <w:szCs w:val="24"/>
          <w:lang w:bidi="ar"/>
        </w:rPr>
        <w:t>或PTC材质</w:t>
      </w:r>
      <w:r>
        <w:rPr>
          <w:sz w:val="24"/>
          <w:szCs w:val="24"/>
        </w:rPr>
        <w:t>，不宜使用铜、黄铜、铝等容易产生反应的材质，管道、阀门、密封圈材质均需与冷却液兼容。</w:t>
      </w:r>
      <w:bookmarkEnd w:id="98"/>
      <w:bookmarkEnd w:id="99"/>
    </w:p>
    <w:p>
      <w:pPr>
        <w:spacing w:line="360" w:lineRule="auto"/>
        <w:ind w:firstLine="480" w:firstLineChars="200"/>
        <w:jc w:val="left"/>
        <w:rPr>
          <w:sz w:val="24"/>
          <w:szCs w:val="24"/>
        </w:rPr>
      </w:pPr>
      <w:bookmarkStart w:id="100" w:name="_Toc142300484"/>
      <w:bookmarkStart w:id="101" w:name="_Toc142298644"/>
      <w:r>
        <w:rPr>
          <w:sz w:val="24"/>
          <w:szCs w:val="24"/>
        </w:rPr>
        <w:t>6.4.2 验证用负载与工具负载宜使用PTC材质的恒功率电阻。</w:t>
      </w:r>
      <w:bookmarkEnd w:id="100"/>
      <w:bookmarkEnd w:id="101"/>
    </w:p>
    <w:p>
      <w:pPr>
        <w:spacing w:line="360" w:lineRule="auto"/>
        <w:ind w:firstLine="480" w:firstLineChars="200"/>
        <w:jc w:val="left"/>
        <w:rPr>
          <w:sz w:val="24"/>
          <w:szCs w:val="24"/>
        </w:rPr>
      </w:pPr>
      <w:bookmarkStart w:id="102" w:name="_Toc142300485"/>
      <w:bookmarkStart w:id="103" w:name="_Toc142298645"/>
      <w:r>
        <w:rPr>
          <w:sz w:val="24"/>
          <w:szCs w:val="24"/>
        </w:rPr>
        <w:t>6.4.3  验证用负载与工具应配置液晶显示面板或者可具备数据上传功能，能显示负载电参数（如功率、电流、电压），液冷侧和冷却水侧的温度、压力等参数。</w:t>
      </w:r>
      <w:bookmarkEnd w:id="102"/>
      <w:bookmarkEnd w:id="103"/>
    </w:p>
    <w:p>
      <w:pPr>
        <w:spacing w:line="360" w:lineRule="auto"/>
        <w:ind w:firstLine="480" w:firstLineChars="200"/>
        <w:jc w:val="left"/>
        <w:rPr>
          <w:sz w:val="24"/>
          <w:szCs w:val="24"/>
        </w:rPr>
      </w:pPr>
      <w:bookmarkStart w:id="104" w:name="_Toc142298646"/>
      <w:bookmarkStart w:id="105" w:name="_Toc142300486"/>
      <w:r>
        <w:rPr>
          <w:sz w:val="24"/>
          <w:szCs w:val="24"/>
        </w:rPr>
        <w:t>6.4.4 验证用负载与工具应设置便捷的液体管路接口，且接口处应设置合理的漏液回收装置，减少冷却液损耗和污染现场。</w:t>
      </w:r>
      <w:bookmarkEnd w:id="104"/>
      <w:bookmarkEnd w:id="105"/>
    </w:p>
    <w:p>
      <w:pPr>
        <w:spacing w:line="360" w:lineRule="auto"/>
        <w:ind w:firstLine="480" w:firstLineChars="200"/>
        <w:jc w:val="left"/>
        <w:rPr>
          <w:sz w:val="24"/>
          <w:szCs w:val="24"/>
        </w:rPr>
      </w:pPr>
      <w:bookmarkStart w:id="106" w:name="_Toc142298647"/>
      <w:bookmarkStart w:id="107" w:name="_Toc142300487"/>
      <w:r>
        <w:rPr>
          <w:sz w:val="24"/>
          <w:szCs w:val="24"/>
        </w:rPr>
        <w:t>6.4.5 验证用负载与工具的系统循环泵宜采用变频泵。</w:t>
      </w:r>
      <w:bookmarkEnd w:id="106"/>
      <w:bookmarkEnd w:id="107"/>
    </w:p>
    <w:p>
      <w:pPr>
        <w:spacing w:line="360" w:lineRule="auto"/>
        <w:ind w:firstLine="480" w:firstLineChars="200"/>
        <w:jc w:val="left"/>
        <w:rPr>
          <w:sz w:val="24"/>
          <w:szCs w:val="24"/>
        </w:rPr>
      </w:pPr>
      <w:bookmarkStart w:id="108" w:name="_Toc142300488"/>
      <w:bookmarkStart w:id="109" w:name="_Toc142298648"/>
      <w:r>
        <w:rPr>
          <w:sz w:val="24"/>
          <w:szCs w:val="24"/>
        </w:rPr>
        <w:t>6.4.7 验证用负载与工具循环管路中应配置合适目数的过滤器，过滤器安装位置宜更换、清洗。</w:t>
      </w:r>
      <w:bookmarkEnd w:id="108"/>
      <w:bookmarkEnd w:id="109"/>
    </w:p>
    <w:p>
      <w:pPr>
        <w:spacing w:line="360" w:lineRule="auto"/>
        <w:ind w:firstLine="480" w:firstLineChars="200"/>
        <w:jc w:val="left"/>
        <w:rPr>
          <w:sz w:val="24"/>
          <w:szCs w:val="24"/>
        </w:rPr>
      </w:pPr>
      <w:bookmarkStart w:id="110" w:name="_Toc142300489"/>
      <w:bookmarkStart w:id="111" w:name="_Toc142298649"/>
      <w:r>
        <w:rPr>
          <w:sz w:val="24"/>
          <w:szCs w:val="24"/>
        </w:rPr>
        <w:t>6.4.8 验证用负载与工具的管路、负载腔体应设置隔热措施，避免热量耗散，且管路外壁应设置有明确、清晰的箭头指示，说明管路液体、液体流向。</w:t>
      </w:r>
      <w:bookmarkEnd w:id="110"/>
      <w:bookmarkEnd w:id="111"/>
    </w:p>
    <w:p>
      <w:pPr>
        <w:spacing w:line="360" w:lineRule="auto"/>
        <w:ind w:firstLine="480" w:firstLineChars="200"/>
        <w:jc w:val="left"/>
        <w:rPr>
          <w:sz w:val="24"/>
          <w:szCs w:val="24"/>
        </w:rPr>
      </w:pPr>
      <w:bookmarkStart w:id="112" w:name="_Toc142298650"/>
      <w:bookmarkStart w:id="113" w:name="_Toc142300490"/>
      <w:r>
        <w:rPr>
          <w:sz w:val="24"/>
          <w:szCs w:val="24"/>
        </w:rPr>
        <w:t>6.4.9 验证用负载与工具的加热系统采用开式系统时，应设置呼吸阀及空间预留；采用闭式系统时，应设置有膨胀水箱或水罐，充分考虑冷却液因温度变化体积产生的变化。</w:t>
      </w:r>
      <w:bookmarkEnd w:id="112"/>
      <w:bookmarkEnd w:id="113"/>
    </w:p>
    <w:p>
      <w:pPr>
        <w:spacing w:line="360" w:lineRule="auto"/>
        <w:ind w:firstLine="480" w:firstLineChars="200"/>
        <w:jc w:val="left"/>
        <w:rPr>
          <w:sz w:val="24"/>
          <w:szCs w:val="24"/>
        </w:rPr>
      </w:pPr>
      <w:bookmarkStart w:id="114" w:name="_Toc142300491"/>
      <w:bookmarkStart w:id="115" w:name="_Toc142298651"/>
      <w:r>
        <w:rPr>
          <w:sz w:val="24"/>
          <w:szCs w:val="24"/>
        </w:rPr>
        <w:t>6.4.10 浸没式液冷系统测试负载应具备独立的控制系统，宜设置一键急停、快速切断的保护装置。</w:t>
      </w:r>
      <w:bookmarkEnd w:id="114"/>
      <w:bookmarkEnd w:id="115"/>
    </w:p>
    <w:p>
      <w:pPr>
        <w:spacing w:line="360" w:lineRule="auto"/>
        <w:ind w:firstLine="480" w:firstLineChars="200"/>
        <w:rPr>
          <w:kern w:val="0"/>
          <w:sz w:val="24"/>
          <w:szCs w:val="24"/>
        </w:rPr>
      </w:pPr>
      <w:r>
        <w:rPr>
          <w:kern w:val="0"/>
          <w:sz w:val="24"/>
          <w:szCs w:val="24"/>
        </w:rPr>
        <w:t>条文说明：浸没式液冷系统负载与原液冷系统不直接关联，而是通过换热器交换热量，在紧急场景需要具备一键切断负载和急停功能，用于保护原系统和冷却液，同时也要避免冷却液大量泄漏 。</w:t>
      </w:r>
    </w:p>
    <w:p>
      <w:pPr>
        <w:spacing w:line="360" w:lineRule="auto"/>
        <w:ind w:firstLine="480" w:firstLineChars="200"/>
        <w:jc w:val="left"/>
        <w:rPr>
          <w:sz w:val="24"/>
          <w:szCs w:val="24"/>
        </w:rPr>
      </w:pPr>
      <w:bookmarkStart w:id="116" w:name="_Toc142300492"/>
      <w:bookmarkStart w:id="117" w:name="_Toc142298652"/>
      <w:r>
        <w:rPr>
          <w:sz w:val="24"/>
          <w:szCs w:val="24"/>
        </w:rPr>
        <w:t>6.4.11冷板式液冷系统测试负载应具备一键急停，快速紧急隔离液体循环系统功能。</w:t>
      </w:r>
      <w:bookmarkEnd w:id="116"/>
      <w:bookmarkEnd w:id="117"/>
    </w:p>
    <w:p>
      <w:pPr>
        <w:spacing w:line="360" w:lineRule="auto"/>
        <w:ind w:firstLine="480" w:firstLineChars="200"/>
        <w:rPr>
          <w:kern w:val="0"/>
          <w:sz w:val="24"/>
          <w:szCs w:val="24"/>
        </w:rPr>
      </w:pPr>
      <w:r>
        <w:rPr>
          <w:kern w:val="0"/>
          <w:sz w:val="24"/>
          <w:szCs w:val="24"/>
        </w:rPr>
        <w:t>条文说明：冷板式测试负载由于与原液冷系统直接关联，一旦液体泄漏，可能影响到原系统状态，甚至对原系统设备产生影响，需要设置隔离和急停等保护功能，避免冷却液进入到原系统。</w:t>
      </w:r>
    </w:p>
    <w:p>
      <w:pPr>
        <w:spacing w:line="360" w:lineRule="auto"/>
        <w:ind w:firstLine="480" w:firstLineChars="200"/>
        <w:jc w:val="left"/>
        <w:rPr>
          <w:sz w:val="24"/>
          <w:szCs w:val="24"/>
        </w:rPr>
      </w:pPr>
      <w:r>
        <w:rPr>
          <w:sz w:val="24"/>
          <w:szCs w:val="24"/>
        </w:rPr>
        <w:t>6.4.12 验证用负载宜定期校准，最大允许误差温度不宜低于±0.5℃，压力不宜低于±1.0%，流量不宜低于±1.5%，功率不宜低于±1.0%。</w:t>
      </w:r>
    </w:p>
    <w:p>
      <w:pPr>
        <w:spacing w:line="360" w:lineRule="auto"/>
        <w:ind w:firstLine="561" w:firstLineChars="200"/>
        <w:jc w:val="center"/>
        <w:outlineLvl w:val="1"/>
        <w:rPr>
          <w:b/>
          <w:sz w:val="28"/>
          <w:szCs w:val="24"/>
        </w:rPr>
      </w:pPr>
      <w:bookmarkStart w:id="118" w:name="_Toc1039103880"/>
      <w:r>
        <w:rPr>
          <w:b/>
          <w:sz w:val="28"/>
          <w:szCs w:val="24"/>
        </w:rPr>
        <w:t>6.5 系统可靠性验证</w:t>
      </w:r>
      <w:bookmarkEnd w:id="118"/>
    </w:p>
    <w:p>
      <w:pPr>
        <w:spacing w:line="360" w:lineRule="auto"/>
        <w:rPr>
          <w:sz w:val="24"/>
          <w:szCs w:val="24"/>
        </w:rPr>
      </w:pPr>
      <w:bookmarkStart w:id="119" w:name="_Toc142298654"/>
      <w:bookmarkStart w:id="120" w:name="_Toc142300494"/>
      <w:r>
        <w:rPr>
          <w:rFonts w:eastAsia="微软雅黑"/>
          <w:sz w:val="24"/>
          <w:szCs w:val="24"/>
        </w:rPr>
        <w:t xml:space="preserve">   </w:t>
      </w:r>
      <w:r>
        <w:rPr>
          <w:sz w:val="24"/>
          <w:szCs w:val="24"/>
        </w:rPr>
        <w:t xml:space="preserve"> 6.5.1 </w:t>
      </w:r>
      <w:r>
        <w:rPr>
          <w:sz w:val="24"/>
          <w:szCs w:val="24"/>
          <w:lang w:bidi="ar"/>
        </w:rPr>
        <w:t xml:space="preserve"> 液冷系统可靠性验证应分为厂验测试、安装调试、工艺测试、功能测试、系统测试共计5个级别</w:t>
      </w:r>
      <w:r>
        <w:rPr>
          <w:sz w:val="24"/>
          <w:szCs w:val="24"/>
        </w:rPr>
        <w:t>。</w:t>
      </w:r>
      <w:bookmarkEnd w:id="119"/>
      <w:bookmarkEnd w:id="120"/>
    </w:p>
    <w:p>
      <w:pPr>
        <w:spacing w:line="360" w:lineRule="auto"/>
        <w:rPr>
          <w:sz w:val="24"/>
          <w:szCs w:val="24"/>
        </w:rPr>
      </w:pPr>
      <w:r>
        <w:rPr>
          <w:sz w:val="24"/>
          <w:szCs w:val="24"/>
        </w:rPr>
        <w:t xml:space="preserve">    6.</w:t>
      </w:r>
      <w:r>
        <w:rPr>
          <w:rFonts w:hint="eastAsia"/>
          <w:sz w:val="24"/>
          <w:szCs w:val="24"/>
        </w:rPr>
        <w:t>5</w:t>
      </w:r>
      <w:r>
        <w:rPr>
          <w:sz w:val="24"/>
          <w:szCs w:val="24"/>
        </w:rPr>
        <w:t xml:space="preserve">.2 </w:t>
      </w:r>
      <w:r>
        <w:rPr>
          <w:sz w:val="24"/>
          <w:szCs w:val="24"/>
          <w:lang w:bidi="ar"/>
        </w:rPr>
        <w:t>液冷系统可靠性验证厂验测试应包括设备出厂前的设备功能和基础性能参数，主要验证液冷系统各单机设备实验室环境下各功能、参数是否匹配设计要求</w:t>
      </w:r>
      <w:r>
        <w:rPr>
          <w:sz w:val="24"/>
          <w:szCs w:val="24"/>
        </w:rPr>
        <w:t>。</w:t>
      </w:r>
    </w:p>
    <w:p>
      <w:pPr>
        <w:spacing w:line="360" w:lineRule="auto"/>
        <w:rPr>
          <w:sz w:val="24"/>
          <w:szCs w:val="24"/>
        </w:rPr>
      </w:pPr>
      <w:r>
        <w:rPr>
          <w:sz w:val="24"/>
          <w:szCs w:val="24"/>
          <w:lang w:bidi="ar"/>
        </w:rPr>
        <w:t xml:space="preserve">    6.5.3 液冷系统可靠性验证安装调试应包括设备到场后的安装校准和开机调试，主要验证液冷系统各单机设备到达机房现场以后的安装准确性、接线准确性、开机启动等功能。</w:t>
      </w:r>
    </w:p>
    <w:p>
      <w:pPr>
        <w:spacing w:line="360" w:lineRule="auto"/>
        <w:rPr>
          <w:sz w:val="24"/>
          <w:szCs w:val="24"/>
          <w:lang w:bidi="ar"/>
        </w:rPr>
      </w:pPr>
      <w:r>
        <w:rPr>
          <w:sz w:val="24"/>
          <w:szCs w:val="24"/>
          <w:lang w:bidi="ar"/>
        </w:rPr>
        <w:t xml:space="preserve">    6.5.4液冷系统可靠性验证工艺测试应包括设备内外工艺检查和信息核对，主要验证液冷系统各单机设备的柜内外卫生、标识标签、名牌参数、图纸一致性等信息，为正式的功能测试做准备。</w:t>
      </w:r>
    </w:p>
    <w:p>
      <w:pPr>
        <w:spacing w:line="360" w:lineRule="auto"/>
        <w:rPr>
          <w:sz w:val="24"/>
          <w:szCs w:val="24"/>
        </w:rPr>
      </w:pPr>
      <w:r>
        <w:rPr>
          <w:sz w:val="24"/>
          <w:szCs w:val="24"/>
          <w:lang w:bidi="ar"/>
        </w:rPr>
        <w:t xml:space="preserve">    6.5.5液冷系统可靠性验证功能测试应包括设备开机、参数设定、点位核对、带载测试、告警功能测试等内容，主要验证液冷系统的单机设备功能、局部系统功能完整性。</w:t>
      </w:r>
    </w:p>
    <w:p>
      <w:pPr>
        <w:spacing w:line="360" w:lineRule="auto"/>
        <w:rPr>
          <w:sz w:val="24"/>
          <w:szCs w:val="24"/>
          <w:lang w:bidi="ar"/>
        </w:rPr>
      </w:pPr>
      <w:r>
        <w:rPr>
          <w:sz w:val="24"/>
          <w:szCs w:val="24"/>
          <w:lang w:bidi="ar"/>
        </w:rPr>
        <w:t xml:space="preserve">    6.5.6液冷系统可靠性验证系统测试应包括系统功能逻辑、故障场景等验证，主要验证液冷系统的逻辑和功能正常，验证系统故障场景下可靠运行的能力。</w:t>
      </w:r>
    </w:p>
    <w:p>
      <w:pPr>
        <w:spacing w:line="360" w:lineRule="auto"/>
        <w:rPr>
          <w:sz w:val="24"/>
          <w:szCs w:val="24"/>
          <w:lang w:bidi="ar"/>
        </w:rPr>
      </w:pPr>
      <w:r>
        <w:rPr>
          <w:sz w:val="24"/>
          <w:szCs w:val="24"/>
          <w:lang w:bidi="ar"/>
        </w:rPr>
        <w:t xml:space="preserve">    6.5.7 液冷系统可靠性验证前置条件</w:t>
      </w:r>
    </w:p>
    <w:p>
      <w:pPr>
        <w:numPr>
          <w:ilvl w:val="0"/>
          <w:numId w:val="20"/>
        </w:numPr>
        <w:tabs>
          <w:tab w:val="left" w:pos="425"/>
        </w:tabs>
        <w:spacing w:line="360" w:lineRule="auto"/>
        <w:ind w:left="874"/>
        <w:jc w:val="left"/>
        <w:rPr>
          <w:sz w:val="24"/>
          <w:szCs w:val="24"/>
        </w:rPr>
      </w:pPr>
      <w:r>
        <w:rPr>
          <w:sz w:val="24"/>
          <w:szCs w:val="24"/>
        </w:rPr>
        <w:t>液冷系统相关强电</w:t>
      </w:r>
      <w:r>
        <w:rPr>
          <w:rFonts w:hint="eastAsia"/>
          <w:sz w:val="24"/>
          <w:szCs w:val="24"/>
        </w:rPr>
        <w:t>工程、弱电工程相关的验证应符合《数据中心基础设施验证测试技术规范》2022-1472T-YD相关要求。</w:t>
      </w:r>
    </w:p>
    <w:p>
      <w:pPr>
        <w:numPr>
          <w:ilvl w:val="0"/>
          <w:numId w:val="20"/>
        </w:numPr>
        <w:tabs>
          <w:tab w:val="left" w:pos="425"/>
        </w:tabs>
        <w:spacing w:line="360" w:lineRule="auto"/>
        <w:ind w:left="874"/>
        <w:jc w:val="left"/>
        <w:rPr>
          <w:sz w:val="24"/>
          <w:szCs w:val="24"/>
        </w:rPr>
      </w:pPr>
      <w:r>
        <w:rPr>
          <w:sz w:val="24"/>
          <w:szCs w:val="24"/>
        </w:rPr>
        <w:t>需验证的液冷系统应已完成各分部、分项工程及设备本体的安装和调试，应已完成卫生、标识标签等基本工作。</w:t>
      </w:r>
    </w:p>
    <w:p>
      <w:pPr>
        <w:numPr>
          <w:ilvl w:val="0"/>
          <w:numId w:val="20"/>
        </w:numPr>
        <w:tabs>
          <w:tab w:val="left" w:pos="425"/>
        </w:tabs>
        <w:spacing w:line="360" w:lineRule="auto"/>
        <w:ind w:left="874"/>
        <w:jc w:val="left"/>
        <w:rPr>
          <w:sz w:val="24"/>
          <w:szCs w:val="24"/>
        </w:rPr>
      </w:pPr>
      <w:r>
        <w:rPr>
          <w:sz w:val="24"/>
          <w:szCs w:val="24"/>
        </w:rPr>
        <w:t xml:space="preserve"> 应已完成液冷系统中各设备的单机调试以及系统联调，并应具备相关报告。</w:t>
      </w:r>
    </w:p>
    <w:p>
      <w:pPr>
        <w:numPr>
          <w:ilvl w:val="0"/>
          <w:numId w:val="20"/>
        </w:numPr>
        <w:tabs>
          <w:tab w:val="left" w:pos="425"/>
        </w:tabs>
        <w:spacing w:line="360" w:lineRule="auto"/>
        <w:ind w:left="874"/>
        <w:jc w:val="left"/>
        <w:rPr>
          <w:sz w:val="24"/>
          <w:szCs w:val="24"/>
        </w:rPr>
      </w:pPr>
      <w:r>
        <w:rPr>
          <w:sz w:val="24"/>
          <w:szCs w:val="24"/>
        </w:rPr>
        <w:t xml:space="preserve"> 液冷监控系统应已完成监测点映射、传感器校准与功能自测。</w:t>
      </w:r>
    </w:p>
    <w:p>
      <w:pPr>
        <w:numPr>
          <w:ilvl w:val="0"/>
          <w:numId w:val="20"/>
        </w:numPr>
        <w:tabs>
          <w:tab w:val="left" w:pos="425"/>
        </w:tabs>
        <w:spacing w:line="360" w:lineRule="auto"/>
        <w:ind w:left="874"/>
        <w:jc w:val="left"/>
        <w:rPr>
          <w:sz w:val="24"/>
          <w:szCs w:val="24"/>
        </w:rPr>
      </w:pPr>
      <w:r>
        <w:rPr>
          <w:sz w:val="24"/>
          <w:szCs w:val="24"/>
        </w:rPr>
        <w:t xml:space="preserve"> 应已完成机房安全检查、已按照消防规范配置好消防系统与火灾报警系统，且机房内不应放置易燃、易爆等危险品。</w:t>
      </w:r>
    </w:p>
    <w:p>
      <w:pPr>
        <w:spacing w:line="360" w:lineRule="auto"/>
        <w:rPr>
          <w:sz w:val="24"/>
          <w:szCs w:val="24"/>
        </w:rPr>
      </w:pPr>
      <w:r>
        <w:rPr>
          <w:rFonts w:eastAsia="微软雅黑"/>
          <w:sz w:val="24"/>
          <w:szCs w:val="24"/>
          <w:lang w:bidi="ar"/>
        </w:rPr>
        <w:t xml:space="preserve">   </w:t>
      </w:r>
      <w:r>
        <w:rPr>
          <w:sz w:val="24"/>
          <w:szCs w:val="24"/>
          <w:lang w:bidi="ar"/>
        </w:rPr>
        <w:t xml:space="preserve"> 6.5.8 厂验测试规定</w:t>
      </w:r>
    </w:p>
    <w:p>
      <w:pPr>
        <w:pStyle w:val="44"/>
        <w:numPr>
          <w:ilvl w:val="0"/>
          <w:numId w:val="21"/>
        </w:numPr>
        <w:spacing w:line="360" w:lineRule="auto"/>
        <w:ind w:left="525" w:leftChars="250" w:firstLineChars="0"/>
        <w:jc w:val="left"/>
        <w:rPr>
          <w:sz w:val="24"/>
          <w:szCs w:val="24"/>
        </w:rPr>
      </w:pPr>
      <w:bookmarkStart w:id="121" w:name="_Toc142300496"/>
      <w:bookmarkStart w:id="122" w:name="_Toc142298656"/>
      <w:r>
        <w:rPr>
          <w:sz w:val="24"/>
          <w:szCs w:val="24"/>
        </w:rPr>
        <w:t xml:space="preserve">液冷系统可靠性验证厂验测试应在设备工厂内对单机设备进行功能和参数验证。 </w:t>
      </w:r>
      <w:bookmarkEnd w:id="121"/>
      <w:bookmarkEnd w:id="122"/>
    </w:p>
    <w:p>
      <w:pPr>
        <w:pStyle w:val="44"/>
        <w:numPr>
          <w:ilvl w:val="0"/>
          <w:numId w:val="21"/>
        </w:numPr>
        <w:spacing w:line="360" w:lineRule="auto"/>
        <w:ind w:left="525" w:leftChars="250" w:firstLineChars="0"/>
        <w:jc w:val="left"/>
        <w:rPr>
          <w:sz w:val="24"/>
          <w:szCs w:val="24"/>
        </w:rPr>
      </w:pPr>
      <w:r>
        <w:rPr>
          <w:sz w:val="24"/>
          <w:szCs w:val="24"/>
        </w:rPr>
        <w:t>厂验测试应包括设备静态检测，检查内容应覆盖设备表面、铭牌、布线工艺基础功能配置。</w:t>
      </w:r>
    </w:p>
    <w:p>
      <w:pPr>
        <w:numPr>
          <w:ilvl w:val="0"/>
          <w:numId w:val="21"/>
        </w:numPr>
        <w:spacing w:line="360" w:lineRule="auto"/>
        <w:ind w:left="525" w:leftChars="250"/>
        <w:jc w:val="left"/>
        <w:rPr>
          <w:sz w:val="24"/>
          <w:szCs w:val="24"/>
        </w:rPr>
      </w:pPr>
      <w:r>
        <w:rPr>
          <w:sz w:val="24"/>
          <w:szCs w:val="24"/>
        </w:rPr>
        <w:t xml:space="preserve">  厂验测试应包括设备功能性检测，包括启停控制、手自动切换、故障场景、逻辑测试。</w:t>
      </w:r>
    </w:p>
    <w:p>
      <w:pPr>
        <w:numPr>
          <w:ilvl w:val="0"/>
          <w:numId w:val="21"/>
        </w:numPr>
        <w:spacing w:line="360" w:lineRule="auto"/>
        <w:ind w:left="525" w:leftChars="250"/>
        <w:jc w:val="left"/>
        <w:rPr>
          <w:sz w:val="24"/>
          <w:szCs w:val="24"/>
        </w:rPr>
      </w:pPr>
      <w:r>
        <w:rPr>
          <w:sz w:val="24"/>
          <w:szCs w:val="24"/>
        </w:rPr>
        <w:t xml:space="preserve">  厂验测试应包括设备动态性能检测，包括噪声测试、动平衡测试、极限测试及其他反应设备动态性能的检测项。</w:t>
      </w:r>
    </w:p>
    <w:p>
      <w:pPr>
        <w:numPr>
          <w:ilvl w:val="0"/>
          <w:numId w:val="21"/>
        </w:numPr>
        <w:spacing w:line="360" w:lineRule="auto"/>
        <w:ind w:left="525" w:leftChars="250"/>
        <w:jc w:val="left"/>
        <w:rPr>
          <w:sz w:val="24"/>
          <w:szCs w:val="24"/>
        </w:rPr>
      </w:pPr>
      <w:r>
        <w:rPr>
          <w:sz w:val="24"/>
          <w:szCs w:val="24"/>
        </w:rPr>
        <w:t xml:space="preserve">  液冷末端CDU厂验测试中，应进行气密性测试，气密性测试应符合《工业金属管道工程工程施工规范》GB50235-2010的相关规定。</w:t>
      </w:r>
    </w:p>
    <w:p>
      <w:pPr>
        <w:numPr>
          <w:ilvl w:val="0"/>
          <w:numId w:val="21"/>
        </w:numPr>
        <w:spacing w:line="360" w:lineRule="auto"/>
        <w:ind w:left="525" w:leftChars="250"/>
        <w:jc w:val="left"/>
        <w:rPr>
          <w:sz w:val="24"/>
          <w:szCs w:val="24"/>
        </w:rPr>
      </w:pPr>
      <w:r>
        <w:rPr>
          <w:sz w:val="24"/>
          <w:szCs w:val="24"/>
        </w:rPr>
        <w:t xml:space="preserve">  当液冷末端CDU包含控制器与控制系统时，厂验测试应进行监控相关的功能测试。</w:t>
      </w:r>
    </w:p>
    <w:p>
      <w:pPr>
        <w:numPr>
          <w:ilvl w:val="0"/>
          <w:numId w:val="21"/>
        </w:numPr>
        <w:spacing w:line="360" w:lineRule="auto"/>
        <w:ind w:left="525" w:leftChars="250"/>
        <w:jc w:val="left"/>
        <w:rPr>
          <w:sz w:val="24"/>
          <w:szCs w:val="24"/>
        </w:rPr>
      </w:pPr>
      <w:r>
        <w:rPr>
          <w:sz w:val="24"/>
          <w:szCs w:val="24"/>
        </w:rPr>
        <w:t xml:space="preserve">  </w:t>
      </w:r>
      <w:r>
        <w:rPr>
          <w:sz w:val="24"/>
          <w:szCs w:val="24"/>
          <w:lang w:bidi="ar"/>
        </w:rPr>
        <w:t>安装调试</w:t>
      </w:r>
      <w:r>
        <w:rPr>
          <w:sz w:val="24"/>
          <w:szCs w:val="24"/>
        </w:rPr>
        <w:t>前应确保相关管路完成吹扫、打压、钝化预膜等工作，管道相关阀门及管道内流体的流向应完成检查，并宜配置正确的标识标签和流向箭头。</w:t>
      </w:r>
    </w:p>
    <w:p>
      <w:pPr>
        <w:numPr>
          <w:ilvl w:val="0"/>
          <w:numId w:val="21"/>
        </w:numPr>
        <w:spacing w:line="360" w:lineRule="auto"/>
        <w:ind w:left="525" w:leftChars="250"/>
        <w:jc w:val="left"/>
        <w:rPr>
          <w:sz w:val="24"/>
          <w:szCs w:val="24"/>
        </w:rPr>
      </w:pPr>
      <w:r>
        <w:rPr>
          <w:sz w:val="24"/>
          <w:szCs w:val="24"/>
        </w:rPr>
        <w:t xml:space="preserve">  安装调试应验证设备安装调试、设备开机自检。</w:t>
      </w:r>
    </w:p>
    <w:p>
      <w:pPr>
        <w:spacing w:line="360" w:lineRule="auto"/>
        <w:rPr>
          <w:sz w:val="24"/>
          <w:szCs w:val="24"/>
          <w:lang w:bidi="ar"/>
        </w:rPr>
      </w:pPr>
      <w:r>
        <w:rPr>
          <w:sz w:val="24"/>
          <w:szCs w:val="24"/>
          <w:lang w:bidi="ar"/>
        </w:rPr>
        <w:t xml:space="preserve">   6.5.9  工艺测试规定</w:t>
      </w:r>
    </w:p>
    <w:p>
      <w:pPr>
        <w:numPr>
          <w:ilvl w:val="0"/>
          <w:numId w:val="22"/>
        </w:numPr>
        <w:tabs>
          <w:tab w:val="left" w:pos="425"/>
        </w:tabs>
        <w:spacing w:line="360" w:lineRule="auto"/>
        <w:ind w:left="525" w:leftChars="250"/>
        <w:jc w:val="left"/>
        <w:rPr>
          <w:sz w:val="24"/>
          <w:szCs w:val="24"/>
        </w:rPr>
      </w:pPr>
      <w:r>
        <w:rPr>
          <w:sz w:val="24"/>
          <w:szCs w:val="24"/>
        </w:rPr>
        <w:t xml:space="preserve"> 工艺测试主要验证液冷系统的工艺完整性，测试内容应包括设备外观、图纸一致性核对（含标识标签）等，宜包括环境卫生检查。</w:t>
      </w:r>
    </w:p>
    <w:p>
      <w:pPr>
        <w:numPr>
          <w:ilvl w:val="0"/>
          <w:numId w:val="22"/>
        </w:numPr>
        <w:tabs>
          <w:tab w:val="left" w:pos="425"/>
        </w:tabs>
        <w:spacing w:line="360" w:lineRule="auto"/>
        <w:ind w:left="525" w:leftChars="250"/>
        <w:jc w:val="left"/>
        <w:rPr>
          <w:sz w:val="24"/>
          <w:szCs w:val="24"/>
        </w:rPr>
      </w:pPr>
      <w:r>
        <w:rPr>
          <w:sz w:val="24"/>
          <w:szCs w:val="24"/>
        </w:rPr>
        <w:t xml:space="preserve"> 设备外观检查应包括设备外壳、内部的物理检查，以确认设备完好；管道外观应检查焊接处、电动阀安装、密封，Tank出线处应检查密封件旋紧，应保障密封效果良好。</w:t>
      </w:r>
    </w:p>
    <w:p>
      <w:pPr>
        <w:pStyle w:val="44"/>
        <w:spacing w:line="360" w:lineRule="auto"/>
        <w:ind w:left="945" w:firstLine="0" w:firstLineChars="0"/>
        <w:rPr>
          <w:kern w:val="0"/>
          <w:sz w:val="24"/>
          <w:szCs w:val="24"/>
        </w:rPr>
      </w:pPr>
      <w:r>
        <w:rPr>
          <w:kern w:val="0"/>
          <w:sz w:val="24"/>
          <w:szCs w:val="24"/>
        </w:rPr>
        <w:t>条文说明：液冷末端CDU的外观宜检查各类传感器接线和校准记录、宜检查过滤器的目数、排气阀、排液阀的设置；液冷机柜TANK的外观宜检查接地线的连接与固定，还应检查内胆是否已完成调平。</w:t>
      </w:r>
    </w:p>
    <w:p>
      <w:pPr>
        <w:numPr>
          <w:ilvl w:val="0"/>
          <w:numId w:val="22"/>
        </w:numPr>
        <w:tabs>
          <w:tab w:val="left" w:pos="425"/>
        </w:tabs>
        <w:spacing w:line="360" w:lineRule="auto"/>
        <w:ind w:left="525" w:leftChars="250"/>
        <w:jc w:val="left"/>
        <w:rPr>
          <w:sz w:val="24"/>
          <w:szCs w:val="24"/>
        </w:rPr>
      </w:pPr>
      <w:r>
        <w:rPr>
          <w:sz w:val="24"/>
          <w:szCs w:val="24"/>
        </w:rPr>
        <w:t xml:space="preserve"> 图纸一致性核对宜包括设备的位置核对、数量核对、物理尺寸核对，并宜包括电气线缆路由与冷却管路的检查与核对。</w:t>
      </w:r>
    </w:p>
    <w:p>
      <w:pPr>
        <w:pStyle w:val="44"/>
        <w:spacing w:line="360" w:lineRule="auto"/>
        <w:ind w:left="945" w:firstLine="0" w:firstLineChars="0"/>
        <w:rPr>
          <w:kern w:val="0"/>
          <w:sz w:val="24"/>
          <w:szCs w:val="24"/>
        </w:rPr>
      </w:pPr>
      <w:r>
        <w:rPr>
          <w:kern w:val="0"/>
          <w:sz w:val="24"/>
          <w:szCs w:val="24"/>
        </w:rPr>
        <w:t>条文说明：工艺测试前宜确保设备的标识标签与图纸编号一致，用户也可以根据运维习惯进行标识与标签。</w:t>
      </w:r>
    </w:p>
    <w:p>
      <w:pPr>
        <w:numPr>
          <w:ilvl w:val="0"/>
          <w:numId w:val="22"/>
        </w:numPr>
        <w:tabs>
          <w:tab w:val="left" w:pos="425"/>
        </w:tabs>
        <w:spacing w:line="360" w:lineRule="auto"/>
        <w:ind w:left="525" w:leftChars="250"/>
        <w:jc w:val="left"/>
        <w:rPr>
          <w:sz w:val="24"/>
          <w:szCs w:val="24"/>
        </w:rPr>
      </w:pPr>
      <w:r>
        <w:rPr>
          <w:sz w:val="24"/>
          <w:szCs w:val="24"/>
        </w:rPr>
        <w:t>环境应无扬尘、无金属，环境卫生宜检查设备放置的环境是否满足设备开机与运行的条件。</w:t>
      </w:r>
    </w:p>
    <w:p>
      <w:pPr>
        <w:numPr>
          <w:ilvl w:val="0"/>
          <w:numId w:val="22"/>
        </w:numPr>
        <w:tabs>
          <w:tab w:val="left" w:pos="425"/>
        </w:tabs>
        <w:spacing w:line="360" w:lineRule="auto"/>
        <w:ind w:left="525" w:leftChars="250"/>
        <w:jc w:val="left"/>
        <w:rPr>
          <w:sz w:val="24"/>
          <w:szCs w:val="24"/>
        </w:rPr>
      </w:pPr>
      <w:r>
        <w:rPr>
          <w:sz w:val="24"/>
          <w:szCs w:val="24"/>
        </w:rPr>
        <w:t>功能测试应测试单机设备功能、局部系统功能完整性，包括设备开机、参数设定、点位核对、带载测试、告警功能测试内容。</w:t>
      </w:r>
    </w:p>
    <w:p>
      <w:pPr>
        <w:numPr>
          <w:ilvl w:val="0"/>
          <w:numId w:val="22"/>
        </w:numPr>
        <w:tabs>
          <w:tab w:val="left" w:pos="425"/>
        </w:tabs>
        <w:spacing w:line="360" w:lineRule="auto"/>
        <w:ind w:left="525" w:leftChars="250"/>
        <w:jc w:val="left"/>
        <w:rPr>
          <w:sz w:val="24"/>
          <w:szCs w:val="24"/>
        </w:rPr>
      </w:pPr>
      <w:r>
        <w:rPr>
          <w:sz w:val="24"/>
          <w:szCs w:val="24"/>
        </w:rPr>
        <w:t>功能测试前，</w:t>
      </w:r>
      <w:r>
        <w:rPr>
          <w:sz w:val="24"/>
          <w:szCs w:val="24"/>
          <w:lang w:bidi="ar"/>
        </w:rPr>
        <w:t>必须完成安装调试与工艺测试，且无遗留设备问题。</w:t>
      </w:r>
    </w:p>
    <w:p>
      <w:pPr>
        <w:numPr>
          <w:ilvl w:val="0"/>
          <w:numId w:val="22"/>
        </w:numPr>
        <w:tabs>
          <w:tab w:val="left" w:pos="425"/>
        </w:tabs>
        <w:spacing w:line="360" w:lineRule="auto"/>
        <w:ind w:left="525" w:leftChars="250"/>
        <w:jc w:val="left"/>
        <w:rPr>
          <w:sz w:val="24"/>
          <w:szCs w:val="24"/>
        </w:rPr>
      </w:pPr>
      <w:r>
        <w:rPr>
          <w:sz w:val="24"/>
          <w:szCs w:val="24"/>
        </w:rPr>
        <w:t>设备开机应基于厂家自检结果进行开机，且设备电源应完成上下级核对，主备电源接线正常。</w:t>
      </w:r>
    </w:p>
    <w:p>
      <w:pPr>
        <w:numPr>
          <w:ilvl w:val="0"/>
          <w:numId w:val="22"/>
        </w:numPr>
        <w:tabs>
          <w:tab w:val="left" w:pos="425"/>
        </w:tabs>
        <w:spacing w:line="360" w:lineRule="auto"/>
        <w:ind w:left="525" w:leftChars="250"/>
        <w:jc w:val="left"/>
        <w:rPr>
          <w:sz w:val="24"/>
          <w:szCs w:val="24"/>
        </w:rPr>
      </w:pPr>
      <w:r>
        <w:rPr>
          <w:sz w:val="24"/>
          <w:szCs w:val="24"/>
        </w:rPr>
        <w:t>参数设定应基于厂家默认参数设置、运维实际工作场景进行调整，且对不启用的参数进行标注说明。</w:t>
      </w:r>
    </w:p>
    <w:p>
      <w:pPr>
        <w:numPr>
          <w:ilvl w:val="0"/>
          <w:numId w:val="22"/>
        </w:numPr>
        <w:tabs>
          <w:tab w:val="left" w:pos="425"/>
        </w:tabs>
        <w:spacing w:line="360" w:lineRule="auto"/>
        <w:ind w:left="525" w:leftChars="250"/>
        <w:jc w:val="left"/>
        <w:rPr>
          <w:sz w:val="24"/>
          <w:szCs w:val="24"/>
        </w:rPr>
      </w:pPr>
      <w:r>
        <w:rPr>
          <w:sz w:val="24"/>
          <w:szCs w:val="24"/>
        </w:rPr>
        <w:t>点位核对应基于弱电供应商提供的合同点表清单进行核对，且点位名称应清晰且简洁，不应产生误导或混淆。</w:t>
      </w:r>
    </w:p>
    <w:p>
      <w:pPr>
        <w:numPr>
          <w:ilvl w:val="0"/>
          <w:numId w:val="22"/>
        </w:numPr>
        <w:tabs>
          <w:tab w:val="left" w:pos="425"/>
        </w:tabs>
        <w:spacing w:line="360" w:lineRule="auto"/>
        <w:ind w:left="525" w:leftChars="250"/>
        <w:jc w:val="left"/>
        <w:rPr>
          <w:sz w:val="24"/>
          <w:szCs w:val="24"/>
        </w:rPr>
      </w:pPr>
      <w:r>
        <w:rPr>
          <w:sz w:val="24"/>
          <w:szCs w:val="24"/>
        </w:rPr>
        <w:t>带载测试应基于设计参数进行工况的设定，液冷设备的流量、压力在满足设计25%</w:t>
      </w:r>
      <w:r>
        <w:rPr>
          <w:rFonts w:hint="eastAsia"/>
          <w:sz w:val="24"/>
          <w:szCs w:val="24"/>
        </w:rPr>
        <w:t>、</w:t>
      </w:r>
      <w:r>
        <w:rPr>
          <w:sz w:val="24"/>
          <w:szCs w:val="24"/>
        </w:rPr>
        <w:t>50%</w:t>
      </w:r>
      <w:r>
        <w:rPr>
          <w:rFonts w:hint="eastAsia"/>
          <w:sz w:val="24"/>
          <w:szCs w:val="24"/>
        </w:rPr>
        <w:t>、</w:t>
      </w:r>
      <w:r>
        <w:rPr>
          <w:sz w:val="24"/>
          <w:szCs w:val="24"/>
        </w:rPr>
        <w:t>75%</w:t>
      </w:r>
      <w:r>
        <w:rPr>
          <w:rFonts w:hint="eastAsia"/>
          <w:sz w:val="24"/>
          <w:szCs w:val="24"/>
        </w:rPr>
        <w:t>、</w:t>
      </w:r>
      <w:r>
        <w:rPr>
          <w:sz w:val="24"/>
          <w:szCs w:val="24"/>
        </w:rPr>
        <w:t>100%不同负载率情况下，测试设备应与系统冷量匹配，且设备运行稳定。</w:t>
      </w:r>
    </w:p>
    <w:p>
      <w:pPr>
        <w:numPr>
          <w:ilvl w:val="0"/>
          <w:numId w:val="22"/>
        </w:numPr>
        <w:tabs>
          <w:tab w:val="left" w:pos="425"/>
        </w:tabs>
        <w:spacing w:line="360" w:lineRule="auto"/>
        <w:ind w:left="525" w:leftChars="250"/>
        <w:jc w:val="left"/>
        <w:rPr>
          <w:sz w:val="24"/>
          <w:szCs w:val="24"/>
        </w:rPr>
      </w:pPr>
      <w:r>
        <w:rPr>
          <w:sz w:val="24"/>
          <w:szCs w:val="24"/>
        </w:rPr>
        <w:t>告警功能测试应包括告警延时、告警阈值、告警准确性进行测试，告警延时宜低于6s，告警阈值设定应基于现场设计工况调整，告警准确性宜进行抽检，且抽检比例不少于系统总量5%。</w:t>
      </w:r>
    </w:p>
    <w:p>
      <w:pPr>
        <w:spacing w:line="360" w:lineRule="auto"/>
        <w:rPr>
          <w:sz w:val="24"/>
          <w:szCs w:val="24"/>
          <w:lang w:bidi="ar"/>
        </w:rPr>
      </w:pPr>
      <w:r>
        <w:rPr>
          <w:sz w:val="24"/>
          <w:szCs w:val="24"/>
          <w:lang w:bidi="ar"/>
        </w:rPr>
        <w:t xml:space="preserve">    6.5.10 系统测试规定</w:t>
      </w:r>
    </w:p>
    <w:p>
      <w:pPr>
        <w:pStyle w:val="44"/>
        <w:numPr>
          <w:ilvl w:val="3"/>
          <w:numId w:val="23"/>
        </w:numPr>
        <w:spacing w:line="360" w:lineRule="auto"/>
        <w:ind w:left="1214" w:firstLineChars="0"/>
        <w:jc w:val="left"/>
        <w:rPr>
          <w:sz w:val="24"/>
          <w:szCs w:val="24"/>
        </w:rPr>
      </w:pPr>
      <w:r>
        <w:rPr>
          <w:sz w:val="24"/>
          <w:szCs w:val="24"/>
          <w:lang w:bidi="ar"/>
        </w:rPr>
        <w:t>液冷系统可靠性验证系统测试，应对系统部件的主要功能、性能进行全量检查，系统设备的主要功能、性能应符合现行国家标准的规定。</w:t>
      </w:r>
    </w:p>
    <w:p>
      <w:pPr>
        <w:pStyle w:val="44"/>
        <w:numPr>
          <w:ilvl w:val="3"/>
          <w:numId w:val="23"/>
        </w:numPr>
        <w:spacing w:line="360" w:lineRule="auto"/>
        <w:ind w:left="1214" w:firstLineChars="0"/>
        <w:jc w:val="left"/>
        <w:rPr>
          <w:sz w:val="24"/>
          <w:szCs w:val="24"/>
        </w:rPr>
      </w:pPr>
      <w:r>
        <w:rPr>
          <w:sz w:val="24"/>
          <w:szCs w:val="24"/>
        </w:rPr>
        <w:t>应逐一对每套液冷系统进行联动控制功能检查，系统的联动控制功能应包含液冷系统测试应包括0%/25%/50%/75%/100%不同负载率下系统状态测试，同时应在不同场景下记录以下参数：CDU一次/二次侧进出液温度、流量、压力参数；氟泵、冷却泵不同状态下运行频率；系统达到稳态时间；不同负载率下PUE测试。</w:t>
      </w:r>
    </w:p>
    <w:p>
      <w:pPr>
        <w:pStyle w:val="44"/>
        <w:numPr>
          <w:ilvl w:val="3"/>
          <w:numId w:val="23"/>
        </w:numPr>
        <w:spacing w:line="360" w:lineRule="auto"/>
        <w:ind w:left="1214" w:firstLineChars="0"/>
        <w:jc w:val="left"/>
        <w:rPr>
          <w:sz w:val="24"/>
          <w:szCs w:val="24"/>
        </w:rPr>
      </w:pPr>
      <w:r>
        <w:rPr>
          <w:sz w:val="24"/>
          <w:szCs w:val="24"/>
        </w:rPr>
        <w:t>液冷系统测试应验证轮询模式启用/退出功能，并验证轮询参数设置。</w:t>
      </w:r>
    </w:p>
    <w:p>
      <w:pPr>
        <w:pStyle w:val="44"/>
        <w:numPr>
          <w:ilvl w:val="3"/>
          <w:numId w:val="23"/>
        </w:numPr>
        <w:spacing w:line="360" w:lineRule="auto"/>
        <w:ind w:left="1214" w:firstLineChars="0"/>
        <w:jc w:val="left"/>
        <w:rPr>
          <w:sz w:val="24"/>
          <w:szCs w:val="24"/>
        </w:rPr>
      </w:pPr>
      <w:r>
        <w:rPr>
          <w:sz w:val="24"/>
          <w:szCs w:val="24"/>
        </w:rPr>
        <w:t>液冷系统测试应验证进入/退出过滤模式功能，液冷系统测试应验证CDU手自动切换功能和切换稳定性，液冷系统测试应验证管路系统单点故障下稳定运行能力。</w:t>
      </w:r>
    </w:p>
    <w:p>
      <w:pPr>
        <w:pStyle w:val="44"/>
        <w:spacing w:line="360" w:lineRule="auto"/>
        <w:ind w:left="945" w:firstLine="0" w:firstLineChars="0"/>
        <w:rPr>
          <w:kern w:val="0"/>
          <w:sz w:val="24"/>
          <w:szCs w:val="24"/>
        </w:rPr>
      </w:pPr>
      <w:r>
        <w:rPr>
          <w:kern w:val="0"/>
          <w:sz w:val="24"/>
          <w:szCs w:val="24"/>
        </w:rPr>
        <w:t>条文说明：单点故障宜包括一次/二次侧主管路环网阀门故障、二次侧主管路环网温度/流量/压力传感器故障、CDU一次/二次进出液管路故障、CDU一次/二次侧电动阀故障、</w:t>
      </w:r>
      <w:r>
        <w:rPr>
          <w:rFonts w:hint="eastAsia"/>
          <w:kern w:val="0"/>
          <w:sz w:val="24"/>
          <w:szCs w:val="24"/>
        </w:rPr>
        <w:t>液冷机柜</w:t>
      </w:r>
      <w:r>
        <w:rPr>
          <w:kern w:val="0"/>
          <w:sz w:val="24"/>
          <w:szCs w:val="24"/>
        </w:rPr>
        <w:t>进/出/平衡管路单点故障、液冷系统测试应验证CDU单点故障下的稳定运行能力，单点故障宜考虑以下场景：CDU内主路/旁路电动阀故障、CDU内板换故障、CDU内电导率</w:t>
      </w:r>
      <w:r>
        <w:rPr>
          <w:rFonts w:hint="eastAsia"/>
          <w:kern w:val="0"/>
          <w:sz w:val="24"/>
          <w:szCs w:val="24"/>
        </w:rPr>
        <w:t>传感器</w:t>
      </w:r>
      <w:r>
        <w:rPr>
          <w:kern w:val="0"/>
          <w:sz w:val="24"/>
          <w:szCs w:val="24"/>
        </w:rPr>
        <w:t>故障、CDU内</w:t>
      </w:r>
      <w:r>
        <w:rPr>
          <w:rFonts w:hint="eastAsia"/>
          <w:kern w:val="0"/>
          <w:sz w:val="24"/>
          <w:szCs w:val="24"/>
        </w:rPr>
        <w:t>冷却液循环</w:t>
      </w:r>
      <w:r>
        <w:rPr>
          <w:kern w:val="0"/>
          <w:sz w:val="24"/>
          <w:szCs w:val="24"/>
        </w:rPr>
        <w:t>泵故障、CDU内压力</w:t>
      </w:r>
      <w:r>
        <w:rPr>
          <w:rFonts w:hint="eastAsia"/>
          <w:kern w:val="0"/>
          <w:sz w:val="24"/>
          <w:szCs w:val="24"/>
        </w:rPr>
        <w:t>传感器读数</w:t>
      </w:r>
      <w:r>
        <w:rPr>
          <w:kern w:val="0"/>
          <w:sz w:val="24"/>
          <w:szCs w:val="24"/>
        </w:rPr>
        <w:t>异常。</w:t>
      </w:r>
    </w:p>
    <w:p>
      <w:pPr>
        <w:pStyle w:val="44"/>
        <w:numPr>
          <w:ilvl w:val="2"/>
          <w:numId w:val="24"/>
        </w:numPr>
        <w:spacing w:line="360" w:lineRule="auto"/>
        <w:ind w:left="1214" w:firstLineChars="0"/>
        <w:jc w:val="left"/>
        <w:rPr>
          <w:sz w:val="24"/>
          <w:szCs w:val="24"/>
        </w:rPr>
      </w:pPr>
      <w:r>
        <w:rPr>
          <w:sz w:val="24"/>
          <w:szCs w:val="24"/>
        </w:rPr>
        <w:t>液冷系统测试应验证一次侧单点故障下的稳定运行能力，单点故障应包括单台冷却塔/干冷器故障、单台冷却泵故障、环网阀门/温度/流量传感器故障、支路阀门故障、单台加药装置故障、单台补水泵故障。</w:t>
      </w:r>
    </w:p>
    <w:p>
      <w:pPr>
        <w:pStyle w:val="44"/>
        <w:numPr>
          <w:ilvl w:val="2"/>
          <w:numId w:val="24"/>
        </w:numPr>
        <w:spacing w:line="360" w:lineRule="auto"/>
        <w:ind w:left="1214" w:firstLineChars="0"/>
        <w:jc w:val="left"/>
        <w:rPr>
          <w:sz w:val="24"/>
          <w:szCs w:val="24"/>
        </w:rPr>
      </w:pPr>
      <w:r>
        <w:rPr>
          <w:sz w:val="24"/>
          <w:szCs w:val="24"/>
        </w:rPr>
        <w:t>液冷系统测试应验证BA系统单点故障下的稳定运行能力，单点故障应包括冷却侧单台</w:t>
      </w:r>
      <w:r>
        <w:rPr>
          <w:rFonts w:hint="eastAsia"/>
          <w:sz w:val="24"/>
          <w:szCs w:val="24"/>
        </w:rPr>
        <w:t>DDC或</w:t>
      </w:r>
      <w:r>
        <w:rPr>
          <w:sz w:val="24"/>
          <w:szCs w:val="24"/>
        </w:rPr>
        <w:t>PLC故障/故障恢复场景、冷却侧主环路/支路温度传感器故障、冷却侧主环路/支路流量传感器故障、二次侧主环路/支路温度传感器故障、二次侧主环路/支路流量传感器故障、二次侧单台PLC故障/故障恢复场景、BA系统服务器故障/故障恢复场景、BA交换机故障/故障恢复场景、CDU变频器柜故障/故障恢复场景、</w:t>
      </w:r>
      <w:r>
        <w:rPr>
          <w:rFonts w:hint="eastAsia"/>
          <w:sz w:val="24"/>
          <w:szCs w:val="24"/>
        </w:rPr>
        <w:t>液冷机柜</w:t>
      </w:r>
      <w:r>
        <w:rPr>
          <w:sz w:val="24"/>
          <w:szCs w:val="24"/>
        </w:rPr>
        <w:t>内温度/液位传感器故障。</w:t>
      </w:r>
    </w:p>
    <w:p>
      <w:pPr>
        <w:pStyle w:val="44"/>
        <w:numPr>
          <w:ilvl w:val="2"/>
          <w:numId w:val="24"/>
        </w:numPr>
        <w:spacing w:line="360" w:lineRule="auto"/>
        <w:ind w:left="1214" w:firstLineChars="0"/>
        <w:jc w:val="left"/>
        <w:rPr>
          <w:sz w:val="24"/>
          <w:szCs w:val="24"/>
        </w:rPr>
      </w:pPr>
      <w:r>
        <w:rPr>
          <w:sz w:val="24"/>
          <w:szCs w:val="24"/>
        </w:rPr>
        <w:t>液冷系统测试应验证极限温升场景下的应急时间，极限场景应包括系统CDU故障停止后系统温升至设计最大温度时间、系统CDU故障恢复后系统恢复正常设计参数的时间、系统一次侧故障后仅CDU正常运行时系统温升至设计最大温度时间、系统一次侧故障恢复后仅CDU正常运行时系统恢复正常设计参数的时间、液冷机柜由于漏液等问题紧急隔离时系统恢复稳态时间、单液冷机柜Tank解除隔离后重新恢复系统正常运行的时间。</w:t>
      </w:r>
    </w:p>
    <w:p>
      <w:pPr>
        <w:pStyle w:val="44"/>
        <w:numPr>
          <w:ilvl w:val="2"/>
          <w:numId w:val="24"/>
        </w:numPr>
        <w:spacing w:line="360" w:lineRule="auto"/>
        <w:ind w:left="1214" w:firstLineChars="0"/>
        <w:jc w:val="left"/>
        <w:rPr>
          <w:sz w:val="24"/>
          <w:szCs w:val="24"/>
        </w:rPr>
      </w:pPr>
      <w:r>
        <w:rPr>
          <w:sz w:val="24"/>
          <w:szCs w:val="24"/>
        </w:rPr>
        <w:t>冷板式液冷系统应在CDU</w:t>
      </w:r>
      <w:r>
        <w:rPr>
          <w:rFonts w:hint="eastAsia"/>
          <w:sz w:val="24"/>
          <w:szCs w:val="24"/>
        </w:rPr>
        <w:t>或</w:t>
      </w:r>
      <w:r>
        <w:rPr>
          <w:sz w:val="24"/>
          <w:szCs w:val="24"/>
        </w:rPr>
        <w:t>管路故障</w:t>
      </w:r>
      <w:r>
        <w:rPr>
          <w:rFonts w:hint="eastAsia"/>
          <w:sz w:val="24"/>
          <w:szCs w:val="24"/>
        </w:rPr>
        <w:t>导致</w:t>
      </w:r>
      <w:r>
        <w:rPr>
          <w:sz w:val="24"/>
          <w:szCs w:val="24"/>
        </w:rPr>
        <w:t>泄漏时，测试系统运行的状态并测试温升数据。</w:t>
      </w:r>
    </w:p>
    <w:p>
      <w:pPr>
        <w:pStyle w:val="44"/>
        <w:numPr>
          <w:ilvl w:val="2"/>
          <w:numId w:val="24"/>
        </w:numPr>
        <w:spacing w:line="360" w:lineRule="auto"/>
        <w:ind w:left="1214" w:firstLineChars="0"/>
        <w:jc w:val="left"/>
        <w:rPr>
          <w:sz w:val="24"/>
          <w:szCs w:val="24"/>
        </w:rPr>
      </w:pPr>
      <w:r>
        <w:rPr>
          <w:sz w:val="24"/>
          <w:szCs w:val="24"/>
        </w:rPr>
        <w:t>冷板式液冷系统应在满载运行状态下，单阀门隔离/单管路隔离情况下，测试系统运行的状态并记录温升数据。</w:t>
      </w:r>
    </w:p>
    <w:p>
      <w:pPr>
        <w:pStyle w:val="44"/>
        <w:numPr>
          <w:ilvl w:val="2"/>
          <w:numId w:val="24"/>
        </w:numPr>
        <w:spacing w:line="360" w:lineRule="auto"/>
        <w:ind w:left="1214" w:firstLineChars="0"/>
        <w:jc w:val="left"/>
        <w:rPr>
          <w:sz w:val="24"/>
          <w:szCs w:val="24"/>
        </w:rPr>
      </w:pPr>
      <w:r>
        <w:rPr>
          <w:sz w:val="24"/>
          <w:szCs w:val="24"/>
        </w:rPr>
        <w:t>冷板式液冷系统应在冷板系统失效，包间空调正常制冷情况下，测试满载极限温升的时间和温升数据。</w:t>
      </w:r>
    </w:p>
    <w:p>
      <w:pPr>
        <w:pStyle w:val="44"/>
        <w:numPr>
          <w:ilvl w:val="2"/>
          <w:numId w:val="24"/>
        </w:numPr>
        <w:spacing w:line="360" w:lineRule="auto"/>
        <w:ind w:left="1214" w:firstLineChars="0"/>
        <w:jc w:val="left"/>
        <w:rPr>
          <w:sz w:val="24"/>
          <w:szCs w:val="24"/>
        </w:rPr>
      </w:pPr>
      <w:r>
        <w:rPr>
          <w:sz w:val="24"/>
          <w:szCs w:val="24"/>
        </w:rPr>
        <w:t>冷板式液冷系统应在包间空调失效，冷板系统正常制冷情况下，测试满载温升的时间和温升数据。</w:t>
      </w:r>
    </w:p>
    <w:p>
      <w:pPr>
        <w:pStyle w:val="44"/>
        <w:numPr>
          <w:ilvl w:val="2"/>
          <w:numId w:val="24"/>
        </w:numPr>
        <w:spacing w:line="360" w:lineRule="auto"/>
        <w:ind w:left="1214" w:firstLineChars="0"/>
        <w:jc w:val="left"/>
        <w:rPr>
          <w:sz w:val="24"/>
          <w:szCs w:val="24"/>
        </w:rPr>
      </w:pPr>
      <w:r>
        <w:rPr>
          <w:sz w:val="24"/>
          <w:szCs w:val="24"/>
        </w:rPr>
        <w:t>冷板式液冷系统应在包间/冷板系统均失效情况下，测试包间满载温升时间和温升数据。</w:t>
      </w:r>
    </w:p>
    <w:p>
      <w:pPr>
        <w:spacing w:line="360" w:lineRule="auto"/>
        <w:ind w:firstLine="561" w:firstLineChars="200"/>
        <w:jc w:val="center"/>
        <w:outlineLvl w:val="1"/>
        <w:rPr>
          <w:b/>
          <w:sz w:val="28"/>
          <w:szCs w:val="24"/>
        </w:rPr>
      </w:pPr>
      <w:bookmarkStart w:id="123" w:name="_Toc881893756"/>
      <w:r>
        <w:rPr>
          <w:b/>
          <w:sz w:val="28"/>
          <w:szCs w:val="24"/>
        </w:rPr>
        <w:t>6.6系统验收</w:t>
      </w:r>
      <w:bookmarkEnd w:id="123"/>
    </w:p>
    <w:p>
      <w:pPr>
        <w:spacing w:line="360" w:lineRule="auto"/>
        <w:rPr>
          <w:sz w:val="24"/>
          <w:szCs w:val="24"/>
        </w:rPr>
      </w:pPr>
      <w:r>
        <w:rPr>
          <w:sz w:val="24"/>
          <w:szCs w:val="24"/>
          <w:lang w:bidi="ar"/>
        </w:rPr>
        <w:t>6.6.1 系统验收</w:t>
      </w:r>
      <w:r>
        <w:rPr>
          <w:rFonts w:hint="eastAsia"/>
          <w:sz w:val="24"/>
          <w:szCs w:val="24"/>
          <w:lang w:bidi="ar"/>
        </w:rPr>
        <w:t>阶段区分应符合如下条文：</w:t>
      </w:r>
    </w:p>
    <w:p>
      <w:pPr>
        <w:numPr>
          <w:ilvl w:val="0"/>
          <w:numId w:val="25"/>
        </w:numPr>
        <w:spacing w:line="360" w:lineRule="auto"/>
        <w:ind w:left="210" w:leftChars="100"/>
        <w:rPr>
          <w:sz w:val="24"/>
          <w:szCs w:val="24"/>
        </w:rPr>
      </w:pPr>
      <w:r>
        <w:rPr>
          <w:sz w:val="24"/>
          <w:szCs w:val="24"/>
        </w:rPr>
        <w:t>液冷系统验收应分为验收准备、系统初验、试运行、系统终验4个环节。</w:t>
      </w:r>
    </w:p>
    <w:p>
      <w:pPr>
        <w:spacing w:line="360" w:lineRule="auto"/>
        <w:ind w:left="210" w:leftChars="100" w:firstLine="480" w:firstLineChars="200"/>
        <w:rPr>
          <w:kern w:val="0"/>
          <w:sz w:val="24"/>
          <w:szCs w:val="24"/>
        </w:rPr>
      </w:pPr>
      <w:r>
        <w:rPr>
          <w:kern w:val="0"/>
          <w:sz w:val="24"/>
          <w:szCs w:val="24"/>
        </w:rPr>
        <w:t>条文说明：验收需保证每个液冷机柜支路和环路流量和压降要达到设计要求，达到每个机柜冷却量的准确性，通过整个系统的水力平衡保证在后期液冷系统运行的可靠性和安全性。</w:t>
      </w:r>
    </w:p>
    <w:p>
      <w:pPr>
        <w:numPr>
          <w:ilvl w:val="0"/>
          <w:numId w:val="25"/>
        </w:numPr>
        <w:spacing w:line="360" w:lineRule="auto"/>
        <w:ind w:left="210" w:leftChars="100"/>
        <w:rPr>
          <w:sz w:val="24"/>
          <w:szCs w:val="24"/>
        </w:rPr>
      </w:pPr>
      <w:r>
        <w:rPr>
          <w:sz w:val="24"/>
          <w:szCs w:val="24"/>
        </w:rPr>
        <w:t>验收准备阶段，施工单位应对前期整个施工环节过程文档、记录、变更、调试报告、测试报告、整改记录进行归档，并提供给验收方核验。</w:t>
      </w:r>
    </w:p>
    <w:p>
      <w:pPr>
        <w:numPr>
          <w:ilvl w:val="0"/>
          <w:numId w:val="25"/>
        </w:numPr>
        <w:spacing w:line="360" w:lineRule="auto"/>
        <w:ind w:left="210" w:leftChars="100"/>
        <w:rPr>
          <w:sz w:val="24"/>
          <w:szCs w:val="24"/>
        </w:rPr>
      </w:pPr>
      <w:r>
        <w:rPr>
          <w:sz w:val="24"/>
          <w:szCs w:val="24"/>
        </w:rPr>
        <w:t xml:space="preserve"> 系统初验应由施工方发起，验收方及管理公司、监理等各方参与，对整个液冷系统进行初评估，评估内容应包括资料、系统运行状态、问题整改记录、遗留风险点。</w:t>
      </w:r>
    </w:p>
    <w:p>
      <w:pPr>
        <w:numPr>
          <w:ilvl w:val="0"/>
          <w:numId w:val="25"/>
        </w:numPr>
        <w:spacing w:line="360" w:lineRule="auto"/>
        <w:ind w:left="210" w:leftChars="100"/>
        <w:rPr>
          <w:sz w:val="24"/>
          <w:szCs w:val="24"/>
        </w:rPr>
      </w:pPr>
      <w:r>
        <w:rPr>
          <w:sz w:val="24"/>
          <w:szCs w:val="24"/>
        </w:rPr>
        <w:t>试运行阶段，应由验收方与施工方在完成初验后，验收方初步进场对液冷系统进行控制与维护，此阶段责任主体应归属施工方，且施工方仍需进行遗留问题整改。</w:t>
      </w:r>
    </w:p>
    <w:p>
      <w:pPr>
        <w:numPr>
          <w:ilvl w:val="0"/>
          <w:numId w:val="25"/>
        </w:numPr>
        <w:spacing w:line="360" w:lineRule="auto"/>
        <w:ind w:left="210" w:leftChars="100"/>
        <w:rPr>
          <w:sz w:val="24"/>
          <w:szCs w:val="24"/>
        </w:rPr>
      </w:pPr>
      <w:r>
        <w:rPr>
          <w:sz w:val="24"/>
          <w:szCs w:val="24"/>
        </w:rPr>
        <w:t>系统终验应在所有资料归档、初验和试运行通过后进行，且施工方应在此阶段移交监控、门禁权限，并完成所有问题整改工作，确有问题遗留的，需在各方认可的时间段内完成问题销项。</w:t>
      </w:r>
    </w:p>
    <w:p>
      <w:pPr>
        <w:spacing w:line="360" w:lineRule="auto"/>
        <w:rPr>
          <w:sz w:val="24"/>
          <w:szCs w:val="24"/>
        </w:rPr>
      </w:pPr>
      <w:r>
        <w:rPr>
          <w:sz w:val="24"/>
          <w:szCs w:val="24"/>
          <w:lang w:bidi="ar"/>
        </w:rPr>
        <w:t>6.6.2 系统验收</w:t>
      </w:r>
      <w:r>
        <w:rPr>
          <w:rFonts w:hint="eastAsia"/>
          <w:sz w:val="24"/>
          <w:szCs w:val="24"/>
          <w:lang w:bidi="ar"/>
        </w:rPr>
        <w:t>应符合如下</w:t>
      </w:r>
      <w:r>
        <w:rPr>
          <w:sz w:val="24"/>
          <w:szCs w:val="24"/>
          <w:lang w:bidi="ar"/>
        </w:rPr>
        <w:t>基本规定</w:t>
      </w:r>
      <w:r>
        <w:rPr>
          <w:rFonts w:hint="eastAsia"/>
          <w:sz w:val="24"/>
          <w:szCs w:val="24"/>
          <w:lang w:bidi="ar"/>
        </w:rPr>
        <w:t>：</w:t>
      </w:r>
    </w:p>
    <w:p>
      <w:pPr>
        <w:numPr>
          <w:ilvl w:val="0"/>
          <w:numId w:val="26"/>
        </w:numPr>
        <w:spacing w:line="360" w:lineRule="auto"/>
        <w:ind w:left="704"/>
        <w:rPr>
          <w:sz w:val="24"/>
          <w:szCs w:val="24"/>
        </w:rPr>
      </w:pPr>
      <w:r>
        <w:rPr>
          <w:rFonts w:hint="eastAsia"/>
          <w:sz w:val="24"/>
          <w:szCs w:val="24"/>
        </w:rPr>
        <w:t>系统竣工后，应进行工程验收，验收不合格不得投入使用。详细电气、空调、消防等系统验收应符合国标《数据中心基础设施施工及验收规范》GB50462及国标《互联网数据中心工程技术规范》GB51195规定。液冷系统能耗验收应符合《数据中心能效限定值及能效等级》GB40879-2021、《电动机能效限定值及能效等级》GB 18613-2020。</w:t>
      </w:r>
    </w:p>
    <w:p>
      <w:pPr>
        <w:numPr>
          <w:ilvl w:val="0"/>
          <w:numId w:val="26"/>
        </w:numPr>
        <w:spacing w:line="360" w:lineRule="auto"/>
        <w:ind w:left="704"/>
        <w:rPr>
          <w:sz w:val="24"/>
          <w:szCs w:val="24"/>
        </w:rPr>
      </w:pPr>
      <w:r>
        <w:rPr>
          <w:sz w:val="24"/>
          <w:szCs w:val="24"/>
        </w:rPr>
        <w:t>工程验收工作应由建设单位负责，并应组织设计、施工、监理等单位共同进行。</w:t>
      </w:r>
    </w:p>
    <w:p>
      <w:pPr>
        <w:numPr>
          <w:ilvl w:val="0"/>
          <w:numId w:val="26"/>
        </w:numPr>
        <w:spacing w:line="360" w:lineRule="auto"/>
        <w:ind w:left="704"/>
        <w:rPr>
          <w:sz w:val="24"/>
          <w:szCs w:val="24"/>
        </w:rPr>
      </w:pPr>
      <w:r>
        <w:rPr>
          <w:sz w:val="24"/>
          <w:szCs w:val="24"/>
        </w:rPr>
        <w:t>系统验收时应按本规范附录填写液冷管道、制冷系统及隐蔽工程验收记录表。</w:t>
      </w:r>
    </w:p>
    <w:p>
      <w:pPr>
        <w:numPr>
          <w:ilvl w:val="0"/>
          <w:numId w:val="26"/>
        </w:numPr>
        <w:spacing w:line="360" w:lineRule="auto"/>
        <w:ind w:left="704"/>
        <w:rPr>
          <w:sz w:val="24"/>
          <w:szCs w:val="24"/>
        </w:rPr>
      </w:pPr>
      <w:r>
        <w:rPr>
          <w:sz w:val="24"/>
          <w:szCs w:val="24"/>
        </w:rPr>
        <w:t>资料验收时，应检查资产明细表、说明文件、设备硬件资料、软件资料、设备及系统配置文件、施工图纸、技术手册、维护及保养说明手册、设备安装、调试、可靠性验证的记录、其他资料记录、液冷末端CDU&amp;液冷机柜TANK&amp;管路及控制系统均应通过可靠性验证，且无重大风险遗留。</w:t>
      </w:r>
    </w:p>
    <w:p>
      <w:pPr>
        <w:spacing w:line="360" w:lineRule="auto"/>
        <w:rPr>
          <w:sz w:val="24"/>
          <w:szCs w:val="24"/>
          <w:lang w:bidi="ar"/>
        </w:rPr>
      </w:pPr>
      <w:r>
        <w:rPr>
          <w:sz w:val="24"/>
          <w:szCs w:val="24"/>
          <w:lang w:bidi="ar"/>
        </w:rPr>
        <w:t>6.6.3 浸没式液冷验收应满足</w:t>
      </w:r>
      <w:r>
        <w:rPr>
          <w:rFonts w:hint="eastAsia"/>
          <w:sz w:val="24"/>
          <w:szCs w:val="24"/>
          <w:lang w:bidi="ar"/>
        </w:rPr>
        <w:t>如下</w:t>
      </w:r>
      <w:r>
        <w:rPr>
          <w:sz w:val="24"/>
          <w:szCs w:val="24"/>
          <w:lang w:bidi="ar"/>
        </w:rPr>
        <w:t>规定</w:t>
      </w:r>
      <w:r>
        <w:rPr>
          <w:rFonts w:hint="eastAsia"/>
          <w:sz w:val="24"/>
          <w:szCs w:val="24"/>
          <w:lang w:bidi="ar"/>
        </w:rPr>
        <w:t>：</w:t>
      </w:r>
    </w:p>
    <w:p>
      <w:pPr>
        <w:numPr>
          <w:ilvl w:val="0"/>
          <w:numId w:val="27"/>
        </w:numPr>
        <w:spacing w:line="360" w:lineRule="auto"/>
        <w:ind w:left="704"/>
        <w:rPr>
          <w:sz w:val="24"/>
          <w:szCs w:val="24"/>
        </w:rPr>
      </w:pPr>
      <w:r>
        <w:rPr>
          <w:sz w:val="24"/>
          <w:szCs w:val="24"/>
        </w:rPr>
        <w:t>液冷包间内完成注液后，应保持系统平稳运行、无漏液现象，现场已配置通风系统及配套防护手套、护目镜等运维工具。</w:t>
      </w:r>
    </w:p>
    <w:p>
      <w:pPr>
        <w:numPr>
          <w:ilvl w:val="0"/>
          <w:numId w:val="27"/>
        </w:numPr>
        <w:spacing w:line="360" w:lineRule="auto"/>
        <w:ind w:left="704"/>
        <w:rPr>
          <w:sz w:val="24"/>
          <w:szCs w:val="24"/>
        </w:rPr>
      </w:pPr>
      <w:r>
        <w:rPr>
          <w:sz w:val="24"/>
          <w:szCs w:val="24"/>
        </w:rPr>
        <w:t>液冷冷却液库房内应设置排风系统，库房应避免阳光直射。</w:t>
      </w:r>
    </w:p>
    <w:p>
      <w:pPr>
        <w:spacing w:line="360" w:lineRule="auto"/>
        <w:ind w:firstLine="480" w:firstLineChars="200"/>
        <w:rPr>
          <w:kern w:val="0"/>
          <w:sz w:val="24"/>
          <w:szCs w:val="24"/>
        </w:rPr>
      </w:pPr>
      <w:r>
        <w:rPr>
          <w:kern w:val="0"/>
          <w:sz w:val="24"/>
          <w:szCs w:val="24"/>
        </w:rPr>
        <w:t>条文说明：当冷却液（不可燃）比空气重时，设置下排风系统，当冷却液（不可燃）比空气轻时，设置上排风，当冷却液为可燃液体时，库房应根据液体性质设置风机与排风系统。</w:t>
      </w:r>
    </w:p>
    <w:p>
      <w:pPr>
        <w:numPr>
          <w:ilvl w:val="0"/>
          <w:numId w:val="27"/>
        </w:numPr>
        <w:spacing w:line="360" w:lineRule="auto"/>
        <w:ind w:left="704"/>
        <w:rPr>
          <w:sz w:val="24"/>
          <w:szCs w:val="24"/>
        </w:rPr>
      </w:pPr>
      <w:r>
        <w:rPr>
          <w:sz w:val="24"/>
          <w:szCs w:val="24"/>
        </w:rPr>
        <w:t>液冷系统应完成所有管道、阀门标识，且屋面、室外水泵、阀门完成防锈和防腐处理，动力系统运行稳定。</w:t>
      </w:r>
    </w:p>
    <w:p>
      <w:pPr>
        <w:spacing w:line="360" w:lineRule="auto"/>
        <w:rPr>
          <w:sz w:val="24"/>
          <w:szCs w:val="24"/>
        </w:rPr>
      </w:pPr>
      <w:r>
        <w:rPr>
          <w:sz w:val="24"/>
          <w:szCs w:val="24"/>
          <w:lang w:bidi="ar"/>
        </w:rPr>
        <w:t>6.6.4  冷板式液冷验收应满足</w:t>
      </w:r>
      <w:r>
        <w:rPr>
          <w:rFonts w:hint="eastAsia"/>
          <w:sz w:val="24"/>
          <w:szCs w:val="24"/>
          <w:lang w:bidi="ar"/>
        </w:rPr>
        <w:t>如下</w:t>
      </w:r>
      <w:r>
        <w:rPr>
          <w:sz w:val="24"/>
          <w:szCs w:val="24"/>
          <w:lang w:bidi="ar"/>
        </w:rPr>
        <w:t>规定</w:t>
      </w:r>
      <w:r>
        <w:rPr>
          <w:rFonts w:hint="eastAsia"/>
          <w:sz w:val="24"/>
          <w:szCs w:val="24"/>
          <w:lang w:bidi="ar"/>
        </w:rPr>
        <w:t>：</w:t>
      </w:r>
    </w:p>
    <w:p>
      <w:pPr>
        <w:numPr>
          <w:ilvl w:val="0"/>
          <w:numId w:val="28"/>
        </w:numPr>
        <w:spacing w:line="360" w:lineRule="auto"/>
        <w:ind w:left="704"/>
        <w:rPr>
          <w:sz w:val="24"/>
          <w:szCs w:val="24"/>
        </w:rPr>
      </w:pPr>
      <w:r>
        <w:rPr>
          <w:sz w:val="24"/>
          <w:szCs w:val="24"/>
        </w:rPr>
        <w:t>液冷包间内已完成液体注液，周围已配置地漏，系统运行稳定无异常。</w:t>
      </w:r>
    </w:p>
    <w:p>
      <w:pPr>
        <w:numPr>
          <w:ilvl w:val="0"/>
          <w:numId w:val="28"/>
        </w:numPr>
        <w:spacing w:line="360" w:lineRule="auto"/>
        <w:ind w:left="704"/>
        <w:rPr>
          <w:sz w:val="24"/>
          <w:szCs w:val="24"/>
        </w:rPr>
      </w:pPr>
      <w:r>
        <w:rPr>
          <w:sz w:val="24"/>
          <w:szCs w:val="24"/>
        </w:rPr>
        <w:t>液冷冷却液存放区域应设置冷却液收集装置、地漏及排风系统，且区域已配置防护手套等运维工具,且相关运维工具独立存放，不与其他系统工具混合存放。</w:t>
      </w:r>
    </w:p>
    <w:p>
      <w:pPr>
        <w:numPr>
          <w:ilvl w:val="0"/>
          <w:numId w:val="28"/>
        </w:numPr>
        <w:spacing w:line="360" w:lineRule="auto"/>
        <w:ind w:left="704"/>
        <w:rPr>
          <w:sz w:val="24"/>
          <w:szCs w:val="24"/>
        </w:rPr>
      </w:pPr>
      <w:r>
        <w:rPr>
          <w:sz w:val="24"/>
          <w:szCs w:val="24"/>
        </w:rPr>
        <w:t>液冷系统应完成所有管道、阀门标识，室外相关动力设备应完成防锈防腐处理，动力系统运行稳定。</w:t>
      </w:r>
    </w:p>
    <w:p>
      <w:pPr>
        <w:numPr>
          <w:ilvl w:val="0"/>
          <w:numId w:val="28"/>
        </w:numPr>
        <w:spacing w:line="360" w:lineRule="auto"/>
        <w:ind w:left="704"/>
        <w:rPr>
          <w:sz w:val="24"/>
          <w:szCs w:val="24"/>
        </w:rPr>
      </w:pPr>
      <w:r>
        <w:rPr>
          <w:sz w:val="24"/>
          <w:szCs w:val="24"/>
        </w:rPr>
        <w:t>液冷系统能效、节能验收应当按照前文7.6.5章节进行测点检查、测试方法检查，并按照规范要求的频率和范围测量。</w:t>
      </w:r>
    </w:p>
    <w:p>
      <w:pPr>
        <w:numPr>
          <w:ilvl w:val="0"/>
          <w:numId w:val="28"/>
        </w:numPr>
        <w:spacing w:line="360" w:lineRule="auto"/>
        <w:ind w:left="704"/>
        <w:rPr>
          <w:sz w:val="24"/>
          <w:szCs w:val="24"/>
        </w:rPr>
      </w:pPr>
      <w:r>
        <w:rPr>
          <w:sz w:val="24"/>
          <w:szCs w:val="24"/>
        </w:rPr>
        <w:t>液冷系统能效验收应当包含能源消费总量和强度的测算文件、施工设计文件、竣工资料、主要用能设备台账、能源计量器具台账、节能技术措施、节能管理措施落实等材料。</w:t>
      </w:r>
    </w:p>
    <w:p>
      <w:pPr>
        <w:numPr>
          <w:ilvl w:val="0"/>
          <w:numId w:val="28"/>
        </w:numPr>
        <w:spacing w:line="360" w:lineRule="auto"/>
        <w:ind w:left="704"/>
        <w:rPr>
          <w:sz w:val="24"/>
          <w:szCs w:val="24"/>
        </w:rPr>
      </w:pPr>
      <w:r>
        <w:rPr>
          <w:sz w:val="24"/>
          <w:szCs w:val="24"/>
        </w:rPr>
        <w:t>液冷系统节能验收</w:t>
      </w:r>
      <w:r>
        <w:rPr>
          <w:rFonts w:hint="eastAsia"/>
          <w:sz w:val="24"/>
          <w:szCs w:val="24"/>
        </w:rPr>
        <w:t>应</w:t>
      </w:r>
      <w:r>
        <w:rPr>
          <w:sz w:val="24"/>
          <w:szCs w:val="24"/>
        </w:rPr>
        <w:t>以节能审查文件为依据，查验实际建设方案与节能审查文件的一致性，并填写一致性审查表。</w:t>
      </w:r>
    </w:p>
    <w:p>
      <w:pPr>
        <w:spacing w:line="360" w:lineRule="auto"/>
        <w:rPr>
          <w:rFonts w:eastAsia="微软雅黑"/>
        </w:rPr>
      </w:pPr>
    </w:p>
    <w:p>
      <w:pPr>
        <w:spacing w:line="360" w:lineRule="auto"/>
        <w:rPr>
          <w:rFonts w:eastAsia="微软雅黑"/>
        </w:rPr>
        <w:sectPr>
          <w:pgSz w:w="11906" w:h="16838"/>
          <w:pgMar w:top="1440" w:right="1800" w:bottom="1440" w:left="1800" w:header="851" w:footer="992" w:gutter="0"/>
          <w:cols w:space="425" w:num="1"/>
          <w:docGrid w:type="lines" w:linePitch="312" w:charSpace="0"/>
        </w:sectPr>
      </w:pPr>
    </w:p>
    <w:p>
      <w:pPr>
        <w:spacing w:line="360" w:lineRule="auto"/>
        <w:ind w:firstLine="601" w:firstLineChars="200"/>
        <w:jc w:val="center"/>
        <w:outlineLvl w:val="0"/>
        <w:rPr>
          <w:b/>
          <w:spacing w:val="27"/>
          <w:kern w:val="0"/>
          <w:sz w:val="30"/>
          <w:szCs w:val="30"/>
        </w:rPr>
      </w:pPr>
      <w:bookmarkStart w:id="124" w:name="_Toc56225498"/>
      <w:r>
        <w:rPr>
          <w:b/>
          <w:kern w:val="0"/>
          <w:sz w:val="30"/>
          <w:szCs w:val="30"/>
        </w:rPr>
        <w:t>7</w:t>
      </w:r>
      <w:r>
        <w:rPr>
          <w:b/>
          <w:spacing w:val="32"/>
          <w:kern w:val="0"/>
          <w:sz w:val="30"/>
          <w:szCs w:val="30"/>
          <w:fitText w:val="3429" w:id="-1130638591"/>
        </w:rPr>
        <w:t xml:space="preserve"> 液冷数据中心的评</w:t>
      </w:r>
      <w:r>
        <w:rPr>
          <w:b/>
          <w:spacing w:val="1"/>
          <w:kern w:val="0"/>
          <w:sz w:val="30"/>
          <w:szCs w:val="30"/>
          <w:fitText w:val="3429" w:id="-1130638591"/>
        </w:rPr>
        <w:t>价</w:t>
      </w:r>
      <w:r>
        <w:rPr>
          <w:rFonts w:hint="eastAsia"/>
          <w:b/>
          <w:kern w:val="0"/>
          <w:sz w:val="30"/>
          <w:szCs w:val="30"/>
        </w:rPr>
        <w:t>指标</w:t>
      </w:r>
      <w:bookmarkEnd w:id="124"/>
    </w:p>
    <w:p>
      <w:pPr>
        <w:spacing w:before="312" w:beforeLines="100" w:line="360" w:lineRule="auto"/>
        <w:ind w:firstLine="561" w:firstLineChars="200"/>
        <w:jc w:val="center"/>
        <w:outlineLvl w:val="1"/>
        <w:rPr>
          <w:b/>
          <w:sz w:val="28"/>
          <w:szCs w:val="24"/>
        </w:rPr>
      </w:pPr>
      <w:bookmarkStart w:id="125" w:name="_Toc89140206"/>
      <w:r>
        <w:rPr>
          <w:b/>
          <w:sz w:val="28"/>
          <w:szCs w:val="24"/>
        </w:rPr>
        <w:t>7.1冷板式液冷数据中心</w:t>
      </w:r>
      <w:r>
        <w:rPr>
          <w:rFonts w:hint="eastAsia"/>
          <w:b/>
          <w:sz w:val="28"/>
          <w:szCs w:val="24"/>
        </w:rPr>
        <w:t>的评价指标</w:t>
      </w:r>
      <w:bookmarkEnd w:id="125"/>
    </w:p>
    <w:p>
      <w:pPr>
        <w:ind w:firstLine="480" w:firstLineChars="200"/>
        <w:jc w:val="left"/>
        <w:rPr>
          <w:sz w:val="24"/>
          <w:szCs w:val="21"/>
          <w:lang w:bidi="ar"/>
        </w:rPr>
      </w:pPr>
      <w:r>
        <w:rPr>
          <w:sz w:val="24"/>
          <w:szCs w:val="21"/>
          <w:lang w:bidi="ar"/>
        </w:rPr>
        <w:t xml:space="preserve">7.1.1 </w:t>
      </w:r>
      <w:r>
        <w:rPr>
          <w:rFonts w:hint="eastAsia"/>
          <w:sz w:val="24"/>
          <w:szCs w:val="21"/>
          <w:lang w:bidi="ar"/>
        </w:rPr>
        <w:t>评估冷</w:t>
      </w:r>
      <w:r>
        <w:rPr>
          <w:sz w:val="24"/>
          <w:szCs w:val="21"/>
          <w:lang w:bidi="ar"/>
        </w:rPr>
        <w:t>式液冷数据中心</w:t>
      </w:r>
      <w:r>
        <w:rPr>
          <w:rFonts w:hint="eastAsia"/>
          <w:sz w:val="24"/>
          <w:szCs w:val="21"/>
          <w:lang w:bidi="ar"/>
        </w:rPr>
        <w:t>的能效时应</w:t>
      </w:r>
      <w:r>
        <w:rPr>
          <w:sz w:val="24"/>
          <w:szCs w:val="21"/>
          <w:lang w:bidi="ar"/>
        </w:rPr>
        <w:t>采用PUE</w:t>
      </w:r>
      <w:r>
        <w:rPr>
          <w:rFonts w:hint="eastAsia"/>
          <w:sz w:val="24"/>
          <w:szCs w:val="21"/>
          <w:lang w:bidi="ar"/>
        </w:rPr>
        <w:t>。</w:t>
      </w:r>
    </w:p>
    <w:p>
      <w:pPr>
        <w:spacing w:line="360" w:lineRule="auto"/>
        <w:ind w:firstLine="480" w:firstLineChars="200"/>
        <w:rPr>
          <w:kern w:val="0"/>
          <w:sz w:val="24"/>
          <w:szCs w:val="24"/>
        </w:rPr>
      </w:pPr>
      <w:r>
        <w:rPr>
          <w:rFonts w:hint="eastAsia"/>
          <w:kern w:val="0"/>
          <w:sz w:val="24"/>
          <w:szCs w:val="24"/>
        </w:rPr>
        <w:t>条文说明：采用冷板式液冷的电子信息设备仍然配置风扇，与风冷的电子信息设备差异不大，可沿用PUE。</w:t>
      </w:r>
    </w:p>
    <w:p>
      <w:pPr>
        <w:spacing w:line="360" w:lineRule="auto"/>
        <w:ind w:firstLine="480" w:firstLineChars="200"/>
        <w:jc w:val="left"/>
        <w:rPr>
          <w:sz w:val="24"/>
          <w:szCs w:val="21"/>
          <w:lang w:bidi="ar"/>
        </w:rPr>
      </w:pPr>
      <w:r>
        <w:rPr>
          <w:sz w:val="24"/>
          <w:szCs w:val="21"/>
          <w:lang w:bidi="ar"/>
        </w:rPr>
        <w:t xml:space="preserve">7.1.2 </w:t>
      </w:r>
      <w:r>
        <w:rPr>
          <w:rFonts w:hint="eastAsia"/>
          <w:sz w:val="24"/>
          <w:szCs w:val="21"/>
          <w:lang w:bidi="ar"/>
        </w:rPr>
        <w:t>评估冷板</w:t>
      </w:r>
      <w:r>
        <w:rPr>
          <w:sz w:val="24"/>
          <w:szCs w:val="21"/>
          <w:lang w:bidi="ar"/>
        </w:rPr>
        <w:t>式液冷数据中心</w:t>
      </w:r>
      <w:r>
        <w:rPr>
          <w:rFonts w:hint="eastAsia"/>
          <w:sz w:val="24"/>
          <w:szCs w:val="21"/>
          <w:lang w:bidi="ar"/>
        </w:rPr>
        <w:t>的算力产出率时应采用得电率，即电子信息设备的总设计功率与数据中心电力总输入功率的比值</w:t>
      </w:r>
    </w:p>
    <w:p>
      <w:pPr>
        <w:spacing w:before="312" w:beforeLines="100" w:line="360" w:lineRule="auto"/>
        <w:ind w:firstLine="561" w:firstLineChars="200"/>
        <w:jc w:val="center"/>
        <w:outlineLvl w:val="1"/>
        <w:rPr>
          <w:b/>
          <w:sz w:val="28"/>
          <w:szCs w:val="24"/>
        </w:rPr>
      </w:pPr>
      <w:bookmarkStart w:id="126" w:name="_Toc1383340283"/>
      <w:r>
        <w:rPr>
          <w:b/>
          <w:sz w:val="28"/>
          <w:szCs w:val="24"/>
        </w:rPr>
        <w:t>7.2 浸没式液冷数据中心</w:t>
      </w:r>
      <w:r>
        <w:rPr>
          <w:rFonts w:hint="eastAsia"/>
          <w:b/>
          <w:sz w:val="28"/>
          <w:szCs w:val="24"/>
        </w:rPr>
        <w:t>的评价指标</w:t>
      </w:r>
      <w:bookmarkEnd w:id="126"/>
    </w:p>
    <w:p>
      <w:pPr>
        <w:spacing w:line="360" w:lineRule="auto"/>
        <w:ind w:firstLine="480" w:firstLineChars="200"/>
        <w:jc w:val="left"/>
        <w:rPr>
          <w:sz w:val="24"/>
          <w:szCs w:val="21"/>
          <w:lang w:bidi="ar"/>
        </w:rPr>
      </w:pPr>
      <w:r>
        <w:rPr>
          <w:sz w:val="24"/>
          <w:szCs w:val="21"/>
          <w:lang w:bidi="ar"/>
        </w:rPr>
        <w:t>7.2.1</w:t>
      </w:r>
      <w:r>
        <w:rPr>
          <w:rFonts w:hint="eastAsia"/>
          <w:sz w:val="24"/>
          <w:szCs w:val="21"/>
          <w:lang w:bidi="ar"/>
        </w:rPr>
        <w:t>评估</w:t>
      </w:r>
      <w:r>
        <w:rPr>
          <w:sz w:val="24"/>
          <w:szCs w:val="21"/>
          <w:lang w:bidi="ar"/>
        </w:rPr>
        <w:t>浸没式液冷数据中心</w:t>
      </w:r>
      <w:r>
        <w:rPr>
          <w:rFonts w:hint="eastAsia"/>
          <w:sz w:val="24"/>
          <w:szCs w:val="21"/>
          <w:lang w:bidi="ar"/>
        </w:rPr>
        <w:t>的能效时宜</w:t>
      </w:r>
      <w:r>
        <w:rPr>
          <w:sz w:val="24"/>
          <w:szCs w:val="21"/>
          <w:lang w:bidi="ar"/>
        </w:rPr>
        <w:t>采用ICTPUE。</w:t>
      </w:r>
    </w:p>
    <w:p>
      <w:pPr>
        <w:spacing w:line="360" w:lineRule="auto"/>
        <w:ind w:firstLine="480" w:firstLineChars="200"/>
        <w:rPr>
          <w:kern w:val="0"/>
          <w:sz w:val="24"/>
          <w:szCs w:val="24"/>
        </w:rPr>
      </w:pPr>
      <w:r>
        <w:rPr>
          <w:rFonts w:hint="eastAsia"/>
          <w:kern w:val="0"/>
          <w:sz w:val="24"/>
          <w:szCs w:val="24"/>
        </w:rPr>
        <w:t>条文说明：</w:t>
      </w:r>
      <w:r>
        <w:rPr>
          <w:kern w:val="0"/>
          <w:sz w:val="24"/>
          <w:szCs w:val="24"/>
        </w:rPr>
        <w:t>浸没式液冷数据中心的ICT设备无风扇，ICT设备的PSU损耗有所降低，</w:t>
      </w:r>
      <w:r>
        <w:rPr>
          <w:rFonts w:hint="eastAsia"/>
          <w:kern w:val="0"/>
          <w:sz w:val="24"/>
          <w:szCs w:val="24"/>
        </w:rPr>
        <w:t>采用PUE无法有效评估能效，可采用</w:t>
      </w:r>
      <w:r>
        <w:rPr>
          <w:kern w:val="0"/>
          <w:sz w:val="24"/>
          <w:szCs w:val="24"/>
        </w:rPr>
        <w:t>ICT</w:t>
      </w:r>
      <w:r>
        <w:rPr>
          <w:rFonts w:hint="eastAsia"/>
          <w:kern w:val="0"/>
          <w:sz w:val="24"/>
          <w:szCs w:val="24"/>
        </w:rPr>
        <w:t>PUE，</w:t>
      </w:r>
      <w:r>
        <w:rPr>
          <w:kern w:val="0"/>
          <w:sz w:val="24"/>
          <w:szCs w:val="24"/>
        </w:rPr>
        <w:t>ICT</w:t>
      </w:r>
      <w:r>
        <w:rPr>
          <w:rFonts w:hint="eastAsia"/>
          <w:kern w:val="0"/>
          <w:sz w:val="24"/>
          <w:szCs w:val="24"/>
        </w:rPr>
        <w:t>PUE越接近</w:t>
      </w:r>
      <w:r>
        <w:rPr>
          <w:kern w:val="0"/>
          <w:sz w:val="24"/>
          <w:szCs w:val="24"/>
        </w:rPr>
        <w:t>1</w:t>
      </w:r>
      <w:r>
        <w:rPr>
          <w:rFonts w:hint="eastAsia"/>
          <w:kern w:val="0"/>
          <w:sz w:val="24"/>
          <w:szCs w:val="24"/>
        </w:rPr>
        <w:t>表明能效水平越好，计算公式为：</w:t>
      </w:r>
    </w:p>
    <w:p>
      <w:pPr>
        <w:spacing w:line="360" w:lineRule="auto"/>
        <w:ind w:firstLine="480" w:firstLineChars="200"/>
        <w:jc w:val="left"/>
        <w:rPr>
          <w:sz w:val="24"/>
          <w:szCs w:val="21"/>
          <w:lang w:bidi="ar"/>
        </w:rPr>
      </w:pPr>
      <w:r>
        <w:rPr>
          <w:sz w:val="24"/>
          <w:szCs w:val="21"/>
          <w:lang w:bidi="ar"/>
        </w:rPr>
        <w:t>ICTPUE=</w:t>
      </w:r>
      <w:r>
        <w:rPr>
          <w:rFonts w:hint="eastAsia"/>
          <w:sz w:val="24"/>
          <w:szCs w:val="21"/>
          <w:lang w:bidi="ar"/>
        </w:rPr>
        <w:t>（Σ</w:t>
      </w:r>
      <w:r>
        <w:rPr>
          <w:sz w:val="24"/>
          <w:szCs w:val="21"/>
          <w:lang w:bidi="ar"/>
        </w:rPr>
        <w:t>P </w:t>
      </w:r>
      <w:r>
        <w:rPr>
          <w:sz w:val="24"/>
          <w:szCs w:val="21"/>
          <w:vertAlign w:val="subscript"/>
          <w:lang w:bidi="ar"/>
        </w:rPr>
        <w:t>Total</w:t>
      </w:r>
      <w:r>
        <w:rPr>
          <w:rFonts w:hint="eastAsia"/>
          <w:sz w:val="24"/>
          <w:szCs w:val="21"/>
          <w:lang w:bidi="ar"/>
        </w:rPr>
        <w:t>）</w:t>
      </w:r>
      <w:r>
        <w:rPr>
          <w:sz w:val="24"/>
          <w:szCs w:val="21"/>
          <w:lang w:bidi="ar"/>
        </w:rPr>
        <w:t>/ ΣP</w:t>
      </w:r>
      <w:r>
        <w:rPr>
          <w:sz w:val="24"/>
          <w:szCs w:val="21"/>
          <w:vertAlign w:val="subscript"/>
          <w:lang w:bidi="ar"/>
        </w:rPr>
        <w:t>EICT</w:t>
      </w:r>
    </w:p>
    <w:p>
      <w:pPr>
        <w:spacing w:line="360" w:lineRule="auto"/>
        <w:ind w:firstLine="480" w:firstLineChars="200"/>
        <w:jc w:val="left"/>
        <w:rPr>
          <w:sz w:val="24"/>
          <w:szCs w:val="21"/>
          <w:lang w:bidi="ar"/>
        </w:rPr>
      </w:pPr>
      <w:r>
        <w:rPr>
          <w:sz w:val="24"/>
          <w:szCs w:val="21"/>
          <w:lang w:bidi="ar"/>
        </w:rPr>
        <w:t>ΣP </w:t>
      </w:r>
      <w:r>
        <w:rPr>
          <w:sz w:val="24"/>
          <w:szCs w:val="21"/>
          <w:vertAlign w:val="subscript"/>
          <w:lang w:bidi="ar"/>
        </w:rPr>
        <w:t xml:space="preserve">Total </w:t>
      </w:r>
      <w:r>
        <w:rPr>
          <w:sz w:val="24"/>
          <w:szCs w:val="21"/>
          <w:lang w:bidi="ar"/>
        </w:rPr>
        <w:t>— 数据中心在统计期（某段连续运行的时间或全年）</w:t>
      </w:r>
      <w:r>
        <w:rPr>
          <w:rFonts w:hint="eastAsia"/>
          <w:sz w:val="24"/>
          <w:szCs w:val="21"/>
          <w:lang w:bidi="ar"/>
        </w:rPr>
        <w:t>内的总耗电量，单位为千瓦时（</w:t>
      </w:r>
      <w:r>
        <w:rPr>
          <w:sz w:val="24"/>
          <w:szCs w:val="21"/>
          <w:lang w:bidi="ar"/>
        </w:rPr>
        <w:t>kWh</w:t>
      </w:r>
      <w:r>
        <w:rPr>
          <w:rFonts w:hint="eastAsia"/>
          <w:sz w:val="24"/>
          <w:szCs w:val="21"/>
          <w:lang w:bidi="ar"/>
        </w:rPr>
        <w:t>）</w:t>
      </w:r>
    </w:p>
    <w:p>
      <w:pPr>
        <w:spacing w:line="360" w:lineRule="auto"/>
        <w:ind w:firstLine="480" w:firstLineChars="200"/>
        <w:jc w:val="left"/>
        <w:rPr>
          <w:sz w:val="24"/>
          <w:szCs w:val="21"/>
          <w:lang w:bidi="ar"/>
        </w:rPr>
      </w:pPr>
      <w:r>
        <w:rPr>
          <w:sz w:val="24"/>
          <w:szCs w:val="21"/>
          <w:lang w:bidi="ar"/>
        </w:rPr>
        <w:t>ΣP</w:t>
      </w:r>
      <w:r>
        <w:rPr>
          <w:sz w:val="24"/>
          <w:szCs w:val="21"/>
          <w:vertAlign w:val="subscript"/>
          <w:lang w:bidi="ar"/>
        </w:rPr>
        <w:t xml:space="preserve">EICT </w:t>
      </w:r>
      <w:r>
        <w:rPr>
          <w:sz w:val="24"/>
          <w:szCs w:val="21"/>
          <w:lang w:bidi="ar"/>
        </w:rPr>
        <w:t xml:space="preserve">— </w:t>
      </w:r>
      <w:r>
        <w:rPr>
          <w:rFonts w:hint="eastAsia"/>
          <w:sz w:val="24"/>
          <w:szCs w:val="21"/>
          <w:lang w:bidi="ar"/>
        </w:rPr>
        <w:t>数据中心在统计期（某段连续运行的时间或全年）内</w:t>
      </w:r>
      <w:r>
        <w:rPr>
          <w:sz w:val="24"/>
          <w:szCs w:val="21"/>
          <w:lang w:bidi="ar"/>
        </w:rPr>
        <w:t>ICT</w:t>
      </w:r>
      <w:r>
        <w:rPr>
          <w:rFonts w:hint="eastAsia"/>
          <w:sz w:val="24"/>
          <w:szCs w:val="21"/>
          <w:lang w:bidi="ar"/>
        </w:rPr>
        <w:t>算力部分（不含</w:t>
      </w:r>
      <w:r>
        <w:rPr>
          <w:sz w:val="24"/>
          <w:szCs w:val="21"/>
          <w:lang w:bidi="ar"/>
        </w:rPr>
        <w:t>ICT</w:t>
      </w:r>
      <w:r>
        <w:rPr>
          <w:rFonts w:hint="eastAsia"/>
          <w:sz w:val="24"/>
          <w:szCs w:val="21"/>
          <w:lang w:bidi="ar"/>
        </w:rPr>
        <w:t>设备风扇与</w:t>
      </w:r>
      <w:r>
        <w:rPr>
          <w:sz w:val="24"/>
          <w:szCs w:val="21"/>
          <w:lang w:bidi="ar"/>
        </w:rPr>
        <w:t>PSU</w:t>
      </w:r>
      <w:r>
        <w:rPr>
          <w:rFonts w:hint="eastAsia"/>
          <w:sz w:val="24"/>
          <w:szCs w:val="21"/>
          <w:lang w:bidi="ar"/>
        </w:rPr>
        <w:t>损耗）的耗电量，单位为千瓦时（</w:t>
      </w:r>
      <w:r>
        <w:rPr>
          <w:sz w:val="24"/>
          <w:szCs w:val="21"/>
          <w:lang w:bidi="ar"/>
        </w:rPr>
        <w:t>kWh</w:t>
      </w:r>
      <w:r>
        <w:rPr>
          <w:rFonts w:hint="eastAsia"/>
          <w:sz w:val="24"/>
          <w:szCs w:val="21"/>
          <w:lang w:bidi="ar"/>
        </w:rPr>
        <w:t>）。</w:t>
      </w:r>
    </w:p>
    <w:p>
      <w:pPr>
        <w:spacing w:line="360" w:lineRule="auto"/>
        <w:ind w:firstLine="480" w:firstLineChars="200"/>
        <w:jc w:val="left"/>
        <w:rPr>
          <w:sz w:val="24"/>
          <w:szCs w:val="21"/>
          <w:lang w:bidi="ar"/>
        </w:rPr>
      </w:pPr>
      <w:r>
        <w:rPr>
          <w:sz w:val="24"/>
          <w:szCs w:val="21"/>
          <w:lang w:bidi="ar"/>
        </w:rPr>
        <w:t xml:space="preserve">7.2.2 </w:t>
      </w:r>
      <w:r>
        <w:rPr>
          <w:rFonts w:hint="eastAsia"/>
          <w:sz w:val="24"/>
          <w:szCs w:val="21"/>
          <w:lang w:bidi="ar"/>
        </w:rPr>
        <w:t>评估</w:t>
      </w:r>
      <w:r>
        <w:rPr>
          <w:sz w:val="24"/>
          <w:szCs w:val="21"/>
          <w:lang w:bidi="ar"/>
        </w:rPr>
        <w:t>浸没式液冷数据中心</w:t>
      </w:r>
      <w:r>
        <w:rPr>
          <w:rFonts w:hint="eastAsia"/>
          <w:sz w:val="24"/>
          <w:szCs w:val="21"/>
          <w:lang w:bidi="ar"/>
        </w:rPr>
        <w:t>的算力产出率时宜</w:t>
      </w:r>
      <w:r>
        <w:rPr>
          <w:sz w:val="24"/>
          <w:szCs w:val="21"/>
          <w:lang w:bidi="ar"/>
        </w:rPr>
        <w:t>采用ICT算力产出率</w:t>
      </w:r>
      <w:r>
        <w:rPr>
          <w:rFonts w:hint="eastAsia"/>
          <w:sz w:val="24"/>
          <w:szCs w:val="21"/>
          <w:lang w:bidi="ar"/>
        </w:rPr>
        <w:t>，即数据中心</w:t>
      </w:r>
      <w:r>
        <w:rPr>
          <w:sz w:val="24"/>
          <w:szCs w:val="21"/>
          <w:lang w:bidi="ar"/>
        </w:rPr>
        <w:t>ICT</w:t>
      </w:r>
      <w:r>
        <w:rPr>
          <w:rFonts w:hint="eastAsia"/>
          <w:sz w:val="24"/>
          <w:szCs w:val="21"/>
          <w:lang w:bidi="ar"/>
        </w:rPr>
        <w:t>算力部分（不含</w:t>
      </w:r>
      <w:r>
        <w:rPr>
          <w:sz w:val="24"/>
          <w:szCs w:val="21"/>
          <w:lang w:bidi="ar"/>
        </w:rPr>
        <w:t>ICT</w:t>
      </w:r>
      <w:r>
        <w:rPr>
          <w:rFonts w:hint="eastAsia"/>
          <w:sz w:val="24"/>
          <w:szCs w:val="21"/>
          <w:lang w:bidi="ar"/>
        </w:rPr>
        <w:t>设备风扇与</w:t>
      </w:r>
      <w:r>
        <w:rPr>
          <w:sz w:val="24"/>
          <w:szCs w:val="21"/>
          <w:lang w:bidi="ar"/>
        </w:rPr>
        <w:t>PSU</w:t>
      </w:r>
      <w:r>
        <w:rPr>
          <w:rFonts w:hint="eastAsia"/>
          <w:sz w:val="24"/>
          <w:szCs w:val="21"/>
          <w:lang w:bidi="ar"/>
        </w:rPr>
        <w:t>损耗）的设计功率与数据中心电力总输入功率的比值。</w:t>
      </w:r>
    </w:p>
    <w:p>
      <w:pPr>
        <w:spacing w:line="360" w:lineRule="auto"/>
        <w:ind w:firstLine="480" w:firstLineChars="200"/>
        <w:rPr>
          <w:kern w:val="0"/>
          <w:sz w:val="24"/>
          <w:szCs w:val="24"/>
        </w:rPr>
      </w:pPr>
      <w:r>
        <w:rPr>
          <w:rFonts w:hint="eastAsia"/>
          <w:kern w:val="0"/>
          <w:sz w:val="24"/>
          <w:szCs w:val="24"/>
        </w:rPr>
        <w:t>条文说明：</w:t>
      </w:r>
      <w:r>
        <w:rPr>
          <w:kern w:val="0"/>
          <w:sz w:val="24"/>
          <w:szCs w:val="24"/>
        </w:rPr>
        <w:t>浸没式液冷数据中心的ICT设备无风扇，ICT设备的PSU损耗有所降低，</w:t>
      </w:r>
      <w:r>
        <w:rPr>
          <w:rFonts w:hint="eastAsia"/>
          <w:kern w:val="0"/>
          <w:sz w:val="24"/>
          <w:szCs w:val="24"/>
        </w:rPr>
        <w:t>评估算力产出时可采用</w:t>
      </w:r>
      <w:r>
        <w:rPr>
          <w:kern w:val="0"/>
          <w:sz w:val="24"/>
          <w:szCs w:val="24"/>
        </w:rPr>
        <w:t>ICT</w:t>
      </w:r>
      <w:r>
        <w:rPr>
          <w:rFonts w:hint="eastAsia"/>
          <w:kern w:val="0"/>
          <w:sz w:val="24"/>
          <w:szCs w:val="24"/>
        </w:rPr>
        <w:t>算力产出率，计算公式为：</w:t>
      </w:r>
    </w:p>
    <w:p>
      <w:pPr>
        <w:spacing w:line="360" w:lineRule="auto"/>
        <w:ind w:firstLine="480" w:firstLineChars="200"/>
        <w:jc w:val="left"/>
        <w:rPr>
          <w:sz w:val="24"/>
          <w:szCs w:val="21"/>
          <w:lang w:bidi="ar"/>
        </w:rPr>
      </w:pPr>
      <w:r>
        <w:rPr>
          <w:sz w:val="24"/>
          <w:szCs w:val="21"/>
          <w:lang w:bidi="ar"/>
        </w:rPr>
        <w:t>ICT</w:t>
      </w:r>
      <w:r>
        <w:rPr>
          <w:rFonts w:hint="eastAsia"/>
          <w:sz w:val="24"/>
          <w:szCs w:val="21"/>
          <w:lang w:bidi="ar"/>
        </w:rPr>
        <w:t>算力产出率</w:t>
      </w:r>
      <w:r>
        <w:rPr>
          <w:sz w:val="24"/>
          <w:szCs w:val="21"/>
          <w:lang w:bidi="ar"/>
        </w:rPr>
        <w:t>= PW</w:t>
      </w:r>
      <w:r>
        <w:rPr>
          <w:sz w:val="24"/>
          <w:szCs w:val="21"/>
          <w:vertAlign w:val="subscript"/>
          <w:lang w:bidi="ar"/>
        </w:rPr>
        <w:t>ICT</w:t>
      </w:r>
      <w:r>
        <w:rPr>
          <w:sz w:val="24"/>
          <w:szCs w:val="21"/>
          <w:lang w:bidi="ar"/>
        </w:rPr>
        <w:t>/PW</w:t>
      </w:r>
      <w:r>
        <w:rPr>
          <w:sz w:val="24"/>
          <w:szCs w:val="21"/>
          <w:vertAlign w:val="subscript"/>
          <w:lang w:bidi="ar"/>
        </w:rPr>
        <w:t>Input</w:t>
      </w:r>
      <w:r>
        <w:rPr>
          <w:sz w:val="24"/>
          <w:szCs w:val="21"/>
          <w:lang w:bidi="ar"/>
        </w:rPr>
        <w:t>=</w:t>
      </w:r>
      <w:r>
        <w:rPr>
          <w:rFonts w:hint="eastAsia"/>
          <w:sz w:val="24"/>
          <w:szCs w:val="21"/>
          <w:lang w:bidi="ar"/>
        </w:rPr>
        <w:t>（</w:t>
      </w:r>
      <w:r>
        <w:rPr>
          <w:sz w:val="24"/>
          <w:szCs w:val="21"/>
          <w:lang w:bidi="ar"/>
        </w:rPr>
        <w:t>PW</w:t>
      </w:r>
      <w:r>
        <w:rPr>
          <w:sz w:val="24"/>
          <w:szCs w:val="21"/>
          <w:vertAlign w:val="subscript"/>
          <w:lang w:bidi="ar"/>
        </w:rPr>
        <w:t xml:space="preserve">Input  </w:t>
      </w:r>
      <w:r>
        <w:rPr>
          <w:rFonts w:hint="eastAsia"/>
          <w:sz w:val="24"/>
          <w:szCs w:val="21"/>
          <w:lang w:bidi="ar"/>
        </w:rPr>
        <w:t>-</w:t>
      </w:r>
      <w:r>
        <w:rPr>
          <w:sz w:val="24"/>
          <w:szCs w:val="21"/>
          <w:lang w:bidi="ar"/>
        </w:rPr>
        <w:t xml:space="preserve"> </w:t>
      </w:r>
      <w:r>
        <w:rPr>
          <w:rFonts w:hint="eastAsia"/>
          <w:sz w:val="24"/>
          <w:szCs w:val="21"/>
          <w:lang w:bidi="ar"/>
        </w:rPr>
        <w:t xml:space="preserve">冷却系统夏季峰值耗电量 </w:t>
      </w:r>
      <w:r>
        <w:rPr>
          <w:sz w:val="24"/>
          <w:szCs w:val="21"/>
          <w:lang w:bidi="ar"/>
        </w:rPr>
        <w:t xml:space="preserve">- </w:t>
      </w:r>
      <w:r>
        <w:rPr>
          <w:rFonts w:hint="eastAsia"/>
          <w:sz w:val="24"/>
          <w:szCs w:val="21"/>
          <w:lang w:bidi="ar"/>
        </w:rPr>
        <w:t>电气损耗</w:t>
      </w:r>
      <w:r>
        <w:rPr>
          <w:sz w:val="24"/>
          <w:szCs w:val="21"/>
          <w:lang w:bidi="ar"/>
        </w:rPr>
        <w:t xml:space="preserve"> - ICT</w:t>
      </w:r>
      <w:r>
        <w:rPr>
          <w:rFonts w:hint="eastAsia"/>
          <w:sz w:val="24"/>
          <w:szCs w:val="21"/>
          <w:lang w:bidi="ar"/>
        </w:rPr>
        <w:t xml:space="preserve">的风扇功耗 </w:t>
      </w:r>
      <w:r>
        <w:rPr>
          <w:sz w:val="24"/>
          <w:szCs w:val="21"/>
          <w:lang w:bidi="ar"/>
        </w:rPr>
        <w:t>- ICT</w:t>
      </w:r>
      <w:r>
        <w:rPr>
          <w:rFonts w:hint="eastAsia"/>
          <w:sz w:val="24"/>
          <w:szCs w:val="21"/>
          <w:lang w:bidi="ar"/>
        </w:rPr>
        <w:t>的</w:t>
      </w:r>
      <w:r>
        <w:rPr>
          <w:sz w:val="24"/>
          <w:szCs w:val="21"/>
          <w:lang w:bidi="ar"/>
        </w:rPr>
        <w:t>PSU</w:t>
      </w:r>
      <w:r>
        <w:rPr>
          <w:rFonts w:hint="eastAsia"/>
          <w:sz w:val="24"/>
          <w:szCs w:val="21"/>
          <w:lang w:bidi="ar"/>
        </w:rPr>
        <w:t>损耗）</w:t>
      </w:r>
      <w:r>
        <w:rPr>
          <w:sz w:val="24"/>
          <w:szCs w:val="21"/>
          <w:lang w:bidi="ar"/>
        </w:rPr>
        <w:t>/ PW</w:t>
      </w:r>
      <w:r>
        <w:rPr>
          <w:sz w:val="24"/>
          <w:szCs w:val="21"/>
          <w:vertAlign w:val="subscript"/>
          <w:lang w:bidi="ar"/>
        </w:rPr>
        <w:t>Input</w:t>
      </w:r>
    </w:p>
    <w:p>
      <w:pPr>
        <w:spacing w:line="360" w:lineRule="auto"/>
        <w:ind w:firstLine="480" w:firstLineChars="200"/>
        <w:jc w:val="left"/>
        <w:rPr>
          <w:sz w:val="24"/>
          <w:szCs w:val="21"/>
          <w:lang w:bidi="ar"/>
        </w:rPr>
      </w:pPr>
      <w:r>
        <w:rPr>
          <w:sz w:val="24"/>
          <w:szCs w:val="21"/>
          <w:lang w:bidi="ar"/>
        </w:rPr>
        <w:t>PW</w:t>
      </w:r>
      <w:r>
        <w:rPr>
          <w:sz w:val="24"/>
          <w:szCs w:val="21"/>
          <w:vertAlign w:val="subscript"/>
          <w:lang w:bidi="ar"/>
        </w:rPr>
        <w:t xml:space="preserve">ICT </w:t>
      </w:r>
      <w:r>
        <w:rPr>
          <w:sz w:val="24"/>
          <w:szCs w:val="21"/>
          <w:lang w:bidi="ar"/>
        </w:rPr>
        <w:t xml:space="preserve">— </w:t>
      </w:r>
      <w:r>
        <w:rPr>
          <w:rFonts w:hint="eastAsia"/>
          <w:sz w:val="24"/>
          <w:szCs w:val="21"/>
          <w:lang w:bidi="ar"/>
        </w:rPr>
        <w:t>数据中心</w:t>
      </w:r>
      <w:r>
        <w:rPr>
          <w:sz w:val="24"/>
          <w:szCs w:val="21"/>
          <w:lang w:bidi="ar"/>
        </w:rPr>
        <w:t>ICT</w:t>
      </w:r>
      <w:r>
        <w:rPr>
          <w:rFonts w:hint="eastAsia"/>
          <w:sz w:val="24"/>
          <w:szCs w:val="21"/>
          <w:lang w:bidi="ar"/>
        </w:rPr>
        <w:t>部分（不含</w:t>
      </w:r>
      <w:r>
        <w:rPr>
          <w:sz w:val="24"/>
          <w:szCs w:val="21"/>
          <w:lang w:bidi="ar"/>
        </w:rPr>
        <w:t>ICT</w:t>
      </w:r>
      <w:r>
        <w:rPr>
          <w:rFonts w:hint="eastAsia"/>
          <w:sz w:val="24"/>
          <w:szCs w:val="21"/>
          <w:lang w:bidi="ar"/>
        </w:rPr>
        <w:t>设备风扇与</w:t>
      </w:r>
      <w:r>
        <w:rPr>
          <w:sz w:val="24"/>
          <w:szCs w:val="21"/>
          <w:lang w:bidi="ar"/>
        </w:rPr>
        <w:t>PSU</w:t>
      </w:r>
      <w:r>
        <w:rPr>
          <w:rFonts w:hint="eastAsia"/>
          <w:sz w:val="24"/>
          <w:szCs w:val="21"/>
          <w:lang w:bidi="ar"/>
        </w:rPr>
        <w:t>损耗）的设计功率，单位为千瓦（</w:t>
      </w:r>
      <w:r>
        <w:rPr>
          <w:sz w:val="24"/>
          <w:szCs w:val="21"/>
          <w:lang w:bidi="ar"/>
        </w:rPr>
        <w:t>kW</w:t>
      </w:r>
      <w:r>
        <w:rPr>
          <w:rFonts w:hint="eastAsia"/>
          <w:sz w:val="24"/>
          <w:szCs w:val="21"/>
          <w:lang w:bidi="ar"/>
        </w:rPr>
        <w:t>）</w:t>
      </w:r>
    </w:p>
    <w:p>
      <w:pPr>
        <w:spacing w:line="360" w:lineRule="auto"/>
        <w:ind w:firstLine="480" w:firstLineChars="200"/>
        <w:jc w:val="left"/>
        <w:rPr>
          <w:sz w:val="24"/>
          <w:szCs w:val="21"/>
          <w:lang w:bidi="ar"/>
        </w:rPr>
      </w:pPr>
      <w:r>
        <w:rPr>
          <w:sz w:val="24"/>
          <w:szCs w:val="21"/>
          <w:lang w:bidi="ar"/>
        </w:rPr>
        <w:t>PW</w:t>
      </w:r>
      <w:r>
        <w:rPr>
          <w:sz w:val="24"/>
          <w:szCs w:val="21"/>
          <w:vertAlign w:val="subscript"/>
          <w:lang w:bidi="ar"/>
        </w:rPr>
        <w:t xml:space="preserve">Input  </w:t>
      </w:r>
      <w:r>
        <w:rPr>
          <w:sz w:val="24"/>
          <w:szCs w:val="21"/>
          <w:lang w:bidi="ar"/>
        </w:rPr>
        <w:t xml:space="preserve">— </w:t>
      </w:r>
      <w:r>
        <w:rPr>
          <w:rFonts w:hint="eastAsia"/>
          <w:sz w:val="24"/>
          <w:szCs w:val="21"/>
          <w:lang w:bidi="ar"/>
        </w:rPr>
        <w:t>数据中心电力输入总功率，单位为</w:t>
      </w:r>
      <w:r>
        <w:rPr>
          <w:sz w:val="24"/>
          <w:szCs w:val="21"/>
          <w:lang w:bidi="ar"/>
        </w:rPr>
        <w:t>kW</w:t>
      </w:r>
    </w:p>
    <w:p>
      <w:pPr>
        <w:spacing w:line="360" w:lineRule="auto"/>
        <w:ind w:firstLine="480" w:firstLineChars="200"/>
        <w:jc w:val="left"/>
        <w:rPr>
          <w:sz w:val="24"/>
          <w:szCs w:val="21"/>
          <w:lang w:bidi="ar"/>
        </w:rPr>
      </w:pPr>
    </w:p>
    <w:p>
      <w:pPr>
        <w:spacing w:before="312" w:beforeLines="100" w:line="360" w:lineRule="auto"/>
        <w:ind w:firstLine="561" w:firstLineChars="200"/>
        <w:jc w:val="center"/>
        <w:outlineLvl w:val="1"/>
        <w:rPr>
          <w:b/>
          <w:sz w:val="28"/>
          <w:szCs w:val="24"/>
        </w:rPr>
      </w:pPr>
      <w:bookmarkStart w:id="127" w:name="_Toc1142173959"/>
      <w:r>
        <w:rPr>
          <w:b/>
          <w:sz w:val="28"/>
          <w:szCs w:val="24"/>
        </w:rPr>
        <w:t>7.3 风液冷兼容</w:t>
      </w:r>
      <w:bookmarkEnd w:id="127"/>
    </w:p>
    <w:p>
      <w:pPr>
        <w:spacing w:line="360" w:lineRule="auto"/>
        <w:ind w:firstLine="480" w:firstLineChars="200"/>
        <w:jc w:val="left"/>
        <w:rPr>
          <w:sz w:val="24"/>
          <w:szCs w:val="21"/>
          <w:lang w:bidi="ar"/>
        </w:rPr>
      </w:pPr>
      <w:r>
        <w:rPr>
          <w:sz w:val="24"/>
          <w:szCs w:val="21"/>
          <w:lang w:bidi="ar"/>
        </w:rPr>
        <w:t>7.3.1液冷数据中心</w:t>
      </w:r>
      <w:r>
        <w:rPr>
          <w:rFonts w:hint="eastAsia"/>
          <w:sz w:val="24"/>
          <w:szCs w:val="21"/>
          <w:lang w:bidi="ar"/>
        </w:rPr>
        <w:t>的规划设计宜兼容风冷，以利于风、液冷机柜的灵活部署与平滑过渡</w:t>
      </w:r>
      <w:r>
        <w:rPr>
          <w:sz w:val="24"/>
          <w:szCs w:val="21"/>
          <w:lang w:bidi="ar"/>
        </w:rPr>
        <w:t>。</w:t>
      </w:r>
    </w:p>
    <w:p>
      <w:pPr>
        <w:spacing w:line="360" w:lineRule="auto"/>
        <w:ind w:firstLine="480" w:firstLineChars="200"/>
        <w:rPr>
          <w:kern w:val="0"/>
          <w:sz w:val="24"/>
          <w:szCs w:val="24"/>
        </w:rPr>
      </w:pPr>
      <w:r>
        <w:rPr>
          <w:rFonts w:hint="eastAsia"/>
          <w:kern w:val="0"/>
          <w:sz w:val="24"/>
          <w:szCs w:val="24"/>
        </w:rPr>
        <w:t>条文说明：风冷机柜与液冷机柜可共用冷源侧（一次侧），以CDU和风冷冷却末端作为风冷机柜与液冷机柜的分界。</w:t>
      </w:r>
    </w:p>
    <w:p>
      <w:pPr>
        <w:widowControl/>
        <w:jc w:val="left"/>
        <w:rPr>
          <w:rFonts w:eastAsia="微软雅黑"/>
          <w:sz w:val="28"/>
          <w:szCs w:val="32"/>
        </w:rPr>
      </w:pPr>
      <w:r>
        <w:rPr>
          <w:rFonts w:eastAsia="微软雅黑"/>
          <w:sz w:val="28"/>
          <w:szCs w:val="32"/>
        </w:rPr>
        <w:br w:type="page"/>
      </w:r>
    </w:p>
    <w:p>
      <w:pPr>
        <w:spacing w:line="360" w:lineRule="auto"/>
        <w:ind w:firstLine="601" w:firstLineChars="200"/>
        <w:jc w:val="center"/>
        <w:outlineLvl w:val="0"/>
        <w:rPr>
          <w:b/>
          <w:spacing w:val="5"/>
          <w:kern w:val="0"/>
          <w:sz w:val="30"/>
          <w:szCs w:val="30"/>
        </w:rPr>
      </w:pPr>
      <w:bookmarkStart w:id="128" w:name="_Toc161408380"/>
      <w:r>
        <w:rPr>
          <w:b/>
          <w:kern w:val="0"/>
          <w:sz w:val="30"/>
          <w:szCs w:val="30"/>
        </w:rPr>
        <w:t>8</w:t>
      </w:r>
      <w:r>
        <w:rPr>
          <w:b/>
          <w:spacing w:val="0"/>
          <w:w w:val="89"/>
          <w:kern w:val="0"/>
          <w:sz w:val="30"/>
          <w:szCs w:val="30"/>
          <w:fitText w:val="1204" w:id="-1130628348"/>
        </w:rPr>
        <w:t xml:space="preserve"> 运维管</w:t>
      </w:r>
      <w:r>
        <w:rPr>
          <w:b/>
          <w:spacing w:val="1"/>
          <w:w w:val="89"/>
          <w:kern w:val="0"/>
          <w:sz w:val="30"/>
          <w:szCs w:val="30"/>
          <w:fitText w:val="1204" w:id="-1130628348"/>
        </w:rPr>
        <w:t>理</w:t>
      </w:r>
      <w:bookmarkEnd w:id="128"/>
    </w:p>
    <w:p>
      <w:pPr>
        <w:spacing w:before="312" w:beforeLines="100" w:line="360" w:lineRule="auto"/>
        <w:ind w:firstLine="561" w:firstLineChars="200"/>
        <w:jc w:val="center"/>
        <w:outlineLvl w:val="1"/>
        <w:rPr>
          <w:b/>
          <w:sz w:val="28"/>
          <w:szCs w:val="24"/>
        </w:rPr>
      </w:pPr>
      <w:bookmarkStart w:id="129" w:name="_Toc518796499"/>
      <w:r>
        <w:rPr>
          <w:b/>
          <w:sz w:val="28"/>
          <w:szCs w:val="24"/>
        </w:rPr>
        <w:t>8.1 浸没式液冷</w:t>
      </w:r>
      <w:r>
        <w:rPr>
          <w:rFonts w:hint="eastAsia"/>
          <w:b/>
          <w:sz w:val="28"/>
          <w:szCs w:val="24"/>
        </w:rPr>
        <w:t>的</w:t>
      </w:r>
      <w:r>
        <w:rPr>
          <w:b/>
          <w:sz w:val="28"/>
          <w:szCs w:val="24"/>
        </w:rPr>
        <w:t>运维管理</w:t>
      </w:r>
      <w:bookmarkEnd w:id="129"/>
    </w:p>
    <w:p>
      <w:pPr>
        <w:spacing w:line="360" w:lineRule="auto"/>
        <w:ind w:firstLine="480" w:firstLineChars="200"/>
        <w:jc w:val="left"/>
        <w:rPr>
          <w:sz w:val="24"/>
          <w:szCs w:val="24"/>
          <w:lang w:bidi="ar"/>
        </w:rPr>
      </w:pPr>
      <w:r>
        <w:rPr>
          <w:sz w:val="24"/>
          <w:szCs w:val="24"/>
          <w:lang w:bidi="ar"/>
        </w:rPr>
        <w:t>8.1.1</w:t>
      </w:r>
      <w:r>
        <w:rPr>
          <w:rFonts w:hint="eastAsia"/>
          <w:sz w:val="24"/>
          <w:szCs w:val="24"/>
          <w:lang w:bidi="ar"/>
        </w:rPr>
        <w:t>容纳</w:t>
      </w:r>
      <w:r>
        <w:rPr>
          <w:sz w:val="24"/>
          <w:szCs w:val="24"/>
          <w:lang w:bidi="ar"/>
        </w:rPr>
        <w:t>浸没式</w:t>
      </w:r>
      <w:r>
        <w:rPr>
          <w:rFonts w:hint="eastAsia"/>
          <w:sz w:val="24"/>
          <w:szCs w:val="24"/>
          <w:lang w:bidi="ar"/>
        </w:rPr>
        <w:t>液冷机柜的</w:t>
      </w:r>
      <w:r>
        <w:rPr>
          <w:sz w:val="24"/>
          <w:szCs w:val="24"/>
          <w:lang w:bidi="ar"/>
        </w:rPr>
        <w:t>环境温度</w:t>
      </w:r>
      <w:r>
        <w:rPr>
          <w:rFonts w:hint="eastAsia"/>
          <w:sz w:val="24"/>
          <w:szCs w:val="24"/>
          <w:lang w:bidi="ar"/>
        </w:rPr>
        <w:t>宜满足运维工作人员舒适度</w:t>
      </w:r>
      <w:r>
        <w:rPr>
          <w:sz w:val="24"/>
          <w:szCs w:val="24"/>
          <w:lang w:bidi="ar"/>
        </w:rPr>
        <w:t>。</w:t>
      </w:r>
    </w:p>
    <w:p>
      <w:pPr>
        <w:spacing w:line="360" w:lineRule="auto"/>
        <w:ind w:firstLine="480" w:firstLineChars="200"/>
        <w:jc w:val="left"/>
        <w:rPr>
          <w:sz w:val="24"/>
          <w:szCs w:val="24"/>
        </w:rPr>
      </w:pPr>
      <w:r>
        <w:rPr>
          <w:sz w:val="24"/>
          <w:szCs w:val="24"/>
          <w:lang w:bidi="ar"/>
        </w:rPr>
        <w:t>8.1.2</w:t>
      </w:r>
      <w:r>
        <w:rPr>
          <w:sz w:val="24"/>
          <w:szCs w:val="24"/>
        </w:rPr>
        <w:t>冷却液的关键参数应定期检测，以保证系统可靠运行。</w:t>
      </w:r>
    </w:p>
    <w:p>
      <w:pPr>
        <w:spacing w:line="360" w:lineRule="auto"/>
        <w:ind w:firstLine="480" w:firstLineChars="200"/>
        <w:jc w:val="left"/>
        <w:rPr>
          <w:sz w:val="24"/>
          <w:szCs w:val="24"/>
        </w:rPr>
      </w:pPr>
      <w:r>
        <w:rPr>
          <w:sz w:val="24"/>
          <w:szCs w:val="24"/>
        </w:rPr>
        <w:t>8.1.3</w:t>
      </w:r>
      <w:r>
        <w:rPr>
          <w:rFonts w:hint="eastAsia"/>
          <w:sz w:val="24"/>
          <w:szCs w:val="24"/>
        </w:rPr>
        <w:t>在浸没式液冷</w:t>
      </w:r>
      <w:r>
        <w:rPr>
          <w:sz w:val="24"/>
          <w:szCs w:val="24"/>
        </w:rPr>
        <w:t>系统</w:t>
      </w:r>
      <w:r>
        <w:rPr>
          <w:rFonts w:hint="eastAsia"/>
          <w:sz w:val="24"/>
          <w:szCs w:val="24"/>
        </w:rPr>
        <w:t>投入运行的第一年期间，</w:t>
      </w:r>
      <w:r>
        <w:rPr>
          <w:sz w:val="24"/>
          <w:szCs w:val="24"/>
        </w:rPr>
        <w:t>冷却液</w:t>
      </w:r>
      <w:r>
        <w:rPr>
          <w:rFonts w:hint="eastAsia"/>
          <w:sz w:val="24"/>
          <w:szCs w:val="24"/>
        </w:rPr>
        <w:t>取样</w:t>
      </w:r>
      <w:r>
        <w:rPr>
          <w:sz w:val="24"/>
          <w:szCs w:val="24"/>
        </w:rPr>
        <w:t>检测</w:t>
      </w:r>
      <w:r>
        <w:rPr>
          <w:rFonts w:hint="eastAsia"/>
          <w:sz w:val="24"/>
          <w:szCs w:val="24"/>
        </w:rPr>
        <w:t>的</w:t>
      </w:r>
      <w:r>
        <w:rPr>
          <w:sz w:val="24"/>
          <w:szCs w:val="24"/>
        </w:rPr>
        <w:t>频次宜</w:t>
      </w:r>
      <w:r>
        <w:rPr>
          <w:rFonts w:hint="eastAsia"/>
          <w:sz w:val="24"/>
          <w:szCs w:val="24"/>
        </w:rPr>
        <w:t>为</w:t>
      </w:r>
      <w:r>
        <w:rPr>
          <w:sz w:val="24"/>
          <w:szCs w:val="24"/>
        </w:rPr>
        <w:t>半年一次，稳定运行后冷却液的检测频次宜每年一次，</w:t>
      </w:r>
      <w:r>
        <w:rPr>
          <w:rFonts w:hint="eastAsia"/>
          <w:sz w:val="24"/>
          <w:szCs w:val="24"/>
        </w:rPr>
        <w:t>检测指标宜包含</w:t>
      </w:r>
      <w:r>
        <w:rPr>
          <w:sz w:val="24"/>
          <w:szCs w:val="21"/>
        </w:rPr>
        <w:t>介电常数、体积电阻率、运动粘度、闪点、酸值、含水量、固体颗粒物含量、有机物含量</w:t>
      </w:r>
      <w:r>
        <w:rPr>
          <w:rFonts w:hint="eastAsia"/>
          <w:sz w:val="24"/>
          <w:szCs w:val="21"/>
        </w:rPr>
        <w:t>等；当浸没冷却液为</w:t>
      </w:r>
      <w:r>
        <w:rPr>
          <w:sz w:val="24"/>
          <w:szCs w:val="21"/>
        </w:rPr>
        <w:t>氟化液</w:t>
      </w:r>
      <w:r>
        <w:rPr>
          <w:rFonts w:hint="eastAsia"/>
          <w:sz w:val="24"/>
          <w:szCs w:val="21"/>
        </w:rPr>
        <w:t>时</w:t>
      </w:r>
      <w:r>
        <w:rPr>
          <w:sz w:val="24"/>
          <w:szCs w:val="21"/>
        </w:rPr>
        <w:t>取样点</w:t>
      </w:r>
      <w:r>
        <w:rPr>
          <w:rFonts w:hint="eastAsia"/>
          <w:sz w:val="24"/>
          <w:szCs w:val="21"/>
        </w:rPr>
        <w:t>应偏液体的</w:t>
      </w:r>
      <w:r>
        <w:rPr>
          <w:sz w:val="24"/>
          <w:szCs w:val="21"/>
        </w:rPr>
        <w:t>上</w:t>
      </w:r>
      <w:r>
        <w:rPr>
          <w:rFonts w:hint="eastAsia"/>
          <w:sz w:val="24"/>
          <w:szCs w:val="21"/>
        </w:rPr>
        <w:t>部区域</w:t>
      </w:r>
      <w:r>
        <w:rPr>
          <w:sz w:val="24"/>
          <w:szCs w:val="21"/>
        </w:rPr>
        <w:t>，</w:t>
      </w:r>
      <w:r>
        <w:rPr>
          <w:rFonts w:hint="eastAsia"/>
          <w:sz w:val="24"/>
          <w:szCs w:val="21"/>
        </w:rPr>
        <w:t>当浸没冷却液为</w:t>
      </w:r>
      <w:r>
        <w:rPr>
          <w:sz w:val="24"/>
          <w:szCs w:val="21"/>
        </w:rPr>
        <w:t>油类冷却液</w:t>
      </w:r>
      <w:r>
        <w:rPr>
          <w:rFonts w:hint="eastAsia"/>
          <w:sz w:val="24"/>
          <w:szCs w:val="21"/>
        </w:rPr>
        <w:t>时</w:t>
      </w:r>
      <w:r>
        <w:rPr>
          <w:sz w:val="24"/>
          <w:szCs w:val="21"/>
        </w:rPr>
        <w:t>取样点应</w:t>
      </w:r>
      <w:r>
        <w:rPr>
          <w:rFonts w:hint="eastAsia"/>
          <w:sz w:val="24"/>
          <w:szCs w:val="21"/>
        </w:rPr>
        <w:t>偏液体的下部区域</w:t>
      </w:r>
      <w:r>
        <w:rPr>
          <w:sz w:val="24"/>
          <w:szCs w:val="21"/>
        </w:rPr>
        <w:t>。</w:t>
      </w:r>
    </w:p>
    <w:p>
      <w:pPr>
        <w:spacing w:line="360" w:lineRule="auto"/>
        <w:ind w:firstLine="480" w:firstLineChars="200"/>
        <w:rPr>
          <w:kern w:val="0"/>
          <w:sz w:val="24"/>
          <w:szCs w:val="24"/>
        </w:rPr>
      </w:pPr>
      <w:r>
        <w:rPr>
          <w:kern w:val="0"/>
          <w:sz w:val="24"/>
          <w:szCs w:val="24"/>
        </w:rPr>
        <w:t>条文说明：在长期运行中，冷却液易受环境污染、故障的影响，浸没系统中可能产生的污染物及其影响见下表：</w:t>
      </w:r>
    </w:p>
    <w:p>
      <w:pPr>
        <w:spacing w:line="360" w:lineRule="auto"/>
        <w:ind w:firstLine="420" w:firstLineChars="200"/>
        <w:jc w:val="center"/>
        <w:rPr>
          <w:b/>
          <w:kern w:val="0"/>
          <w:szCs w:val="24"/>
        </w:rPr>
      </w:pPr>
      <w:r>
        <w:rPr>
          <w:b/>
          <w:kern w:val="0"/>
          <w:szCs w:val="24"/>
        </w:rPr>
        <w:t>表8.1.3-1 浸没系统中可能产生的污染物列表</w:t>
      </w:r>
    </w:p>
    <w:tbl>
      <w:tblPr>
        <w:tblStyle w:val="27"/>
        <w:tblW w:w="4998" w:type="pct"/>
        <w:tblInd w:w="0" w:type="dxa"/>
        <w:tblLayout w:type="autofit"/>
        <w:tblCellMar>
          <w:top w:w="0" w:type="dxa"/>
          <w:left w:w="0" w:type="dxa"/>
          <w:bottom w:w="0" w:type="dxa"/>
          <w:right w:w="0" w:type="dxa"/>
        </w:tblCellMar>
      </w:tblPr>
      <w:tblGrid>
        <w:gridCol w:w="1869"/>
        <w:gridCol w:w="1273"/>
        <w:gridCol w:w="1617"/>
        <w:gridCol w:w="1787"/>
        <w:gridCol w:w="1787"/>
      </w:tblGrid>
      <w:tr>
        <w:trPr>
          <w:trHeight w:val="20" w:hRule="atLeast"/>
        </w:trPr>
        <w:tc>
          <w:tcPr>
            <w:tcW w:w="1122"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5"/>
              <w:widowControl/>
              <w:spacing w:before="156" w:after="156"/>
              <w:jc w:val="center"/>
              <w:rPr>
                <w:rFonts w:ascii="Times New Roman" w:hAnsi="Times New Roman"/>
                <w:szCs w:val="18"/>
              </w:rPr>
            </w:pPr>
            <w:r>
              <w:rPr>
                <w:rFonts w:ascii="Times New Roman" w:hAnsi="Times New Roman"/>
                <w:b/>
                <w:bCs/>
                <w:szCs w:val="18"/>
              </w:rPr>
              <w:t>污染物</w:t>
            </w:r>
          </w:p>
        </w:tc>
        <w:tc>
          <w:tcPr>
            <w:tcW w:w="764"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15"/>
              <w:widowControl/>
              <w:spacing w:before="156" w:after="156"/>
              <w:jc w:val="center"/>
              <w:rPr>
                <w:rFonts w:ascii="Times New Roman" w:hAnsi="Times New Roman"/>
                <w:szCs w:val="18"/>
              </w:rPr>
            </w:pPr>
            <w:r>
              <w:rPr>
                <w:rFonts w:ascii="Times New Roman" w:hAnsi="Times New Roman"/>
                <w:b/>
                <w:bCs/>
                <w:szCs w:val="18"/>
              </w:rPr>
              <w:t>可能来源</w:t>
            </w:r>
          </w:p>
        </w:tc>
        <w:tc>
          <w:tcPr>
            <w:tcW w:w="970"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15"/>
              <w:widowControl/>
              <w:spacing w:before="156" w:after="156"/>
              <w:jc w:val="center"/>
              <w:rPr>
                <w:rFonts w:ascii="Times New Roman" w:hAnsi="Times New Roman"/>
                <w:szCs w:val="18"/>
              </w:rPr>
            </w:pPr>
            <w:r>
              <w:rPr>
                <w:rFonts w:ascii="Times New Roman" w:hAnsi="Times New Roman"/>
                <w:b/>
                <w:bCs/>
                <w:szCs w:val="18"/>
              </w:rPr>
              <w:t>可能产生问题</w:t>
            </w:r>
          </w:p>
        </w:tc>
        <w:tc>
          <w:tcPr>
            <w:tcW w:w="1072"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15"/>
              <w:widowControl/>
              <w:spacing w:before="156" w:after="156"/>
              <w:jc w:val="center"/>
              <w:rPr>
                <w:rFonts w:ascii="Times New Roman" w:hAnsi="Times New Roman"/>
                <w:szCs w:val="18"/>
              </w:rPr>
            </w:pPr>
            <w:r>
              <w:rPr>
                <w:rFonts w:ascii="Times New Roman" w:hAnsi="Times New Roman"/>
                <w:b/>
                <w:bCs/>
                <w:szCs w:val="18"/>
              </w:rPr>
              <w:t>参考原液允许含量</w:t>
            </w:r>
          </w:p>
        </w:tc>
        <w:tc>
          <w:tcPr>
            <w:tcW w:w="1072"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15"/>
              <w:widowControl/>
              <w:spacing w:before="156" w:after="156"/>
              <w:jc w:val="center"/>
              <w:rPr>
                <w:rFonts w:ascii="Times New Roman" w:hAnsi="Times New Roman"/>
                <w:szCs w:val="18"/>
              </w:rPr>
            </w:pPr>
            <w:r>
              <w:rPr>
                <w:rFonts w:ascii="Times New Roman" w:hAnsi="Times New Roman"/>
                <w:b/>
                <w:bCs/>
                <w:szCs w:val="18"/>
              </w:rPr>
              <w:t>检测方法</w:t>
            </w:r>
          </w:p>
        </w:tc>
      </w:tr>
      <w:tr>
        <w:trPr>
          <w:trHeight w:val="20" w:hRule="atLeast"/>
        </w:trPr>
        <w:tc>
          <w:tcPr>
            <w:tcW w:w="11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DOP，PDMS等惰性(不易和其他物质反应)有机污染物</w:t>
            </w:r>
          </w:p>
        </w:tc>
        <w:tc>
          <w:tcPr>
            <w:tcW w:w="76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线缆绝缘层，硅橡胶，助焊剂等</w:t>
            </w:r>
          </w:p>
        </w:tc>
        <w:tc>
          <w:tcPr>
            <w:tcW w:w="97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引起其他材料溶胀</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不可挥发有机物NVR小于冷却液质检报告规定上限，如10μg/ml</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不可挥发残留物测试，红外IR或核磁H-NMR检测</w:t>
            </w:r>
          </w:p>
        </w:tc>
      </w:tr>
      <w:tr>
        <w:trPr>
          <w:trHeight w:val="20" w:hRule="atLeast"/>
        </w:trPr>
        <w:tc>
          <w:tcPr>
            <w:tcW w:w="11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助焊剂等化学活性(易和其他物质反应)有机污染物</w:t>
            </w:r>
          </w:p>
        </w:tc>
        <w:tc>
          <w:tcPr>
            <w:tcW w:w="76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印刷电路板</w:t>
            </w:r>
          </w:p>
        </w:tc>
        <w:tc>
          <w:tcPr>
            <w:tcW w:w="97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电化学迁移</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无法检出</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红外IR或核磁H-NMR检测</w:t>
            </w:r>
          </w:p>
        </w:tc>
      </w:tr>
      <w:tr>
        <w:trPr>
          <w:trHeight w:val="20" w:hRule="atLeast"/>
        </w:trPr>
        <w:tc>
          <w:tcPr>
            <w:tcW w:w="11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水</w:t>
            </w:r>
          </w:p>
        </w:tc>
        <w:tc>
          <w:tcPr>
            <w:tcW w:w="76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冷凝结露，冷却水泄漏等</w:t>
            </w:r>
          </w:p>
        </w:tc>
        <w:tc>
          <w:tcPr>
            <w:tcW w:w="97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电路短路</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水在氟化液中含量小于冷却液质检报告规定上限，无分层水产生</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缸体顶部空间湿度测试，水检测仪</w:t>
            </w:r>
          </w:p>
        </w:tc>
      </w:tr>
      <w:tr>
        <w:trPr>
          <w:trHeight w:val="20" w:hRule="atLeast"/>
        </w:trPr>
        <w:tc>
          <w:tcPr>
            <w:tcW w:w="11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固态颗粒</w:t>
            </w:r>
          </w:p>
        </w:tc>
        <w:tc>
          <w:tcPr>
            <w:tcW w:w="76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机械加工制造碎屑残渣</w:t>
            </w:r>
          </w:p>
        </w:tc>
        <w:tc>
          <w:tcPr>
            <w:tcW w:w="97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电路短路，电介层击穿</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不含&gt;5微米颗粒</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颗粒计数计</w:t>
            </w:r>
          </w:p>
        </w:tc>
      </w:tr>
      <w:tr>
        <w:trPr>
          <w:trHeight w:val="20" w:hRule="atLeast"/>
        </w:trPr>
        <w:tc>
          <w:tcPr>
            <w:tcW w:w="11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HF（氢氟酸），不饱和化合物（含双键的氟化物），COF2（羰基氟化物）等氟化液分解产物</w:t>
            </w:r>
          </w:p>
        </w:tc>
        <w:tc>
          <w:tcPr>
            <w:tcW w:w="76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电弧击穿，局部过热，与活性（碱，碱土）金属反应等</w:t>
            </w:r>
          </w:p>
        </w:tc>
        <w:tc>
          <w:tcPr>
            <w:tcW w:w="97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腐蚀，安全性</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无法检出ND</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气相色谱质谱GC/MS</w:t>
            </w:r>
          </w:p>
        </w:tc>
      </w:tr>
      <w:tr>
        <w:trPr>
          <w:trHeight w:val="20" w:hRule="atLeast"/>
        </w:trPr>
        <w:tc>
          <w:tcPr>
            <w:tcW w:w="11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异常混入液体物质(包括但不限于其他互溶性氟化物)</w:t>
            </w:r>
          </w:p>
        </w:tc>
        <w:tc>
          <w:tcPr>
            <w:tcW w:w="76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意外混入的其他固体、液体物质</w:t>
            </w:r>
          </w:p>
        </w:tc>
        <w:tc>
          <w:tcPr>
            <w:tcW w:w="97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可能无影响或有破坏性作用</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无法检出除原始冷却液外物质</w:t>
            </w:r>
          </w:p>
        </w:tc>
        <w:tc>
          <w:tcPr>
            <w:tcW w:w="107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pStyle w:val="15"/>
              <w:widowControl/>
              <w:spacing w:before="156" w:after="156"/>
              <w:rPr>
                <w:rFonts w:ascii="Times New Roman" w:hAnsi="Times New Roman"/>
                <w:szCs w:val="18"/>
              </w:rPr>
            </w:pPr>
            <w:r>
              <w:rPr>
                <w:rFonts w:ascii="Times New Roman" w:hAnsi="Times New Roman"/>
                <w:szCs w:val="18"/>
              </w:rPr>
              <w:t>气相色谱质谱GC/MS</w:t>
            </w:r>
          </w:p>
        </w:tc>
      </w:tr>
    </w:tbl>
    <w:p>
      <w:pPr>
        <w:spacing w:line="360" w:lineRule="auto"/>
        <w:ind w:firstLine="480" w:firstLineChars="200"/>
        <w:rPr>
          <w:kern w:val="0"/>
          <w:sz w:val="24"/>
          <w:szCs w:val="24"/>
        </w:rPr>
      </w:pPr>
      <w:r>
        <w:rPr>
          <w:kern w:val="0"/>
          <w:sz w:val="24"/>
          <w:szCs w:val="24"/>
        </w:rPr>
        <w:t>对于氟化液类冷却液，可采用以下检测项目及方法定期检查冷却液在使用过程中的兼容性变化，当存在检测项目不符合标准时，</w:t>
      </w:r>
      <w:r>
        <w:rPr>
          <w:rFonts w:hint="eastAsia"/>
          <w:kern w:val="0"/>
          <w:sz w:val="24"/>
          <w:szCs w:val="24"/>
        </w:rPr>
        <w:t>需</w:t>
      </w:r>
      <w:r>
        <w:rPr>
          <w:kern w:val="0"/>
          <w:sz w:val="24"/>
          <w:szCs w:val="24"/>
        </w:rPr>
        <w:t>对冷却液进行维护。</w:t>
      </w:r>
    </w:p>
    <w:p>
      <w:pPr>
        <w:spacing w:line="360" w:lineRule="auto"/>
        <w:ind w:firstLine="420" w:firstLineChars="200"/>
        <w:jc w:val="center"/>
        <w:rPr>
          <w:b/>
          <w:kern w:val="0"/>
          <w:szCs w:val="24"/>
        </w:rPr>
      </w:pPr>
      <w:r>
        <w:rPr>
          <w:b/>
          <w:kern w:val="0"/>
          <w:szCs w:val="24"/>
        </w:rPr>
        <w:t>表8.1.3-2 冷却液定期检查项参考列表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711"/>
        <w:gridCol w:w="1745"/>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检测项目</w:t>
            </w:r>
          </w:p>
        </w:tc>
        <w:tc>
          <w:tcPr>
            <w:tcW w:w="1711" w:type="dxa"/>
            <w:vAlign w:val="center"/>
          </w:tcPr>
          <w:p>
            <w:pPr>
              <w:spacing w:line="360" w:lineRule="auto"/>
              <w:rPr>
                <w:kern w:val="0"/>
                <w:szCs w:val="21"/>
              </w:rPr>
            </w:pPr>
            <w:r>
              <w:rPr>
                <w:bCs/>
                <w:szCs w:val="21"/>
              </w:rPr>
              <w:t>测试方法</w:t>
            </w:r>
          </w:p>
        </w:tc>
        <w:tc>
          <w:tcPr>
            <w:tcW w:w="1707" w:type="dxa"/>
            <w:vAlign w:val="center"/>
          </w:tcPr>
          <w:p>
            <w:pPr>
              <w:spacing w:line="360" w:lineRule="auto"/>
              <w:rPr>
                <w:kern w:val="0"/>
                <w:szCs w:val="21"/>
              </w:rPr>
            </w:pPr>
            <w:r>
              <w:rPr>
                <w:bCs/>
                <w:szCs w:val="21"/>
              </w:rPr>
              <w:t>仪器设备</w:t>
            </w:r>
          </w:p>
        </w:tc>
        <w:tc>
          <w:tcPr>
            <w:tcW w:w="1383" w:type="dxa"/>
            <w:vAlign w:val="center"/>
          </w:tcPr>
          <w:p>
            <w:pPr>
              <w:spacing w:line="360" w:lineRule="auto"/>
              <w:rPr>
                <w:kern w:val="0"/>
                <w:szCs w:val="21"/>
              </w:rPr>
            </w:pPr>
            <w:r>
              <w:rPr>
                <w:bCs/>
                <w:szCs w:val="21"/>
              </w:rPr>
              <w:t>质量标准</w:t>
            </w:r>
          </w:p>
        </w:tc>
        <w:tc>
          <w:tcPr>
            <w:tcW w:w="1383" w:type="dxa"/>
            <w:vAlign w:val="center"/>
          </w:tcPr>
          <w:p>
            <w:pPr>
              <w:spacing w:line="360" w:lineRule="auto"/>
              <w:rPr>
                <w:kern w:val="0"/>
                <w:szCs w:val="21"/>
              </w:rPr>
            </w:pPr>
            <w:r>
              <w:rPr>
                <w:bCs/>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外观</w:t>
            </w:r>
          </w:p>
        </w:tc>
        <w:tc>
          <w:tcPr>
            <w:tcW w:w="1711" w:type="dxa"/>
            <w:vAlign w:val="center"/>
          </w:tcPr>
          <w:p>
            <w:pPr>
              <w:spacing w:line="360" w:lineRule="auto"/>
              <w:rPr>
                <w:kern w:val="0"/>
                <w:szCs w:val="21"/>
              </w:rPr>
            </w:pPr>
            <w:r>
              <w:rPr>
                <w:bCs/>
                <w:szCs w:val="21"/>
              </w:rPr>
              <w:t>目测</w:t>
            </w:r>
          </w:p>
        </w:tc>
        <w:tc>
          <w:tcPr>
            <w:tcW w:w="1707" w:type="dxa"/>
            <w:vAlign w:val="center"/>
          </w:tcPr>
          <w:p>
            <w:pPr>
              <w:spacing w:line="360" w:lineRule="auto"/>
              <w:rPr>
                <w:kern w:val="0"/>
                <w:szCs w:val="21"/>
              </w:rPr>
            </w:pPr>
            <w:r>
              <w:rPr>
                <w:bCs/>
                <w:szCs w:val="21"/>
              </w:rPr>
              <w:t>无</w:t>
            </w:r>
          </w:p>
        </w:tc>
        <w:tc>
          <w:tcPr>
            <w:tcW w:w="1383" w:type="dxa"/>
            <w:vAlign w:val="center"/>
          </w:tcPr>
          <w:p>
            <w:pPr>
              <w:spacing w:line="360" w:lineRule="auto"/>
              <w:rPr>
                <w:kern w:val="0"/>
                <w:szCs w:val="21"/>
              </w:rPr>
            </w:pPr>
            <w:r>
              <w:rPr>
                <w:bCs/>
                <w:szCs w:val="21"/>
              </w:rPr>
              <w:t>透明，无杂质和悬浮物</w:t>
            </w:r>
          </w:p>
        </w:tc>
        <w:tc>
          <w:tcPr>
            <w:tcW w:w="1383" w:type="dxa"/>
            <w:vAlign w:val="center"/>
          </w:tcPr>
          <w:p>
            <w:pPr>
              <w:spacing w:line="360" w:lineRule="auto"/>
              <w:rPr>
                <w:kern w:val="0"/>
                <w:szCs w:val="21"/>
              </w:rPr>
            </w:pPr>
            <w:r>
              <w:rPr>
                <w:bCs/>
                <w:szCs w:val="21"/>
              </w:rPr>
              <w:t>每年若干次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颜色，色号</w:t>
            </w:r>
          </w:p>
        </w:tc>
        <w:tc>
          <w:tcPr>
            <w:tcW w:w="1711" w:type="dxa"/>
          </w:tcPr>
          <w:p>
            <w:pPr>
              <w:spacing w:line="360" w:lineRule="auto"/>
              <w:rPr>
                <w:kern w:val="0"/>
                <w:szCs w:val="21"/>
              </w:rPr>
            </w:pPr>
            <w:r>
              <w:rPr>
                <w:bCs/>
                <w:szCs w:val="21"/>
              </w:rPr>
              <w:t>ASTM D1500</w:t>
            </w:r>
          </w:p>
        </w:tc>
        <w:tc>
          <w:tcPr>
            <w:tcW w:w="1707" w:type="dxa"/>
          </w:tcPr>
          <w:p>
            <w:pPr>
              <w:spacing w:line="360" w:lineRule="auto"/>
              <w:rPr>
                <w:kern w:val="0"/>
                <w:szCs w:val="21"/>
              </w:rPr>
            </w:pPr>
          </w:p>
        </w:tc>
        <w:tc>
          <w:tcPr>
            <w:tcW w:w="1383" w:type="dxa"/>
          </w:tcPr>
          <w:p>
            <w:pPr>
              <w:spacing w:line="360" w:lineRule="auto"/>
              <w:rPr>
                <w:kern w:val="0"/>
                <w:szCs w:val="21"/>
              </w:rPr>
            </w:pPr>
            <w:r>
              <w:rPr>
                <w:bCs/>
                <w:szCs w:val="21"/>
              </w:rPr>
              <w:t>≤0.5</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tcPr>
          <w:p>
            <w:pPr>
              <w:spacing w:line="360" w:lineRule="auto"/>
              <w:rPr>
                <w:kern w:val="0"/>
                <w:szCs w:val="21"/>
              </w:rPr>
            </w:pPr>
            <w:r>
              <w:rPr>
                <w:bCs/>
                <w:szCs w:val="21"/>
              </w:rPr>
              <w:t>酸值，mg KOH/kg</w:t>
            </w:r>
          </w:p>
        </w:tc>
        <w:tc>
          <w:tcPr>
            <w:tcW w:w="1711" w:type="dxa"/>
          </w:tcPr>
          <w:p>
            <w:pPr>
              <w:spacing w:line="360" w:lineRule="auto"/>
              <w:rPr>
                <w:kern w:val="0"/>
                <w:szCs w:val="21"/>
              </w:rPr>
            </w:pPr>
            <w:r>
              <w:rPr>
                <w:bCs/>
                <w:szCs w:val="21"/>
              </w:rPr>
              <w:t>GB/T 264等电位滴定法</w:t>
            </w:r>
          </w:p>
        </w:tc>
        <w:tc>
          <w:tcPr>
            <w:tcW w:w="1707" w:type="dxa"/>
          </w:tcPr>
          <w:p>
            <w:pPr>
              <w:spacing w:line="360" w:lineRule="auto"/>
              <w:rPr>
                <w:kern w:val="0"/>
                <w:szCs w:val="21"/>
              </w:rPr>
            </w:pPr>
            <w:r>
              <w:rPr>
                <w:bCs/>
                <w:szCs w:val="21"/>
              </w:rPr>
              <w:t>梅特勒特利多实验室pH计FE20</w:t>
            </w:r>
          </w:p>
        </w:tc>
        <w:tc>
          <w:tcPr>
            <w:tcW w:w="1383" w:type="dxa"/>
          </w:tcPr>
          <w:p>
            <w:pPr>
              <w:spacing w:line="360" w:lineRule="auto"/>
              <w:rPr>
                <w:kern w:val="0"/>
                <w:szCs w:val="21"/>
              </w:rPr>
            </w:pPr>
            <w:r>
              <w:rPr>
                <w:bCs/>
                <w:szCs w:val="21"/>
              </w:rPr>
              <w:t>≤0.1</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tcPr>
          <w:p>
            <w:pPr>
              <w:spacing w:line="360" w:lineRule="auto"/>
              <w:rPr>
                <w:kern w:val="0"/>
                <w:szCs w:val="21"/>
              </w:rPr>
            </w:pPr>
            <w:r>
              <w:rPr>
                <w:bCs/>
                <w:szCs w:val="21"/>
              </w:rPr>
              <w:t>介质损耗因数（40℃或用户指定温度）</w:t>
            </w:r>
          </w:p>
        </w:tc>
        <w:tc>
          <w:tcPr>
            <w:tcW w:w="1711" w:type="dxa"/>
          </w:tcPr>
          <w:p>
            <w:pPr>
              <w:spacing w:line="360" w:lineRule="auto"/>
              <w:rPr>
                <w:kern w:val="0"/>
                <w:szCs w:val="21"/>
              </w:rPr>
            </w:pPr>
            <w:r>
              <w:rPr>
                <w:bCs/>
                <w:szCs w:val="21"/>
              </w:rPr>
              <w:t>GB/T 5654 ASTM D924</w:t>
            </w:r>
          </w:p>
        </w:tc>
        <w:tc>
          <w:tcPr>
            <w:tcW w:w="1707" w:type="dxa"/>
          </w:tcPr>
          <w:p>
            <w:pPr>
              <w:spacing w:line="360" w:lineRule="auto"/>
              <w:rPr>
                <w:kern w:val="0"/>
                <w:szCs w:val="21"/>
              </w:rPr>
            </w:pPr>
          </w:p>
        </w:tc>
        <w:tc>
          <w:tcPr>
            <w:tcW w:w="1383" w:type="dxa"/>
            <w:vAlign w:val="center"/>
          </w:tcPr>
          <w:p>
            <w:pPr>
              <w:spacing w:line="360" w:lineRule="auto"/>
              <w:rPr>
                <w:kern w:val="0"/>
                <w:szCs w:val="21"/>
              </w:rPr>
            </w:pPr>
            <w:r>
              <w:rPr>
                <w:bCs/>
                <w:szCs w:val="21"/>
              </w:rPr>
              <w:t>较原始值变化</w:t>
            </w:r>
            <w:r>
              <w:rPr>
                <w:rFonts w:hint="eastAsia"/>
                <w:bCs/>
                <w:szCs w:val="21"/>
              </w:rPr>
              <w:t>&lt;</w:t>
            </w:r>
            <w:r>
              <w:rPr>
                <w:bCs/>
                <w:szCs w:val="21"/>
              </w:rPr>
              <w:t>3%</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介电常数</w:t>
            </w:r>
          </w:p>
        </w:tc>
        <w:tc>
          <w:tcPr>
            <w:tcW w:w="1711" w:type="dxa"/>
            <w:vAlign w:val="center"/>
          </w:tcPr>
          <w:p>
            <w:pPr>
              <w:spacing w:line="360" w:lineRule="auto"/>
              <w:rPr>
                <w:kern w:val="0"/>
                <w:szCs w:val="21"/>
              </w:rPr>
            </w:pPr>
            <w:r>
              <w:rPr>
                <w:bCs/>
                <w:szCs w:val="21"/>
              </w:rPr>
              <w:t>GB/T1409-2006</w:t>
            </w:r>
          </w:p>
        </w:tc>
        <w:tc>
          <w:tcPr>
            <w:tcW w:w="1707" w:type="dxa"/>
          </w:tcPr>
          <w:p>
            <w:pPr>
              <w:spacing w:line="360" w:lineRule="auto"/>
              <w:rPr>
                <w:kern w:val="0"/>
                <w:szCs w:val="21"/>
              </w:rPr>
            </w:pPr>
            <w:r>
              <w:rPr>
                <w:bCs/>
                <w:szCs w:val="21"/>
              </w:rPr>
              <w:t>采用超高频介电常数及介质损耗测试仪（AS2855-C）、低频介电常数及介质损耗测试仪（AS2855）</w:t>
            </w:r>
          </w:p>
        </w:tc>
        <w:tc>
          <w:tcPr>
            <w:tcW w:w="1383" w:type="dxa"/>
            <w:vAlign w:val="center"/>
          </w:tcPr>
          <w:p>
            <w:pPr>
              <w:spacing w:line="360" w:lineRule="auto"/>
              <w:rPr>
                <w:kern w:val="0"/>
                <w:szCs w:val="21"/>
              </w:rPr>
            </w:pPr>
            <w:r>
              <w:rPr>
                <w:bCs/>
                <w:szCs w:val="21"/>
              </w:rPr>
              <w:t>较原始值变化</w:t>
            </w:r>
            <w:r>
              <w:rPr>
                <w:rFonts w:hint="eastAsia"/>
                <w:bCs/>
                <w:szCs w:val="21"/>
              </w:rPr>
              <w:t>&lt;</w:t>
            </w:r>
            <w:r>
              <w:rPr>
                <w:bCs/>
                <w:szCs w:val="21"/>
              </w:rPr>
              <w:t>3%</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tcPr>
          <w:p>
            <w:pPr>
              <w:spacing w:line="360" w:lineRule="auto"/>
              <w:rPr>
                <w:kern w:val="0"/>
                <w:szCs w:val="21"/>
              </w:rPr>
            </w:pPr>
            <w:r>
              <w:rPr>
                <w:bCs/>
                <w:szCs w:val="21"/>
              </w:rPr>
              <w:t>击穿电压（2.5mm间隙），kV</w:t>
            </w:r>
          </w:p>
        </w:tc>
        <w:tc>
          <w:tcPr>
            <w:tcW w:w="1711" w:type="dxa"/>
            <w:vAlign w:val="center"/>
          </w:tcPr>
          <w:p>
            <w:pPr>
              <w:spacing w:line="360" w:lineRule="auto"/>
              <w:rPr>
                <w:kern w:val="0"/>
                <w:szCs w:val="21"/>
              </w:rPr>
            </w:pPr>
            <w:r>
              <w:rPr>
                <w:bCs/>
                <w:szCs w:val="21"/>
              </w:rPr>
              <w:t>GB/T 507</w:t>
            </w:r>
          </w:p>
        </w:tc>
        <w:tc>
          <w:tcPr>
            <w:tcW w:w="1707" w:type="dxa"/>
            <w:vAlign w:val="center"/>
          </w:tcPr>
          <w:p>
            <w:pPr>
              <w:spacing w:line="360" w:lineRule="auto"/>
              <w:rPr>
                <w:kern w:val="0"/>
                <w:szCs w:val="21"/>
              </w:rPr>
            </w:pPr>
          </w:p>
        </w:tc>
        <w:tc>
          <w:tcPr>
            <w:tcW w:w="1383" w:type="dxa"/>
            <w:vAlign w:val="center"/>
          </w:tcPr>
          <w:p>
            <w:pPr>
              <w:spacing w:line="360" w:lineRule="auto"/>
              <w:rPr>
                <w:kern w:val="0"/>
                <w:szCs w:val="21"/>
              </w:rPr>
            </w:pPr>
            <w:r>
              <w:rPr>
                <w:bCs/>
                <w:szCs w:val="21"/>
              </w:rPr>
              <w:t>≥15</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tcPr>
          <w:p>
            <w:pPr>
              <w:spacing w:line="360" w:lineRule="auto"/>
              <w:rPr>
                <w:kern w:val="0"/>
                <w:szCs w:val="21"/>
              </w:rPr>
            </w:pPr>
            <w:r>
              <w:rPr>
                <w:bCs/>
                <w:szCs w:val="21"/>
              </w:rPr>
              <w:t>体积电阻率（40℃或用户指定温度），Ω· cm</w:t>
            </w:r>
          </w:p>
        </w:tc>
        <w:tc>
          <w:tcPr>
            <w:tcW w:w="1711" w:type="dxa"/>
          </w:tcPr>
          <w:p>
            <w:pPr>
              <w:spacing w:line="360" w:lineRule="auto"/>
              <w:rPr>
                <w:kern w:val="0"/>
                <w:szCs w:val="21"/>
              </w:rPr>
            </w:pPr>
            <w:r>
              <w:rPr>
                <w:bCs/>
                <w:szCs w:val="21"/>
              </w:rPr>
              <w:t>GB/ T 5654</w:t>
            </w:r>
          </w:p>
        </w:tc>
        <w:tc>
          <w:tcPr>
            <w:tcW w:w="1707" w:type="dxa"/>
          </w:tcPr>
          <w:p>
            <w:pPr>
              <w:spacing w:line="360" w:lineRule="auto"/>
              <w:rPr>
                <w:kern w:val="0"/>
                <w:szCs w:val="21"/>
              </w:rPr>
            </w:pPr>
            <w:r>
              <w:rPr>
                <w:bCs/>
                <w:szCs w:val="21"/>
              </w:rPr>
              <w:t>表面和体积电阻率测试仪（瑞品仪器，FT-304）</w:t>
            </w:r>
          </w:p>
        </w:tc>
        <w:tc>
          <w:tcPr>
            <w:tcW w:w="1383" w:type="dxa"/>
            <w:vAlign w:val="center"/>
          </w:tcPr>
          <w:p>
            <w:pPr>
              <w:spacing w:line="360" w:lineRule="auto"/>
              <w:rPr>
                <w:kern w:val="0"/>
                <w:szCs w:val="21"/>
              </w:rPr>
            </w:pPr>
            <w:r>
              <w:rPr>
                <w:bCs/>
                <w:szCs w:val="21"/>
              </w:rPr>
              <w:t>≥1x1011</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运动粘度，mm2/s或cst</w:t>
            </w:r>
          </w:p>
        </w:tc>
        <w:tc>
          <w:tcPr>
            <w:tcW w:w="1711" w:type="dxa"/>
            <w:vAlign w:val="center"/>
          </w:tcPr>
          <w:p>
            <w:pPr>
              <w:pStyle w:val="15"/>
              <w:widowControl/>
              <w:spacing w:before="156" w:after="156"/>
              <w:jc w:val="center"/>
              <w:rPr>
                <w:rFonts w:ascii="Times New Roman" w:hAnsi="Times New Roman"/>
                <w:bCs/>
              </w:rPr>
            </w:pPr>
            <w:r>
              <w:rPr>
                <w:rFonts w:ascii="Times New Roman" w:hAnsi="Times New Roman"/>
                <w:bCs/>
              </w:rPr>
              <w:t>GB/T 10247</w:t>
            </w:r>
          </w:p>
          <w:p>
            <w:pPr>
              <w:spacing w:line="360" w:lineRule="auto"/>
              <w:rPr>
                <w:kern w:val="0"/>
                <w:szCs w:val="21"/>
              </w:rPr>
            </w:pPr>
            <w:r>
              <w:rPr>
                <w:bCs/>
                <w:szCs w:val="21"/>
              </w:rPr>
              <w:t>GB/T 265</w:t>
            </w:r>
          </w:p>
        </w:tc>
        <w:tc>
          <w:tcPr>
            <w:tcW w:w="1707" w:type="dxa"/>
            <w:vAlign w:val="center"/>
          </w:tcPr>
          <w:p>
            <w:pPr>
              <w:spacing w:line="360" w:lineRule="auto"/>
              <w:rPr>
                <w:kern w:val="0"/>
                <w:szCs w:val="21"/>
              </w:rPr>
            </w:pPr>
            <w:r>
              <w:rPr>
                <w:bCs/>
                <w:szCs w:val="21"/>
              </w:rPr>
              <w:t>石油运动粘度计</w:t>
            </w:r>
          </w:p>
        </w:tc>
        <w:tc>
          <w:tcPr>
            <w:tcW w:w="1383" w:type="dxa"/>
            <w:vAlign w:val="center"/>
          </w:tcPr>
          <w:p>
            <w:pPr>
              <w:spacing w:line="360" w:lineRule="auto"/>
              <w:rPr>
                <w:kern w:val="0"/>
                <w:szCs w:val="21"/>
              </w:rPr>
            </w:pPr>
            <w:r>
              <w:rPr>
                <w:bCs/>
                <w:szCs w:val="21"/>
              </w:rPr>
              <w:t>较冷却液出厂原始值变化率≤10%</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纯度</w:t>
            </w:r>
          </w:p>
        </w:tc>
        <w:tc>
          <w:tcPr>
            <w:tcW w:w="1711" w:type="dxa"/>
            <w:vAlign w:val="center"/>
          </w:tcPr>
          <w:p>
            <w:pPr>
              <w:spacing w:line="360" w:lineRule="auto"/>
              <w:rPr>
                <w:kern w:val="0"/>
                <w:szCs w:val="21"/>
              </w:rPr>
            </w:pPr>
            <w:r>
              <w:rPr>
                <w:bCs/>
                <w:szCs w:val="21"/>
              </w:rPr>
              <w:t>气相色谱法</w:t>
            </w:r>
          </w:p>
        </w:tc>
        <w:tc>
          <w:tcPr>
            <w:tcW w:w="1707" w:type="dxa"/>
            <w:vAlign w:val="center"/>
          </w:tcPr>
          <w:p>
            <w:pPr>
              <w:spacing w:line="360" w:lineRule="auto"/>
              <w:rPr>
                <w:kern w:val="0"/>
                <w:szCs w:val="21"/>
              </w:rPr>
            </w:pPr>
            <w:r>
              <w:rPr>
                <w:bCs/>
                <w:szCs w:val="21"/>
              </w:rPr>
              <w:t>气相色谱仪</w:t>
            </w:r>
          </w:p>
        </w:tc>
        <w:tc>
          <w:tcPr>
            <w:tcW w:w="1383" w:type="dxa"/>
            <w:vAlign w:val="center"/>
          </w:tcPr>
          <w:p>
            <w:pPr>
              <w:spacing w:line="360" w:lineRule="auto"/>
              <w:rPr>
                <w:kern w:val="0"/>
                <w:szCs w:val="21"/>
              </w:rPr>
            </w:pPr>
            <w:r>
              <w:rPr>
                <w:bCs/>
                <w:szCs w:val="21"/>
              </w:rPr>
              <w:t>≥98%</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不挥发残留物</w:t>
            </w:r>
          </w:p>
        </w:tc>
        <w:tc>
          <w:tcPr>
            <w:tcW w:w="1711" w:type="dxa"/>
            <w:vAlign w:val="center"/>
          </w:tcPr>
          <w:p>
            <w:pPr>
              <w:spacing w:line="360" w:lineRule="auto"/>
              <w:rPr>
                <w:kern w:val="0"/>
                <w:szCs w:val="21"/>
              </w:rPr>
            </w:pPr>
            <w:r>
              <w:rPr>
                <w:bCs/>
                <w:szCs w:val="21"/>
              </w:rPr>
              <w:t>GB/T 6324.2-2004</w:t>
            </w:r>
          </w:p>
        </w:tc>
        <w:tc>
          <w:tcPr>
            <w:tcW w:w="1707" w:type="dxa"/>
            <w:vAlign w:val="center"/>
          </w:tcPr>
          <w:p>
            <w:pPr>
              <w:spacing w:line="360" w:lineRule="auto"/>
              <w:rPr>
                <w:kern w:val="0"/>
                <w:szCs w:val="21"/>
              </w:rPr>
            </w:pPr>
            <w:r>
              <w:rPr>
                <w:bCs/>
                <w:szCs w:val="21"/>
              </w:rPr>
              <w:t>石英或陶瓷蒸发皿、恒温水浴、烘箱</w:t>
            </w:r>
          </w:p>
        </w:tc>
        <w:tc>
          <w:tcPr>
            <w:tcW w:w="1383" w:type="dxa"/>
            <w:vAlign w:val="center"/>
          </w:tcPr>
          <w:p>
            <w:pPr>
              <w:spacing w:line="360" w:lineRule="auto"/>
              <w:rPr>
                <w:kern w:val="0"/>
                <w:szCs w:val="21"/>
              </w:rPr>
            </w:pPr>
            <w:r>
              <w:rPr>
                <w:bCs/>
                <w:szCs w:val="21"/>
              </w:rPr>
              <w:t>≤50ppm</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传热优值变化率</w:t>
            </w:r>
          </w:p>
        </w:tc>
        <w:tc>
          <w:tcPr>
            <w:tcW w:w="1711" w:type="dxa"/>
            <w:vAlign w:val="center"/>
          </w:tcPr>
          <w:p>
            <w:pPr>
              <w:spacing w:line="360" w:lineRule="auto"/>
              <w:rPr>
                <w:kern w:val="0"/>
                <w:szCs w:val="21"/>
              </w:rPr>
            </w:pPr>
            <w:r>
              <w:rPr>
                <w:bCs/>
                <w:szCs w:val="21"/>
              </w:rPr>
              <w:t>采用对应参数的测试规范</w:t>
            </w:r>
          </w:p>
        </w:tc>
        <w:tc>
          <w:tcPr>
            <w:tcW w:w="1707" w:type="dxa"/>
            <w:vAlign w:val="center"/>
          </w:tcPr>
          <w:p>
            <w:pPr>
              <w:spacing w:line="360" w:lineRule="auto"/>
              <w:rPr>
                <w:kern w:val="0"/>
                <w:szCs w:val="21"/>
              </w:rPr>
            </w:pPr>
            <w:r>
              <w:rPr>
                <w:bCs/>
                <w:szCs w:val="21"/>
              </w:rPr>
              <w:t>采用对应参数的测试仪器f</w:t>
            </w:r>
          </w:p>
        </w:tc>
        <w:tc>
          <w:tcPr>
            <w:tcW w:w="1383" w:type="dxa"/>
            <w:vAlign w:val="center"/>
          </w:tcPr>
          <w:p>
            <w:pPr>
              <w:spacing w:line="360" w:lineRule="auto"/>
              <w:rPr>
                <w:kern w:val="0"/>
                <w:szCs w:val="21"/>
              </w:rPr>
            </w:pPr>
            <w:r>
              <w:rPr>
                <w:bCs/>
                <w:szCs w:val="21"/>
              </w:rPr>
              <w:t>≤10%</w:t>
            </w:r>
          </w:p>
        </w:tc>
        <w:tc>
          <w:tcPr>
            <w:tcW w:w="1383" w:type="dxa"/>
            <w:vAlign w:val="center"/>
          </w:tcPr>
          <w:p>
            <w:pPr>
              <w:spacing w:line="360" w:lineRule="auto"/>
              <w:rPr>
                <w:kern w:val="0"/>
                <w:szCs w:val="21"/>
              </w:rPr>
            </w:pPr>
            <w:r>
              <w:rPr>
                <w:bCs/>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Align w:val="center"/>
          </w:tcPr>
          <w:p>
            <w:pPr>
              <w:spacing w:line="360" w:lineRule="auto"/>
              <w:rPr>
                <w:kern w:val="0"/>
                <w:szCs w:val="21"/>
              </w:rPr>
            </w:pPr>
            <w:r>
              <w:rPr>
                <w:bCs/>
                <w:szCs w:val="21"/>
              </w:rPr>
              <w:t>氟离子浓度</w:t>
            </w:r>
          </w:p>
        </w:tc>
        <w:tc>
          <w:tcPr>
            <w:tcW w:w="1711" w:type="dxa"/>
            <w:vAlign w:val="center"/>
          </w:tcPr>
          <w:p>
            <w:pPr>
              <w:spacing w:line="360" w:lineRule="auto"/>
              <w:rPr>
                <w:kern w:val="0"/>
                <w:szCs w:val="21"/>
              </w:rPr>
            </w:pPr>
            <w:r>
              <w:rPr>
                <w:bCs/>
                <w:szCs w:val="21"/>
              </w:rPr>
              <w:t>离子色谱法</w:t>
            </w:r>
          </w:p>
        </w:tc>
        <w:tc>
          <w:tcPr>
            <w:tcW w:w="1707" w:type="dxa"/>
            <w:vAlign w:val="center"/>
          </w:tcPr>
          <w:p>
            <w:pPr>
              <w:spacing w:line="360" w:lineRule="auto"/>
              <w:rPr>
                <w:kern w:val="0"/>
                <w:szCs w:val="21"/>
              </w:rPr>
            </w:pPr>
            <w:r>
              <w:rPr>
                <w:bCs/>
                <w:szCs w:val="21"/>
              </w:rPr>
              <w:t>离子色谱</w:t>
            </w:r>
          </w:p>
        </w:tc>
        <w:tc>
          <w:tcPr>
            <w:tcW w:w="1383" w:type="dxa"/>
            <w:vAlign w:val="center"/>
          </w:tcPr>
          <w:p>
            <w:pPr>
              <w:spacing w:line="360" w:lineRule="auto"/>
              <w:rPr>
                <w:kern w:val="0"/>
                <w:szCs w:val="21"/>
              </w:rPr>
            </w:pPr>
            <w:r>
              <w:rPr>
                <w:bCs/>
                <w:szCs w:val="21"/>
              </w:rPr>
              <w:t>≤10ppm</w:t>
            </w:r>
          </w:p>
        </w:tc>
        <w:tc>
          <w:tcPr>
            <w:tcW w:w="1383" w:type="dxa"/>
            <w:vAlign w:val="center"/>
          </w:tcPr>
          <w:p>
            <w:pPr>
              <w:spacing w:line="360" w:lineRule="auto"/>
              <w:rPr>
                <w:kern w:val="0"/>
                <w:szCs w:val="21"/>
              </w:rPr>
            </w:pPr>
            <w:r>
              <w:rPr>
                <w:bCs/>
                <w:szCs w:val="21"/>
              </w:rPr>
              <w:t>每年一次</w:t>
            </w:r>
          </w:p>
        </w:tc>
      </w:tr>
    </w:tbl>
    <w:p>
      <w:pPr>
        <w:spacing w:line="360" w:lineRule="auto"/>
        <w:ind w:firstLine="480" w:firstLineChars="200"/>
        <w:rPr>
          <w:kern w:val="0"/>
          <w:sz w:val="24"/>
          <w:szCs w:val="24"/>
        </w:rPr>
      </w:pPr>
      <w:r>
        <w:rPr>
          <w:kern w:val="0"/>
          <w:sz w:val="24"/>
          <w:szCs w:val="24"/>
        </w:rPr>
        <w:t>油类冷却液在运行过程中因污染、氧化物的产生易发生变化，应按照下表中检测项目对油类冷却液进行定期检测与分析，当存在检测项目不符合质量标准时，应对冷却液进行维护。</w:t>
      </w:r>
    </w:p>
    <w:p>
      <w:pPr>
        <w:spacing w:line="360" w:lineRule="auto"/>
        <w:ind w:firstLine="420" w:firstLineChars="200"/>
        <w:jc w:val="center"/>
        <w:rPr>
          <w:b/>
          <w:kern w:val="0"/>
          <w:szCs w:val="24"/>
        </w:rPr>
      </w:pPr>
      <w:r>
        <w:rPr>
          <w:b/>
          <w:kern w:val="0"/>
          <w:szCs w:val="24"/>
        </w:rPr>
        <w:t>表8.1.3-2 冷却液定期检查项参考列表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136"/>
        <w:gridCol w:w="240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vAlign w:val="center"/>
          </w:tcPr>
          <w:p>
            <w:pPr>
              <w:spacing w:line="360" w:lineRule="auto"/>
              <w:jc w:val="center"/>
              <w:rPr>
                <w:kern w:val="0"/>
                <w:szCs w:val="24"/>
              </w:rPr>
            </w:pPr>
            <w:r>
              <w:rPr>
                <w:bCs/>
                <w:szCs w:val="18"/>
              </w:rPr>
              <w:t>检测项目</w:t>
            </w:r>
          </w:p>
        </w:tc>
        <w:tc>
          <w:tcPr>
            <w:tcW w:w="2136" w:type="dxa"/>
            <w:vAlign w:val="center"/>
          </w:tcPr>
          <w:p>
            <w:pPr>
              <w:spacing w:line="360" w:lineRule="auto"/>
              <w:jc w:val="center"/>
              <w:rPr>
                <w:kern w:val="0"/>
                <w:szCs w:val="24"/>
              </w:rPr>
            </w:pPr>
            <w:r>
              <w:rPr>
                <w:bCs/>
                <w:szCs w:val="18"/>
              </w:rPr>
              <w:t>测试方法</w:t>
            </w:r>
          </w:p>
        </w:tc>
        <w:tc>
          <w:tcPr>
            <w:tcW w:w="2400" w:type="dxa"/>
            <w:vAlign w:val="center"/>
          </w:tcPr>
          <w:p>
            <w:pPr>
              <w:spacing w:line="360" w:lineRule="auto"/>
              <w:jc w:val="center"/>
              <w:rPr>
                <w:kern w:val="0"/>
                <w:szCs w:val="24"/>
              </w:rPr>
            </w:pPr>
            <w:r>
              <w:rPr>
                <w:bCs/>
                <w:szCs w:val="18"/>
              </w:rPr>
              <w:t>质量标准</w:t>
            </w:r>
          </w:p>
        </w:tc>
        <w:tc>
          <w:tcPr>
            <w:tcW w:w="1417" w:type="dxa"/>
            <w:vAlign w:val="center"/>
          </w:tcPr>
          <w:p>
            <w:pPr>
              <w:spacing w:line="360" w:lineRule="auto"/>
              <w:jc w:val="center"/>
              <w:rPr>
                <w:kern w:val="0"/>
                <w:szCs w:val="24"/>
              </w:rPr>
            </w:pPr>
            <w:r>
              <w:rPr>
                <w:bCs/>
                <w:szCs w:val="18"/>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vAlign w:val="center"/>
          </w:tcPr>
          <w:p>
            <w:pPr>
              <w:spacing w:line="360" w:lineRule="auto"/>
              <w:jc w:val="center"/>
              <w:rPr>
                <w:kern w:val="0"/>
                <w:szCs w:val="24"/>
              </w:rPr>
            </w:pPr>
            <w:r>
              <w:rPr>
                <w:bCs/>
                <w:szCs w:val="18"/>
              </w:rPr>
              <w:t>外观</w:t>
            </w:r>
          </w:p>
        </w:tc>
        <w:tc>
          <w:tcPr>
            <w:tcW w:w="2136" w:type="dxa"/>
            <w:vAlign w:val="center"/>
          </w:tcPr>
          <w:p>
            <w:pPr>
              <w:spacing w:line="360" w:lineRule="auto"/>
              <w:jc w:val="center"/>
              <w:rPr>
                <w:kern w:val="0"/>
                <w:szCs w:val="24"/>
              </w:rPr>
            </w:pPr>
            <w:r>
              <w:rPr>
                <w:bCs/>
                <w:szCs w:val="18"/>
              </w:rPr>
              <w:t>目测</w:t>
            </w:r>
          </w:p>
        </w:tc>
        <w:tc>
          <w:tcPr>
            <w:tcW w:w="2400" w:type="dxa"/>
            <w:vAlign w:val="center"/>
          </w:tcPr>
          <w:p>
            <w:pPr>
              <w:spacing w:line="360" w:lineRule="auto"/>
              <w:jc w:val="center"/>
              <w:rPr>
                <w:kern w:val="0"/>
                <w:szCs w:val="24"/>
              </w:rPr>
            </w:pPr>
            <w:r>
              <w:rPr>
                <w:bCs/>
                <w:szCs w:val="18"/>
              </w:rPr>
              <w:t>透明，无杂质或悬浮物</w:t>
            </w:r>
          </w:p>
        </w:tc>
        <w:tc>
          <w:tcPr>
            <w:tcW w:w="1417" w:type="dxa"/>
            <w:vAlign w:val="center"/>
          </w:tcPr>
          <w:p>
            <w:pPr>
              <w:spacing w:line="360" w:lineRule="auto"/>
              <w:jc w:val="center"/>
              <w:rPr>
                <w:kern w:val="0"/>
                <w:szCs w:val="24"/>
              </w:rPr>
            </w:pPr>
            <w:r>
              <w:rPr>
                <w:bCs/>
                <w:szCs w:val="18"/>
              </w:rPr>
              <w:t>每年若干次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tcPr>
          <w:p>
            <w:pPr>
              <w:spacing w:line="360" w:lineRule="auto"/>
              <w:jc w:val="center"/>
              <w:rPr>
                <w:kern w:val="0"/>
                <w:szCs w:val="24"/>
              </w:rPr>
            </w:pPr>
            <w:r>
              <w:rPr>
                <w:bCs/>
                <w:szCs w:val="18"/>
              </w:rPr>
              <w:t>颜色，色号</w:t>
            </w:r>
          </w:p>
        </w:tc>
        <w:tc>
          <w:tcPr>
            <w:tcW w:w="2136" w:type="dxa"/>
          </w:tcPr>
          <w:p>
            <w:pPr>
              <w:spacing w:line="360" w:lineRule="auto"/>
              <w:jc w:val="center"/>
              <w:rPr>
                <w:kern w:val="0"/>
                <w:szCs w:val="24"/>
              </w:rPr>
            </w:pPr>
            <w:r>
              <w:rPr>
                <w:bCs/>
                <w:szCs w:val="18"/>
              </w:rPr>
              <w:t>ASTM D1500</w:t>
            </w:r>
          </w:p>
        </w:tc>
        <w:tc>
          <w:tcPr>
            <w:tcW w:w="2400" w:type="dxa"/>
            <w:vAlign w:val="center"/>
          </w:tcPr>
          <w:p>
            <w:pPr>
              <w:spacing w:line="360" w:lineRule="auto"/>
              <w:jc w:val="center"/>
              <w:rPr>
                <w:kern w:val="0"/>
                <w:szCs w:val="24"/>
              </w:rPr>
            </w:pPr>
            <w:r>
              <w:rPr>
                <w:bCs/>
                <w:szCs w:val="18"/>
              </w:rPr>
              <w:t>≤0.5</w:t>
            </w:r>
          </w:p>
        </w:tc>
        <w:tc>
          <w:tcPr>
            <w:tcW w:w="1417" w:type="dxa"/>
            <w:vAlign w:val="center"/>
          </w:tcPr>
          <w:p>
            <w:pPr>
              <w:spacing w:line="360" w:lineRule="auto"/>
              <w:jc w:val="center"/>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tcPr>
          <w:p>
            <w:pPr>
              <w:spacing w:line="360" w:lineRule="auto"/>
              <w:jc w:val="center"/>
              <w:rPr>
                <w:kern w:val="0"/>
                <w:szCs w:val="24"/>
              </w:rPr>
            </w:pPr>
            <w:r>
              <w:rPr>
                <w:bCs/>
                <w:szCs w:val="18"/>
              </w:rPr>
              <w:t>酸值，mgKOH/g</w:t>
            </w:r>
          </w:p>
        </w:tc>
        <w:tc>
          <w:tcPr>
            <w:tcW w:w="2136" w:type="dxa"/>
          </w:tcPr>
          <w:p>
            <w:pPr>
              <w:spacing w:line="360" w:lineRule="auto"/>
              <w:jc w:val="center"/>
              <w:rPr>
                <w:kern w:val="0"/>
                <w:szCs w:val="24"/>
              </w:rPr>
            </w:pPr>
            <w:r>
              <w:rPr>
                <w:bCs/>
                <w:szCs w:val="18"/>
              </w:rPr>
              <w:t>GB/T 264</w:t>
            </w:r>
          </w:p>
        </w:tc>
        <w:tc>
          <w:tcPr>
            <w:tcW w:w="2400" w:type="dxa"/>
            <w:vAlign w:val="center"/>
          </w:tcPr>
          <w:p>
            <w:pPr>
              <w:spacing w:line="360" w:lineRule="auto"/>
              <w:jc w:val="center"/>
              <w:rPr>
                <w:kern w:val="0"/>
                <w:szCs w:val="24"/>
              </w:rPr>
            </w:pPr>
            <w:r>
              <w:rPr>
                <w:bCs/>
                <w:szCs w:val="18"/>
              </w:rPr>
              <w:t>≤0.1</w:t>
            </w:r>
          </w:p>
        </w:tc>
        <w:tc>
          <w:tcPr>
            <w:tcW w:w="1417" w:type="dxa"/>
            <w:vAlign w:val="center"/>
          </w:tcPr>
          <w:p>
            <w:pPr>
              <w:spacing w:line="360" w:lineRule="auto"/>
              <w:jc w:val="center"/>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vAlign w:val="center"/>
          </w:tcPr>
          <w:p>
            <w:pPr>
              <w:spacing w:line="360" w:lineRule="auto"/>
              <w:jc w:val="center"/>
              <w:rPr>
                <w:kern w:val="0"/>
                <w:szCs w:val="24"/>
              </w:rPr>
            </w:pPr>
            <w:r>
              <w:rPr>
                <w:bCs/>
                <w:szCs w:val="18"/>
              </w:rPr>
              <w:t>闪点（闭杯），℃</w:t>
            </w:r>
          </w:p>
        </w:tc>
        <w:tc>
          <w:tcPr>
            <w:tcW w:w="2136" w:type="dxa"/>
          </w:tcPr>
          <w:p>
            <w:pPr>
              <w:pStyle w:val="15"/>
              <w:widowControl/>
              <w:spacing w:before="156" w:after="156"/>
              <w:jc w:val="center"/>
              <w:rPr>
                <w:rFonts w:ascii="Times New Roman" w:hAnsi="Times New Roman"/>
                <w:bCs/>
                <w:szCs w:val="18"/>
              </w:rPr>
            </w:pPr>
            <w:r>
              <w:rPr>
                <w:rFonts w:ascii="Times New Roman" w:hAnsi="Times New Roman"/>
                <w:bCs/>
                <w:szCs w:val="18"/>
              </w:rPr>
              <w:t>GB/T 3536</w:t>
            </w:r>
          </w:p>
          <w:p>
            <w:pPr>
              <w:spacing w:line="360" w:lineRule="auto"/>
              <w:jc w:val="center"/>
              <w:rPr>
                <w:kern w:val="0"/>
                <w:szCs w:val="24"/>
              </w:rPr>
            </w:pPr>
            <w:r>
              <w:rPr>
                <w:bCs/>
                <w:szCs w:val="18"/>
              </w:rPr>
              <w:t>ASTM D93</w:t>
            </w:r>
          </w:p>
        </w:tc>
        <w:tc>
          <w:tcPr>
            <w:tcW w:w="2400" w:type="dxa"/>
            <w:vAlign w:val="center"/>
          </w:tcPr>
          <w:p>
            <w:pPr>
              <w:spacing w:line="360" w:lineRule="auto"/>
              <w:jc w:val="center"/>
              <w:rPr>
                <w:kern w:val="0"/>
                <w:szCs w:val="24"/>
              </w:rPr>
            </w:pPr>
            <w:r>
              <w:rPr>
                <w:bCs/>
                <w:szCs w:val="18"/>
              </w:rPr>
              <w:t>较油出厂原始闪点值  变化值≤8℃</w:t>
            </w:r>
          </w:p>
        </w:tc>
        <w:tc>
          <w:tcPr>
            <w:tcW w:w="1417" w:type="dxa"/>
            <w:vAlign w:val="center"/>
          </w:tcPr>
          <w:p>
            <w:pPr>
              <w:spacing w:line="360" w:lineRule="auto"/>
              <w:jc w:val="center"/>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vAlign w:val="center"/>
          </w:tcPr>
          <w:p>
            <w:pPr>
              <w:spacing w:line="360" w:lineRule="auto"/>
              <w:jc w:val="center"/>
              <w:rPr>
                <w:kern w:val="0"/>
                <w:szCs w:val="24"/>
              </w:rPr>
            </w:pPr>
            <w:r>
              <w:rPr>
                <w:bCs/>
                <w:szCs w:val="18"/>
              </w:rPr>
              <w:t>水分，mg/L</w:t>
            </w:r>
          </w:p>
        </w:tc>
        <w:tc>
          <w:tcPr>
            <w:tcW w:w="2136" w:type="dxa"/>
            <w:vAlign w:val="center"/>
          </w:tcPr>
          <w:p>
            <w:pPr>
              <w:spacing w:line="360" w:lineRule="auto"/>
              <w:jc w:val="center"/>
              <w:rPr>
                <w:kern w:val="0"/>
                <w:szCs w:val="24"/>
              </w:rPr>
            </w:pPr>
            <w:r>
              <w:rPr>
                <w:bCs/>
                <w:szCs w:val="18"/>
              </w:rPr>
              <w:t>GB/T 7600</w:t>
            </w:r>
          </w:p>
        </w:tc>
        <w:tc>
          <w:tcPr>
            <w:tcW w:w="2400" w:type="dxa"/>
            <w:vAlign w:val="center"/>
          </w:tcPr>
          <w:p>
            <w:pPr>
              <w:spacing w:line="360" w:lineRule="auto"/>
              <w:jc w:val="center"/>
              <w:rPr>
                <w:kern w:val="0"/>
                <w:szCs w:val="24"/>
              </w:rPr>
            </w:pPr>
            <w:r>
              <w:rPr>
                <w:bCs/>
                <w:szCs w:val="18"/>
              </w:rPr>
              <w:t>≤饱和吸水量</w:t>
            </w:r>
          </w:p>
        </w:tc>
        <w:tc>
          <w:tcPr>
            <w:tcW w:w="1417" w:type="dxa"/>
            <w:vAlign w:val="center"/>
          </w:tcPr>
          <w:p>
            <w:pPr>
              <w:spacing w:line="360" w:lineRule="auto"/>
              <w:jc w:val="center"/>
              <w:rPr>
                <w:kern w:val="0"/>
                <w:szCs w:val="24"/>
              </w:rPr>
            </w:pPr>
            <w:r>
              <w:rPr>
                <w:bCs/>
                <w:szCs w:val="18"/>
              </w:rPr>
              <w:t>每半年一次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tcPr>
          <w:p>
            <w:pPr>
              <w:spacing w:line="360" w:lineRule="auto"/>
              <w:jc w:val="center"/>
              <w:rPr>
                <w:kern w:val="0"/>
                <w:szCs w:val="24"/>
              </w:rPr>
            </w:pPr>
            <w:r>
              <w:rPr>
                <w:bCs/>
                <w:szCs w:val="18"/>
              </w:rPr>
              <w:t>介质损耗因数（40℃或用户指定温度）</w:t>
            </w:r>
          </w:p>
        </w:tc>
        <w:tc>
          <w:tcPr>
            <w:tcW w:w="2136" w:type="dxa"/>
            <w:vAlign w:val="center"/>
          </w:tcPr>
          <w:p>
            <w:pPr>
              <w:spacing w:line="360" w:lineRule="auto"/>
              <w:jc w:val="center"/>
              <w:rPr>
                <w:kern w:val="0"/>
                <w:szCs w:val="24"/>
              </w:rPr>
            </w:pPr>
            <w:r>
              <w:rPr>
                <w:bCs/>
                <w:szCs w:val="18"/>
              </w:rPr>
              <w:t>GB/T 5654 ASTM D924</w:t>
            </w:r>
          </w:p>
        </w:tc>
        <w:tc>
          <w:tcPr>
            <w:tcW w:w="2400" w:type="dxa"/>
            <w:vAlign w:val="center"/>
          </w:tcPr>
          <w:p>
            <w:pPr>
              <w:spacing w:line="360" w:lineRule="auto"/>
              <w:jc w:val="center"/>
              <w:rPr>
                <w:kern w:val="0"/>
                <w:szCs w:val="24"/>
              </w:rPr>
            </w:pPr>
            <w:r>
              <w:rPr>
                <w:bCs/>
                <w:szCs w:val="18"/>
              </w:rPr>
              <w:t>较原始值无变化</w:t>
            </w:r>
          </w:p>
        </w:tc>
        <w:tc>
          <w:tcPr>
            <w:tcW w:w="1417" w:type="dxa"/>
            <w:vAlign w:val="center"/>
          </w:tcPr>
          <w:p>
            <w:pPr>
              <w:spacing w:line="360" w:lineRule="auto"/>
              <w:jc w:val="center"/>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vAlign w:val="center"/>
          </w:tcPr>
          <w:p>
            <w:pPr>
              <w:spacing w:line="360" w:lineRule="auto"/>
              <w:jc w:val="center"/>
              <w:rPr>
                <w:kern w:val="0"/>
                <w:szCs w:val="24"/>
              </w:rPr>
            </w:pPr>
            <w:r>
              <w:rPr>
                <w:bCs/>
                <w:szCs w:val="18"/>
              </w:rPr>
              <w:t>介电常数</w:t>
            </w:r>
          </w:p>
        </w:tc>
        <w:tc>
          <w:tcPr>
            <w:tcW w:w="2136" w:type="dxa"/>
            <w:vAlign w:val="center"/>
          </w:tcPr>
          <w:p>
            <w:pPr>
              <w:pStyle w:val="15"/>
              <w:widowControl/>
              <w:spacing w:before="156" w:after="156"/>
              <w:jc w:val="center"/>
              <w:rPr>
                <w:rFonts w:ascii="Times New Roman" w:hAnsi="Times New Roman"/>
                <w:bCs/>
                <w:szCs w:val="18"/>
              </w:rPr>
            </w:pPr>
            <w:r>
              <w:rPr>
                <w:rFonts w:ascii="Times New Roman" w:hAnsi="Times New Roman"/>
                <w:bCs/>
                <w:szCs w:val="18"/>
              </w:rPr>
              <w:t>GB/T1409-2006</w:t>
            </w:r>
          </w:p>
          <w:p>
            <w:pPr>
              <w:spacing w:line="360" w:lineRule="auto"/>
              <w:jc w:val="center"/>
              <w:rPr>
                <w:kern w:val="0"/>
                <w:szCs w:val="24"/>
              </w:rPr>
            </w:pPr>
            <w:r>
              <w:rPr>
                <w:bCs/>
                <w:szCs w:val="18"/>
              </w:rPr>
              <w:t>宜采用超高频介电常数及介质损耗测试仪（AS2855-C）、低频介电常数及介质损耗测试仪（AS2855）</w:t>
            </w:r>
          </w:p>
        </w:tc>
        <w:tc>
          <w:tcPr>
            <w:tcW w:w="2400" w:type="dxa"/>
            <w:vAlign w:val="center"/>
          </w:tcPr>
          <w:p>
            <w:pPr>
              <w:spacing w:line="360" w:lineRule="auto"/>
              <w:jc w:val="center"/>
              <w:rPr>
                <w:kern w:val="0"/>
                <w:szCs w:val="24"/>
              </w:rPr>
            </w:pPr>
            <w:r>
              <w:rPr>
                <w:bCs/>
                <w:szCs w:val="18"/>
              </w:rPr>
              <w:t>较原始值无变化</w:t>
            </w:r>
          </w:p>
        </w:tc>
        <w:tc>
          <w:tcPr>
            <w:tcW w:w="1417" w:type="dxa"/>
            <w:vAlign w:val="center"/>
          </w:tcPr>
          <w:p>
            <w:pPr>
              <w:spacing w:line="360" w:lineRule="auto"/>
              <w:jc w:val="center"/>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tcPr>
          <w:p>
            <w:pPr>
              <w:spacing w:line="360" w:lineRule="auto"/>
              <w:rPr>
                <w:kern w:val="0"/>
                <w:szCs w:val="24"/>
              </w:rPr>
            </w:pPr>
            <w:r>
              <w:rPr>
                <w:bCs/>
                <w:szCs w:val="18"/>
              </w:rPr>
              <w:t>击穿电压(2.5mm间隙)，kV</w:t>
            </w:r>
          </w:p>
        </w:tc>
        <w:tc>
          <w:tcPr>
            <w:tcW w:w="2136" w:type="dxa"/>
            <w:vAlign w:val="center"/>
          </w:tcPr>
          <w:p>
            <w:pPr>
              <w:pStyle w:val="15"/>
              <w:widowControl/>
              <w:spacing w:before="156" w:after="156"/>
              <w:jc w:val="center"/>
              <w:rPr>
                <w:rFonts w:ascii="Times New Roman" w:hAnsi="Times New Roman"/>
                <w:bCs/>
                <w:szCs w:val="18"/>
              </w:rPr>
            </w:pPr>
            <w:r>
              <w:rPr>
                <w:rFonts w:ascii="Times New Roman" w:hAnsi="Times New Roman"/>
                <w:bCs/>
                <w:szCs w:val="18"/>
              </w:rPr>
              <w:t>GB/T 507</w:t>
            </w:r>
          </w:p>
          <w:p>
            <w:pPr>
              <w:spacing w:line="360" w:lineRule="auto"/>
              <w:jc w:val="center"/>
              <w:rPr>
                <w:kern w:val="0"/>
                <w:szCs w:val="24"/>
              </w:rPr>
            </w:pPr>
            <w:r>
              <w:rPr>
                <w:bCs/>
                <w:szCs w:val="18"/>
              </w:rPr>
              <w:t>ASTM D877</w:t>
            </w:r>
          </w:p>
        </w:tc>
        <w:tc>
          <w:tcPr>
            <w:tcW w:w="2400" w:type="dxa"/>
            <w:vAlign w:val="center"/>
          </w:tcPr>
          <w:p>
            <w:pPr>
              <w:spacing w:line="360" w:lineRule="auto"/>
              <w:rPr>
                <w:kern w:val="0"/>
                <w:szCs w:val="24"/>
              </w:rPr>
            </w:pPr>
            <w:r>
              <w:rPr>
                <w:bCs/>
                <w:szCs w:val="18"/>
              </w:rPr>
              <w:t>≥15</w:t>
            </w:r>
          </w:p>
        </w:tc>
        <w:tc>
          <w:tcPr>
            <w:tcW w:w="1417" w:type="dxa"/>
            <w:vAlign w:val="center"/>
          </w:tcPr>
          <w:p>
            <w:pPr>
              <w:spacing w:line="360" w:lineRule="auto"/>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tcPr>
          <w:p>
            <w:pPr>
              <w:spacing w:line="360" w:lineRule="auto"/>
              <w:rPr>
                <w:kern w:val="0"/>
                <w:szCs w:val="24"/>
              </w:rPr>
            </w:pPr>
            <w:r>
              <w:rPr>
                <w:bCs/>
                <w:szCs w:val="18"/>
              </w:rPr>
              <w:t>体积电阻率（40℃或用户指定温度），Ω· cm</w:t>
            </w:r>
          </w:p>
        </w:tc>
        <w:tc>
          <w:tcPr>
            <w:tcW w:w="2136" w:type="dxa"/>
            <w:vAlign w:val="center"/>
          </w:tcPr>
          <w:p>
            <w:pPr>
              <w:spacing w:line="360" w:lineRule="auto"/>
              <w:jc w:val="center"/>
              <w:rPr>
                <w:kern w:val="0"/>
                <w:szCs w:val="24"/>
              </w:rPr>
            </w:pPr>
            <w:r>
              <w:rPr>
                <w:bCs/>
                <w:szCs w:val="18"/>
              </w:rPr>
              <w:t>GB/ T 5654</w:t>
            </w:r>
          </w:p>
        </w:tc>
        <w:tc>
          <w:tcPr>
            <w:tcW w:w="2400" w:type="dxa"/>
            <w:vAlign w:val="center"/>
          </w:tcPr>
          <w:p>
            <w:pPr>
              <w:spacing w:line="360" w:lineRule="auto"/>
              <w:rPr>
                <w:kern w:val="0"/>
                <w:szCs w:val="24"/>
              </w:rPr>
            </w:pPr>
            <w:r>
              <w:rPr>
                <w:bCs/>
                <w:szCs w:val="18"/>
              </w:rPr>
              <w:t>≥1x1011</w:t>
            </w:r>
          </w:p>
        </w:tc>
        <w:tc>
          <w:tcPr>
            <w:tcW w:w="1417" w:type="dxa"/>
            <w:vAlign w:val="center"/>
          </w:tcPr>
          <w:p>
            <w:pPr>
              <w:spacing w:line="360" w:lineRule="auto"/>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vAlign w:val="center"/>
          </w:tcPr>
          <w:p>
            <w:pPr>
              <w:spacing w:line="360" w:lineRule="auto"/>
              <w:rPr>
                <w:kern w:val="0"/>
                <w:szCs w:val="24"/>
              </w:rPr>
            </w:pPr>
            <w:r>
              <w:rPr>
                <w:bCs/>
                <w:szCs w:val="18"/>
              </w:rPr>
              <w:t>运动粘度，mm2/s或cst</w:t>
            </w:r>
          </w:p>
        </w:tc>
        <w:tc>
          <w:tcPr>
            <w:tcW w:w="2136" w:type="dxa"/>
            <w:vAlign w:val="center"/>
          </w:tcPr>
          <w:p>
            <w:pPr>
              <w:pStyle w:val="15"/>
              <w:widowControl/>
              <w:spacing w:before="156" w:after="156"/>
              <w:jc w:val="center"/>
              <w:rPr>
                <w:rFonts w:ascii="Times New Roman" w:hAnsi="Times New Roman"/>
                <w:bCs/>
                <w:szCs w:val="18"/>
              </w:rPr>
            </w:pPr>
            <w:r>
              <w:rPr>
                <w:rFonts w:ascii="Times New Roman" w:hAnsi="Times New Roman"/>
                <w:bCs/>
                <w:szCs w:val="18"/>
              </w:rPr>
              <w:t>GB/T 10247</w:t>
            </w:r>
          </w:p>
          <w:p>
            <w:pPr>
              <w:pStyle w:val="15"/>
              <w:widowControl/>
              <w:spacing w:before="156" w:after="156"/>
              <w:jc w:val="center"/>
              <w:rPr>
                <w:rFonts w:ascii="Times New Roman" w:hAnsi="Times New Roman"/>
                <w:bCs/>
                <w:szCs w:val="18"/>
              </w:rPr>
            </w:pPr>
            <w:r>
              <w:rPr>
                <w:rFonts w:ascii="Times New Roman" w:hAnsi="Times New Roman"/>
                <w:bCs/>
                <w:szCs w:val="18"/>
              </w:rPr>
              <w:t>GB/T 265</w:t>
            </w:r>
          </w:p>
          <w:p>
            <w:pPr>
              <w:spacing w:line="360" w:lineRule="auto"/>
              <w:jc w:val="center"/>
              <w:rPr>
                <w:kern w:val="0"/>
                <w:szCs w:val="24"/>
              </w:rPr>
            </w:pPr>
            <w:r>
              <w:rPr>
                <w:bCs/>
                <w:szCs w:val="18"/>
              </w:rPr>
              <w:t>石油运动粘度计</w:t>
            </w:r>
          </w:p>
        </w:tc>
        <w:tc>
          <w:tcPr>
            <w:tcW w:w="2400" w:type="dxa"/>
            <w:vAlign w:val="center"/>
          </w:tcPr>
          <w:p>
            <w:pPr>
              <w:spacing w:line="360" w:lineRule="auto"/>
              <w:rPr>
                <w:kern w:val="0"/>
                <w:szCs w:val="24"/>
              </w:rPr>
            </w:pPr>
            <w:r>
              <w:rPr>
                <w:bCs/>
                <w:szCs w:val="18"/>
              </w:rPr>
              <w:t>较冷却液出厂原始值变化率≤10%</w:t>
            </w:r>
          </w:p>
        </w:tc>
        <w:tc>
          <w:tcPr>
            <w:tcW w:w="1417" w:type="dxa"/>
            <w:vAlign w:val="center"/>
          </w:tcPr>
          <w:p>
            <w:pPr>
              <w:spacing w:line="360" w:lineRule="auto"/>
              <w:rPr>
                <w:kern w:val="0"/>
                <w:szCs w:val="24"/>
              </w:rPr>
            </w:pPr>
            <w:r>
              <w:rPr>
                <w:bCs/>
                <w:szCs w:val="18"/>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tcPr>
          <w:p>
            <w:pPr>
              <w:spacing w:line="360" w:lineRule="auto"/>
              <w:rPr>
                <w:kern w:val="0"/>
                <w:szCs w:val="24"/>
              </w:rPr>
            </w:pPr>
            <w:r>
              <w:rPr>
                <w:bCs/>
                <w:szCs w:val="18"/>
              </w:rPr>
              <w:t>腐蚀性硫， ppm</w:t>
            </w:r>
          </w:p>
        </w:tc>
        <w:tc>
          <w:tcPr>
            <w:tcW w:w="2136" w:type="dxa"/>
            <w:vAlign w:val="center"/>
          </w:tcPr>
          <w:p>
            <w:pPr>
              <w:spacing w:line="360" w:lineRule="auto"/>
              <w:rPr>
                <w:kern w:val="0"/>
                <w:szCs w:val="24"/>
              </w:rPr>
            </w:pPr>
            <w:r>
              <w:rPr>
                <w:bCs/>
                <w:szCs w:val="18"/>
              </w:rPr>
              <w:t>SH/T0804</w:t>
            </w:r>
          </w:p>
        </w:tc>
        <w:tc>
          <w:tcPr>
            <w:tcW w:w="2400" w:type="dxa"/>
            <w:vAlign w:val="center"/>
          </w:tcPr>
          <w:p>
            <w:pPr>
              <w:spacing w:line="360" w:lineRule="auto"/>
              <w:rPr>
                <w:kern w:val="0"/>
                <w:szCs w:val="24"/>
              </w:rPr>
            </w:pPr>
            <w:r>
              <w:rPr>
                <w:bCs/>
                <w:szCs w:val="18"/>
              </w:rPr>
              <w:t>非腐蚀性</w:t>
            </w:r>
          </w:p>
        </w:tc>
        <w:tc>
          <w:tcPr>
            <w:tcW w:w="1417" w:type="dxa"/>
            <w:vAlign w:val="center"/>
          </w:tcPr>
          <w:p>
            <w:pPr>
              <w:spacing w:line="360" w:lineRule="auto"/>
              <w:rPr>
                <w:kern w:val="0"/>
                <w:szCs w:val="24"/>
              </w:rPr>
            </w:pPr>
            <w:r>
              <w:rPr>
                <w:bCs/>
                <w:szCs w:val="18"/>
              </w:rPr>
              <w:t>每两年一次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2" w:type="dxa"/>
          </w:tcPr>
          <w:p>
            <w:pPr>
              <w:spacing w:line="360" w:lineRule="auto"/>
              <w:rPr>
                <w:bCs/>
                <w:szCs w:val="18"/>
              </w:rPr>
            </w:pPr>
            <w:r>
              <w:rPr>
                <w:bCs/>
                <w:szCs w:val="18"/>
              </w:rPr>
              <w:t>不挥发残留物 ，ppm</w:t>
            </w:r>
          </w:p>
        </w:tc>
        <w:tc>
          <w:tcPr>
            <w:tcW w:w="2136" w:type="dxa"/>
            <w:vAlign w:val="center"/>
          </w:tcPr>
          <w:p>
            <w:pPr>
              <w:spacing w:line="360" w:lineRule="auto"/>
              <w:rPr>
                <w:bCs/>
                <w:szCs w:val="18"/>
              </w:rPr>
            </w:pPr>
            <w:r>
              <w:rPr>
                <w:bCs/>
                <w:szCs w:val="18"/>
              </w:rPr>
              <w:t>ASTM D2369</w:t>
            </w:r>
          </w:p>
        </w:tc>
        <w:tc>
          <w:tcPr>
            <w:tcW w:w="2400" w:type="dxa"/>
            <w:vAlign w:val="center"/>
          </w:tcPr>
          <w:p>
            <w:pPr>
              <w:spacing w:line="360" w:lineRule="auto"/>
              <w:rPr>
                <w:bCs/>
                <w:szCs w:val="18"/>
              </w:rPr>
            </w:pPr>
            <w:r>
              <w:rPr>
                <w:bCs/>
                <w:szCs w:val="18"/>
              </w:rPr>
              <w:t>&lt;100</w:t>
            </w:r>
          </w:p>
        </w:tc>
        <w:tc>
          <w:tcPr>
            <w:tcW w:w="1417" w:type="dxa"/>
            <w:vAlign w:val="center"/>
          </w:tcPr>
          <w:p>
            <w:pPr>
              <w:spacing w:line="360" w:lineRule="auto"/>
              <w:rPr>
                <w:bCs/>
                <w:szCs w:val="18"/>
              </w:rPr>
            </w:pPr>
            <w:r>
              <w:rPr>
                <w:bCs/>
                <w:szCs w:val="18"/>
              </w:rPr>
              <w:t>每年一次</w:t>
            </w:r>
          </w:p>
        </w:tc>
      </w:tr>
    </w:tbl>
    <w:p>
      <w:pPr>
        <w:pStyle w:val="15"/>
        <w:widowControl/>
        <w:spacing w:before="156" w:after="156" w:line="360" w:lineRule="auto"/>
        <w:rPr>
          <w:rFonts w:ascii="Times New Roman" w:hAnsi="Times New Roman"/>
          <w:sz w:val="24"/>
        </w:rPr>
      </w:pPr>
      <w:bookmarkStart w:id="130" w:name="_Toc29138221"/>
      <w:bookmarkStart w:id="131" w:name="_Toc26566558"/>
      <w:r>
        <w:rPr>
          <w:rFonts w:ascii="Times New Roman" w:hAnsi="Times New Roman"/>
          <w:sz w:val="24"/>
        </w:rPr>
        <w:t xml:space="preserve">8.1.4 </w:t>
      </w:r>
      <w:bookmarkEnd w:id="130"/>
      <w:bookmarkStart w:id="132" w:name="_Toc142300507"/>
      <w:bookmarkStart w:id="133" w:name="_Toc29046315"/>
      <w:r>
        <w:rPr>
          <w:rFonts w:hint="eastAsia" w:ascii="Times New Roman" w:hAnsi="Times New Roman"/>
          <w:sz w:val="24"/>
        </w:rPr>
        <w:t>应对</w:t>
      </w:r>
      <w:r>
        <w:rPr>
          <w:rFonts w:ascii="Times New Roman" w:hAnsi="Times New Roman"/>
          <w:sz w:val="24"/>
        </w:rPr>
        <w:t>冷却液</w:t>
      </w:r>
      <w:r>
        <w:rPr>
          <w:rFonts w:hint="eastAsia" w:ascii="Times New Roman" w:hAnsi="Times New Roman"/>
          <w:sz w:val="24"/>
        </w:rPr>
        <w:t>损耗建立监控机制</w:t>
      </w:r>
      <w:r>
        <w:rPr>
          <w:rFonts w:ascii="Times New Roman" w:hAnsi="Times New Roman"/>
          <w:sz w:val="24"/>
        </w:rPr>
        <w:t>。</w:t>
      </w:r>
    </w:p>
    <w:p>
      <w:pPr>
        <w:pStyle w:val="15"/>
        <w:widowControl/>
        <w:spacing w:before="156" w:after="156" w:line="360" w:lineRule="auto"/>
        <w:rPr>
          <w:rFonts w:ascii="Times New Roman" w:hAnsi="Times New Roman"/>
          <w:sz w:val="24"/>
          <w:lang w:bidi="ar"/>
        </w:rPr>
      </w:pPr>
      <w:r>
        <w:rPr>
          <w:rFonts w:ascii="Times New Roman" w:hAnsi="Times New Roman"/>
          <w:sz w:val="24"/>
        </w:rPr>
        <w:t>8.1.5</w:t>
      </w:r>
      <w:bookmarkStart w:id="134" w:name="_Toc142300508"/>
      <w:bookmarkStart w:id="135" w:name="_Toc29046316"/>
      <w:r>
        <w:rPr>
          <w:rFonts w:ascii="Times New Roman" w:hAnsi="Times New Roman"/>
          <w:sz w:val="24"/>
          <w:lang w:bidi="ar"/>
        </w:rPr>
        <w:t>冷却液的贮藏应</w:t>
      </w:r>
      <w:r>
        <w:rPr>
          <w:rFonts w:hint="eastAsia" w:ascii="Times New Roman" w:hAnsi="Times New Roman"/>
          <w:sz w:val="24"/>
          <w:lang w:bidi="ar"/>
        </w:rPr>
        <w:t>符合化学品安全说明书</w:t>
      </w:r>
      <w:r>
        <w:rPr>
          <w:rFonts w:ascii="Times New Roman" w:hAnsi="Times New Roman"/>
          <w:sz w:val="24"/>
          <w:lang w:bidi="ar"/>
        </w:rPr>
        <w:t>的</w:t>
      </w:r>
      <w:bookmarkEnd w:id="134"/>
      <w:bookmarkEnd w:id="135"/>
      <w:r>
        <w:rPr>
          <w:rFonts w:hint="eastAsia" w:ascii="Times New Roman" w:hAnsi="Times New Roman"/>
          <w:sz w:val="24"/>
          <w:lang w:bidi="ar"/>
        </w:rPr>
        <w:t>要求，</w:t>
      </w:r>
      <w:r>
        <w:rPr>
          <w:rFonts w:ascii="Times New Roman" w:hAnsi="Times New Roman"/>
          <w:sz w:val="24"/>
        </w:rPr>
        <w:t>应</w:t>
      </w:r>
      <w:r>
        <w:rPr>
          <w:rFonts w:ascii="Times New Roman" w:hAnsi="Times New Roman"/>
          <w:sz w:val="24"/>
          <w:lang w:bidi="ar"/>
        </w:rPr>
        <w:t>定期</w:t>
      </w:r>
      <w:r>
        <w:rPr>
          <w:rFonts w:hint="eastAsia" w:ascii="Times New Roman" w:hAnsi="Times New Roman"/>
          <w:sz w:val="24"/>
          <w:lang w:bidi="ar"/>
        </w:rPr>
        <w:t>检查</w:t>
      </w:r>
      <w:r>
        <w:rPr>
          <w:rFonts w:ascii="Times New Roman" w:hAnsi="Times New Roman"/>
          <w:sz w:val="24"/>
          <w:lang w:bidi="ar"/>
        </w:rPr>
        <w:t>冷却液贮藏间的冷却液容器</w:t>
      </w:r>
      <w:bookmarkEnd w:id="132"/>
      <w:bookmarkEnd w:id="133"/>
      <w:r>
        <w:rPr>
          <w:rFonts w:hint="eastAsia" w:ascii="Times New Roman" w:hAnsi="Times New Roman"/>
          <w:sz w:val="24"/>
          <w:lang w:bidi="ar"/>
        </w:rPr>
        <w:t>以避免开盖、渗漏等现象</w:t>
      </w:r>
      <w:r>
        <w:rPr>
          <w:rFonts w:ascii="Times New Roman" w:hAnsi="Times New Roman"/>
          <w:sz w:val="24"/>
          <w:lang w:bidi="ar"/>
        </w:rPr>
        <w:t>。</w:t>
      </w:r>
    </w:p>
    <w:p>
      <w:pPr>
        <w:spacing w:line="360" w:lineRule="auto"/>
        <w:jc w:val="left"/>
        <w:rPr>
          <w:sz w:val="24"/>
          <w:szCs w:val="21"/>
        </w:rPr>
      </w:pPr>
      <w:bookmarkStart w:id="136" w:name="_Toc142300510"/>
      <w:bookmarkStart w:id="137" w:name="_Toc29046318"/>
      <w:r>
        <w:rPr>
          <w:sz w:val="24"/>
          <w:szCs w:val="21"/>
        </w:rPr>
        <w:t xml:space="preserve">8.1.6 </w:t>
      </w:r>
      <w:r>
        <w:rPr>
          <w:rFonts w:hint="eastAsia"/>
          <w:sz w:val="24"/>
          <w:szCs w:val="21"/>
        </w:rPr>
        <w:t>已废弃</w:t>
      </w:r>
      <w:r>
        <w:rPr>
          <w:sz w:val="24"/>
          <w:szCs w:val="21"/>
        </w:rPr>
        <w:t>冷却液的处理应</w:t>
      </w:r>
      <w:r>
        <w:rPr>
          <w:rFonts w:hint="eastAsia"/>
          <w:sz w:val="24"/>
          <w:szCs w:val="21"/>
        </w:rPr>
        <w:t>交</w:t>
      </w:r>
      <w:r>
        <w:rPr>
          <w:sz w:val="24"/>
          <w:szCs w:val="21"/>
        </w:rPr>
        <w:t>由有资质的化学品处理</w:t>
      </w:r>
      <w:r>
        <w:rPr>
          <w:rFonts w:hint="eastAsia"/>
          <w:sz w:val="24"/>
          <w:szCs w:val="21"/>
        </w:rPr>
        <w:t>机构</w:t>
      </w:r>
      <w:r>
        <w:rPr>
          <w:sz w:val="24"/>
          <w:szCs w:val="21"/>
        </w:rPr>
        <w:t>完成</w:t>
      </w:r>
      <w:r>
        <w:rPr>
          <w:rFonts w:hint="eastAsia"/>
          <w:sz w:val="24"/>
          <w:szCs w:val="21"/>
        </w:rPr>
        <w:t>，</w:t>
      </w:r>
      <w:r>
        <w:rPr>
          <w:sz w:val="24"/>
          <w:szCs w:val="21"/>
        </w:rPr>
        <w:t>使用过的冷却液包装物应</w:t>
      </w:r>
      <w:r>
        <w:rPr>
          <w:rFonts w:hint="eastAsia"/>
          <w:sz w:val="24"/>
          <w:szCs w:val="21"/>
        </w:rPr>
        <w:t>交由</w:t>
      </w:r>
      <w:r>
        <w:rPr>
          <w:sz w:val="24"/>
          <w:szCs w:val="21"/>
        </w:rPr>
        <w:t>许可的废弃物处理场所进行循环利用或处置。</w:t>
      </w:r>
      <w:bookmarkEnd w:id="136"/>
      <w:bookmarkEnd w:id="137"/>
    </w:p>
    <w:p>
      <w:pPr>
        <w:spacing w:line="360" w:lineRule="auto"/>
        <w:jc w:val="left"/>
        <w:rPr>
          <w:sz w:val="24"/>
          <w:szCs w:val="21"/>
          <w:lang w:bidi="ar"/>
        </w:rPr>
      </w:pPr>
      <w:r>
        <w:rPr>
          <w:sz w:val="24"/>
          <w:szCs w:val="21"/>
        </w:rPr>
        <w:t xml:space="preserve">8.1.7 </w:t>
      </w:r>
      <w:r>
        <w:rPr>
          <w:rFonts w:hint="eastAsia"/>
          <w:sz w:val="24"/>
          <w:szCs w:val="21"/>
        </w:rPr>
        <w:t>工作人员</w:t>
      </w:r>
      <w:r>
        <w:rPr>
          <w:sz w:val="24"/>
          <w:szCs w:val="21"/>
          <w:lang w:bidi="ar"/>
        </w:rPr>
        <w:t>在</w:t>
      </w:r>
      <w:r>
        <w:rPr>
          <w:rFonts w:hint="eastAsia"/>
          <w:sz w:val="24"/>
          <w:szCs w:val="21"/>
          <w:lang w:bidi="ar"/>
        </w:rPr>
        <w:t>执行涉及冷却液的</w:t>
      </w:r>
      <w:r>
        <w:rPr>
          <w:sz w:val="24"/>
          <w:szCs w:val="21"/>
          <w:lang w:bidi="ar"/>
        </w:rPr>
        <w:t>运维</w:t>
      </w:r>
      <w:r>
        <w:rPr>
          <w:rFonts w:hint="eastAsia"/>
          <w:sz w:val="24"/>
          <w:szCs w:val="21"/>
          <w:lang w:bidi="ar"/>
        </w:rPr>
        <w:t>操作时，</w:t>
      </w:r>
      <w:r>
        <w:rPr>
          <w:sz w:val="24"/>
          <w:szCs w:val="21"/>
        </w:rPr>
        <w:t>应</w:t>
      </w:r>
      <w:r>
        <w:rPr>
          <w:rFonts w:hint="eastAsia"/>
          <w:sz w:val="24"/>
          <w:szCs w:val="21"/>
        </w:rPr>
        <w:t>遵从</w:t>
      </w:r>
      <w:r>
        <w:rPr>
          <w:rFonts w:hint="eastAsia"/>
          <w:sz w:val="24"/>
          <w:szCs w:val="21"/>
          <w:lang w:bidi="ar"/>
        </w:rPr>
        <w:t>冷却液</w:t>
      </w:r>
      <w:r>
        <w:rPr>
          <w:rFonts w:hint="eastAsia"/>
          <w:sz w:val="24"/>
          <w:lang w:bidi="ar"/>
        </w:rPr>
        <w:t>化学品安全说明书</w:t>
      </w:r>
      <w:r>
        <w:rPr>
          <w:sz w:val="24"/>
          <w:szCs w:val="21"/>
          <w:lang w:bidi="ar"/>
        </w:rPr>
        <w:t>中</w:t>
      </w:r>
      <w:r>
        <w:rPr>
          <w:rFonts w:hint="eastAsia"/>
          <w:sz w:val="24"/>
          <w:szCs w:val="21"/>
          <w:lang w:bidi="ar"/>
        </w:rPr>
        <w:t>相关</w:t>
      </w:r>
      <w:r>
        <w:rPr>
          <w:sz w:val="24"/>
          <w:szCs w:val="21"/>
          <w:lang w:bidi="ar"/>
        </w:rPr>
        <w:t>个人防护的</w:t>
      </w:r>
      <w:r>
        <w:rPr>
          <w:rFonts w:hint="eastAsia"/>
          <w:sz w:val="24"/>
          <w:szCs w:val="21"/>
          <w:lang w:bidi="ar"/>
        </w:rPr>
        <w:t>内容</w:t>
      </w:r>
      <w:r>
        <w:rPr>
          <w:sz w:val="24"/>
          <w:szCs w:val="21"/>
          <w:lang w:bidi="ar"/>
        </w:rPr>
        <w:t>。</w:t>
      </w:r>
    </w:p>
    <w:p>
      <w:pPr>
        <w:spacing w:line="360" w:lineRule="auto"/>
        <w:jc w:val="left"/>
        <w:rPr>
          <w:sz w:val="24"/>
          <w:szCs w:val="21"/>
        </w:rPr>
      </w:pPr>
      <w:r>
        <w:rPr>
          <w:sz w:val="24"/>
          <w:szCs w:val="21"/>
        </w:rPr>
        <w:t>8.1.8</w:t>
      </w:r>
      <w:r>
        <w:rPr>
          <w:rFonts w:hint="eastAsia"/>
          <w:sz w:val="24"/>
          <w:szCs w:val="21"/>
        </w:rPr>
        <w:t>当发生冷却液溢出或漏液时，应对</w:t>
      </w:r>
      <w:r>
        <w:rPr>
          <w:sz w:val="24"/>
          <w:szCs w:val="21"/>
        </w:rPr>
        <w:t>冷却液</w:t>
      </w:r>
      <w:r>
        <w:rPr>
          <w:rFonts w:hint="eastAsia"/>
          <w:sz w:val="24"/>
          <w:szCs w:val="21"/>
        </w:rPr>
        <w:t>进行</w:t>
      </w:r>
      <w:r>
        <w:rPr>
          <w:sz w:val="24"/>
          <w:szCs w:val="21"/>
        </w:rPr>
        <w:t>收集</w:t>
      </w:r>
      <w:r>
        <w:rPr>
          <w:rFonts w:hint="eastAsia"/>
          <w:sz w:val="24"/>
          <w:szCs w:val="21"/>
        </w:rPr>
        <w:t>与</w:t>
      </w:r>
      <w:r>
        <w:rPr>
          <w:sz w:val="24"/>
          <w:szCs w:val="21"/>
        </w:rPr>
        <w:t>回收</w:t>
      </w:r>
      <w:r>
        <w:rPr>
          <w:rFonts w:hint="eastAsia"/>
          <w:sz w:val="24"/>
          <w:szCs w:val="21"/>
        </w:rPr>
        <w:t>。</w:t>
      </w:r>
    </w:p>
    <w:p>
      <w:pPr>
        <w:spacing w:line="360" w:lineRule="auto"/>
        <w:jc w:val="left"/>
        <w:rPr>
          <w:sz w:val="24"/>
          <w:szCs w:val="21"/>
        </w:rPr>
      </w:pPr>
      <w:bookmarkStart w:id="138" w:name="_Toc142300511"/>
      <w:bookmarkStart w:id="139" w:name="_Toc29046320"/>
      <w:r>
        <w:rPr>
          <w:sz w:val="24"/>
          <w:szCs w:val="21"/>
        </w:rPr>
        <w:t>8.1.9当冷却液发生污染时，宜</w:t>
      </w:r>
      <w:r>
        <w:rPr>
          <w:rFonts w:hint="eastAsia"/>
          <w:sz w:val="24"/>
          <w:szCs w:val="21"/>
        </w:rPr>
        <w:t>优先利</w:t>
      </w:r>
      <w:r>
        <w:rPr>
          <w:sz w:val="24"/>
          <w:szCs w:val="21"/>
        </w:rPr>
        <w:t>用</w:t>
      </w:r>
      <w:r>
        <w:rPr>
          <w:rFonts w:hint="eastAsia"/>
          <w:sz w:val="24"/>
          <w:szCs w:val="21"/>
        </w:rPr>
        <w:t>外部循环过滤装置进行应急处理</w:t>
      </w:r>
      <w:r>
        <w:rPr>
          <w:sz w:val="24"/>
          <w:szCs w:val="21"/>
        </w:rPr>
        <w:t>，</w:t>
      </w:r>
      <w:r>
        <w:rPr>
          <w:rFonts w:hint="eastAsia"/>
          <w:sz w:val="24"/>
          <w:szCs w:val="21"/>
        </w:rPr>
        <w:t>处理无效宜返厂进行二次处理</w:t>
      </w:r>
      <w:r>
        <w:rPr>
          <w:sz w:val="24"/>
          <w:szCs w:val="21"/>
        </w:rPr>
        <w:t>。</w:t>
      </w:r>
      <w:bookmarkEnd w:id="138"/>
      <w:bookmarkEnd w:id="139"/>
    </w:p>
    <w:p>
      <w:pPr>
        <w:spacing w:line="360" w:lineRule="auto"/>
        <w:jc w:val="left"/>
        <w:rPr>
          <w:sz w:val="24"/>
          <w:szCs w:val="21"/>
          <w:lang w:bidi="ar"/>
        </w:rPr>
      </w:pPr>
      <w:bookmarkStart w:id="140" w:name="_Toc29046321"/>
      <w:bookmarkStart w:id="141" w:name="_Toc142300512"/>
      <w:r>
        <w:rPr>
          <w:sz w:val="24"/>
          <w:szCs w:val="21"/>
        </w:rPr>
        <w:t>8.1.10</w:t>
      </w:r>
      <w:r>
        <w:rPr>
          <w:rFonts w:hint="eastAsia"/>
          <w:sz w:val="24"/>
          <w:szCs w:val="21"/>
        </w:rPr>
        <w:t>当同一数据中心采用不同冷却</w:t>
      </w:r>
      <w:r>
        <w:rPr>
          <w:sz w:val="24"/>
          <w:szCs w:val="21"/>
        </w:rPr>
        <w:t>液</w:t>
      </w:r>
      <w:r>
        <w:rPr>
          <w:rFonts w:hint="eastAsia"/>
          <w:sz w:val="24"/>
          <w:szCs w:val="21"/>
        </w:rPr>
        <w:t>时，冷却液</w:t>
      </w:r>
      <w:r>
        <w:rPr>
          <w:sz w:val="24"/>
          <w:szCs w:val="21"/>
          <w:lang w:bidi="ar"/>
        </w:rPr>
        <w:t>的</w:t>
      </w:r>
      <w:r>
        <w:rPr>
          <w:rFonts w:hint="eastAsia"/>
          <w:sz w:val="24"/>
          <w:szCs w:val="21"/>
          <w:lang w:bidi="ar"/>
        </w:rPr>
        <w:t>运维</w:t>
      </w:r>
      <w:r>
        <w:rPr>
          <w:sz w:val="24"/>
          <w:szCs w:val="21"/>
          <w:lang w:bidi="ar"/>
        </w:rPr>
        <w:t>工具不应混用。</w:t>
      </w:r>
      <w:bookmarkEnd w:id="140"/>
      <w:bookmarkEnd w:id="141"/>
    </w:p>
    <w:p>
      <w:pPr>
        <w:spacing w:line="360" w:lineRule="auto"/>
        <w:jc w:val="left"/>
        <w:rPr>
          <w:sz w:val="24"/>
          <w:szCs w:val="21"/>
          <w:lang w:bidi="ar"/>
        </w:rPr>
      </w:pPr>
      <w:bookmarkStart w:id="142" w:name="_Toc29138222"/>
      <w:r>
        <w:rPr>
          <w:sz w:val="24"/>
          <w:szCs w:val="21"/>
          <w:lang w:bidi="ar"/>
        </w:rPr>
        <w:t>8.1.</w:t>
      </w:r>
      <w:bookmarkEnd w:id="131"/>
      <w:bookmarkEnd w:id="142"/>
      <w:r>
        <w:rPr>
          <w:sz w:val="24"/>
          <w:szCs w:val="21"/>
          <w:lang w:bidi="ar"/>
        </w:rPr>
        <w:t>11液冷</w:t>
      </w:r>
      <w:r>
        <w:rPr>
          <w:rFonts w:hint="eastAsia"/>
          <w:sz w:val="24"/>
          <w:szCs w:val="21"/>
          <w:lang w:bidi="ar"/>
        </w:rPr>
        <w:t>电子信息设备维护或</w:t>
      </w:r>
      <w:r>
        <w:rPr>
          <w:sz w:val="24"/>
          <w:szCs w:val="21"/>
          <w:lang w:bidi="ar"/>
        </w:rPr>
        <w:t>搬运</w:t>
      </w:r>
      <w:bookmarkStart w:id="143" w:name="_Toc423626220"/>
      <w:bookmarkStart w:id="144" w:name="_Toc421514194"/>
      <w:r>
        <w:rPr>
          <w:sz w:val="24"/>
          <w:szCs w:val="21"/>
          <w:lang w:bidi="ar"/>
        </w:rPr>
        <w:t>时，</w:t>
      </w:r>
      <w:r>
        <w:rPr>
          <w:rFonts w:hint="eastAsia"/>
          <w:sz w:val="24"/>
          <w:szCs w:val="21"/>
          <w:lang w:bidi="ar"/>
        </w:rPr>
        <w:t>宜采用具备电动</w:t>
      </w:r>
      <w:r>
        <w:rPr>
          <w:sz w:val="24"/>
          <w:szCs w:val="21"/>
          <w:lang w:bidi="ar"/>
        </w:rPr>
        <w:t>吊装功能</w:t>
      </w:r>
      <w:r>
        <w:rPr>
          <w:rFonts w:hint="eastAsia"/>
          <w:sz w:val="24"/>
          <w:szCs w:val="21"/>
          <w:lang w:bidi="ar"/>
        </w:rPr>
        <w:t>的、可遥控</w:t>
      </w:r>
      <w:r>
        <w:rPr>
          <w:sz w:val="24"/>
          <w:szCs w:val="21"/>
          <w:lang w:bidi="ar"/>
        </w:rPr>
        <w:t>移动</w:t>
      </w:r>
      <w:r>
        <w:rPr>
          <w:rFonts w:hint="eastAsia"/>
          <w:sz w:val="24"/>
          <w:szCs w:val="21"/>
          <w:lang w:bidi="ar"/>
        </w:rPr>
        <w:t>式、可充电式</w:t>
      </w:r>
      <w:r>
        <w:rPr>
          <w:sz w:val="24"/>
          <w:szCs w:val="21"/>
          <w:lang w:bidi="ar"/>
        </w:rPr>
        <w:t>设备进行操作</w:t>
      </w:r>
      <w:r>
        <w:rPr>
          <w:rFonts w:hint="eastAsia"/>
          <w:sz w:val="24"/>
          <w:szCs w:val="21"/>
          <w:lang w:bidi="ar"/>
        </w:rPr>
        <w:t>，移动吊装设备</w:t>
      </w:r>
      <w:r>
        <w:rPr>
          <w:sz w:val="24"/>
          <w:szCs w:val="21"/>
          <w:lang w:bidi="ar"/>
        </w:rPr>
        <w:t>应满足</w:t>
      </w:r>
      <w:r>
        <w:rPr>
          <w:rFonts w:hint="eastAsia"/>
          <w:sz w:val="24"/>
          <w:szCs w:val="21"/>
          <w:lang w:bidi="ar"/>
        </w:rPr>
        <w:t>电子信息设备</w:t>
      </w:r>
      <w:r>
        <w:rPr>
          <w:sz w:val="24"/>
          <w:szCs w:val="21"/>
          <w:lang w:bidi="ar"/>
        </w:rPr>
        <w:t>的</w:t>
      </w:r>
      <w:r>
        <w:rPr>
          <w:rFonts w:hint="eastAsia"/>
          <w:sz w:val="24"/>
          <w:szCs w:val="21"/>
          <w:lang w:bidi="ar"/>
        </w:rPr>
        <w:t>起吊</w:t>
      </w:r>
      <w:r>
        <w:rPr>
          <w:sz w:val="24"/>
          <w:szCs w:val="21"/>
          <w:lang w:bidi="ar"/>
        </w:rPr>
        <w:t>空间要求、</w:t>
      </w:r>
      <w:r>
        <w:rPr>
          <w:rFonts w:hint="eastAsia"/>
          <w:sz w:val="24"/>
          <w:szCs w:val="21"/>
          <w:lang w:bidi="ar"/>
        </w:rPr>
        <w:t>重量</w:t>
      </w:r>
      <w:r>
        <w:rPr>
          <w:sz w:val="24"/>
          <w:szCs w:val="21"/>
          <w:lang w:bidi="ar"/>
        </w:rPr>
        <w:t>要求及移动要求。</w:t>
      </w:r>
    </w:p>
    <w:p>
      <w:pPr>
        <w:spacing w:line="360" w:lineRule="auto"/>
        <w:ind w:firstLine="480" w:firstLineChars="200"/>
        <w:rPr>
          <w:sz w:val="24"/>
        </w:rPr>
      </w:pPr>
      <w:r>
        <w:rPr>
          <w:sz w:val="24"/>
        </w:rPr>
        <w:t>条文说明：</w:t>
      </w:r>
      <w:r>
        <w:rPr>
          <w:rFonts w:hint="eastAsia"/>
          <w:sz w:val="24"/>
        </w:rPr>
        <w:t>移动吊装设备</w:t>
      </w:r>
      <w:r>
        <w:rPr>
          <w:sz w:val="24"/>
        </w:rPr>
        <w:t>主要工作在</w:t>
      </w:r>
      <w:r>
        <w:rPr>
          <w:rFonts w:hint="eastAsia"/>
          <w:sz w:val="24"/>
        </w:rPr>
        <w:t>液冷机柜区</w:t>
      </w:r>
      <w:r>
        <w:rPr>
          <w:sz w:val="24"/>
        </w:rPr>
        <w:t>，</w:t>
      </w:r>
      <w:r>
        <w:rPr>
          <w:rFonts w:hint="eastAsia"/>
          <w:sz w:val="24"/>
        </w:rPr>
        <w:t>设备配置</w:t>
      </w:r>
      <w:r>
        <w:rPr>
          <w:sz w:val="24"/>
        </w:rPr>
        <w:t>电动驱动的全向移动</w:t>
      </w:r>
      <w:r>
        <w:rPr>
          <w:rFonts w:hint="eastAsia"/>
          <w:sz w:val="24"/>
        </w:rPr>
        <w:t>轮子与底盘</w:t>
      </w:r>
      <w:r>
        <w:rPr>
          <w:sz w:val="24"/>
        </w:rPr>
        <w:t>，遥控或人工移动至吊装地点，通过</w:t>
      </w:r>
      <w:r>
        <w:rPr>
          <w:rFonts w:hint="eastAsia"/>
          <w:sz w:val="24"/>
        </w:rPr>
        <w:t>电动的</w:t>
      </w:r>
      <w:r>
        <w:rPr>
          <w:sz w:val="24"/>
        </w:rPr>
        <w:t>悬臂吊完成对</w:t>
      </w:r>
      <w:r>
        <w:rPr>
          <w:rFonts w:hint="eastAsia"/>
          <w:sz w:val="24"/>
        </w:rPr>
        <w:t>电子信息</w:t>
      </w:r>
      <w:r>
        <w:rPr>
          <w:sz w:val="24"/>
        </w:rPr>
        <w:t>设备的</w:t>
      </w:r>
      <w:r>
        <w:rPr>
          <w:rFonts w:hint="eastAsia"/>
          <w:sz w:val="24"/>
        </w:rPr>
        <w:t>起吊</w:t>
      </w:r>
      <w:r>
        <w:rPr>
          <w:sz w:val="24"/>
        </w:rPr>
        <w:t>操作</w:t>
      </w:r>
      <w:r>
        <w:rPr>
          <w:rFonts w:hint="eastAsia"/>
          <w:sz w:val="24"/>
        </w:rPr>
        <w:t>；移动吊装设备往往需要配置</w:t>
      </w:r>
      <w:r>
        <w:rPr>
          <w:sz w:val="24"/>
        </w:rPr>
        <w:t>安全指示灯、防撞触边、电池及充电设备等。</w:t>
      </w:r>
      <w:bookmarkEnd w:id="143"/>
      <w:bookmarkEnd w:id="144"/>
      <w:bookmarkStart w:id="145" w:name="_Toc333173472"/>
    </w:p>
    <w:p>
      <w:pPr>
        <w:spacing w:line="360" w:lineRule="auto"/>
        <w:jc w:val="left"/>
        <w:rPr>
          <w:sz w:val="24"/>
          <w:szCs w:val="21"/>
          <w:lang w:bidi="ar"/>
        </w:rPr>
      </w:pPr>
      <w:r>
        <w:rPr>
          <w:sz w:val="24"/>
          <w:szCs w:val="21"/>
          <w:lang w:bidi="ar"/>
        </w:rPr>
        <w:t>8.1.12</w:t>
      </w:r>
      <w:r>
        <w:rPr>
          <w:rFonts w:hint="eastAsia"/>
          <w:sz w:val="24"/>
          <w:szCs w:val="21"/>
          <w:lang w:bidi="ar"/>
        </w:rPr>
        <w:t>移动吊装设备宜设置电子信息设备的运维托盘</w:t>
      </w:r>
      <w:r>
        <w:rPr>
          <w:sz w:val="24"/>
          <w:szCs w:val="21"/>
          <w:lang w:bidi="ar"/>
        </w:rPr>
        <w:t>，</w:t>
      </w:r>
      <w:r>
        <w:rPr>
          <w:rFonts w:hint="eastAsia"/>
          <w:sz w:val="24"/>
          <w:szCs w:val="21"/>
          <w:lang w:bidi="ar"/>
        </w:rPr>
        <w:t>托盘宜设置</w:t>
      </w:r>
      <w:r>
        <w:rPr>
          <w:sz w:val="24"/>
          <w:szCs w:val="21"/>
          <w:lang w:bidi="ar"/>
        </w:rPr>
        <w:t>集液</w:t>
      </w:r>
      <w:r>
        <w:rPr>
          <w:rFonts w:hint="eastAsia"/>
          <w:sz w:val="24"/>
          <w:szCs w:val="21"/>
          <w:lang w:bidi="ar"/>
        </w:rPr>
        <w:t>装置</w:t>
      </w:r>
      <w:r>
        <w:rPr>
          <w:sz w:val="24"/>
          <w:szCs w:val="21"/>
          <w:lang w:bidi="ar"/>
        </w:rPr>
        <w:t>，集液</w:t>
      </w:r>
      <w:r>
        <w:rPr>
          <w:rFonts w:hint="eastAsia"/>
          <w:sz w:val="24"/>
          <w:szCs w:val="21"/>
          <w:lang w:bidi="ar"/>
        </w:rPr>
        <w:t>装置宜设置</w:t>
      </w:r>
      <w:r>
        <w:rPr>
          <w:sz w:val="24"/>
          <w:szCs w:val="21"/>
          <w:lang w:bidi="ar"/>
        </w:rPr>
        <w:t>排液口或可拆卸式</w:t>
      </w:r>
      <w:r>
        <w:rPr>
          <w:rFonts w:hint="eastAsia"/>
          <w:sz w:val="24"/>
          <w:szCs w:val="21"/>
          <w:lang w:bidi="ar"/>
        </w:rPr>
        <w:t>容器以用于冷却液</w:t>
      </w:r>
      <w:r>
        <w:rPr>
          <w:sz w:val="24"/>
          <w:szCs w:val="21"/>
          <w:lang w:bidi="ar"/>
        </w:rPr>
        <w:t>回收。</w:t>
      </w:r>
    </w:p>
    <w:p>
      <w:pPr>
        <w:spacing w:line="360" w:lineRule="auto"/>
        <w:jc w:val="left"/>
        <w:rPr>
          <w:sz w:val="24"/>
          <w:szCs w:val="21"/>
          <w:lang w:bidi="ar"/>
        </w:rPr>
      </w:pPr>
      <w:r>
        <w:rPr>
          <w:sz w:val="24"/>
          <w:szCs w:val="21"/>
          <w:lang w:bidi="ar"/>
        </w:rPr>
        <w:t>8.1.13</w:t>
      </w:r>
      <w:r>
        <w:rPr>
          <w:rFonts w:hint="eastAsia"/>
          <w:sz w:val="24"/>
          <w:szCs w:val="21"/>
          <w:lang w:bidi="ar"/>
        </w:rPr>
        <w:t>移动吊装设备宜</w:t>
      </w:r>
      <w:r>
        <w:rPr>
          <w:sz w:val="24"/>
          <w:szCs w:val="21"/>
          <w:lang w:bidi="ar"/>
        </w:rPr>
        <w:t>平</w:t>
      </w:r>
      <w:r>
        <w:rPr>
          <w:rFonts w:hint="eastAsia"/>
          <w:sz w:val="24"/>
          <w:szCs w:val="21"/>
          <w:lang w:bidi="ar"/>
        </w:rPr>
        <w:t>滑</w:t>
      </w:r>
      <w:r>
        <w:rPr>
          <w:sz w:val="24"/>
          <w:szCs w:val="21"/>
          <w:lang w:bidi="ar"/>
        </w:rPr>
        <w:t>启动</w:t>
      </w:r>
      <w:r>
        <w:rPr>
          <w:rFonts w:hint="eastAsia"/>
          <w:sz w:val="24"/>
          <w:szCs w:val="21"/>
          <w:lang w:bidi="ar"/>
        </w:rPr>
        <w:t>、</w:t>
      </w:r>
      <w:r>
        <w:rPr>
          <w:sz w:val="24"/>
          <w:szCs w:val="21"/>
          <w:lang w:bidi="ar"/>
        </w:rPr>
        <w:t>稳定</w:t>
      </w:r>
      <w:r>
        <w:rPr>
          <w:rFonts w:hint="eastAsia"/>
          <w:sz w:val="24"/>
          <w:szCs w:val="21"/>
          <w:lang w:bidi="ar"/>
        </w:rPr>
        <w:t>移动</w:t>
      </w:r>
      <w:r>
        <w:rPr>
          <w:sz w:val="24"/>
          <w:szCs w:val="21"/>
          <w:lang w:bidi="ar"/>
        </w:rPr>
        <w:t>，</w:t>
      </w:r>
      <w:r>
        <w:rPr>
          <w:rFonts w:hint="eastAsia"/>
          <w:sz w:val="24"/>
          <w:szCs w:val="21"/>
          <w:lang w:bidi="ar"/>
        </w:rPr>
        <w:t>电动</w:t>
      </w:r>
      <w:r>
        <w:rPr>
          <w:sz w:val="24"/>
          <w:szCs w:val="21"/>
          <w:lang w:bidi="ar"/>
        </w:rPr>
        <w:t>吊装过程</w:t>
      </w:r>
      <w:r>
        <w:rPr>
          <w:rFonts w:hint="eastAsia"/>
          <w:sz w:val="24"/>
          <w:szCs w:val="21"/>
          <w:lang w:bidi="ar"/>
        </w:rPr>
        <w:t>宜</w:t>
      </w:r>
      <w:r>
        <w:rPr>
          <w:sz w:val="24"/>
          <w:szCs w:val="21"/>
          <w:lang w:bidi="ar"/>
        </w:rPr>
        <w:t>平顺、无冲进、无抖动</w:t>
      </w:r>
      <w:r>
        <w:rPr>
          <w:rFonts w:hint="eastAsia"/>
          <w:sz w:val="24"/>
          <w:szCs w:val="21"/>
          <w:lang w:bidi="ar"/>
        </w:rPr>
        <w:t>；移动吊装设备宜配置</w:t>
      </w:r>
      <w:r>
        <w:rPr>
          <w:sz w:val="24"/>
          <w:szCs w:val="21"/>
          <w:lang w:bidi="ar"/>
        </w:rPr>
        <w:t>机载电池</w:t>
      </w:r>
      <w:r>
        <w:rPr>
          <w:rFonts w:hint="eastAsia"/>
          <w:sz w:val="24"/>
          <w:szCs w:val="21"/>
          <w:lang w:bidi="ar"/>
        </w:rPr>
        <w:t>；移动吊装设备宜配置</w:t>
      </w:r>
      <w:r>
        <w:rPr>
          <w:sz w:val="24"/>
          <w:szCs w:val="21"/>
          <w:lang w:bidi="ar"/>
        </w:rPr>
        <w:t>触边保护、吊装过载保护</w:t>
      </w:r>
      <w:bookmarkEnd w:id="145"/>
    </w:p>
    <w:p>
      <w:pPr>
        <w:spacing w:line="360" w:lineRule="auto"/>
        <w:jc w:val="left"/>
        <w:rPr>
          <w:sz w:val="24"/>
          <w:szCs w:val="21"/>
          <w:lang w:bidi="ar"/>
        </w:rPr>
      </w:pPr>
      <w:bookmarkStart w:id="146" w:name="_Toc29046333"/>
      <w:bookmarkStart w:id="147" w:name="_Toc142300522"/>
      <w:r>
        <w:rPr>
          <w:sz w:val="24"/>
          <w:szCs w:val="21"/>
          <w:lang w:bidi="ar"/>
        </w:rPr>
        <w:t>8.1.14</w:t>
      </w:r>
      <w:r>
        <w:rPr>
          <w:rFonts w:hint="eastAsia"/>
          <w:sz w:val="24"/>
          <w:szCs w:val="21"/>
          <w:lang w:bidi="ar"/>
        </w:rPr>
        <w:t>工作人员操作移动吊装设备时，宜</w:t>
      </w:r>
      <w:r>
        <w:rPr>
          <w:sz w:val="24"/>
          <w:szCs w:val="21"/>
          <w:lang w:bidi="ar"/>
        </w:rPr>
        <w:t>佩戴安全帽</w:t>
      </w:r>
      <w:r>
        <w:rPr>
          <w:rFonts w:hint="eastAsia"/>
          <w:sz w:val="24"/>
          <w:szCs w:val="21"/>
          <w:lang w:bidi="ar"/>
        </w:rPr>
        <w:t>与手套，手套材质应与冷却液兼容</w:t>
      </w:r>
      <w:r>
        <w:rPr>
          <w:sz w:val="24"/>
          <w:szCs w:val="21"/>
          <w:lang w:bidi="ar"/>
        </w:rPr>
        <w:t>。</w:t>
      </w:r>
      <w:bookmarkEnd w:id="146"/>
      <w:bookmarkEnd w:id="147"/>
      <w:bookmarkStart w:id="148" w:name="_Toc142300524"/>
      <w:bookmarkStart w:id="149" w:name="_Toc29046344"/>
    </w:p>
    <w:p>
      <w:pPr>
        <w:spacing w:line="360" w:lineRule="auto"/>
        <w:jc w:val="left"/>
        <w:rPr>
          <w:sz w:val="24"/>
          <w:szCs w:val="21"/>
          <w:lang w:bidi="ar"/>
        </w:rPr>
      </w:pPr>
      <w:r>
        <w:rPr>
          <w:sz w:val="24"/>
          <w:szCs w:val="21"/>
          <w:lang w:bidi="ar"/>
        </w:rPr>
        <w:t>8.1.</w:t>
      </w:r>
      <w:bookmarkEnd w:id="148"/>
      <w:bookmarkEnd w:id="149"/>
      <w:r>
        <w:rPr>
          <w:sz w:val="24"/>
          <w:szCs w:val="21"/>
          <w:lang w:bidi="ar"/>
        </w:rPr>
        <w:t>15</w:t>
      </w:r>
      <w:r>
        <w:rPr>
          <w:rFonts w:hint="eastAsia"/>
          <w:sz w:val="24"/>
          <w:szCs w:val="21"/>
          <w:lang w:bidi="ar"/>
        </w:rPr>
        <w:t>在CDU启动前，</w:t>
      </w:r>
      <w:r>
        <w:rPr>
          <w:sz w:val="24"/>
          <w:szCs w:val="21"/>
          <w:lang w:bidi="ar"/>
        </w:rPr>
        <w:t>应检查</w:t>
      </w:r>
      <w:r>
        <w:rPr>
          <w:rFonts w:hint="eastAsia"/>
          <w:sz w:val="24"/>
          <w:szCs w:val="21"/>
          <w:lang w:bidi="ar"/>
        </w:rPr>
        <w:t>液冷</w:t>
      </w:r>
      <w:r>
        <w:rPr>
          <w:sz w:val="24"/>
          <w:szCs w:val="21"/>
          <w:lang w:bidi="ar"/>
        </w:rPr>
        <w:t>机柜内冷却液</w:t>
      </w:r>
      <w:r>
        <w:rPr>
          <w:rFonts w:hint="eastAsia"/>
          <w:sz w:val="24"/>
          <w:szCs w:val="21"/>
          <w:lang w:bidi="ar"/>
        </w:rPr>
        <w:t>的</w:t>
      </w:r>
      <w:r>
        <w:rPr>
          <w:sz w:val="24"/>
          <w:szCs w:val="21"/>
          <w:lang w:bidi="ar"/>
        </w:rPr>
        <w:t>液位</w:t>
      </w:r>
      <w:r>
        <w:rPr>
          <w:rFonts w:hint="eastAsia"/>
          <w:sz w:val="24"/>
          <w:szCs w:val="21"/>
          <w:lang w:bidi="ar"/>
        </w:rPr>
        <w:t>是否</w:t>
      </w:r>
      <w:r>
        <w:rPr>
          <w:sz w:val="24"/>
          <w:szCs w:val="21"/>
          <w:lang w:bidi="ar"/>
        </w:rPr>
        <w:t>满足CDU</w:t>
      </w:r>
      <w:r>
        <w:rPr>
          <w:rFonts w:hint="eastAsia"/>
          <w:sz w:val="24"/>
          <w:szCs w:val="21"/>
          <w:lang w:bidi="ar"/>
        </w:rPr>
        <w:t>内冷却液循环泵的启动与</w:t>
      </w:r>
      <w:r>
        <w:rPr>
          <w:sz w:val="24"/>
          <w:szCs w:val="21"/>
          <w:lang w:bidi="ar"/>
        </w:rPr>
        <w:t>运行条件，</w:t>
      </w:r>
      <w:r>
        <w:rPr>
          <w:rFonts w:hint="eastAsia"/>
          <w:sz w:val="24"/>
          <w:szCs w:val="21"/>
          <w:lang w:bidi="ar"/>
        </w:rPr>
        <w:t>应检查</w:t>
      </w:r>
      <w:r>
        <w:rPr>
          <w:sz w:val="24"/>
          <w:szCs w:val="21"/>
          <w:lang w:bidi="ar"/>
        </w:rPr>
        <w:t>管路连接</w:t>
      </w:r>
      <w:r>
        <w:rPr>
          <w:rFonts w:hint="eastAsia"/>
          <w:sz w:val="24"/>
          <w:szCs w:val="21"/>
          <w:lang w:bidi="ar"/>
        </w:rPr>
        <w:t>以避免冷却液的</w:t>
      </w:r>
      <w:r>
        <w:rPr>
          <w:sz w:val="24"/>
          <w:szCs w:val="21"/>
          <w:lang w:bidi="ar"/>
        </w:rPr>
        <w:t>跑</w:t>
      </w:r>
      <w:r>
        <w:rPr>
          <w:rFonts w:hint="eastAsia"/>
          <w:sz w:val="24"/>
          <w:szCs w:val="21"/>
          <w:lang w:bidi="ar"/>
        </w:rPr>
        <w:t>、</w:t>
      </w:r>
      <w:r>
        <w:rPr>
          <w:sz w:val="24"/>
          <w:szCs w:val="21"/>
          <w:lang w:bidi="ar"/>
        </w:rPr>
        <w:t>冒</w:t>
      </w:r>
      <w:r>
        <w:rPr>
          <w:rFonts w:hint="eastAsia"/>
          <w:sz w:val="24"/>
          <w:szCs w:val="21"/>
          <w:lang w:bidi="ar"/>
        </w:rPr>
        <w:t>、</w:t>
      </w:r>
      <w:r>
        <w:rPr>
          <w:sz w:val="24"/>
          <w:szCs w:val="21"/>
          <w:lang w:bidi="ar"/>
        </w:rPr>
        <w:t>滴</w:t>
      </w:r>
      <w:r>
        <w:rPr>
          <w:rFonts w:hint="eastAsia"/>
          <w:sz w:val="24"/>
          <w:szCs w:val="21"/>
          <w:lang w:bidi="ar"/>
        </w:rPr>
        <w:t>、</w:t>
      </w:r>
      <w:r>
        <w:rPr>
          <w:sz w:val="24"/>
          <w:szCs w:val="21"/>
          <w:lang w:bidi="ar"/>
        </w:rPr>
        <w:t>漏，</w:t>
      </w:r>
      <w:r>
        <w:rPr>
          <w:rFonts w:hint="eastAsia"/>
          <w:sz w:val="24"/>
          <w:szCs w:val="21"/>
          <w:lang w:bidi="ar"/>
        </w:rPr>
        <w:t>应检查手动</w:t>
      </w:r>
      <w:r>
        <w:rPr>
          <w:sz w:val="24"/>
          <w:szCs w:val="21"/>
          <w:lang w:bidi="ar"/>
        </w:rPr>
        <w:t>阀</w:t>
      </w:r>
      <w:r>
        <w:rPr>
          <w:rFonts w:hint="eastAsia"/>
          <w:sz w:val="24"/>
          <w:szCs w:val="21"/>
          <w:lang w:bidi="ar"/>
        </w:rPr>
        <w:t>与电动阀的</w:t>
      </w:r>
      <w:r>
        <w:rPr>
          <w:sz w:val="24"/>
          <w:szCs w:val="21"/>
          <w:lang w:bidi="ar"/>
        </w:rPr>
        <w:t>状态，</w:t>
      </w:r>
      <w:r>
        <w:rPr>
          <w:rFonts w:hint="eastAsia"/>
          <w:sz w:val="24"/>
          <w:szCs w:val="21"/>
          <w:lang w:bidi="ar"/>
        </w:rPr>
        <w:t>应检查</w:t>
      </w:r>
      <w:r>
        <w:rPr>
          <w:sz w:val="24"/>
          <w:szCs w:val="21"/>
          <w:lang w:bidi="ar"/>
        </w:rPr>
        <w:t>控制</w:t>
      </w:r>
      <w:r>
        <w:rPr>
          <w:rFonts w:hint="eastAsia"/>
          <w:sz w:val="24"/>
          <w:szCs w:val="21"/>
          <w:lang w:bidi="ar"/>
        </w:rPr>
        <w:t>器与控制</w:t>
      </w:r>
      <w:r>
        <w:rPr>
          <w:sz w:val="24"/>
          <w:szCs w:val="21"/>
          <w:lang w:bidi="ar"/>
        </w:rPr>
        <w:t>柜</w:t>
      </w:r>
      <w:bookmarkStart w:id="150" w:name="_Hlk27039325"/>
      <w:r>
        <w:rPr>
          <w:rFonts w:hint="eastAsia"/>
          <w:sz w:val="24"/>
          <w:szCs w:val="21"/>
          <w:lang w:bidi="ar"/>
        </w:rPr>
        <w:t>，</w:t>
      </w:r>
      <w:r>
        <w:rPr>
          <w:sz w:val="24"/>
          <w:szCs w:val="21"/>
          <w:lang w:bidi="ar"/>
        </w:rPr>
        <w:t>应检查</w:t>
      </w:r>
      <w:r>
        <w:rPr>
          <w:rFonts w:hint="eastAsia"/>
          <w:sz w:val="24"/>
          <w:szCs w:val="21"/>
          <w:lang w:bidi="ar"/>
        </w:rPr>
        <w:t>CDU内冷却液循环泵的</w:t>
      </w:r>
      <w:r>
        <w:rPr>
          <w:sz w:val="24"/>
          <w:szCs w:val="21"/>
          <w:lang w:bidi="ar"/>
        </w:rPr>
        <w:t>变频器</w:t>
      </w:r>
      <w:r>
        <w:rPr>
          <w:rFonts w:hint="eastAsia"/>
          <w:sz w:val="24"/>
          <w:szCs w:val="21"/>
          <w:lang w:bidi="ar"/>
        </w:rPr>
        <w:t>的参数设置</w:t>
      </w:r>
      <w:r>
        <w:rPr>
          <w:sz w:val="24"/>
          <w:szCs w:val="21"/>
          <w:lang w:bidi="ar"/>
        </w:rPr>
        <w:t>。</w:t>
      </w:r>
    </w:p>
    <w:p>
      <w:pPr>
        <w:spacing w:line="360" w:lineRule="auto"/>
        <w:rPr>
          <w:sz w:val="24"/>
          <w:szCs w:val="21"/>
          <w:lang w:bidi="ar"/>
        </w:rPr>
      </w:pPr>
      <w:bookmarkStart w:id="151" w:name="_Toc29046351"/>
      <w:bookmarkStart w:id="152" w:name="_Toc142300528"/>
      <w:r>
        <w:rPr>
          <w:sz w:val="24"/>
          <w:szCs w:val="21"/>
          <w:lang w:bidi="ar"/>
        </w:rPr>
        <w:t xml:space="preserve">8.1.16 </w:t>
      </w:r>
      <w:r>
        <w:rPr>
          <w:rFonts w:hint="eastAsia"/>
          <w:sz w:val="24"/>
          <w:szCs w:val="21"/>
          <w:lang w:bidi="ar"/>
        </w:rPr>
        <w:t>应交由</w:t>
      </w:r>
      <w:r>
        <w:rPr>
          <w:sz w:val="24"/>
          <w:szCs w:val="21"/>
          <w:lang w:bidi="ar"/>
        </w:rPr>
        <w:t>专业检测机构定期校验</w:t>
      </w:r>
      <w:r>
        <w:rPr>
          <w:rFonts w:hint="eastAsia"/>
          <w:sz w:val="24"/>
          <w:szCs w:val="21"/>
          <w:lang w:bidi="ar"/>
        </w:rPr>
        <w:t>CDU内的</w:t>
      </w:r>
      <w:r>
        <w:rPr>
          <w:sz w:val="24"/>
          <w:szCs w:val="21"/>
          <w:lang w:bidi="ar"/>
        </w:rPr>
        <w:t>传感器</w:t>
      </w:r>
      <w:r>
        <w:rPr>
          <w:rFonts w:hint="eastAsia"/>
          <w:sz w:val="24"/>
          <w:szCs w:val="21"/>
          <w:lang w:bidi="ar"/>
        </w:rPr>
        <w:t>准确度</w:t>
      </w:r>
      <w:bookmarkEnd w:id="151"/>
      <w:bookmarkEnd w:id="152"/>
      <w:r>
        <w:rPr>
          <w:rFonts w:hint="eastAsia"/>
          <w:sz w:val="24"/>
          <w:szCs w:val="21"/>
          <w:lang w:bidi="ar"/>
        </w:rPr>
        <w:t>，</w:t>
      </w:r>
      <w:r>
        <w:rPr>
          <w:sz w:val="24"/>
          <w:szCs w:val="21"/>
          <w:lang w:bidi="ar"/>
        </w:rPr>
        <w:t>校验</w:t>
      </w:r>
      <w:r>
        <w:rPr>
          <w:rFonts w:hint="eastAsia"/>
          <w:sz w:val="24"/>
          <w:szCs w:val="21"/>
          <w:lang w:bidi="ar"/>
        </w:rPr>
        <w:t>频次宜为每年一次。</w:t>
      </w:r>
    </w:p>
    <w:bookmarkEnd w:id="150"/>
    <w:p>
      <w:pPr>
        <w:spacing w:line="360" w:lineRule="auto"/>
        <w:jc w:val="left"/>
        <w:rPr>
          <w:sz w:val="24"/>
          <w:szCs w:val="21"/>
          <w:lang w:bidi="ar"/>
        </w:rPr>
      </w:pPr>
      <w:r>
        <w:rPr>
          <w:sz w:val="24"/>
          <w:szCs w:val="21"/>
          <w:lang w:bidi="ar"/>
        </w:rPr>
        <w:t xml:space="preserve">8.1.17 </w:t>
      </w:r>
      <w:r>
        <w:rPr>
          <w:rFonts w:hint="eastAsia"/>
          <w:sz w:val="24"/>
          <w:szCs w:val="21"/>
          <w:lang w:bidi="ar"/>
        </w:rPr>
        <w:t>冷却液循环系统初次启动时，CDU应以过滤状态启动并连续运行5～1</w:t>
      </w:r>
      <w:r>
        <w:rPr>
          <w:sz w:val="24"/>
          <w:szCs w:val="21"/>
          <w:lang w:bidi="ar"/>
        </w:rPr>
        <w:t>0</w:t>
      </w:r>
      <w:r>
        <w:rPr>
          <w:rFonts w:hint="eastAsia"/>
          <w:sz w:val="24"/>
          <w:szCs w:val="21"/>
          <w:lang w:bidi="ar"/>
        </w:rPr>
        <w:t>分钟，之后应</w:t>
      </w:r>
      <w:r>
        <w:rPr>
          <w:sz w:val="24"/>
          <w:szCs w:val="21"/>
          <w:lang w:bidi="ar"/>
        </w:rPr>
        <w:t>检查CDU内过滤器是否脏堵</w:t>
      </w:r>
      <w:r>
        <w:rPr>
          <w:rFonts w:hint="eastAsia"/>
          <w:sz w:val="24"/>
          <w:szCs w:val="21"/>
          <w:lang w:bidi="ar"/>
        </w:rPr>
        <w:t>，确保过滤器不再脏堵后宜启动CDU的循环模式；应检查CDU的过滤模式与循环</w:t>
      </w:r>
      <w:r>
        <w:rPr>
          <w:sz w:val="24"/>
          <w:szCs w:val="21"/>
          <w:lang w:bidi="ar"/>
        </w:rPr>
        <w:t>模式是否</w:t>
      </w:r>
      <w:r>
        <w:rPr>
          <w:rFonts w:hint="eastAsia"/>
          <w:sz w:val="24"/>
          <w:szCs w:val="21"/>
          <w:lang w:bidi="ar"/>
        </w:rPr>
        <w:t>互锁</w:t>
      </w:r>
      <w:r>
        <w:rPr>
          <w:sz w:val="24"/>
          <w:szCs w:val="21"/>
          <w:lang w:bidi="ar"/>
        </w:rPr>
        <w:t>。</w:t>
      </w:r>
    </w:p>
    <w:p>
      <w:pPr>
        <w:spacing w:line="360" w:lineRule="auto"/>
        <w:ind w:firstLine="480" w:firstLineChars="200"/>
        <w:rPr>
          <w:kern w:val="0"/>
          <w:sz w:val="24"/>
          <w:szCs w:val="24"/>
        </w:rPr>
      </w:pPr>
      <w:r>
        <w:rPr>
          <w:kern w:val="0"/>
          <w:sz w:val="24"/>
          <w:szCs w:val="24"/>
        </w:rPr>
        <w:t>条文说明：CDU的</w:t>
      </w:r>
      <w:r>
        <w:rPr>
          <w:rFonts w:hint="eastAsia"/>
          <w:kern w:val="0"/>
          <w:sz w:val="24"/>
          <w:szCs w:val="24"/>
        </w:rPr>
        <w:t>定期</w:t>
      </w:r>
      <w:r>
        <w:rPr>
          <w:kern w:val="0"/>
          <w:sz w:val="24"/>
          <w:szCs w:val="24"/>
        </w:rPr>
        <w:t>检查与维护如下表格</w:t>
      </w:r>
      <w:r>
        <w:rPr>
          <w:rFonts w:hint="eastAsia"/>
          <w:kern w:val="0"/>
          <w:sz w:val="24"/>
          <w:szCs w:val="24"/>
        </w:rPr>
        <w:t>，</w:t>
      </w:r>
      <w:r>
        <w:rPr>
          <w:sz w:val="24"/>
          <w:szCs w:val="21"/>
          <w:lang w:bidi="ar"/>
        </w:rPr>
        <w:t>频次为每月一次：</w:t>
      </w:r>
    </w:p>
    <w:p>
      <w:pPr>
        <w:spacing w:line="360" w:lineRule="auto"/>
        <w:ind w:firstLine="420" w:firstLineChars="200"/>
        <w:jc w:val="center"/>
        <w:rPr>
          <w:rFonts w:eastAsia="微软雅黑"/>
          <w:kern w:val="0"/>
          <w:sz w:val="24"/>
          <w:szCs w:val="24"/>
        </w:rPr>
      </w:pPr>
      <w:r>
        <w:rPr>
          <w:b/>
          <w:kern w:val="0"/>
          <w:szCs w:val="24"/>
        </w:rPr>
        <w:t>表8.1.24   CDU定期检查列表</w:t>
      </w:r>
    </w:p>
    <w:tbl>
      <w:tblPr>
        <w:tblStyle w:val="27"/>
        <w:tblW w:w="4999" w:type="pct"/>
        <w:tblInd w:w="0" w:type="dxa"/>
        <w:tblLayout w:type="autofit"/>
        <w:tblCellMar>
          <w:top w:w="0" w:type="dxa"/>
          <w:left w:w="108" w:type="dxa"/>
          <w:bottom w:w="0" w:type="dxa"/>
          <w:right w:w="108" w:type="dxa"/>
        </w:tblCellMar>
      </w:tblPr>
      <w:tblGrid>
        <w:gridCol w:w="1072"/>
        <w:gridCol w:w="7248"/>
      </w:tblGrid>
      <w:tr>
        <w:trPr>
          <w:trHeight w:val="1681" w:hRule="exact"/>
        </w:trPr>
        <w:tc>
          <w:tcPr>
            <w:tcW w:w="64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pPr>
              <w:widowControl/>
              <w:spacing w:line="360" w:lineRule="auto"/>
              <w:jc w:val="center"/>
              <w:rPr>
                <w:szCs w:val="18"/>
                <w:lang w:bidi="ar"/>
              </w:rPr>
            </w:pPr>
            <w:r>
              <w:rPr>
                <w:szCs w:val="18"/>
                <w:lang w:bidi="ar"/>
              </w:rPr>
              <w:t>外观</w:t>
            </w:r>
          </w:p>
        </w:tc>
        <w:tc>
          <w:tcPr>
            <w:tcW w:w="4356"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pPr>
              <w:widowControl/>
              <w:spacing w:line="360" w:lineRule="auto"/>
              <w:jc w:val="left"/>
              <w:rPr>
                <w:szCs w:val="18"/>
                <w:lang w:bidi="ar"/>
              </w:rPr>
            </w:pPr>
            <w:r>
              <w:rPr>
                <w:szCs w:val="18"/>
                <w:lang w:bidi="ar"/>
              </w:rPr>
              <w:t>1.检查</w:t>
            </w:r>
            <w:r>
              <w:rPr>
                <w:rFonts w:hint="eastAsia"/>
                <w:szCs w:val="18"/>
                <w:lang w:bidi="ar"/>
              </w:rPr>
              <w:t>CDU内冷却液循环泵的</w:t>
            </w:r>
            <w:r>
              <w:rPr>
                <w:szCs w:val="18"/>
                <w:lang w:bidi="ar"/>
              </w:rPr>
              <w:t>前盖、前盖护体，托架表面有无严重锈蚀或腐蚀现象</w:t>
            </w:r>
            <w:r>
              <w:rPr>
                <w:rFonts w:hint="eastAsia"/>
                <w:szCs w:val="18"/>
                <w:lang w:bidi="ar"/>
              </w:rPr>
              <w:t>、有无破损或变形、有无异物。</w:t>
            </w:r>
          </w:p>
          <w:p>
            <w:pPr>
              <w:widowControl/>
              <w:spacing w:line="360" w:lineRule="auto"/>
              <w:jc w:val="left"/>
              <w:rPr>
                <w:szCs w:val="18"/>
                <w:lang w:bidi="ar"/>
              </w:rPr>
            </w:pPr>
            <w:r>
              <w:rPr>
                <w:szCs w:val="18"/>
                <w:lang w:bidi="ar"/>
              </w:rPr>
              <w:t>2.检查</w:t>
            </w:r>
            <w:r>
              <w:rPr>
                <w:rFonts w:hint="eastAsia"/>
                <w:szCs w:val="18"/>
                <w:lang w:bidi="ar"/>
              </w:rPr>
              <w:t>CDU内冷却液循环泵</w:t>
            </w:r>
            <w:r>
              <w:rPr>
                <w:szCs w:val="18"/>
                <w:lang w:bidi="ar"/>
              </w:rPr>
              <w:t>本体及配管有无泄露。</w:t>
            </w:r>
          </w:p>
        </w:tc>
      </w:tr>
      <w:tr>
        <w:trPr>
          <w:cantSplit/>
          <w:trHeight w:val="1436" w:hRule="exact"/>
        </w:trPr>
        <w:tc>
          <w:tcPr>
            <w:tcW w:w="64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extDirection w:val="tbRlV"/>
            <w:vAlign w:val="center"/>
          </w:tcPr>
          <w:p>
            <w:pPr>
              <w:widowControl/>
              <w:spacing w:line="360" w:lineRule="auto"/>
              <w:jc w:val="center"/>
              <w:rPr>
                <w:szCs w:val="18"/>
                <w:lang w:bidi="ar"/>
              </w:rPr>
            </w:pPr>
            <w:r>
              <w:rPr>
                <w:szCs w:val="18"/>
                <w:lang w:bidi="ar"/>
              </w:rPr>
              <w:t>运转状况</w:t>
            </w:r>
          </w:p>
        </w:tc>
        <w:tc>
          <w:tcPr>
            <w:tcW w:w="4356"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pPr>
              <w:widowControl/>
              <w:spacing w:line="360" w:lineRule="auto"/>
              <w:jc w:val="left"/>
              <w:rPr>
                <w:szCs w:val="18"/>
                <w:lang w:bidi="ar"/>
              </w:rPr>
            </w:pPr>
            <w:r>
              <w:rPr>
                <w:szCs w:val="18"/>
                <w:lang w:bidi="ar"/>
              </w:rPr>
              <w:t>1.</w:t>
            </w:r>
            <w:r>
              <w:rPr>
                <w:rFonts w:hint="eastAsia"/>
                <w:szCs w:val="18"/>
                <w:lang w:bidi="ar"/>
              </w:rPr>
              <w:t>检查CDU内冷却液循环泵</w:t>
            </w:r>
            <w:r>
              <w:rPr>
                <w:szCs w:val="18"/>
                <w:lang w:bidi="ar"/>
              </w:rPr>
              <w:t>运转</w:t>
            </w:r>
            <w:r>
              <w:rPr>
                <w:rFonts w:hint="eastAsia"/>
                <w:szCs w:val="18"/>
                <w:lang w:bidi="ar"/>
              </w:rPr>
              <w:t>是否平稳</w:t>
            </w:r>
            <w:r>
              <w:rPr>
                <w:szCs w:val="18"/>
                <w:lang w:bidi="ar"/>
              </w:rPr>
              <w:t>，是否有</w:t>
            </w:r>
            <w:r>
              <w:rPr>
                <w:rFonts w:hint="eastAsia"/>
                <w:szCs w:val="18"/>
                <w:lang w:bidi="ar"/>
              </w:rPr>
              <w:t>异常声响</w:t>
            </w:r>
            <w:r>
              <w:rPr>
                <w:szCs w:val="18"/>
                <w:lang w:bidi="ar"/>
              </w:rPr>
              <w:t>或异常振动。</w:t>
            </w:r>
          </w:p>
          <w:p>
            <w:pPr>
              <w:widowControl/>
              <w:spacing w:line="360" w:lineRule="auto"/>
              <w:jc w:val="left"/>
              <w:rPr>
                <w:szCs w:val="18"/>
                <w:lang w:bidi="ar"/>
              </w:rPr>
            </w:pPr>
            <w:r>
              <w:rPr>
                <w:szCs w:val="18"/>
                <w:lang w:bidi="ar"/>
              </w:rPr>
              <w:t>2.检查</w:t>
            </w:r>
            <w:r>
              <w:rPr>
                <w:rFonts w:hint="eastAsia"/>
                <w:szCs w:val="18"/>
                <w:lang w:bidi="ar"/>
              </w:rPr>
              <w:t>CDU内冷却液循环泵</w:t>
            </w:r>
            <w:r>
              <w:rPr>
                <w:szCs w:val="18"/>
                <w:lang w:bidi="ar"/>
              </w:rPr>
              <w:t>吸入</w:t>
            </w:r>
            <w:r>
              <w:rPr>
                <w:rFonts w:hint="eastAsia"/>
                <w:szCs w:val="18"/>
                <w:lang w:bidi="ar"/>
              </w:rPr>
              <w:t>管与输出管的</w:t>
            </w:r>
            <w:r>
              <w:rPr>
                <w:szCs w:val="18"/>
                <w:lang w:bidi="ar"/>
              </w:rPr>
              <w:t>压力。</w:t>
            </w:r>
          </w:p>
          <w:p>
            <w:pPr>
              <w:widowControl/>
              <w:spacing w:line="360" w:lineRule="auto"/>
              <w:jc w:val="left"/>
              <w:rPr>
                <w:szCs w:val="18"/>
                <w:lang w:bidi="ar"/>
              </w:rPr>
            </w:pPr>
            <w:r>
              <w:rPr>
                <w:szCs w:val="18"/>
                <w:lang w:bidi="ar"/>
              </w:rPr>
              <w:t>3.检查变频器输出电流或者功率，确认运转负荷是否正常。</w:t>
            </w:r>
          </w:p>
          <w:p>
            <w:pPr>
              <w:widowControl/>
              <w:spacing w:line="360" w:lineRule="auto"/>
              <w:jc w:val="left"/>
              <w:rPr>
                <w:szCs w:val="18"/>
                <w:lang w:bidi="ar"/>
              </w:rPr>
            </w:pPr>
            <w:r>
              <w:rPr>
                <w:szCs w:val="18"/>
                <w:lang w:bidi="ar"/>
              </w:rPr>
              <w:t>4.假如有泵浦备品，请时常运转一下，检查一下，以备随时可以使用。</w:t>
            </w:r>
          </w:p>
        </w:tc>
      </w:tr>
      <w:tr>
        <w:trPr>
          <w:cantSplit/>
          <w:trHeight w:val="1436" w:hRule="exact"/>
        </w:trPr>
        <w:tc>
          <w:tcPr>
            <w:tcW w:w="64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extDirection w:val="tbRlV"/>
            <w:vAlign w:val="center"/>
          </w:tcPr>
          <w:p>
            <w:pPr>
              <w:widowControl/>
              <w:spacing w:line="360" w:lineRule="auto"/>
              <w:jc w:val="center"/>
              <w:rPr>
                <w:szCs w:val="18"/>
                <w:lang w:bidi="ar"/>
              </w:rPr>
            </w:pPr>
            <w:r>
              <w:rPr>
                <w:rFonts w:hint="eastAsia"/>
                <w:szCs w:val="18"/>
                <w:lang w:bidi="ar"/>
              </w:rPr>
              <w:t>电动阀</w:t>
            </w:r>
          </w:p>
        </w:tc>
        <w:tc>
          <w:tcPr>
            <w:tcW w:w="4356"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pPr>
              <w:widowControl/>
              <w:spacing w:line="360" w:lineRule="auto"/>
              <w:jc w:val="left"/>
              <w:rPr>
                <w:szCs w:val="18"/>
                <w:lang w:bidi="ar"/>
              </w:rPr>
            </w:pPr>
            <w:r>
              <w:rPr>
                <w:rFonts w:hint="eastAsia"/>
                <w:szCs w:val="18"/>
                <w:lang w:bidi="ar"/>
              </w:rPr>
              <w:t>1</w:t>
            </w:r>
            <w:r>
              <w:rPr>
                <w:szCs w:val="18"/>
                <w:lang w:bidi="ar"/>
              </w:rPr>
              <w:t xml:space="preserve">. </w:t>
            </w:r>
            <w:r>
              <w:rPr>
                <w:rFonts w:hint="eastAsia"/>
                <w:szCs w:val="18"/>
                <w:lang w:bidi="ar"/>
              </w:rPr>
              <w:t>检查</w:t>
            </w:r>
            <w:r>
              <w:rPr>
                <w:szCs w:val="18"/>
                <w:lang w:bidi="ar"/>
              </w:rPr>
              <w:t>阀门</w:t>
            </w:r>
            <w:r>
              <w:rPr>
                <w:rFonts w:hint="eastAsia"/>
                <w:szCs w:val="18"/>
                <w:lang w:bidi="ar"/>
              </w:rPr>
              <w:t>的</w:t>
            </w:r>
            <w:r>
              <w:rPr>
                <w:szCs w:val="18"/>
                <w:lang w:bidi="ar"/>
              </w:rPr>
              <w:t>连接</w:t>
            </w:r>
            <w:r>
              <w:rPr>
                <w:rFonts w:hint="eastAsia"/>
                <w:szCs w:val="18"/>
                <w:lang w:bidi="ar"/>
              </w:rPr>
              <w:t>与</w:t>
            </w:r>
            <w:r>
              <w:rPr>
                <w:szCs w:val="18"/>
                <w:lang w:bidi="ar"/>
              </w:rPr>
              <w:t>标签</w:t>
            </w:r>
            <w:r>
              <w:rPr>
                <w:rFonts w:hint="eastAsia"/>
                <w:szCs w:val="18"/>
                <w:lang w:bidi="ar"/>
              </w:rPr>
              <w:t>，</w:t>
            </w:r>
            <w:r>
              <w:rPr>
                <w:szCs w:val="18"/>
                <w:lang w:bidi="ar"/>
              </w:rPr>
              <w:t>阀门</w:t>
            </w:r>
            <w:r>
              <w:rPr>
                <w:rFonts w:hint="eastAsia"/>
                <w:szCs w:val="18"/>
                <w:lang w:bidi="ar"/>
              </w:rPr>
              <w:t>的</w:t>
            </w:r>
            <w:r>
              <w:rPr>
                <w:szCs w:val="18"/>
                <w:lang w:bidi="ar"/>
              </w:rPr>
              <w:t>开关状态</w:t>
            </w:r>
            <w:r>
              <w:rPr>
                <w:rFonts w:hint="eastAsia"/>
                <w:szCs w:val="18"/>
                <w:lang w:bidi="ar"/>
              </w:rPr>
              <w:t>，阀门</w:t>
            </w:r>
            <w:r>
              <w:rPr>
                <w:szCs w:val="18"/>
                <w:lang w:bidi="ar"/>
              </w:rPr>
              <w:t>接头无泄漏</w:t>
            </w:r>
            <w:r>
              <w:rPr>
                <w:rFonts w:hint="eastAsia"/>
                <w:szCs w:val="18"/>
                <w:lang w:bidi="ar"/>
              </w:rPr>
              <w:t>；</w:t>
            </w:r>
          </w:p>
          <w:p>
            <w:pPr>
              <w:widowControl/>
              <w:spacing w:line="360" w:lineRule="auto"/>
              <w:jc w:val="left"/>
              <w:rPr>
                <w:szCs w:val="18"/>
                <w:lang w:bidi="ar"/>
              </w:rPr>
            </w:pPr>
            <w:r>
              <w:rPr>
                <w:szCs w:val="18"/>
                <w:lang w:bidi="ar"/>
              </w:rPr>
              <w:t>2. 检查阀门</w:t>
            </w:r>
            <w:r>
              <w:rPr>
                <w:rFonts w:hint="eastAsia"/>
                <w:szCs w:val="18"/>
                <w:lang w:bidi="ar"/>
              </w:rPr>
              <w:t>的</w:t>
            </w:r>
            <w:r>
              <w:rPr>
                <w:szCs w:val="18"/>
                <w:lang w:bidi="ar"/>
              </w:rPr>
              <w:t>开关操作</w:t>
            </w:r>
            <w:r>
              <w:rPr>
                <w:rFonts w:hint="eastAsia"/>
                <w:szCs w:val="18"/>
                <w:lang w:bidi="ar"/>
              </w:rPr>
              <w:t>是否</w:t>
            </w:r>
            <w:r>
              <w:rPr>
                <w:szCs w:val="18"/>
                <w:lang w:bidi="ar"/>
              </w:rPr>
              <w:t>灵活</w:t>
            </w:r>
            <w:r>
              <w:rPr>
                <w:rFonts w:hint="eastAsia"/>
                <w:szCs w:val="18"/>
                <w:lang w:bidi="ar"/>
              </w:rPr>
              <w:t>，电动执行机构的</w:t>
            </w:r>
            <w:r>
              <w:rPr>
                <w:szCs w:val="18"/>
                <w:lang w:bidi="ar"/>
              </w:rPr>
              <w:t>接线是否可靠</w:t>
            </w:r>
            <w:r>
              <w:rPr>
                <w:rFonts w:hint="eastAsia"/>
                <w:szCs w:val="18"/>
                <w:lang w:bidi="ar"/>
              </w:rPr>
              <w:t>；</w:t>
            </w:r>
          </w:p>
          <w:p>
            <w:pPr>
              <w:widowControl/>
              <w:spacing w:line="360" w:lineRule="auto"/>
              <w:jc w:val="left"/>
              <w:rPr>
                <w:szCs w:val="18"/>
                <w:lang w:bidi="ar"/>
              </w:rPr>
            </w:pPr>
            <w:r>
              <w:rPr>
                <w:szCs w:val="18"/>
                <w:lang w:bidi="ar"/>
              </w:rPr>
              <w:t>3. 执行器是否正常动作，</w:t>
            </w:r>
            <w:r>
              <w:rPr>
                <w:rFonts w:hint="eastAsia"/>
                <w:szCs w:val="18"/>
                <w:lang w:bidi="ar"/>
              </w:rPr>
              <w:t>执行器的</w:t>
            </w:r>
            <w:r>
              <w:rPr>
                <w:szCs w:val="18"/>
                <w:lang w:bidi="ar"/>
              </w:rPr>
              <w:t>指示位置</w:t>
            </w:r>
            <w:r>
              <w:rPr>
                <w:rFonts w:hint="eastAsia"/>
                <w:szCs w:val="18"/>
                <w:lang w:bidi="ar"/>
              </w:rPr>
              <w:t>是否</w:t>
            </w:r>
            <w:r>
              <w:rPr>
                <w:szCs w:val="18"/>
                <w:lang w:bidi="ar"/>
              </w:rPr>
              <w:t>与控制信号匹配</w:t>
            </w:r>
            <w:r>
              <w:rPr>
                <w:rFonts w:hint="eastAsia"/>
                <w:szCs w:val="18"/>
                <w:lang w:bidi="ar"/>
              </w:rPr>
              <w:t>。</w:t>
            </w:r>
          </w:p>
          <w:p>
            <w:pPr>
              <w:widowControl/>
              <w:spacing w:line="360" w:lineRule="auto"/>
              <w:jc w:val="left"/>
              <w:rPr>
                <w:szCs w:val="18"/>
                <w:lang w:bidi="ar"/>
              </w:rPr>
            </w:pPr>
          </w:p>
        </w:tc>
      </w:tr>
    </w:tbl>
    <w:p>
      <w:pPr>
        <w:spacing w:before="312" w:beforeLines="100" w:line="360" w:lineRule="auto"/>
        <w:ind w:firstLine="561" w:firstLineChars="200"/>
        <w:jc w:val="center"/>
        <w:outlineLvl w:val="1"/>
        <w:rPr>
          <w:rFonts w:eastAsia="微软雅黑"/>
          <w:sz w:val="28"/>
          <w:szCs w:val="32"/>
        </w:rPr>
      </w:pPr>
      <w:bookmarkStart w:id="153" w:name="_Toc629151873"/>
      <w:r>
        <w:rPr>
          <w:b/>
          <w:sz w:val="28"/>
          <w:szCs w:val="24"/>
        </w:rPr>
        <w:t>8.2 冷板式液冷的运维管理</w:t>
      </w:r>
      <w:bookmarkEnd w:id="153"/>
    </w:p>
    <w:p>
      <w:pPr>
        <w:pStyle w:val="44"/>
        <w:spacing w:line="360" w:lineRule="auto"/>
        <w:ind w:firstLine="0" w:firstLineChars="0"/>
        <w:jc w:val="left"/>
        <w:rPr>
          <w:sz w:val="24"/>
          <w:szCs w:val="21"/>
        </w:rPr>
      </w:pPr>
      <w:r>
        <w:rPr>
          <w:sz w:val="24"/>
          <w:szCs w:val="21"/>
        </w:rPr>
        <w:t>8.2.1冷板式液冷系统的运维管理应</w:t>
      </w:r>
      <w:r>
        <w:rPr>
          <w:rFonts w:hint="eastAsia"/>
          <w:sz w:val="24"/>
          <w:szCs w:val="21"/>
        </w:rPr>
        <w:t>符合</w:t>
      </w:r>
      <w:r>
        <w:rPr>
          <w:sz w:val="24"/>
          <w:szCs w:val="21"/>
        </w:rPr>
        <w:t>《数据中心基础设施运行维护标准》GB/T 51314-2018的相关规定。</w:t>
      </w:r>
    </w:p>
    <w:p>
      <w:pPr>
        <w:spacing w:line="360" w:lineRule="auto"/>
        <w:jc w:val="left"/>
        <w:rPr>
          <w:sz w:val="24"/>
          <w:szCs w:val="21"/>
        </w:rPr>
      </w:pPr>
      <w:r>
        <w:rPr>
          <w:sz w:val="24"/>
          <w:szCs w:val="21"/>
        </w:rPr>
        <w:t>8.2.2冷板</w:t>
      </w:r>
      <w:r>
        <w:rPr>
          <w:sz w:val="24"/>
          <w:szCs w:val="21"/>
          <w:lang w:bidi="ar"/>
        </w:rPr>
        <w:t>式冷却液对运行环境的要求</w:t>
      </w:r>
      <w:r>
        <w:rPr>
          <w:rFonts w:hint="eastAsia"/>
          <w:sz w:val="24"/>
          <w:szCs w:val="21"/>
          <w:lang w:bidi="ar"/>
        </w:rPr>
        <w:t>如下：</w:t>
      </w:r>
    </w:p>
    <w:p>
      <w:pPr>
        <w:numPr>
          <w:ilvl w:val="0"/>
          <w:numId w:val="29"/>
        </w:numPr>
        <w:tabs>
          <w:tab w:val="left" w:pos="425"/>
        </w:tabs>
        <w:spacing w:line="360" w:lineRule="auto"/>
        <w:ind w:left="477"/>
        <w:rPr>
          <w:sz w:val="24"/>
          <w:szCs w:val="21"/>
          <w:lang w:bidi="ar"/>
        </w:rPr>
      </w:pPr>
      <w:r>
        <w:rPr>
          <w:sz w:val="24"/>
          <w:szCs w:val="21"/>
          <w:lang w:bidi="ar"/>
        </w:rPr>
        <w:t>冷板式液冷系统二次侧冷却工质供水温度宜符合液冷电子设备的供液温度要求，且不应低于机房环境的露点温度。</w:t>
      </w:r>
    </w:p>
    <w:p>
      <w:pPr>
        <w:numPr>
          <w:ilvl w:val="0"/>
          <w:numId w:val="29"/>
        </w:numPr>
        <w:tabs>
          <w:tab w:val="left" w:pos="425"/>
        </w:tabs>
        <w:spacing w:line="360" w:lineRule="auto"/>
        <w:ind w:left="477"/>
        <w:rPr>
          <w:sz w:val="24"/>
          <w:szCs w:val="21"/>
          <w:lang w:bidi="ar"/>
        </w:rPr>
      </w:pPr>
      <w:r>
        <w:rPr>
          <w:sz w:val="24"/>
          <w:szCs w:val="21"/>
          <w:lang w:bidi="ar"/>
        </w:rPr>
        <w:t>冷板机房运行环境应符合液冷电子信息设备的设计温、湿度要求。</w:t>
      </w:r>
    </w:p>
    <w:p>
      <w:pPr>
        <w:spacing w:line="360" w:lineRule="auto"/>
        <w:rPr>
          <w:sz w:val="24"/>
          <w:szCs w:val="21"/>
          <w:lang w:bidi="ar"/>
        </w:rPr>
      </w:pPr>
      <w:r>
        <w:rPr>
          <w:sz w:val="24"/>
          <w:szCs w:val="21"/>
          <w:lang w:bidi="ar"/>
        </w:rPr>
        <w:t>8.2.3运行过程中冷板式冷却液的兼容性检查与维护</w:t>
      </w:r>
      <w:r>
        <w:rPr>
          <w:rFonts w:hint="eastAsia"/>
          <w:sz w:val="24"/>
          <w:szCs w:val="21"/>
          <w:lang w:bidi="ar"/>
        </w:rPr>
        <w:t>如下：</w:t>
      </w:r>
    </w:p>
    <w:p>
      <w:pPr>
        <w:numPr>
          <w:ilvl w:val="0"/>
          <w:numId w:val="30"/>
        </w:numPr>
        <w:tabs>
          <w:tab w:val="left" w:pos="425"/>
        </w:tabs>
        <w:spacing w:line="480" w:lineRule="auto"/>
        <w:ind w:left="477"/>
        <w:rPr>
          <w:sz w:val="24"/>
          <w:szCs w:val="21"/>
          <w:lang w:bidi="ar"/>
        </w:rPr>
      </w:pPr>
      <w:r>
        <w:rPr>
          <w:sz w:val="24"/>
          <w:szCs w:val="21"/>
          <w:lang w:bidi="ar"/>
        </w:rPr>
        <w:t>应对循环工质进行定期的水质监测，产生水质超标等情况时，需要采取对应的处置措施（补液、换冷却液等）。避免腐蚀，微生物生长，结垢等现象。</w:t>
      </w:r>
    </w:p>
    <w:p>
      <w:pPr>
        <w:numPr>
          <w:ilvl w:val="0"/>
          <w:numId w:val="30"/>
        </w:numPr>
        <w:tabs>
          <w:tab w:val="left" w:pos="425"/>
        </w:tabs>
        <w:spacing w:line="480" w:lineRule="auto"/>
        <w:ind w:left="477"/>
        <w:rPr>
          <w:sz w:val="24"/>
          <w:szCs w:val="21"/>
          <w:lang w:bidi="ar"/>
        </w:rPr>
      </w:pPr>
      <w:r>
        <w:rPr>
          <w:sz w:val="24"/>
          <w:szCs w:val="21"/>
          <w:lang w:bidi="ar"/>
        </w:rPr>
        <w:t>针对循环工质的挥发、泄露等应进行补充。循环工质需考虑环保，按法规要求进行液体运输、存放、使用、废弃。</w:t>
      </w:r>
    </w:p>
    <w:p>
      <w:pPr>
        <w:numPr>
          <w:ilvl w:val="0"/>
          <w:numId w:val="30"/>
        </w:numPr>
        <w:tabs>
          <w:tab w:val="left" w:pos="425"/>
        </w:tabs>
        <w:spacing w:line="480" w:lineRule="auto"/>
        <w:ind w:left="477"/>
        <w:rPr>
          <w:sz w:val="24"/>
          <w:szCs w:val="21"/>
          <w:lang w:bidi="ar"/>
        </w:rPr>
      </w:pPr>
      <w:r>
        <w:rPr>
          <w:sz w:val="24"/>
          <w:szCs w:val="21"/>
          <w:lang w:bidi="ar"/>
        </w:rPr>
        <w:t>冷板式液冷系统应定期维护，维护应包括预防性维护、预测性维护和维修等。</w:t>
      </w:r>
    </w:p>
    <w:p>
      <w:pPr>
        <w:numPr>
          <w:ilvl w:val="0"/>
          <w:numId w:val="30"/>
        </w:numPr>
        <w:tabs>
          <w:tab w:val="left" w:pos="425"/>
        </w:tabs>
        <w:spacing w:line="480" w:lineRule="auto"/>
        <w:ind w:left="477"/>
        <w:rPr>
          <w:sz w:val="24"/>
          <w:szCs w:val="21"/>
          <w:lang w:bidi="ar"/>
        </w:rPr>
      </w:pPr>
      <w:r>
        <w:rPr>
          <w:sz w:val="24"/>
          <w:szCs w:val="21"/>
          <w:lang w:bidi="ar"/>
        </w:rPr>
        <w:t>维护应由具备相应资质的人员进行系统与组件操作，操作过程应加强个体防护。</w:t>
      </w:r>
    </w:p>
    <w:p>
      <w:pPr>
        <w:numPr>
          <w:ilvl w:val="0"/>
          <w:numId w:val="30"/>
        </w:numPr>
        <w:tabs>
          <w:tab w:val="left" w:pos="425"/>
        </w:tabs>
        <w:spacing w:line="480" w:lineRule="auto"/>
        <w:ind w:left="477"/>
        <w:rPr>
          <w:sz w:val="24"/>
          <w:szCs w:val="21"/>
          <w:lang w:bidi="ar"/>
        </w:rPr>
      </w:pPr>
      <w:r>
        <w:rPr>
          <w:sz w:val="24"/>
          <w:szCs w:val="21"/>
          <w:lang w:bidi="ar"/>
        </w:rPr>
        <w:t>冷板式液冷系统及关键设备应定期进行预防性维护，维护项目及频次宜</w:t>
      </w:r>
      <w:r>
        <w:rPr>
          <w:rFonts w:hint="eastAsia"/>
          <w:sz w:val="24"/>
          <w:szCs w:val="21"/>
          <w:lang w:bidi="ar"/>
        </w:rPr>
        <w:t>符合</w:t>
      </w:r>
      <w:r>
        <w:rPr>
          <w:sz w:val="24"/>
          <w:szCs w:val="21"/>
          <w:lang w:bidi="ar"/>
        </w:rPr>
        <w:t>下表。</w:t>
      </w:r>
    </w:p>
    <w:p>
      <w:pPr>
        <w:spacing w:line="360" w:lineRule="auto"/>
        <w:ind w:firstLine="480" w:firstLineChars="200"/>
        <w:rPr>
          <w:kern w:val="0"/>
          <w:sz w:val="24"/>
          <w:szCs w:val="24"/>
        </w:rPr>
      </w:pPr>
      <w:r>
        <w:rPr>
          <w:kern w:val="0"/>
          <w:sz w:val="24"/>
          <w:szCs w:val="24"/>
        </w:rPr>
        <w:t>条文说明：</w:t>
      </w:r>
    </w:p>
    <w:p>
      <w:pPr>
        <w:spacing w:line="360" w:lineRule="auto"/>
        <w:ind w:firstLine="420" w:firstLineChars="200"/>
        <w:jc w:val="center"/>
        <w:rPr>
          <w:rFonts w:eastAsia="微软雅黑"/>
          <w:kern w:val="0"/>
          <w:sz w:val="24"/>
          <w:szCs w:val="24"/>
        </w:rPr>
      </w:pPr>
      <w:r>
        <w:rPr>
          <w:b/>
          <w:kern w:val="0"/>
          <w:szCs w:val="24"/>
        </w:rPr>
        <w:t>表8.2.3 运行过程中冷板式冷却液的兼容性检查与维护参考列表</w:t>
      </w:r>
    </w:p>
    <w:tbl>
      <w:tblPr>
        <w:tblStyle w:val="27"/>
        <w:tblW w:w="8497" w:type="dxa"/>
        <w:tblInd w:w="0" w:type="dxa"/>
        <w:tblLayout w:type="autofit"/>
        <w:tblCellMar>
          <w:top w:w="0" w:type="dxa"/>
          <w:left w:w="108" w:type="dxa"/>
          <w:bottom w:w="0" w:type="dxa"/>
          <w:right w:w="108" w:type="dxa"/>
        </w:tblCellMar>
      </w:tblPr>
      <w:tblGrid>
        <w:gridCol w:w="2260"/>
        <w:gridCol w:w="2835"/>
        <w:gridCol w:w="3402"/>
      </w:tblGrid>
      <w:tr>
        <w:tc>
          <w:tcPr>
            <w:tcW w:w="2260"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设备（或系统）</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维护项目</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建议频次</w:t>
            </w:r>
          </w:p>
        </w:tc>
      </w:tr>
      <w:tr>
        <w:tc>
          <w:tcPr>
            <w:tcW w:w="2260" w:type="dxa"/>
            <w:vMerge w:val="restart"/>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r>
              <w:rPr>
                <w:szCs w:val="21"/>
              </w:rPr>
              <w:t>冷却塔</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（1）冷却塔水盘清洗</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center"/>
              <w:rPr>
                <w:szCs w:val="21"/>
              </w:rPr>
            </w:pPr>
            <w:r>
              <w:rPr>
                <w:szCs w:val="21"/>
              </w:rPr>
              <w:t>1 次/月</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（2）填料清洗</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center"/>
              <w:rPr>
                <w:szCs w:val="21"/>
              </w:rPr>
            </w:pPr>
            <w:r>
              <w:rPr>
                <w:szCs w:val="21"/>
              </w:rPr>
              <w:t>根据换热情况确定，原则上不应低于1次/季</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（3）冷却塔水质保养</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center"/>
              <w:rPr>
                <w:szCs w:val="21"/>
              </w:rPr>
            </w:pPr>
            <w:r>
              <w:rPr>
                <w:szCs w:val="21"/>
              </w:rPr>
              <w:t>1 次/月</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（4）冷却塔布水器喷嘴、挡水板、风机轴承等其他配套组件维护</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不应低于1次/季</w:t>
            </w:r>
          </w:p>
        </w:tc>
      </w:tr>
      <w:tr>
        <w:tc>
          <w:tcPr>
            <w:tcW w:w="2260" w:type="dxa"/>
            <w:vMerge w:val="restart"/>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r>
              <w:rPr>
                <w:szCs w:val="21"/>
              </w:rPr>
              <w:t>干式冷却器（若有）</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（1）表冷器清洗</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不应低于1次/季</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（2）干冷器风机维护</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不应低于1次/季</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（3）其他配套组件维护</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不应低于1次/季</w:t>
            </w:r>
          </w:p>
        </w:tc>
      </w:tr>
      <w:tr>
        <w:tc>
          <w:tcPr>
            <w:tcW w:w="2260" w:type="dxa"/>
            <w:vMerge w:val="restart"/>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r>
              <w:rPr>
                <w:szCs w:val="21"/>
              </w:rPr>
              <w:t>CDU</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（1）水泵检查与保养</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不应低于1次/季</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（2）换热器清洗</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视换热能力择机进行</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（3）CDU内其他组件维护</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不应低于1次/季</w:t>
            </w:r>
          </w:p>
        </w:tc>
      </w:tr>
      <w:tr>
        <w:tc>
          <w:tcPr>
            <w:tcW w:w="2260" w:type="dxa"/>
            <w:vMerge w:val="restart"/>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r>
              <w:rPr>
                <w:szCs w:val="21"/>
              </w:rPr>
              <w:t>水处理设备</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（1）水质检测与水处理</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1次/月</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（2）检查循环工质储液设施完整性</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1 次/季</w:t>
            </w:r>
          </w:p>
        </w:tc>
      </w:tr>
      <w:tr>
        <w:tc>
          <w:tcPr>
            <w:tcW w:w="2260" w:type="dxa"/>
            <w:vMerge w:val="restart"/>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r>
              <w:rPr>
                <w:szCs w:val="21"/>
              </w:rPr>
              <w:t>过滤器清</w:t>
            </w:r>
          </w:p>
          <w:p>
            <w:pPr>
              <w:widowControl/>
              <w:spacing w:line="360" w:lineRule="auto"/>
              <w:ind w:firstLine="420" w:firstLineChars="200"/>
              <w:jc w:val="left"/>
              <w:rPr>
                <w:szCs w:val="21"/>
              </w:rPr>
            </w:pPr>
            <w:r>
              <w:rPr>
                <w:szCs w:val="21"/>
              </w:rPr>
              <w:t>洗</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（1）一次侧过滤器清洗</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1 次/季</w:t>
            </w:r>
          </w:p>
        </w:tc>
      </w:tr>
      <w:tr>
        <w:tc>
          <w:tcPr>
            <w:tcW w:w="2260" w:type="dxa"/>
            <w:vMerge w:val="continue"/>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（2）二次侧过滤器清洗</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1 次/年</w:t>
            </w:r>
          </w:p>
        </w:tc>
      </w:tr>
      <w:tr>
        <w:tc>
          <w:tcPr>
            <w:tcW w:w="2260"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r>
              <w:rPr>
                <w:szCs w:val="21"/>
              </w:rPr>
              <w:t>管路及阀门</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（1）管路、阀门等液冷系统组件检查（含水浸传感器等），不应有跑、冒、滴、漏现象</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2 次/年</w:t>
            </w:r>
          </w:p>
        </w:tc>
      </w:tr>
      <w:tr>
        <w:tc>
          <w:tcPr>
            <w:tcW w:w="2260"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left"/>
              <w:rPr>
                <w:szCs w:val="21"/>
              </w:rPr>
            </w:pPr>
            <w:r>
              <w:rPr>
                <w:szCs w:val="21"/>
              </w:rPr>
              <w:t>防冻检查</w:t>
            </w:r>
          </w:p>
        </w:tc>
        <w:tc>
          <w:tcPr>
            <w:tcW w:w="2835"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jc w:val="left"/>
              <w:rPr>
                <w:szCs w:val="21"/>
              </w:rPr>
            </w:pPr>
            <w:r>
              <w:rPr>
                <w:szCs w:val="21"/>
              </w:rPr>
              <w:t>（1）冬季进行防冻检查</w:t>
            </w:r>
          </w:p>
        </w:tc>
        <w:tc>
          <w:tcPr>
            <w:tcW w:w="3402" w:type="dxa"/>
            <w:tcBorders>
              <w:top w:val="single" w:color="DDDDDD" w:sz="6" w:space="0"/>
              <w:left w:val="single" w:color="DDDDDD" w:sz="6" w:space="0"/>
              <w:bottom w:val="single" w:color="DDDDDD" w:sz="6" w:space="0"/>
              <w:right w:val="single" w:color="DDDDDD" w:sz="6" w:space="0"/>
            </w:tcBorders>
            <w:shd w:val="clear" w:color="auto" w:fill="auto"/>
            <w:tcMar>
              <w:top w:w="15" w:type="dxa"/>
              <w:left w:w="120" w:type="dxa"/>
              <w:bottom w:w="15" w:type="dxa"/>
              <w:right w:w="120" w:type="dxa"/>
            </w:tcMar>
            <w:vAlign w:val="center"/>
          </w:tcPr>
          <w:p>
            <w:pPr>
              <w:widowControl/>
              <w:spacing w:line="360" w:lineRule="auto"/>
              <w:ind w:firstLine="420" w:firstLineChars="200"/>
              <w:jc w:val="center"/>
              <w:rPr>
                <w:szCs w:val="21"/>
              </w:rPr>
            </w:pPr>
            <w:r>
              <w:rPr>
                <w:szCs w:val="21"/>
              </w:rPr>
              <w:t>1 次/年</w:t>
            </w:r>
          </w:p>
        </w:tc>
      </w:tr>
    </w:tbl>
    <w:p>
      <w:pPr>
        <w:spacing w:line="360" w:lineRule="auto"/>
        <w:ind w:firstLine="420"/>
        <w:rPr>
          <w:sz w:val="24"/>
        </w:rPr>
      </w:pPr>
      <w:r>
        <w:rPr>
          <w:sz w:val="24"/>
          <w:lang w:bidi="ar"/>
        </w:rPr>
        <w:t>8.2.4 冷板式液冷系统正常运行时，一次侧、二次侧循环水泵运行台数宜不少于两台。</w:t>
      </w:r>
    </w:p>
    <w:p>
      <w:pPr>
        <w:spacing w:line="360" w:lineRule="auto"/>
        <w:ind w:firstLine="420"/>
        <w:rPr>
          <w:sz w:val="24"/>
          <w:lang w:bidi="ar"/>
        </w:rPr>
      </w:pPr>
      <w:r>
        <w:rPr>
          <w:sz w:val="24"/>
          <w:lang w:bidi="ar"/>
        </w:rPr>
        <w:t>8.2.5  CDU设备应设置运行参数监控，监控不应少于下表所列内容。</w:t>
      </w:r>
    </w:p>
    <w:p>
      <w:pPr>
        <w:spacing w:line="360" w:lineRule="auto"/>
        <w:ind w:firstLine="420" w:firstLineChars="200"/>
        <w:jc w:val="center"/>
        <w:rPr>
          <w:rFonts w:eastAsia="微软雅黑"/>
          <w:kern w:val="0"/>
          <w:sz w:val="24"/>
          <w:szCs w:val="24"/>
        </w:rPr>
      </w:pPr>
      <w:r>
        <w:rPr>
          <w:b/>
          <w:kern w:val="0"/>
          <w:szCs w:val="24"/>
        </w:rPr>
        <w:t>表8.2.5 CDU运行参数监控内容列表</w:t>
      </w:r>
    </w:p>
    <w:tbl>
      <w:tblPr>
        <w:tblStyle w:val="27"/>
        <w:tblW w:w="8417" w:type="dxa"/>
        <w:tblInd w:w="0" w:type="dxa"/>
        <w:tblLayout w:type="fixed"/>
        <w:tblCellMar>
          <w:top w:w="0" w:type="dxa"/>
          <w:left w:w="108" w:type="dxa"/>
          <w:bottom w:w="0" w:type="dxa"/>
          <w:right w:w="108" w:type="dxa"/>
        </w:tblCellMar>
      </w:tblPr>
      <w:tblGrid>
        <w:gridCol w:w="1250"/>
        <w:gridCol w:w="1758"/>
        <w:gridCol w:w="5409"/>
      </w:tblGrid>
      <w:tr>
        <w:trPr>
          <w:trHeight w:val="620" w:hRule="atLeast"/>
        </w:trPr>
        <w:tc>
          <w:tcPr>
            <w:tcW w:w="12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ind w:firstLine="420" w:firstLineChars="200"/>
              <w:jc w:val="left"/>
              <w:rPr>
                <w:szCs w:val="21"/>
              </w:rPr>
            </w:pPr>
            <w:r>
              <w:rPr>
                <w:szCs w:val="21"/>
              </w:rPr>
              <w:t>序号</w:t>
            </w:r>
          </w:p>
        </w:tc>
        <w:tc>
          <w:tcPr>
            <w:tcW w:w="1758"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ind w:firstLine="420" w:firstLineChars="200"/>
              <w:jc w:val="left"/>
              <w:rPr>
                <w:szCs w:val="21"/>
              </w:rPr>
            </w:pPr>
            <w:r>
              <w:rPr>
                <w:szCs w:val="21"/>
              </w:rPr>
              <w:t>监控项目</w:t>
            </w:r>
          </w:p>
        </w:tc>
        <w:tc>
          <w:tcPr>
            <w:tcW w:w="540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ind w:firstLine="420" w:firstLineChars="200"/>
              <w:jc w:val="left"/>
              <w:rPr>
                <w:szCs w:val="21"/>
              </w:rPr>
            </w:pPr>
            <w:r>
              <w:rPr>
                <w:szCs w:val="21"/>
              </w:rPr>
              <w:t>监控内容</w:t>
            </w:r>
          </w:p>
        </w:tc>
      </w:tr>
      <w:tr>
        <w:trPr>
          <w:trHeight w:val="1120" w:hRule="atLeast"/>
        </w:trPr>
        <w:tc>
          <w:tcPr>
            <w:tcW w:w="125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ind w:firstLine="420" w:firstLineChars="200"/>
              <w:jc w:val="left"/>
              <w:rPr>
                <w:szCs w:val="21"/>
              </w:rPr>
            </w:pPr>
            <w:r>
              <w:rPr>
                <w:szCs w:val="21"/>
              </w:rPr>
              <w:t>1</w:t>
            </w:r>
          </w:p>
        </w:tc>
        <w:tc>
          <w:tcPr>
            <w:tcW w:w="1758" w:type="dxa"/>
            <w:tcBorders>
              <w:top w:val="nil"/>
              <w:left w:val="nil"/>
              <w:bottom w:val="single" w:color="auto" w:sz="4" w:space="0"/>
              <w:right w:val="single" w:color="auto" w:sz="4" w:space="0"/>
            </w:tcBorders>
            <w:shd w:val="clear" w:color="auto" w:fill="auto"/>
            <w:noWrap/>
            <w:vAlign w:val="center"/>
          </w:tcPr>
          <w:p>
            <w:pPr>
              <w:widowControl/>
              <w:spacing w:line="360" w:lineRule="auto"/>
              <w:ind w:firstLine="420" w:firstLineChars="200"/>
              <w:jc w:val="left"/>
              <w:rPr>
                <w:szCs w:val="21"/>
              </w:rPr>
            </w:pPr>
            <w:r>
              <w:rPr>
                <w:szCs w:val="21"/>
              </w:rPr>
              <w:t>CDU</w:t>
            </w:r>
          </w:p>
        </w:tc>
        <w:tc>
          <w:tcPr>
            <w:tcW w:w="5409" w:type="dxa"/>
            <w:tcBorders>
              <w:top w:val="nil"/>
              <w:left w:val="nil"/>
              <w:bottom w:val="single" w:color="auto" w:sz="4" w:space="0"/>
              <w:right w:val="single" w:color="auto" w:sz="4" w:space="0"/>
            </w:tcBorders>
            <w:shd w:val="clear" w:color="auto" w:fill="auto"/>
            <w:vAlign w:val="center"/>
          </w:tcPr>
          <w:p>
            <w:pPr>
              <w:widowControl/>
              <w:spacing w:line="360" w:lineRule="auto"/>
              <w:ind w:firstLine="420" w:firstLineChars="200"/>
              <w:jc w:val="left"/>
              <w:rPr>
                <w:szCs w:val="21"/>
              </w:rPr>
            </w:pPr>
            <w:r>
              <w:rPr>
                <w:szCs w:val="21"/>
              </w:rPr>
              <w:t xml:space="preserve"> 运行/停止、故障/正常、手动/自动状态；开关阀/调节阀状态；一/二次侧进出冷却工质温度、一/二次侧进出冷却工质压力、一/二次侧冷却工质流量；二次侧冷却工质品质指标；储液罐液位；补水泵状态；报警</w:t>
            </w:r>
          </w:p>
        </w:tc>
      </w:tr>
    </w:tbl>
    <w:p>
      <w:pPr>
        <w:ind w:firstLine="420"/>
        <w:rPr>
          <w:sz w:val="24"/>
          <w:lang w:bidi="ar"/>
        </w:rPr>
      </w:pPr>
      <w:r>
        <w:rPr>
          <w:sz w:val="24"/>
          <w:lang w:bidi="ar"/>
        </w:rPr>
        <w:t>8.2. 6 CDU设备应进行日常巡检，巡检应不少于下表所列内容。</w:t>
      </w:r>
    </w:p>
    <w:p>
      <w:pPr>
        <w:spacing w:line="360" w:lineRule="auto"/>
        <w:ind w:firstLine="420" w:firstLineChars="200"/>
        <w:jc w:val="center"/>
        <w:rPr>
          <w:rFonts w:eastAsia="微软雅黑"/>
          <w:kern w:val="0"/>
          <w:sz w:val="24"/>
          <w:szCs w:val="24"/>
        </w:rPr>
      </w:pPr>
      <w:r>
        <w:rPr>
          <w:b/>
          <w:kern w:val="0"/>
          <w:szCs w:val="24"/>
        </w:rPr>
        <w:t>表8.2.6 CDU日常巡检项列表</w:t>
      </w:r>
    </w:p>
    <w:tbl>
      <w:tblPr>
        <w:tblStyle w:val="27"/>
        <w:tblW w:w="8075" w:type="dxa"/>
        <w:jc w:val="center"/>
        <w:tblLayout w:type="autofit"/>
        <w:tblCellMar>
          <w:top w:w="0" w:type="dxa"/>
          <w:left w:w="108" w:type="dxa"/>
          <w:bottom w:w="0" w:type="dxa"/>
          <w:right w:w="108" w:type="dxa"/>
        </w:tblCellMar>
      </w:tblPr>
      <w:tblGrid>
        <w:gridCol w:w="1040"/>
        <w:gridCol w:w="2357"/>
        <w:gridCol w:w="4678"/>
      </w:tblGrid>
      <w:tr>
        <w:trPr>
          <w:trHeight w:val="320" w:hRule="atLeast"/>
          <w:jc w:val="center"/>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szCs w:val="18"/>
              </w:rPr>
            </w:pPr>
            <w:r>
              <w:rPr>
                <w:szCs w:val="18"/>
                <w:lang w:bidi="ar"/>
              </w:rPr>
              <w:t>序号</w:t>
            </w:r>
          </w:p>
        </w:tc>
        <w:tc>
          <w:tcPr>
            <w:tcW w:w="2357" w:type="dxa"/>
            <w:tcBorders>
              <w:top w:val="single" w:color="auto" w:sz="4" w:space="0"/>
              <w:left w:val="nil"/>
              <w:bottom w:val="single" w:color="auto" w:sz="4" w:space="0"/>
              <w:right w:val="single" w:color="auto" w:sz="4" w:space="0"/>
            </w:tcBorders>
            <w:shd w:val="clear" w:color="auto" w:fill="auto"/>
            <w:noWrap/>
            <w:vAlign w:val="center"/>
          </w:tcPr>
          <w:p>
            <w:pPr>
              <w:rPr>
                <w:szCs w:val="18"/>
              </w:rPr>
            </w:pPr>
            <w:r>
              <w:rPr>
                <w:szCs w:val="18"/>
                <w:lang w:bidi="ar"/>
              </w:rPr>
              <w:t>巡检项目</w:t>
            </w:r>
          </w:p>
        </w:tc>
        <w:tc>
          <w:tcPr>
            <w:tcW w:w="4678" w:type="dxa"/>
            <w:tcBorders>
              <w:top w:val="single" w:color="auto" w:sz="4" w:space="0"/>
              <w:left w:val="nil"/>
              <w:bottom w:val="single" w:color="auto" w:sz="4" w:space="0"/>
              <w:right w:val="single" w:color="auto" w:sz="4" w:space="0"/>
            </w:tcBorders>
            <w:shd w:val="clear" w:color="auto" w:fill="auto"/>
            <w:noWrap/>
            <w:vAlign w:val="center"/>
          </w:tcPr>
          <w:p>
            <w:pPr>
              <w:rPr>
                <w:szCs w:val="18"/>
              </w:rPr>
            </w:pPr>
            <w:r>
              <w:rPr>
                <w:szCs w:val="18"/>
                <w:lang w:bidi="ar"/>
              </w:rPr>
              <w:t>巡检内容</w:t>
            </w:r>
          </w:p>
        </w:tc>
      </w:tr>
      <w:tr>
        <w:trPr>
          <w:trHeight w:val="34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rPr>
                <w:szCs w:val="18"/>
              </w:rPr>
            </w:pPr>
            <w:r>
              <w:rPr>
                <w:szCs w:val="18"/>
                <w:lang w:bidi="ar"/>
              </w:rPr>
              <w:t>1</w:t>
            </w:r>
          </w:p>
        </w:tc>
        <w:tc>
          <w:tcPr>
            <w:tcW w:w="2357" w:type="dxa"/>
            <w:tcBorders>
              <w:top w:val="nil"/>
              <w:left w:val="nil"/>
              <w:bottom w:val="single" w:color="auto" w:sz="4" w:space="0"/>
              <w:right w:val="single" w:color="auto" w:sz="4" w:space="0"/>
            </w:tcBorders>
            <w:shd w:val="clear" w:color="auto" w:fill="auto"/>
            <w:noWrap/>
            <w:vAlign w:val="center"/>
          </w:tcPr>
          <w:p>
            <w:pPr>
              <w:rPr>
                <w:szCs w:val="18"/>
              </w:rPr>
            </w:pPr>
            <w:r>
              <w:rPr>
                <w:szCs w:val="18"/>
                <w:lang w:bidi="ar"/>
              </w:rPr>
              <w:t>控制面板</w:t>
            </w:r>
          </w:p>
        </w:tc>
        <w:tc>
          <w:tcPr>
            <w:tcW w:w="4678" w:type="dxa"/>
            <w:tcBorders>
              <w:top w:val="nil"/>
              <w:left w:val="nil"/>
              <w:bottom w:val="single" w:color="auto" w:sz="4" w:space="0"/>
              <w:right w:val="single" w:color="auto" w:sz="4" w:space="0"/>
            </w:tcBorders>
            <w:shd w:val="clear" w:color="auto" w:fill="auto"/>
            <w:vAlign w:val="center"/>
          </w:tcPr>
          <w:p>
            <w:pPr>
              <w:rPr>
                <w:szCs w:val="18"/>
              </w:rPr>
            </w:pPr>
            <w:r>
              <w:rPr>
                <w:szCs w:val="18"/>
                <w:lang w:bidi="ar"/>
              </w:rPr>
              <w:t xml:space="preserve"> 运行/停止、故障/正常、手动/自动状态；报警信息</w:t>
            </w:r>
          </w:p>
        </w:tc>
      </w:tr>
      <w:tr>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bottom"/>
          </w:tcPr>
          <w:p>
            <w:pPr>
              <w:rPr>
                <w:szCs w:val="18"/>
              </w:rPr>
            </w:pPr>
            <w:r>
              <w:rPr>
                <w:szCs w:val="18"/>
                <w:lang w:bidi="ar"/>
              </w:rPr>
              <w:t>2</w:t>
            </w:r>
          </w:p>
        </w:tc>
        <w:tc>
          <w:tcPr>
            <w:tcW w:w="2357"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柜体</w:t>
            </w:r>
          </w:p>
        </w:tc>
        <w:tc>
          <w:tcPr>
            <w:tcW w:w="4678"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异常声响、气味、振动、水箱液位</w:t>
            </w:r>
          </w:p>
        </w:tc>
      </w:tr>
      <w:tr>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bottom"/>
          </w:tcPr>
          <w:p>
            <w:pPr>
              <w:rPr>
                <w:szCs w:val="18"/>
              </w:rPr>
            </w:pPr>
            <w:r>
              <w:rPr>
                <w:szCs w:val="18"/>
                <w:lang w:bidi="ar"/>
              </w:rPr>
              <w:t>3</w:t>
            </w:r>
          </w:p>
        </w:tc>
        <w:tc>
          <w:tcPr>
            <w:tcW w:w="2357"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外部各接口及连接件</w:t>
            </w:r>
          </w:p>
        </w:tc>
        <w:tc>
          <w:tcPr>
            <w:tcW w:w="4678"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泄露情况</w:t>
            </w:r>
          </w:p>
        </w:tc>
      </w:tr>
    </w:tbl>
    <w:p>
      <w:pPr>
        <w:ind w:firstLine="420"/>
        <w:rPr>
          <w:sz w:val="24"/>
          <w:lang w:bidi="ar"/>
        </w:rPr>
      </w:pPr>
      <w:r>
        <w:rPr>
          <w:sz w:val="24"/>
          <w:lang w:bidi="ar"/>
        </w:rPr>
        <w:t>8.2.7 冷板液冷二次侧冷却系统的manifold、软管、快速接头、管路、阀门附件应进行日常巡检，巡检应不少于下表所列内容。</w:t>
      </w:r>
    </w:p>
    <w:p>
      <w:pPr>
        <w:spacing w:line="360" w:lineRule="auto"/>
        <w:ind w:firstLine="420" w:firstLineChars="200"/>
        <w:jc w:val="center"/>
        <w:rPr>
          <w:rFonts w:eastAsia="微软雅黑"/>
          <w:kern w:val="0"/>
          <w:sz w:val="24"/>
          <w:szCs w:val="24"/>
        </w:rPr>
      </w:pPr>
      <w:r>
        <w:rPr>
          <w:b/>
          <w:kern w:val="0"/>
          <w:szCs w:val="24"/>
        </w:rPr>
        <w:t>表8.2.7 冷板液冷二次侧冷却系统日常巡检项列表</w:t>
      </w:r>
    </w:p>
    <w:tbl>
      <w:tblPr>
        <w:tblStyle w:val="27"/>
        <w:tblW w:w="7740" w:type="dxa"/>
        <w:tblInd w:w="0" w:type="dxa"/>
        <w:tblLayout w:type="autofit"/>
        <w:tblCellMar>
          <w:top w:w="0" w:type="dxa"/>
          <w:left w:w="108" w:type="dxa"/>
          <w:bottom w:w="0" w:type="dxa"/>
          <w:right w:w="108" w:type="dxa"/>
        </w:tblCellMar>
      </w:tblPr>
      <w:tblGrid>
        <w:gridCol w:w="1040"/>
        <w:gridCol w:w="2783"/>
        <w:gridCol w:w="3917"/>
      </w:tblGrid>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szCs w:val="18"/>
              </w:rPr>
            </w:pPr>
            <w:r>
              <w:rPr>
                <w:szCs w:val="18"/>
                <w:lang w:bidi="ar"/>
              </w:rPr>
              <w:t>序号</w:t>
            </w:r>
          </w:p>
        </w:tc>
        <w:tc>
          <w:tcPr>
            <w:tcW w:w="2783" w:type="dxa"/>
            <w:tcBorders>
              <w:top w:val="single" w:color="auto" w:sz="4" w:space="0"/>
              <w:left w:val="nil"/>
              <w:bottom w:val="single" w:color="auto" w:sz="4" w:space="0"/>
              <w:right w:val="single" w:color="auto" w:sz="4" w:space="0"/>
            </w:tcBorders>
            <w:shd w:val="clear" w:color="auto" w:fill="auto"/>
            <w:noWrap/>
            <w:vAlign w:val="center"/>
          </w:tcPr>
          <w:p>
            <w:pPr>
              <w:rPr>
                <w:szCs w:val="18"/>
              </w:rPr>
            </w:pPr>
            <w:r>
              <w:rPr>
                <w:szCs w:val="18"/>
                <w:lang w:bidi="ar"/>
              </w:rPr>
              <w:t>巡检项目</w:t>
            </w:r>
          </w:p>
        </w:tc>
        <w:tc>
          <w:tcPr>
            <w:tcW w:w="3917" w:type="dxa"/>
            <w:tcBorders>
              <w:top w:val="single" w:color="auto" w:sz="4" w:space="0"/>
              <w:left w:val="nil"/>
              <w:bottom w:val="single" w:color="auto" w:sz="4" w:space="0"/>
              <w:right w:val="single" w:color="auto" w:sz="4" w:space="0"/>
            </w:tcBorders>
            <w:shd w:val="clear" w:color="auto" w:fill="auto"/>
            <w:noWrap/>
            <w:vAlign w:val="center"/>
          </w:tcPr>
          <w:p>
            <w:pPr>
              <w:rPr>
                <w:szCs w:val="18"/>
              </w:rPr>
            </w:pPr>
            <w:r>
              <w:rPr>
                <w:szCs w:val="18"/>
                <w:lang w:bidi="ar"/>
              </w:rPr>
              <w:t>巡检内容</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rPr>
                <w:szCs w:val="18"/>
              </w:rPr>
            </w:pPr>
            <w:r>
              <w:rPr>
                <w:szCs w:val="18"/>
                <w:lang w:bidi="ar"/>
              </w:rPr>
              <w:t>1</w:t>
            </w:r>
          </w:p>
        </w:tc>
        <w:tc>
          <w:tcPr>
            <w:tcW w:w="2783" w:type="dxa"/>
            <w:tcBorders>
              <w:top w:val="nil"/>
              <w:left w:val="nil"/>
              <w:bottom w:val="single" w:color="auto" w:sz="4" w:space="0"/>
              <w:right w:val="single" w:color="auto" w:sz="4" w:space="0"/>
            </w:tcBorders>
            <w:shd w:val="clear" w:color="auto" w:fill="auto"/>
            <w:noWrap/>
            <w:vAlign w:val="center"/>
          </w:tcPr>
          <w:p>
            <w:pPr>
              <w:rPr>
                <w:szCs w:val="18"/>
              </w:rPr>
            </w:pPr>
            <w:r>
              <w:rPr>
                <w:rFonts w:hint="eastAsia"/>
                <w:szCs w:val="18"/>
                <w:lang w:bidi="ar"/>
              </w:rPr>
              <w:t>M</w:t>
            </w:r>
            <w:r>
              <w:rPr>
                <w:szCs w:val="18"/>
                <w:lang w:bidi="ar"/>
              </w:rPr>
              <w:t>anifold、软管、快速接头</w:t>
            </w:r>
          </w:p>
        </w:tc>
        <w:tc>
          <w:tcPr>
            <w:tcW w:w="3917" w:type="dxa"/>
            <w:tcBorders>
              <w:top w:val="nil"/>
              <w:left w:val="nil"/>
              <w:bottom w:val="single" w:color="auto" w:sz="4" w:space="0"/>
              <w:right w:val="single" w:color="auto" w:sz="4" w:space="0"/>
            </w:tcBorders>
            <w:shd w:val="clear" w:color="auto" w:fill="auto"/>
            <w:vAlign w:val="center"/>
          </w:tcPr>
          <w:p>
            <w:pPr>
              <w:jc w:val="left"/>
              <w:rPr>
                <w:szCs w:val="18"/>
              </w:rPr>
            </w:pPr>
            <w:r>
              <w:rPr>
                <w:szCs w:val="18"/>
                <w:lang w:bidi="ar"/>
              </w:rPr>
              <w:t>结露和漏水情况</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pPr>
              <w:rPr>
                <w:szCs w:val="18"/>
              </w:rPr>
            </w:pPr>
            <w:r>
              <w:rPr>
                <w:szCs w:val="18"/>
                <w:lang w:bidi="ar"/>
              </w:rPr>
              <w:t>2</w:t>
            </w:r>
          </w:p>
        </w:tc>
        <w:tc>
          <w:tcPr>
            <w:tcW w:w="2783"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管道</w:t>
            </w:r>
          </w:p>
        </w:tc>
        <w:tc>
          <w:tcPr>
            <w:tcW w:w="3917"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保温层破损情况；结露和漏水情况</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pPr>
              <w:rPr>
                <w:szCs w:val="18"/>
              </w:rPr>
            </w:pPr>
            <w:r>
              <w:rPr>
                <w:szCs w:val="18"/>
                <w:lang w:bidi="ar"/>
              </w:rPr>
              <w:t>3</w:t>
            </w:r>
          </w:p>
        </w:tc>
        <w:tc>
          <w:tcPr>
            <w:tcW w:w="2783"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阀门</w:t>
            </w:r>
          </w:p>
        </w:tc>
        <w:tc>
          <w:tcPr>
            <w:tcW w:w="3917" w:type="dxa"/>
            <w:tcBorders>
              <w:top w:val="nil"/>
              <w:left w:val="nil"/>
              <w:bottom w:val="single" w:color="auto" w:sz="4" w:space="0"/>
              <w:right w:val="single" w:color="auto" w:sz="4" w:space="0"/>
            </w:tcBorders>
            <w:shd w:val="clear" w:color="auto" w:fill="auto"/>
            <w:noWrap/>
            <w:vAlign w:val="bottom"/>
          </w:tcPr>
          <w:p>
            <w:pPr>
              <w:rPr>
                <w:szCs w:val="18"/>
              </w:rPr>
            </w:pPr>
            <w:r>
              <w:rPr>
                <w:szCs w:val="18"/>
                <w:lang w:bidi="ar"/>
              </w:rPr>
              <w:t>阀位；漏水情况</w:t>
            </w:r>
          </w:p>
        </w:tc>
      </w:tr>
    </w:tbl>
    <w:p>
      <w:pPr>
        <w:spacing w:line="360" w:lineRule="auto"/>
        <w:ind w:firstLine="420"/>
        <w:rPr>
          <w:sz w:val="24"/>
          <w:lang w:bidi="ar"/>
        </w:rPr>
      </w:pPr>
      <w:r>
        <w:rPr>
          <w:sz w:val="24"/>
          <w:lang w:bidi="ar"/>
        </w:rPr>
        <w:t>8.2.8冷板液冷二次侧应进行日常水质检查，且检查不应少于四处：CDU内水箱、CDU内（或环管管路）、运行</w:t>
      </w:r>
      <w:r>
        <w:rPr>
          <w:rFonts w:hint="eastAsia"/>
          <w:sz w:val="24"/>
          <w:lang w:bidi="ar"/>
        </w:rPr>
        <w:t>M</w:t>
      </w:r>
      <w:r>
        <w:rPr>
          <w:sz w:val="24"/>
          <w:lang w:bidi="ar"/>
        </w:rPr>
        <w:t>anifold、未运行</w:t>
      </w:r>
      <w:r>
        <w:rPr>
          <w:rFonts w:hint="eastAsia"/>
          <w:sz w:val="24"/>
          <w:lang w:bidi="ar"/>
        </w:rPr>
        <w:t>M</w:t>
      </w:r>
      <w:r>
        <w:rPr>
          <w:sz w:val="24"/>
          <w:lang w:bidi="ar"/>
        </w:rPr>
        <w:t>anifold。</w:t>
      </w:r>
    </w:p>
    <w:p>
      <w:pPr>
        <w:spacing w:line="360" w:lineRule="auto"/>
        <w:ind w:firstLine="420"/>
        <w:rPr>
          <w:sz w:val="24"/>
          <w:szCs w:val="21"/>
          <w:lang w:bidi="ar"/>
        </w:rPr>
      </w:pPr>
      <w:r>
        <w:rPr>
          <w:sz w:val="24"/>
          <w:lang w:bidi="ar"/>
        </w:rPr>
        <w:t>8.2.9冷板式液冷系统宜配置液冷二次侧应急制冷装置或可在线运行的应急</w:t>
      </w:r>
      <w:r>
        <w:rPr>
          <w:rFonts w:hint="eastAsia"/>
          <w:sz w:val="24"/>
          <w:lang w:bidi="ar"/>
        </w:rPr>
        <w:t>M</w:t>
      </w:r>
      <w:r>
        <w:rPr>
          <w:sz w:val="24"/>
          <w:lang w:bidi="ar"/>
        </w:rPr>
        <w:t>anifold，快速接头、</w:t>
      </w:r>
      <w:r>
        <w:rPr>
          <w:rFonts w:hint="eastAsia"/>
          <w:sz w:val="24"/>
          <w:lang w:bidi="ar"/>
        </w:rPr>
        <w:t>M</w:t>
      </w:r>
      <w:r>
        <w:rPr>
          <w:sz w:val="24"/>
          <w:lang w:bidi="ar"/>
        </w:rPr>
        <w:t>anifold、碟阀、管道跑冒滴漏或有检修时，可快速代替原有制冷系统，给断冷服务器持续提供冷量。</w:t>
      </w:r>
    </w:p>
    <w:p>
      <w:pPr>
        <w:spacing w:line="360" w:lineRule="auto"/>
        <w:ind w:firstLine="420"/>
        <w:rPr>
          <w:sz w:val="24"/>
          <w:szCs w:val="21"/>
          <w:lang w:bidi="ar"/>
        </w:rPr>
      </w:pPr>
      <w:r>
        <w:rPr>
          <w:sz w:val="24"/>
          <w:szCs w:val="21"/>
          <w:lang w:bidi="ar"/>
        </w:rPr>
        <w:t>8.2.10 CDU设备应定期进行预防性维护，维护不应少于下表所列内容。</w:t>
      </w:r>
    </w:p>
    <w:p>
      <w:pPr>
        <w:spacing w:line="360" w:lineRule="auto"/>
        <w:ind w:firstLine="420" w:firstLineChars="200"/>
        <w:jc w:val="center"/>
        <w:rPr>
          <w:rFonts w:eastAsia="微软雅黑"/>
          <w:kern w:val="0"/>
          <w:sz w:val="24"/>
          <w:szCs w:val="24"/>
        </w:rPr>
      </w:pPr>
      <w:r>
        <w:rPr>
          <w:b/>
          <w:kern w:val="0"/>
          <w:szCs w:val="24"/>
        </w:rPr>
        <w:t>表8.2.10 冷板式液冷系统定期监测项参数列表</w:t>
      </w:r>
    </w:p>
    <w:tbl>
      <w:tblPr>
        <w:tblStyle w:val="27"/>
        <w:tblpPr w:leftFromText="180" w:rightFromText="180" w:vertAnchor="text" w:horzAnchor="margin" w:tblpY="198"/>
        <w:tblW w:w="8359" w:type="dxa"/>
        <w:tblInd w:w="0" w:type="dxa"/>
        <w:tblLayout w:type="autofit"/>
        <w:tblCellMar>
          <w:top w:w="0" w:type="dxa"/>
          <w:left w:w="108" w:type="dxa"/>
          <w:bottom w:w="0" w:type="dxa"/>
          <w:right w:w="108" w:type="dxa"/>
        </w:tblCellMar>
      </w:tblPr>
      <w:tblGrid>
        <w:gridCol w:w="1040"/>
        <w:gridCol w:w="2499"/>
        <w:gridCol w:w="3544"/>
        <w:gridCol w:w="1276"/>
      </w:tblGrid>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序号</w:t>
            </w:r>
          </w:p>
        </w:tc>
        <w:tc>
          <w:tcPr>
            <w:tcW w:w="24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维护项目</w:t>
            </w:r>
          </w:p>
        </w:tc>
        <w:tc>
          <w:tcPr>
            <w:tcW w:w="354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维护内容</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周期</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1</w:t>
            </w:r>
          </w:p>
        </w:tc>
        <w:tc>
          <w:tcPr>
            <w:tcW w:w="2499"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水泵</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kern w:val="0"/>
                <w:szCs w:val="18"/>
              </w:rPr>
            </w:pPr>
            <w:r>
              <w:rPr>
                <w:kern w:val="0"/>
                <w:szCs w:val="18"/>
                <w:lang w:bidi="ar"/>
              </w:rPr>
              <w:t xml:space="preserve">     水泵运行情况、电机温度检查及处理</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月</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2</w:t>
            </w:r>
          </w:p>
        </w:tc>
        <w:tc>
          <w:tcPr>
            <w:tcW w:w="2499"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清扫清洁</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保温层破损情况；结露和漏水情况</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月</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3</w:t>
            </w:r>
          </w:p>
        </w:tc>
        <w:tc>
          <w:tcPr>
            <w:tcW w:w="2499"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安全阀、仪表、传感器</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阀位；漏水情况</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年</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4</w:t>
            </w:r>
          </w:p>
        </w:tc>
        <w:tc>
          <w:tcPr>
            <w:tcW w:w="2499"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控制单元</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功能性检查</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季</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5</w:t>
            </w:r>
          </w:p>
        </w:tc>
        <w:tc>
          <w:tcPr>
            <w:tcW w:w="2499"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过滤器</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过滤器检查清洗</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半年</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6</w:t>
            </w:r>
          </w:p>
        </w:tc>
        <w:tc>
          <w:tcPr>
            <w:tcW w:w="2499"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二次侧冷却工质</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二次侧冷却工质取样监测</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月</w:t>
            </w:r>
          </w:p>
        </w:tc>
      </w:tr>
      <w:tr>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7</w:t>
            </w:r>
          </w:p>
        </w:tc>
        <w:tc>
          <w:tcPr>
            <w:tcW w:w="2499"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储液箱液位、冷却工质品质</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检查水箱水位、冷却工质品质，补充或更换储液箱冷却液</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kern w:val="0"/>
                <w:szCs w:val="18"/>
              </w:rPr>
            </w:pPr>
            <w:r>
              <w:rPr>
                <w:kern w:val="0"/>
                <w:szCs w:val="18"/>
                <w:lang w:bidi="ar"/>
              </w:rPr>
              <w:t>月</w:t>
            </w:r>
          </w:p>
        </w:tc>
      </w:tr>
    </w:tbl>
    <w:p>
      <w:pPr>
        <w:rPr>
          <w:lang w:bidi="ar"/>
        </w:rPr>
      </w:pPr>
    </w:p>
    <w:p>
      <w:pPr>
        <w:spacing w:line="360" w:lineRule="auto"/>
        <w:ind w:firstLine="420"/>
        <w:rPr>
          <w:sz w:val="24"/>
          <w:szCs w:val="21"/>
          <w:lang w:bidi="ar"/>
        </w:rPr>
      </w:pPr>
      <w:r>
        <w:rPr>
          <w:sz w:val="24"/>
          <w:szCs w:val="21"/>
          <w:lang w:bidi="ar"/>
        </w:rPr>
        <w:t>8.2.11冷板式液冷系统应定期检测</w:t>
      </w:r>
      <w:r>
        <w:rPr>
          <w:rFonts w:hint="eastAsia"/>
          <w:sz w:val="24"/>
          <w:szCs w:val="21"/>
          <w:lang w:bidi="ar"/>
        </w:rPr>
        <w:t>用冷侧（</w:t>
      </w:r>
      <w:r>
        <w:rPr>
          <w:sz w:val="24"/>
          <w:szCs w:val="21"/>
          <w:lang w:bidi="ar"/>
        </w:rPr>
        <w:t>二次侧</w:t>
      </w:r>
      <w:r>
        <w:rPr>
          <w:rFonts w:hint="eastAsia"/>
          <w:sz w:val="24"/>
          <w:szCs w:val="21"/>
          <w:lang w:bidi="ar"/>
        </w:rPr>
        <w:t>）的</w:t>
      </w:r>
      <w:r>
        <w:rPr>
          <w:sz w:val="24"/>
          <w:szCs w:val="21"/>
          <w:lang w:bidi="ar"/>
        </w:rPr>
        <w:t>温度、压力、流量，并校核与设计值</w:t>
      </w:r>
      <w:r>
        <w:rPr>
          <w:rFonts w:hint="eastAsia"/>
          <w:sz w:val="24"/>
          <w:szCs w:val="21"/>
          <w:lang w:bidi="ar"/>
        </w:rPr>
        <w:t>的</w:t>
      </w:r>
      <w:r>
        <w:rPr>
          <w:sz w:val="24"/>
          <w:szCs w:val="21"/>
          <w:lang w:bidi="ar"/>
        </w:rPr>
        <w:t>偏差。</w:t>
      </w:r>
    </w:p>
    <w:p>
      <w:pPr>
        <w:spacing w:line="360" w:lineRule="auto"/>
        <w:ind w:left="454"/>
        <w:rPr>
          <w:sz w:val="24"/>
          <w:szCs w:val="24"/>
          <w:lang w:bidi="ar"/>
        </w:rPr>
      </w:pPr>
      <w:r>
        <w:rPr>
          <w:sz w:val="24"/>
          <w:szCs w:val="24"/>
          <w:lang w:bidi="ar"/>
        </w:rPr>
        <w:t>8.2.12 冷板式液冷冷却液运维要求</w:t>
      </w:r>
    </w:p>
    <w:p>
      <w:pPr>
        <w:numPr>
          <w:ilvl w:val="0"/>
          <w:numId w:val="31"/>
        </w:numPr>
        <w:tabs>
          <w:tab w:val="left" w:pos="425"/>
        </w:tabs>
        <w:spacing w:line="360" w:lineRule="auto"/>
        <w:ind w:left="930"/>
        <w:rPr>
          <w:sz w:val="24"/>
          <w:szCs w:val="24"/>
        </w:rPr>
      </w:pPr>
      <w:r>
        <w:rPr>
          <w:sz w:val="24"/>
          <w:szCs w:val="24"/>
          <w:lang w:bidi="ar"/>
        </w:rPr>
        <w:t>在冷板式液冷冷却液维护和使用时，应注意人员防护措施，防护设备和应急处理程序：保证充分的通风。</w:t>
      </w:r>
    </w:p>
    <w:p>
      <w:pPr>
        <w:spacing w:line="360" w:lineRule="auto"/>
        <w:ind w:left="840" w:leftChars="400"/>
        <w:rPr>
          <w:kern w:val="0"/>
          <w:sz w:val="24"/>
          <w:szCs w:val="24"/>
        </w:rPr>
      </w:pPr>
      <w:r>
        <w:rPr>
          <w:kern w:val="0"/>
          <w:sz w:val="24"/>
          <w:szCs w:val="24"/>
        </w:rPr>
        <w:t>条文说明：要求运维人员远离并位于泄漏区域的上风方向</w:t>
      </w:r>
      <w:r>
        <w:rPr>
          <w:rFonts w:hint="eastAsia"/>
          <w:kern w:val="0"/>
          <w:sz w:val="24"/>
          <w:szCs w:val="24"/>
        </w:rPr>
        <w:t>，</w:t>
      </w:r>
      <w:r>
        <w:rPr>
          <w:kern w:val="0"/>
          <w:sz w:val="24"/>
          <w:szCs w:val="24"/>
        </w:rPr>
        <w:t>避免冷却液的吸入，摄入和与皮肤和眼睛接触。如有摄入，确保在受过专门培训的人指导下进行清洁。</w:t>
      </w:r>
    </w:p>
    <w:p>
      <w:pPr>
        <w:numPr>
          <w:ilvl w:val="0"/>
          <w:numId w:val="31"/>
        </w:numPr>
        <w:tabs>
          <w:tab w:val="left" w:pos="425"/>
        </w:tabs>
        <w:spacing w:line="360" w:lineRule="auto"/>
        <w:ind w:left="930"/>
        <w:rPr>
          <w:sz w:val="24"/>
          <w:szCs w:val="24"/>
          <w:lang w:bidi="ar"/>
        </w:rPr>
      </w:pPr>
      <w:r>
        <w:rPr>
          <w:sz w:val="24"/>
          <w:szCs w:val="24"/>
          <w:lang w:bidi="ar"/>
        </w:rPr>
        <w:t>在维护时，应进行有效的房间排气通风，液冷冷却液房间内空气浓度中的危害组分应被控制在低于职业接触限值的浓度内。</w:t>
      </w:r>
    </w:p>
    <w:p>
      <w:pPr>
        <w:numPr>
          <w:ilvl w:val="0"/>
          <w:numId w:val="31"/>
        </w:numPr>
        <w:tabs>
          <w:tab w:val="left" w:pos="425"/>
        </w:tabs>
        <w:spacing w:line="360" w:lineRule="auto"/>
        <w:ind w:left="930"/>
        <w:rPr>
          <w:sz w:val="24"/>
          <w:szCs w:val="24"/>
          <w:lang w:bidi="ar"/>
        </w:rPr>
      </w:pPr>
      <w:r>
        <w:rPr>
          <w:sz w:val="24"/>
          <w:szCs w:val="24"/>
          <w:lang w:bidi="ar"/>
        </w:rPr>
        <w:t>人身保护设备应包括眼睛防护、手防护、皮肤保护、卫生措施四部分。</w:t>
      </w:r>
    </w:p>
    <w:p>
      <w:pPr>
        <w:numPr>
          <w:ilvl w:val="0"/>
          <w:numId w:val="31"/>
        </w:numPr>
        <w:tabs>
          <w:tab w:val="left" w:pos="425"/>
        </w:tabs>
        <w:spacing w:line="360" w:lineRule="auto"/>
        <w:ind w:left="930"/>
        <w:rPr>
          <w:sz w:val="24"/>
          <w:szCs w:val="24"/>
          <w:lang w:bidi="ar"/>
        </w:rPr>
      </w:pPr>
      <w:r>
        <w:rPr>
          <w:sz w:val="24"/>
          <w:szCs w:val="24"/>
          <w:lang w:bidi="ar"/>
        </w:rPr>
        <w:t>在冷却液使用时，应佩戴护目镜等眼睛防护设备。</w:t>
      </w:r>
    </w:p>
    <w:p>
      <w:pPr>
        <w:numPr>
          <w:ilvl w:val="0"/>
          <w:numId w:val="31"/>
        </w:numPr>
        <w:tabs>
          <w:tab w:val="left" w:pos="425"/>
        </w:tabs>
        <w:spacing w:line="360" w:lineRule="auto"/>
        <w:ind w:left="930"/>
        <w:rPr>
          <w:sz w:val="24"/>
          <w:szCs w:val="24"/>
          <w:lang w:bidi="ar"/>
        </w:rPr>
      </w:pPr>
      <w:r>
        <w:rPr>
          <w:sz w:val="24"/>
          <w:szCs w:val="24"/>
          <w:lang w:bidi="ar"/>
        </w:rPr>
        <w:t>在冷却液取用、运输时，应穿戴符合标准要求的防护手套，且手套需按照防护要求进行年检和更换。</w:t>
      </w:r>
    </w:p>
    <w:p>
      <w:pPr>
        <w:numPr>
          <w:ilvl w:val="0"/>
          <w:numId w:val="31"/>
        </w:numPr>
        <w:tabs>
          <w:tab w:val="left" w:pos="425"/>
        </w:tabs>
        <w:spacing w:line="360" w:lineRule="auto"/>
        <w:ind w:left="930"/>
        <w:rPr>
          <w:sz w:val="24"/>
          <w:szCs w:val="24"/>
          <w:lang w:bidi="ar"/>
        </w:rPr>
      </w:pPr>
      <w:r>
        <w:rPr>
          <w:sz w:val="24"/>
          <w:szCs w:val="24"/>
          <w:lang w:bidi="ar"/>
        </w:rPr>
        <w:t>在处理应急场景或大量接触冷却液时，应穿戴防护服，且防护服需按要求进行年检和更换。</w:t>
      </w:r>
    </w:p>
    <w:p>
      <w:pPr>
        <w:numPr>
          <w:ilvl w:val="0"/>
          <w:numId w:val="31"/>
        </w:numPr>
        <w:tabs>
          <w:tab w:val="left" w:pos="425"/>
        </w:tabs>
        <w:spacing w:line="360" w:lineRule="auto"/>
        <w:ind w:left="930"/>
        <w:rPr>
          <w:sz w:val="24"/>
          <w:szCs w:val="24"/>
          <w:lang w:bidi="ar"/>
        </w:rPr>
      </w:pPr>
      <w:r>
        <w:rPr>
          <w:sz w:val="24"/>
          <w:szCs w:val="24"/>
          <w:lang w:bidi="ar"/>
        </w:rPr>
        <w:t>在完成液冷冷却液的作业后，应彻底清洗脸部、手和任何暴露的皮肤。为防止接触或飞溅危害。</w:t>
      </w:r>
    </w:p>
    <w:p>
      <w:pPr>
        <w:spacing w:before="312" w:beforeLines="100" w:line="360" w:lineRule="auto"/>
        <w:ind w:firstLine="561" w:firstLineChars="200"/>
        <w:jc w:val="center"/>
        <w:outlineLvl w:val="1"/>
        <w:rPr>
          <w:b/>
          <w:sz w:val="28"/>
          <w:szCs w:val="24"/>
        </w:rPr>
      </w:pPr>
      <w:bookmarkStart w:id="154" w:name="_Toc2093535330"/>
      <w:r>
        <w:rPr>
          <w:b/>
          <w:sz w:val="28"/>
          <w:szCs w:val="24"/>
        </w:rPr>
        <w:t>8.3 液冷系统水质维护管理</w:t>
      </w:r>
      <w:bookmarkEnd w:id="154"/>
    </w:p>
    <w:p>
      <w:pPr>
        <w:pStyle w:val="26"/>
        <w:widowControl w:val="0"/>
        <w:spacing w:before="0" w:beforeAutospacing="0" w:after="0" w:afterAutospacing="0" w:line="360" w:lineRule="auto"/>
        <w:ind w:firstLine="480" w:firstLineChars="200"/>
        <w:rPr>
          <w:rFonts w:ascii="Times New Roman" w:hAnsi="Times New Roman" w:cs="Times New Roman"/>
          <w:kern w:val="2"/>
        </w:rPr>
      </w:pPr>
      <w:r>
        <w:rPr>
          <w:rFonts w:ascii="Times New Roman" w:hAnsi="Times New Roman" w:cs="Times New Roman"/>
          <w:kern w:val="2"/>
        </w:rPr>
        <w:t>8.3.1水系统类型分类根据应用形式，一般应分为间冷开式循环冷却水、一次侧闭式循环冷却水、乙二醇/丙二醇闭式循环冷却水、二次侧工质水（冷板式液冷冷却液）及干冷器喷淋水系统等。</w:t>
      </w:r>
    </w:p>
    <w:p>
      <w:pPr>
        <w:spacing w:line="360" w:lineRule="auto"/>
        <w:ind w:firstLine="480" w:firstLineChars="200"/>
        <w:rPr>
          <w:kern w:val="0"/>
          <w:sz w:val="24"/>
          <w:szCs w:val="24"/>
        </w:rPr>
      </w:pPr>
      <w:r>
        <w:rPr>
          <w:kern w:val="0"/>
          <w:sz w:val="24"/>
          <w:szCs w:val="24"/>
        </w:rPr>
        <w:t>条文说明：从系统架构可分为：一次侧冷源水系统和二次侧冷却液系统。从循环冷却水类型可分为：开式循环冷却水和闭式循环冷却水系统。</w:t>
      </w:r>
    </w:p>
    <w:p>
      <w:pPr>
        <w:spacing w:line="360" w:lineRule="auto"/>
        <w:ind w:firstLine="360" w:firstLineChars="150"/>
        <w:jc w:val="left"/>
        <w:rPr>
          <w:sz w:val="24"/>
          <w:szCs w:val="24"/>
        </w:rPr>
      </w:pPr>
      <w:r>
        <w:rPr>
          <w:sz w:val="24"/>
          <w:szCs w:val="24"/>
        </w:rPr>
        <w:t>8.3.2间冷开式循环冷却水水质日常运行指标应符合GB/T 50050-2017《工业循环冷却水处理设计规范》要求。</w:t>
      </w:r>
    </w:p>
    <w:p>
      <w:pPr>
        <w:spacing w:line="360" w:lineRule="auto"/>
        <w:ind w:firstLine="480" w:firstLineChars="200"/>
        <w:rPr>
          <w:kern w:val="0"/>
          <w:sz w:val="24"/>
          <w:szCs w:val="24"/>
        </w:rPr>
      </w:pPr>
      <w:r>
        <w:rPr>
          <w:kern w:val="0"/>
          <w:sz w:val="24"/>
          <w:szCs w:val="24"/>
        </w:rPr>
        <w:t>条文说明：间冷开式循环冷却水系统水质要求应根据补充水水质及换热设备的结构形式、材质、工况条件及腐蚀速率等并结合水处理剂配方等因素综合确定。</w:t>
      </w:r>
    </w:p>
    <w:p>
      <w:pPr>
        <w:spacing w:line="360" w:lineRule="auto"/>
        <w:ind w:firstLine="360" w:firstLineChars="150"/>
        <w:jc w:val="left"/>
        <w:rPr>
          <w:sz w:val="24"/>
          <w:szCs w:val="24"/>
        </w:rPr>
      </w:pPr>
      <w:r>
        <w:rPr>
          <w:sz w:val="24"/>
          <w:szCs w:val="24"/>
        </w:rPr>
        <w:t>8.3.3开式循环冷却水系统旁流过滤器出水浊度</w:t>
      </w:r>
      <w:r>
        <w:rPr>
          <w:rFonts w:hint="eastAsia"/>
          <w:sz w:val="24"/>
          <w:szCs w:val="24"/>
        </w:rPr>
        <w:t>应根据系统过滤精度确定，宜</w:t>
      </w:r>
      <w:r>
        <w:rPr>
          <w:sz w:val="24"/>
          <w:szCs w:val="24"/>
        </w:rPr>
        <w:t>小于3.0 NTU</w:t>
      </w:r>
      <w:r>
        <w:rPr>
          <w:rFonts w:hint="eastAsia"/>
          <w:sz w:val="24"/>
          <w:szCs w:val="24"/>
        </w:rPr>
        <w:t>，</w:t>
      </w:r>
      <w:r>
        <w:rPr>
          <w:sz w:val="24"/>
          <w:szCs w:val="24"/>
        </w:rPr>
        <w:t>旁滤水量宜为循环水量的1%</w:t>
      </w:r>
      <w:r>
        <w:rPr>
          <w:rFonts w:hint="eastAsia"/>
          <w:sz w:val="24"/>
          <w:szCs w:val="24"/>
        </w:rPr>
        <w:t>～</w:t>
      </w:r>
      <w:r>
        <w:rPr>
          <w:sz w:val="24"/>
          <w:szCs w:val="24"/>
        </w:rPr>
        <w:t>5%，对于多沙尘地区或空气灰尘指数偏高地区可适当提高。</w:t>
      </w:r>
    </w:p>
    <w:p>
      <w:pPr>
        <w:spacing w:line="360" w:lineRule="auto"/>
        <w:ind w:firstLine="360" w:firstLineChars="150"/>
        <w:jc w:val="left"/>
        <w:rPr>
          <w:sz w:val="24"/>
          <w:szCs w:val="24"/>
        </w:rPr>
      </w:pPr>
      <w:r>
        <w:rPr>
          <w:sz w:val="24"/>
          <w:szCs w:val="24"/>
        </w:rPr>
        <w:t>8.3.4开式循环冷却水系统运行时冷却水浓缩倍数</w:t>
      </w:r>
      <w:r>
        <w:rPr>
          <w:rFonts w:hint="eastAsia"/>
          <w:sz w:val="24"/>
          <w:szCs w:val="24"/>
        </w:rPr>
        <w:t>宜</w:t>
      </w:r>
      <w:r>
        <w:rPr>
          <w:sz w:val="24"/>
          <w:szCs w:val="24"/>
        </w:rPr>
        <w:t>控制最低不小于3.0。</w:t>
      </w:r>
    </w:p>
    <w:p>
      <w:pPr>
        <w:spacing w:line="360" w:lineRule="auto"/>
        <w:ind w:firstLine="360" w:firstLineChars="150"/>
        <w:jc w:val="left"/>
        <w:rPr>
          <w:sz w:val="24"/>
          <w:szCs w:val="24"/>
        </w:rPr>
      </w:pPr>
      <w:r>
        <w:rPr>
          <w:sz w:val="24"/>
          <w:szCs w:val="24"/>
        </w:rPr>
        <w:t>8.3.5间冷开式循环冷却水系统的钙硬度与全碱度之和大于1100 mg/L（以CaCO3计）或稳定指数RSI小于3.3时，应加酸或进行软化处理。</w:t>
      </w:r>
    </w:p>
    <w:p>
      <w:pPr>
        <w:spacing w:line="360" w:lineRule="auto"/>
        <w:ind w:firstLine="360" w:firstLineChars="150"/>
        <w:jc w:val="left"/>
        <w:rPr>
          <w:sz w:val="24"/>
          <w:szCs w:val="24"/>
        </w:rPr>
      </w:pPr>
      <w:r>
        <w:rPr>
          <w:sz w:val="24"/>
          <w:szCs w:val="24"/>
        </w:rPr>
        <w:t>8.3.6系统中存在铜合金换热设备时，水处理药剂配方应有铜缓蚀剂。</w:t>
      </w:r>
    </w:p>
    <w:p>
      <w:pPr>
        <w:spacing w:line="360" w:lineRule="auto"/>
        <w:ind w:firstLine="360" w:firstLineChars="150"/>
        <w:jc w:val="left"/>
        <w:rPr>
          <w:sz w:val="24"/>
          <w:szCs w:val="24"/>
        </w:rPr>
      </w:pPr>
      <w:r>
        <w:rPr>
          <w:sz w:val="24"/>
          <w:szCs w:val="24"/>
        </w:rPr>
        <w:t>8.3.7冷却水微生物控制宜以氧化型杀菌剂为主，非氧化型杀菌剂为辅。</w:t>
      </w:r>
    </w:p>
    <w:p>
      <w:pPr>
        <w:spacing w:line="360" w:lineRule="auto"/>
        <w:ind w:firstLine="360" w:firstLineChars="150"/>
        <w:jc w:val="left"/>
        <w:rPr>
          <w:sz w:val="24"/>
          <w:szCs w:val="24"/>
        </w:rPr>
      </w:pPr>
      <w:r>
        <w:rPr>
          <w:sz w:val="24"/>
          <w:szCs w:val="24"/>
        </w:rPr>
        <w:t>8.3.8碳钢设备传热面水侧腐蚀速率应小于0.075 mm/a；不锈钢及铜设备传热面水侧腐蚀速率应小于0.005 mm/a；铝及铝合金设备传热面水侧腐蚀速率应小于0.0125 mm/a</w:t>
      </w:r>
      <w:r>
        <w:rPr>
          <w:rFonts w:hint="eastAsia"/>
          <w:sz w:val="24"/>
          <w:szCs w:val="24"/>
        </w:rPr>
        <w:t>，</w:t>
      </w:r>
      <w:r>
        <w:rPr>
          <w:sz w:val="24"/>
          <w:szCs w:val="24"/>
        </w:rPr>
        <w:t>且在系统停用期间，应采取停用保养措施。</w:t>
      </w:r>
    </w:p>
    <w:p>
      <w:pPr>
        <w:spacing w:line="360" w:lineRule="auto"/>
        <w:ind w:firstLine="360" w:firstLineChars="150"/>
        <w:jc w:val="left"/>
        <w:rPr>
          <w:sz w:val="24"/>
          <w:szCs w:val="24"/>
        </w:rPr>
      </w:pPr>
      <w:r>
        <w:rPr>
          <w:sz w:val="24"/>
          <w:szCs w:val="24"/>
        </w:rPr>
        <w:t>8.3.9一次侧闭式循环冷却水系统水质指标应根据系统特性、兼容性（包括所有材质如碳钢、不锈钢、铜及铝等）、腐蚀速率及用水设备的要求并结合水处理药剂配方等综合因素确定。</w:t>
      </w:r>
    </w:p>
    <w:p>
      <w:pPr>
        <w:spacing w:line="360" w:lineRule="auto"/>
        <w:ind w:firstLine="480" w:firstLineChars="200"/>
        <w:rPr>
          <w:kern w:val="0"/>
          <w:sz w:val="24"/>
          <w:szCs w:val="24"/>
        </w:rPr>
      </w:pPr>
      <w:r>
        <w:rPr>
          <w:kern w:val="0"/>
          <w:sz w:val="24"/>
          <w:szCs w:val="24"/>
        </w:rPr>
        <w:t>条文说明：一次侧闭式循环冷却水系统补充水</w:t>
      </w:r>
      <w:r>
        <w:rPr>
          <w:rFonts w:hint="eastAsia"/>
          <w:kern w:val="0"/>
          <w:sz w:val="24"/>
          <w:szCs w:val="24"/>
        </w:rPr>
        <w:t>可</w:t>
      </w:r>
      <w:r>
        <w:rPr>
          <w:kern w:val="0"/>
          <w:sz w:val="24"/>
          <w:szCs w:val="24"/>
        </w:rPr>
        <w:t>采用软化水或去离子水，以降低系统结垢沉积风险。</w:t>
      </w:r>
    </w:p>
    <w:p>
      <w:pPr>
        <w:spacing w:line="360" w:lineRule="auto"/>
        <w:ind w:firstLine="360" w:firstLineChars="150"/>
        <w:jc w:val="left"/>
        <w:rPr>
          <w:sz w:val="24"/>
          <w:szCs w:val="24"/>
        </w:rPr>
      </w:pPr>
      <w:r>
        <w:rPr>
          <w:sz w:val="24"/>
          <w:szCs w:val="24"/>
        </w:rPr>
        <w:t>8.3.10一次侧闭式循环冷却水系统宜安装旁流过滤器，旁滤水量宜为系统水量的1%-5%，旁流过滤器出水浊度应小于3.0 NTU。</w:t>
      </w:r>
    </w:p>
    <w:p>
      <w:pPr>
        <w:spacing w:line="360" w:lineRule="auto"/>
        <w:ind w:firstLine="360" w:firstLineChars="150"/>
        <w:jc w:val="left"/>
        <w:rPr>
          <w:sz w:val="24"/>
          <w:szCs w:val="24"/>
        </w:rPr>
      </w:pPr>
      <w:r>
        <w:rPr>
          <w:sz w:val="24"/>
          <w:szCs w:val="24"/>
        </w:rPr>
        <w:t>8.3.11一次侧闭式循环冷却水系统宜安装比系统管道过滤器精度更高的旁滤器，能够在不影响系统正常流量的情况下，持续改善系统水质。</w:t>
      </w:r>
    </w:p>
    <w:p>
      <w:pPr>
        <w:spacing w:line="360" w:lineRule="auto"/>
        <w:ind w:firstLine="360" w:firstLineChars="150"/>
        <w:jc w:val="left"/>
        <w:rPr>
          <w:sz w:val="24"/>
          <w:szCs w:val="24"/>
        </w:rPr>
      </w:pPr>
      <w:r>
        <w:rPr>
          <w:sz w:val="24"/>
          <w:szCs w:val="24"/>
        </w:rPr>
        <w:t>8.3.12一次侧闭式循环冷却水系统中有铜合金或/和铝及铝合金换热设备时，水处理药剂配方应有铜缓蚀剂或/和铝及铝合金缓蚀剂。</w:t>
      </w:r>
    </w:p>
    <w:p>
      <w:pPr>
        <w:spacing w:line="360" w:lineRule="auto"/>
        <w:ind w:firstLine="360" w:firstLineChars="150"/>
        <w:jc w:val="left"/>
        <w:rPr>
          <w:sz w:val="24"/>
          <w:szCs w:val="24"/>
        </w:rPr>
      </w:pPr>
      <w:r>
        <w:rPr>
          <w:sz w:val="24"/>
          <w:szCs w:val="24"/>
        </w:rPr>
        <w:t>8.3.13一次侧闭式冷却水系统宜根据微生物监测数据不定期投加非氧化型杀菌剂。除了日常监控主体水质外，应定期监测末端水质并采取相应处理措施进行管理。且在停用期间，应采取停用保养措施。</w:t>
      </w:r>
    </w:p>
    <w:p>
      <w:pPr>
        <w:spacing w:line="360" w:lineRule="auto"/>
        <w:ind w:firstLine="360" w:firstLineChars="150"/>
        <w:jc w:val="left"/>
        <w:rPr>
          <w:sz w:val="24"/>
          <w:szCs w:val="24"/>
        </w:rPr>
      </w:pPr>
      <w:r>
        <w:rPr>
          <w:sz w:val="24"/>
          <w:szCs w:val="24"/>
        </w:rPr>
        <w:t>8.3.14乙二醇/丙二醇闭式循环冷却水系统水质管理也应根据系统特性、兼容性（包括所有材质如碳钢、不锈钢、铜及铝等）、腐蚀速率及用水设备的要求并结合水处理药剂配方等综合因素确定。</w:t>
      </w:r>
    </w:p>
    <w:p>
      <w:pPr>
        <w:spacing w:line="360" w:lineRule="auto"/>
        <w:ind w:firstLine="360" w:firstLineChars="150"/>
        <w:jc w:val="left"/>
        <w:rPr>
          <w:sz w:val="24"/>
          <w:szCs w:val="24"/>
        </w:rPr>
      </w:pPr>
      <w:r>
        <w:rPr>
          <w:sz w:val="24"/>
          <w:szCs w:val="24"/>
        </w:rPr>
        <w:t>8.3.15乙二醇/丙二醇闭式循环冷却水系统宜安装旁流过滤器，旁滤水量宜为系统水量的1%</w:t>
      </w:r>
      <w:r>
        <w:rPr>
          <w:rFonts w:hint="eastAsia"/>
          <w:sz w:val="24"/>
          <w:szCs w:val="24"/>
        </w:rPr>
        <w:t>～</w:t>
      </w:r>
      <w:r>
        <w:rPr>
          <w:sz w:val="24"/>
          <w:szCs w:val="24"/>
        </w:rPr>
        <w:t>5%，旁流过滤器出水浊度应小于3.0 NTU。</w:t>
      </w:r>
    </w:p>
    <w:p>
      <w:pPr>
        <w:spacing w:line="360" w:lineRule="auto"/>
        <w:ind w:firstLine="360" w:firstLineChars="150"/>
        <w:jc w:val="left"/>
        <w:rPr>
          <w:sz w:val="24"/>
          <w:szCs w:val="24"/>
        </w:rPr>
      </w:pPr>
      <w:r>
        <w:rPr>
          <w:sz w:val="24"/>
          <w:szCs w:val="24"/>
        </w:rPr>
        <w:t>8.3.16乙二醇/丙二醇闭式循环冷却水系统宜安装比系统管道过滤器精度更高的旁滤器，能够在不影响系统正常流量的情况下，持续改善系统水质。</w:t>
      </w:r>
    </w:p>
    <w:p>
      <w:pPr>
        <w:spacing w:line="360" w:lineRule="auto"/>
        <w:ind w:firstLine="360" w:firstLineChars="150"/>
        <w:jc w:val="left"/>
        <w:rPr>
          <w:sz w:val="24"/>
          <w:szCs w:val="24"/>
        </w:rPr>
      </w:pPr>
      <w:r>
        <w:rPr>
          <w:sz w:val="24"/>
          <w:szCs w:val="24"/>
        </w:rPr>
        <w:t>8.3.17一次侧闭式循环冷却水系统中有铜合金或/和铝及铝合金换热设备时，水处理药剂配方应有铜缓蚀剂或/和铝及铝合金缓蚀剂。</w:t>
      </w:r>
    </w:p>
    <w:p>
      <w:pPr>
        <w:spacing w:line="360" w:lineRule="auto"/>
        <w:ind w:firstLine="360" w:firstLineChars="150"/>
        <w:jc w:val="left"/>
        <w:rPr>
          <w:sz w:val="24"/>
          <w:szCs w:val="24"/>
        </w:rPr>
      </w:pPr>
      <w:r>
        <w:rPr>
          <w:sz w:val="24"/>
          <w:szCs w:val="24"/>
        </w:rPr>
        <w:t>8.3.18闭式冷却水系统宜根据微生物监测数据不定期投加非氧化型杀菌剂，腐蚀率应参考间冷开式循环冷却水系统。</w:t>
      </w:r>
    </w:p>
    <w:p>
      <w:pPr>
        <w:spacing w:line="360" w:lineRule="auto"/>
        <w:ind w:firstLine="360" w:firstLineChars="150"/>
        <w:jc w:val="left"/>
        <w:rPr>
          <w:sz w:val="24"/>
          <w:szCs w:val="24"/>
        </w:rPr>
      </w:pPr>
      <w:r>
        <w:rPr>
          <w:sz w:val="24"/>
          <w:szCs w:val="24"/>
        </w:rPr>
        <w:t>8.3.19乙二醇/丙二醇等溶液投用前应确认符合行业通用要求。应定期检测乙二醇/丙二醇等溶液有效浓度并跟踪变化趋势并采用相应改善措施。除了日常监控主体水质外，应定期监测末端水质并采取相应处理措施进行管理。且在停用期间，应采取停用保养措施。</w:t>
      </w:r>
    </w:p>
    <w:p>
      <w:pPr>
        <w:spacing w:line="360" w:lineRule="auto"/>
        <w:ind w:firstLine="360" w:firstLineChars="150"/>
        <w:jc w:val="left"/>
        <w:rPr>
          <w:sz w:val="24"/>
          <w:szCs w:val="24"/>
        </w:rPr>
      </w:pPr>
      <w:r>
        <w:rPr>
          <w:sz w:val="24"/>
          <w:szCs w:val="24"/>
        </w:rPr>
        <w:t>8.3.20二次侧工质水（冷板式液冷冷却液）系统水质管理应根据系统特性、兼容性（包括所有材质如不锈钢、铜及铝等）、腐蚀速率及用水设备的特定要求并结合水处理方案等综合因素确定。</w:t>
      </w:r>
    </w:p>
    <w:p>
      <w:pPr>
        <w:spacing w:line="360" w:lineRule="auto"/>
        <w:ind w:firstLine="360" w:firstLineChars="150"/>
        <w:jc w:val="left"/>
        <w:rPr>
          <w:sz w:val="24"/>
          <w:szCs w:val="24"/>
        </w:rPr>
      </w:pPr>
      <w:r>
        <w:rPr>
          <w:sz w:val="24"/>
          <w:szCs w:val="24"/>
        </w:rPr>
        <w:t>8.3.21二次侧工质水系统溶液补充水根据使用端水质进行配置，宜采用去离子水、乙二醇溶液或丙二醇溶液，以降低系统结垢沉积风险。</w:t>
      </w:r>
    </w:p>
    <w:p>
      <w:pPr>
        <w:spacing w:line="360" w:lineRule="auto"/>
        <w:ind w:firstLine="360" w:firstLineChars="150"/>
        <w:jc w:val="left"/>
        <w:rPr>
          <w:sz w:val="24"/>
          <w:szCs w:val="24"/>
        </w:rPr>
      </w:pPr>
      <w:r>
        <w:rPr>
          <w:sz w:val="24"/>
          <w:szCs w:val="24"/>
        </w:rPr>
        <w:t>8.3.22二次侧工质水系统宜安装比系统管道过滤器精度更高的旁路精密滤器，能够在不影响系统正常流量的情况下，持续改善系统水质。</w:t>
      </w:r>
    </w:p>
    <w:p>
      <w:pPr>
        <w:spacing w:line="360" w:lineRule="auto"/>
        <w:ind w:firstLine="360" w:firstLineChars="150"/>
        <w:jc w:val="left"/>
        <w:rPr>
          <w:sz w:val="24"/>
          <w:szCs w:val="24"/>
        </w:rPr>
      </w:pPr>
      <w:r>
        <w:rPr>
          <w:sz w:val="24"/>
          <w:szCs w:val="24"/>
        </w:rPr>
        <w:t>8.3.23二次侧工质水系统中有铜合金或/和铝及铝合金换热设备时，水处理药剂配方应有铜缓蚀剂或/和铝缓蚀剂。</w:t>
      </w:r>
    </w:p>
    <w:p>
      <w:pPr>
        <w:spacing w:line="360" w:lineRule="auto"/>
        <w:ind w:firstLine="360" w:firstLineChars="150"/>
        <w:jc w:val="left"/>
        <w:rPr>
          <w:sz w:val="24"/>
          <w:szCs w:val="24"/>
        </w:rPr>
      </w:pPr>
      <w:r>
        <w:rPr>
          <w:sz w:val="24"/>
          <w:szCs w:val="24"/>
        </w:rPr>
        <w:t>8.3.24二次侧工质水系统宜根据微生物监测数据不定期投加非氧化型杀菌剂，腐蚀率应参考间冷开式循环冷却水系统。</w:t>
      </w:r>
    </w:p>
    <w:p>
      <w:pPr>
        <w:spacing w:line="360" w:lineRule="auto"/>
        <w:ind w:firstLine="360" w:firstLineChars="150"/>
        <w:jc w:val="left"/>
        <w:rPr>
          <w:sz w:val="24"/>
          <w:szCs w:val="24"/>
        </w:rPr>
      </w:pPr>
      <w:r>
        <w:rPr>
          <w:sz w:val="24"/>
          <w:szCs w:val="24"/>
        </w:rPr>
        <w:t>8.3.25如工质水为乙二醇/丙二醇等溶液，投用前应确认符合行业通用要求。应定期检测乙二醇/丙二醇等溶液有效浓度和跟踪变化趋势并采用相应改善措施</w:t>
      </w:r>
      <w:r>
        <w:rPr>
          <w:rFonts w:hint="eastAsia"/>
          <w:sz w:val="24"/>
          <w:szCs w:val="24"/>
        </w:rPr>
        <w:t>；</w:t>
      </w:r>
      <w:r>
        <w:rPr>
          <w:sz w:val="24"/>
          <w:szCs w:val="24"/>
        </w:rPr>
        <w:t>除了日常监控主体水质外，应定期监测末端水质并采取相应处理措施进行管理。且在停用期间，应采取停用保养措施。</w:t>
      </w:r>
    </w:p>
    <w:p>
      <w:pPr>
        <w:spacing w:line="360" w:lineRule="auto"/>
        <w:ind w:firstLine="360" w:firstLineChars="150"/>
        <w:jc w:val="left"/>
        <w:rPr>
          <w:sz w:val="24"/>
          <w:szCs w:val="24"/>
        </w:rPr>
      </w:pPr>
      <w:r>
        <w:rPr>
          <w:sz w:val="24"/>
          <w:szCs w:val="24"/>
        </w:rPr>
        <w:t>8.3.26干冷器喷淋水系统水质管理中，为了降低干冷器冷却翅片表面结垢及可溶盐类析出沉积风险，喷淋水补水宜采用去离子水如RO水。结合材质兼容性及水处理方案等因素确定冷却水水质。</w:t>
      </w:r>
    </w:p>
    <w:p>
      <w:pPr>
        <w:spacing w:line="360" w:lineRule="auto"/>
        <w:ind w:firstLine="360" w:firstLineChars="150"/>
        <w:jc w:val="left"/>
        <w:rPr>
          <w:sz w:val="24"/>
          <w:szCs w:val="24"/>
        </w:rPr>
      </w:pPr>
      <w:r>
        <w:rPr>
          <w:sz w:val="24"/>
          <w:szCs w:val="24"/>
        </w:rPr>
        <w:t>8.3.27系统中有铜合金或/和铝及铝合金换热设备时，水处理药剂配方应有铜缓蚀剂或/和铝缓蚀剂</w:t>
      </w:r>
      <w:r>
        <w:rPr>
          <w:rFonts w:hint="eastAsia"/>
          <w:sz w:val="24"/>
          <w:szCs w:val="24"/>
        </w:rPr>
        <w:t>，</w:t>
      </w:r>
      <w:r>
        <w:rPr>
          <w:sz w:val="24"/>
          <w:szCs w:val="24"/>
        </w:rPr>
        <w:t>喷淋水微生物控制宜以氧化型杀菌剂为主，非氧化型杀菌剂为辅。</w:t>
      </w:r>
    </w:p>
    <w:p>
      <w:pPr>
        <w:ind w:firstLine="420" w:firstLineChars="200"/>
        <w:jc w:val="left"/>
        <w:rPr>
          <w:rFonts w:eastAsia="微软雅黑"/>
          <w:szCs w:val="21"/>
          <w:lang w:bidi="ar"/>
        </w:rPr>
      </w:pPr>
    </w:p>
    <w:p>
      <w:pPr>
        <w:spacing w:line="360" w:lineRule="auto"/>
        <w:rPr>
          <w:rFonts w:eastAsia="微软雅黑"/>
        </w:rPr>
        <w:sectPr>
          <w:pgSz w:w="11906" w:h="16838"/>
          <w:pgMar w:top="1440" w:right="1800" w:bottom="1440" w:left="1800" w:header="851" w:footer="992" w:gutter="0"/>
          <w:cols w:space="425" w:num="1"/>
          <w:docGrid w:type="lines" w:linePitch="312" w:charSpace="0"/>
        </w:sectPr>
      </w:pPr>
    </w:p>
    <w:p>
      <w:pPr>
        <w:spacing w:line="360" w:lineRule="auto"/>
        <w:ind w:firstLine="601" w:firstLineChars="200"/>
        <w:jc w:val="center"/>
        <w:outlineLvl w:val="0"/>
        <w:rPr>
          <w:rFonts w:eastAsia="微软雅黑"/>
          <w:sz w:val="32"/>
          <w:szCs w:val="32"/>
        </w:rPr>
      </w:pPr>
      <w:bookmarkStart w:id="155" w:name="_Toc1676218862"/>
      <w:r>
        <w:rPr>
          <w:b/>
          <w:sz w:val="30"/>
          <w:szCs w:val="30"/>
        </w:rPr>
        <w:t>用词说明</w:t>
      </w:r>
      <w:bookmarkEnd w:id="155"/>
    </w:p>
    <w:p>
      <w:pPr>
        <w:spacing w:line="360" w:lineRule="auto"/>
        <w:ind w:firstLine="480" w:firstLineChars="200"/>
        <w:rPr>
          <w:sz w:val="24"/>
        </w:rPr>
      </w:pPr>
      <w:r>
        <w:rPr>
          <w:sz w:val="24"/>
        </w:rPr>
        <w:t>为便于在执行本《数据中心液冷系统技术规程》标准条款时区别对待，对要求严格程度不同的用词说明如下：</w:t>
      </w:r>
    </w:p>
    <w:p>
      <w:pPr>
        <w:numPr>
          <w:ilvl w:val="0"/>
          <w:numId w:val="32"/>
        </w:numPr>
        <w:tabs>
          <w:tab w:val="left" w:pos="425"/>
        </w:tabs>
        <w:spacing w:line="360" w:lineRule="auto"/>
        <w:rPr>
          <w:sz w:val="24"/>
        </w:rPr>
      </w:pPr>
      <w:r>
        <w:rPr>
          <w:sz w:val="24"/>
        </w:rPr>
        <w:t>表示很严格，非这样做不可的：</w:t>
      </w:r>
    </w:p>
    <w:p>
      <w:pPr>
        <w:spacing w:line="360" w:lineRule="auto"/>
        <w:ind w:firstLine="480" w:firstLineChars="200"/>
        <w:rPr>
          <w:sz w:val="24"/>
        </w:rPr>
      </w:pPr>
      <w:r>
        <w:rPr>
          <w:sz w:val="24"/>
        </w:rPr>
        <w:t>正面词采用“必须”，反面词采用“严禁”；</w:t>
      </w:r>
    </w:p>
    <w:p>
      <w:pPr>
        <w:numPr>
          <w:ilvl w:val="0"/>
          <w:numId w:val="32"/>
        </w:numPr>
        <w:tabs>
          <w:tab w:val="left" w:pos="425"/>
        </w:tabs>
        <w:spacing w:line="360" w:lineRule="auto"/>
        <w:rPr>
          <w:sz w:val="24"/>
        </w:rPr>
      </w:pPr>
      <w:r>
        <w:rPr>
          <w:sz w:val="24"/>
        </w:rPr>
        <w:t>表示严格，在正常情况下均应这样做的：</w:t>
      </w:r>
    </w:p>
    <w:p>
      <w:pPr>
        <w:spacing w:line="360" w:lineRule="auto"/>
        <w:ind w:firstLine="480" w:firstLineChars="200"/>
        <w:rPr>
          <w:sz w:val="24"/>
        </w:rPr>
      </w:pPr>
      <w:r>
        <w:rPr>
          <w:sz w:val="24"/>
        </w:rPr>
        <w:t>正面词采用“应”，反面词采用“不应”或“不得”；</w:t>
      </w:r>
    </w:p>
    <w:p>
      <w:pPr>
        <w:numPr>
          <w:ilvl w:val="0"/>
          <w:numId w:val="32"/>
        </w:numPr>
        <w:tabs>
          <w:tab w:val="left" w:pos="425"/>
        </w:tabs>
        <w:spacing w:line="360" w:lineRule="auto"/>
        <w:rPr>
          <w:sz w:val="24"/>
        </w:rPr>
      </w:pPr>
      <w:r>
        <w:rPr>
          <w:sz w:val="24"/>
        </w:rPr>
        <w:t>表示允许稍有选择，在条件许可时首先应这样做的：</w:t>
      </w:r>
    </w:p>
    <w:p>
      <w:pPr>
        <w:spacing w:line="360" w:lineRule="auto"/>
        <w:ind w:firstLine="480" w:firstLineChars="200"/>
        <w:rPr>
          <w:sz w:val="24"/>
        </w:rPr>
      </w:pPr>
      <w:r>
        <w:rPr>
          <w:sz w:val="24"/>
        </w:rPr>
        <w:t>正面词采用“宜”，反面词采用“不宜”；</w:t>
      </w:r>
    </w:p>
    <w:p>
      <w:pPr>
        <w:numPr>
          <w:ilvl w:val="0"/>
          <w:numId w:val="32"/>
        </w:numPr>
        <w:tabs>
          <w:tab w:val="left" w:pos="425"/>
        </w:tabs>
        <w:spacing w:line="360" w:lineRule="auto"/>
        <w:rPr>
          <w:sz w:val="24"/>
        </w:rPr>
      </w:pPr>
      <w:r>
        <w:rPr>
          <w:sz w:val="24"/>
        </w:rPr>
        <w:t>表示有选择，在一定条件下可以这样做的，采用“可”。</w:t>
      </w:r>
    </w:p>
    <w:p>
      <w:pPr>
        <w:rPr>
          <w:rFonts w:eastAsia="微软雅黑"/>
        </w:rPr>
      </w:pPr>
      <w:r>
        <w:rPr>
          <w:rFonts w:eastAsia="微软雅黑"/>
        </w:rPr>
        <w:br w:type="page"/>
      </w:r>
    </w:p>
    <w:p>
      <w:pPr>
        <w:spacing w:line="360" w:lineRule="auto"/>
        <w:ind w:firstLine="601" w:firstLineChars="200"/>
        <w:jc w:val="center"/>
        <w:outlineLvl w:val="0"/>
        <w:rPr>
          <w:b/>
          <w:sz w:val="30"/>
          <w:szCs w:val="30"/>
        </w:rPr>
      </w:pPr>
      <w:bookmarkStart w:id="156" w:name="_Toc1519932288"/>
      <w:r>
        <w:rPr>
          <w:b/>
          <w:sz w:val="30"/>
          <w:szCs w:val="30"/>
        </w:rPr>
        <w:t>引用标准名录</w:t>
      </w:r>
      <w:bookmarkEnd w:id="156"/>
    </w:p>
    <w:p>
      <w:pPr>
        <w:spacing w:line="360" w:lineRule="auto"/>
        <w:ind w:firstLine="480" w:firstLineChars="200"/>
        <w:rPr>
          <w:sz w:val="24"/>
          <w:szCs w:val="24"/>
          <w:lang w:bidi="ar"/>
        </w:rPr>
      </w:pPr>
      <w:r>
        <w:rPr>
          <w:sz w:val="24"/>
          <w:szCs w:val="24"/>
          <w:lang w:bidi="ar"/>
        </w:rPr>
        <w:t>本导则引用下列标准。其中，注日期的，仅对该日期对应的版本适用本导则；不注日期的，其最新版适用于本导则。</w:t>
      </w:r>
    </w:p>
    <w:p>
      <w:pPr>
        <w:spacing w:line="360" w:lineRule="auto"/>
        <w:ind w:firstLine="480" w:firstLineChars="200"/>
        <w:rPr>
          <w:sz w:val="24"/>
          <w:szCs w:val="24"/>
        </w:rPr>
      </w:pPr>
      <w:r>
        <w:rPr>
          <w:sz w:val="24"/>
          <w:szCs w:val="24"/>
          <w:lang w:bidi="ar"/>
        </w:rPr>
        <w:t>数据中心设计规范 GB 50174-2017</w:t>
      </w:r>
    </w:p>
    <w:p>
      <w:pPr>
        <w:spacing w:line="360" w:lineRule="auto"/>
        <w:ind w:firstLine="480" w:firstLineChars="200"/>
        <w:rPr>
          <w:sz w:val="24"/>
          <w:szCs w:val="24"/>
        </w:rPr>
      </w:pPr>
      <w:r>
        <w:rPr>
          <w:sz w:val="24"/>
          <w:szCs w:val="24"/>
          <w:lang w:bidi="ar"/>
        </w:rPr>
        <w:t>工业建筑供暖通风与空气调节设计规范 GB50019</w:t>
      </w:r>
    </w:p>
    <w:p>
      <w:pPr>
        <w:spacing w:line="360" w:lineRule="auto"/>
        <w:ind w:firstLine="480" w:firstLineChars="200"/>
        <w:rPr>
          <w:sz w:val="24"/>
          <w:szCs w:val="24"/>
        </w:rPr>
      </w:pPr>
      <w:r>
        <w:rPr>
          <w:sz w:val="24"/>
          <w:szCs w:val="24"/>
          <w:lang w:bidi="ar"/>
        </w:rPr>
        <w:t>室内空气质量标准 GB/T188 83-2022</w:t>
      </w:r>
    </w:p>
    <w:p>
      <w:pPr>
        <w:spacing w:line="360" w:lineRule="auto"/>
        <w:ind w:firstLine="480" w:firstLineChars="200"/>
        <w:rPr>
          <w:sz w:val="24"/>
          <w:szCs w:val="24"/>
        </w:rPr>
      </w:pPr>
      <w:r>
        <w:rPr>
          <w:sz w:val="24"/>
          <w:szCs w:val="24"/>
          <w:lang w:bidi="ar"/>
        </w:rPr>
        <w:t>外壳防护等级（IP代码） GB4208</w:t>
      </w:r>
    </w:p>
    <w:p>
      <w:pPr>
        <w:spacing w:line="360" w:lineRule="auto"/>
        <w:ind w:firstLine="480" w:firstLineChars="200"/>
        <w:rPr>
          <w:sz w:val="24"/>
          <w:szCs w:val="24"/>
        </w:rPr>
      </w:pPr>
      <w:r>
        <w:rPr>
          <w:sz w:val="24"/>
          <w:szCs w:val="24"/>
          <w:lang w:bidi="ar"/>
        </w:rPr>
        <w:t>机械通风冷却塔 GB/T 7190-2018</w:t>
      </w:r>
    </w:p>
    <w:p>
      <w:pPr>
        <w:spacing w:line="360" w:lineRule="auto"/>
        <w:ind w:firstLine="480" w:firstLineChars="200"/>
        <w:rPr>
          <w:sz w:val="24"/>
          <w:szCs w:val="24"/>
        </w:rPr>
      </w:pPr>
      <w:r>
        <w:rPr>
          <w:sz w:val="24"/>
          <w:szCs w:val="24"/>
          <w:lang w:bidi="ar"/>
        </w:rPr>
        <w:t>建筑设计防火规范 GB50016-2018</w:t>
      </w:r>
    </w:p>
    <w:p>
      <w:pPr>
        <w:spacing w:line="360" w:lineRule="auto"/>
        <w:ind w:firstLine="480" w:firstLineChars="200"/>
        <w:rPr>
          <w:sz w:val="24"/>
          <w:szCs w:val="24"/>
        </w:rPr>
      </w:pPr>
      <w:r>
        <w:rPr>
          <w:sz w:val="24"/>
          <w:szCs w:val="24"/>
          <w:lang w:bidi="ar"/>
        </w:rPr>
        <w:t>气体灭火系统设计规范 GB50370</w:t>
      </w:r>
    </w:p>
    <w:p>
      <w:pPr>
        <w:spacing w:line="360" w:lineRule="auto"/>
        <w:ind w:firstLine="480" w:firstLineChars="200"/>
        <w:rPr>
          <w:sz w:val="24"/>
          <w:szCs w:val="24"/>
        </w:rPr>
      </w:pPr>
      <w:r>
        <w:rPr>
          <w:sz w:val="24"/>
          <w:szCs w:val="24"/>
          <w:lang w:bidi="ar"/>
        </w:rPr>
        <w:t>细水雾灭火系统技术规范 GB50898</w:t>
      </w:r>
    </w:p>
    <w:p>
      <w:pPr>
        <w:spacing w:line="360" w:lineRule="auto"/>
        <w:ind w:firstLine="480" w:firstLineChars="200"/>
        <w:rPr>
          <w:sz w:val="24"/>
          <w:szCs w:val="24"/>
        </w:rPr>
      </w:pPr>
      <w:r>
        <w:rPr>
          <w:sz w:val="24"/>
          <w:szCs w:val="24"/>
          <w:lang w:bidi="ar"/>
        </w:rPr>
        <w:t>自动喷水灭火系统设计规范 GB50084</w:t>
      </w:r>
    </w:p>
    <w:p>
      <w:pPr>
        <w:spacing w:line="360" w:lineRule="auto"/>
        <w:ind w:firstLine="480" w:firstLineChars="200"/>
        <w:rPr>
          <w:sz w:val="24"/>
          <w:szCs w:val="28"/>
        </w:rPr>
      </w:pPr>
      <w:r>
        <w:rPr>
          <w:sz w:val="24"/>
          <w:szCs w:val="24"/>
          <w:lang w:bidi="ar"/>
        </w:rPr>
        <w:t>电动机能效限定值及能效等级 GB 18613</w:t>
      </w:r>
    </w:p>
    <w:p>
      <w:pPr>
        <w:spacing w:line="360" w:lineRule="auto"/>
        <w:ind w:firstLine="420" w:firstLineChars="200"/>
        <w:jc w:val="center"/>
        <w:outlineLvl w:val="0"/>
        <w:rPr>
          <w:rFonts w:eastAsia="微软雅黑"/>
          <w:sz w:val="28"/>
          <w:szCs w:val="28"/>
        </w:rPr>
      </w:pPr>
      <w:r>
        <w:rPr>
          <w:rFonts w:eastAsia="微软雅黑"/>
        </w:rPr>
        <w:br w:type="page"/>
      </w:r>
      <w:bookmarkStart w:id="157" w:name="_Toc1183983351"/>
      <w:r>
        <w:rPr>
          <w:b/>
          <w:sz w:val="30"/>
          <w:szCs w:val="30"/>
        </w:rPr>
        <w:t>附：条文说明</w:t>
      </w:r>
      <w:bookmarkEnd w:id="157"/>
    </w:p>
    <w:p>
      <w:pPr>
        <w:jc w:val="center"/>
        <w:rPr>
          <w:rFonts w:eastAsia="微软雅黑"/>
          <w:sz w:val="32"/>
          <w:szCs w:val="32"/>
        </w:rPr>
      </w:pPr>
    </w:p>
    <w:p>
      <w:pPr>
        <w:jc w:val="center"/>
        <w:rPr>
          <w:sz w:val="30"/>
          <w:szCs w:val="30"/>
        </w:rPr>
      </w:pPr>
      <w:r>
        <w:rPr>
          <w:sz w:val="30"/>
          <w:szCs w:val="30"/>
        </w:rPr>
        <w:t>中国工程建设标准化协会标准</w:t>
      </w:r>
    </w:p>
    <w:p>
      <w:pPr>
        <w:jc w:val="center"/>
        <w:rPr>
          <w:sz w:val="30"/>
          <w:szCs w:val="30"/>
        </w:rPr>
      </w:pPr>
    </w:p>
    <w:p>
      <w:pPr>
        <w:jc w:val="center"/>
        <w:rPr>
          <w:sz w:val="30"/>
          <w:szCs w:val="30"/>
        </w:rPr>
      </w:pPr>
      <w:r>
        <w:rPr>
          <w:sz w:val="30"/>
          <w:szCs w:val="30"/>
        </w:rPr>
        <w:t>《数据中心液冷系统技术规程》标准编写导则</w:t>
      </w:r>
    </w:p>
    <w:p>
      <w:pPr>
        <w:jc w:val="center"/>
        <w:rPr>
          <w:rFonts w:eastAsia="微软雅黑"/>
          <w:sz w:val="30"/>
          <w:szCs w:val="30"/>
        </w:rPr>
      </w:pPr>
    </w:p>
    <w:p>
      <w:pPr>
        <w:spacing w:line="360" w:lineRule="auto"/>
        <w:ind w:firstLine="560" w:firstLineChars="200"/>
        <w:jc w:val="center"/>
        <w:rPr>
          <w:sz w:val="28"/>
          <w:szCs w:val="30"/>
        </w:rPr>
      </w:pPr>
      <w:r>
        <w:rPr>
          <w:sz w:val="28"/>
          <w:szCs w:val="30"/>
        </w:rPr>
        <w:t>T/CECS XXXX-202X</w:t>
      </w:r>
    </w:p>
    <w:p>
      <w:pPr>
        <w:spacing w:line="360" w:lineRule="auto"/>
        <w:ind w:firstLine="600" w:firstLineChars="200"/>
        <w:jc w:val="center"/>
        <w:rPr>
          <w:sz w:val="30"/>
          <w:szCs w:val="30"/>
        </w:rPr>
      </w:pPr>
    </w:p>
    <w:p>
      <w:pPr>
        <w:spacing w:line="360" w:lineRule="auto"/>
        <w:ind w:firstLine="600" w:firstLineChars="200"/>
        <w:jc w:val="center"/>
        <w:rPr>
          <w:sz w:val="30"/>
          <w:szCs w:val="30"/>
        </w:rPr>
      </w:pPr>
      <w:r>
        <w:rPr>
          <w:sz w:val="30"/>
          <w:szCs w:val="30"/>
        </w:rPr>
        <w:t>条文说明</w:t>
      </w:r>
    </w:p>
    <w:p>
      <w:pPr>
        <w:spacing w:line="360" w:lineRule="auto"/>
        <w:ind w:firstLine="560" w:firstLineChars="200"/>
        <w:jc w:val="center"/>
        <w:rPr>
          <w:rFonts w:eastAsia="微软雅黑"/>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Light">
    <w:altName w:val="汉仪中等线KW"/>
    <w:panose1 w:val="02010600030101010101"/>
    <w:charset w:val="86"/>
    <w:family w:val="auto"/>
    <w:pitch w:val="default"/>
    <w:sig w:usb0="00000000" w:usb1="00000000" w:usb2="00000016" w:usb3="00000000" w:csb0="0004000F" w:csb1="00000000"/>
  </w:font>
  <w:font w:name="Arial">
    <w:panose1 w:val="020B0604020202090204"/>
    <w:charset w:val="00"/>
    <w:family w:val="swiss"/>
    <w:pitch w:val="default"/>
    <w:sig w:usb0="E0000AFF" w:usb1="00007843" w:usb2="00000001" w:usb3="00000000" w:csb0="400001BF" w:csb1="DFF70000"/>
  </w:font>
  <w:font w:name="等线">
    <w:altName w:val="汉仪中等线KW"/>
    <w:panose1 w:val="02010600030101010101"/>
    <w:charset w:val="86"/>
    <w:family w:val="auto"/>
    <w:pitch w:val="default"/>
    <w:sig w:usb0="00000000" w:usb1="00000000" w:usb2="00000016" w:usb3="00000000" w:csb0="0004000F" w:csb1="00000000"/>
  </w:font>
  <w:font w:name="sans-serif">
    <w:altName w:val="苹方-简"/>
    <w:panose1 w:val="00000000000000000000"/>
    <w:charset w:val="00"/>
    <w:family w:val="auto"/>
    <w:pitch w:val="default"/>
    <w:sig w:usb0="00000000" w:usb1="00000000" w:usb2="00000000" w:usb3="00000000" w:csb0="00000000" w:csb1="00000000"/>
  </w:font>
  <w:font w:name="Courier New">
    <w:panose1 w:val="02070409020205090404"/>
    <w:charset w:val="00"/>
    <w:family w:val="modern"/>
    <w:pitch w:val="default"/>
    <w:sig w:usb0="E0000AFF" w:usb1="40007843" w:usb2="00000001" w:usb3="00000000" w:csb0="400001BF" w:csb1="DFF70000"/>
  </w:font>
  <w:font w:name="微软雅黑">
    <w:altName w:val="汉仪旗黑"/>
    <w:panose1 w:val="020B0503020204020204"/>
    <w:charset w:val="86"/>
    <w:family w:val="swiss"/>
    <w:pitch w:val="default"/>
    <w:sig w:usb0="00000000" w:usb1="00000000" w:usb2="00000016" w:usb3="00000000" w:csb0="0004001F" w:csb1="00000000"/>
  </w:font>
  <w:font w:name="Cambria Math">
    <w:altName w:val="Kingsoft Math"/>
    <w:panose1 w:val="02040503050406030204"/>
    <w:charset w:val="00"/>
    <w:family w:val="roman"/>
    <w:pitch w:val="default"/>
    <w:sig w:usb0="00000000" w:usb1="00000000" w:usb2="02000000" w:usb3="00000000" w:csb0="0000019F" w:csb1="00000000"/>
  </w:font>
  <w:font w:name="等线 Light">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Kingsoft Math">
    <w:panose1 w:val="02040503050406030204"/>
    <w:charset w:val="00"/>
    <w:family w:val="auto"/>
    <w:pitch w:val="default"/>
    <w:sig w:usb0="80000087" w:usb1="00002068"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1"/>
      </w:rPr>
      <w:id w:val="1010261779"/>
    </w:sdtPr>
    <w:sdtEndPr>
      <w:rPr>
        <w:rStyle w:val="31"/>
      </w:rPr>
    </w:sdtEndPr>
    <w:sdtContent>
      <w:p>
        <w:pPr>
          <w:pStyle w:val="19"/>
          <w:framePr w:wrap="auto" w:vAnchor="text" w:hAnchor="margin" w:xAlign="center" w:y="1"/>
          <w:rPr>
            <w:rStyle w:val="31"/>
          </w:rPr>
        </w:pPr>
        <w:r>
          <w:rPr>
            <w:rStyle w:val="31"/>
          </w:rPr>
          <w:fldChar w:fldCharType="begin"/>
        </w:r>
        <w:r>
          <w:rPr>
            <w:rStyle w:val="31"/>
          </w:rPr>
          <w:instrText xml:space="preserve"> PAGE </w:instrText>
        </w:r>
        <w:r>
          <w:rPr>
            <w:rStyle w:val="31"/>
          </w:rPr>
          <w:fldChar w:fldCharType="separate"/>
        </w:r>
        <w:r>
          <w:rPr>
            <w:rStyle w:val="31"/>
          </w:rPr>
          <w:t>1</w:t>
        </w:r>
        <w:r>
          <w:rPr>
            <w:rStyle w:val="31"/>
          </w:rPr>
          <w:fldChar w:fldCharType="end"/>
        </w:r>
      </w:p>
    </w:sdtContent>
  </w:sdt>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1"/>
      </w:rPr>
      <w:id w:val="-1"/>
    </w:sdtPr>
    <w:sdtEndPr>
      <w:rPr>
        <w:rStyle w:val="31"/>
      </w:rPr>
    </w:sdtEndPr>
    <w:sdtContent>
      <w:p>
        <w:pPr>
          <w:pStyle w:val="19"/>
          <w:framePr w:wrap="auto" w:vAnchor="text" w:hAnchor="margin" w:xAlign="center" w:y="1"/>
          <w:rPr>
            <w:rStyle w:val="31"/>
          </w:rPr>
        </w:pPr>
        <w:r>
          <w:rPr>
            <w:rStyle w:val="31"/>
          </w:rPr>
          <w:fldChar w:fldCharType="begin"/>
        </w:r>
        <w:r>
          <w:rPr>
            <w:rStyle w:val="31"/>
          </w:rPr>
          <w:instrText xml:space="preserve"> PAGE </w:instrText>
        </w:r>
        <w:r>
          <w:rPr>
            <w:rStyle w:val="31"/>
          </w:rPr>
          <w:fldChar w:fldCharType="end"/>
        </w:r>
      </w:p>
    </w:sdtContent>
  </w:sdt>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FE1A17"/>
    <w:multiLevelType w:val="multilevel"/>
    <w:tmpl w:val="DEFE1A17"/>
    <w:lvl w:ilvl="0" w:tentative="0">
      <w:start w:val="1"/>
      <w:numFmt w:val="decimal"/>
      <w:pStyle w:val="2"/>
      <w:lvlText w:val="%1"/>
      <w:lvlJc w:val="left"/>
      <w:pPr>
        <w:ind w:left="432" w:hanging="432"/>
      </w:pPr>
      <w:rPr>
        <w:b/>
        <w:i w:val="0"/>
        <w:color w:val="000000"/>
        <w:sz w:val="28"/>
      </w:rPr>
    </w:lvl>
    <w:lvl w:ilvl="1" w:tentative="0">
      <w:start w:val="1"/>
      <w:numFmt w:val="decimal"/>
      <w:lvlText w:val="%1.%2"/>
      <w:lvlJc w:val="left"/>
      <w:pPr>
        <w:ind w:left="576" w:hanging="576"/>
      </w:pPr>
      <w:rPr>
        <w:b w:val="0"/>
        <w:i w:val="0"/>
        <w:sz w:val="24"/>
      </w:rPr>
    </w:lvl>
    <w:lvl w:ilvl="2" w:tentative="0">
      <w:start w:val="1"/>
      <w:numFmt w:val="decimal"/>
      <w:lvlText w:val="%1.%2.%3"/>
      <w:lvlJc w:val="left"/>
      <w:pPr>
        <w:ind w:left="720" w:hanging="720"/>
      </w:pPr>
      <w:rPr>
        <w:b w:val="0"/>
        <w:i w:val="0"/>
        <w:sz w:val="24"/>
      </w:rPr>
    </w:lvl>
    <w:lvl w:ilvl="3" w:tentative="0">
      <w:start w:val="1"/>
      <w:numFmt w:val="decimal"/>
      <w:lvlText w:val="%1.%2.%3.%4"/>
      <w:lvlJc w:val="left"/>
      <w:pPr>
        <w:ind w:left="864" w:hanging="864"/>
      </w:pPr>
      <w:rPr>
        <w:b w:val="0"/>
        <w:i w:val="0"/>
        <w:sz w:val="21"/>
      </w:rPr>
    </w:lvl>
    <w:lvl w:ilvl="4" w:tentative="0">
      <w:start w:val="1"/>
      <w:numFmt w:val="decimal"/>
      <w:lvlText w:val="%1.%2.%3.%4.%5"/>
      <w:lvlJc w:val="left"/>
      <w:pPr>
        <w:ind w:left="1008" w:hanging="1008"/>
      </w:pPr>
      <w:rPr>
        <w:b w:val="0"/>
        <w:i w:val="0"/>
        <w:sz w:val="21"/>
      </w:rPr>
    </w:lvl>
    <w:lvl w:ilvl="5" w:tentative="0">
      <w:start w:val="1"/>
      <w:numFmt w:val="decimal"/>
      <w:lvlText w:val="5.%2.%3.%4..%6"/>
      <w:lvlJc w:val="left"/>
      <w:pPr>
        <w:ind w:left="1152" w:hanging="1152"/>
      </w:pPr>
      <w:rPr>
        <w:b w:val="0"/>
        <w:i w:val="0"/>
        <w:sz w:val="21"/>
      </w:rPr>
    </w:lvl>
    <w:lvl w:ilvl="6" w:tentative="0">
      <w:start w:val="1"/>
      <w:numFmt w:val="decimal"/>
      <w:lvlText w:val="%1.%2.%3.%4.%5.%6.%7"/>
      <w:lvlJc w:val="left"/>
      <w:pPr>
        <w:ind w:left="1296" w:hanging="1296"/>
      </w:pPr>
      <w:rPr>
        <w:b w:val="0"/>
        <w:i w:val="0"/>
        <w:sz w:val="21"/>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F93E92AF"/>
    <w:multiLevelType w:val="multilevel"/>
    <w:tmpl w:val="F93E92AF"/>
    <w:lvl w:ilvl="0" w:tentative="0">
      <w:start w:val="1"/>
      <w:numFmt w:val="decimal"/>
      <w:lvlText w:val="%1"/>
      <w:lvlJc w:val="left"/>
      <w:pPr>
        <w:ind w:left="432" w:hanging="432"/>
      </w:pPr>
      <w:rPr>
        <w:b/>
        <w:i w:val="0"/>
        <w:color w:val="000000"/>
        <w:sz w:val="28"/>
      </w:rPr>
    </w:lvl>
    <w:lvl w:ilvl="1" w:tentative="0">
      <w:start w:val="1"/>
      <w:numFmt w:val="decimal"/>
      <w:lvlText w:val="%1.%2"/>
      <w:lvlJc w:val="left"/>
      <w:pPr>
        <w:ind w:left="576" w:hanging="576"/>
      </w:pPr>
      <w:rPr>
        <w:b w:val="0"/>
        <w:i w:val="0"/>
        <w:sz w:val="24"/>
      </w:rPr>
    </w:lvl>
    <w:lvl w:ilvl="2" w:tentative="0">
      <w:start w:val="1"/>
      <w:numFmt w:val="decimal"/>
      <w:pStyle w:val="4"/>
      <w:lvlText w:val="%1.%2.%3"/>
      <w:lvlJc w:val="left"/>
      <w:pPr>
        <w:ind w:left="720" w:hanging="720"/>
      </w:pPr>
      <w:rPr>
        <w:b w:val="0"/>
        <w:i w:val="0"/>
        <w:sz w:val="24"/>
      </w:rPr>
    </w:lvl>
    <w:lvl w:ilvl="3" w:tentative="0">
      <w:start w:val="1"/>
      <w:numFmt w:val="decimal"/>
      <w:lvlText w:val="%1.%2.%3.%4"/>
      <w:lvlJc w:val="left"/>
      <w:pPr>
        <w:ind w:left="864" w:hanging="864"/>
      </w:pPr>
      <w:rPr>
        <w:b w:val="0"/>
        <w:i w:val="0"/>
        <w:sz w:val="21"/>
      </w:rPr>
    </w:lvl>
    <w:lvl w:ilvl="4" w:tentative="0">
      <w:start w:val="1"/>
      <w:numFmt w:val="decimal"/>
      <w:lvlText w:val="%1.%2.%3.%4.%5"/>
      <w:lvlJc w:val="left"/>
      <w:pPr>
        <w:ind w:left="1008" w:hanging="1008"/>
      </w:pPr>
      <w:rPr>
        <w:b w:val="0"/>
        <w:i w:val="0"/>
        <w:sz w:val="21"/>
      </w:rPr>
    </w:lvl>
    <w:lvl w:ilvl="5" w:tentative="0">
      <w:start w:val="1"/>
      <w:numFmt w:val="decimal"/>
      <w:lvlText w:val="5.%2.%3.%4..%6"/>
      <w:lvlJc w:val="left"/>
      <w:pPr>
        <w:ind w:left="1152" w:hanging="1152"/>
      </w:pPr>
      <w:rPr>
        <w:b w:val="0"/>
        <w:i w:val="0"/>
        <w:sz w:val="21"/>
      </w:rPr>
    </w:lvl>
    <w:lvl w:ilvl="6" w:tentative="0">
      <w:start w:val="1"/>
      <w:numFmt w:val="decimal"/>
      <w:lvlText w:val="%1.%2.%3.%4.%5.%6.%7"/>
      <w:lvlJc w:val="left"/>
      <w:pPr>
        <w:ind w:left="1296" w:hanging="1296"/>
      </w:pPr>
      <w:rPr>
        <w:b w:val="0"/>
        <w:i w:val="0"/>
        <w:sz w:val="21"/>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FEE6FEC8"/>
    <w:multiLevelType w:val="multilevel"/>
    <w:tmpl w:val="FEE6FEC8"/>
    <w:lvl w:ilvl="0" w:tentative="0">
      <w:start w:val="1"/>
      <w:numFmt w:val="decimal"/>
      <w:lvlText w:val="%1"/>
      <w:lvlJc w:val="left"/>
      <w:pPr>
        <w:ind w:left="432" w:hanging="432"/>
      </w:pPr>
      <w:rPr>
        <w:b/>
        <w:i w:val="0"/>
        <w:color w:val="000000"/>
        <w:sz w:val="28"/>
      </w:rPr>
    </w:lvl>
    <w:lvl w:ilvl="1" w:tentative="0">
      <w:start w:val="1"/>
      <w:numFmt w:val="decimal"/>
      <w:lvlText w:val="%1.%2"/>
      <w:lvlJc w:val="left"/>
      <w:pPr>
        <w:ind w:left="576" w:hanging="576"/>
      </w:pPr>
      <w:rPr>
        <w:b w:val="0"/>
        <w:i w:val="0"/>
        <w:sz w:val="24"/>
      </w:rPr>
    </w:lvl>
    <w:lvl w:ilvl="2" w:tentative="0">
      <w:start w:val="1"/>
      <w:numFmt w:val="decimal"/>
      <w:lvlText w:val="%1.%2.%3"/>
      <w:lvlJc w:val="left"/>
      <w:pPr>
        <w:ind w:left="720" w:hanging="720"/>
      </w:pPr>
      <w:rPr>
        <w:b w:val="0"/>
        <w:i w:val="0"/>
        <w:sz w:val="24"/>
      </w:rPr>
    </w:lvl>
    <w:lvl w:ilvl="3" w:tentative="0">
      <w:start w:val="1"/>
      <w:numFmt w:val="decimal"/>
      <w:pStyle w:val="5"/>
      <w:lvlText w:val="%1.%2.%3.%4"/>
      <w:lvlJc w:val="left"/>
      <w:pPr>
        <w:ind w:left="864" w:hanging="864"/>
      </w:pPr>
      <w:rPr>
        <w:b w:val="0"/>
        <w:i w:val="0"/>
        <w:sz w:val="21"/>
      </w:rPr>
    </w:lvl>
    <w:lvl w:ilvl="4" w:tentative="0">
      <w:start w:val="1"/>
      <w:numFmt w:val="decimal"/>
      <w:lvlText w:val="%1.%2.%3.%4.%5"/>
      <w:lvlJc w:val="left"/>
      <w:pPr>
        <w:ind w:left="1008" w:hanging="1008"/>
      </w:pPr>
      <w:rPr>
        <w:b w:val="0"/>
        <w:i w:val="0"/>
        <w:sz w:val="21"/>
      </w:rPr>
    </w:lvl>
    <w:lvl w:ilvl="5" w:tentative="0">
      <w:start w:val="1"/>
      <w:numFmt w:val="decimal"/>
      <w:lvlText w:val="5.%2.%3.%4..%6"/>
      <w:lvlJc w:val="left"/>
      <w:pPr>
        <w:ind w:left="1152" w:hanging="1152"/>
      </w:pPr>
      <w:rPr>
        <w:b w:val="0"/>
        <w:i w:val="0"/>
        <w:sz w:val="21"/>
      </w:rPr>
    </w:lvl>
    <w:lvl w:ilvl="6" w:tentative="0">
      <w:start w:val="1"/>
      <w:numFmt w:val="decimal"/>
      <w:lvlText w:val="%1.%2.%3.%4.%5.%6.%7"/>
      <w:lvlJc w:val="left"/>
      <w:pPr>
        <w:ind w:left="1296" w:hanging="1296"/>
      </w:pPr>
      <w:rPr>
        <w:b w:val="0"/>
        <w:i w:val="0"/>
        <w:sz w:val="21"/>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FFBF1BCC"/>
    <w:multiLevelType w:val="multilevel"/>
    <w:tmpl w:val="FFBF1BCC"/>
    <w:lvl w:ilvl="0" w:tentative="0">
      <w:start w:val="1"/>
      <w:numFmt w:val="decimal"/>
      <w:lvlText w:val="%1"/>
      <w:lvlJc w:val="left"/>
      <w:pPr>
        <w:ind w:left="432" w:hanging="432"/>
      </w:pPr>
      <w:rPr>
        <w:b/>
        <w:i w:val="0"/>
        <w:color w:val="000000"/>
        <w:sz w:val="28"/>
      </w:rPr>
    </w:lvl>
    <w:lvl w:ilvl="1" w:tentative="0">
      <w:start w:val="1"/>
      <w:numFmt w:val="decimal"/>
      <w:lvlText w:val="%1.%2"/>
      <w:lvlJc w:val="left"/>
      <w:pPr>
        <w:ind w:left="576" w:hanging="576"/>
      </w:pPr>
      <w:rPr>
        <w:b w:val="0"/>
        <w:i w:val="0"/>
        <w:sz w:val="24"/>
      </w:rPr>
    </w:lvl>
    <w:lvl w:ilvl="2" w:tentative="0">
      <w:start w:val="1"/>
      <w:numFmt w:val="decimal"/>
      <w:lvlText w:val="%1.%2.%3"/>
      <w:lvlJc w:val="left"/>
      <w:pPr>
        <w:ind w:left="720" w:hanging="720"/>
      </w:pPr>
      <w:rPr>
        <w:b w:val="0"/>
        <w:i w:val="0"/>
        <w:sz w:val="24"/>
      </w:rPr>
    </w:lvl>
    <w:lvl w:ilvl="3" w:tentative="0">
      <w:start w:val="1"/>
      <w:numFmt w:val="decimal"/>
      <w:lvlText w:val="%1.%2.%3.%4"/>
      <w:lvlJc w:val="left"/>
      <w:pPr>
        <w:ind w:left="864" w:hanging="864"/>
      </w:pPr>
      <w:rPr>
        <w:b w:val="0"/>
        <w:i w:val="0"/>
        <w:sz w:val="21"/>
      </w:rPr>
    </w:lvl>
    <w:lvl w:ilvl="4" w:tentative="0">
      <w:start w:val="1"/>
      <w:numFmt w:val="decimal"/>
      <w:pStyle w:val="6"/>
      <w:lvlText w:val="%1.%2.%3.%4.%5"/>
      <w:lvlJc w:val="left"/>
      <w:pPr>
        <w:ind w:left="1008" w:hanging="1008"/>
      </w:pPr>
      <w:rPr>
        <w:b w:val="0"/>
        <w:i w:val="0"/>
        <w:sz w:val="21"/>
      </w:rPr>
    </w:lvl>
    <w:lvl w:ilvl="5" w:tentative="0">
      <w:start w:val="1"/>
      <w:numFmt w:val="decimal"/>
      <w:lvlText w:val="5.%2.%3.%4..%6"/>
      <w:lvlJc w:val="left"/>
      <w:pPr>
        <w:ind w:left="1152" w:hanging="1152"/>
      </w:pPr>
      <w:rPr>
        <w:b w:val="0"/>
        <w:i w:val="0"/>
        <w:sz w:val="21"/>
      </w:rPr>
    </w:lvl>
    <w:lvl w:ilvl="6" w:tentative="0">
      <w:start w:val="1"/>
      <w:numFmt w:val="decimal"/>
      <w:lvlText w:val="%1.%2.%3.%4.%5.%6.%7"/>
      <w:lvlJc w:val="left"/>
      <w:pPr>
        <w:ind w:left="1296" w:hanging="1296"/>
      </w:pPr>
      <w:rPr>
        <w:b w:val="0"/>
        <w:i w:val="0"/>
        <w:sz w:val="21"/>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047B0A82"/>
    <w:multiLevelType w:val="multilevel"/>
    <w:tmpl w:val="047B0A82"/>
    <w:lvl w:ilvl="0" w:tentative="0">
      <w:start w:val="1"/>
      <w:numFmt w:val="decimal"/>
      <w:lvlText w:val="%1"/>
      <w:lvlJc w:val="left"/>
      <w:pPr>
        <w:ind w:left="1740" w:hanging="420"/>
      </w:pPr>
      <w:rPr>
        <w:rFonts w:hint="eastAsia"/>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5">
    <w:nsid w:val="086374AD"/>
    <w:multiLevelType w:val="multilevel"/>
    <w:tmpl w:val="086374AD"/>
    <w:lvl w:ilvl="0" w:tentative="0">
      <w:start w:val="1"/>
      <w:numFmt w:val="decimal"/>
      <w:lvlText w:val="%1."/>
      <w:lvlJc w:val="left"/>
      <w:pPr>
        <w:ind w:left="900" w:hanging="420"/>
      </w:pPr>
      <w:rPr>
        <w:rFonts w:hint="default"/>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4855F14"/>
    <w:multiLevelType w:val="multilevel"/>
    <w:tmpl w:val="14855F14"/>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E763A8"/>
    <w:multiLevelType w:val="multilevel"/>
    <w:tmpl w:val="15E763A8"/>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9767D84"/>
    <w:multiLevelType w:val="multilevel"/>
    <w:tmpl w:val="19767D84"/>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FCE5F29"/>
    <w:multiLevelType w:val="multilevel"/>
    <w:tmpl w:val="1FCE5F29"/>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rPr>
        <w:rFonts w:hint="eastAsia"/>
        <w:color w:val="auto"/>
      </w:r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39664EA"/>
    <w:multiLevelType w:val="multilevel"/>
    <w:tmpl w:val="239664EA"/>
    <w:lvl w:ilvl="0" w:tentative="0">
      <w:start w:val="1"/>
      <w:numFmt w:val="decimal"/>
      <w:lvlText w:val="%1"/>
      <w:lvlJc w:val="left"/>
      <w:pPr>
        <w:ind w:left="1740" w:hanging="420"/>
      </w:pPr>
      <w:rPr>
        <w:rFonts w:hint="eastAsia"/>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11">
    <w:nsid w:val="25BE16D0"/>
    <w:multiLevelType w:val="multilevel"/>
    <w:tmpl w:val="25BE16D0"/>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C016D00"/>
    <w:multiLevelType w:val="multilevel"/>
    <w:tmpl w:val="2C016D0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D7935DF"/>
    <w:multiLevelType w:val="multilevel"/>
    <w:tmpl w:val="2D7935D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2E070045"/>
    <w:multiLevelType w:val="multilevel"/>
    <w:tmpl w:val="2E070045"/>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372F3FDB"/>
    <w:multiLevelType w:val="multilevel"/>
    <w:tmpl w:val="372F3FDB"/>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C06627B"/>
    <w:multiLevelType w:val="multilevel"/>
    <w:tmpl w:val="3C06627B"/>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eastAsia"/>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3DFE75DC"/>
    <w:multiLevelType w:val="multilevel"/>
    <w:tmpl w:val="3DFE75DC"/>
    <w:lvl w:ilvl="0" w:tentative="0">
      <w:start w:val="1"/>
      <w:numFmt w:val="decimal"/>
      <w:lvlText w:val="%1"/>
      <w:lvlJc w:val="left"/>
      <w:pPr>
        <w:ind w:left="1740" w:hanging="420"/>
      </w:pPr>
      <w:rPr>
        <w:rFonts w:hint="eastAsia"/>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18">
    <w:nsid w:val="40C50E4A"/>
    <w:multiLevelType w:val="multilevel"/>
    <w:tmpl w:val="40C50E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2865462"/>
    <w:multiLevelType w:val="multilevel"/>
    <w:tmpl w:val="428654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452A1F6C"/>
    <w:multiLevelType w:val="multilevel"/>
    <w:tmpl w:val="452A1F6C"/>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930021B"/>
    <w:multiLevelType w:val="multilevel"/>
    <w:tmpl w:val="4930021B"/>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ascii="宋体" w:hAnsi="宋体" w:eastAsia="宋体"/>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4BF41C7F"/>
    <w:multiLevelType w:val="multilevel"/>
    <w:tmpl w:val="4BF41C7F"/>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EE4350E"/>
    <w:multiLevelType w:val="multilevel"/>
    <w:tmpl w:val="4EE4350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B4D6D24"/>
    <w:multiLevelType w:val="multilevel"/>
    <w:tmpl w:val="5B4D6D24"/>
    <w:lvl w:ilvl="0" w:tentative="0">
      <w:start w:val="1"/>
      <w:numFmt w:val="decimal"/>
      <w:lvlText w:val="%1"/>
      <w:lvlJc w:val="left"/>
      <w:pPr>
        <w:ind w:left="1740" w:hanging="420"/>
      </w:pPr>
      <w:rPr>
        <w:rFonts w:hint="eastAsia"/>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25">
    <w:nsid w:val="5C613732"/>
    <w:multiLevelType w:val="multilevel"/>
    <w:tmpl w:val="5C61373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3A92943"/>
    <w:multiLevelType w:val="multilevel"/>
    <w:tmpl w:val="63A92943"/>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6C39173C"/>
    <w:multiLevelType w:val="multilevel"/>
    <w:tmpl w:val="6C39173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6392E1D"/>
    <w:multiLevelType w:val="multilevel"/>
    <w:tmpl w:val="76392E1D"/>
    <w:lvl w:ilvl="0" w:tentative="0">
      <w:start w:val="1"/>
      <w:numFmt w:val="decimal"/>
      <w:lvlText w:val="%1"/>
      <w:lvlJc w:val="left"/>
      <w:pPr>
        <w:ind w:left="1740" w:hanging="420"/>
      </w:pPr>
      <w:rPr>
        <w:rFonts w:hint="eastAsia"/>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29">
    <w:nsid w:val="7B07055A"/>
    <w:multiLevelType w:val="multilevel"/>
    <w:tmpl w:val="7B07055A"/>
    <w:lvl w:ilvl="0" w:tentative="0">
      <w:start w:val="1"/>
      <w:numFmt w:val="decimal"/>
      <w:lvlText w:val="%1"/>
      <w:lvlJc w:val="left"/>
      <w:pPr>
        <w:ind w:left="1740" w:hanging="420"/>
      </w:pPr>
      <w:rPr>
        <w:rFonts w:hint="eastAsia"/>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30">
    <w:nsid w:val="7B6D5A39"/>
    <w:multiLevelType w:val="multilevel"/>
    <w:tmpl w:val="7B6D5A3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F5659D0"/>
    <w:multiLevelType w:val="multilevel"/>
    <w:tmpl w:val="7F5659D0"/>
    <w:lvl w:ilvl="0" w:tentative="0">
      <w:start w:val="1"/>
      <w:numFmt w:val="decimal"/>
      <w:lvlText w:val="%1"/>
      <w:lvlJc w:val="left"/>
      <w:pPr>
        <w:ind w:left="1740" w:hanging="420"/>
      </w:pPr>
      <w:rPr>
        <w:rFonts w:hint="eastAsia"/>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num w:numId="1">
    <w:abstractNumId w:val="0"/>
  </w:num>
  <w:num w:numId="2">
    <w:abstractNumId w:val="1"/>
  </w:num>
  <w:num w:numId="3">
    <w:abstractNumId w:val="2"/>
  </w:num>
  <w:num w:numId="4">
    <w:abstractNumId w:val="3"/>
  </w:num>
  <w:num w:numId="5">
    <w:abstractNumId w:val="12"/>
  </w:num>
  <w:num w:numId="6">
    <w:abstractNumId w:val="14"/>
  </w:num>
  <w:num w:numId="7">
    <w:abstractNumId w:val="30"/>
  </w:num>
  <w:num w:numId="8">
    <w:abstractNumId w:val="23"/>
  </w:num>
  <w:num w:numId="9">
    <w:abstractNumId w:val="6"/>
  </w:num>
  <w:num w:numId="10">
    <w:abstractNumId w:val="11"/>
  </w:num>
  <w:num w:numId="11">
    <w:abstractNumId w:val="7"/>
  </w:num>
  <w:num w:numId="12">
    <w:abstractNumId w:val="8"/>
  </w:num>
  <w:num w:numId="13">
    <w:abstractNumId w:val="21"/>
  </w:num>
  <w:num w:numId="14">
    <w:abstractNumId w:val="5"/>
  </w:num>
  <w:num w:numId="15">
    <w:abstractNumId w:val="26"/>
  </w:num>
  <w:num w:numId="16">
    <w:abstractNumId w:val="20"/>
  </w:num>
  <w:num w:numId="17">
    <w:abstractNumId w:val="13"/>
  </w:num>
  <w:num w:numId="18">
    <w:abstractNumId w:val="15"/>
  </w:num>
  <w:num w:numId="19">
    <w:abstractNumId w:val="22"/>
  </w:num>
  <w:num w:numId="20">
    <w:abstractNumId w:val="19"/>
  </w:num>
  <w:num w:numId="21">
    <w:abstractNumId w:val="27"/>
  </w:num>
  <w:num w:numId="22">
    <w:abstractNumId w:val="25"/>
  </w:num>
  <w:num w:numId="23">
    <w:abstractNumId w:val="9"/>
  </w:num>
  <w:num w:numId="24">
    <w:abstractNumId w:val="16"/>
  </w:num>
  <w:num w:numId="25">
    <w:abstractNumId w:val="31"/>
  </w:num>
  <w:num w:numId="26">
    <w:abstractNumId w:val="10"/>
  </w:num>
  <w:num w:numId="27">
    <w:abstractNumId w:val="4"/>
  </w:num>
  <w:num w:numId="28">
    <w:abstractNumId w:val="24"/>
  </w:num>
  <w:num w:numId="29">
    <w:abstractNumId w:val="29"/>
  </w:num>
  <w:num w:numId="30">
    <w:abstractNumId w:val="17"/>
  </w:num>
  <w:num w:numId="31">
    <w:abstractNumId w:val="28"/>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90"/>
    <w:rsid w:val="000010B5"/>
    <w:rsid w:val="00015FDE"/>
    <w:rsid w:val="00017321"/>
    <w:rsid w:val="0002184F"/>
    <w:rsid w:val="000229FB"/>
    <w:rsid w:val="00022BEE"/>
    <w:rsid w:val="00023EC9"/>
    <w:rsid w:val="00025D4A"/>
    <w:rsid w:val="000377F8"/>
    <w:rsid w:val="00054587"/>
    <w:rsid w:val="00054DC4"/>
    <w:rsid w:val="00063FDD"/>
    <w:rsid w:val="00064DEA"/>
    <w:rsid w:val="00070AEF"/>
    <w:rsid w:val="00071EF4"/>
    <w:rsid w:val="00071F0C"/>
    <w:rsid w:val="00072D9B"/>
    <w:rsid w:val="000731A1"/>
    <w:rsid w:val="00073523"/>
    <w:rsid w:val="00073B91"/>
    <w:rsid w:val="00080293"/>
    <w:rsid w:val="00080E69"/>
    <w:rsid w:val="00080FA0"/>
    <w:rsid w:val="00087083"/>
    <w:rsid w:val="00090780"/>
    <w:rsid w:val="000916DB"/>
    <w:rsid w:val="00094156"/>
    <w:rsid w:val="00096531"/>
    <w:rsid w:val="00096546"/>
    <w:rsid w:val="000A526C"/>
    <w:rsid w:val="000A5966"/>
    <w:rsid w:val="000B2153"/>
    <w:rsid w:val="000E1E20"/>
    <w:rsid w:val="000E437D"/>
    <w:rsid w:val="000F2656"/>
    <w:rsid w:val="000F2697"/>
    <w:rsid w:val="00105A8E"/>
    <w:rsid w:val="00105FD9"/>
    <w:rsid w:val="001300C7"/>
    <w:rsid w:val="00133263"/>
    <w:rsid w:val="0013496D"/>
    <w:rsid w:val="001354E4"/>
    <w:rsid w:val="001415B5"/>
    <w:rsid w:val="0014462A"/>
    <w:rsid w:val="00160B88"/>
    <w:rsid w:val="00163512"/>
    <w:rsid w:val="001640A8"/>
    <w:rsid w:val="001663F9"/>
    <w:rsid w:val="001702C4"/>
    <w:rsid w:val="001813B2"/>
    <w:rsid w:val="0018226D"/>
    <w:rsid w:val="0018336D"/>
    <w:rsid w:val="001862CF"/>
    <w:rsid w:val="0018747B"/>
    <w:rsid w:val="00195311"/>
    <w:rsid w:val="00196A70"/>
    <w:rsid w:val="001A71CD"/>
    <w:rsid w:val="001A7DD4"/>
    <w:rsid w:val="001B3260"/>
    <w:rsid w:val="001B3662"/>
    <w:rsid w:val="001B52D6"/>
    <w:rsid w:val="001C0B30"/>
    <w:rsid w:val="001C6B19"/>
    <w:rsid w:val="001C6D87"/>
    <w:rsid w:val="001C7551"/>
    <w:rsid w:val="001C77D9"/>
    <w:rsid w:val="001D7B5D"/>
    <w:rsid w:val="001F1AB1"/>
    <w:rsid w:val="001F1F4C"/>
    <w:rsid w:val="001F4AE6"/>
    <w:rsid w:val="001F5AC6"/>
    <w:rsid w:val="001F5FE2"/>
    <w:rsid w:val="001F68FD"/>
    <w:rsid w:val="00202840"/>
    <w:rsid w:val="002030AD"/>
    <w:rsid w:val="00204F8D"/>
    <w:rsid w:val="00206AF1"/>
    <w:rsid w:val="002078DD"/>
    <w:rsid w:val="00207924"/>
    <w:rsid w:val="0021349D"/>
    <w:rsid w:val="0021607C"/>
    <w:rsid w:val="00224BF4"/>
    <w:rsid w:val="00226342"/>
    <w:rsid w:val="00233458"/>
    <w:rsid w:val="002334AB"/>
    <w:rsid w:val="00243240"/>
    <w:rsid w:val="00246669"/>
    <w:rsid w:val="00247D56"/>
    <w:rsid w:val="0025583F"/>
    <w:rsid w:val="002559F3"/>
    <w:rsid w:val="00260C72"/>
    <w:rsid w:val="002615AC"/>
    <w:rsid w:val="00263C8E"/>
    <w:rsid w:val="00265D15"/>
    <w:rsid w:val="00273EA7"/>
    <w:rsid w:val="00276645"/>
    <w:rsid w:val="00281217"/>
    <w:rsid w:val="002828ED"/>
    <w:rsid w:val="00284A92"/>
    <w:rsid w:val="00287B9C"/>
    <w:rsid w:val="00291402"/>
    <w:rsid w:val="00294DD1"/>
    <w:rsid w:val="0029507D"/>
    <w:rsid w:val="002A022F"/>
    <w:rsid w:val="002A0A27"/>
    <w:rsid w:val="002A1E1F"/>
    <w:rsid w:val="002A2A89"/>
    <w:rsid w:val="002A6842"/>
    <w:rsid w:val="002B1660"/>
    <w:rsid w:val="002B1BE3"/>
    <w:rsid w:val="002B2A88"/>
    <w:rsid w:val="002B596F"/>
    <w:rsid w:val="002B5FEB"/>
    <w:rsid w:val="002C258B"/>
    <w:rsid w:val="002C3D9D"/>
    <w:rsid w:val="002C67FB"/>
    <w:rsid w:val="002D6032"/>
    <w:rsid w:val="002E0EAA"/>
    <w:rsid w:val="002E5A96"/>
    <w:rsid w:val="00304EB0"/>
    <w:rsid w:val="00305AB0"/>
    <w:rsid w:val="00307F49"/>
    <w:rsid w:val="00310B6A"/>
    <w:rsid w:val="00310CDA"/>
    <w:rsid w:val="00313A24"/>
    <w:rsid w:val="00323474"/>
    <w:rsid w:val="003321B8"/>
    <w:rsid w:val="00333650"/>
    <w:rsid w:val="003352DC"/>
    <w:rsid w:val="00336F7D"/>
    <w:rsid w:val="00340980"/>
    <w:rsid w:val="003563D3"/>
    <w:rsid w:val="00356559"/>
    <w:rsid w:val="00356849"/>
    <w:rsid w:val="00356F75"/>
    <w:rsid w:val="003606CE"/>
    <w:rsid w:val="003606EE"/>
    <w:rsid w:val="00364518"/>
    <w:rsid w:val="003705BB"/>
    <w:rsid w:val="00375E23"/>
    <w:rsid w:val="00381D9E"/>
    <w:rsid w:val="00383841"/>
    <w:rsid w:val="0038537A"/>
    <w:rsid w:val="003928ED"/>
    <w:rsid w:val="00393A20"/>
    <w:rsid w:val="00397EC1"/>
    <w:rsid w:val="003A28A1"/>
    <w:rsid w:val="003A34CC"/>
    <w:rsid w:val="003A6D66"/>
    <w:rsid w:val="003B63EB"/>
    <w:rsid w:val="003B76EC"/>
    <w:rsid w:val="003C02A9"/>
    <w:rsid w:val="003C1A2C"/>
    <w:rsid w:val="003C20DE"/>
    <w:rsid w:val="003C77A4"/>
    <w:rsid w:val="003D091A"/>
    <w:rsid w:val="003D12AF"/>
    <w:rsid w:val="003D5068"/>
    <w:rsid w:val="003D55EC"/>
    <w:rsid w:val="003D7B40"/>
    <w:rsid w:val="003E4BC1"/>
    <w:rsid w:val="003E6BE1"/>
    <w:rsid w:val="003F0CED"/>
    <w:rsid w:val="00405C2B"/>
    <w:rsid w:val="004108E4"/>
    <w:rsid w:val="00410BBD"/>
    <w:rsid w:val="0041312F"/>
    <w:rsid w:val="00413568"/>
    <w:rsid w:val="00415F06"/>
    <w:rsid w:val="00416F62"/>
    <w:rsid w:val="00417939"/>
    <w:rsid w:val="0042169F"/>
    <w:rsid w:val="00423884"/>
    <w:rsid w:val="00424C82"/>
    <w:rsid w:val="00424E80"/>
    <w:rsid w:val="0042590D"/>
    <w:rsid w:val="004300C9"/>
    <w:rsid w:val="004320FB"/>
    <w:rsid w:val="004336F4"/>
    <w:rsid w:val="00435AEC"/>
    <w:rsid w:val="00441E3C"/>
    <w:rsid w:val="00442D86"/>
    <w:rsid w:val="004463E4"/>
    <w:rsid w:val="004471EC"/>
    <w:rsid w:val="00447E51"/>
    <w:rsid w:val="00452890"/>
    <w:rsid w:val="004602B8"/>
    <w:rsid w:val="00460BB1"/>
    <w:rsid w:val="00462683"/>
    <w:rsid w:val="00463A8F"/>
    <w:rsid w:val="004649E6"/>
    <w:rsid w:val="00470BD3"/>
    <w:rsid w:val="004735E5"/>
    <w:rsid w:val="00473F26"/>
    <w:rsid w:val="0048094C"/>
    <w:rsid w:val="00483E24"/>
    <w:rsid w:val="00485A33"/>
    <w:rsid w:val="00486F0D"/>
    <w:rsid w:val="004921B0"/>
    <w:rsid w:val="00497801"/>
    <w:rsid w:val="004A02A7"/>
    <w:rsid w:val="004A1CB3"/>
    <w:rsid w:val="004A1DBF"/>
    <w:rsid w:val="004A3E58"/>
    <w:rsid w:val="004A4424"/>
    <w:rsid w:val="004A4F74"/>
    <w:rsid w:val="004A72CD"/>
    <w:rsid w:val="004B0EF4"/>
    <w:rsid w:val="004B665C"/>
    <w:rsid w:val="004C0442"/>
    <w:rsid w:val="004C38AE"/>
    <w:rsid w:val="004C4712"/>
    <w:rsid w:val="004C7C44"/>
    <w:rsid w:val="004D1EEF"/>
    <w:rsid w:val="004D36EC"/>
    <w:rsid w:val="004D5483"/>
    <w:rsid w:val="004D70FC"/>
    <w:rsid w:val="004E0D1D"/>
    <w:rsid w:val="004E5A4C"/>
    <w:rsid w:val="004F25D1"/>
    <w:rsid w:val="004F32F6"/>
    <w:rsid w:val="004F53EC"/>
    <w:rsid w:val="004F7A61"/>
    <w:rsid w:val="00507F13"/>
    <w:rsid w:val="00510E33"/>
    <w:rsid w:val="00510FD8"/>
    <w:rsid w:val="00511AF3"/>
    <w:rsid w:val="00512AF9"/>
    <w:rsid w:val="005170F8"/>
    <w:rsid w:val="005213EF"/>
    <w:rsid w:val="005214C3"/>
    <w:rsid w:val="005240AD"/>
    <w:rsid w:val="00530953"/>
    <w:rsid w:val="00530F21"/>
    <w:rsid w:val="00533CFE"/>
    <w:rsid w:val="005347F9"/>
    <w:rsid w:val="005356F4"/>
    <w:rsid w:val="00541F1B"/>
    <w:rsid w:val="00542CCC"/>
    <w:rsid w:val="00546E7A"/>
    <w:rsid w:val="00550646"/>
    <w:rsid w:val="00555F4B"/>
    <w:rsid w:val="00556E3F"/>
    <w:rsid w:val="0056389B"/>
    <w:rsid w:val="00563916"/>
    <w:rsid w:val="005648FB"/>
    <w:rsid w:val="00571285"/>
    <w:rsid w:val="00574851"/>
    <w:rsid w:val="00574988"/>
    <w:rsid w:val="00574A0B"/>
    <w:rsid w:val="0058252C"/>
    <w:rsid w:val="005829A2"/>
    <w:rsid w:val="00584E10"/>
    <w:rsid w:val="005854BC"/>
    <w:rsid w:val="0058714F"/>
    <w:rsid w:val="005876E2"/>
    <w:rsid w:val="005A0489"/>
    <w:rsid w:val="005A44FD"/>
    <w:rsid w:val="005A7AEE"/>
    <w:rsid w:val="005B0608"/>
    <w:rsid w:val="005B0EA1"/>
    <w:rsid w:val="005B7670"/>
    <w:rsid w:val="005C3962"/>
    <w:rsid w:val="005C6E7A"/>
    <w:rsid w:val="005D67DF"/>
    <w:rsid w:val="005D7E35"/>
    <w:rsid w:val="005E297F"/>
    <w:rsid w:val="005F6A7D"/>
    <w:rsid w:val="006019C1"/>
    <w:rsid w:val="006049BB"/>
    <w:rsid w:val="00616D3B"/>
    <w:rsid w:val="00617333"/>
    <w:rsid w:val="00622036"/>
    <w:rsid w:val="00624BBC"/>
    <w:rsid w:val="00626642"/>
    <w:rsid w:val="00627B31"/>
    <w:rsid w:val="00635140"/>
    <w:rsid w:val="00635682"/>
    <w:rsid w:val="00640B9F"/>
    <w:rsid w:val="00641685"/>
    <w:rsid w:val="006450DA"/>
    <w:rsid w:val="006522D3"/>
    <w:rsid w:val="00653C98"/>
    <w:rsid w:val="006613F1"/>
    <w:rsid w:val="006623BB"/>
    <w:rsid w:val="00663B88"/>
    <w:rsid w:val="00667F0F"/>
    <w:rsid w:val="00671B0B"/>
    <w:rsid w:val="00675371"/>
    <w:rsid w:val="006766F8"/>
    <w:rsid w:val="00677C52"/>
    <w:rsid w:val="00680D46"/>
    <w:rsid w:val="00681C64"/>
    <w:rsid w:val="0068325A"/>
    <w:rsid w:val="00683B75"/>
    <w:rsid w:val="006860FD"/>
    <w:rsid w:val="00691B63"/>
    <w:rsid w:val="00693C92"/>
    <w:rsid w:val="006968C4"/>
    <w:rsid w:val="006A0093"/>
    <w:rsid w:val="006A01FA"/>
    <w:rsid w:val="006A4258"/>
    <w:rsid w:val="006A4F9F"/>
    <w:rsid w:val="006C34D3"/>
    <w:rsid w:val="006C3CB2"/>
    <w:rsid w:val="006C7808"/>
    <w:rsid w:val="006C7A1A"/>
    <w:rsid w:val="006D31DB"/>
    <w:rsid w:val="006D3548"/>
    <w:rsid w:val="006D5CDD"/>
    <w:rsid w:val="006E0372"/>
    <w:rsid w:val="006E0E77"/>
    <w:rsid w:val="006E162C"/>
    <w:rsid w:val="006E1AD2"/>
    <w:rsid w:val="006E693E"/>
    <w:rsid w:val="006E7532"/>
    <w:rsid w:val="006F3421"/>
    <w:rsid w:val="006F77B4"/>
    <w:rsid w:val="00700511"/>
    <w:rsid w:val="00704979"/>
    <w:rsid w:val="00710542"/>
    <w:rsid w:val="007112E3"/>
    <w:rsid w:val="00716BC9"/>
    <w:rsid w:val="0072121C"/>
    <w:rsid w:val="00722E44"/>
    <w:rsid w:val="007233E8"/>
    <w:rsid w:val="00723DA0"/>
    <w:rsid w:val="0072558C"/>
    <w:rsid w:val="007322EB"/>
    <w:rsid w:val="00742DDE"/>
    <w:rsid w:val="00747EBE"/>
    <w:rsid w:val="00747EFF"/>
    <w:rsid w:val="00750509"/>
    <w:rsid w:val="007507C7"/>
    <w:rsid w:val="0075206C"/>
    <w:rsid w:val="00761B1D"/>
    <w:rsid w:val="007625D7"/>
    <w:rsid w:val="00767AB6"/>
    <w:rsid w:val="00770DCD"/>
    <w:rsid w:val="007751A8"/>
    <w:rsid w:val="007754FC"/>
    <w:rsid w:val="00780972"/>
    <w:rsid w:val="007812AE"/>
    <w:rsid w:val="00792188"/>
    <w:rsid w:val="00795033"/>
    <w:rsid w:val="007A6FF1"/>
    <w:rsid w:val="007B0325"/>
    <w:rsid w:val="007B28C9"/>
    <w:rsid w:val="007B447F"/>
    <w:rsid w:val="007C43E9"/>
    <w:rsid w:val="007C64EB"/>
    <w:rsid w:val="007C6F15"/>
    <w:rsid w:val="007D3CD7"/>
    <w:rsid w:val="007D48E9"/>
    <w:rsid w:val="007E11F5"/>
    <w:rsid w:val="007E2A84"/>
    <w:rsid w:val="007E3095"/>
    <w:rsid w:val="007E47C5"/>
    <w:rsid w:val="007F05C5"/>
    <w:rsid w:val="007F225C"/>
    <w:rsid w:val="007F5E07"/>
    <w:rsid w:val="007F644F"/>
    <w:rsid w:val="007F650B"/>
    <w:rsid w:val="007F77C2"/>
    <w:rsid w:val="00804EF3"/>
    <w:rsid w:val="0080573E"/>
    <w:rsid w:val="00807D2D"/>
    <w:rsid w:val="00810153"/>
    <w:rsid w:val="00810FD3"/>
    <w:rsid w:val="00815691"/>
    <w:rsid w:val="00816ECD"/>
    <w:rsid w:val="008204A7"/>
    <w:rsid w:val="00821593"/>
    <w:rsid w:val="00824278"/>
    <w:rsid w:val="00832DB9"/>
    <w:rsid w:val="008335A4"/>
    <w:rsid w:val="008360BD"/>
    <w:rsid w:val="00841D17"/>
    <w:rsid w:val="008420D4"/>
    <w:rsid w:val="00847BBD"/>
    <w:rsid w:val="008532DC"/>
    <w:rsid w:val="00855223"/>
    <w:rsid w:val="00861881"/>
    <w:rsid w:val="00864359"/>
    <w:rsid w:val="0086574C"/>
    <w:rsid w:val="00865FCC"/>
    <w:rsid w:val="0086607E"/>
    <w:rsid w:val="0086757A"/>
    <w:rsid w:val="008743CD"/>
    <w:rsid w:val="00874A23"/>
    <w:rsid w:val="0087640D"/>
    <w:rsid w:val="008773A0"/>
    <w:rsid w:val="008773F8"/>
    <w:rsid w:val="008902AF"/>
    <w:rsid w:val="00891A1E"/>
    <w:rsid w:val="008948A1"/>
    <w:rsid w:val="008A156A"/>
    <w:rsid w:val="008A23BB"/>
    <w:rsid w:val="008A67DC"/>
    <w:rsid w:val="008C22FE"/>
    <w:rsid w:val="008D0DA9"/>
    <w:rsid w:val="008D2DF2"/>
    <w:rsid w:val="008D4EC7"/>
    <w:rsid w:val="008D7409"/>
    <w:rsid w:val="008E1D5D"/>
    <w:rsid w:val="008E63A3"/>
    <w:rsid w:val="008E73FF"/>
    <w:rsid w:val="008F31B4"/>
    <w:rsid w:val="008F4547"/>
    <w:rsid w:val="008F5E9F"/>
    <w:rsid w:val="009115B3"/>
    <w:rsid w:val="0091226A"/>
    <w:rsid w:val="00912AE3"/>
    <w:rsid w:val="009170DE"/>
    <w:rsid w:val="0092027C"/>
    <w:rsid w:val="00924345"/>
    <w:rsid w:val="00942CED"/>
    <w:rsid w:val="00943097"/>
    <w:rsid w:val="00944A29"/>
    <w:rsid w:val="009503EC"/>
    <w:rsid w:val="00973DBA"/>
    <w:rsid w:val="00973E35"/>
    <w:rsid w:val="00981503"/>
    <w:rsid w:val="00983A0A"/>
    <w:rsid w:val="00987F3E"/>
    <w:rsid w:val="0099413E"/>
    <w:rsid w:val="009947A6"/>
    <w:rsid w:val="00995C1B"/>
    <w:rsid w:val="009A2D81"/>
    <w:rsid w:val="009A3B03"/>
    <w:rsid w:val="009A3B8B"/>
    <w:rsid w:val="009A3ED6"/>
    <w:rsid w:val="009A4BEF"/>
    <w:rsid w:val="009A50E5"/>
    <w:rsid w:val="009A53EF"/>
    <w:rsid w:val="009A621D"/>
    <w:rsid w:val="009A6265"/>
    <w:rsid w:val="009B294D"/>
    <w:rsid w:val="009D02AB"/>
    <w:rsid w:val="009E2BEA"/>
    <w:rsid w:val="009E39BB"/>
    <w:rsid w:val="009E69EF"/>
    <w:rsid w:val="009F532E"/>
    <w:rsid w:val="009F592A"/>
    <w:rsid w:val="00A019FC"/>
    <w:rsid w:val="00A03815"/>
    <w:rsid w:val="00A043F0"/>
    <w:rsid w:val="00A07863"/>
    <w:rsid w:val="00A12386"/>
    <w:rsid w:val="00A13EE0"/>
    <w:rsid w:val="00A15928"/>
    <w:rsid w:val="00A17856"/>
    <w:rsid w:val="00A226A1"/>
    <w:rsid w:val="00A22DCE"/>
    <w:rsid w:val="00A30562"/>
    <w:rsid w:val="00A30DD9"/>
    <w:rsid w:val="00A3135E"/>
    <w:rsid w:val="00A337FC"/>
    <w:rsid w:val="00A3699C"/>
    <w:rsid w:val="00A42721"/>
    <w:rsid w:val="00A42A5A"/>
    <w:rsid w:val="00A43FEF"/>
    <w:rsid w:val="00A455FF"/>
    <w:rsid w:val="00A45BF8"/>
    <w:rsid w:val="00A513DD"/>
    <w:rsid w:val="00A52432"/>
    <w:rsid w:val="00A60E67"/>
    <w:rsid w:val="00A76C07"/>
    <w:rsid w:val="00A80121"/>
    <w:rsid w:val="00A854B5"/>
    <w:rsid w:val="00A86C82"/>
    <w:rsid w:val="00A873F9"/>
    <w:rsid w:val="00A91EEF"/>
    <w:rsid w:val="00A92FD4"/>
    <w:rsid w:val="00A93D01"/>
    <w:rsid w:val="00AB0621"/>
    <w:rsid w:val="00AB379F"/>
    <w:rsid w:val="00AD214C"/>
    <w:rsid w:val="00AE04FA"/>
    <w:rsid w:val="00AE0C08"/>
    <w:rsid w:val="00AE351E"/>
    <w:rsid w:val="00AE46FF"/>
    <w:rsid w:val="00AE4ABB"/>
    <w:rsid w:val="00AE6F2C"/>
    <w:rsid w:val="00AE7EE3"/>
    <w:rsid w:val="00AF34FB"/>
    <w:rsid w:val="00B01C2F"/>
    <w:rsid w:val="00B036D9"/>
    <w:rsid w:val="00B055B4"/>
    <w:rsid w:val="00B07227"/>
    <w:rsid w:val="00B111CF"/>
    <w:rsid w:val="00B13874"/>
    <w:rsid w:val="00B14E60"/>
    <w:rsid w:val="00B14E7B"/>
    <w:rsid w:val="00B16F8A"/>
    <w:rsid w:val="00B215C6"/>
    <w:rsid w:val="00B354AD"/>
    <w:rsid w:val="00B3571B"/>
    <w:rsid w:val="00B3581E"/>
    <w:rsid w:val="00B358D5"/>
    <w:rsid w:val="00B415DB"/>
    <w:rsid w:val="00B460B1"/>
    <w:rsid w:val="00B50DB4"/>
    <w:rsid w:val="00B651A9"/>
    <w:rsid w:val="00B6711E"/>
    <w:rsid w:val="00B7503C"/>
    <w:rsid w:val="00B752EF"/>
    <w:rsid w:val="00B75971"/>
    <w:rsid w:val="00B76617"/>
    <w:rsid w:val="00B76EF0"/>
    <w:rsid w:val="00B81085"/>
    <w:rsid w:val="00B8338C"/>
    <w:rsid w:val="00B929D4"/>
    <w:rsid w:val="00B92B40"/>
    <w:rsid w:val="00B93147"/>
    <w:rsid w:val="00B9419B"/>
    <w:rsid w:val="00B95300"/>
    <w:rsid w:val="00B956EE"/>
    <w:rsid w:val="00B966DE"/>
    <w:rsid w:val="00BA04B4"/>
    <w:rsid w:val="00BA2345"/>
    <w:rsid w:val="00BA7FDB"/>
    <w:rsid w:val="00BB1DA1"/>
    <w:rsid w:val="00BC3D52"/>
    <w:rsid w:val="00BC6B89"/>
    <w:rsid w:val="00BD1A97"/>
    <w:rsid w:val="00BD276C"/>
    <w:rsid w:val="00BD30C2"/>
    <w:rsid w:val="00BE0356"/>
    <w:rsid w:val="00BE21FE"/>
    <w:rsid w:val="00BE7B1C"/>
    <w:rsid w:val="00BF0F4F"/>
    <w:rsid w:val="00BF6D69"/>
    <w:rsid w:val="00C0783B"/>
    <w:rsid w:val="00C13F01"/>
    <w:rsid w:val="00C16DB5"/>
    <w:rsid w:val="00C34C74"/>
    <w:rsid w:val="00C40FBC"/>
    <w:rsid w:val="00C45A83"/>
    <w:rsid w:val="00C51C19"/>
    <w:rsid w:val="00C53995"/>
    <w:rsid w:val="00C5568F"/>
    <w:rsid w:val="00C6377D"/>
    <w:rsid w:val="00C8005E"/>
    <w:rsid w:val="00C80A39"/>
    <w:rsid w:val="00C80FE7"/>
    <w:rsid w:val="00C81B70"/>
    <w:rsid w:val="00C9425D"/>
    <w:rsid w:val="00C9640C"/>
    <w:rsid w:val="00CA07B4"/>
    <w:rsid w:val="00CA24E5"/>
    <w:rsid w:val="00CA423C"/>
    <w:rsid w:val="00CA78F2"/>
    <w:rsid w:val="00CB638D"/>
    <w:rsid w:val="00CC2C30"/>
    <w:rsid w:val="00CC5070"/>
    <w:rsid w:val="00CC6097"/>
    <w:rsid w:val="00CD0859"/>
    <w:rsid w:val="00CD1A10"/>
    <w:rsid w:val="00CD43B7"/>
    <w:rsid w:val="00CD5B93"/>
    <w:rsid w:val="00CD65C3"/>
    <w:rsid w:val="00CE353C"/>
    <w:rsid w:val="00CE38CA"/>
    <w:rsid w:val="00CE6388"/>
    <w:rsid w:val="00CF00D3"/>
    <w:rsid w:val="00CF19BA"/>
    <w:rsid w:val="00CF1A4E"/>
    <w:rsid w:val="00CF3815"/>
    <w:rsid w:val="00D019A8"/>
    <w:rsid w:val="00D03279"/>
    <w:rsid w:val="00D11703"/>
    <w:rsid w:val="00D12163"/>
    <w:rsid w:val="00D13A5C"/>
    <w:rsid w:val="00D2226D"/>
    <w:rsid w:val="00D254B5"/>
    <w:rsid w:val="00D25DC0"/>
    <w:rsid w:val="00D304F5"/>
    <w:rsid w:val="00D3059A"/>
    <w:rsid w:val="00D30E45"/>
    <w:rsid w:val="00D3133D"/>
    <w:rsid w:val="00D33A21"/>
    <w:rsid w:val="00D3771E"/>
    <w:rsid w:val="00D528E3"/>
    <w:rsid w:val="00D54235"/>
    <w:rsid w:val="00D54870"/>
    <w:rsid w:val="00D60BE4"/>
    <w:rsid w:val="00D614C5"/>
    <w:rsid w:val="00D667DF"/>
    <w:rsid w:val="00D7123B"/>
    <w:rsid w:val="00D72406"/>
    <w:rsid w:val="00D72D90"/>
    <w:rsid w:val="00D72EA7"/>
    <w:rsid w:val="00D807AA"/>
    <w:rsid w:val="00D813DD"/>
    <w:rsid w:val="00D843F7"/>
    <w:rsid w:val="00D8698E"/>
    <w:rsid w:val="00D94301"/>
    <w:rsid w:val="00D94A05"/>
    <w:rsid w:val="00DA36F3"/>
    <w:rsid w:val="00DA4CCD"/>
    <w:rsid w:val="00DB40F3"/>
    <w:rsid w:val="00DB71B0"/>
    <w:rsid w:val="00DC4D05"/>
    <w:rsid w:val="00DC60DB"/>
    <w:rsid w:val="00DC75E7"/>
    <w:rsid w:val="00DD1995"/>
    <w:rsid w:val="00DD353B"/>
    <w:rsid w:val="00DD7403"/>
    <w:rsid w:val="00DE393D"/>
    <w:rsid w:val="00DF14CC"/>
    <w:rsid w:val="00DF26A7"/>
    <w:rsid w:val="00DF26E5"/>
    <w:rsid w:val="00DF641D"/>
    <w:rsid w:val="00E0025C"/>
    <w:rsid w:val="00E036F8"/>
    <w:rsid w:val="00E04E9A"/>
    <w:rsid w:val="00E04F35"/>
    <w:rsid w:val="00E05DDC"/>
    <w:rsid w:val="00E13409"/>
    <w:rsid w:val="00E14AA1"/>
    <w:rsid w:val="00E16791"/>
    <w:rsid w:val="00E17B4C"/>
    <w:rsid w:val="00E2503D"/>
    <w:rsid w:val="00E40E83"/>
    <w:rsid w:val="00E4192E"/>
    <w:rsid w:val="00E43477"/>
    <w:rsid w:val="00E471C7"/>
    <w:rsid w:val="00E51ABD"/>
    <w:rsid w:val="00E543D5"/>
    <w:rsid w:val="00E569D2"/>
    <w:rsid w:val="00E615A5"/>
    <w:rsid w:val="00E61D47"/>
    <w:rsid w:val="00E62915"/>
    <w:rsid w:val="00E70200"/>
    <w:rsid w:val="00E70B26"/>
    <w:rsid w:val="00E73196"/>
    <w:rsid w:val="00E7670C"/>
    <w:rsid w:val="00E83016"/>
    <w:rsid w:val="00E84272"/>
    <w:rsid w:val="00E86207"/>
    <w:rsid w:val="00E86E46"/>
    <w:rsid w:val="00E91EEE"/>
    <w:rsid w:val="00E954F0"/>
    <w:rsid w:val="00E9780A"/>
    <w:rsid w:val="00EA1BBC"/>
    <w:rsid w:val="00EA2727"/>
    <w:rsid w:val="00EA29E2"/>
    <w:rsid w:val="00EA7EC6"/>
    <w:rsid w:val="00EB028E"/>
    <w:rsid w:val="00EB5BFF"/>
    <w:rsid w:val="00EC642E"/>
    <w:rsid w:val="00EE03AA"/>
    <w:rsid w:val="00EE0EB7"/>
    <w:rsid w:val="00EE1032"/>
    <w:rsid w:val="00EE2A3F"/>
    <w:rsid w:val="00EE4E51"/>
    <w:rsid w:val="00EE4F45"/>
    <w:rsid w:val="00EE5E0B"/>
    <w:rsid w:val="00EF006C"/>
    <w:rsid w:val="00F00B6F"/>
    <w:rsid w:val="00F012CC"/>
    <w:rsid w:val="00F026D6"/>
    <w:rsid w:val="00F10460"/>
    <w:rsid w:val="00F13A4F"/>
    <w:rsid w:val="00F16998"/>
    <w:rsid w:val="00F259AA"/>
    <w:rsid w:val="00F2646B"/>
    <w:rsid w:val="00F3098E"/>
    <w:rsid w:val="00F35055"/>
    <w:rsid w:val="00F3631A"/>
    <w:rsid w:val="00F36DC8"/>
    <w:rsid w:val="00F4175F"/>
    <w:rsid w:val="00F442FC"/>
    <w:rsid w:val="00F446DA"/>
    <w:rsid w:val="00F514F9"/>
    <w:rsid w:val="00F5195C"/>
    <w:rsid w:val="00F52C67"/>
    <w:rsid w:val="00F5351A"/>
    <w:rsid w:val="00F55297"/>
    <w:rsid w:val="00F55DE3"/>
    <w:rsid w:val="00F57A01"/>
    <w:rsid w:val="00F57C5C"/>
    <w:rsid w:val="00F65A31"/>
    <w:rsid w:val="00F667DE"/>
    <w:rsid w:val="00F746C6"/>
    <w:rsid w:val="00F74C31"/>
    <w:rsid w:val="00F74F39"/>
    <w:rsid w:val="00F76E2B"/>
    <w:rsid w:val="00F8001A"/>
    <w:rsid w:val="00F87627"/>
    <w:rsid w:val="00F9255B"/>
    <w:rsid w:val="00FA0C4C"/>
    <w:rsid w:val="00FA14AE"/>
    <w:rsid w:val="00FA1F76"/>
    <w:rsid w:val="00FA3798"/>
    <w:rsid w:val="00FA68B6"/>
    <w:rsid w:val="00FB2447"/>
    <w:rsid w:val="00FB6C58"/>
    <w:rsid w:val="00FB7B4D"/>
    <w:rsid w:val="00FC4DD4"/>
    <w:rsid w:val="00FC7E28"/>
    <w:rsid w:val="00FE071F"/>
    <w:rsid w:val="00FE3B66"/>
    <w:rsid w:val="00FE5BBD"/>
    <w:rsid w:val="00FF134E"/>
    <w:rsid w:val="00FF19A9"/>
    <w:rsid w:val="00FF2FA4"/>
    <w:rsid w:val="00FF33AF"/>
    <w:rsid w:val="02A794C3"/>
    <w:rsid w:val="063DA191"/>
    <w:rsid w:val="07FFAF59"/>
    <w:rsid w:val="08EB5787"/>
    <w:rsid w:val="0AF6A11E"/>
    <w:rsid w:val="0B5F8823"/>
    <w:rsid w:val="0CEF68AC"/>
    <w:rsid w:val="0FB03AE6"/>
    <w:rsid w:val="0FD1EF50"/>
    <w:rsid w:val="0FFF58CA"/>
    <w:rsid w:val="11CE8F97"/>
    <w:rsid w:val="11FF4009"/>
    <w:rsid w:val="12DFDAED"/>
    <w:rsid w:val="15F71A87"/>
    <w:rsid w:val="17BF59D7"/>
    <w:rsid w:val="19C45C4C"/>
    <w:rsid w:val="19EFC4AF"/>
    <w:rsid w:val="1BC7A5DB"/>
    <w:rsid w:val="1C683471"/>
    <w:rsid w:val="1D2D3CED"/>
    <w:rsid w:val="1D6D41B1"/>
    <w:rsid w:val="1D79EA89"/>
    <w:rsid w:val="1DBF726B"/>
    <w:rsid w:val="1DFF5CF7"/>
    <w:rsid w:val="1E1ECCCA"/>
    <w:rsid w:val="1E3BA380"/>
    <w:rsid w:val="1E633717"/>
    <w:rsid w:val="1EBF6E2A"/>
    <w:rsid w:val="1F7BB510"/>
    <w:rsid w:val="1FBFD647"/>
    <w:rsid w:val="1FDD69D3"/>
    <w:rsid w:val="1FEB2F40"/>
    <w:rsid w:val="1FF31884"/>
    <w:rsid w:val="1FF54CE1"/>
    <w:rsid w:val="1FFF2456"/>
    <w:rsid w:val="1FFFBF82"/>
    <w:rsid w:val="23EFDDEB"/>
    <w:rsid w:val="27B87282"/>
    <w:rsid w:val="27FB34CA"/>
    <w:rsid w:val="2BBE84AA"/>
    <w:rsid w:val="2BBFA8FC"/>
    <w:rsid w:val="2BFB9906"/>
    <w:rsid w:val="2C9E618E"/>
    <w:rsid w:val="2CDF19F7"/>
    <w:rsid w:val="2DBDF3CF"/>
    <w:rsid w:val="2E4C00AE"/>
    <w:rsid w:val="2E5F19C0"/>
    <w:rsid w:val="2EB73F02"/>
    <w:rsid w:val="2ED2A09A"/>
    <w:rsid w:val="2EEEA20E"/>
    <w:rsid w:val="2EFF0079"/>
    <w:rsid w:val="2EFFE41B"/>
    <w:rsid w:val="2F3771E1"/>
    <w:rsid w:val="2F7AE38F"/>
    <w:rsid w:val="2FA841B0"/>
    <w:rsid w:val="2FAD47BF"/>
    <w:rsid w:val="2FD66136"/>
    <w:rsid w:val="2FEE9FFE"/>
    <w:rsid w:val="32D71623"/>
    <w:rsid w:val="32FC4B42"/>
    <w:rsid w:val="32FF2547"/>
    <w:rsid w:val="3369B152"/>
    <w:rsid w:val="3377B77B"/>
    <w:rsid w:val="33D2E458"/>
    <w:rsid w:val="33E355FA"/>
    <w:rsid w:val="33EB9CFF"/>
    <w:rsid w:val="33F3605A"/>
    <w:rsid w:val="34AECC95"/>
    <w:rsid w:val="34B7B8FB"/>
    <w:rsid w:val="3575356A"/>
    <w:rsid w:val="357D29CE"/>
    <w:rsid w:val="35CF600F"/>
    <w:rsid w:val="35E62334"/>
    <w:rsid w:val="35EAC66D"/>
    <w:rsid w:val="36B6F967"/>
    <w:rsid w:val="36BD1C3B"/>
    <w:rsid w:val="36DE9AD4"/>
    <w:rsid w:val="375BBCA0"/>
    <w:rsid w:val="376AEDDC"/>
    <w:rsid w:val="379E38CC"/>
    <w:rsid w:val="37ADA606"/>
    <w:rsid w:val="37AF1F28"/>
    <w:rsid w:val="37DF03D2"/>
    <w:rsid w:val="37F1E41B"/>
    <w:rsid w:val="37F4E868"/>
    <w:rsid w:val="37F72DB7"/>
    <w:rsid w:val="37FD2488"/>
    <w:rsid w:val="39DF688C"/>
    <w:rsid w:val="39EFD17A"/>
    <w:rsid w:val="39FFA1A1"/>
    <w:rsid w:val="3A767812"/>
    <w:rsid w:val="3AFBD8DF"/>
    <w:rsid w:val="3B4B0EF3"/>
    <w:rsid w:val="3B6424D7"/>
    <w:rsid w:val="3B6A94A6"/>
    <w:rsid w:val="3BBFAC0B"/>
    <w:rsid w:val="3BDF9639"/>
    <w:rsid w:val="3BDFDB92"/>
    <w:rsid w:val="3BF18EE3"/>
    <w:rsid w:val="3BF5F418"/>
    <w:rsid w:val="3BFAF09D"/>
    <w:rsid w:val="3BFBC60F"/>
    <w:rsid w:val="3BFDBC2B"/>
    <w:rsid w:val="3BFE36E1"/>
    <w:rsid w:val="3BFF930C"/>
    <w:rsid w:val="3C7E11D2"/>
    <w:rsid w:val="3CCFEBD7"/>
    <w:rsid w:val="3CF76AD8"/>
    <w:rsid w:val="3D1D42C5"/>
    <w:rsid w:val="3D5F8107"/>
    <w:rsid w:val="3D7596BE"/>
    <w:rsid w:val="3D7F8973"/>
    <w:rsid w:val="3DA9D975"/>
    <w:rsid w:val="3DDF739F"/>
    <w:rsid w:val="3DF9CEEB"/>
    <w:rsid w:val="3DFBBE79"/>
    <w:rsid w:val="3EAE9387"/>
    <w:rsid w:val="3EBCF042"/>
    <w:rsid w:val="3EBDCB6B"/>
    <w:rsid w:val="3EBEAEF4"/>
    <w:rsid w:val="3EBEF32A"/>
    <w:rsid w:val="3EDA42DE"/>
    <w:rsid w:val="3EE787BD"/>
    <w:rsid w:val="3EEF262C"/>
    <w:rsid w:val="3EF1844D"/>
    <w:rsid w:val="3EF74C00"/>
    <w:rsid w:val="3EFEA10F"/>
    <w:rsid w:val="3EFFCA3F"/>
    <w:rsid w:val="3F3DAF07"/>
    <w:rsid w:val="3F471C9B"/>
    <w:rsid w:val="3F5B0C9D"/>
    <w:rsid w:val="3F5DF952"/>
    <w:rsid w:val="3F7D3DE0"/>
    <w:rsid w:val="3F89112E"/>
    <w:rsid w:val="3FB642FB"/>
    <w:rsid w:val="3FBDC841"/>
    <w:rsid w:val="3FBF4A3E"/>
    <w:rsid w:val="3FBF9C58"/>
    <w:rsid w:val="3FDF3184"/>
    <w:rsid w:val="3FDFF051"/>
    <w:rsid w:val="3FECDBB6"/>
    <w:rsid w:val="3FEF8DDB"/>
    <w:rsid w:val="3FEFD1FD"/>
    <w:rsid w:val="3FF613AD"/>
    <w:rsid w:val="3FFADE7E"/>
    <w:rsid w:val="3FFB1689"/>
    <w:rsid w:val="3FFBAE77"/>
    <w:rsid w:val="3FFD0837"/>
    <w:rsid w:val="3FFD7F13"/>
    <w:rsid w:val="3FFEA38D"/>
    <w:rsid w:val="3FFEC781"/>
    <w:rsid w:val="3FFECD89"/>
    <w:rsid w:val="3FFF4792"/>
    <w:rsid w:val="3FFF764F"/>
    <w:rsid w:val="3FFFB73F"/>
    <w:rsid w:val="3FFFDE11"/>
    <w:rsid w:val="3FFFEC8B"/>
    <w:rsid w:val="43F8B3DE"/>
    <w:rsid w:val="45CDA476"/>
    <w:rsid w:val="46CF3C90"/>
    <w:rsid w:val="476F786C"/>
    <w:rsid w:val="47774D57"/>
    <w:rsid w:val="47BFD9EB"/>
    <w:rsid w:val="47D3EC11"/>
    <w:rsid w:val="47FBCE70"/>
    <w:rsid w:val="47FBDADC"/>
    <w:rsid w:val="4995C2AC"/>
    <w:rsid w:val="49960A54"/>
    <w:rsid w:val="4B54D9B3"/>
    <w:rsid w:val="4B576D49"/>
    <w:rsid w:val="4B5FCFD3"/>
    <w:rsid w:val="4CF4A428"/>
    <w:rsid w:val="4E7DA3B2"/>
    <w:rsid w:val="4EB5A428"/>
    <w:rsid w:val="4EDBFB89"/>
    <w:rsid w:val="4EEBF5EF"/>
    <w:rsid w:val="4EF4D5F2"/>
    <w:rsid w:val="4EFFAC41"/>
    <w:rsid w:val="4F5E90A9"/>
    <w:rsid w:val="4F7745E6"/>
    <w:rsid w:val="4F7782EC"/>
    <w:rsid w:val="4F9F0957"/>
    <w:rsid w:val="4FF2A2F2"/>
    <w:rsid w:val="4FFB18B6"/>
    <w:rsid w:val="4FFD926B"/>
    <w:rsid w:val="507F335F"/>
    <w:rsid w:val="50EB9192"/>
    <w:rsid w:val="519BACBA"/>
    <w:rsid w:val="53BEA75D"/>
    <w:rsid w:val="54E7D24D"/>
    <w:rsid w:val="54FF9A7A"/>
    <w:rsid w:val="55BF4218"/>
    <w:rsid w:val="55F56D5B"/>
    <w:rsid w:val="55FB9D8A"/>
    <w:rsid w:val="55FFE480"/>
    <w:rsid w:val="569BDA4B"/>
    <w:rsid w:val="56CC4556"/>
    <w:rsid w:val="56FD0A25"/>
    <w:rsid w:val="56FF420E"/>
    <w:rsid w:val="56FFC332"/>
    <w:rsid w:val="572294CF"/>
    <w:rsid w:val="572E63E5"/>
    <w:rsid w:val="5767E8D1"/>
    <w:rsid w:val="57730180"/>
    <w:rsid w:val="5777B1C0"/>
    <w:rsid w:val="577E67DB"/>
    <w:rsid w:val="577F4ED8"/>
    <w:rsid w:val="5798D8C1"/>
    <w:rsid w:val="57D70A53"/>
    <w:rsid w:val="57DF8E17"/>
    <w:rsid w:val="5879CACB"/>
    <w:rsid w:val="5A9F73C7"/>
    <w:rsid w:val="5ADF812A"/>
    <w:rsid w:val="5AFEBBAC"/>
    <w:rsid w:val="5B394304"/>
    <w:rsid w:val="5B7DE91B"/>
    <w:rsid w:val="5B7F908C"/>
    <w:rsid w:val="5BAD2146"/>
    <w:rsid w:val="5BAF1F44"/>
    <w:rsid w:val="5BD25DB0"/>
    <w:rsid w:val="5BFCC403"/>
    <w:rsid w:val="5C3B738C"/>
    <w:rsid w:val="5C5E1C8D"/>
    <w:rsid w:val="5D5F23E4"/>
    <w:rsid w:val="5D721EC9"/>
    <w:rsid w:val="5D8B84CC"/>
    <w:rsid w:val="5D9D59DF"/>
    <w:rsid w:val="5DBE3C37"/>
    <w:rsid w:val="5DBFC092"/>
    <w:rsid w:val="5DD3AA9E"/>
    <w:rsid w:val="5DDABA83"/>
    <w:rsid w:val="5DDEB716"/>
    <w:rsid w:val="5DF33F12"/>
    <w:rsid w:val="5DF69EDC"/>
    <w:rsid w:val="5DFF8BD2"/>
    <w:rsid w:val="5E3FE470"/>
    <w:rsid w:val="5E4FE11B"/>
    <w:rsid w:val="5E6FF4D1"/>
    <w:rsid w:val="5E7F2751"/>
    <w:rsid w:val="5E9F38BA"/>
    <w:rsid w:val="5EAD023B"/>
    <w:rsid w:val="5EBB6759"/>
    <w:rsid w:val="5EBE997F"/>
    <w:rsid w:val="5EBEAF5E"/>
    <w:rsid w:val="5ECDC8CD"/>
    <w:rsid w:val="5ECF7091"/>
    <w:rsid w:val="5ED227B9"/>
    <w:rsid w:val="5EDFAFA1"/>
    <w:rsid w:val="5EEECF11"/>
    <w:rsid w:val="5EFBF29A"/>
    <w:rsid w:val="5EFC3B96"/>
    <w:rsid w:val="5EFF37DC"/>
    <w:rsid w:val="5EFF6F50"/>
    <w:rsid w:val="5F26D8F0"/>
    <w:rsid w:val="5F355F9E"/>
    <w:rsid w:val="5F5749A5"/>
    <w:rsid w:val="5F6D0550"/>
    <w:rsid w:val="5F6F643F"/>
    <w:rsid w:val="5F7AB0B4"/>
    <w:rsid w:val="5F7D3037"/>
    <w:rsid w:val="5F7E81EA"/>
    <w:rsid w:val="5F7F413E"/>
    <w:rsid w:val="5F7FB24A"/>
    <w:rsid w:val="5F7FEE80"/>
    <w:rsid w:val="5F7FF9FA"/>
    <w:rsid w:val="5F97A37A"/>
    <w:rsid w:val="5FA77D02"/>
    <w:rsid w:val="5FAF8D9E"/>
    <w:rsid w:val="5FB3A50A"/>
    <w:rsid w:val="5FBDD086"/>
    <w:rsid w:val="5FD1F404"/>
    <w:rsid w:val="5FDF1A32"/>
    <w:rsid w:val="5FE71FA2"/>
    <w:rsid w:val="5FEF425F"/>
    <w:rsid w:val="5FF32CBA"/>
    <w:rsid w:val="5FF72770"/>
    <w:rsid w:val="5FFBAF98"/>
    <w:rsid w:val="5FFF27E7"/>
    <w:rsid w:val="5FFF54E6"/>
    <w:rsid w:val="5FFF5F25"/>
    <w:rsid w:val="5FFF6F96"/>
    <w:rsid w:val="5FFFF9FE"/>
    <w:rsid w:val="617F69AC"/>
    <w:rsid w:val="63B76638"/>
    <w:rsid w:val="63DD549A"/>
    <w:rsid w:val="63DD8BB6"/>
    <w:rsid w:val="63FB7116"/>
    <w:rsid w:val="63FF9ADD"/>
    <w:rsid w:val="646EA8E4"/>
    <w:rsid w:val="647F4AE9"/>
    <w:rsid w:val="64DFD905"/>
    <w:rsid w:val="655BD35D"/>
    <w:rsid w:val="65BBF408"/>
    <w:rsid w:val="663BA350"/>
    <w:rsid w:val="66AA7D82"/>
    <w:rsid w:val="66FB2D78"/>
    <w:rsid w:val="6757A28F"/>
    <w:rsid w:val="677E14FE"/>
    <w:rsid w:val="679E9A7F"/>
    <w:rsid w:val="67AB02A3"/>
    <w:rsid w:val="67DF31B6"/>
    <w:rsid w:val="67FD5916"/>
    <w:rsid w:val="67FF3017"/>
    <w:rsid w:val="67FF3D90"/>
    <w:rsid w:val="67FFDA84"/>
    <w:rsid w:val="69BF1906"/>
    <w:rsid w:val="6AD70501"/>
    <w:rsid w:val="6ADFA2C4"/>
    <w:rsid w:val="6AEB53F1"/>
    <w:rsid w:val="6B52085E"/>
    <w:rsid w:val="6B84AB8F"/>
    <w:rsid w:val="6B9FF498"/>
    <w:rsid w:val="6BCB7431"/>
    <w:rsid w:val="6BF3432E"/>
    <w:rsid w:val="6C772778"/>
    <w:rsid w:val="6C7C8A8A"/>
    <w:rsid w:val="6CBF25EB"/>
    <w:rsid w:val="6D5F4FC9"/>
    <w:rsid w:val="6D6A06BD"/>
    <w:rsid w:val="6D7BB0C5"/>
    <w:rsid w:val="6DB23402"/>
    <w:rsid w:val="6DBAFA4C"/>
    <w:rsid w:val="6DBBF9BA"/>
    <w:rsid w:val="6DC75065"/>
    <w:rsid w:val="6DD3E569"/>
    <w:rsid w:val="6DDB5698"/>
    <w:rsid w:val="6DDF7C9A"/>
    <w:rsid w:val="6DE3B23A"/>
    <w:rsid w:val="6DEB8A20"/>
    <w:rsid w:val="6DEF7940"/>
    <w:rsid w:val="6DF2B7CA"/>
    <w:rsid w:val="6DFEEE61"/>
    <w:rsid w:val="6E23E84D"/>
    <w:rsid w:val="6E75507F"/>
    <w:rsid w:val="6EDBC0F1"/>
    <w:rsid w:val="6EE2DC88"/>
    <w:rsid w:val="6EEB5C13"/>
    <w:rsid w:val="6EFFD5D9"/>
    <w:rsid w:val="6F4F07B1"/>
    <w:rsid w:val="6F527F64"/>
    <w:rsid w:val="6F7E6C87"/>
    <w:rsid w:val="6F8F6A2C"/>
    <w:rsid w:val="6FAF249A"/>
    <w:rsid w:val="6FBFC03F"/>
    <w:rsid w:val="6FD3F1D2"/>
    <w:rsid w:val="6FD55428"/>
    <w:rsid w:val="6FD7EAFF"/>
    <w:rsid w:val="6FDB678F"/>
    <w:rsid w:val="6FDC92F6"/>
    <w:rsid w:val="6FDF0204"/>
    <w:rsid w:val="6FE61336"/>
    <w:rsid w:val="6FEFD38B"/>
    <w:rsid w:val="6FF70264"/>
    <w:rsid w:val="6FF724A0"/>
    <w:rsid w:val="6FF772A6"/>
    <w:rsid w:val="6FFB9F5B"/>
    <w:rsid w:val="6FFF1A3E"/>
    <w:rsid w:val="6FFF247A"/>
    <w:rsid w:val="6FFF356A"/>
    <w:rsid w:val="6FFFB496"/>
    <w:rsid w:val="6FFFC0E3"/>
    <w:rsid w:val="6FFFEA4B"/>
    <w:rsid w:val="705FD372"/>
    <w:rsid w:val="70FF6610"/>
    <w:rsid w:val="713F53FA"/>
    <w:rsid w:val="71FBFF00"/>
    <w:rsid w:val="733FB4EE"/>
    <w:rsid w:val="735F25C1"/>
    <w:rsid w:val="735F4892"/>
    <w:rsid w:val="739E63EB"/>
    <w:rsid w:val="73AF08DA"/>
    <w:rsid w:val="73DB138B"/>
    <w:rsid w:val="73FA32A0"/>
    <w:rsid w:val="73FBCF27"/>
    <w:rsid w:val="74970851"/>
    <w:rsid w:val="74AF697E"/>
    <w:rsid w:val="74F74970"/>
    <w:rsid w:val="74FF8081"/>
    <w:rsid w:val="75738809"/>
    <w:rsid w:val="7596FBD9"/>
    <w:rsid w:val="75BB01DF"/>
    <w:rsid w:val="75D546B3"/>
    <w:rsid w:val="75E37677"/>
    <w:rsid w:val="75E6770C"/>
    <w:rsid w:val="75FAEF89"/>
    <w:rsid w:val="75FE63BA"/>
    <w:rsid w:val="75FFE176"/>
    <w:rsid w:val="765F1E6C"/>
    <w:rsid w:val="767AD5D0"/>
    <w:rsid w:val="76AFB000"/>
    <w:rsid w:val="76B7F3D1"/>
    <w:rsid w:val="76BBDF01"/>
    <w:rsid w:val="76E96271"/>
    <w:rsid w:val="76F81CD3"/>
    <w:rsid w:val="76FB2042"/>
    <w:rsid w:val="76FDDA64"/>
    <w:rsid w:val="76FEDDC3"/>
    <w:rsid w:val="76FEE6C3"/>
    <w:rsid w:val="76FF1FC9"/>
    <w:rsid w:val="7739362A"/>
    <w:rsid w:val="773B788F"/>
    <w:rsid w:val="773BE1C9"/>
    <w:rsid w:val="773F0411"/>
    <w:rsid w:val="77628574"/>
    <w:rsid w:val="776B3515"/>
    <w:rsid w:val="776F5272"/>
    <w:rsid w:val="779A6949"/>
    <w:rsid w:val="77ADEBEC"/>
    <w:rsid w:val="77BFA2D1"/>
    <w:rsid w:val="77CD4067"/>
    <w:rsid w:val="77D06514"/>
    <w:rsid w:val="77D755D8"/>
    <w:rsid w:val="77DBB21A"/>
    <w:rsid w:val="77DE49B5"/>
    <w:rsid w:val="77E972FF"/>
    <w:rsid w:val="77EF0592"/>
    <w:rsid w:val="77EFF384"/>
    <w:rsid w:val="77F6E6B4"/>
    <w:rsid w:val="77F7799F"/>
    <w:rsid w:val="77FAF953"/>
    <w:rsid w:val="77FB2855"/>
    <w:rsid w:val="77FB33CC"/>
    <w:rsid w:val="77FDD4B0"/>
    <w:rsid w:val="782F86F4"/>
    <w:rsid w:val="787EC0DE"/>
    <w:rsid w:val="7933E0B7"/>
    <w:rsid w:val="79AEEB2B"/>
    <w:rsid w:val="79B71D19"/>
    <w:rsid w:val="79F560F1"/>
    <w:rsid w:val="79FCDD2B"/>
    <w:rsid w:val="79FD0F6B"/>
    <w:rsid w:val="79FFE6D3"/>
    <w:rsid w:val="7A6F0D5B"/>
    <w:rsid w:val="7A6F99F2"/>
    <w:rsid w:val="7A70CD4C"/>
    <w:rsid w:val="7ABED718"/>
    <w:rsid w:val="7ADF68C3"/>
    <w:rsid w:val="7ADFB93C"/>
    <w:rsid w:val="7AE6827E"/>
    <w:rsid w:val="7AF2F32F"/>
    <w:rsid w:val="7AFDF01A"/>
    <w:rsid w:val="7AFF812E"/>
    <w:rsid w:val="7B07F40D"/>
    <w:rsid w:val="7B111E8D"/>
    <w:rsid w:val="7B1AADAA"/>
    <w:rsid w:val="7B3DAC0A"/>
    <w:rsid w:val="7B5B245A"/>
    <w:rsid w:val="7B76A46D"/>
    <w:rsid w:val="7B777EDD"/>
    <w:rsid w:val="7B7D15A1"/>
    <w:rsid w:val="7B7F28E5"/>
    <w:rsid w:val="7B820901"/>
    <w:rsid w:val="7BAFEC90"/>
    <w:rsid w:val="7BB3A43F"/>
    <w:rsid w:val="7BBE3718"/>
    <w:rsid w:val="7BDB4050"/>
    <w:rsid w:val="7BDBF7E3"/>
    <w:rsid w:val="7BDBFD8C"/>
    <w:rsid w:val="7BDC17F7"/>
    <w:rsid w:val="7BDE250A"/>
    <w:rsid w:val="7BEBD3C2"/>
    <w:rsid w:val="7BECBD0E"/>
    <w:rsid w:val="7BF1640E"/>
    <w:rsid w:val="7BF5279F"/>
    <w:rsid w:val="7BF6BA90"/>
    <w:rsid w:val="7BF70B83"/>
    <w:rsid w:val="7BF754D3"/>
    <w:rsid w:val="7BF8082C"/>
    <w:rsid w:val="7BF915D1"/>
    <w:rsid w:val="7BFB58C4"/>
    <w:rsid w:val="7BFB9713"/>
    <w:rsid w:val="7BFBC947"/>
    <w:rsid w:val="7BFCACB9"/>
    <w:rsid w:val="7BFD7A46"/>
    <w:rsid w:val="7BFD8D0C"/>
    <w:rsid w:val="7BFE0E0F"/>
    <w:rsid w:val="7BFE2909"/>
    <w:rsid w:val="7BFEB2FC"/>
    <w:rsid w:val="7BFECB9C"/>
    <w:rsid w:val="7BFEF2B8"/>
    <w:rsid w:val="7BFF40B0"/>
    <w:rsid w:val="7BFFCA9B"/>
    <w:rsid w:val="7BFFE95E"/>
    <w:rsid w:val="7C071CB8"/>
    <w:rsid w:val="7C15A2AB"/>
    <w:rsid w:val="7C6D526C"/>
    <w:rsid w:val="7C7D0C4A"/>
    <w:rsid w:val="7C9FDD89"/>
    <w:rsid w:val="7CBE7A9D"/>
    <w:rsid w:val="7CDDC360"/>
    <w:rsid w:val="7CDE8F51"/>
    <w:rsid w:val="7CE9C560"/>
    <w:rsid w:val="7CEBAB6F"/>
    <w:rsid w:val="7CEFB61D"/>
    <w:rsid w:val="7CF7C09D"/>
    <w:rsid w:val="7D379B52"/>
    <w:rsid w:val="7D573A5E"/>
    <w:rsid w:val="7D5773B5"/>
    <w:rsid w:val="7D6F86E0"/>
    <w:rsid w:val="7D7B38BC"/>
    <w:rsid w:val="7D937756"/>
    <w:rsid w:val="7DBBCE09"/>
    <w:rsid w:val="7DBBD13E"/>
    <w:rsid w:val="7DBC61D1"/>
    <w:rsid w:val="7DBF757D"/>
    <w:rsid w:val="7DBF8593"/>
    <w:rsid w:val="7DD71CC6"/>
    <w:rsid w:val="7DDF0C8D"/>
    <w:rsid w:val="7DDFDA34"/>
    <w:rsid w:val="7DEC0398"/>
    <w:rsid w:val="7DFFF0BC"/>
    <w:rsid w:val="7E53FEC2"/>
    <w:rsid w:val="7E5F6891"/>
    <w:rsid w:val="7E75AC74"/>
    <w:rsid w:val="7E7C34CC"/>
    <w:rsid w:val="7E88B9D5"/>
    <w:rsid w:val="7E9A5813"/>
    <w:rsid w:val="7EAF0545"/>
    <w:rsid w:val="7EB49866"/>
    <w:rsid w:val="7EB78EC0"/>
    <w:rsid w:val="7EBAA6C2"/>
    <w:rsid w:val="7EBD2845"/>
    <w:rsid w:val="7EBE3136"/>
    <w:rsid w:val="7EBEE8C9"/>
    <w:rsid w:val="7EDCE31E"/>
    <w:rsid w:val="7EDF711D"/>
    <w:rsid w:val="7EDF8622"/>
    <w:rsid w:val="7EE9369F"/>
    <w:rsid w:val="7EEB0097"/>
    <w:rsid w:val="7EEE8FE6"/>
    <w:rsid w:val="7EEF463B"/>
    <w:rsid w:val="7EF7CB4C"/>
    <w:rsid w:val="7EF8D67D"/>
    <w:rsid w:val="7EFBBC9C"/>
    <w:rsid w:val="7EFD5419"/>
    <w:rsid w:val="7EFDACD0"/>
    <w:rsid w:val="7EFDF59F"/>
    <w:rsid w:val="7EFF8BED"/>
    <w:rsid w:val="7EFF9DF3"/>
    <w:rsid w:val="7F0BA4B7"/>
    <w:rsid w:val="7F0DFCF9"/>
    <w:rsid w:val="7F0E71F4"/>
    <w:rsid w:val="7F0E7585"/>
    <w:rsid w:val="7F0F6C17"/>
    <w:rsid w:val="7F21E5D2"/>
    <w:rsid w:val="7F3D14A8"/>
    <w:rsid w:val="7F3FCE79"/>
    <w:rsid w:val="7F45B2AB"/>
    <w:rsid w:val="7F477DDB"/>
    <w:rsid w:val="7F4C9EB2"/>
    <w:rsid w:val="7F5CE524"/>
    <w:rsid w:val="7F5FD44E"/>
    <w:rsid w:val="7F66639E"/>
    <w:rsid w:val="7F73BC49"/>
    <w:rsid w:val="7F756543"/>
    <w:rsid w:val="7F7B5815"/>
    <w:rsid w:val="7F7F1227"/>
    <w:rsid w:val="7F7FA6CA"/>
    <w:rsid w:val="7F8525B9"/>
    <w:rsid w:val="7F960606"/>
    <w:rsid w:val="7F997D14"/>
    <w:rsid w:val="7F9FB085"/>
    <w:rsid w:val="7FAE9761"/>
    <w:rsid w:val="7FAF829F"/>
    <w:rsid w:val="7FB7F6B1"/>
    <w:rsid w:val="7FBAB3F7"/>
    <w:rsid w:val="7FBAF8F5"/>
    <w:rsid w:val="7FBC351F"/>
    <w:rsid w:val="7FBC4193"/>
    <w:rsid w:val="7FBDA058"/>
    <w:rsid w:val="7FBE42D7"/>
    <w:rsid w:val="7FBF0220"/>
    <w:rsid w:val="7FBF3A38"/>
    <w:rsid w:val="7FBF93B2"/>
    <w:rsid w:val="7FBFC377"/>
    <w:rsid w:val="7FBFF588"/>
    <w:rsid w:val="7FC56CAC"/>
    <w:rsid w:val="7FCA83E1"/>
    <w:rsid w:val="7FCDF8C2"/>
    <w:rsid w:val="7FCE5A97"/>
    <w:rsid w:val="7FCE9337"/>
    <w:rsid w:val="7FD1E521"/>
    <w:rsid w:val="7FD57652"/>
    <w:rsid w:val="7FD7EFFB"/>
    <w:rsid w:val="7FDBE4F0"/>
    <w:rsid w:val="7FDF0BA7"/>
    <w:rsid w:val="7FDF7407"/>
    <w:rsid w:val="7FDFE38D"/>
    <w:rsid w:val="7FE327DA"/>
    <w:rsid w:val="7FE3E7F5"/>
    <w:rsid w:val="7FE765FF"/>
    <w:rsid w:val="7FE982BE"/>
    <w:rsid w:val="7FE98B2B"/>
    <w:rsid w:val="7FEDD2A8"/>
    <w:rsid w:val="7FEF663F"/>
    <w:rsid w:val="7FEFDA29"/>
    <w:rsid w:val="7FF682BE"/>
    <w:rsid w:val="7FF705C0"/>
    <w:rsid w:val="7FF74889"/>
    <w:rsid w:val="7FF78498"/>
    <w:rsid w:val="7FF78CD0"/>
    <w:rsid w:val="7FF7E1B2"/>
    <w:rsid w:val="7FF8D408"/>
    <w:rsid w:val="7FF95F1E"/>
    <w:rsid w:val="7FF973A9"/>
    <w:rsid w:val="7FF9AFFB"/>
    <w:rsid w:val="7FF9FEFE"/>
    <w:rsid w:val="7FFAB1A8"/>
    <w:rsid w:val="7FFB0A4C"/>
    <w:rsid w:val="7FFB649E"/>
    <w:rsid w:val="7FFDEFB9"/>
    <w:rsid w:val="7FFE0097"/>
    <w:rsid w:val="7FFED863"/>
    <w:rsid w:val="7FFF0680"/>
    <w:rsid w:val="7FFF3163"/>
    <w:rsid w:val="7FFF4113"/>
    <w:rsid w:val="7FFF755C"/>
    <w:rsid w:val="7FFFA437"/>
    <w:rsid w:val="7FFFEF32"/>
    <w:rsid w:val="80FFCBE6"/>
    <w:rsid w:val="83F73103"/>
    <w:rsid w:val="85F6EADB"/>
    <w:rsid w:val="87FFD056"/>
    <w:rsid w:val="89EFCC28"/>
    <w:rsid w:val="89FF7D4A"/>
    <w:rsid w:val="8AB3D0F0"/>
    <w:rsid w:val="8B7B1011"/>
    <w:rsid w:val="8BCDB6FB"/>
    <w:rsid w:val="8C4DC74F"/>
    <w:rsid w:val="8DEF25ED"/>
    <w:rsid w:val="8DFF9DDB"/>
    <w:rsid w:val="8E6FD288"/>
    <w:rsid w:val="8EDFE88D"/>
    <w:rsid w:val="8EEFBDA6"/>
    <w:rsid w:val="8F7FEBB2"/>
    <w:rsid w:val="8FF71159"/>
    <w:rsid w:val="916F08F3"/>
    <w:rsid w:val="92650F57"/>
    <w:rsid w:val="95265757"/>
    <w:rsid w:val="969F4E5B"/>
    <w:rsid w:val="96FFA5C8"/>
    <w:rsid w:val="97ECA4FA"/>
    <w:rsid w:val="97EFC825"/>
    <w:rsid w:val="97F5B231"/>
    <w:rsid w:val="97FE573F"/>
    <w:rsid w:val="97FEF75C"/>
    <w:rsid w:val="97FF7C10"/>
    <w:rsid w:val="98AB0052"/>
    <w:rsid w:val="9ADB5651"/>
    <w:rsid w:val="9BF7E806"/>
    <w:rsid w:val="9BF7F09C"/>
    <w:rsid w:val="9BFD1212"/>
    <w:rsid w:val="9D4D5050"/>
    <w:rsid w:val="9D5F7A12"/>
    <w:rsid w:val="9DA78EB8"/>
    <w:rsid w:val="9DFB5660"/>
    <w:rsid w:val="9E7F6D98"/>
    <w:rsid w:val="9F7253BC"/>
    <w:rsid w:val="9FAD3181"/>
    <w:rsid w:val="9FDC74BE"/>
    <w:rsid w:val="9FDE9FEE"/>
    <w:rsid w:val="9FEF3FF6"/>
    <w:rsid w:val="9FEF6AFD"/>
    <w:rsid w:val="A5BD1600"/>
    <w:rsid w:val="A5E7887B"/>
    <w:rsid w:val="A5FF44CA"/>
    <w:rsid w:val="A7BF024D"/>
    <w:rsid w:val="A937F12C"/>
    <w:rsid w:val="AA875B51"/>
    <w:rsid w:val="AAAB9A66"/>
    <w:rsid w:val="ABBE954A"/>
    <w:rsid w:val="ABDC346D"/>
    <w:rsid w:val="ABF7D730"/>
    <w:rsid w:val="AD5BE3F0"/>
    <w:rsid w:val="ADBFB775"/>
    <w:rsid w:val="ADEFB727"/>
    <w:rsid w:val="AE77BBB3"/>
    <w:rsid w:val="AEAAD846"/>
    <w:rsid w:val="AEAEF100"/>
    <w:rsid w:val="AEBBA3C2"/>
    <w:rsid w:val="AF0F9CF6"/>
    <w:rsid w:val="AF2ECEAB"/>
    <w:rsid w:val="AF5E4F2B"/>
    <w:rsid w:val="AF7FF040"/>
    <w:rsid w:val="AFCFA6FB"/>
    <w:rsid w:val="AFD6FB58"/>
    <w:rsid w:val="AFDF4C8B"/>
    <w:rsid w:val="AFE6D618"/>
    <w:rsid w:val="AFEFAD11"/>
    <w:rsid w:val="AFF7519F"/>
    <w:rsid w:val="AFF9B0BD"/>
    <w:rsid w:val="AFFF08AA"/>
    <w:rsid w:val="B3F3B788"/>
    <w:rsid w:val="B3F72C13"/>
    <w:rsid w:val="B3FC2936"/>
    <w:rsid w:val="B47FB68C"/>
    <w:rsid w:val="B4E279EE"/>
    <w:rsid w:val="B57A5945"/>
    <w:rsid w:val="B5B7606F"/>
    <w:rsid w:val="B6746605"/>
    <w:rsid w:val="B698E97B"/>
    <w:rsid w:val="B6D21BCB"/>
    <w:rsid w:val="B6EF5619"/>
    <w:rsid w:val="B777991A"/>
    <w:rsid w:val="B7932AB6"/>
    <w:rsid w:val="B7BAEF64"/>
    <w:rsid w:val="B7EB2DC7"/>
    <w:rsid w:val="B7EC5D73"/>
    <w:rsid w:val="B7EFA516"/>
    <w:rsid w:val="B7F7E35A"/>
    <w:rsid w:val="B7FB58A3"/>
    <w:rsid w:val="B7FC5044"/>
    <w:rsid w:val="B7FD67C0"/>
    <w:rsid w:val="B8CFC725"/>
    <w:rsid w:val="B95ACF94"/>
    <w:rsid w:val="B9B311B0"/>
    <w:rsid w:val="B9D74576"/>
    <w:rsid w:val="B9F7100B"/>
    <w:rsid w:val="B9FF7B53"/>
    <w:rsid w:val="BA3EFC1A"/>
    <w:rsid w:val="BA86F8C1"/>
    <w:rsid w:val="BAB7E6A9"/>
    <w:rsid w:val="BAFFA692"/>
    <w:rsid w:val="BB7B7161"/>
    <w:rsid w:val="BBBD10FA"/>
    <w:rsid w:val="BBBD9498"/>
    <w:rsid w:val="BBFF8723"/>
    <w:rsid w:val="BBFFA31A"/>
    <w:rsid w:val="BCDD08CD"/>
    <w:rsid w:val="BD732596"/>
    <w:rsid w:val="BD7FCFCF"/>
    <w:rsid w:val="BD8FFAA3"/>
    <w:rsid w:val="BD97FA0A"/>
    <w:rsid w:val="BDDF639B"/>
    <w:rsid w:val="BDEDE1A2"/>
    <w:rsid w:val="BDEF8958"/>
    <w:rsid w:val="BDFB4D5D"/>
    <w:rsid w:val="BDFF22F8"/>
    <w:rsid w:val="BDFF5947"/>
    <w:rsid w:val="BE7B1FB9"/>
    <w:rsid w:val="BEAF48FF"/>
    <w:rsid w:val="BEFF5797"/>
    <w:rsid w:val="BF0F3D91"/>
    <w:rsid w:val="BF1ECBED"/>
    <w:rsid w:val="BF4A180D"/>
    <w:rsid w:val="BF4FD7BF"/>
    <w:rsid w:val="BF5F5E37"/>
    <w:rsid w:val="BF695EAD"/>
    <w:rsid w:val="BF7F1FCD"/>
    <w:rsid w:val="BF7F647D"/>
    <w:rsid w:val="BF7FBA3A"/>
    <w:rsid w:val="BF7FF501"/>
    <w:rsid w:val="BF978ED8"/>
    <w:rsid w:val="BF9BED49"/>
    <w:rsid w:val="BF9F7C92"/>
    <w:rsid w:val="BFB713C5"/>
    <w:rsid w:val="BFBD9CB1"/>
    <w:rsid w:val="BFBFA363"/>
    <w:rsid w:val="BFBFD6BD"/>
    <w:rsid w:val="BFBFF41A"/>
    <w:rsid w:val="BFD6CAA9"/>
    <w:rsid w:val="BFDD6683"/>
    <w:rsid w:val="BFDD9D9D"/>
    <w:rsid w:val="BFDF9059"/>
    <w:rsid w:val="BFED5CE8"/>
    <w:rsid w:val="BFEDE14B"/>
    <w:rsid w:val="BFEED199"/>
    <w:rsid w:val="BFF20FBE"/>
    <w:rsid w:val="BFF5E6C7"/>
    <w:rsid w:val="BFF6BE1B"/>
    <w:rsid w:val="BFF760E0"/>
    <w:rsid w:val="BFF95959"/>
    <w:rsid w:val="BFF972DE"/>
    <w:rsid w:val="BFFA5742"/>
    <w:rsid w:val="BFFB1D12"/>
    <w:rsid w:val="BFFD3F80"/>
    <w:rsid w:val="BFFE74EF"/>
    <w:rsid w:val="BFFF6B46"/>
    <w:rsid w:val="BFFF9E0A"/>
    <w:rsid w:val="BFFFD890"/>
    <w:rsid w:val="C5FFA0B6"/>
    <w:rsid w:val="C6FFD1C2"/>
    <w:rsid w:val="C7929C45"/>
    <w:rsid w:val="C7F51070"/>
    <w:rsid w:val="C9DDC31D"/>
    <w:rsid w:val="CAF7E7AD"/>
    <w:rsid w:val="CC57E621"/>
    <w:rsid w:val="CDBBB3FE"/>
    <w:rsid w:val="CDFB657E"/>
    <w:rsid w:val="CDFD8A7D"/>
    <w:rsid w:val="CEDFB45B"/>
    <w:rsid w:val="CF22085B"/>
    <w:rsid w:val="CF7A1BD7"/>
    <w:rsid w:val="CF7AAA01"/>
    <w:rsid w:val="CF7E2B5A"/>
    <w:rsid w:val="CF7E8D4E"/>
    <w:rsid w:val="CF7F2169"/>
    <w:rsid w:val="CFAB8D3F"/>
    <w:rsid w:val="CFBCB45A"/>
    <w:rsid w:val="CFDB45D4"/>
    <w:rsid w:val="CFEBCE1D"/>
    <w:rsid w:val="CFEBF99A"/>
    <w:rsid w:val="CFED5CE3"/>
    <w:rsid w:val="CFF3EB6D"/>
    <w:rsid w:val="D17ACBEB"/>
    <w:rsid w:val="D34F5037"/>
    <w:rsid w:val="D3AC18BF"/>
    <w:rsid w:val="D3EE5BCD"/>
    <w:rsid w:val="D4735B16"/>
    <w:rsid w:val="D4FF9811"/>
    <w:rsid w:val="D54FC12C"/>
    <w:rsid w:val="D5CD2D20"/>
    <w:rsid w:val="D5E5823C"/>
    <w:rsid w:val="D5EF71CB"/>
    <w:rsid w:val="D5F6C5AB"/>
    <w:rsid w:val="D5FB5B98"/>
    <w:rsid w:val="D66B209C"/>
    <w:rsid w:val="D67D49EB"/>
    <w:rsid w:val="D6DF3FED"/>
    <w:rsid w:val="D6EBF2BD"/>
    <w:rsid w:val="D6FDBF83"/>
    <w:rsid w:val="D6FEA507"/>
    <w:rsid w:val="D73FD8B1"/>
    <w:rsid w:val="D74DD367"/>
    <w:rsid w:val="D7A9A8E7"/>
    <w:rsid w:val="D7B3150C"/>
    <w:rsid w:val="D7B61B8D"/>
    <w:rsid w:val="D7B6B569"/>
    <w:rsid w:val="D7BF7B5D"/>
    <w:rsid w:val="D7EDBED8"/>
    <w:rsid w:val="D7FB4A99"/>
    <w:rsid w:val="D7FBD0D5"/>
    <w:rsid w:val="D7FE1D14"/>
    <w:rsid w:val="D7FEEBFD"/>
    <w:rsid w:val="D86FC59D"/>
    <w:rsid w:val="D96FCD34"/>
    <w:rsid w:val="D9732D87"/>
    <w:rsid w:val="D9FB1FDD"/>
    <w:rsid w:val="DA7B7544"/>
    <w:rsid w:val="DAEAD1BA"/>
    <w:rsid w:val="DAF30529"/>
    <w:rsid w:val="DB774833"/>
    <w:rsid w:val="DBB3DEDB"/>
    <w:rsid w:val="DBB46D2C"/>
    <w:rsid w:val="DBD7CBEE"/>
    <w:rsid w:val="DBEA9675"/>
    <w:rsid w:val="DBEFAA98"/>
    <w:rsid w:val="DBFD296A"/>
    <w:rsid w:val="DBFFE35E"/>
    <w:rsid w:val="DCBE9BA0"/>
    <w:rsid w:val="DCE734ED"/>
    <w:rsid w:val="DCEBB0AC"/>
    <w:rsid w:val="DCEBEA03"/>
    <w:rsid w:val="DCFF12C4"/>
    <w:rsid w:val="DD76A4E4"/>
    <w:rsid w:val="DD7D8DB0"/>
    <w:rsid w:val="DD9952CB"/>
    <w:rsid w:val="DD9E0322"/>
    <w:rsid w:val="DDEEBBAB"/>
    <w:rsid w:val="DDEF3855"/>
    <w:rsid w:val="DDFF467E"/>
    <w:rsid w:val="DDFF4BC3"/>
    <w:rsid w:val="DE570C59"/>
    <w:rsid w:val="DE5F1744"/>
    <w:rsid w:val="DE7BB2E6"/>
    <w:rsid w:val="DE7FE6CA"/>
    <w:rsid w:val="DEBF8970"/>
    <w:rsid w:val="DED9C7A7"/>
    <w:rsid w:val="DEDB808F"/>
    <w:rsid w:val="DEF98DCD"/>
    <w:rsid w:val="DEFC5BB7"/>
    <w:rsid w:val="DEFCC7DF"/>
    <w:rsid w:val="DEFDA062"/>
    <w:rsid w:val="DEFFE553"/>
    <w:rsid w:val="DF31C444"/>
    <w:rsid w:val="DF7BA9C0"/>
    <w:rsid w:val="DF7E13B9"/>
    <w:rsid w:val="DF7F4D10"/>
    <w:rsid w:val="DFB5AABB"/>
    <w:rsid w:val="DFB7BB13"/>
    <w:rsid w:val="DFBB70D7"/>
    <w:rsid w:val="DFBD8B43"/>
    <w:rsid w:val="DFCB878C"/>
    <w:rsid w:val="DFCFDD1C"/>
    <w:rsid w:val="DFCFEB9F"/>
    <w:rsid w:val="DFD7D615"/>
    <w:rsid w:val="DFDF43B7"/>
    <w:rsid w:val="DFDF631E"/>
    <w:rsid w:val="DFDFE39E"/>
    <w:rsid w:val="DFEFA759"/>
    <w:rsid w:val="DFF54493"/>
    <w:rsid w:val="DFF63B8A"/>
    <w:rsid w:val="DFF6807B"/>
    <w:rsid w:val="DFF7EA57"/>
    <w:rsid w:val="DFFAFA6C"/>
    <w:rsid w:val="DFFB20FC"/>
    <w:rsid w:val="DFFB828F"/>
    <w:rsid w:val="DFFD25E8"/>
    <w:rsid w:val="DFFE04A1"/>
    <w:rsid w:val="E1FB220F"/>
    <w:rsid w:val="E31E0D73"/>
    <w:rsid w:val="E3B7EC8A"/>
    <w:rsid w:val="E3EB75B4"/>
    <w:rsid w:val="E3F15DEC"/>
    <w:rsid w:val="E3FB7FFD"/>
    <w:rsid w:val="E4FEF6A3"/>
    <w:rsid w:val="E5A7E15D"/>
    <w:rsid w:val="E5DF8011"/>
    <w:rsid w:val="E5FB3C80"/>
    <w:rsid w:val="E5FFF850"/>
    <w:rsid w:val="E6BBF83C"/>
    <w:rsid w:val="E6DC5494"/>
    <w:rsid w:val="E6DD8942"/>
    <w:rsid w:val="E6DE1D2C"/>
    <w:rsid w:val="E6DEA58B"/>
    <w:rsid w:val="E6FAF932"/>
    <w:rsid w:val="E7399368"/>
    <w:rsid w:val="E73F8085"/>
    <w:rsid w:val="E76761E8"/>
    <w:rsid w:val="E767B847"/>
    <w:rsid w:val="E77E3B6F"/>
    <w:rsid w:val="E7A739C8"/>
    <w:rsid w:val="E7E74B70"/>
    <w:rsid w:val="E7F35498"/>
    <w:rsid w:val="E7FB5236"/>
    <w:rsid w:val="E7FD1BD8"/>
    <w:rsid w:val="E7FE7131"/>
    <w:rsid w:val="E87FA880"/>
    <w:rsid w:val="E9E76758"/>
    <w:rsid w:val="EA5FB448"/>
    <w:rsid w:val="EA9B5F6E"/>
    <w:rsid w:val="EAADEF78"/>
    <w:rsid w:val="EADF658E"/>
    <w:rsid w:val="EAFBBA9B"/>
    <w:rsid w:val="EB3EB550"/>
    <w:rsid w:val="EB6D41E8"/>
    <w:rsid w:val="EBF7F2F6"/>
    <w:rsid w:val="EBFE7999"/>
    <w:rsid w:val="EC9BBBDE"/>
    <w:rsid w:val="ECA981EE"/>
    <w:rsid w:val="ECAD9046"/>
    <w:rsid w:val="ECB6110E"/>
    <w:rsid w:val="ECF7BAA3"/>
    <w:rsid w:val="ED57981D"/>
    <w:rsid w:val="ED7F8C3F"/>
    <w:rsid w:val="ED978A1E"/>
    <w:rsid w:val="ED98CC40"/>
    <w:rsid w:val="ED9F1A43"/>
    <w:rsid w:val="EDB03289"/>
    <w:rsid w:val="EDB958C7"/>
    <w:rsid w:val="EDDB813F"/>
    <w:rsid w:val="EDEF72D8"/>
    <w:rsid w:val="EDFB1260"/>
    <w:rsid w:val="EE6F8400"/>
    <w:rsid w:val="EE75F3B9"/>
    <w:rsid w:val="EE767642"/>
    <w:rsid w:val="EEBA8CD4"/>
    <w:rsid w:val="EEBD7570"/>
    <w:rsid w:val="EECAB8E6"/>
    <w:rsid w:val="EECCC945"/>
    <w:rsid w:val="EEFF8306"/>
    <w:rsid w:val="EF3B51AB"/>
    <w:rsid w:val="EF51EB3C"/>
    <w:rsid w:val="EF67FC82"/>
    <w:rsid w:val="EF6AFF7D"/>
    <w:rsid w:val="EF6F4D7F"/>
    <w:rsid w:val="EF7E22F6"/>
    <w:rsid w:val="EF7F9E07"/>
    <w:rsid w:val="EF7FAA69"/>
    <w:rsid w:val="EF9594EF"/>
    <w:rsid w:val="EF9B9DDB"/>
    <w:rsid w:val="EFB7A60D"/>
    <w:rsid w:val="EFBB930C"/>
    <w:rsid w:val="EFBBC61A"/>
    <w:rsid w:val="EFBBEE94"/>
    <w:rsid w:val="EFBC9C01"/>
    <w:rsid w:val="EFC3D01C"/>
    <w:rsid w:val="EFDC77FE"/>
    <w:rsid w:val="EFDD8954"/>
    <w:rsid w:val="EFF523BC"/>
    <w:rsid w:val="EFFC6C0F"/>
    <w:rsid w:val="EFFCAA20"/>
    <w:rsid w:val="EFFD3C76"/>
    <w:rsid w:val="EFFD9A6A"/>
    <w:rsid w:val="EFFE3DAB"/>
    <w:rsid w:val="EFFF9A39"/>
    <w:rsid w:val="EFFFD87C"/>
    <w:rsid w:val="F0FF8582"/>
    <w:rsid w:val="F16F3565"/>
    <w:rsid w:val="F1B71966"/>
    <w:rsid w:val="F1D7EFB6"/>
    <w:rsid w:val="F1DB9985"/>
    <w:rsid w:val="F24D497B"/>
    <w:rsid w:val="F2B77CF1"/>
    <w:rsid w:val="F3475EF4"/>
    <w:rsid w:val="F36F7D24"/>
    <w:rsid w:val="F3CF3194"/>
    <w:rsid w:val="F3DA1E76"/>
    <w:rsid w:val="F3F715EA"/>
    <w:rsid w:val="F4757E80"/>
    <w:rsid w:val="F4A77290"/>
    <w:rsid w:val="F4AF982C"/>
    <w:rsid w:val="F4FF2037"/>
    <w:rsid w:val="F4FF42B5"/>
    <w:rsid w:val="F57E61A0"/>
    <w:rsid w:val="F5BE56E5"/>
    <w:rsid w:val="F5DE978F"/>
    <w:rsid w:val="F5FEECA6"/>
    <w:rsid w:val="F5FF2633"/>
    <w:rsid w:val="F6618F2A"/>
    <w:rsid w:val="F673CAE0"/>
    <w:rsid w:val="F677DFB3"/>
    <w:rsid w:val="F67A538D"/>
    <w:rsid w:val="F67B4099"/>
    <w:rsid w:val="F6B7D270"/>
    <w:rsid w:val="F6ED6EC1"/>
    <w:rsid w:val="F6EE600F"/>
    <w:rsid w:val="F6FD435E"/>
    <w:rsid w:val="F6FD4CC3"/>
    <w:rsid w:val="F72F9E46"/>
    <w:rsid w:val="F737FC5E"/>
    <w:rsid w:val="F7562EC0"/>
    <w:rsid w:val="F7673F7F"/>
    <w:rsid w:val="F76AE631"/>
    <w:rsid w:val="F76B582A"/>
    <w:rsid w:val="F7745E95"/>
    <w:rsid w:val="F77B157C"/>
    <w:rsid w:val="F77F8E31"/>
    <w:rsid w:val="F78955D2"/>
    <w:rsid w:val="F78E9091"/>
    <w:rsid w:val="F7B74D96"/>
    <w:rsid w:val="F7BEF5EA"/>
    <w:rsid w:val="F7DA6B46"/>
    <w:rsid w:val="F7DF8B26"/>
    <w:rsid w:val="F7DFC876"/>
    <w:rsid w:val="F7DFCEA1"/>
    <w:rsid w:val="F7E3AC59"/>
    <w:rsid w:val="F7EB9ADA"/>
    <w:rsid w:val="F7F35481"/>
    <w:rsid w:val="F7F52D59"/>
    <w:rsid w:val="F7F7E924"/>
    <w:rsid w:val="F7FBE21F"/>
    <w:rsid w:val="F7FD8138"/>
    <w:rsid w:val="F7FF077E"/>
    <w:rsid w:val="F7FF1AD9"/>
    <w:rsid w:val="F7FF2AFE"/>
    <w:rsid w:val="F7FF4B9E"/>
    <w:rsid w:val="F91B092A"/>
    <w:rsid w:val="F97D964A"/>
    <w:rsid w:val="F9DF9791"/>
    <w:rsid w:val="F9EE40FA"/>
    <w:rsid w:val="F9EF68C1"/>
    <w:rsid w:val="F9F36DF2"/>
    <w:rsid w:val="F9FDC2B6"/>
    <w:rsid w:val="F9FF02EE"/>
    <w:rsid w:val="F9FFB4C3"/>
    <w:rsid w:val="F9FFC007"/>
    <w:rsid w:val="F9FFF197"/>
    <w:rsid w:val="FA377AEF"/>
    <w:rsid w:val="FABB79BE"/>
    <w:rsid w:val="FABFD6B4"/>
    <w:rsid w:val="FAEBFBD8"/>
    <w:rsid w:val="FAFF75F6"/>
    <w:rsid w:val="FAFFCDED"/>
    <w:rsid w:val="FB2FF8E7"/>
    <w:rsid w:val="FB37A677"/>
    <w:rsid w:val="FB3B9069"/>
    <w:rsid w:val="FB3D3B2A"/>
    <w:rsid w:val="FB3FBB7D"/>
    <w:rsid w:val="FB442FEB"/>
    <w:rsid w:val="FB576FAF"/>
    <w:rsid w:val="FB5FC326"/>
    <w:rsid w:val="FB6FCF60"/>
    <w:rsid w:val="FB75A807"/>
    <w:rsid w:val="FB77DEE7"/>
    <w:rsid w:val="FB7EF849"/>
    <w:rsid w:val="FB852EAE"/>
    <w:rsid w:val="FB9F75E3"/>
    <w:rsid w:val="FBAF99E8"/>
    <w:rsid w:val="FBB7FF7D"/>
    <w:rsid w:val="FBC6CC52"/>
    <w:rsid w:val="FBCD0DF5"/>
    <w:rsid w:val="FBDB133F"/>
    <w:rsid w:val="FBDB171D"/>
    <w:rsid w:val="FBED96A6"/>
    <w:rsid w:val="FBF3558C"/>
    <w:rsid w:val="FBFA592D"/>
    <w:rsid w:val="FBFB0DCC"/>
    <w:rsid w:val="FBFB10DB"/>
    <w:rsid w:val="FBFC1B8D"/>
    <w:rsid w:val="FBFE02C4"/>
    <w:rsid w:val="FBFF975C"/>
    <w:rsid w:val="FBFFB1C7"/>
    <w:rsid w:val="FC6FCA16"/>
    <w:rsid w:val="FC7E3753"/>
    <w:rsid w:val="FC9D3796"/>
    <w:rsid w:val="FCED34B8"/>
    <w:rsid w:val="FCF3DD89"/>
    <w:rsid w:val="FCFE0DB4"/>
    <w:rsid w:val="FCFE35E9"/>
    <w:rsid w:val="FCFFD55D"/>
    <w:rsid w:val="FD1E3CEC"/>
    <w:rsid w:val="FD2F2AC0"/>
    <w:rsid w:val="FD377F94"/>
    <w:rsid w:val="FD3F5AF1"/>
    <w:rsid w:val="FD7FBED9"/>
    <w:rsid w:val="FD9E7835"/>
    <w:rsid w:val="FD9FBB61"/>
    <w:rsid w:val="FD9FCDA2"/>
    <w:rsid w:val="FDAF65E2"/>
    <w:rsid w:val="FDB71D26"/>
    <w:rsid w:val="FDBF6239"/>
    <w:rsid w:val="FDD4E22E"/>
    <w:rsid w:val="FDDF408C"/>
    <w:rsid w:val="FDE58494"/>
    <w:rsid w:val="FDEF203A"/>
    <w:rsid w:val="FDEFABF9"/>
    <w:rsid w:val="FDF3EF08"/>
    <w:rsid w:val="FDF768BF"/>
    <w:rsid w:val="FDF8AF18"/>
    <w:rsid w:val="FDFABE5E"/>
    <w:rsid w:val="FDFBDB10"/>
    <w:rsid w:val="FDFC6D5A"/>
    <w:rsid w:val="FDFDE89B"/>
    <w:rsid w:val="FDFE1B32"/>
    <w:rsid w:val="FDFED430"/>
    <w:rsid w:val="FDFF4E14"/>
    <w:rsid w:val="FDFFA97A"/>
    <w:rsid w:val="FDFFAADC"/>
    <w:rsid w:val="FE93C035"/>
    <w:rsid w:val="FE9779E0"/>
    <w:rsid w:val="FECD3EED"/>
    <w:rsid w:val="FECFF1B9"/>
    <w:rsid w:val="FED1BF03"/>
    <w:rsid w:val="FED325C9"/>
    <w:rsid w:val="FEDA24D4"/>
    <w:rsid w:val="FEDBC70D"/>
    <w:rsid w:val="FEDCC9B6"/>
    <w:rsid w:val="FEDF2965"/>
    <w:rsid w:val="FEDF57DF"/>
    <w:rsid w:val="FEDFD754"/>
    <w:rsid w:val="FEEB34D4"/>
    <w:rsid w:val="FEF00791"/>
    <w:rsid w:val="FEF51CE0"/>
    <w:rsid w:val="FEF756B8"/>
    <w:rsid w:val="FEF7B3B7"/>
    <w:rsid w:val="FEFB3A56"/>
    <w:rsid w:val="FEFE730C"/>
    <w:rsid w:val="FEFF0B75"/>
    <w:rsid w:val="FEFFC75E"/>
    <w:rsid w:val="FEFFE60D"/>
    <w:rsid w:val="FF0FE0F6"/>
    <w:rsid w:val="FF1636AB"/>
    <w:rsid w:val="FF377CBE"/>
    <w:rsid w:val="FF3CDBBF"/>
    <w:rsid w:val="FF3D1626"/>
    <w:rsid w:val="FF3F4EE2"/>
    <w:rsid w:val="FF3F6CA2"/>
    <w:rsid w:val="FF3FA1EF"/>
    <w:rsid w:val="FF4F3CAE"/>
    <w:rsid w:val="FF5BA37C"/>
    <w:rsid w:val="FF5CC682"/>
    <w:rsid w:val="FF5ECDA4"/>
    <w:rsid w:val="FF5F737F"/>
    <w:rsid w:val="FF67E415"/>
    <w:rsid w:val="FF6D8DC3"/>
    <w:rsid w:val="FF6F154D"/>
    <w:rsid w:val="FF70E7E9"/>
    <w:rsid w:val="FF731C33"/>
    <w:rsid w:val="FF758B29"/>
    <w:rsid w:val="FF75A2D7"/>
    <w:rsid w:val="FF77A68D"/>
    <w:rsid w:val="FF79D75A"/>
    <w:rsid w:val="FF7C5D6B"/>
    <w:rsid w:val="FF7F2925"/>
    <w:rsid w:val="FF7F5B67"/>
    <w:rsid w:val="FF7FA806"/>
    <w:rsid w:val="FF7FBCB4"/>
    <w:rsid w:val="FF8AA757"/>
    <w:rsid w:val="FF93466F"/>
    <w:rsid w:val="FFAB0712"/>
    <w:rsid w:val="FFAD4719"/>
    <w:rsid w:val="FFADE75B"/>
    <w:rsid w:val="FFB334F5"/>
    <w:rsid w:val="FFB64E19"/>
    <w:rsid w:val="FFB82567"/>
    <w:rsid w:val="FFBD0BEC"/>
    <w:rsid w:val="FFBF5CE0"/>
    <w:rsid w:val="FFBFE067"/>
    <w:rsid w:val="FFBFE5EF"/>
    <w:rsid w:val="FFBFF47B"/>
    <w:rsid w:val="FFC77983"/>
    <w:rsid w:val="FFCE3B79"/>
    <w:rsid w:val="FFCED5D8"/>
    <w:rsid w:val="FFCF87FA"/>
    <w:rsid w:val="FFD12596"/>
    <w:rsid w:val="FFD505BF"/>
    <w:rsid w:val="FFD5CC26"/>
    <w:rsid w:val="FFD72031"/>
    <w:rsid w:val="FFD7253A"/>
    <w:rsid w:val="FFDB949E"/>
    <w:rsid w:val="FFDD2500"/>
    <w:rsid w:val="FFDF165A"/>
    <w:rsid w:val="FFDF452A"/>
    <w:rsid w:val="FFDF6B5A"/>
    <w:rsid w:val="FFDF7971"/>
    <w:rsid w:val="FFDFCA8F"/>
    <w:rsid w:val="FFE66F3C"/>
    <w:rsid w:val="FFE9BCD9"/>
    <w:rsid w:val="FFEAAEBC"/>
    <w:rsid w:val="FFEB522D"/>
    <w:rsid w:val="FFEB820D"/>
    <w:rsid w:val="FFEDB8B6"/>
    <w:rsid w:val="FFEF2FC6"/>
    <w:rsid w:val="FFEF4F49"/>
    <w:rsid w:val="FFEFA802"/>
    <w:rsid w:val="FFEFFDEC"/>
    <w:rsid w:val="FFF02A2A"/>
    <w:rsid w:val="FFF7A45D"/>
    <w:rsid w:val="FFF7D2A1"/>
    <w:rsid w:val="FFF7D7C5"/>
    <w:rsid w:val="FFF861E1"/>
    <w:rsid w:val="FFF924A2"/>
    <w:rsid w:val="FFFAE466"/>
    <w:rsid w:val="FFFB6A40"/>
    <w:rsid w:val="FFFB7EA6"/>
    <w:rsid w:val="FFFBD33E"/>
    <w:rsid w:val="FFFBF0F8"/>
    <w:rsid w:val="FFFD4DD2"/>
    <w:rsid w:val="FFFD4E0C"/>
    <w:rsid w:val="FFFD8545"/>
    <w:rsid w:val="FFFF25B6"/>
    <w:rsid w:val="FFFF26A3"/>
    <w:rsid w:val="FFFF7D43"/>
    <w:rsid w:val="FFFFCE11"/>
    <w:rsid w:val="FFFFE6C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4"/>
    <w:qFormat/>
    <w:uiPriority w:val="9"/>
    <w:pPr>
      <w:widowControl/>
      <w:numPr>
        <w:ilvl w:val="0"/>
        <w:numId w:val="1"/>
      </w:numPr>
      <w:spacing w:before="156" w:beforeLines="50" w:after="156" w:afterLines="50"/>
      <w:outlineLvl w:val="0"/>
    </w:pPr>
    <w:rPr>
      <w:rFonts w:hint="eastAsia" w:ascii="黑体" w:eastAsia="黑体"/>
      <w:kern w:val="0"/>
    </w:rPr>
  </w:style>
  <w:style w:type="paragraph" w:styleId="3">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numPr>
        <w:ilvl w:val="2"/>
        <w:numId w:val="2"/>
      </w:numPr>
      <w:spacing w:before="156" w:beforeLines="50" w:after="156" w:afterLines="50"/>
      <w:outlineLvl w:val="2"/>
    </w:pPr>
    <w:rPr>
      <w:szCs w:val="24"/>
    </w:rPr>
  </w:style>
  <w:style w:type="paragraph" w:styleId="5">
    <w:name w:val="heading 4"/>
    <w:basedOn w:val="1"/>
    <w:next w:val="1"/>
    <w:unhideWhenUsed/>
    <w:qFormat/>
    <w:uiPriority w:val="9"/>
    <w:pPr>
      <w:keepNext/>
      <w:keepLines/>
      <w:numPr>
        <w:ilvl w:val="3"/>
        <w:numId w:val="3"/>
      </w:numPr>
      <w:spacing w:before="280" w:after="290" w:line="374" w:lineRule="auto"/>
      <w:outlineLvl w:val="3"/>
    </w:pPr>
    <w:rPr>
      <w:rFonts w:ascii="Arial" w:hAnsi="Arial" w:eastAsia="黑体"/>
      <w:b/>
      <w:bCs/>
      <w:sz w:val="28"/>
      <w:szCs w:val="28"/>
    </w:rPr>
  </w:style>
  <w:style w:type="paragraph" w:styleId="6">
    <w:name w:val="heading 5"/>
    <w:basedOn w:val="1"/>
    <w:next w:val="1"/>
    <w:unhideWhenUsed/>
    <w:qFormat/>
    <w:uiPriority w:val="9"/>
    <w:pPr>
      <w:keepNext/>
      <w:keepLines/>
      <w:numPr>
        <w:ilvl w:val="4"/>
        <w:numId w:val="4"/>
      </w:numPr>
      <w:spacing w:before="280" w:after="290" w:line="374" w:lineRule="auto"/>
      <w:outlineLvl w:val="4"/>
    </w:pPr>
    <w:rPr>
      <w:b/>
      <w:bCs/>
      <w:sz w:val="28"/>
      <w:szCs w:val="28"/>
    </w:rPr>
  </w:style>
  <w:style w:type="paragraph" w:styleId="7">
    <w:name w:val="heading 7"/>
    <w:basedOn w:val="1"/>
    <w:next w:val="1"/>
    <w:link w:val="36"/>
    <w:semiHidden/>
    <w:unhideWhenUsed/>
    <w:qFormat/>
    <w:uiPriority w:val="9"/>
    <w:pPr>
      <w:keepNext/>
      <w:keepLines/>
      <w:spacing w:before="240" w:after="64" w:line="317" w:lineRule="auto"/>
      <w:outlineLvl w:val="6"/>
    </w:pPr>
    <w:rPr>
      <w:b/>
      <w:sz w:val="24"/>
    </w:rPr>
  </w:style>
  <w:style w:type="paragraph" w:styleId="8">
    <w:name w:val="heading 8"/>
    <w:basedOn w:val="1"/>
    <w:next w:val="1"/>
    <w:link w:val="37"/>
    <w:semiHidden/>
    <w:unhideWhenUsed/>
    <w:qFormat/>
    <w:uiPriority w:val="9"/>
    <w:pPr>
      <w:keepNext/>
      <w:keepLines/>
      <w:spacing w:before="240" w:after="64" w:line="317" w:lineRule="auto"/>
      <w:outlineLvl w:val="7"/>
    </w:pPr>
    <w:rPr>
      <w:rFonts w:ascii="Arial" w:hAnsi="Arial" w:eastAsia="黑体"/>
      <w:sz w:val="24"/>
    </w:rPr>
  </w:style>
  <w:style w:type="paragraph" w:styleId="9">
    <w:name w:val="heading 9"/>
    <w:basedOn w:val="1"/>
    <w:next w:val="1"/>
    <w:link w:val="38"/>
    <w:semiHidden/>
    <w:unhideWhenUsed/>
    <w:qFormat/>
    <w:uiPriority w:val="9"/>
    <w:pPr>
      <w:keepNext/>
      <w:keepLines/>
      <w:spacing w:before="240" w:after="64" w:line="317"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ind w:left="1260"/>
      <w:jc w:val="left"/>
    </w:pPr>
    <w:rPr>
      <w:rFonts w:asciiTheme="minorHAnsi" w:eastAsiaTheme="minorHAnsi"/>
      <w:sz w:val="20"/>
    </w:rPr>
  </w:style>
  <w:style w:type="paragraph" w:styleId="11">
    <w:name w:val="annotation text"/>
    <w:basedOn w:val="1"/>
    <w:link w:val="39"/>
    <w:qFormat/>
    <w:uiPriority w:val="0"/>
    <w:pPr>
      <w:jc w:val="left"/>
    </w:pPr>
    <w:rPr>
      <w:szCs w:val="24"/>
    </w:rPr>
  </w:style>
  <w:style w:type="paragraph" w:styleId="12">
    <w:name w:val="Body Text"/>
    <w:basedOn w:val="1"/>
    <w:link w:val="60"/>
    <w:semiHidden/>
    <w:unhideWhenUsed/>
    <w:qFormat/>
    <w:uiPriority w:val="99"/>
    <w:pPr>
      <w:autoSpaceDE w:val="0"/>
      <w:autoSpaceDN w:val="0"/>
      <w:jc w:val="left"/>
    </w:pPr>
    <w:rPr>
      <w:rFonts w:hint="eastAsia" w:ascii="宋体" w:hAnsi="宋体"/>
      <w:kern w:val="0"/>
      <w:sz w:val="20"/>
    </w:rPr>
  </w:style>
  <w:style w:type="paragraph" w:styleId="13">
    <w:name w:val="toc 5"/>
    <w:basedOn w:val="1"/>
    <w:next w:val="1"/>
    <w:unhideWhenUsed/>
    <w:qFormat/>
    <w:uiPriority w:val="39"/>
    <w:pPr>
      <w:ind w:left="840"/>
      <w:jc w:val="left"/>
    </w:pPr>
    <w:rPr>
      <w:rFonts w:asciiTheme="minorHAnsi" w:eastAsiaTheme="minorHAnsi"/>
      <w:sz w:val="20"/>
    </w:rPr>
  </w:style>
  <w:style w:type="paragraph" w:styleId="14">
    <w:name w:val="toc 3"/>
    <w:basedOn w:val="1"/>
    <w:next w:val="1"/>
    <w:unhideWhenUsed/>
    <w:qFormat/>
    <w:uiPriority w:val="39"/>
    <w:pPr>
      <w:ind w:left="420"/>
      <w:jc w:val="left"/>
    </w:pPr>
    <w:rPr>
      <w:rFonts w:asciiTheme="minorHAnsi" w:eastAsiaTheme="minorHAnsi"/>
      <w:sz w:val="20"/>
    </w:rPr>
  </w:style>
  <w:style w:type="paragraph" w:styleId="15">
    <w:name w:val="Plain Text"/>
    <w:basedOn w:val="1"/>
    <w:link w:val="40"/>
    <w:unhideWhenUsed/>
    <w:qFormat/>
    <w:uiPriority w:val="99"/>
    <w:pPr>
      <w:jc w:val="left"/>
    </w:pPr>
    <w:rPr>
      <w:rFonts w:ascii="sans-serif" w:hAnsi="Courier New"/>
      <w:szCs w:val="21"/>
    </w:rPr>
  </w:style>
  <w:style w:type="paragraph" w:styleId="16">
    <w:name w:val="toc 8"/>
    <w:basedOn w:val="1"/>
    <w:next w:val="1"/>
    <w:unhideWhenUsed/>
    <w:qFormat/>
    <w:uiPriority w:val="39"/>
    <w:pPr>
      <w:ind w:left="1470"/>
      <w:jc w:val="left"/>
    </w:pPr>
    <w:rPr>
      <w:rFonts w:asciiTheme="minorHAnsi" w:eastAsiaTheme="minorHAnsi"/>
      <w:sz w:val="20"/>
    </w:rPr>
  </w:style>
  <w:style w:type="paragraph" w:styleId="17">
    <w:name w:val="Date"/>
    <w:basedOn w:val="1"/>
    <w:next w:val="1"/>
    <w:link w:val="66"/>
    <w:semiHidden/>
    <w:unhideWhenUsed/>
    <w:qFormat/>
    <w:uiPriority w:val="99"/>
    <w:pPr>
      <w:ind w:left="100" w:leftChars="2500"/>
    </w:pPr>
  </w:style>
  <w:style w:type="paragraph" w:styleId="18">
    <w:name w:val="Balloon Text"/>
    <w:basedOn w:val="1"/>
    <w:link w:val="65"/>
    <w:semiHidden/>
    <w:unhideWhenUsed/>
    <w:qFormat/>
    <w:uiPriority w:val="99"/>
    <w:rPr>
      <w:sz w:val="18"/>
      <w:szCs w:val="18"/>
    </w:rPr>
  </w:style>
  <w:style w:type="paragraph" w:styleId="19">
    <w:name w:val="footer"/>
    <w:basedOn w:val="1"/>
    <w:link w:val="41"/>
    <w:unhideWhenUsed/>
    <w:qFormat/>
    <w:uiPriority w:val="99"/>
    <w:pPr>
      <w:tabs>
        <w:tab w:val="center" w:pos="4153"/>
        <w:tab w:val="right" w:pos="8306"/>
      </w:tabs>
      <w:snapToGrid w:val="0"/>
      <w:jc w:val="left"/>
    </w:pPr>
    <w:rPr>
      <w:sz w:val="18"/>
      <w:szCs w:val="18"/>
    </w:rPr>
  </w:style>
  <w:style w:type="paragraph" w:styleId="20">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240" w:after="120"/>
      <w:jc w:val="left"/>
    </w:pPr>
    <w:rPr>
      <w:rFonts w:asciiTheme="minorHAnsi" w:eastAsiaTheme="minorHAnsi"/>
      <w:b/>
      <w:bCs/>
      <w:sz w:val="20"/>
    </w:rPr>
  </w:style>
  <w:style w:type="paragraph" w:styleId="22">
    <w:name w:val="toc 4"/>
    <w:basedOn w:val="1"/>
    <w:next w:val="1"/>
    <w:unhideWhenUsed/>
    <w:qFormat/>
    <w:uiPriority w:val="39"/>
    <w:pPr>
      <w:ind w:left="630"/>
      <w:jc w:val="left"/>
    </w:pPr>
    <w:rPr>
      <w:rFonts w:asciiTheme="minorHAnsi" w:eastAsiaTheme="minorHAnsi"/>
      <w:sz w:val="20"/>
    </w:rPr>
  </w:style>
  <w:style w:type="paragraph" w:styleId="23">
    <w:name w:val="toc 6"/>
    <w:basedOn w:val="1"/>
    <w:next w:val="1"/>
    <w:unhideWhenUsed/>
    <w:qFormat/>
    <w:uiPriority w:val="39"/>
    <w:pPr>
      <w:ind w:left="1050"/>
      <w:jc w:val="left"/>
    </w:pPr>
    <w:rPr>
      <w:rFonts w:asciiTheme="minorHAnsi" w:eastAsiaTheme="minorHAnsi"/>
      <w:sz w:val="20"/>
    </w:rPr>
  </w:style>
  <w:style w:type="paragraph" w:styleId="24">
    <w:name w:val="toc 2"/>
    <w:basedOn w:val="1"/>
    <w:next w:val="1"/>
    <w:unhideWhenUsed/>
    <w:qFormat/>
    <w:uiPriority w:val="39"/>
    <w:pPr>
      <w:spacing w:before="120"/>
      <w:ind w:left="210"/>
      <w:jc w:val="left"/>
    </w:pPr>
    <w:rPr>
      <w:rFonts w:asciiTheme="minorHAnsi" w:eastAsiaTheme="minorHAnsi"/>
      <w:iCs/>
      <w:sz w:val="20"/>
    </w:rPr>
  </w:style>
  <w:style w:type="paragraph" w:styleId="25">
    <w:name w:val="toc 9"/>
    <w:basedOn w:val="1"/>
    <w:next w:val="1"/>
    <w:unhideWhenUsed/>
    <w:qFormat/>
    <w:uiPriority w:val="39"/>
    <w:pPr>
      <w:ind w:left="1680"/>
      <w:jc w:val="left"/>
    </w:pPr>
    <w:rPr>
      <w:rFonts w:asciiTheme="minorHAnsi" w:eastAsiaTheme="minorHAnsi"/>
      <w:sz w:val="20"/>
    </w:rPr>
  </w:style>
  <w:style w:type="paragraph" w:styleId="2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page number"/>
    <w:basedOn w:val="29"/>
    <w:semiHidden/>
    <w:unhideWhenUsed/>
    <w:qFormat/>
    <w:uiPriority w:val="99"/>
  </w:style>
  <w:style w:type="character" w:styleId="32">
    <w:name w:val="Hyperlink"/>
    <w:basedOn w:val="29"/>
    <w:unhideWhenUsed/>
    <w:qFormat/>
    <w:uiPriority w:val="99"/>
    <w:rPr>
      <w:color w:val="0000FF"/>
      <w:u w:val="single"/>
    </w:rPr>
  </w:style>
  <w:style w:type="character" w:styleId="33">
    <w:name w:val="annotation reference"/>
    <w:qFormat/>
    <w:uiPriority w:val="0"/>
    <w:rPr>
      <w:sz w:val="21"/>
      <w:szCs w:val="21"/>
    </w:rPr>
  </w:style>
  <w:style w:type="character" w:customStyle="1" w:styleId="34">
    <w:name w:val="标题 2 字符"/>
    <w:basedOn w:val="29"/>
    <w:link w:val="3"/>
    <w:qFormat/>
    <w:uiPriority w:val="9"/>
    <w:rPr>
      <w:rFonts w:asciiTheme="majorHAnsi" w:hAnsiTheme="majorHAnsi" w:eastAsiaTheme="majorEastAsia" w:cstheme="majorBidi"/>
      <w:b/>
      <w:bCs/>
      <w:sz w:val="32"/>
      <w:szCs w:val="32"/>
    </w:rPr>
  </w:style>
  <w:style w:type="character" w:customStyle="1" w:styleId="35">
    <w:name w:val="标题 3 字符"/>
    <w:basedOn w:val="29"/>
    <w:link w:val="4"/>
    <w:qFormat/>
    <w:uiPriority w:val="9"/>
    <w:rPr>
      <w:kern w:val="2"/>
      <w:sz w:val="21"/>
      <w:szCs w:val="24"/>
    </w:rPr>
  </w:style>
  <w:style w:type="character" w:customStyle="1" w:styleId="36">
    <w:name w:val="标题 7 字符"/>
    <w:basedOn w:val="29"/>
    <w:link w:val="7"/>
    <w:qFormat/>
    <w:uiPriority w:val="0"/>
    <w:rPr>
      <w:b/>
      <w:bCs/>
      <w:kern w:val="2"/>
      <w:sz w:val="24"/>
      <w:szCs w:val="24"/>
    </w:rPr>
  </w:style>
  <w:style w:type="character" w:customStyle="1" w:styleId="37">
    <w:name w:val="标题 8 字符"/>
    <w:basedOn w:val="29"/>
    <w:link w:val="8"/>
    <w:qFormat/>
    <w:uiPriority w:val="0"/>
    <w:rPr>
      <w:rFonts w:hint="default" w:ascii="Arial" w:hAnsi="Arial" w:eastAsia="黑体" w:cs="Arial"/>
      <w:kern w:val="2"/>
      <w:sz w:val="24"/>
      <w:szCs w:val="24"/>
    </w:rPr>
  </w:style>
  <w:style w:type="character" w:customStyle="1" w:styleId="38">
    <w:name w:val="标题 9 字符"/>
    <w:basedOn w:val="29"/>
    <w:link w:val="9"/>
    <w:qFormat/>
    <w:uiPriority w:val="0"/>
    <w:rPr>
      <w:rFonts w:ascii="Arial" w:hAnsi="Arial" w:eastAsia="黑体" w:cs="Arial"/>
      <w:kern w:val="2"/>
      <w:sz w:val="21"/>
      <w:szCs w:val="21"/>
    </w:rPr>
  </w:style>
  <w:style w:type="character" w:customStyle="1" w:styleId="39">
    <w:name w:val="批注文字 字符"/>
    <w:basedOn w:val="29"/>
    <w:link w:val="11"/>
    <w:qFormat/>
    <w:uiPriority w:val="0"/>
    <w:rPr>
      <w:kern w:val="2"/>
      <w:sz w:val="21"/>
      <w:szCs w:val="24"/>
    </w:rPr>
  </w:style>
  <w:style w:type="character" w:customStyle="1" w:styleId="40">
    <w:name w:val="纯文本 字符"/>
    <w:basedOn w:val="29"/>
    <w:link w:val="15"/>
    <w:qFormat/>
    <w:uiPriority w:val="99"/>
    <w:rPr>
      <w:rFonts w:hint="default" w:ascii="Calibri" w:hAnsi="Courier New" w:cs="Courier New"/>
      <w:kern w:val="2"/>
      <w:sz w:val="21"/>
      <w:szCs w:val="21"/>
    </w:rPr>
  </w:style>
  <w:style w:type="character" w:customStyle="1" w:styleId="41">
    <w:name w:val="页脚 字符"/>
    <w:basedOn w:val="29"/>
    <w:link w:val="19"/>
    <w:qFormat/>
    <w:uiPriority w:val="99"/>
    <w:rPr>
      <w:rFonts w:ascii="Times New Roman" w:hAnsi="Times New Roman" w:eastAsia="宋体" w:cs="Times New Roman"/>
      <w:sz w:val="18"/>
      <w:szCs w:val="18"/>
    </w:rPr>
  </w:style>
  <w:style w:type="character" w:customStyle="1" w:styleId="42">
    <w:name w:val="页眉 字符"/>
    <w:basedOn w:val="29"/>
    <w:link w:val="20"/>
    <w:qFormat/>
    <w:uiPriority w:val="99"/>
    <w:rPr>
      <w:rFonts w:ascii="Times New Roman" w:hAnsi="Times New Roman" w:eastAsia="宋体" w:cs="Times New Roman"/>
      <w:sz w:val="18"/>
      <w:szCs w:val="18"/>
    </w:rPr>
  </w:style>
  <w:style w:type="paragraph" w:customStyle="1" w:styleId="4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44">
    <w:name w:val="List Paragraph"/>
    <w:basedOn w:val="1"/>
    <w:qFormat/>
    <w:uiPriority w:val="34"/>
    <w:pPr>
      <w:ind w:firstLine="420" w:firstLineChars="200"/>
    </w:pPr>
  </w:style>
  <w:style w:type="character" w:customStyle="1" w:styleId="45">
    <w:name w:val="列表段落 字符"/>
    <w:basedOn w:val="29"/>
    <w:link w:val="46"/>
    <w:qFormat/>
    <w:uiPriority w:val="0"/>
    <w:rPr>
      <w:kern w:val="2"/>
      <w:sz w:val="21"/>
      <w:szCs w:val="24"/>
    </w:rPr>
  </w:style>
  <w:style w:type="paragraph" w:customStyle="1" w:styleId="46">
    <w:name w:val="msolistparagraph"/>
    <w:basedOn w:val="1"/>
    <w:link w:val="45"/>
    <w:qFormat/>
    <w:uiPriority w:val="0"/>
    <w:pPr>
      <w:ind w:firstLine="420" w:firstLineChars="200"/>
    </w:pPr>
    <w:rPr>
      <w:szCs w:val="24"/>
    </w:rPr>
  </w:style>
  <w:style w:type="character" w:customStyle="1" w:styleId="47">
    <w:name w:val="标题 1 字符"/>
    <w:basedOn w:val="29"/>
    <w:qFormat/>
    <w:uiPriority w:val="0"/>
    <w:rPr>
      <w:rFonts w:hint="default" w:ascii="黑体" w:hAnsi="宋体" w:eastAsia="黑体" w:cs="黑体"/>
      <w:sz w:val="21"/>
    </w:rPr>
  </w:style>
  <w:style w:type="character" w:customStyle="1" w:styleId="48">
    <w:name w:val="标题 6 字符"/>
    <w:basedOn w:val="29"/>
    <w:qFormat/>
    <w:uiPriority w:val="0"/>
    <w:rPr>
      <w:rFonts w:hint="default" w:ascii="Arial" w:hAnsi="Arial" w:eastAsia="黑体" w:cs="Arial"/>
      <w:b/>
      <w:bCs/>
      <w:kern w:val="2"/>
      <w:sz w:val="24"/>
      <w:szCs w:val="24"/>
    </w:rPr>
  </w:style>
  <w:style w:type="character" w:customStyle="1" w:styleId="49">
    <w:name w:val="标题 4 字符"/>
    <w:basedOn w:val="29"/>
    <w:qFormat/>
    <w:uiPriority w:val="0"/>
    <w:rPr>
      <w:rFonts w:hint="default" w:ascii="Arial" w:hAnsi="Arial" w:eastAsia="黑体" w:cs="Arial"/>
      <w:b/>
      <w:bCs/>
      <w:kern w:val="2"/>
      <w:sz w:val="28"/>
      <w:szCs w:val="28"/>
    </w:rPr>
  </w:style>
  <w:style w:type="character" w:customStyle="1" w:styleId="50">
    <w:name w:val="标题 5 字符"/>
    <w:basedOn w:val="29"/>
    <w:qFormat/>
    <w:uiPriority w:val="0"/>
    <w:rPr>
      <w:b/>
      <w:bCs/>
      <w:kern w:val="2"/>
      <w:sz w:val="28"/>
      <w:szCs w:val="28"/>
    </w:rPr>
  </w:style>
  <w:style w:type="character" w:customStyle="1" w:styleId="51">
    <w:name w:val="标题 3 字符1"/>
    <w:basedOn w:val="29"/>
    <w:qFormat/>
    <w:uiPriority w:val="0"/>
    <w:rPr>
      <w:kern w:val="2"/>
      <w:sz w:val="21"/>
      <w:szCs w:val="24"/>
    </w:rPr>
  </w:style>
  <w:style w:type="character" w:customStyle="1" w:styleId="52">
    <w:name w:val="正文 Char"/>
    <w:qFormat/>
    <w:uiPriority w:val="0"/>
    <w:rPr>
      <w:rFonts w:ascii="Times New Roman" w:hAnsi="Times New Roman" w:eastAsia="宋体" w:cs="Times New Roman"/>
      <w:kern w:val="2"/>
      <w:sz w:val="21"/>
      <w:lang w:val="en-US" w:eastAsia="zh-CN" w:bidi="ar-SA"/>
    </w:rPr>
  </w:style>
  <w:style w:type="character" w:customStyle="1" w:styleId="53">
    <w:name w:val="fontstyle01"/>
    <w:basedOn w:val="29"/>
    <w:qFormat/>
    <w:uiPriority w:val="0"/>
    <w:rPr>
      <w:rFonts w:hint="default" w:ascii="Times New Roman" w:hAnsi="Times New Roman" w:cs="Times New Roman"/>
      <w:color w:val="000000"/>
    </w:rPr>
  </w:style>
  <w:style w:type="paragraph" w:customStyle="1" w:styleId="54">
    <w:name w:val="TOC 标题1"/>
    <w:basedOn w:val="2"/>
    <w:next w:val="1"/>
    <w:unhideWhenUsed/>
    <w:qFormat/>
    <w:uiPriority w:val="39"/>
    <w:pPr>
      <w:keepNext/>
      <w:keepLines/>
      <w:numPr>
        <w:numId w:val="0"/>
      </w:numPr>
      <w:spacing w:before="480" w:beforeLines="0" w:after="0" w:afterLines="0" w:line="276" w:lineRule="auto"/>
      <w:jc w:val="left"/>
      <w:outlineLvl w:val="9"/>
    </w:pPr>
    <w:rPr>
      <w:rFonts w:hint="default" w:asciiTheme="majorHAnsi" w:hAnsiTheme="majorHAnsi" w:eastAsiaTheme="majorEastAsia" w:cstheme="majorBidi"/>
      <w:b/>
      <w:bCs/>
      <w:color w:val="2F5597" w:themeColor="accent1" w:themeShade="BF"/>
      <w:sz w:val="28"/>
      <w:szCs w:val="28"/>
    </w:rPr>
  </w:style>
  <w:style w:type="character" w:customStyle="1" w:styleId="55">
    <w:name w:val="未处理的提及1"/>
    <w:basedOn w:val="29"/>
    <w:semiHidden/>
    <w:unhideWhenUsed/>
    <w:qFormat/>
    <w:uiPriority w:val="99"/>
    <w:rPr>
      <w:color w:val="605E5C"/>
      <w:shd w:val="clear" w:color="auto" w:fill="E1DFDD"/>
    </w:rPr>
  </w:style>
  <w:style w:type="paragraph" w:customStyle="1" w:styleId="56">
    <w:name w:val="修订1"/>
    <w:hidden/>
    <w:unhideWhenUsed/>
    <w:qFormat/>
    <w:uiPriority w:val="99"/>
    <w:rPr>
      <w:rFonts w:ascii="Times New Roman" w:hAnsi="Times New Roman" w:eastAsia="宋体" w:cs="Times New Roman"/>
      <w:kern w:val="2"/>
      <w:sz w:val="21"/>
      <w:lang w:val="en-US" w:eastAsia="zh-CN" w:bidi="ar-SA"/>
    </w:rPr>
  </w:style>
  <w:style w:type="paragraph" w:customStyle="1" w:styleId="57">
    <w:name w:val="Table Paragraph"/>
    <w:basedOn w:val="1"/>
    <w:qFormat/>
    <w:uiPriority w:val="0"/>
    <w:pPr>
      <w:autoSpaceDE w:val="0"/>
      <w:autoSpaceDN w:val="0"/>
      <w:jc w:val="left"/>
    </w:pPr>
    <w:rPr>
      <w:rFonts w:hint="eastAsia" w:ascii="宋体" w:hAnsi="宋体"/>
      <w:kern w:val="0"/>
      <w:sz w:val="22"/>
      <w:szCs w:val="22"/>
    </w:rPr>
  </w:style>
  <w:style w:type="paragraph" w:customStyle="1" w:styleId="58">
    <w:name w:val="表格"/>
    <w:basedOn w:val="1"/>
    <w:qFormat/>
    <w:uiPriority w:val="0"/>
    <w:pPr>
      <w:widowControl/>
      <w:spacing w:before="50" w:beforeLines="50"/>
      <w:jc w:val="center"/>
    </w:pPr>
    <w:rPr>
      <w:rFonts w:hint="eastAsia" w:ascii="微软雅黑" w:hAnsi="微软雅黑" w:eastAsia="黑体"/>
      <w:bCs/>
      <w:kern w:val="0"/>
      <w:szCs w:val="21"/>
    </w:rPr>
  </w:style>
  <w:style w:type="character" w:customStyle="1" w:styleId="59">
    <w:name w:val="正文 Char1"/>
    <w:qFormat/>
    <w:uiPriority w:val="0"/>
    <w:rPr>
      <w:rFonts w:ascii="Times New Roman" w:hAnsi="Times New Roman" w:eastAsia="宋体" w:cs="Times New Roman"/>
      <w:kern w:val="2"/>
      <w:sz w:val="21"/>
      <w:lang w:val="en-US" w:eastAsia="zh-CN" w:bidi="ar-SA"/>
    </w:rPr>
  </w:style>
  <w:style w:type="character" w:customStyle="1" w:styleId="60">
    <w:name w:val="正文文本 字符"/>
    <w:basedOn w:val="29"/>
    <w:link w:val="12"/>
    <w:qFormat/>
    <w:uiPriority w:val="0"/>
    <w:rPr>
      <w:rFonts w:hint="eastAsia" w:ascii="宋体" w:hAnsi="宋体" w:eastAsia="宋体" w:cs="宋体"/>
      <w:kern w:val="0"/>
      <w:sz w:val="20"/>
      <w:szCs w:val="20"/>
      <w:lang w:eastAsia="en-US"/>
    </w:rPr>
  </w:style>
  <w:style w:type="table" w:customStyle="1" w:styleId="61">
    <w:name w:val="Table Normal"/>
    <w:basedOn w:val="27"/>
    <w:semiHidden/>
    <w:qFormat/>
    <w:uiPriority w:val="0"/>
    <w:pPr>
      <w:widowControl w:val="0"/>
      <w:autoSpaceDE w:val="0"/>
      <w:autoSpaceDN w:val="0"/>
    </w:pPr>
    <w:rPr>
      <w:rFonts w:hint="eastAsia" w:ascii="等线" w:hAnsi="等线" w:eastAsia="等线" w:cs="等线"/>
      <w:sz w:val="22"/>
      <w:szCs w:val="22"/>
      <w:lang w:eastAsia="en-US"/>
    </w:rPr>
    <w:tblPr>
      <w:tblCellMar>
        <w:left w:w="0" w:type="dxa"/>
        <w:right w:w="0" w:type="dxa"/>
      </w:tblCellMar>
    </w:tblPr>
  </w:style>
  <w:style w:type="character" w:customStyle="1" w:styleId="62">
    <w:name w:val="ts-alignment-element-highlighted"/>
    <w:basedOn w:val="29"/>
    <w:qFormat/>
    <w:uiPriority w:val="0"/>
  </w:style>
  <w:style w:type="character" w:customStyle="1" w:styleId="63">
    <w:name w:val="ts-alignment-element"/>
    <w:basedOn w:val="29"/>
    <w:qFormat/>
    <w:uiPriority w:val="0"/>
  </w:style>
  <w:style w:type="character" w:customStyle="1" w:styleId="64">
    <w:name w:val="标题 1 字符1"/>
    <w:link w:val="2"/>
    <w:qFormat/>
    <w:uiPriority w:val="9"/>
    <w:rPr>
      <w:rFonts w:ascii="黑体" w:eastAsia="黑体"/>
      <w:sz w:val="21"/>
    </w:rPr>
  </w:style>
  <w:style w:type="character" w:customStyle="1" w:styleId="65">
    <w:name w:val="批注框文本 字符"/>
    <w:basedOn w:val="29"/>
    <w:link w:val="18"/>
    <w:semiHidden/>
    <w:qFormat/>
    <w:uiPriority w:val="99"/>
    <w:rPr>
      <w:kern w:val="2"/>
      <w:sz w:val="18"/>
      <w:szCs w:val="18"/>
    </w:rPr>
  </w:style>
  <w:style w:type="character" w:customStyle="1" w:styleId="66">
    <w:name w:val="日期 字符"/>
    <w:basedOn w:val="29"/>
    <w:link w:val="17"/>
    <w:semiHidden/>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93</Pages>
  <Words>9562</Words>
  <Characters>54509</Characters>
  <Lines>454</Lines>
  <Paragraphs>127</Paragraphs>
  <TotalTime>9</TotalTime>
  <ScaleCrop>false</ScaleCrop>
  <LinksUpToDate>false</LinksUpToDate>
  <CharactersWithSpaces>63944</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2024-01-10T10:05:00Z</dcterms:created>
  <dc:creator>tjuyaya</dc:creator>
  <cp:lastModifiedBy>喝大了就给我回家</cp:lastModifiedBy>
  <dcterms:modified xsi:type="dcterms:W3CDTF">2024-01-19T09:45:48Z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B94B451BB3B584D20DD3A965CADB51F0_43</vt:lpwstr>
  </property>
</Properties>
</file>