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AEAF78">
      <w:pPr>
        <w:pStyle w:val="27"/>
        <w:widowControl/>
        <w:spacing w:before="780" w:beforeLines="250" w:line="360" w:lineRule="auto"/>
        <w:ind w:right="420" w:rightChars="200"/>
        <w:jc w:val="right"/>
        <w:rPr>
          <w:rFonts w:hint="default" w:ascii="黑体" w:eastAsia="黑体" w:cs="黑体"/>
          <w:bCs/>
          <w:color w:val="auto"/>
          <w:kern w:val="44"/>
          <w:sz w:val="28"/>
        </w:rPr>
      </w:pPr>
      <w:bookmarkStart w:id="225" w:name="_GoBack"/>
      <w:bookmarkEnd w:id="225"/>
      <w:r>
        <w:drawing>
          <wp:anchor distT="0" distB="0" distL="114300" distR="114300" simplePos="0" relativeHeight="251659264" behindDoc="0" locked="0" layoutInCell="1" allowOverlap="1">
            <wp:simplePos x="0" y="0"/>
            <wp:positionH relativeFrom="column">
              <wp:posOffset>131445</wp:posOffset>
            </wp:positionH>
            <wp:positionV relativeFrom="paragraph">
              <wp:posOffset>-1905</wp:posOffset>
            </wp:positionV>
            <wp:extent cx="1278255" cy="675005"/>
            <wp:effectExtent l="0" t="0" r="1905" b="10795"/>
            <wp:wrapNone/>
            <wp:docPr id="8" name="图片 10" descr="C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CECS"/>
                    <pic:cNvPicPr>
                      <a:picLocks noChangeAspect="1"/>
                    </pic:cNvPicPr>
                  </pic:nvPicPr>
                  <pic:blipFill>
                    <a:blip r:embed="rId4"/>
                    <a:stretch>
                      <a:fillRect/>
                    </a:stretch>
                  </pic:blipFill>
                  <pic:spPr>
                    <a:xfrm>
                      <a:off x="0" y="0"/>
                      <a:ext cx="1278255" cy="675005"/>
                    </a:xfrm>
                    <a:prstGeom prst="rect">
                      <a:avLst/>
                    </a:prstGeom>
                    <a:noFill/>
                    <a:ln>
                      <a:noFill/>
                    </a:ln>
                  </pic:spPr>
                </pic:pic>
              </a:graphicData>
            </a:graphic>
          </wp:anchor>
        </w:drawing>
      </w:r>
      <w:r>
        <w:rPr>
          <w:rFonts w:hint="default" w:ascii="Times New Roman" w:hAnsi="Times New Roman" w:eastAsia="黑体"/>
          <w:bCs/>
          <w:color w:val="auto"/>
          <w:kern w:val="44"/>
          <w:sz w:val="28"/>
        </w:rPr>
        <w:t>T/CECS XXX-20XX</w:t>
      </w:r>
    </w:p>
    <w:p w14:paraId="638E655C">
      <w:pPr>
        <w:pStyle w:val="27"/>
        <w:widowControl/>
        <w:spacing w:before="936" w:beforeLines="300" w:after="624" w:afterLines="200" w:line="240" w:lineRule="auto"/>
        <w:ind w:right="420" w:rightChars="200" w:firstLine="360" w:firstLineChars="150"/>
        <w:jc w:val="center"/>
        <w:rPr>
          <w:rFonts w:hint="default"/>
          <w:bCs/>
          <w:color w:val="auto"/>
          <w:kern w:val="44"/>
          <w:sz w:val="28"/>
        </w:rPr>
      </w:pPr>
      <w:r>
        <mc:AlternateContent>
          <mc:Choice Requires="wps">
            <w:drawing>
              <wp:anchor distT="0" distB="0" distL="114300" distR="114300" simplePos="0" relativeHeight="251660288" behindDoc="0" locked="0" layoutInCell="1" allowOverlap="1">
                <wp:simplePos x="0" y="0"/>
                <wp:positionH relativeFrom="column">
                  <wp:posOffset>22225</wp:posOffset>
                </wp:positionH>
                <wp:positionV relativeFrom="paragraph">
                  <wp:posOffset>17780</wp:posOffset>
                </wp:positionV>
                <wp:extent cx="5318760" cy="635"/>
                <wp:effectExtent l="0" t="0" r="0" b="0"/>
                <wp:wrapNone/>
                <wp:docPr id="7" name="直线 4"/>
                <wp:cNvGraphicFramePr/>
                <a:graphic xmlns:a="http://schemas.openxmlformats.org/drawingml/2006/main">
                  <a:graphicData uri="http://schemas.microsoft.com/office/word/2010/wordprocessingShape">
                    <wps:wsp>
                      <wps:cNvCnPr/>
                      <wps:spPr>
                        <a:xfrm>
                          <a:off x="0" y="0"/>
                          <a:ext cx="531876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1.75pt;margin-top:1.4pt;height:0.05pt;width:418.8pt;z-index:251660288;mso-width-relative:page;mso-height-relative:page;" filled="f" stroked="t" coordsize="21600,21600" o:gfxdata="UEsDBAoAAAAAAIdO4kAAAAAAAAAAAAAAAAAEAAAAZHJzL1BLAwQUAAAACACHTuJAyej4BdMAAAAF&#10;AQAADwAAAGRycy9kb3ducmV2LnhtbE2OTU/DMBBE70j8B2uRuFTUTgqohDg9ALlxoYC4buMliYjX&#10;aex+wK9nOZXjaEZvXrk6+kHtaYp9YAvZ3IAiboLrubXw9lpfLUHFhOxwCEwWvinCqjo/K7Fw4cAv&#10;tF+nVgmEY4EWupTGQuvYdOQxzsNILN1nmDwmiVOr3YQHgftB58bcao89y0OHIz101Hytd95CrN9p&#10;W//Mmpn5WLSB8u3j8xNae3mRmXtQiY7pNIY/fVGHSpw2YccuqsHC4kaGFnLxl3Z5nWWgNpLvQFel&#10;/m9f/QJQSwMEFAAAAAgAh07iQBC1aJjgAQAA0QMAAA4AAABkcnMvZTJvRG9jLnhtbK1TS3ITMRDd&#10;U8UdVNrjsR3shCmPs4gJGwpcFThAW9J4VKVfqRWPfRauwYoNx8k1aGkGB8LGC2ahafXnqd9raXV7&#10;tIYdVETtXcNnkylnygkvtds3/OuX+zc3nGECJ8F4pxp+Ushv169frfpQq7nvvJEqMgJxWPeh4V1K&#10;oa4qFJ2ygBMflKNg66OFRNu4r2SEntCtqebT6bLqfZQheqEQybsZgnxEjJcA+rbVQm28eLTKpQE1&#10;KgOJKGGnA/J16bZtlUif2xZVYqbhxDSVlQ4he5fXar2Ceh8hdFqMLcAlLbzgZEE7OvQMtYEE7DHq&#10;f6CsFtGjb9NEeFsNRIoixGI2faHNQwdBFS4kNYaz6Pj/YMWnwzYyLRt+zZkDSwN/+vb96cdP9jZr&#10;0wesKeXObeO4w7CNmeixjTb/iQI7Fj1PZz3VMTFBzsXV7OZ6SVILii2vFhmxei4NEdMH5S3LRsON&#10;dpks1HD4iGlI/Z2S3caxvuHvFvMFAQLdvJYmTqYN1D26falFb7S818bkCoz73Z2J7AB5+uUbW/gr&#10;LR+yAeyGvBLKaVB3CuR7J1k6BdLF0XPguQWrJGdG0evJVslMoM0lmcTeOBIh6zooma2dl6cicPHT&#10;pItM463MV+nPfal+fon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no+AXTAAAABQEAAA8AAAAA&#10;AAAAAQAgAAAAIgAAAGRycy9kb3ducmV2LnhtbFBLAQIUABQAAAAIAIdO4kAQtWiY4AEAANEDAAAO&#10;AAAAAAAAAAEAIAAAACIBAABkcnMvZTJvRG9jLnhtbFBLBQYAAAAABgAGAFkBAAB0BQAAAAA=&#10;">
                <v:fill on="f" focussize="0,0"/>
                <v:stroke color="#000000" joinstyle="round"/>
                <v:imagedata o:title=""/>
                <o:lock v:ext="edit" aspectratio="f"/>
              </v:line>
            </w:pict>
          </mc:Fallback>
        </mc:AlternateContent>
      </w:r>
      <w:r>
        <w:rPr>
          <w:bCs/>
          <w:color w:val="auto"/>
          <w:kern w:val="44"/>
          <w:sz w:val="28"/>
        </w:rPr>
        <w:t>中国工程建设标准化协会标准</w:t>
      </w:r>
    </w:p>
    <w:p w14:paraId="68D3614C">
      <w:pPr>
        <w:pStyle w:val="7"/>
        <w:widowControl/>
        <w:spacing w:before="312" w:beforeLines="100" w:after="312" w:afterLines="100"/>
        <w:ind w:right="1680" w:rightChars="800" w:firstLine="1687" w:firstLineChars="525"/>
        <w:jc w:val="distribute"/>
        <w:rPr>
          <w:rFonts w:hint="default" w:ascii="黑体" w:eastAsia="黑体" w:cs="黑体"/>
          <w:b/>
          <w:kern w:val="44"/>
          <w:sz w:val="32"/>
          <w:szCs w:val="32"/>
        </w:rPr>
      </w:pPr>
      <w:r>
        <w:rPr>
          <w:rFonts w:ascii="黑体" w:eastAsia="黑体" w:cs="黑体"/>
          <w:b/>
          <w:kern w:val="44"/>
          <w:sz w:val="32"/>
          <w:szCs w:val="32"/>
        </w:rPr>
        <w:t>超低能耗居住建筑节能设计标准</w:t>
      </w:r>
    </w:p>
    <w:p w14:paraId="10488983">
      <w:pPr>
        <w:pStyle w:val="7"/>
        <w:widowControl/>
        <w:adjustRightInd w:val="0"/>
        <w:snapToGrid w:val="0"/>
        <w:spacing w:line="312" w:lineRule="auto"/>
        <w:ind w:left="212" w:leftChars="101" w:right="1459" w:rightChars="695" w:firstLine="1264" w:firstLineChars="527"/>
        <w:jc w:val="center"/>
        <w:rPr>
          <w:rFonts w:hint="default" w:ascii="Times New Roman" w:hAnsi="Times New Roman"/>
          <w:bCs/>
          <w:kern w:val="44"/>
          <w:sz w:val="24"/>
          <w:szCs w:val="24"/>
        </w:rPr>
      </w:pPr>
      <w:r>
        <w:rPr>
          <w:rFonts w:hint="default" w:ascii="Times New Roman" w:hAnsi="Times New Roman"/>
          <w:bCs/>
          <w:kern w:val="44"/>
          <w:sz w:val="24"/>
          <w:szCs w:val="24"/>
        </w:rPr>
        <w:t>Energy efficiency design standard for ultra-low energy</w:t>
      </w:r>
    </w:p>
    <w:p w14:paraId="49D02574">
      <w:pPr>
        <w:pStyle w:val="7"/>
        <w:widowControl/>
        <w:adjustRightInd w:val="0"/>
        <w:snapToGrid w:val="0"/>
        <w:spacing w:line="312" w:lineRule="auto"/>
        <w:ind w:left="212" w:leftChars="101" w:right="1459" w:rightChars="695" w:firstLine="1264" w:firstLineChars="527"/>
        <w:jc w:val="center"/>
        <w:rPr>
          <w:rFonts w:hint="default" w:ascii="Times New Roman" w:hAnsi="Times New Roman"/>
          <w:bCs/>
          <w:kern w:val="44"/>
          <w:sz w:val="24"/>
          <w:szCs w:val="24"/>
        </w:rPr>
      </w:pPr>
      <w:r>
        <w:rPr>
          <w:rFonts w:hint="default" w:ascii="Times New Roman" w:hAnsi="Times New Roman"/>
          <w:bCs/>
          <w:kern w:val="44"/>
          <w:sz w:val="24"/>
          <w:szCs w:val="24"/>
        </w:rPr>
        <w:t>residential buildings</w:t>
      </w:r>
    </w:p>
    <w:p w14:paraId="5139BC30">
      <w:pPr>
        <w:pStyle w:val="7"/>
        <w:widowControl/>
        <w:jc w:val="center"/>
        <w:rPr>
          <w:rFonts w:hint="default" w:ascii="黑体" w:eastAsia="黑体" w:cs="黑体"/>
          <w:bCs/>
          <w:kern w:val="44"/>
          <w:sz w:val="28"/>
          <w:szCs w:val="28"/>
        </w:rPr>
      </w:pPr>
    </w:p>
    <w:p w14:paraId="2EF5709B">
      <w:pPr>
        <w:pStyle w:val="7"/>
        <w:widowControl/>
        <w:jc w:val="center"/>
        <w:rPr>
          <w:rFonts w:hint="default"/>
          <w:bCs/>
          <w:kern w:val="44"/>
          <w:sz w:val="28"/>
          <w:szCs w:val="28"/>
        </w:rPr>
      </w:pPr>
      <w:r>
        <w:rPr>
          <w:bCs/>
          <w:kern w:val="44"/>
          <w:sz w:val="28"/>
          <w:szCs w:val="28"/>
        </w:rPr>
        <w:t>（征求意见稿）</w:t>
      </w:r>
    </w:p>
    <w:p w14:paraId="18EDA4C1">
      <w:pPr>
        <w:pStyle w:val="7"/>
        <w:widowControl/>
        <w:jc w:val="center"/>
        <w:rPr>
          <w:rFonts w:hint="default" w:ascii="黑体" w:eastAsia="黑体" w:cs="黑体"/>
          <w:bCs/>
          <w:kern w:val="44"/>
          <w:sz w:val="28"/>
          <w:szCs w:val="28"/>
        </w:rPr>
      </w:pPr>
    </w:p>
    <w:p w14:paraId="6FD64DA9">
      <w:pPr>
        <w:pStyle w:val="7"/>
        <w:widowControl/>
        <w:jc w:val="center"/>
        <w:rPr>
          <w:rFonts w:hint="default" w:ascii="黑体" w:eastAsia="黑体" w:cs="黑体"/>
          <w:bCs/>
          <w:kern w:val="44"/>
          <w:sz w:val="28"/>
          <w:szCs w:val="28"/>
        </w:rPr>
      </w:pPr>
    </w:p>
    <w:p w14:paraId="0B6E4C87">
      <w:pPr>
        <w:pStyle w:val="7"/>
        <w:widowControl/>
        <w:jc w:val="center"/>
        <w:rPr>
          <w:rFonts w:hint="default" w:ascii="黑体" w:eastAsia="黑体" w:cs="黑体"/>
          <w:bCs/>
          <w:kern w:val="44"/>
          <w:sz w:val="28"/>
          <w:szCs w:val="28"/>
        </w:rPr>
      </w:pPr>
    </w:p>
    <w:p w14:paraId="217A7B89">
      <w:pPr>
        <w:pStyle w:val="7"/>
        <w:widowControl/>
        <w:jc w:val="center"/>
        <w:rPr>
          <w:rFonts w:hint="default" w:ascii="黑体" w:eastAsia="黑体" w:cs="黑体"/>
          <w:bCs/>
          <w:kern w:val="44"/>
          <w:sz w:val="28"/>
          <w:szCs w:val="28"/>
        </w:rPr>
      </w:pPr>
    </w:p>
    <w:p w14:paraId="72E1FBDA">
      <w:pPr>
        <w:pStyle w:val="7"/>
        <w:widowControl/>
        <w:ind w:right="2520" w:rightChars="1200" w:firstLine="2520" w:firstLineChars="900"/>
        <w:jc w:val="center"/>
        <w:rPr>
          <w:rFonts w:hint="default" w:ascii="黑体" w:eastAsia="黑体" w:cs="黑体"/>
          <w:bCs/>
          <w:kern w:val="44"/>
          <w:sz w:val="28"/>
          <w:szCs w:val="28"/>
        </w:rPr>
      </w:pPr>
    </w:p>
    <w:p w14:paraId="6287C62A">
      <w:pPr>
        <w:pStyle w:val="7"/>
        <w:widowControl/>
        <w:jc w:val="center"/>
        <w:rPr>
          <w:rFonts w:hint="default" w:ascii="黑体" w:eastAsia="黑体" w:cs="黑体"/>
          <w:bCs/>
          <w:kern w:val="44"/>
          <w:sz w:val="28"/>
          <w:szCs w:val="28"/>
        </w:rPr>
      </w:pPr>
    </w:p>
    <w:p w14:paraId="0DCA2FB9">
      <w:pPr>
        <w:pStyle w:val="7"/>
        <w:widowControl/>
        <w:jc w:val="center"/>
        <w:rPr>
          <w:rFonts w:hint="default" w:ascii="黑体" w:eastAsia="黑体" w:cs="黑体"/>
          <w:bCs/>
          <w:kern w:val="44"/>
          <w:sz w:val="28"/>
          <w:szCs w:val="28"/>
        </w:rPr>
      </w:pPr>
    </w:p>
    <w:p w14:paraId="2095865B">
      <w:pPr>
        <w:pStyle w:val="7"/>
        <w:widowControl/>
        <w:jc w:val="center"/>
        <w:rPr>
          <w:rFonts w:hint="default" w:ascii="黑体" w:eastAsia="黑体" w:cs="黑体"/>
          <w:bCs/>
          <w:kern w:val="44"/>
          <w:sz w:val="28"/>
          <w:szCs w:val="28"/>
        </w:rPr>
      </w:pPr>
    </w:p>
    <w:p w14:paraId="235002BD">
      <w:pPr>
        <w:pStyle w:val="7"/>
        <w:widowControl/>
        <w:jc w:val="center"/>
        <w:rPr>
          <w:rFonts w:hint="default" w:ascii="黑体" w:eastAsia="黑体" w:cs="黑体"/>
          <w:bCs/>
          <w:kern w:val="44"/>
          <w:sz w:val="28"/>
          <w:szCs w:val="28"/>
        </w:rPr>
      </w:pPr>
    </w:p>
    <w:p w14:paraId="4F85D08B">
      <w:pPr>
        <w:pStyle w:val="7"/>
        <w:widowControl/>
        <w:jc w:val="center"/>
        <w:rPr>
          <w:rFonts w:hint="default" w:ascii="黑体" w:eastAsia="黑体" w:cs="黑体"/>
          <w:bCs/>
          <w:kern w:val="44"/>
          <w:sz w:val="28"/>
          <w:szCs w:val="28"/>
        </w:rPr>
      </w:pPr>
    </w:p>
    <w:p w14:paraId="5B9E5410">
      <w:pPr>
        <w:pStyle w:val="7"/>
        <w:widowControl/>
        <w:jc w:val="center"/>
        <w:rPr>
          <w:rFonts w:hint="default" w:ascii="黑体" w:eastAsia="黑体" w:cs="黑体"/>
          <w:bCs/>
          <w:kern w:val="44"/>
          <w:sz w:val="28"/>
          <w:szCs w:val="28"/>
        </w:rPr>
      </w:pPr>
    </w:p>
    <w:p w14:paraId="640BD568">
      <w:pPr>
        <w:pStyle w:val="7"/>
        <w:widowControl/>
        <w:tabs>
          <w:tab w:val="left" w:pos="5674"/>
        </w:tabs>
        <w:ind w:right="2719" w:rightChars="1295" w:firstLine="2735" w:firstLineChars="977"/>
        <w:jc w:val="distribute"/>
        <w:rPr>
          <w:rFonts w:hint="default"/>
          <w:bCs/>
          <w:kern w:val="44"/>
          <w:sz w:val="28"/>
          <w:szCs w:val="28"/>
        </w:rPr>
      </w:pPr>
      <w:r>
        <w:rPr>
          <w:bCs/>
          <w:kern w:val="44"/>
          <w:sz w:val="28"/>
          <w:szCs w:val="28"/>
        </w:rPr>
        <w:t>中国计划出版社</w:t>
      </w:r>
    </w:p>
    <w:p w14:paraId="02C80F41">
      <w:pPr>
        <w:rPr>
          <w:rFonts w:ascii="黑体" w:hAnsi="宋体" w:eastAsia="黑体" w:cs="黑体"/>
          <w:bCs/>
          <w:kern w:val="44"/>
          <w:sz w:val="28"/>
          <w:szCs w:val="28"/>
          <w:lang w:bidi="ar"/>
        </w:rPr>
        <w:sectPr>
          <w:pgSz w:w="11906" w:h="16838"/>
          <w:pgMar w:top="1440" w:right="1706" w:bottom="1440" w:left="1800" w:header="851" w:footer="992" w:gutter="0"/>
          <w:cols w:space="425" w:num="1"/>
          <w:docGrid w:type="lines" w:linePitch="312" w:charSpace="0"/>
        </w:sectPr>
      </w:pPr>
    </w:p>
    <w:p w14:paraId="664C7E14">
      <w:pPr>
        <w:pStyle w:val="27"/>
        <w:widowControl/>
        <w:spacing w:before="936" w:beforeLines="300" w:after="624" w:afterLines="200" w:line="240" w:lineRule="auto"/>
        <w:ind w:right="2100" w:rightChars="1000" w:firstLine="2100" w:firstLineChars="750"/>
        <w:jc w:val="distribute"/>
        <w:rPr>
          <w:rFonts w:hint="default" w:ascii="黑体" w:eastAsia="黑体" w:cs="黑体"/>
          <w:b/>
          <w:color w:val="auto"/>
          <w:kern w:val="44"/>
          <w:sz w:val="28"/>
        </w:rPr>
      </w:pPr>
      <w:r>
        <w:rPr>
          <w:rFonts w:ascii="黑体" w:eastAsia="黑体" w:cs="黑体"/>
          <w:bCs/>
          <w:color w:val="auto"/>
          <w:kern w:val="44"/>
          <w:sz w:val="28"/>
        </w:rPr>
        <w:t>中国工程建设标准化协会</w:t>
      </w:r>
    </w:p>
    <w:p w14:paraId="1F8DC5EB">
      <w:pPr>
        <w:pStyle w:val="7"/>
        <w:widowControl/>
        <w:spacing w:before="312" w:beforeLines="100" w:after="312" w:afterLines="100"/>
        <w:jc w:val="center"/>
        <w:rPr>
          <w:rFonts w:hint="default"/>
        </w:rPr>
      </w:pPr>
      <w:r>
        <w:rPr>
          <w:bCs/>
          <w:kern w:val="44"/>
          <w:sz w:val="32"/>
          <w:szCs w:val="32"/>
        </w:rPr>
        <w:t>超低能耗居住建筑节能设计标准</w:t>
      </w:r>
    </w:p>
    <w:p w14:paraId="1CEE9D7E">
      <w:pPr>
        <w:pStyle w:val="7"/>
        <w:widowControl/>
        <w:adjustRightInd w:val="0"/>
        <w:snapToGrid w:val="0"/>
        <w:spacing w:line="312" w:lineRule="auto"/>
        <w:ind w:left="216" w:leftChars="103" w:right="619" w:rightChars="295" w:firstLine="360" w:firstLineChars="150"/>
        <w:jc w:val="center"/>
        <w:rPr>
          <w:rFonts w:hint="default" w:ascii="Times New Roman" w:hAnsi="Times New Roman"/>
          <w:bCs/>
          <w:kern w:val="44"/>
          <w:sz w:val="24"/>
          <w:szCs w:val="24"/>
        </w:rPr>
      </w:pPr>
      <w:r>
        <w:rPr>
          <w:rFonts w:hint="default" w:ascii="Times New Roman" w:hAnsi="Times New Roman"/>
          <w:bCs/>
          <w:kern w:val="44"/>
          <w:sz w:val="24"/>
          <w:szCs w:val="24"/>
        </w:rPr>
        <w:t>Energy efficiency design standard for ultra-low energy</w:t>
      </w:r>
    </w:p>
    <w:p w14:paraId="091CAB71">
      <w:pPr>
        <w:pStyle w:val="7"/>
        <w:widowControl/>
        <w:adjustRightInd w:val="0"/>
        <w:snapToGrid w:val="0"/>
        <w:spacing w:line="312" w:lineRule="auto"/>
        <w:ind w:left="218" w:leftChars="104"/>
        <w:jc w:val="center"/>
        <w:rPr>
          <w:rFonts w:hint="default" w:ascii="Times New Roman" w:hAnsi="Times New Roman"/>
          <w:bCs/>
          <w:kern w:val="44"/>
          <w:sz w:val="24"/>
          <w:szCs w:val="24"/>
        </w:rPr>
      </w:pPr>
      <w:r>
        <w:rPr>
          <w:rFonts w:hint="default" w:ascii="Times New Roman" w:hAnsi="Times New Roman"/>
          <w:bCs/>
          <w:kern w:val="44"/>
          <w:sz w:val="24"/>
          <w:szCs w:val="24"/>
        </w:rPr>
        <w:t>residential buildings</w:t>
      </w:r>
    </w:p>
    <w:p w14:paraId="2BE9B829">
      <w:pPr>
        <w:pStyle w:val="7"/>
        <w:widowControl/>
        <w:adjustRightInd w:val="0"/>
        <w:snapToGrid w:val="0"/>
        <w:spacing w:before="312" w:beforeLines="100" w:after="312" w:afterLines="100" w:line="312" w:lineRule="auto"/>
        <w:ind w:left="218" w:leftChars="104"/>
        <w:jc w:val="center"/>
        <w:rPr>
          <w:rFonts w:hint="default" w:ascii="微软雅黑" w:hAnsi="微软雅黑" w:eastAsia="微软雅黑" w:cs="微软雅黑"/>
          <w:b/>
          <w:kern w:val="44"/>
          <w:sz w:val="30"/>
          <w:szCs w:val="24"/>
        </w:rPr>
      </w:pPr>
      <w:r>
        <w:rPr>
          <w:rFonts w:hint="default" w:ascii="Times New Roman" w:hAnsi="Times New Roman"/>
          <w:b/>
          <w:kern w:val="44"/>
          <w:sz w:val="24"/>
          <w:szCs w:val="24"/>
        </w:rPr>
        <w:t>T/CECS xxx-20xx</w:t>
      </w:r>
    </w:p>
    <w:p w14:paraId="404AD9E1">
      <w:pPr>
        <w:pStyle w:val="7"/>
        <w:widowControl/>
        <w:adjustRightInd w:val="0"/>
        <w:snapToGrid w:val="0"/>
        <w:spacing w:line="312" w:lineRule="auto"/>
        <w:ind w:right="1260" w:rightChars="600" w:firstLine="1260" w:firstLineChars="525"/>
        <w:jc w:val="distribute"/>
        <w:rPr>
          <w:rFonts w:hint="default"/>
          <w:bCs/>
          <w:kern w:val="44"/>
          <w:sz w:val="24"/>
          <w:szCs w:val="24"/>
        </w:rPr>
      </w:pPr>
      <w:r>
        <w:rPr>
          <w:bCs/>
          <w:kern w:val="44"/>
          <w:sz w:val="24"/>
          <w:szCs w:val="24"/>
        </w:rPr>
        <w:t>主编单位：</w:t>
      </w:r>
      <w:r>
        <w:rPr>
          <w:bCs/>
          <w:kern w:val="44"/>
          <w:sz w:val="24"/>
          <w:szCs w:val="24"/>
        </w:rPr>
        <w:tab/>
      </w:r>
      <w:r>
        <w:rPr>
          <w:bCs/>
          <w:kern w:val="44"/>
          <w:sz w:val="24"/>
          <w:szCs w:val="24"/>
        </w:rPr>
        <w:t>上海中森建筑与工程设计顾问有限公司</w:t>
      </w:r>
    </w:p>
    <w:p w14:paraId="1295768A">
      <w:pPr>
        <w:pStyle w:val="7"/>
        <w:widowControl/>
        <w:adjustRightInd w:val="0"/>
        <w:snapToGrid w:val="0"/>
        <w:spacing w:line="312" w:lineRule="auto"/>
        <w:ind w:right="1260" w:rightChars="600" w:firstLine="1260" w:firstLineChars="525"/>
        <w:jc w:val="distribute"/>
        <w:rPr>
          <w:rFonts w:hint="default"/>
          <w:bCs/>
          <w:kern w:val="44"/>
          <w:sz w:val="24"/>
          <w:szCs w:val="24"/>
        </w:rPr>
      </w:pPr>
      <w:r>
        <w:rPr>
          <w:bCs/>
          <w:kern w:val="44"/>
          <w:sz w:val="24"/>
          <w:szCs w:val="24"/>
        </w:rPr>
        <w:t>批准单位：</w:t>
      </w:r>
      <w:r>
        <w:rPr>
          <w:bCs/>
          <w:kern w:val="44"/>
          <w:sz w:val="24"/>
          <w:szCs w:val="24"/>
        </w:rPr>
        <w:tab/>
      </w:r>
      <w:r>
        <w:rPr>
          <w:bCs/>
          <w:kern w:val="44"/>
          <w:sz w:val="24"/>
          <w:szCs w:val="24"/>
        </w:rPr>
        <w:t>中国工程建设标准化协会</w:t>
      </w:r>
    </w:p>
    <w:p w14:paraId="0AF151E5">
      <w:pPr>
        <w:pStyle w:val="7"/>
        <w:widowControl/>
        <w:adjustRightInd w:val="0"/>
        <w:snapToGrid w:val="0"/>
        <w:spacing w:line="312" w:lineRule="auto"/>
        <w:ind w:right="1260" w:rightChars="600" w:firstLine="1260" w:firstLineChars="525"/>
        <w:jc w:val="distribute"/>
        <w:rPr>
          <w:rFonts w:hint="default"/>
          <w:b/>
          <w:kern w:val="44"/>
          <w:sz w:val="24"/>
          <w:szCs w:val="24"/>
        </w:rPr>
      </w:pPr>
      <w:r>
        <w:rPr>
          <w:bCs/>
          <w:kern w:val="44"/>
          <w:sz w:val="24"/>
          <w:szCs w:val="24"/>
        </w:rPr>
        <w:t>实施日期：</w:t>
      </w:r>
      <w:r>
        <w:rPr>
          <w:bCs/>
          <w:kern w:val="44"/>
          <w:sz w:val="24"/>
          <w:szCs w:val="24"/>
        </w:rPr>
        <w:tab/>
      </w:r>
      <w:r>
        <w:rPr>
          <w:bCs/>
          <w:kern w:val="44"/>
          <w:sz w:val="24"/>
          <w:szCs w:val="24"/>
        </w:rPr>
        <w:t>202x年xx月xx日</w:t>
      </w:r>
    </w:p>
    <w:p w14:paraId="66DF75C9">
      <w:pPr>
        <w:pStyle w:val="7"/>
        <w:widowControl/>
        <w:jc w:val="center"/>
        <w:rPr>
          <w:rFonts w:hint="default"/>
          <w:bCs/>
          <w:kern w:val="44"/>
          <w:sz w:val="30"/>
          <w:szCs w:val="24"/>
        </w:rPr>
      </w:pPr>
    </w:p>
    <w:p w14:paraId="25B697AF">
      <w:pPr>
        <w:pStyle w:val="7"/>
        <w:widowControl/>
        <w:jc w:val="center"/>
        <w:rPr>
          <w:rFonts w:hint="default"/>
          <w:bCs/>
          <w:kern w:val="44"/>
          <w:sz w:val="30"/>
          <w:szCs w:val="24"/>
        </w:rPr>
      </w:pPr>
    </w:p>
    <w:p w14:paraId="68E5CB1F">
      <w:pPr>
        <w:pStyle w:val="7"/>
        <w:widowControl/>
        <w:jc w:val="center"/>
        <w:rPr>
          <w:rFonts w:hint="default"/>
          <w:bCs/>
          <w:kern w:val="44"/>
          <w:sz w:val="30"/>
          <w:szCs w:val="24"/>
        </w:rPr>
      </w:pPr>
    </w:p>
    <w:p w14:paraId="52AE4717">
      <w:pPr>
        <w:pStyle w:val="7"/>
        <w:widowControl/>
        <w:jc w:val="center"/>
        <w:rPr>
          <w:rFonts w:hint="default"/>
          <w:bCs/>
          <w:kern w:val="44"/>
          <w:sz w:val="30"/>
          <w:szCs w:val="24"/>
        </w:rPr>
      </w:pPr>
    </w:p>
    <w:p w14:paraId="02EA2D9A">
      <w:pPr>
        <w:pStyle w:val="7"/>
        <w:widowControl/>
        <w:jc w:val="center"/>
        <w:rPr>
          <w:rFonts w:hint="default"/>
          <w:bCs/>
          <w:kern w:val="44"/>
          <w:sz w:val="30"/>
          <w:szCs w:val="24"/>
        </w:rPr>
      </w:pPr>
    </w:p>
    <w:p w14:paraId="6CE4242A">
      <w:pPr>
        <w:pStyle w:val="7"/>
        <w:widowControl/>
        <w:jc w:val="center"/>
        <w:rPr>
          <w:rFonts w:hint="default"/>
          <w:bCs/>
          <w:kern w:val="44"/>
          <w:sz w:val="30"/>
          <w:szCs w:val="24"/>
        </w:rPr>
      </w:pPr>
    </w:p>
    <w:p w14:paraId="074C5A72">
      <w:pPr>
        <w:pStyle w:val="7"/>
        <w:widowControl/>
        <w:jc w:val="center"/>
        <w:rPr>
          <w:rFonts w:hint="default"/>
          <w:bCs/>
          <w:kern w:val="44"/>
          <w:sz w:val="30"/>
          <w:szCs w:val="24"/>
        </w:rPr>
      </w:pPr>
    </w:p>
    <w:p w14:paraId="17368349">
      <w:pPr>
        <w:pStyle w:val="7"/>
        <w:widowControl/>
        <w:jc w:val="center"/>
        <w:rPr>
          <w:rFonts w:hint="default"/>
          <w:bCs/>
          <w:kern w:val="44"/>
          <w:sz w:val="30"/>
          <w:szCs w:val="24"/>
        </w:rPr>
      </w:pPr>
    </w:p>
    <w:p w14:paraId="21574005">
      <w:pPr>
        <w:pStyle w:val="7"/>
        <w:widowControl/>
        <w:jc w:val="center"/>
        <w:rPr>
          <w:rFonts w:hint="default"/>
          <w:bCs/>
          <w:kern w:val="44"/>
          <w:sz w:val="30"/>
          <w:szCs w:val="24"/>
        </w:rPr>
      </w:pPr>
    </w:p>
    <w:p w14:paraId="2B3FB1A5">
      <w:pPr>
        <w:pStyle w:val="7"/>
        <w:widowControl/>
        <w:jc w:val="center"/>
        <w:rPr>
          <w:rFonts w:hint="default"/>
          <w:bCs/>
          <w:kern w:val="44"/>
          <w:sz w:val="30"/>
          <w:szCs w:val="24"/>
        </w:rPr>
      </w:pPr>
    </w:p>
    <w:p w14:paraId="458ED8C3">
      <w:pPr>
        <w:pStyle w:val="7"/>
        <w:widowControl/>
        <w:rPr>
          <w:rFonts w:hint="default"/>
          <w:bCs/>
          <w:kern w:val="44"/>
          <w:sz w:val="30"/>
          <w:szCs w:val="24"/>
        </w:rPr>
      </w:pPr>
    </w:p>
    <w:p w14:paraId="141E982B">
      <w:pPr>
        <w:pStyle w:val="7"/>
        <w:widowControl/>
        <w:ind w:left="1134" w:leftChars="540" w:right="2940" w:rightChars="1400" w:firstLine="1803" w:firstLineChars="644"/>
        <w:jc w:val="distribute"/>
        <w:rPr>
          <w:rFonts w:hint="default" w:ascii="微软雅黑" w:hAnsi="微软雅黑" w:eastAsia="微软雅黑" w:cs="微软雅黑"/>
          <w:bCs/>
          <w:kern w:val="44"/>
          <w:sz w:val="28"/>
          <w:szCs w:val="28"/>
        </w:rPr>
      </w:pPr>
      <w:r>
        <w:rPr>
          <w:bCs/>
          <w:kern w:val="44"/>
          <w:sz w:val="28"/>
          <w:szCs w:val="28"/>
        </w:rPr>
        <w:t>中国计划出版社</w:t>
      </w:r>
    </w:p>
    <w:p w14:paraId="74C06F9A">
      <w:pPr>
        <w:pStyle w:val="7"/>
        <w:widowControl/>
        <w:jc w:val="center"/>
        <w:rPr>
          <w:rFonts w:hint="default" w:ascii="黑体" w:eastAsia="黑体" w:cs="黑体"/>
          <w:bCs/>
          <w:kern w:val="44"/>
          <w:sz w:val="24"/>
          <w:szCs w:val="24"/>
        </w:rPr>
      </w:pPr>
      <w:r>
        <w:rPr>
          <w:rFonts w:ascii="黑体" w:eastAsia="黑体" w:cs="黑体"/>
          <w:bCs/>
          <w:kern w:val="44"/>
          <w:sz w:val="24"/>
          <w:szCs w:val="24"/>
        </w:rPr>
        <w:t>202x  北    京</w:t>
      </w:r>
    </w:p>
    <w:p w14:paraId="021F785C">
      <w:pPr>
        <w:rPr>
          <w:rFonts w:ascii="黑体" w:hAnsi="宋体" w:eastAsia="黑体" w:cs="黑体"/>
          <w:b/>
          <w:kern w:val="44"/>
          <w:sz w:val="28"/>
          <w:szCs w:val="28"/>
          <w:lang w:bidi="ar"/>
        </w:rPr>
        <w:sectPr>
          <w:pgSz w:w="11906" w:h="16838"/>
          <w:pgMar w:top="1440" w:right="1706" w:bottom="1440" w:left="1800" w:header="851" w:footer="992" w:gutter="0"/>
          <w:pgNumType w:start="1"/>
          <w:cols w:space="425" w:num="1"/>
          <w:docGrid w:type="lines" w:linePitch="312" w:charSpace="0"/>
        </w:sectPr>
      </w:pPr>
    </w:p>
    <w:p w14:paraId="5E304592">
      <w:pPr>
        <w:pStyle w:val="27"/>
        <w:widowControl/>
        <w:spacing w:before="624" w:beforeLines="200" w:after="624" w:afterLines="200" w:line="240" w:lineRule="auto"/>
        <w:jc w:val="center"/>
        <w:rPr>
          <w:rFonts w:hint="default" w:ascii="黑体" w:eastAsia="黑体" w:cs="黑体"/>
          <w:b/>
          <w:color w:val="auto"/>
          <w:kern w:val="44"/>
          <w:sz w:val="28"/>
        </w:rPr>
      </w:pPr>
      <w:r>
        <w:rPr>
          <w:rFonts w:ascii="黑体" w:eastAsia="黑体" w:cs="黑体"/>
          <w:b/>
          <w:color w:val="auto"/>
          <w:kern w:val="44"/>
          <w:sz w:val="28"/>
        </w:rPr>
        <w:t>前    言</w:t>
      </w:r>
    </w:p>
    <w:p w14:paraId="7CE9D70A">
      <w:pPr>
        <w:pStyle w:val="7"/>
        <w:widowControl/>
        <w:rPr>
          <w:rFonts w:hint="default"/>
          <w:b/>
          <w:bCs/>
        </w:rPr>
      </w:pPr>
    </w:p>
    <w:p w14:paraId="31EB9524">
      <w:pPr>
        <w:pStyle w:val="7"/>
        <w:widowControl/>
        <w:adjustRightInd w:val="0"/>
        <w:snapToGrid w:val="0"/>
        <w:spacing w:line="26" w:lineRule="atLeast"/>
        <w:ind w:firstLine="480" w:firstLineChars="200"/>
        <w:rPr>
          <w:rFonts w:hint="default"/>
          <w:color w:val="323232"/>
          <w:sz w:val="24"/>
          <w:szCs w:val="28"/>
        </w:rPr>
      </w:pPr>
      <w:r>
        <w:rPr>
          <w:color w:val="323232"/>
          <w:sz w:val="24"/>
          <w:szCs w:val="28"/>
        </w:rPr>
        <w:t>根据中国工程建设标准化协会文件（建标协字[2022]13 号）“关于印发</w:t>
      </w:r>
    </w:p>
    <w:p w14:paraId="35C55F52">
      <w:pPr>
        <w:pStyle w:val="7"/>
        <w:widowControl/>
        <w:adjustRightInd w:val="0"/>
        <w:snapToGrid w:val="0"/>
        <w:spacing w:line="26" w:lineRule="atLeast"/>
        <w:rPr>
          <w:rFonts w:hint="default"/>
          <w:color w:val="323232"/>
          <w:sz w:val="24"/>
          <w:szCs w:val="28"/>
        </w:rPr>
      </w:pPr>
      <w:r>
        <w:rPr>
          <w:color w:val="323232"/>
          <w:sz w:val="24"/>
          <w:szCs w:val="28"/>
        </w:rPr>
        <w:t>《2022年第一批协会标准制订、修订计划》的通知”的要求，参考国内外有关标准，并在广泛征求意见的基础上，制定本标准。</w:t>
      </w:r>
    </w:p>
    <w:p w14:paraId="6FE68D13">
      <w:pPr>
        <w:pStyle w:val="7"/>
        <w:widowControl/>
        <w:adjustRightInd w:val="0"/>
        <w:snapToGrid w:val="0"/>
        <w:spacing w:line="26" w:lineRule="atLeast"/>
        <w:ind w:firstLine="480" w:firstLineChars="200"/>
        <w:rPr>
          <w:rFonts w:hint="default"/>
          <w:color w:val="323232"/>
          <w:sz w:val="24"/>
          <w:szCs w:val="28"/>
        </w:rPr>
      </w:pPr>
      <w:r>
        <w:rPr>
          <w:color w:val="323232"/>
          <w:sz w:val="24"/>
          <w:szCs w:val="28"/>
        </w:rPr>
        <w:t>本标准共分7章和2个附录，主要内容包括：总则、术语、基本规定、建筑规划、机电设备与系统、可再生能源综合应用、建筑综合值计算等</w:t>
      </w:r>
    </w:p>
    <w:p w14:paraId="7ABF0C42">
      <w:pPr>
        <w:pStyle w:val="7"/>
        <w:widowControl/>
        <w:adjustRightInd w:val="0"/>
        <w:snapToGrid w:val="0"/>
        <w:spacing w:line="26" w:lineRule="atLeast"/>
        <w:ind w:firstLine="480" w:firstLineChars="200"/>
        <w:rPr>
          <w:rFonts w:hint="default"/>
          <w:color w:val="323232"/>
          <w:sz w:val="24"/>
          <w:szCs w:val="28"/>
        </w:rPr>
      </w:pPr>
      <w:r>
        <w:rPr>
          <w:color w:val="323232"/>
          <w:sz w:val="24"/>
          <w:szCs w:val="28"/>
        </w:rPr>
        <w:t>本标准由中国工程建设标准化协会绿色建筑与生态城区分会归口管理，由上海中森建筑与工程设计顾问有限公司负责具体技术内容的解释。</w:t>
      </w:r>
      <w:r>
        <w:rPr>
          <w:sz w:val="24"/>
        </w:rPr>
        <w:t>本规程在执行过程中如有需要修改或补充之处，请将有关资料和建议寄送解释单位</w:t>
      </w:r>
      <w:r>
        <w:rPr>
          <w:color w:val="323232"/>
          <w:sz w:val="24"/>
          <w:szCs w:val="28"/>
        </w:rPr>
        <w:t xml:space="preserve">（地址：上海市普陀区同普路797号1号楼，邮编200062 </w:t>
      </w:r>
      <w:r>
        <w:rPr>
          <w:sz w:val="24"/>
        </w:rPr>
        <w:t>电话：</w:t>
      </w:r>
      <w:r>
        <w:rPr>
          <w:color w:val="323232"/>
          <w:sz w:val="24"/>
          <w:szCs w:val="28"/>
        </w:rPr>
        <w:t>021-62120181  ）。</w:t>
      </w:r>
    </w:p>
    <w:p w14:paraId="0E4631A5">
      <w:pPr>
        <w:pStyle w:val="27"/>
        <w:widowControl/>
        <w:tabs>
          <w:tab w:val="left" w:pos="420"/>
          <w:tab w:val="left" w:pos="1680"/>
          <w:tab w:val="left" w:pos="1900"/>
        </w:tabs>
        <w:spacing w:line="26" w:lineRule="atLeast"/>
        <w:ind w:firstLine="480" w:firstLineChars="150"/>
        <w:rPr>
          <w:rFonts w:hint="default"/>
          <w:szCs w:val="24"/>
        </w:rPr>
      </w:pPr>
      <w:r>
        <w:rPr>
          <w:rFonts w:ascii="黑体" w:eastAsia="黑体" w:cs="黑体"/>
          <w:color w:val="auto"/>
          <w:spacing w:val="40"/>
          <w:kern w:val="0"/>
          <w:szCs w:val="24"/>
        </w:rPr>
        <w:t>主编单位</w:t>
      </w:r>
      <w:r>
        <w:rPr>
          <w:rFonts w:ascii="黑体" w:eastAsia="黑体" w:cs="黑体"/>
          <w:color w:val="auto"/>
          <w:szCs w:val="24"/>
        </w:rPr>
        <w:t>：</w:t>
      </w:r>
      <w:r>
        <w:rPr>
          <w:szCs w:val="24"/>
        </w:rPr>
        <w:t>上海中森建筑与工程设计顾问有限公司</w:t>
      </w:r>
    </w:p>
    <w:p w14:paraId="35EB4F8C">
      <w:pPr>
        <w:pStyle w:val="7"/>
        <w:widowControl/>
        <w:rPr>
          <w:rFonts w:hint="default"/>
        </w:rPr>
      </w:pPr>
      <w:r>
        <w:rPr>
          <w:sz w:val="24"/>
          <w:szCs w:val="24"/>
        </w:rPr>
        <w:t xml:space="preserve">                德杰盟工程科技（苏州）有限公司</w:t>
      </w:r>
    </w:p>
    <w:p w14:paraId="1F578813">
      <w:pPr>
        <w:pStyle w:val="7"/>
        <w:widowControl/>
        <w:tabs>
          <w:tab w:val="left" w:pos="420"/>
          <w:tab w:val="left" w:pos="1470"/>
          <w:tab w:val="left" w:pos="1680"/>
        </w:tabs>
        <w:adjustRightInd w:val="0"/>
        <w:snapToGrid w:val="0"/>
        <w:spacing w:line="26" w:lineRule="atLeast"/>
        <w:ind w:firstLine="480" w:firstLineChars="150"/>
        <w:rPr>
          <w:rFonts w:hint="default" w:ascii="黑体" w:eastAsia="黑体" w:cs="黑体"/>
          <w:spacing w:val="40"/>
          <w:kern w:val="0"/>
          <w:sz w:val="24"/>
          <w:szCs w:val="24"/>
        </w:rPr>
      </w:pPr>
    </w:p>
    <w:p w14:paraId="7C0C0F0D">
      <w:pPr>
        <w:pStyle w:val="7"/>
        <w:widowControl/>
        <w:tabs>
          <w:tab w:val="left" w:pos="420"/>
          <w:tab w:val="left" w:pos="1470"/>
          <w:tab w:val="left" w:pos="1680"/>
        </w:tabs>
        <w:adjustRightInd w:val="0"/>
        <w:snapToGrid w:val="0"/>
        <w:spacing w:line="26" w:lineRule="atLeast"/>
        <w:ind w:firstLine="480" w:firstLineChars="150"/>
        <w:rPr>
          <w:rFonts w:hint="default"/>
          <w:sz w:val="24"/>
          <w:szCs w:val="24"/>
        </w:rPr>
      </w:pPr>
      <w:r>
        <w:rPr>
          <w:rFonts w:ascii="黑体" w:eastAsia="黑体" w:cs="黑体"/>
          <w:spacing w:val="40"/>
          <w:kern w:val="0"/>
          <w:sz w:val="24"/>
          <w:szCs w:val="24"/>
        </w:rPr>
        <w:t>参编单位</w:t>
      </w:r>
      <w:r>
        <w:rPr>
          <w:rFonts w:ascii="黑体" w:eastAsia="黑体" w:cs="黑体"/>
          <w:sz w:val="24"/>
          <w:szCs w:val="24"/>
        </w:rPr>
        <w:t>：</w:t>
      </w:r>
    </w:p>
    <w:p w14:paraId="75AA50DE">
      <w:pPr>
        <w:pStyle w:val="7"/>
        <w:widowControl/>
        <w:adjustRightInd w:val="0"/>
        <w:snapToGrid w:val="0"/>
        <w:spacing w:line="26" w:lineRule="atLeast"/>
        <w:ind w:left="1894" w:leftChars="902"/>
        <w:rPr>
          <w:rFonts w:hint="default"/>
        </w:rPr>
      </w:pPr>
    </w:p>
    <w:p w14:paraId="21ED4B43">
      <w:pPr>
        <w:pStyle w:val="7"/>
        <w:widowControl/>
        <w:adjustRightInd w:val="0"/>
        <w:snapToGrid w:val="0"/>
        <w:spacing w:line="26" w:lineRule="atLeast"/>
        <w:rPr>
          <w:rFonts w:hint="default"/>
        </w:rPr>
      </w:pPr>
    </w:p>
    <w:p w14:paraId="276D117F">
      <w:pPr>
        <w:pStyle w:val="7"/>
        <w:widowControl/>
        <w:adjustRightInd w:val="0"/>
        <w:snapToGrid w:val="0"/>
        <w:spacing w:line="26" w:lineRule="atLeast"/>
        <w:ind w:left="1894" w:leftChars="902"/>
        <w:rPr>
          <w:rFonts w:hint="default"/>
        </w:rPr>
      </w:pPr>
    </w:p>
    <w:p w14:paraId="1E450BE8">
      <w:pPr>
        <w:pStyle w:val="7"/>
        <w:widowControl/>
        <w:adjustRightInd w:val="0"/>
        <w:snapToGrid w:val="0"/>
        <w:spacing w:line="26" w:lineRule="atLeast"/>
        <w:ind w:left="1894" w:leftChars="902"/>
        <w:rPr>
          <w:rFonts w:hint="default"/>
        </w:rPr>
      </w:pPr>
    </w:p>
    <w:p w14:paraId="59E683CB">
      <w:pPr>
        <w:pStyle w:val="7"/>
        <w:widowControl/>
        <w:adjustRightInd w:val="0"/>
        <w:snapToGrid w:val="0"/>
        <w:spacing w:line="26" w:lineRule="atLeast"/>
        <w:ind w:left="1894" w:leftChars="902"/>
        <w:rPr>
          <w:rFonts w:hint="default"/>
        </w:rPr>
      </w:pPr>
    </w:p>
    <w:p w14:paraId="7B5AEBA4">
      <w:pPr>
        <w:pStyle w:val="7"/>
        <w:widowControl/>
        <w:adjustRightInd w:val="0"/>
        <w:snapToGrid w:val="0"/>
        <w:spacing w:line="26" w:lineRule="atLeast"/>
        <w:ind w:left="1894" w:leftChars="902"/>
        <w:rPr>
          <w:rFonts w:hint="default"/>
        </w:rPr>
      </w:pPr>
    </w:p>
    <w:p w14:paraId="6A0EFE2B">
      <w:pPr>
        <w:pStyle w:val="7"/>
        <w:widowControl/>
        <w:adjustRightInd w:val="0"/>
        <w:snapToGrid w:val="0"/>
        <w:spacing w:line="26" w:lineRule="atLeast"/>
        <w:ind w:left="1894" w:leftChars="902"/>
        <w:rPr>
          <w:rFonts w:hint="default"/>
        </w:rPr>
      </w:pPr>
    </w:p>
    <w:p w14:paraId="5C39A0BE">
      <w:pPr>
        <w:pStyle w:val="7"/>
        <w:widowControl/>
        <w:adjustRightInd w:val="0"/>
        <w:snapToGrid w:val="0"/>
        <w:spacing w:line="26" w:lineRule="atLeast"/>
        <w:ind w:left="1894" w:leftChars="902"/>
        <w:rPr>
          <w:rFonts w:hint="default"/>
        </w:rPr>
      </w:pPr>
    </w:p>
    <w:p w14:paraId="29D89329">
      <w:pPr>
        <w:pStyle w:val="7"/>
        <w:widowControl/>
        <w:adjustRightInd w:val="0"/>
        <w:snapToGrid w:val="0"/>
        <w:spacing w:line="26" w:lineRule="atLeast"/>
        <w:ind w:left="1894" w:leftChars="902"/>
        <w:rPr>
          <w:rFonts w:hint="default"/>
        </w:rPr>
      </w:pPr>
    </w:p>
    <w:p w14:paraId="74924237">
      <w:pPr>
        <w:pStyle w:val="7"/>
        <w:widowControl/>
        <w:adjustRightInd w:val="0"/>
        <w:snapToGrid w:val="0"/>
        <w:spacing w:line="26" w:lineRule="atLeast"/>
        <w:ind w:left="1894" w:leftChars="902"/>
        <w:rPr>
          <w:rFonts w:hint="default"/>
        </w:rPr>
      </w:pPr>
    </w:p>
    <w:p w14:paraId="2A032C45">
      <w:pPr>
        <w:pStyle w:val="7"/>
        <w:widowControl/>
        <w:adjustRightInd w:val="0"/>
        <w:snapToGrid w:val="0"/>
        <w:spacing w:line="26" w:lineRule="atLeast"/>
        <w:ind w:left="1894" w:leftChars="902"/>
        <w:rPr>
          <w:rFonts w:hint="default"/>
        </w:rPr>
      </w:pPr>
    </w:p>
    <w:p w14:paraId="56C6294F">
      <w:pPr>
        <w:pStyle w:val="7"/>
        <w:widowControl/>
        <w:adjustRightInd w:val="0"/>
        <w:snapToGrid w:val="0"/>
        <w:spacing w:line="26" w:lineRule="atLeast"/>
        <w:ind w:left="1894" w:leftChars="902"/>
        <w:rPr>
          <w:rFonts w:hint="default"/>
        </w:rPr>
      </w:pPr>
    </w:p>
    <w:p w14:paraId="0B2B982A">
      <w:pPr>
        <w:pStyle w:val="7"/>
        <w:widowControl/>
        <w:adjustRightInd w:val="0"/>
        <w:snapToGrid w:val="0"/>
        <w:spacing w:line="26" w:lineRule="atLeast"/>
        <w:ind w:left="1894" w:leftChars="902"/>
        <w:rPr>
          <w:rFonts w:hint="default"/>
        </w:rPr>
      </w:pPr>
    </w:p>
    <w:p w14:paraId="22793C48">
      <w:pPr>
        <w:pStyle w:val="7"/>
        <w:widowControl/>
        <w:adjustRightInd w:val="0"/>
        <w:snapToGrid w:val="0"/>
        <w:spacing w:line="26" w:lineRule="atLeast"/>
        <w:ind w:left="1894" w:leftChars="902"/>
        <w:rPr>
          <w:rFonts w:hint="default"/>
        </w:rPr>
      </w:pPr>
    </w:p>
    <w:p w14:paraId="200A5267">
      <w:pPr>
        <w:pStyle w:val="7"/>
        <w:widowControl/>
        <w:adjustRightInd w:val="0"/>
        <w:snapToGrid w:val="0"/>
        <w:spacing w:line="26" w:lineRule="atLeast"/>
        <w:ind w:left="1894" w:leftChars="902"/>
        <w:rPr>
          <w:rFonts w:hint="default"/>
        </w:rPr>
      </w:pPr>
    </w:p>
    <w:p w14:paraId="4707EE64">
      <w:pPr>
        <w:pStyle w:val="7"/>
        <w:widowControl/>
        <w:adjustRightInd w:val="0"/>
        <w:snapToGrid w:val="0"/>
        <w:spacing w:line="26" w:lineRule="atLeast"/>
        <w:ind w:left="1894" w:leftChars="902"/>
        <w:rPr>
          <w:rFonts w:hint="default"/>
        </w:rPr>
      </w:pPr>
    </w:p>
    <w:p w14:paraId="16515C48">
      <w:pPr>
        <w:pStyle w:val="7"/>
        <w:widowControl/>
        <w:adjustRightInd w:val="0"/>
        <w:snapToGrid w:val="0"/>
        <w:spacing w:line="26" w:lineRule="atLeast"/>
        <w:ind w:left="1894" w:leftChars="902"/>
        <w:rPr>
          <w:rFonts w:hint="default"/>
        </w:rPr>
      </w:pPr>
    </w:p>
    <w:p w14:paraId="4A4DE37D">
      <w:pPr>
        <w:pStyle w:val="7"/>
        <w:widowControl/>
        <w:adjustRightInd w:val="0"/>
        <w:snapToGrid w:val="0"/>
        <w:spacing w:line="26" w:lineRule="atLeast"/>
        <w:ind w:left="1894" w:leftChars="902"/>
        <w:rPr>
          <w:rFonts w:hint="default"/>
        </w:rPr>
      </w:pPr>
    </w:p>
    <w:p w14:paraId="291D0821">
      <w:pPr>
        <w:pStyle w:val="7"/>
        <w:widowControl/>
        <w:adjustRightInd w:val="0"/>
        <w:snapToGrid w:val="0"/>
        <w:spacing w:line="26" w:lineRule="atLeast"/>
        <w:ind w:left="1894" w:leftChars="902"/>
        <w:rPr>
          <w:rFonts w:hint="default"/>
        </w:rPr>
      </w:pPr>
    </w:p>
    <w:p w14:paraId="59CDAC09">
      <w:pPr>
        <w:pStyle w:val="7"/>
        <w:widowControl/>
        <w:adjustRightInd w:val="0"/>
        <w:snapToGrid w:val="0"/>
        <w:spacing w:line="26" w:lineRule="atLeast"/>
        <w:ind w:left="1894" w:leftChars="902"/>
        <w:rPr>
          <w:rFonts w:hint="default"/>
        </w:rPr>
      </w:pPr>
      <w:r>
        <w:t xml:space="preserve">               </w:t>
      </w:r>
    </w:p>
    <w:p w14:paraId="424DAB23">
      <w:pPr>
        <w:pStyle w:val="27"/>
        <w:widowControl/>
        <w:tabs>
          <w:tab w:val="left" w:pos="1760"/>
          <w:tab w:val="left" w:pos="1880"/>
        </w:tabs>
        <w:spacing w:line="26" w:lineRule="atLeast"/>
        <w:ind w:right="4750" w:rightChars="2262" w:firstLine="480" w:firstLineChars="200"/>
        <w:jc w:val="left"/>
        <w:rPr>
          <w:rFonts w:hint="default"/>
          <w:color w:val="auto"/>
          <w:szCs w:val="24"/>
        </w:rPr>
      </w:pPr>
      <w:r>
        <w:rPr>
          <w:rFonts w:ascii="黑体" w:eastAsia="黑体" w:cs="黑体"/>
          <w:color w:val="auto"/>
          <w:szCs w:val="24"/>
        </w:rPr>
        <w:t>主要起草人：</w:t>
      </w:r>
    </w:p>
    <w:p w14:paraId="38AB3DB3">
      <w:pPr>
        <w:pStyle w:val="7"/>
        <w:widowControl/>
        <w:ind w:firstLine="480" w:firstLineChars="200"/>
        <w:rPr>
          <w:rFonts w:hint="default" w:ascii="黑体" w:eastAsia="黑体" w:cs="黑体"/>
          <w:sz w:val="24"/>
          <w:szCs w:val="24"/>
        </w:rPr>
      </w:pPr>
    </w:p>
    <w:p w14:paraId="1C6AC9A8">
      <w:pPr>
        <w:pStyle w:val="7"/>
        <w:widowControl/>
        <w:ind w:firstLine="480" w:firstLineChars="200"/>
        <w:rPr>
          <w:rFonts w:hint="default" w:ascii="黑体" w:eastAsia="黑体" w:cs="黑体"/>
          <w:sz w:val="24"/>
          <w:szCs w:val="24"/>
        </w:rPr>
      </w:pPr>
    </w:p>
    <w:p w14:paraId="47C6EC66">
      <w:pPr>
        <w:pStyle w:val="7"/>
        <w:widowControl/>
        <w:ind w:firstLine="480" w:firstLineChars="200"/>
        <w:rPr>
          <w:rFonts w:hint="default" w:ascii="黑体" w:eastAsia="黑体" w:cs="黑体"/>
          <w:sz w:val="24"/>
          <w:szCs w:val="24"/>
        </w:rPr>
      </w:pPr>
    </w:p>
    <w:p w14:paraId="3567F200">
      <w:pPr>
        <w:pStyle w:val="7"/>
        <w:widowControl/>
        <w:ind w:firstLine="480" w:firstLineChars="200"/>
        <w:rPr>
          <w:rFonts w:hint="default"/>
          <w:b/>
          <w:bCs/>
          <w:color w:val="323232"/>
          <w:sz w:val="24"/>
          <w:szCs w:val="28"/>
        </w:rPr>
      </w:pPr>
      <w:r>
        <w:rPr>
          <w:rFonts w:ascii="黑体" w:eastAsia="黑体" w:cs="黑体"/>
          <w:sz w:val="24"/>
          <w:szCs w:val="24"/>
        </w:rPr>
        <w:t>主要审查人：</w:t>
      </w:r>
    </w:p>
    <w:p w14:paraId="73B695ED">
      <w:pPr>
        <w:rPr>
          <w:rFonts w:ascii="宋体" w:hAnsi="宋体" w:eastAsia="宋体" w:cs="宋体"/>
          <w:szCs w:val="21"/>
          <w:lang w:bidi="ar"/>
        </w:rPr>
        <w:sectPr>
          <w:pgSz w:w="11906" w:h="16838"/>
          <w:pgMar w:top="1440" w:right="1706" w:bottom="1440" w:left="1800" w:header="851" w:footer="992" w:gutter="0"/>
          <w:cols w:space="425" w:num="1"/>
          <w:docGrid w:type="lines" w:linePitch="312" w:charSpace="0"/>
        </w:sectPr>
      </w:pPr>
    </w:p>
    <w:p w14:paraId="11F019CC">
      <w:pPr>
        <w:pStyle w:val="7"/>
        <w:widowControl/>
        <w:rPr>
          <w:rFonts w:hint="default"/>
        </w:rPr>
      </w:pPr>
    </w:p>
    <w:p w14:paraId="431A61C7">
      <w:pPr>
        <w:pStyle w:val="27"/>
        <w:widowControl/>
        <w:jc w:val="center"/>
        <w:rPr>
          <w:rFonts w:hint="default"/>
        </w:rPr>
      </w:pPr>
      <w:r>
        <w:t>目    次</w:t>
      </w:r>
    </w:p>
    <w:p w14:paraId="6625F1BF">
      <w:pPr>
        <w:pStyle w:val="7"/>
        <w:widowControl/>
        <w:rPr>
          <w:rFonts w:hint="default"/>
        </w:rPr>
      </w:pPr>
    </w:p>
    <w:p w14:paraId="58B82026">
      <w:pPr>
        <w:pStyle w:val="11"/>
        <w:widowControl/>
        <w:tabs>
          <w:tab w:val="right" w:leader="dot" w:pos="8400"/>
        </w:tabs>
      </w:pPr>
      <w:r>
        <w:rPr>
          <w:rFonts w:hint="eastAsia"/>
        </w:rPr>
        <w:fldChar w:fldCharType="begin"/>
      </w:r>
      <w:r>
        <w:instrText xml:space="preserve">TOC \o "1-3" \h \u </w:instrText>
      </w:r>
      <w:r>
        <w:rPr>
          <w:rFonts w:hint="eastAsia"/>
        </w:rPr>
        <w:fldChar w:fldCharType="separate"/>
      </w:r>
      <w:r>
        <w:fldChar w:fldCharType="begin"/>
      </w:r>
      <w:r>
        <w:instrText xml:space="preserve"> HYPERLINK </w:instrText>
      </w:r>
      <w:r>
        <w:fldChar w:fldCharType="separate"/>
      </w:r>
      <w:r>
        <w:rPr>
          <w:rStyle w:val="18"/>
          <w:color w:val="auto"/>
          <w:u w:val="none"/>
        </w:rPr>
        <w:t xml:space="preserve">1  </w:t>
      </w:r>
      <w:r>
        <w:rPr>
          <w:rStyle w:val="18"/>
          <w:rFonts w:hint="eastAsia" w:cs="宋体"/>
          <w:color w:val="auto"/>
          <w:u w:val="none"/>
        </w:rPr>
        <w:t>总</w:t>
      </w:r>
      <w:r>
        <w:rPr>
          <w:rStyle w:val="18"/>
          <w:color w:val="auto"/>
          <w:u w:val="none"/>
        </w:rPr>
        <w:t xml:space="preserve"> </w:t>
      </w:r>
      <w:r>
        <w:rPr>
          <w:rStyle w:val="18"/>
          <w:rFonts w:hint="eastAsia" w:cs="宋体"/>
          <w:color w:val="auto"/>
          <w:u w:val="none"/>
        </w:rPr>
        <w:t>则</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_Toc13981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2AB643FF">
      <w:pPr>
        <w:pStyle w:val="11"/>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u w:val="none"/>
        </w:rPr>
        <w:t>2</w:t>
      </w:r>
      <w:r>
        <w:rPr>
          <w:rStyle w:val="18"/>
          <w:color w:val="auto"/>
          <w:u w:val="none"/>
        </w:rPr>
        <w:t xml:space="preserve">  </w:t>
      </w:r>
      <w:r>
        <w:rPr>
          <w:rStyle w:val="18"/>
          <w:rFonts w:hint="eastAsia" w:cs="宋体"/>
          <w:color w:val="auto"/>
          <w:u w:val="none"/>
        </w:rPr>
        <w:t>术</w:t>
      </w:r>
      <w:r>
        <w:rPr>
          <w:rStyle w:val="18"/>
          <w:color w:val="auto"/>
          <w:u w:val="none"/>
        </w:rPr>
        <w:t xml:space="preserve"> </w:t>
      </w:r>
      <w:r>
        <w:rPr>
          <w:rStyle w:val="18"/>
          <w:rFonts w:hint="eastAsia" w:cs="宋体"/>
          <w:color w:val="auto"/>
          <w:u w:val="none"/>
        </w:rPr>
        <w:t>语</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_Toc14895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2</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2D5B6095">
      <w:pPr>
        <w:pStyle w:val="11"/>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u w:val="none"/>
        </w:rPr>
        <w:t>3</w:t>
      </w:r>
      <w:r>
        <w:rPr>
          <w:rStyle w:val="18"/>
          <w:color w:val="auto"/>
          <w:u w:val="none"/>
        </w:rPr>
        <w:t xml:space="preserve">  </w:t>
      </w:r>
      <w:r>
        <w:rPr>
          <w:rStyle w:val="18"/>
          <w:rFonts w:hint="eastAsia" w:cs="宋体"/>
          <w:color w:val="auto"/>
          <w:u w:val="none"/>
        </w:rPr>
        <w:t>基本规定</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_Toc26812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7</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259510E4">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 xml:space="preserve">3.1  </w:t>
      </w:r>
      <w:r>
        <w:rPr>
          <w:rStyle w:val="18"/>
          <w:rFonts w:hint="eastAsia" w:ascii="宋体" w:hAnsi="宋体" w:cs="宋体"/>
          <w:color w:val="auto"/>
          <w:sz w:val="18"/>
          <w:szCs w:val="18"/>
          <w:u w:val="none"/>
        </w:rPr>
        <w:t>一般规定</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_Toc4666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7</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62B5CFB8">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3.2</w:t>
      </w:r>
      <w:r>
        <w:rPr>
          <w:rStyle w:val="18"/>
          <w:color w:val="auto"/>
          <w:sz w:val="18"/>
          <w:szCs w:val="18"/>
          <w:u w:val="none"/>
        </w:rPr>
        <w:t xml:space="preserve">  </w:t>
      </w:r>
      <w:r>
        <w:rPr>
          <w:rStyle w:val="18"/>
          <w:rFonts w:hint="eastAsia" w:cs="宋体"/>
          <w:color w:val="auto"/>
          <w:sz w:val="18"/>
          <w:szCs w:val="18"/>
          <w:u w:val="none"/>
        </w:rPr>
        <w:t>技术指标</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_Toc4991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8</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73EEBE53">
      <w:pPr>
        <w:pStyle w:val="11"/>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u w:val="none"/>
        </w:rPr>
        <w:t xml:space="preserve">4  </w:t>
      </w:r>
      <w:r>
        <w:rPr>
          <w:rStyle w:val="18"/>
          <w:rFonts w:hint="eastAsia" w:cs="宋体"/>
          <w:color w:val="auto"/>
          <w:u w:val="none"/>
        </w:rPr>
        <w:t>建筑规划</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_Toc32483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10</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2908795A">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4.1</w:t>
      </w:r>
      <w:r>
        <w:rPr>
          <w:rStyle w:val="18"/>
          <w:color w:val="auto"/>
          <w:sz w:val="18"/>
          <w:szCs w:val="18"/>
          <w:u w:val="none"/>
        </w:rPr>
        <w:t xml:space="preserve"> </w:t>
      </w:r>
      <w:r>
        <w:rPr>
          <w:rStyle w:val="18"/>
          <w:rFonts w:hint="eastAsia" w:cs="宋体"/>
          <w:color w:val="auto"/>
          <w:sz w:val="18"/>
          <w:szCs w:val="18"/>
          <w:u w:val="none"/>
        </w:rPr>
        <w:t>一般规定</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_Toc30160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10</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45244DA2">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4.2</w:t>
      </w:r>
      <w:r>
        <w:rPr>
          <w:rStyle w:val="18"/>
          <w:color w:val="auto"/>
          <w:sz w:val="18"/>
          <w:szCs w:val="18"/>
          <w:u w:val="none"/>
        </w:rPr>
        <w:t xml:space="preserve">  </w:t>
      </w:r>
      <w:r>
        <w:rPr>
          <w:rStyle w:val="18"/>
          <w:rFonts w:hint="eastAsia" w:cs="宋体"/>
          <w:color w:val="auto"/>
          <w:sz w:val="18"/>
          <w:szCs w:val="18"/>
          <w:u w:val="none"/>
        </w:rPr>
        <w:t>场地规划</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_Toc4524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13</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1CC314D3">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4.3</w:t>
      </w:r>
      <w:r>
        <w:rPr>
          <w:rStyle w:val="18"/>
          <w:color w:val="auto"/>
          <w:sz w:val="18"/>
          <w:szCs w:val="18"/>
          <w:u w:val="none"/>
        </w:rPr>
        <w:t xml:space="preserve">  </w:t>
      </w:r>
      <w:r>
        <w:rPr>
          <w:rStyle w:val="18"/>
          <w:rFonts w:hint="eastAsia" w:cs="宋体"/>
          <w:color w:val="auto"/>
          <w:sz w:val="18"/>
          <w:szCs w:val="18"/>
          <w:u w:val="none"/>
        </w:rPr>
        <w:t>建筑围护结构</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_Toc30819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14</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03029562">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I</w:t>
      </w:r>
      <w:r>
        <w:rPr>
          <w:rStyle w:val="18"/>
          <w:color w:val="auto"/>
          <w:sz w:val="18"/>
          <w:szCs w:val="18"/>
          <w:u w:val="none"/>
        </w:rPr>
        <w:t xml:space="preserve">  </w:t>
      </w:r>
      <w:r>
        <w:rPr>
          <w:rStyle w:val="18"/>
          <w:rFonts w:hint="eastAsia" w:cs="宋体"/>
          <w:color w:val="auto"/>
          <w:sz w:val="18"/>
          <w:szCs w:val="18"/>
          <w:u w:val="none"/>
        </w:rPr>
        <w:t>非透光围护结构</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_Toc8395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14</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152982F5">
      <w:pPr>
        <w:pStyle w:val="8"/>
        <w:widowControl/>
        <w:tabs>
          <w:tab w:val="right" w:leader="dot" w:pos="8400"/>
        </w:tabs>
      </w:pPr>
      <w:r>
        <w:fldChar w:fldCharType="begin"/>
      </w:r>
      <w:r>
        <w:instrText xml:space="preserve"> HYPERLINK </w:instrText>
      </w:r>
      <w:r>
        <w:fldChar w:fldCharType="separate"/>
      </w:r>
      <w:r>
        <w:rPr>
          <w:rStyle w:val="18"/>
          <w:rFonts w:hint="eastAsia" w:cs="宋体"/>
          <w:color w:val="auto"/>
          <w:sz w:val="18"/>
          <w:szCs w:val="18"/>
          <w:u w:val="none"/>
        </w:rPr>
        <w:t>Ⅱ</w:t>
      </w:r>
      <w:r>
        <w:rPr>
          <w:rStyle w:val="18"/>
          <w:color w:val="auto"/>
          <w:sz w:val="18"/>
          <w:szCs w:val="18"/>
          <w:u w:val="none"/>
        </w:rPr>
        <w:t xml:space="preserve">  </w:t>
      </w:r>
      <w:r>
        <w:rPr>
          <w:rStyle w:val="18"/>
          <w:rFonts w:hint="eastAsia" w:cs="宋体"/>
          <w:color w:val="auto"/>
          <w:sz w:val="18"/>
          <w:szCs w:val="18"/>
          <w:u w:val="none"/>
        </w:rPr>
        <w:t>透光围护结构及遮阳</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_Toc12191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27</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7491A6E0">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4.4</w:t>
      </w:r>
      <w:r>
        <w:rPr>
          <w:rStyle w:val="18"/>
          <w:color w:val="auto"/>
          <w:sz w:val="18"/>
          <w:szCs w:val="18"/>
          <w:u w:val="none"/>
        </w:rPr>
        <w:t xml:space="preserve">  </w:t>
      </w:r>
      <w:r>
        <w:rPr>
          <w:rStyle w:val="18"/>
          <w:rFonts w:hint="eastAsia" w:cs="宋体"/>
          <w:color w:val="auto"/>
          <w:sz w:val="18"/>
          <w:szCs w:val="18"/>
          <w:u w:val="none"/>
        </w:rPr>
        <w:t>建筑物理环境</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_Toc20972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32</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12BBE739">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Ⅰ</w:t>
      </w:r>
      <w:r>
        <w:rPr>
          <w:rStyle w:val="18"/>
          <w:color w:val="auto"/>
          <w:sz w:val="18"/>
          <w:szCs w:val="18"/>
          <w:u w:val="none"/>
        </w:rPr>
        <w:t xml:space="preserve">  </w:t>
      </w:r>
      <w:r>
        <w:rPr>
          <w:rStyle w:val="18"/>
          <w:rFonts w:hint="eastAsia" w:cs="宋体"/>
          <w:color w:val="auto"/>
          <w:sz w:val="18"/>
          <w:szCs w:val="18"/>
          <w:u w:val="none"/>
        </w:rPr>
        <w:t>声环境</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_Toc2523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32</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4DA23552">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Ⅱ</w:t>
      </w:r>
      <w:r>
        <w:rPr>
          <w:rStyle w:val="18"/>
          <w:color w:val="auto"/>
          <w:sz w:val="18"/>
          <w:szCs w:val="18"/>
          <w:u w:val="none"/>
        </w:rPr>
        <w:t xml:space="preserve">  </w:t>
      </w:r>
      <w:r>
        <w:rPr>
          <w:rStyle w:val="18"/>
          <w:rFonts w:hint="eastAsia" w:cs="宋体"/>
          <w:color w:val="auto"/>
          <w:sz w:val="18"/>
          <w:szCs w:val="18"/>
          <w:u w:val="none"/>
        </w:rPr>
        <w:t>光环境</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_Toc9215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33</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62E46CCB">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Ⅲ</w:t>
      </w:r>
      <w:r>
        <w:rPr>
          <w:rStyle w:val="18"/>
          <w:color w:val="auto"/>
          <w:sz w:val="18"/>
          <w:szCs w:val="18"/>
          <w:u w:val="none"/>
        </w:rPr>
        <w:t xml:space="preserve">  </w:t>
      </w:r>
      <w:r>
        <w:rPr>
          <w:rStyle w:val="18"/>
          <w:rFonts w:hint="eastAsia" w:cs="宋体"/>
          <w:color w:val="auto"/>
          <w:sz w:val="18"/>
          <w:szCs w:val="18"/>
          <w:u w:val="none"/>
        </w:rPr>
        <w:t>风环境</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_Toc29806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34</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702E9810">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Ⅳ</w:t>
      </w:r>
      <w:r>
        <w:rPr>
          <w:rStyle w:val="18"/>
          <w:color w:val="auto"/>
          <w:sz w:val="18"/>
          <w:szCs w:val="18"/>
          <w:u w:val="none"/>
        </w:rPr>
        <w:t xml:space="preserve">  </w:t>
      </w:r>
      <w:r>
        <w:rPr>
          <w:rStyle w:val="18"/>
          <w:rFonts w:hint="eastAsia" w:cs="宋体"/>
          <w:color w:val="auto"/>
          <w:sz w:val="18"/>
          <w:szCs w:val="18"/>
          <w:u w:val="none"/>
        </w:rPr>
        <w:t>气密性</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_Toc14461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34</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468C825E">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Ⅴ</w:t>
      </w:r>
      <w:r>
        <w:rPr>
          <w:rStyle w:val="18"/>
          <w:color w:val="auto"/>
          <w:sz w:val="18"/>
          <w:szCs w:val="18"/>
          <w:u w:val="none"/>
        </w:rPr>
        <w:t xml:space="preserve">  </w:t>
      </w:r>
      <w:r>
        <w:rPr>
          <w:rStyle w:val="18"/>
          <w:rFonts w:hint="eastAsia" w:cs="宋体"/>
          <w:color w:val="auto"/>
          <w:sz w:val="18"/>
          <w:szCs w:val="18"/>
          <w:u w:val="none"/>
        </w:rPr>
        <w:t>空气质量</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_Toc22121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36</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17722100">
      <w:pPr>
        <w:pStyle w:val="11"/>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u w:val="none"/>
        </w:rPr>
        <w:t>5</w:t>
      </w:r>
      <w:r>
        <w:rPr>
          <w:rStyle w:val="18"/>
          <w:color w:val="auto"/>
          <w:u w:val="none"/>
        </w:rPr>
        <w:t xml:space="preserve"> </w:t>
      </w:r>
      <w:r>
        <w:rPr>
          <w:rStyle w:val="18"/>
          <w:rFonts w:hint="eastAsia" w:cs="宋体"/>
          <w:color w:val="auto"/>
          <w:u w:val="none"/>
        </w:rPr>
        <w:t>机电设备与系统</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_Toc24520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37</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1068B01B">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5.1</w:t>
      </w:r>
      <w:r>
        <w:rPr>
          <w:rStyle w:val="18"/>
          <w:color w:val="auto"/>
          <w:sz w:val="18"/>
          <w:szCs w:val="18"/>
          <w:u w:val="none"/>
        </w:rPr>
        <w:t xml:space="preserve"> </w:t>
      </w:r>
      <w:r>
        <w:rPr>
          <w:rStyle w:val="18"/>
          <w:rFonts w:hint="eastAsia" w:cs="宋体"/>
          <w:color w:val="auto"/>
          <w:sz w:val="18"/>
          <w:szCs w:val="18"/>
          <w:u w:val="none"/>
        </w:rPr>
        <w:t>一般规定</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_Toc30195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37</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1B38AAA4">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5.2</w:t>
      </w:r>
      <w:r>
        <w:rPr>
          <w:rStyle w:val="18"/>
          <w:color w:val="auto"/>
          <w:sz w:val="18"/>
          <w:szCs w:val="18"/>
          <w:u w:val="none"/>
        </w:rPr>
        <w:t xml:space="preserve">  </w:t>
      </w:r>
      <w:r>
        <w:rPr>
          <w:rStyle w:val="18"/>
          <w:rFonts w:hint="eastAsia" w:cs="宋体"/>
          <w:color w:val="auto"/>
          <w:sz w:val="18"/>
          <w:szCs w:val="18"/>
          <w:u w:val="none"/>
        </w:rPr>
        <w:t>暖通空调</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_Toc18831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38</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67F71D35">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5.3</w:t>
      </w:r>
      <w:r>
        <w:rPr>
          <w:rStyle w:val="18"/>
          <w:color w:val="auto"/>
          <w:sz w:val="18"/>
          <w:szCs w:val="18"/>
          <w:u w:val="none"/>
        </w:rPr>
        <w:t xml:space="preserve">  </w:t>
      </w:r>
      <w:r>
        <w:rPr>
          <w:rStyle w:val="18"/>
          <w:rFonts w:hint="eastAsia" w:cs="宋体"/>
          <w:color w:val="auto"/>
          <w:sz w:val="18"/>
          <w:szCs w:val="18"/>
          <w:u w:val="none"/>
        </w:rPr>
        <w:t>给水排水</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_Toc17813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42</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0E286CF9">
      <w:pPr>
        <w:pStyle w:val="12"/>
        <w:widowControl/>
        <w:tabs>
          <w:tab w:val="right" w:leader="dot" w:pos="8400"/>
        </w:tabs>
      </w:pPr>
      <w:r>
        <w:fldChar w:fldCharType="begin"/>
      </w:r>
      <w:r>
        <w:instrText xml:space="preserve"> HYPERLINK "file:///C:/Users/18701/Desktop/工作/02协会工作/03标准/挂网/《超低能耗居住建筑节能设计标准》/《超低能耗居住建筑节能设计标准》征求意见稿（条文说明邻正文）20240417(2).wps" \l "_Toc354" </w:instrText>
      </w:r>
      <w:r>
        <w:fldChar w:fldCharType="separate"/>
      </w:r>
      <w:r>
        <w:rPr>
          <w:rStyle w:val="18"/>
          <w:rFonts w:ascii="Times New Roman" w:hAnsi="Times New Roman"/>
          <w:color w:val="auto"/>
          <w:sz w:val="18"/>
          <w:szCs w:val="18"/>
          <w:u w:val="none"/>
        </w:rPr>
        <w:t>5.4</w:t>
      </w:r>
      <w:r>
        <w:rPr>
          <w:rStyle w:val="18"/>
          <w:color w:val="auto"/>
          <w:sz w:val="18"/>
          <w:szCs w:val="18"/>
          <w:u w:val="none"/>
        </w:rPr>
        <w:t xml:space="preserve">  </w:t>
      </w:r>
      <w:r>
        <w:rPr>
          <w:rStyle w:val="18"/>
          <w:rFonts w:hint="eastAsia" w:cs="宋体"/>
          <w:color w:val="auto"/>
          <w:sz w:val="18"/>
          <w:szCs w:val="18"/>
          <w:u w:val="none"/>
        </w:rPr>
        <w:t>建筑电气</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_Toc354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43</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3FE94374">
      <w:pPr>
        <w:pStyle w:val="11"/>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u w:val="none"/>
        </w:rPr>
        <w:t>6</w:t>
      </w:r>
      <w:r>
        <w:rPr>
          <w:rStyle w:val="18"/>
          <w:color w:val="auto"/>
          <w:u w:val="none"/>
        </w:rPr>
        <w:t xml:space="preserve">  </w:t>
      </w:r>
      <w:r>
        <w:rPr>
          <w:rStyle w:val="18"/>
          <w:rFonts w:hint="eastAsia" w:cs="宋体"/>
          <w:color w:val="auto"/>
          <w:u w:val="none"/>
        </w:rPr>
        <w:t>可再生能源综合应用</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_Toc16650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45</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72CD9F6A">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6.1</w:t>
      </w:r>
      <w:r>
        <w:rPr>
          <w:rStyle w:val="18"/>
          <w:color w:val="auto"/>
          <w:sz w:val="18"/>
          <w:szCs w:val="18"/>
          <w:u w:val="none"/>
        </w:rPr>
        <w:t xml:space="preserve">  </w:t>
      </w:r>
      <w:r>
        <w:rPr>
          <w:rStyle w:val="18"/>
          <w:rFonts w:hint="eastAsia" w:cs="宋体"/>
          <w:color w:val="auto"/>
          <w:sz w:val="18"/>
          <w:szCs w:val="18"/>
          <w:u w:val="none"/>
        </w:rPr>
        <w:t>一般规定</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_Toc24795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45</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5569A363">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6.2</w:t>
      </w:r>
      <w:r>
        <w:rPr>
          <w:rStyle w:val="18"/>
          <w:color w:val="auto"/>
          <w:sz w:val="18"/>
          <w:szCs w:val="18"/>
          <w:u w:val="none"/>
        </w:rPr>
        <w:t xml:space="preserve">  </w:t>
      </w:r>
      <w:r>
        <w:rPr>
          <w:rStyle w:val="18"/>
          <w:rFonts w:hint="eastAsia" w:cs="宋体"/>
          <w:color w:val="auto"/>
          <w:sz w:val="18"/>
          <w:szCs w:val="18"/>
          <w:u w:val="none"/>
        </w:rPr>
        <w:t>太阳能系统</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_Toc32062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45</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50ADECCC">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6.3</w:t>
      </w:r>
      <w:r>
        <w:rPr>
          <w:rStyle w:val="18"/>
          <w:color w:val="auto"/>
          <w:sz w:val="18"/>
          <w:szCs w:val="18"/>
          <w:u w:val="none"/>
        </w:rPr>
        <w:t xml:space="preserve">  </w:t>
      </w:r>
      <w:r>
        <w:rPr>
          <w:rStyle w:val="18"/>
          <w:rFonts w:hint="eastAsia" w:cs="宋体"/>
          <w:color w:val="auto"/>
          <w:sz w:val="18"/>
          <w:szCs w:val="18"/>
          <w:u w:val="none"/>
        </w:rPr>
        <w:t>空气源热泵系统</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_Toc11264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45</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3B62342A">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6.4</w:t>
      </w:r>
      <w:r>
        <w:rPr>
          <w:rStyle w:val="18"/>
          <w:color w:val="auto"/>
          <w:sz w:val="18"/>
          <w:szCs w:val="18"/>
          <w:u w:val="none"/>
        </w:rPr>
        <w:t xml:space="preserve">  </w:t>
      </w:r>
      <w:r>
        <w:rPr>
          <w:rStyle w:val="18"/>
          <w:rFonts w:hint="eastAsia" w:cs="宋体"/>
          <w:color w:val="auto"/>
          <w:sz w:val="18"/>
          <w:szCs w:val="18"/>
          <w:u w:val="none"/>
        </w:rPr>
        <w:t>地源热泵系统</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_Toc28073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46</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4177F1DF">
      <w:pPr>
        <w:pStyle w:val="11"/>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u w:val="none"/>
        </w:rPr>
        <w:t>7</w:t>
      </w:r>
      <w:r>
        <w:rPr>
          <w:rStyle w:val="18"/>
          <w:color w:val="auto"/>
          <w:u w:val="none"/>
        </w:rPr>
        <w:t xml:space="preserve">  </w:t>
      </w:r>
      <w:r>
        <w:rPr>
          <w:rStyle w:val="18"/>
          <w:rFonts w:hint="eastAsia" w:cs="宋体"/>
          <w:color w:val="auto"/>
          <w:u w:val="none"/>
        </w:rPr>
        <w:t>建筑能耗综合值计算</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_Toc29135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48</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3186BDD9">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7.1</w:t>
      </w:r>
      <w:r>
        <w:rPr>
          <w:rStyle w:val="18"/>
          <w:color w:val="auto"/>
          <w:sz w:val="18"/>
          <w:szCs w:val="18"/>
          <w:u w:val="none"/>
        </w:rPr>
        <w:t xml:space="preserve">  </w:t>
      </w:r>
      <w:r>
        <w:rPr>
          <w:rStyle w:val="18"/>
          <w:rFonts w:hint="eastAsia" w:cs="宋体"/>
          <w:color w:val="auto"/>
          <w:sz w:val="18"/>
          <w:szCs w:val="18"/>
          <w:u w:val="none"/>
        </w:rPr>
        <w:t>一般规定</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_Toc12590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48</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192DEC66">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7.2</w:t>
      </w:r>
      <w:r>
        <w:rPr>
          <w:rStyle w:val="18"/>
          <w:color w:val="auto"/>
          <w:sz w:val="18"/>
          <w:szCs w:val="18"/>
          <w:u w:val="none"/>
        </w:rPr>
        <w:t xml:space="preserve">  </w:t>
      </w:r>
      <w:r>
        <w:rPr>
          <w:rStyle w:val="18"/>
          <w:rFonts w:hint="eastAsia" w:cs="宋体"/>
          <w:color w:val="auto"/>
          <w:sz w:val="18"/>
          <w:szCs w:val="18"/>
          <w:u w:val="none"/>
        </w:rPr>
        <w:t>能效指标计算要求</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_Toc23057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48</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11D2D23C">
      <w:pPr>
        <w:pStyle w:val="11"/>
        <w:widowControl/>
        <w:tabs>
          <w:tab w:val="right" w:leader="dot" w:pos="8400"/>
        </w:tabs>
      </w:pPr>
      <w:r>
        <w:fldChar w:fldCharType="begin"/>
      </w:r>
      <w:r>
        <w:instrText xml:space="preserve"> HYPERLINK </w:instrText>
      </w:r>
      <w:r>
        <w:fldChar w:fldCharType="separate"/>
      </w:r>
      <w:r>
        <w:rPr>
          <w:rStyle w:val="18"/>
          <w:rFonts w:hint="eastAsia" w:cs="宋体"/>
          <w:color w:val="auto"/>
          <w:u w:val="none"/>
        </w:rPr>
        <w:t>附录</w:t>
      </w:r>
      <w:r>
        <w:rPr>
          <w:rStyle w:val="18"/>
          <w:rFonts w:ascii="Times New Roman" w:hAnsi="Times New Roman"/>
          <w:color w:val="auto"/>
          <w:u w:val="none"/>
        </w:rPr>
        <w:t>A</w:t>
      </w:r>
      <w:r>
        <w:rPr>
          <w:rStyle w:val="18"/>
          <w:color w:val="auto"/>
          <w:u w:val="none"/>
        </w:rPr>
        <w:t xml:space="preserve">  </w:t>
      </w:r>
      <w:r>
        <w:rPr>
          <w:rStyle w:val="18"/>
          <w:rFonts w:hint="eastAsia" w:cs="宋体"/>
          <w:color w:val="auto"/>
          <w:u w:val="none"/>
        </w:rPr>
        <w:t>典型城市年耗冷量指标</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_Toc2838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59</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5FD7FEB8">
      <w:pPr>
        <w:pStyle w:val="11"/>
        <w:widowControl/>
        <w:tabs>
          <w:tab w:val="right" w:leader="dot" w:pos="8400"/>
        </w:tabs>
      </w:pPr>
      <w:r>
        <w:fldChar w:fldCharType="begin"/>
      </w:r>
      <w:r>
        <w:instrText xml:space="preserve"> HYPERLINK </w:instrText>
      </w:r>
      <w:r>
        <w:fldChar w:fldCharType="separate"/>
      </w:r>
      <w:r>
        <w:rPr>
          <w:rStyle w:val="18"/>
          <w:rFonts w:hint="eastAsia" w:cs="宋体"/>
          <w:color w:val="auto"/>
          <w:u w:val="none"/>
        </w:rPr>
        <w:t>附录</w:t>
      </w:r>
      <w:r>
        <w:rPr>
          <w:rStyle w:val="18"/>
          <w:rFonts w:ascii="Times New Roman" w:hAnsi="Times New Roman"/>
          <w:color w:val="auto"/>
          <w:u w:val="none"/>
        </w:rPr>
        <w:t>B</w:t>
      </w:r>
      <w:r>
        <w:rPr>
          <w:rStyle w:val="18"/>
          <w:color w:val="auto"/>
          <w:u w:val="none"/>
        </w:rPr>
        <w:t xml:space="preserve">  </w:t>
      </w:r>
      <w:r>
        <w:rPr>
          <w:rStyle w:val="18"/>
          <w:rFonts w:hint="eastAsia" w:cs="宋体"/>
          <w:color w:val="auto"/>
          <w:u w:val="none"/>
        </w:rPr>
        <w:t>保温材料修正系数调整要求</w:t>
      </w:r>
      <w:r>
        <w:rPr>
          <w:rStyle w:val="18"/>
          <w:color w:val="auto"/>
          <w:u w:val="none"/>
        </w:rPr>
        <w:tab/>
      </w:r>
      <w:r>
        <w:rPr>
          <w:rStyle w:val="18"/>
          <w:rFonts w:ascii="Times New Roman" w:hAnsi="Times New Roman"/>
          <w:color w:val="auto"/>
          <w:sz w:val="18"/>
          <w:szCs w:val="18"/>
          <w:u w:val="none"/>
        </w:rPr>
        <w:fldChar w:fldCharType="begin"/>
      </w:r>
      <w:r>
        <w:rPr>
          <w:rStyle w:val="18"/>
          <w:rFonts w:ascii="Times New Roman" w:hAnsi="Times New Roman"/>
          <w:color w:val="auto"/>
          <w:sz w:val="18"/>
          <w:szCs w:val="18"/>
          <w:u w:val="none"/>
        </w:rPr>
        <w:instrText xml:space="preserve"> PAGEREF _Toc4843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61</w:t>
      </w:r>
      <w:r>
        <w:rPr>
          <w:rStyle w:val="18"/>
          <w:rFonts w:ascii="Times New Roman" w:hAnsi="Times New Roman"/>
          <w:color w:val="auto"/>
          <w:sz w:val="18"/>
          <w:szCs w:val="18"/>
          <w:u w:val="none"/>
        </w:rPr>
        <w:fldChar w:fldCharType="end"/>
      </w:r>
      <w:r>
        <w:rPr>
          <w:rStyle w:val="18"/>
          <w:rFonts w:ascii="Times New Roman" w:hAnsi="Times New Roman"/>
          <w:color w:val="auto"/>
          <w:sz w:val="18"/>
          <w:szCs w:val="18"/>
          <w:u w:val="none"/>
        </w:rPr>
        <w:fldChar w:fldCharType="end"/>
      </w:r>
    </w:p>
    <w:p w14:paraId="7C53B826">
      <w:pPr>
        <w:pStyle w:val="27"/>
        <w:widowControl/>
        <w:rPr>
          <w:rFonts w:hint="default"/>
        </w:rPr>
      </w:pPr>
      <w:r>
        <w:fldChar w:fldCharType="end"/>
      </w:r>
    </w:p>
    <w:p w14:paraId="32CC8BCE">
      <w:pPr>
        <w:pStyle w:val="27"/>
        <w:widowControl/>
        <w:rPr>
          <w:rFonts w:hint="default"/>
        </w:rPr>
      </w:pPr>
    </w:p>
    <w:p w14:paraId="34C9E2C6">
      <w:pPr>
        <w:rPr>
          <w:rFonts w:ascii="Times New Roman" w:hAnsi="Times New Roman" w:eastAsia="宋体" w:cs="Times New Roman"/>
          <w:color w:val="323232"/>
          <w:sz w:val="30"/>
          <w:lang w:bidi="ar"/>
        </w:rPr>
        <w:sectPr>
          <w:pgSz w:w="11906" w:h="16838"/>
          <w:pgMar w:top="1440" w:right="1706" w:bottom="1440" w:left="1800" w:header="851" w:footer="992" w:gutter="0"/>
          <w:pgNumType w:start="1"/>
          <w:cols w:space="425" w:num="1"/>
          <w:docGrid w:type="lines" w:linePitch="312" w:charSpace="0"/>
        </w:sectPr>
      </w:pPr>
    </w:p>
    <w:p w14:paraId="126B2FB2">
      <w:pPr>
        <w:pStyle w:val="11"/>
        <w:widowControl/>
        <w:tabs>
          <w:tab w:val="right" w:leader="dot" w:pos="8400"/>
        </w:tabs>
        <w:jc w:val="center"/>
        <w:rPr>
          <w:rFonts w:ascii="Times New Roman" w:hAnsi="Times New Roman"/>
        </w:rPr>
      </w:pPr>
      <w:bookmarkStart w:id="0" w:name="_Toc12205"/>
      <w:bookmarkStart w:id="1" w:name="_Toc27616"/>
      <w:r>
        <w:rPr>
          <w:rFonts w:ascii="Times New Roman" w:hAnsi="Times New Roman" w:eastAsia="Helvetica"/>
          <w:color w:val="1F2328"/>
          <w:sz w:val="24"/>
          <w:shd w:val="clear" w:color="auto" w:fill="FFFFFF"/>
        </w:rPr>
        <w:t>Table of Contents</w:t>
      </w:r>
    </w:p>
    <w:p w14:paraId="35116C8C">
      <w:pPr>
        <w:pStyle w:val="11"/>
        <w:widowControl/>
        <w:tabs>
          <w:tab w:val="right" w:leader="dot" w:pos="8400"/>
        </w:tabs>
      </w:pPr>
    </w:p>
    <w:p w14:paraId="787E0921">
      <w:pPr>
        <w:pStyle w:val="11"/>
        <w:widowControl/>
        <w:tabs>
          <w:tab w:val="right" w:leader="dot" w:pos="8400"/>
        </w:tabs>
        <w:rPr>
          <w:rFonts w:ascii="Times New Roman" w:hAnsi="Times New Roman" w:eastAsia="Helvetica"/>
          <w:color w:val="1F2328"/>
          <w:szCs w:val="21"/>
          <w:shd w:val="clear" w:color="auto" w:fill="FFFFFF"/>
        </w:rPr>
      </w:pPr>
      <w:r>
        <w:fldChar w:fldCharType="begin"/>
      </w:r>
      <w:r>
        <w:instrText xml:space="preserve">TOC \o "1-3" \h \u </w:instrText>
      </w:r>
      <w:r>
        <w:fldChar w:fldCharType="separate"/>
      </w:r>
      <w:r>
        <w:fldChar w:fldCharType="begin"/>
      </w:r>
      <w:r>
        <w:instrText xml:space="preserve"> HYPERLINK </w:instrText>
      </w:r>
      <w:r>
        <w:fldChar w:fldCharType="separate"/>
      </w:r>
      <w:r>
        <w:rPr>
          <w:rStyle w:val="18"/>
          <w:rFonts w:ascii="Times New Roman" w:hAnsi="Times New Roman" w:eastAsia="Helvetica"/>
          <w:color w:val="1F2328"/>
          <w:szCs w:val="21"/>
          <w:u w:val="none"/>
          <w:shd w:val="clear" w:color="auto" w:fill="FFFFFF"/>
        </w:rPr>
        <w:t xml:space="preserve">1  General </w:t>
      </w:r>
      <w:r>
        <w:rPr>
          <w:rStyle w:val="18"/>
          <w:rFonts w:ascii="Times New Roman" w:hAnsi="Times New Roman"/>
          <w:color w:val="1F2328"/>
          <w:szCs w:val="21"/>
          <w:u w:val="none"/>
          <w:shd w:val="clear" w:color="auto" w:fill="FFFFFF"/>
        </w:rPr>
        <w:t>p</w:t>
      </w:r>
      <w:r>
        <w:rPr>
          <w:rStyle w:val="18"/>
          <w:rFonts w:ascii="Times New Roman" w:hAnsi="Times New Roman" w:eastAsia="Helvetica"/>
          <w:color w:val="1F2328"/>
          <w:szCs w:val="21"/>
          <w:u w:val="none"/>
          <w:shd w:val="clear" w:color="auto" w:fill="FFFFFF"/>
        </w:rPr>
        <w:t>rovisions</w:t>
      </w:r>
      <w:r>
        <w:rPr>
          <w:rStyle w:val="18"/>
          <w:rFonts w:ascii="Times New Roman" w:hAnsi="Times New Roman" w:eastAsia="Helvetica"/>
          <w:color w:val="1F2328"/>
          <w:szCs w:val="21"/>
          <w:u w:val="none"/>
          <w:shd w:val="clear" w:color="auto" w:fill="FFFFFF"/>
        </w:rPr>
        <w:tab/>
      </w:r>
      <w:r>
        <w:rPr>
          <w:rStyle w:val="18"/>
        </w:rPr>
        <w:fldChar w:fldCharType="begin"/>
      </w:r>
      <w:r>
        <w:rPr>
          <w:rStyle w:val="18"/>
          <w:rFonts w:ascii="Times New Roman" w:hAnsi="Times New Roman"/>
          <w:color w:val="auto"/>
          <w:sz w:val="18"/>
          <w:szCs w:val="18"/>
          <w:u w:val="none"/>
        </w:rPr>
        <w:instrText xml:space="preserve"> PAGEREF _Toc24880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w:t>
      </w:r>
      <w:r>
        <w:rPr>
          <w:rStyle w:val="18"/>
        </w:rPr>
        <w:fldChar w:fldCharType="end"/>
      </w:r>
      <w:r>
        <w:rPr>
          <w:rStyle w:val="18"/>
        </w:rPr>
        <w:fldChar w:fldCharType="end"/>
      </w:r>
    </w:p>
    <w:p w14:paraId="163121C4">
      <w:pPr>
        <w:pStyle w:val="11"/>
        <w:widowControl/>
        <w:tabs>
          <w:tab w:val="right" w:leader="dot" w:pos="8400"/>
        </w:tabs>
        <w:rPr>
          <w:rFonts w:ascii="Times New Roman" w:hAnsi="Times New Roman" w:eastAsia="Helvetica"/>
          <w:color w:val="1F2328"/>
          <w:szCs w:val="21"/>
          <w:shd w:val="clear" w:color="auto" w:fill="FFFFFF"/>
        </w:rPr>
      </w:pPr>
      <w:r>
        <w:fldChar w:fldCharType="begin"/>
      </w:r>
      <w:r>
        <w:instrText xml:space="preserve"> HYPERLINK </w:instrText>
      </w:r>
      <w:r>
        <w:fldChar w:fldCharType="separate"/>
      </w:r>
      <w:r>
        <w:rPr>
          <w:rStyle w:val="18"/>
          <w:rFonts w:ascii="Times New Roman" w:hAnsi="Times New Roman" w:eastAsia="Helvetica"/>
          <w:color w:val="1F2328"/>
          <w:szCs w:val="21"/>
          <w:u w:val="none"/>
          <w:shd w:val="clear" w:color="auto" w:fill="FFFFFF"/>
        </w:rPr>
        <w:t>2  Terminology</w:t>
      </w:r>
      <w:r>
        <w:rPr>
          <w:rStyle w:val="18"/>
          <w:rFonts w:ascii="Times New Roman" w:hAnsi="Times New Roman" w:eastAsia="Helvetica"/>
          <w:color w:val="1F2328"/>
          <w:szCs w:val="21"/>
          <w:u w:val="none"/>
          <w:shd w:val="clear" w:color="auto" w:fill="FFFFFF"/>
        </w:rPr>
        <w:tab/>
      </w:r>
      <w:r>
        <w:rPr>
          <w:rStyle w:val="18"/>
        </w:rPr>
        <w:fldChar w:fldCharType="begin"/>
      </w:r>
      <w:r>
        <w:rPr>
          <w:rStyle w:val="18"/>
          <w:rFonts w:ascii="Times New Roman" w:hAnsi="Times New Roman"/>
          <w:color w:val="auto"/>
          <w:sz w:val="18"/>
          <w:szCs w:val="18"/>
          <w:u w:val="none"/>
        </w:rPr>
        <w:instrText xml:space="preserve"> PAGEREF _Toc6358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2</w:t>
      </w:r>
      <w:r>
        <w:rPr>
          <w:rStyle w:val="18"/>
        </w:rPr>
        <w:fldChar w:fldCharType="end"/>
      </w:r>
      <w:r>
        <w:rPr>
          <w:rStyle w:val="18"/>
        </w:rPr>
        <w:fldChar w:fldCharType="end"/>
      </w:r>
    </w:p>
    <w:p w14:paraId="75E90988">
      <w:pPr>
        <w:pStyle w:val="11"/>
        <w:widowControl/>
        <w:tabs>
          <w:tab w:val="right" w:leader="dot" w:pos="8400"/>
        </w:tabs>
        <w:rPr>
          <w:rFonts w:ascii="Times New Roman" w:hAnsi="Times New Roman" w:eastAsia="Helvetica"/>
          <w:color w:val="1F2328"/>
          <w:szCs w:val="21"/>
          <w:shd w:val="clear" w:color="auto" w:fill="FFFFFF"/>
        </w:rPr>
      </w:pPr>
      <w:r>
        <w:fldChar w:fldCharType="begin"/>
      </w:r>
      <w:r>
        <w:instrText xml:space="preserve"> HYPERLINK </w:instrText>
      </w:r>
      <w:r>
        <w:fldChar w:fldCharType="separate"/>
      </w:r>
      <w:r>
        <w:rPr>
          <w:rStyle w:val="18"/>
          <w:rFonts w:ascii="Times New Roman" w:hAnsi="Times New Roman" w:eastAsia="Helvetica"/>
          <w:color w:val="1F2328"/>
          <w:szCs w:val="21"/>
          <w:u w:val="none"/>
          <w:shd w:val="clear" w:color="auto" w:fill="FFFFFF"/>
        </w:rPr>
        <w:t xml:space="preserve">3  Basic </w:t>
      </w:r>
      <w:r>
        <w:rPr>
          <w:rStyle w:val="18"/>
          <w:rFonts w:ascii="Times New Roman" w:hAnsi="Times New Roman"/>
          <w:color w:val="1F2328"/>
          <w:szCs w:val="21"/>
          <w:u w:val="none"/>
          <w:shd w:val="clear" w:color="auto" w:fill="FFFFFF"/>
        </w:rPr>
        <w:t>r</w:t>
      </w:r>
      <w:r>
        <w:rPr>
          <w:rStyle w:val="18"/>
          <w:rFonts w:ascii="Times New Roman" w:hAnsi="Times New Roman" w:eastAsia="Helvetica"/>
          <w:color w:val="1F2328"/>
          <w:szCs w:val="21"/>
          <w:u w:val="none"/>
          <w:shd w:val="clear" w:color="auto" w:fill="FFFFFF"/>
        </w:rPr>
        <w:t>equirements</w:t>
      </w:r>
      <w:r>
        <w:rPr>
          <w:rStyle w:val="18"/>
          <w:rFonts w:ascii="Times New Roman" w:hAnsi="Times New Roman" w:eastAsia="Helvetica"/>
          <w:color w:val="1F2328"/>
          <w:szCs w:val="21"/>
          <w:u w:val="none"/>
          <w:shd w:val="clear" w:color="auto" w:fill="FFFFFF"/>
        </w:rPr>
        <w:tab/>
      </w:r>
      <w:r>
        <w:rPr>
          <w:rStyle w:val="18"/>
        </w:rPr>
        <w:fldChar w:fldCharType="begin"/>
      </w:r>
      <w:r>
        <w:rPr>
          <w:rStyle w:val="18"/>
          <w:rFonts w:ascii="Times New Roman" w:hAnsi="Times New Roman"/>
          <w:color w:val="auto"/>
          <w:sz w:val="18"/>
          <w:szCs w:val="18"/>
          <w:u w:val="none"/>
        </w:rPr>
        <w:instrText xml:space="preserve"> PAGEREF _Toc4051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7</w:t>
      </w:r>
      <w:r>
        <w:rPr>
          <w:rStyle w:val="18"/>
        </w:rPr>
        <w:fldChar w:fldCharType="end"/>
      </w:r>
      <w:r>
        <w:rPr>
          <w:rStyle w:val="18"/>
        </w:rPr>
        <w:fldChar w:fldCharType="end"/>
      </w:r>
    </w:p>
    <w:p w14:paraId="081FA27E">
      <w:pPr>
        <w:pStyle w:val="12"/>
        <w:widowControl/>
        <w:tabs>
          <w:tab w:val="right" w:leader="dot" w:pos="8400"/>
        </w:tabs>
        <w:rPr>
          <w:rFonts w:ascii="Times New Roman" w:hAnsi="Times New Roman" w:eastAsia="Helvetica"/>
          <w:color w:val="1F2328"/>
          <w:szCs w:val="21"/>
          <w:shd w:val="clear" w:color="auto" w:fill="FFFFFF"/>
        </w:rPr>
      </w:pPr>
      <w:r>
        <w:fldChar w:fldCharType="begin"/>
      </w:r>
      <w:r>
        <w:instrText xml:space="preserve"> HYPERLINK </w:instrText>
      </w:r>
      <w:r>
        <w:fldChar w:fldCharType="separate"/>
      </w:r>
      <w:r>
        <w:rPr>
          <w:rStyle w:val="18"/>
          <w:rFonts w:ascii="Times New Roman" w:hAnsi="Times New Roman" w:eastAsia="Helvetica"/>
          <w:color w:val="1F2328"/>
          <w:szCs w:val="21"/>
          <w:u w:val="none"/>
          <w:shd w:val="clear" w:color="auto" w:fill="FFFFFF"/>
        </w:rPr>
        <w:t>3.1  General provisions</w:t>
      </w:r>
      <w:r>
        <w:rPr>
          <w:rStyle w:val="18"/>
          <w:rFonts w:ascii="Times New Roman" w:hAnsi="Times New Roman" w:eastAsia="Helvetica"/>
          <w:color w:val="1F2328"/>
          <w:szCs w:val="21"/>
          <w:u w:val="none"/>
          <w:shd w:val="clear" w:color="auto" w:fill="FFFFFF"/>
        </w:rPr>
        <w:tab/>
      </w:r>
      <w:r>
        <w:rPr>
          <w:rStyle w:val="18"/>
        </w:rPr>
        <w:fldChar w:fldCharType="begin"/>
      </w:r>
      <w:r>
        <w:rPr>
          <w:rStyle w:val="18"/>
          <w:rFonts w:ascii="Times New Roman" w:hAnsi="Times New Roman"/>
          <w:color w:val="auto"/>
          <w:sz w:val="18"/>
          <w:szCs w:val="18"/>
          <w:u w:val="none"/>
        </w:rPr>
        <w:instrText xml:space="preserve"> PAGEREF _Toc31047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7</w:t>
      </w:r>
      <w:r>
        <w:rPr>
          <w:rStyle w:val="18"/>
        </w:rPr>
        <w:fldChar w:fldCharType="end"/>
      </w:r>
      <w:r>
        <w:rPr>
          <w:rStyle w:val="18"/>
        </w:rPr>
        <w:fldChar w:fldCharType="end"/>
      </w:r>
    </w:p>
    <w:p w14:paraId="40A96775">
      <w:pPr>
        <w:pStyle w:val="12"/>
        <w:widowControl/>
        <w:tabs>
          <w:tab w:val="right" w:leader="dot" w:pos="8400"/>
        </w:tabs>
        <w:rPr>
          <w:rFonts w:ascii="Times New Roman" w:hAnsi="Times New Roman" w:eastAsia="Helvetica"/>
          <w:color w:val="1F2328"/>
          <w:szCs w:val="21"/>
          <w:shd w:val="clear" w:color="auto" w:fill="FFFFFF"/>
        </w:rPr>
      </w:pPr>
      <w:r>
        <w:fldChar w:fldCharType="begin"/>
      </w:r>
      <w:r>
        <w:instrText xml:space="preserve"> HYPERLINK </w:instrText>
      </w:r>
      <w:r>
        <w:fldChar w:fldCharType="separate"/>
      </w:r>
      <w:r>
        <w:rPr>
          <w:rStyle w:val="18"/>
          <w:rFonts w:ascii="Times New Roman" w:hAnsi="Times New Roman" w:eastAsia="Helvetica"/>
          <w:color w:val="1F2328"/>
          <w:szCs w:val="21"/>
          <w:u w:val="none"/>
          <w:shd w:val="clear" w:color="auto" w:fill="FFFFFF"/>
        </w:rPr>
        <w:t>3.2  Technical indicators</w:t>
      </w:r>
      <w:r>
        <w:rPr>
          <w:rStyle w:val="18"/>
          <w:rFonts w:ascii="Times New Roman" w:hAnsi="Times New Roman" w:eastAsia="Helvetica"/>
          <w:color w:val="1F2328"/>
          <w:szCs w:val="21"/>
          <w:u w:val="none"/>
          <w:shd w:val="clear" w:color="auto" w:fill="FFFFFF"/>
        </w:rPr>
        <w:tab/>
      </w:r>
      <w:r>
        <w:rPr>
          <w:rStyle w:val="18"/>
        </w:rPr>
        <w:fldChar w:fldCharType="begin"/>
      </w:r>
      <w:r>
        <w:rPr>
          <w:rStyle w:val="18"/>
          <w:rFonts w:ascii="Times New Roman" w:hAnsi="Times New Roman"/>
          <w:color w:val="auto"/>
          <w:sz w:val="18"/>
          <w:szCs w:val="18"/>
          <w:u w:val="none"/>
        </w:rPr>
        <w:instrText xml:space="preserve"> PAGEREF _Toc6425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8</w:t>
      </w:r>
      <w:r>
        <w:rPr>
          <w:rStyle w:val="18"/>
        </w:rPr>
        <w:fldChar w:fldCharType="end"/>
      </w:r>
      <w:r>
        <w:rPr>
          <w:rStyle w:val="18"/>
        </w:rPr>
        <w:fldChar w:fldCharType="end"/>
      </w:r>
    </w:p>
    <w:p w14:paraId="3DF2C95F">
      <w:pPr>
        <w:pStyle w:val="11"/>
        <w:widowControl/>
        <w:tabs>
          <w:tab w:val="right" w:leader="dot" w:pos="8400"/>
        </w:tabs>
        <w:rPr>
          <w:rFonts w:ascii="Times New Roman" w:hAnsi="Times New Roman" w:eastAsia="Helvetica"/>
          <w:color w:val="1F2328"/>
          <w:szCs w:val="21"/>
          <w:shd w:val="clear" w:color="auto" w:fill="FFFFFF"/>
        </w:rPr>
      </w:pPr>
      <w:r>
        <w:fldChar w:fldCharType="begin"/>
      </w:r>
      <w:r>
        <w:instrText xml:space="preserve"> HYPERLINK </w:instrText>
      </w:r>
      <w:r>
        <w:fldChar w:fldCharType="separate"/>
      </w:r>
      <w:r>
        <w:rPr>
          <w:rStyle w:val="18"/>
          <w:rFonts w:ascii="Times New Roman" w:hAnsi="Times New Roman" w:eastAsia="Helvetica"/>
          <w:color w:val="1F2328"/>
          <w:szCs w:val="21"/>
          <w:u w:val="none"/>
          <w:shd w:val="clear" w:color="auto" w:fill="FFFFFF"/>
        </w:rPr>
        <w:t xml:space="preserve">4  Architectural </w:t>
      </w:r>
      <w:r>
        <w:rPr>
          <w:rStyle w:val="18"/>
          <w:rFonts w:ascii="Times New Roman" w:hAnsi="Times New Roman"/>
          <w:color w:val="1F2328"/>
          <w:szCs w:val="21"/>
          <w:u w:val="none"/>
          <w:shd w:val="clear" w:color="auto" w:fill="FFFFFF"/>
        </w:rPr>
        <w:t>p</w:t>
      </w:r>
      <w:r>
        <w:rPr>
          <w:rStyle w:val="18"/>
          <w:rFonts w:ascii="Times New Roman" w:hAnsi="Times New Roman" w:eastAsia="Helvetica"/>
          <w:color w:val="1F2328"/>
          <w:szCs w:val="21"/>
          <w:u w:val="none"/>
          <w:shd w:val="clear" w:color="auto" w:fill="FFFFFF"/>
        </w:rPr>
        <w:t>lanning</w:t>
      </w:r>
      <w:r>
        <w:rPr>
          <w:rStyle w:val="18"/>
          <w:rFonts w:ascii="Times New Roman" w:hAnsi="Times New Roman" w:eastAsia="Helvetica"/>
          <w:color w:val="1F2328"/>
          <w:szCs w:val="21"/>
          <w:u w:val="none"/>
          <w:shd w:val="clear" w:color="auto" w:fill="FFFFFF"/>
        </w:rPr>
        <w:tab/>
      </w:r>
      <w:r>
        <w:rPr>
          <w:rStyle w:val="18"/>
        </w:rPr>
        <w:fldChar w:fldCharType="begin"/>
      </w:r>
      <w:r>
        <w:rPr>
          <w:rStyle w:val="18"/>
          <w:rFonts w:ascii="Times New Roman" w:hAnsi="Times New Roman"/>
          <w:color w:val="auto"/>
          <w:sz w:val="18"/>
          <w:szCs w:val="18"/>
          <w:u w:val="none"/>
        </w:rPr>
        <w:instrText xml:space="preserve"> PAGEREF _Toc3781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10</w:t>
      </w:r>
      <w:r>
        <w:rPr>
          <w:rStyle w:val="18"/>
        </w:rPr>
        <w:fldChar w:fldCharType="end"/>
      </w:r>
      <w:r>
        <w:rPr>
          <w:rStyle w:val="18"/>
        </w:rPr>
        <w:fldChar w:fldCharType="end"/>
      </w:r>
    </w:p>
    <w:p w14:paraId="2624217F">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sz w:val="18"/>
          <w:szCs w:val="18"/>
          <w:u w:val="none"/>
        </w:rPr>
        <w:t xml:space="preserve">4.1  </w:t>
      </w:r>
      <w:r>
        <w:rPr>
          <w:rStyle w:val="18"/>
          <w:rFonts w:ascii="Times New Roman" w:hAnsi="Times New Roman" w:eastAsia="Helvetica"/>
          <w:color w:val="1F2328"/>
          <w:sz w:val="18"/>
          <w:szCs w:val="18"/>
          <w:u w:val="none"/>
          <w:shd w:val="clear" w:color="auto" w:fill="FFFFFF"/>
        </w:rPr>
        <w:t xml:space="preserve">General </w:t>
      </w:r>
      <w:r>
        <w:rPr>
          <w:rStyle w:val="18"/>
          <w:rFonts w:ascii="Times New Roman" w:hAnsi="Times New Roman"/>
          <w:color w:val="1F2328"/>
          <w:sz w:val="18"/>
          <w:szCs w:val="18"/>
          <w:u w:val="none"/>
          <w:shd w:val="clear" w:color="auto" w:fill="FFFFFF"/>
        </w:rPr>
        <w:t>p</w:t>
      </w:r>
      <w:r>
        <w:rPr>
          <w:rStyle w:val="18"/>
          <w:rFonts w:ascii="Times New Roman" w:hAnsi="Times New Roman" w:eastAsia="Helvetica"/>
          <w:color w:val="1F2328"/>
          <w:sz w:val="18"/>
          <w:szCs w:val="18"/>
          <w:u w:val="none"/>
          <w:shd w:val="clear" w:color="auto" w:fill="FFFFFF"/>
        </w:rPr>
        <w:t>rovisions</w:t>
      </w:r>
      <w:r>
        <w:rPr>
          <w:rStyle w:val="18"/>
          <w:rFonts w:ascii="Times New Roman" w:hAnsi="Times New Roman"/>
          <w:color w:val="auto"/>
          <w:sz w:val="18"/>
          <w:szCs w:val="18"/>
          <w:u w:val="none"/>
        </w:rPr>
        <w:tab/>
      </w:r>
      <w:r>
        <w:rPr>
          <w:rStyle w:val="18"/>
        </w:rPr>
        <w:fldChar w:fldCharType="begin"/>
      </w:r>
      <w:r>
        <w:rPr>
          <w:rStyle w:val="18"/>
          <w:rFonts w:ascii="Times New Roman" w:hAnsi="Times New Roman"/>
          <w:color w:val="auto"/>
          <w:sz w:val="18"/>
          <w:szCs w:val="18"/>
          <w:u w:val="none"/>
        </w:rPr>
        <w:instrText xml:space="preserve"> PAGEREF _Toc12613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10</w:t>
      </w:r>
      <w:r>
        <w:rPr>
          <w:rStyle w:val="18"/>
        </w:rPr>
        <w:fldChar w:fldCharType="end"/>
      </w:r>
      <w:r>
        <w:rPr>
          <w:rStyle w:val="18"/>
        </w:rPr>
        <w:fldChar w:fldCharType="end"/>
      </w:r>
    </w:p>
    <w:p w14:paraId="5325D2C3">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4.2  Site </w:t>
      </w:r>
      <w:r>
        <w:rPr>
          <w:rStyle w:val="18"/>
          <w:rFonts w:ascii="Times New Roman" w:hAnsi="Times New Roman"/>
          <w:color w:val="1F2328"/>
          <w:sz w:val="18"/>
          <w:szCs w:val="18"/>
          <w:u w:val="none"/>
          <w:shd w:val="clear" w:color="auto" w:fill="FFFFFF"/>
        </w:rPr>
        <w:t>p</w:t>
      </w:r>
      <w:r>
        <w:rPr>
          <w:rStyle w:val="18"/>
          <w:rFonts w:ascii="Times New Roman" w:hAnsi="Times New Roman" w:eastAsia="Helvetica"/>
          <w:color w:val="1F2328"/>
          <w:sz w:val="18"/>
          <w:szCs w:val="18"/>
          <w:u w:val="none"/>
          <w:shd w:val="clear" w:color="auto" w:fill="FFFFFF"/>
        </w:rPr>
        <w:t>lanning</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_Toc30314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13</w:t>
      </w:r>
      <w:r>
        <w:rPr>
          <w:rStyle w:val="18"/>
        </w:rPr>
        <w:fldChar w:fldCharType="end"/>
      </w:r>
      <w:r>
        <w:rPr>
          <w:rStyle w:val="18"/>
        </w:rPr>
        <w:fldChar w:fldCharType="end"/>
      </w:r>
    </w:p>
    <w:p w14:paraId="6D136392">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color w:val="auto"/>
          <w:u w:val="none"/>
        </w:rPr>
        <w:t>4</w:t>
      </w:r>
      <w:r>
        <w:rPr>
          <w:rStyle w:val="18"/>
          <w:rFonts w:ascii="Times New Roman" w:hAnsi="Times New Roman" w:eastAsia="Helvetica"/>
          <w:color w:val="1F2328"/>
          <w:sz w:val="18"/>
          <w:szCs w:val="18"/>
          <w:u w:val="none"/>
          <w:shd w:val="clear" w:color="auto" w:fill="FFFFFF"/>
        </w:rPr>
        <w:t xml:space="preserve">.3  Building </w:t>
      </w:r>
      <w:r>
        <w:rPr>
          <w:rStyle w:val="18"/>
          <w:rFonts w:ascii="Times New Roman" w:hAnsi="Times New Roman"/>
          <w:color w:val="1F2328"/>
          <w:sz w:val="18"/>
          <w:szCs w:val="18"/>
          <w:u w:val="none"/>
          <w:shd w:val="clear" w:color="auto" w:fill="FFFFFF"/>
        </w:rPr>
        <w:t>e</w:t>
      </w:r>
      <w:r>
        <w:rPr>
          <w:rStyle w:val="18"/>
          <w:rFonts w:ascii="Times New Roman" w:hAnsi="Times New Roman" w:eastAsia="Helvetica"/>
          <w:color w:val="1F2328"/>
          <w:sz w:val="18"/>
          <w:szCs w:val="18"/>
          <w:u w:val="none"/>
          <w:shd w:val="clear" w:color="auto" w:fill="FFFFFF"/>
        </w:rPr>
        <w:t>nvelope</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_Toc15232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14</w:t>
      </w:r>
      <w:r>
        <w:rPr>
          <w:rStyle w:val="18"/>
        </w:rPr>
        <w:fldChar w:fldCharType="end"/>
      </w:r>
      <w:r>
        <w:rPr>
          <w:rStyle w:val="18"/>
        </w:rPr>
        <w:fldChar w:fldCharType="end"/>
      </w:r>
    </w:p>
    <w:p w14:paraId="1BDFC4FD">
      <w:pPr>
        <w:pStyle w:val="8"/>
        <w:widowControl/>
        <w:tabs>
          <w:tab w:val="right" w:leader="dot" w:pos="8400"/>
        </w:tabs>
        <w:ind w:left="919" w:leftChars="0"/>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I   Non-transparent envelope</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_Toc8031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14</w:t>
      </w:r>
      <w:r>
        <w:rPr>
          <w:rStyle w:val="18"/>
        </w:rPr>
        <w:fldChar w:fldCharType="end"/>
      </w:r>
      <w:r>
        <w:rPr>
          <w:rStyle w:val="18"/>
        </w:rPr>
        <w:fldChar w:fldCharType="end"/>
      </w:r>
    </w:p>
    <w:p w14:paraId="7294D594">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Ⅱ  Transparent envelope and shading</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_Toc18506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27</w:t>
      </w:r>
      <w:r>
        <w:rPr>
          <w:rStyle w:val="18"/>
        </w:rPr>
        <w:fldChar w:fldCharType="end"/>
      </w:r>
      <w:r>
        <w:rPr>
          <w:rStyle w:val="18"/>
        </w:rPr>
        <w:fldChar w:fldCharType="end"/>
      </w:r>
    </w:p>
    <w:p w14:paraId="52D28D65">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4.4  Building </w:t>
      </w:r>
      <w:r>
        <w:rPr>
          <w:rStyle w:val="18"/>
          <w:rFonts w:ascii="Times New Roman" w:hAnsi="Times New Roman"/>
          <w:color w:val="1F2328"/>
          <w:sz w:val="18"/>
          <w:szCs w:val="18"/>
          <w:u w:val="none"/>
          <w:shd w:val="clear" w:color="auto" w:fill="FFFFFF"/>
        </w:rPr>
        <w:t>p</w:t>
      </w:r>
      <w:r>
        <w:rPr>
          <w:rStyle w:val="18"/>
          <w:rFonts w:ascii="Times New Roman" w:hAnsi="Times New Roman" w:eastAsia="Helvetica"/>
          <w:color w:val="1F2328"/>
          <w:sz w:val="18"/>
          <w:szCs w:val="18"/>
          <w:u w:val="none"/>
          <w:shd w:val="clear" w:color="auto" w:fill="FFFFFF"/>
        </w:rPr>
        <w:t xml:space="preserve">hysical </w:t>
      </w:r>
      <w:r>
        <w:rPr>
          <w:rStyle w:val="18"/>
          <w:rFonts w:ascii="Times New Roman" w:hAnsi="Times New Roman"/>
          <w:color w:val="1F2328"/>
          <w:sz w:val="18"/>
          <w:szCs w:val="18"/>
          <w:u w:val="none"/>
          <w:shd w:val="clear" w:color="auto" w:fill="FFFFFF"/>
        </w:rPr>
        <w:t>e</w:t>
      </w:r>
      <w:r>
        <w:rPr>
          <w:rStyle w:val="18"/>
          <w:rFonts w:ascii="Times New Roman" w:hAnsi="Times New Roman" w:eastAsia="Helvetica"/>
          <w:color w:val="1F2328"/>
          <w:sz w:val="18"/>
          <w:szCs w:val="18"/>
          <w:u w:val="none"/>
          <w:shd w:val="clear" w:color="auto" w:fill="FFFFFF"/>
        </w:rPr>
        <w:t>nvironment</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_Toc17954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32</w:t>
      </w:r>
      <w:r>
        <w:rPr>
          <w:rStyle w:val="18"/>
        </w:rPr>
        <w:fldChar w:fldCharType="end"/>
      </w:r>
      <w:r>
        <w:rPr>
          <w:rStyle w:val="18"/>
        </w:rPr>
        <w:fldChar w:fldCharType="end"/>
      </w:r>
    </w:p>
    <w:p w14:paraId="728734A1">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Ⅰ  Acoustic environment</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_Toc16447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32</w:t>
      </w:r>
      <w:r>
        <w:rPr>
          <w:rStyle w:val="18"/>
        </w:rPr>
        <w:fldChar w:fldCharType="end"/>
      </w:r>
      <w:r>
        <w:rPr>
          <w:rStyle w:val="18"/>
        </w:rPr>
        <w:fldChar w:fldCharType="end"/>
      </w:r>
    </w:p>
    <w:p w14:paraId="47FAF5A1">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Ⅱ  Lighting environment</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_Toc7846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33</w:t>
      </w:r>
      <w:r>
        <w:rPr>
          <w:rStyle w:val="18"/>
        </w:rPr>
        <w:fldChar w:fldCharType="end"/>
      </w:r>
      <w:r>
        <w:rPr>
          <w:rStyle w:val="18"/>
        </w:rPr>
        <w:fldChar w:fldCharType="end"/>
      </w:r>
    </w:p>
    <w:p w14:paraId="01AE061F">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Ⅲ  Wind environment</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_Toc26152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34</w:t>
      </w:r>
      <w:r>
        <w:rPr>
          <w:rStyle w:val="18"/>
        </w:rPr>
        <w:fldChar w:fldCharType="end"/>
      </w:r>
      <w:r>
        <w:rPr>
          <w:rStyle w:val="18"/>
        </w:rPr>
        <w:fldChar w:fldCharType="end"/>
      </w:r>
    </w:p>
    <w:p w14:paraId="0C2D8491">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Ⅳ  Air tightness</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_Toc19629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34</w:t>
      </w:r>
      <w:r>
        <w:rPr>
          <w:rStyle w:val="18"/>
        </w:rPr>
        <w:fldChar w:fldCharType="end"/>
      </w:r>
      <w:r>
        <w:rPr>
          <w:rStyle w:val="18"/>
        </w:rPr>
        <w:fldChar w:fldCharType="end"/>
      </w:r>
    </w:p>
    <w:p w14:paraId="49437616">
      <w:pPr>
        <w:pStyle w:val="8"/>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Ⅴ  Indoor air quality</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_Toc29299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36</w:t>
      </w:r>
      <w:r>
        <w:rPr>
          <w:rStyle w:val="18"/>
        </w:rPr>
        <w:fldChar w:fldCharType="end"/>
      </w:r>
      <w:r>
        <w:rPr>
          <w:rStyle w:val="18"/>
        </w:rPr>
        <w:fldChar w:fldCharType="end"/>
      </w:r>
    </w:p>
    <w:p w14:paraId="3C15F86F">
      <w:pPr>
        <w:pStyle w:val="11"/>
        <w:widowControl/>
        <w:tabs>
          <w:tab w:val="right" w:leader="dot" w:pos="8400"/>
        </w:tabs>
      </w:pPr>
      <w:r>
        <w:fldChar w:fldCharType="begin"/>
      </w:r>
      <w:r>
        <w:instrText xml:space="preserve"> HYPERLINK "file:///C:/Users/18701/Desktop/工作/02协会工作/03标准/挂网/《超低能耗居住建筑节能设计标准》/《超低能耗居住建筑节能设计标准》征求意见稿（条文说明邻正文）20240417(2).wps" \l "_Toc980" </w:instrText>
      </w:r>
      <w:r>
        <w:fldChar w:fldCharType="separate"/>
      </w:r>
      <w:r>
        <w:rPr>
          <w:rStyle w:val="18"/>
          <w:rFonts w:ascii="Times New Roman" w:hAnsi="Times New Roman" w:eastAsia="Helvetica"/>
          <w:color w:val="1F2328"/>
          <w:szCs w:val="21"/>
          <w:u w:val="none"/>
          <w:shd w:val="clear" w:color="auto" w:fill="FFFFFF"/>
        </w:rPr>
        <w:t xml:space="preserve">5  Mechanical and </w:t>
      </w:r>
      <w:r>
        <w:rPr>
          <w:rStyle w:val="18"/>
          <w:rFonts w:ascii="Times New Roman" w:hAnsi="Times New Roman"/>
          <w:color w:val="1F2328"/>
          <w:szCs w:val="21"/>
          <w:u w:val="none"/>
          <w:shd w:val="clear" w:color="auto" w:fill="FFFFFF"/>
        </w:rPr>
        <w:t>e</w:t>
      </w:r>
      <w:r>
        <w:rPr>
          <w:rStyle w:val="18"/>
          <w:rFonts w:ascii="Times New Roman" w:hAnsi="Times New Roman" w:eastAsia="Helvetica"/>
          <w:color w:val="1F2328"/>
          <w:szCs w:val="21"/>
          <w:u w:val="none"/>
          <w:shd w:val="clear" w:color="auto" w:fill="FFFFFF"/>
        </w:rPr>
        <w:t xml:space="preserve">lectrical </w:t>
      </w:r>
      <w:r>
        <w:rPr>
          <w:rStyle w:val="18"/>
          <w:rFonts w:ascii="Times New Roman" w:hAnsi="Times New Roman"/>
          <w:color w:val="1F2328"/>
          <w:szCs w:val="21"/>
          <w:u w:val="none"/>
          <w:shd w:val="clear" w:color="auto" w:fill="FFFFFF"/>
        </w:rPr>
        <w:t>e</w:t>
      </w:r>
      <w:r>
        <w:rPr>
          <w:rStyle w:val="18"/>
          <w:rFonts w:ascii="Times New Roman" w:hAnsi="Times New Roman" w:eastAsia="Helvetica"/>
          <w:color w:val="1F2328"/>
          <w:szCs w:val="21"/>
          <w:u w:val="none"/>
          <w:shd w:val="clear" w:color="auto" w:fill="FFFFFF"/>
        </w:rPr>
        <w:t xml:space="preserve">quipment and </w:t>
      </w:r>
      <w:r>
        <w:rPr>
          <w:rStyle w:val="18"/>
          <w:rFonts w:ascii="Times New Roman" w:hAnsi="Times New Roman"/>
          <w:color w:val="1F2328"/>
          <w:szCs w:val="21"/>
          <w:u w:val="none"/>
          <w:shd w:val="clear" w:color="auto" w:fill="FFFFFF"/>
        </w:rPr>
        <w:t>s</w:t>
      </w:r>
      <w:r>
        <w:rPr>
          <w:rStyle w:val="18"/>
          <w:rFonts w:ascii="Times New Roman" w:hAnsi="Times New Roman" w:eastAsia="Helvetica"/>
          <w:color w:val="1F2328"/>
          <w:szCs w:val="21"/>
          <w:u w:val="none"/>
          <w:shd w:val="clear" w:color="auto" w:fill="FFFFFF"/>
        </w:rPr>
        <w:t>ystems</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_Toc980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37</w:t>
      </w:r>
      <w:r>
        <w:rPr>
          <w:rStyle w:val="18"/>
        </w:rPr>
        <w:fldChar w:fldCharType="end"/>
      </w:r>
      <w:r>
        <w:rPr>
          <w:rStyle w:val="18"/>
        </w:rPr>
        <w:fldChar w:fldCharType="end"/>
      </w:r>
    </w:p>
    <w:p w14:paraId="31E88BB3">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5.1  General </w:t>
      </w:r>
      <w:r>
        <w:rPr>
          <w:rStyle w:val="18"/>
          <w:rFonts w:ascii="Times New Roman" w:hAnsi="Times New Roman"/>
          <w:color w:val="1F2328"/>
          <w:sz w:val="18"/>
          <w:szCs w:val="18"/>
          <w:u w:val="none"/>
          <w:shd w:val="clear" w:color="auto" w:fill="FFFFFF"/>
        </w:rPr>
        <w:t>p</w:t>
      </w:r>
      <w:r>
        <w:rPr>
          <w:rStyle w:val="18"/>
          <w:rFonts w:ascii="Times New Roman" w:hAnsi="Times New Roman" w:eastAsia="Helvetica"/>
          <w:color w:val="1F2328"/>
          <w:sz w:val="18"/>
          <w:szCs w:val="18"/>
          <w:u w:val="none"/>
          <w:shd w:val="clear" w:color="auto" w:fill="FFFFFF"/>
        </w:rPr>
        <w:t>rovisions</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_Toc23427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37</w:t>
      </w:r>
      <w:r>
        <w:rPr>
          <w:rStyle w:val="18"/>
        </w:rPr>
        <w:fldChar w:fldCharType="end"/>
      </w:r>
      <w:r>
        <w:rPr>
          <w:rStyle w:val="18"/>
        </w:rPr>
        <w:fldChar w:fldCharType="end"/>
      </w:r>
    </w:p>
    <w:p w14:paraId="41440F8B">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5.2  Heating, </w:t>
      </w:r>
      <w:r>
        <w:rPr>
          <w:rStyle w:val="18"/>
          <w:rFonts w:ascii="Times New Roman" w:hAnsi="Times New Roman"/>
          <w:color w:val="1F2328"/>
          <w:sz w:val="18"/>
          <w:szCs w:val="18"/>
          <w:u w:val="none"/>
          <w:shd w:val="clear" w:color="auto" w:fill="FFFFFF"/>
        </w:rPr>
        <w:t>v</w:t>
      </w:r>
      <w:r>
        <w:rPr>
          <w:rStyle w:val="18"/>
          <w:rFonts w:ascii="Times New Roman" w:hAnsi="Times New Roman" w:eastAsia="Helvetica"/>
          <w:color w:val="1F2328"/>
          <w:sz w:val="18"/>
          <w:szCs w:val="18"/>
          <w:u w:val="none"/>
          <w:shd w:val="clear" w:color="auto" w:fill="FFFFFF"/>
        </w:rPr>
        <w:t xml:space="preserve">entilation, and </w:t>
      </w:r>
      <w:r>
        <w:rPr>
          <w:rStyle w:val="18"/>
          <w:rFonts w:ascii="Times New Roman" w:hAnsi="Times New Roman"/>
          <w:color w:val="1F2328"/>
          <w:sz w:val="18"/>
          <w:szCs w:val="18"/>
          <w:u w:val="none"/>
          <w:shd w:val="clear" w:color="auto" w:fill="FFFFFF"/>
        </w:rPr>
        <w:t>a</w:t>
      </w:r>
      <w:r>
        <w:rPr>
          <w:rStyle w:val="18"/>
          <w:rFonts w:ascii="Times New Roman" w:hAnsi="Times New Roman" w:eastAsia="Helvetica"/>
          <w:color w:val="1F2328"/>
          <w:sz w:val="18"/>
          <w:szCs w:val="18"/>
          <w:u w:val="none"/>
          <w:shd w:val="clear" w:color="auto" w:fill="FFFFFF"/>
        </w:rPr>
        <w:t xml:space="preserve">ir </w:t>
      </w:r>
      <w:r>
        <w:rPr>
          <w:rStyle w:val="18"/>
          <w:rFonts w:ascii="Times New Roman" w:hAnsi="Times New Roman"/>
          <w:color w:val="1F2328"/>
          <w:sz w:val="18"/>
          <w:szCs w:val="18"/>
          <w:u w:val="none"/>
          <w:shd w:val="clear" w:color="auto" w:fill="FFFFFF"/>
        </w:rPr>
        <w:t>c</w:t>
      </w:r>
      <w:r>
        <w:rPr>
          <w:rStyle w:val="18"/>
          <w:rFonts w:ascii="Times New Roman" w:hAnsi="Times New Roman" w:eastAsia="Helvetica"/>
          <w:color w:val="1F2328"/>
          <w:sz w:val="18"/>
          <w:szCs w:val="18"/>
          <w:u w:val="none"/>
          <w:shd w:val="clear" w:color="auto" w:fill="FFFFFF"/>
        </w:rPr>
        <w:t>onditioning</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_Toc13612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38</w:t>
      </w:r>
      <w:r>
        <w:rPr>
          <w:rStyle w:val="18"/>
        </w:rPr>
        <w:fldChar w:fldCharType="end"/>
      </w:r>
      <w:r>
        <w:rPr>
          <w:rStyle w:val="18"/>
        </w:rPr>
        <w:fldChar w:fldCharType="end"/>
      </w:r>
    </w:p>
    <w:p w14:paraId="6B152634">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5.3  Water </w:t>
      </w:r>
      <w:r>
        <w:rPr>
          <w:rStyle w:val="18"/>
          <w:rFonts w:ascii="Times New Roman" w:hAnsi="Times New Roman"/>
          <w:color w:val="1F2328"/>
          <w:sz w:val="18"/>
          <w:szCs w:val="18"/>
          <w:u w:val="none"/>
          <w:shd w:val="clear" w:color="auto" w:fill="FFFFFF"/>
        </w:rPr>
        <w:t>s</w:t>
      </w:r>
      <w:r>
        <w:rPr>
          <w:rStyle w:val="18"/>
          <w:rFonts w:ascii="Times New Roman" w:hAnsi="Times New Roman" w:eastAsia="Helvetica"/>
          <w:color w:val="1F2328"/>
          <w:sz w:val="18"/>
          <w:szCs w:val="18"/>
          <w:u w:val="none"/>
          <w:shd w:val="clear" w:color="auto" w:fill="FFFFFF"/>
        </w:rPr>
        <w:t xml:space="preserve">upply and </w:t>
      </w:r>
      <w:r>
        <w:rPr>
          <w:rStyle w:val="18"/>
          <w:rFonts w:ascii="Times New Roman" w:hAnsi="Times New Roman"/>
          <w:color w:val="1F2328"/>
          <w:sz w:val="18"/>
          <w:szCs w:val="18"/>
          <w:u w:val="none"/>
          <w:shd w:val="clear" w:color="auto" w:fill="FFFFFF"/>
        </w:rPr>
        <w:t>d</w:t>
      </w:r>
      <w:r>
        <w:rPr>
          <w:rStyle w:val="18"/>
          <w:rFonts w:ascii="Times New Roman" w:hAnsi="Times New Roman" w:eastAsia="Helvetica"/>
          <w:color w:val="1F2328"/>
          <w:sz w:val="18"/>
          <w:szCs w:val="18"/>
          <w:u w:val="none"/>
          <w:shd w:val="clear" w:color="auto" w:fill="FFFFFF"/>
        </w:rPr>
        <w:t>rainage</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_Toc14720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42</w:t>
      </w:r>
      <w:r>
        <w:rPr>
          <w:rStyle w:val="18"/>
        </w:rPr>
        <w:fldChar w:fldCharType="end"/>
      </w:r>
      <w:r>
        <w:rPr>
          <w:rStyle w:val="18"/>
        </w:rPr>
        <w:fldChar w:fldCharType="end"/>
      </w:r>
    </w:p>
    <w:p w14:paraId="25678983">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5.4  Building </w:t>
      </w:r>
      <w:r>
        <w:rPr>
          <w:rStyle w:val="18"/>
          <w:rFonts w:ascii="Times New Roman" w:hAnsi="Times New Roman"/>
          <w:color w:val="1F2328"/>
          <w:sz w:val="18"/>
          <w:szCs w:val="18"/>
          <w:u w:val="none"/>
          <w:shd w:val="clear" w:color="auto" w:fill="FFFFFF"/>
        </w:rPr>
        <w:t>e</w:t>
      </w:r>
      <w:r>
        <w:rPr>
          <w:rStyle w:val="18"/>
          <w:rFonts w:ascii="Times New Roman" w:hAnsi="Times New Roman" w:eastAsia="Helvetica"/>
          <w:color w:val="1F2328"/>
          <w:sz w:val="18"/>
          <w:szCs w:val="18"/>
          <w:u w:val="none"/>
          <w:shd w:val="clear" w:color="auto" w:fill="FFFFFF"/>
        </w:rPr>
        <w:t>lectrical</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_Toc7756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43</w:t>
      </w:r>
      <w:r>
        <w:rPr>
          <w:rStyle w:val="18"/>
        </w:rPr>
        <w:fldChar w:fldCharType="end"/>
      </w:r>
      <w:r>
        <w:rPr>
          <w:rStyle w:val="18"/>
        </w:rPr>
        <w:fldChar w:fldCharType="end"/>
      </w:r>
    </w:p>
    <w:p w14:paraId="10131A5E">
      <w:pPr>
        <w:pStyle w:val="11"/>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6  Comprehensive application of renewable energy</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_Toc27009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45</w:t>
      </w:r>
      <w:r>
        <w:rPr>
          <w:rStyle w:val="18"/>
        </w:rPr>
        <w:fldChar w:fldCharType="end"/>
      </w:r>
      <w:r>
        <w:rPr>
          <w:rStyle w:val="18"/>
        </w:rPr>
        <w:fldChar w:fldCharType="end"/>
      </w:r>
    </w:p>
    <w:p w14:paraId="47E74F55">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6.1  General </w:t>
      </w:r>
      <w:r>
        <w:rPr>
          <w:rStyle w:val="18"/>
          <w:rFonts w:ascii="Times New Roman" w:hAnsi="Times New Roman"/>
          <w:color w:val="1F2328"/>
          <w:sz w:val="18"/>
          <w:szCs w:val="18"/>
          <w:u w:val="none"/>
          <w:shd w:val="clear" w:color="auto" w:fill="FFFFFF"/>
        </w:rPr>
        <w:t>p</w:t>
      </w:r>
      <w:r>
        <w:rPr>
          <w:rStyle w:val="18"/>
          <w:rFonts w:ascii="Times New Roman" w:hAnsi="Times New Roman" w:eastAsia="Helvetica"/>
          <w:color w:val="1F2328"/>
          <w:sz w:val="18"/>
          <w:szCs w:val="18"/>
          <w:u w:val="none"/>
          <w:shd w:val="clear" w:color="auto" w:fill="FFFFFF"/>
        </w:rPr>
        <w:t>rovisions</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_Toc28225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45</w:t>
      </w:r>
      <w:r>
        <w:rPr>
          <w:rStyle w:val="18"/>
        </w:rPr>
        <w:fldChar w:fldCharType="end"/>
      </w:r>
      <w:r>
        <w:rPr>
          <w:rStyle w:val="18"/>
        </w:rPr>
        <w:fldChar w:fldCharType="end"/>
      </w:r>
    </w:p>
    <w:p w14:paraId="0FDB38CA">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6.2  Solar </w:t>
      </w:r>
      <w:r>
        <w:rPr>
          <w:rStyle w:val="18"/>
          <w:rFonts w:ascii="Times New Roman" w:hAnsi="Times New Roman"/>
          <w:color w:val="1F2328"/>
          <w:sz w:val="18"/>
          <w:szCs w:val="18"/>
          <w:u w:val="none"/>
          <w:shd w:val="clear" w:color="auto" w:fill="FFFFFF"/>
        </w:rPr>
        <w:t>e</w:t>
      </w:r>
      <w:r>
        <w:rPr>
          <w:rStyle w:val="18"/>
          <w:rFonts w:ascii="Times New Roman" w:hAnsi="Times New Roman" w:eastAsia="Helvetica"/>
          <w:color w:val="1F2328"/>
          <w:sz w:val="18"/>
          <w:szCs w:val="18"/>
          <w:u w:val="none"/>
          <w:shd w:val="clear" w:color="auto" w:fill="FFFFFF"/>
        </w:rPr>
        <w:t xml:space="preserve">nergy </w:t>
      </w:r>
      <w:r>
        <w:rPr>
          <w:rStyle w:val="18"/>
          <w:rFonts w:ascii="Times New Roman" w:hAnsi="Times New Roman"/>
          <w:color w:val="1F2328"/>
          <w:sz w:val="18"/>
          <w:szCs w:val="18"/>
          <w:u w:val="none"/>
          <w:shd w:val="clear" w:color="auto" w:fill="FFFFFF"/>
        </w:rPr>
        <w:t>s</w:t>
      </w:r>
      <w:r>
        <w:rPr>
          <w:rStyle w:val="18"/>
          <w:rFonts w:ascii="Times New Roman" w:hAnsi="Times New Roman" w:eastAsia="Helvetica"/>
          <w:color w:val="1F2328"/>
          <w:sz w:val="18"/>
          <w:szCs w:val="18"/>
          <w:u w:val="none"/>
          <w:shd w:val="clear" w:color="auto" w:fill="FFFFFF"/>
        </w:rPr>
        <w:t>ystems</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_Toc29525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45</w:t>
      </w:r>
      <w:r>
        <w:rPr>
          <w:rStyle w:val="18"/>
        </w:rPr>
        <w:fldChar w:fldCharType="end"/>
      </w:r>
      <w:r>
        <w:rPr>
          <w:rStyle w:val="18"/>
        </w:rPr>
        <w:fldChar w:fldCharType="end"/>
      </w:r>
    </w:p>
    <w:p w14:paraId="681E46BE">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6.3  Air-source </w:t>
      </w:r>
      <w:r>
        <w:rPr>
          <w:rStyle w:val="18"/>
          <w:rFonts w:ascii="Times New Roman" w:hAnsi="Times New Roman"/>
          <w:color w:val="1F2328"/>
          <w:sz w:val="18"/>
          <w:szCs w:val="18"/>
          <w:u w:val="none"/>
          <w:shd w:val="clear" w:color="auto" w:fill="FFFFFF"/>
        </w:rPr>
        <w:t>h</w:t>
      </w:r>
      <w:r>
        <w:rPr>
          <w:rStyle w:val="18"/>
          <w:rFonts w:ascii="Times New Roman" w:hAnsi="Times New Roman" w:eastAsia="Helvetica"/>
          <w:color w:val="1F2328"/>
          <w:sz w:val="18"/>
          <w:szCs w:val="18"/>
          <w:u w:val="none"/>
          <w:shd w:val="clear" w:color="auto" w:fill="FFFFFF"/>
        </w:rPr>
        <w:t xml:space="preserve">eat </w:t>
      </w:r>
      <w:r>
        <w:rPr>
          <w:rStyle w:val="18"/>
          <w:rFonts w:ascii="Times New Roman" w:hAnsi="Times New Roman"/>
          <w:color w:val="1F2328"/>
          <w:sz w:val="18"/>
          <w:szCs w:val="18"/>
          <w:u w:val="none"/>
          <w:shd w:val="clear" w:color="auto" w:fill="FFFFFF"/>
        </w:rPr>
        <w:t>p</w:t>
      </w:r>
      <w:r>
        <w:rPr>
          <w:rStyle w:val="18"/>
          <w:rFonts w:ascii="Times New Roman" w:hAnsi="Times New Roman" w:eastAsia="Helvetica"/>
          <w:color w:val="1F2328"/>
          <w:sz w:val="18"/>
          <w:szCs w:val="18"/>
          <w:u w:val="none"/>
          <w:shd w:val="clear" w:color="auto" w:fill="FFFFFF"/>
        </w:rPr>
        <w:t xml:space="preserve">ump </w:t>
      </w:r>
      <w:r>
        <w:rPr>
          <w:rStyle w:val="18"/>
          <w:rFonts w:ascii="Times New Roman" w:hAnsi="Times New Roman"/>
          <w:color w:val="1F2328"/>
          <w:sz w:val="18"/>
          <w:szCs w:val="18"/>
          <w:u w:val="none"/>
          <w:shd w:val="clear" w:color="auto" w:fill="FFFFFF"/>
        </w:rPr>
        <w:t>s</w:t>
      </w:r>
      <w:r>
        <w:rPr>
          <w:rStyle w:val="18"/>
          <w:rFonts w:ascii="Times New Roman" w:hAnsi="Times New Roman" w:eastAsia="Helvetica"/>
          <w:color w:val="1F2328"/>
          <w:sz w:val="18"/>
          <w:szCs w:val="18"/>
          <w:u w:val="none"/>
          <w:shd w:val="clear" w:color="auto" w:fill="FFFFFF"/>
        </w:rPr>
        <w:t>ystems</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_Toc5840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45</w:t>
      </w:r>
      <w:r>
        <w:rPr>
          <w:rStyle w:val="18"/>
        </w:rPr>
        <w:fldChar w:fldCharType="end"/>
      </w:r>
      <w:r>
        <w:rPr>
          <w:rStyle w:val="18"/>
        </w:rPr>
        <w:fldChar w:fldCharType="end"/>
      </w:r>
    </w:p>
    <w:p w14:paraId="6C8CCB0D">
      <w:pPr>
        <w:pStyle w:val="12"/>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 xml:space="preserve">6.4  Ground-source </w:t>
      </w:r>
      <w:r>
        <w:rPr>
          <w:rStyle w:val="18"/>
          <w:rFonts w:ascii="Times New Roman" w:hAnsi="Times New Roman"/>
          <w:color w:val="1F2328"/>
          <w:sz w:val="18"/>
          <w:szCs w:val="18"/>
          <w:u w:val="none"/>
          <w:shd w:val="clear" w:color="auto" w:fill="FFFFFF"/>
        </w:rPr>
        <w:t>h</w:t>
      </w:r>
      <w:r>
        <w:rPr>
          <w:rStyle w:val="18"/>
          <w:rFonts w:ascii="Times New Roman" w:hAnsi="Times New Roman" w:eastAsia="Helvetica"/>
          <w:color w:val="1F2328"/>
          <w:sz w:val="18"/>
          <w:szCs w:val="18"/>
          <w:u w:val="none"/>
          <w:shd w:val="clear" w:color="auto" w:fill="FFFFFF"/>
        </w:rPr>
        <w:t xml:space="preserve">eat </w:t>
      </w:r>
      <w:r>
        <w:rPr>
          <w:rStyle w:val="18"/>
          <w:rFonts w:ascii="Times New Roman" w:hAnsi="Times New Roman"/>
          <w:color w:val="1F2328"/>
          <w:sz w:val="18"/>
          <w:szCs w:val="18"/>
          <w:u w:val="none"/>
          <w:shd w:val="clear" w:color="auto" w:fill="FFFFFF"/>
        </w:rPr>
        <w:t>p</w:t>
      </w:r>
      <w:r>
        <w:rPr>
          <w:rStyle w:val="18"/>
          <w:rFonts w:ascii="Times New Roman" w:hAnsi="Times New Roman" w:eastAsia="Helvetica"/>
          <w:color w:val="1F2328"/>
          <w:sz w:val="18"/>
          <w:szCs w:val="18"/>
          <w:u w:val="none"/>
          <w:shd w:val="clear" w:color="auto" w:fill="FFFFFF"/>
        </w:rPr>
        <w:t xml:space="preserve">ump </w:t>
      </w:r>
      <w:r>
        <w:rPr>
          <w:rStyle w:val="18"/>
          <w:rFonts w:ascii="Times New Roman" w:hAnsi="Times New Roman"/>
          <w:color w:val="1F2328"/>
          <w:sz w:val="18"/>
          <w:szCs w:val="18"/>
          <w:u w:val="none"/>
          <w:shd w:val="clear" w:color="auto" w:fill="FFFFFF"/>
        </w:rPr>
        <w:t>s</w:t>
      </w:r>
      <w:r>
        <w:rPr>
          <w:rStyle w:val="18"/>
          <w:rFonts w:ascii="Times New Roman" w:hAnsi="Times New Roman" w:eastAsia="Helvetica"/>
          <w:color w:val="1F2328"/>
          <w:sz w:val="18"/>
          <w:szCs w:val="18"/>
          <w:u w:val="none"/>
          <w:shd w:val="clear" w:color="auto" w:fill="FFFFFF"/>
        </w:rPr>
        <w:t>ystems</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_Toc3628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46</w:t>
      </w:r>
      <w:r>
        <w:rPr>
          <w:rStyle w:val="18"/>
        </w:rPr>
        <w:fldChar w:fldCharType="end"/>
      </w:r>
      <w:r>
        <w:rPr>
          <w:rStyle w:val="18"/>
        </w:rPr>
        <w:fldChar w:fldCharType="end"/>
      </w:r>
    </w:p>
    <w:p w14:paraId="70569E5E">
      <w:pPr>
        <w:pStyle w:val="11"/>
        <w:widowControl/>
        <w:tabs>
          <w:tab w:val="right" w:leader="dot" w:pos="8400"/>
        </w:tabs>
      </w:pPr>
      <w:r>
        <w:fldChar w:fldCharType="begin"/>
      </w:r>
      <w:r>
        <w:instrText xml:space="preserve"> HYPERLINK </w:instrText>
      </w:r>
      <w:r>
        <w:fldChar w:fldCharType="separate"/>
      </w:r>
      <w:r>
        <w:rPr>
          <w:rStyle w:val="18"/>
          <w:rFonts w:ascii="Times New Roman" w:hAnsi="Times New Roman" w:eastAsia="Helvetica"/>
          <w:color w:val="1F2328"/>
          <w:szCs w:val="21"/>
          <w:u w:val="none"/>
          <w:shd w:val="clear" w:color="auto" w:fill="FFFFFF"/>
        </w:rPr>
        <w:t xml:space="preserve">7  Calculation of </w:t>
      </w:r>
      <w:r>
        <w:rPr>
          <w:rStyle w:val="18"/>
          <w:rFonts w:ascii="Times New Roman" w:hAnsi="Times New Roman"/>
          <w:color w:val="1F2328"/>
          <w:szCs w:val="21"/>
          <w:u w:val="none"/>
          <w:shd w:val="clear" w:color="auto" w:fill="FFFFFF"/>
        </w:rPr>
        <w:t>b</w:t>
      </w:r>
      <w:r>
        <w:rPr>
          <w:rStyle w:val="18"/>
          <w:rFonts w:ascii="Times New Roman" w:hAnsi="Times New Roman" w:eastAsia="Helvetica"/>
          <w:color w:val="1F2328"/>
          <w:szCs w:val="21"/>
          <w:u w:val="none"/>
          <w:shd w:val="clear" w:color="auto" w:fill="FFFFFF"/>
        </w:rPr>
        <w:t xml:space="preserve">uilding </w:t>
      </w:r>
      <w:r>
        <w:rPr>
          <w:rStyle w:val="18"/>
          <w:rFonts w:ascii="Times New Roman" w:hAnsi="Times New Roman"/>
          <w:color w:val="1F2328"/>
          <w:szCs w:val="21"/>
          <w:u w:val="none"/>
          <w:shd w:val="clear" w:color="auto" w:fill="FFFFFF"/>
        </w:rPr>
        <w:t>e</w:t>
      </w:r>
      <w:r>
        <w:rPr>
          <w:rStyle w:val="18"/>
          <w:rFonts w:ascii="Times New Roman" w:hAnsi="Times New Roman" w:eastAsia="Helvetica"/>
          <w:color w:val="1F2328"/>
          <w:szCs w:val="21"/>
          <w:u w:val="none"/>
          <w:shd w:val="clear" w:color="auto" w:fill="FFFFFF"/>
        </w:rPr>
        <w:t xml:space="preserve">nergy </w:t>
      </w:r>
      <w:r>
        <w:rPr>
          <w:rStyle w:val="18"/>
          <w:rFonts w:ascii="Times New Roman" w:hAnsi="Times New Roman"/>
          <w:color w:val="1F2328"/>
          <w:szCs w:val="21"/>
          <w:u w:val="none"/>
          <w:shd w:val="clear" w:color="auto" w:fill="FFFFFF"/>
        </w:rPr>
        <w:t>c</w:t>
      </w:r>
      <w:r>
        <w:rPr>
          <w:rStyle w:val="18"/>
          <w:rFonts w:ascii="Times New Roman" w:hAnsi="Times New Roman" w:eastAsia="Helvetica"/>
          <w:color w:val="1F2328"/>
          <w:szCs w:val="21"/>
          <w:u w:val="none"/>
          <w:shd w:val="clear" w:color="auto" w:fill="FFFFFF"/>
        </w:rPr>
        <w:t xml:space="preserve">onsumption </w:t>
      </w:r>
      <w:r>
        <w:rPr>
          <w:rStyle w:val="18"/>
          <w:rFonts w:ascii="Times New Roman" w:hAnsi="Times New Roman"/>
          <w:color w:val="1F2328"/>
          <w:szCs w:val="21"/>
          <w:u w:val="none"/>
          <w:shd w:val="clear" w:color="auto" w:fill="FFFFFF"/>
        </w:rPr>
        <w:t>c</w:t>
      </w:r>
      <w:r>
        <w:rPr>
          <w:rStyle w:val="18"/>
          <w:rFonts w:ascii="Times New Roman" w:hAnsi="Times New Roman" w:eastAsia="Helvetica"/>
          <w:color w:val="1F2328"/>
          <w:szCs w:val="21"/>
          <w:u w:val="none"/>
          <w:shd w:val="clear" w:color="auto" w:fill="FFFFFF"/>
        </w:rPr>
        <w:t xml:space="preserve">omposite </w:t>
      </w:r>
      <w:r>
        <w:rPr>
          <w:rStyle w:val="18"/>
          <w:rFonts w:ascii="Times New Roman" w:hAnsi="Times New Roman"/>
          <w:color w:val="1F2328"/>
          <w:szCs w:val="21"/>
          <w:u w:val="none"/>
          <w:shd w:val="clear" w:color="auto" w:fill="FFFFFF"/>
        </w:rPr>
        <w:t>v</w:t>
      </w:r>
      <w:r>
        <w:rPr>
          <w:rStyle w:val="18"/>
          <w:rFonts w:ascii="Times New Roman" w:hAnsi="Times New Roman" w:eastAsia="Helvetica"/>
          <w:color w:val="1F2328"/>
          <w:szCs w:val="21"/>
          <w:u w:val="none"/>
          <w:shd w:val="clear" w:color="auto" w:fill="FFFFFF"/>
        </w:rPr>
        <w:t>alue</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_Toc21724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48</w:t>
      </w:r>
      <w:r>
        <w:rPr>
          <w:rStyle w:val="18"/>
        </w:rPr>
        <w:fldChar w:fldCharType="end"/>
      </w:r>
      <w:r>
        <w:rPr>
          <w:rStyle w:val="18"/>
        </w:rPr>
        <w:fldChar w:fldCharType="end"/>
      </w:r>
    </w:p>
    <w:p w14:paraId="460664AC">
      <w:pPr>
        <w:pStyle w:val="12"/>
        <w:widowControl/>
        <w:tabs>
          <w:tab w:val="right" w:leader="dot" w:pos="8400"/>
        </w:tabs>
        <w:rPr>
          <w:rFonts w:ascii="Times New Roman" w:hAnsi="Times New Roman" w:eastAsia="Helvetica"/>
          <w:color w:val="1F2328"/>
          <w:szCs w:val="21"/>
          <w:shd w:val="clear" w:color="auto" w:fill="FFFFFF"/>
        </w:rPr>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7.1  General provisions</w:t>
      </w:r>
      <w:r>
        <w:rPr>
          <w:rStyle w:val="18"/>
          <w:rFonts w:ascii="Times New Roman" w:hAnsi="Times New Roman" w:eastAsia="Helvetica"/>
          <w:color w:val="1F2328"/>
          <w:szCs w:val="21"/>
          <w:u w:val="none"/>
          <w:shd w:val="clear" w:color="auto" w:fill="FFFFFF"/>
        </w:rPr>
        <w:tab/>
      </w:r>
      <w:r>
        <w:rPr>
          <w:rStyle w:val="18"/>
        </w:rPr>
        <w:fldChar w:fldCharType="begin"/>
      </w:r>
      <w:r>
        <w:rPr>
          <w:rStyle w:val="18"/>
          <w:rFonts w:ascii="Times New Roman" w:hAnsi="Times New Roman"/>
          <w:color w:val="auto"/>
          <w:sz w:val="18"/>
          <w:szCs w:val="18"/>
          <w:u w:val="none"/>
        </w:rPr>
        <w:instrText xml:space="preserve"> PAGEREF _Toc17393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48</w:t>
      </w:r>
      <w:r>
        <w:rPr>
          <w:rStyle w:val="18"/>
        </w:rPr>
        <w:fldChar w:fldCharType="end"/>
      </w:r>
      <w:r>
        <w:rPr>
          <w:rStyle w:val="18"/>
        </w:rPr>
        <w:fldChar w:fldCharType="end"/>
      </w:r>
    </w:p>
    <w:p w14:paraId="7E51034E">
      <w:pPr>
        <w:pStyle w:val="12"/>
        <w:widowControl/>
        <w:tabs>
          <w:tab w:val="right" w:leader="dot" w:pos="8400"/>
        </w:tabs>
        <w:rPr>
          <w:rFonts w:ascii="Times New Roman" w:hAnsi="Times New Roman" w:eastAsia="Helvetica"/>
          <w:color w:val="1F2328"/>
          <w:szCs w:val="21"/>
          <w:shd w:val="clear" w:color="auto" w:fill="FFFFFF"/>
        </w:rPr>
      </w:pPr>
      <w:r>
        <w:fldChar w:fldCharType="begin"/>
      </w:r>
      <w:r>
        <w:instrText xml:space="preserve"> HYPERLINK </w:instrText>
      </w:r>
      <w:r>
        <w:fldChar w:fldCharType="separate"/>
      </w:r>
      <w:r>
        <w:rPr>
          <w:rStyle w:val="18"/>
          <w:rFonts w:ascii="Times New Roman" w:hAnsi="Times New Roman" w:eastAsia="Helvetica"/>
          <w:color w:val="1F2328"/>
          <w:sz w:val="18"/>
          <w:szCs w:val="18"/>
          <w:u w:val="none"/>
          <w:shd w:val="clear" w:color="auto" w:fill="FFFFFF"/>
        </w:rPr>
        <w:t>7.2  Energy efficiency indicator calculation requirements</w:t>
      </w:r>
      <w:r>
        <w:rPr>
          <w:rStyle w:val="18"/>
          <w:rFonts w:ascii="Times New Roman" w:hAnsi="Times New Roman" w:eastAsia="Helvetica"/>
          <w:color w:val="1F2328"/>
          <w:szCs w:val="21"/>
          <w:u w:val="none"/>
          <w:shd w:val="clear" w:color="auto" w:fill="FFFFFF"/>
        </w:rPr>
        <w:tab/>
      </w:r>
      <w:r>
        <w:rPr>
          <w:rStyle w:val="18"/>
        </w:rPr>
        <w:fldChar w:fldCharType="begin"/>
      </w:r>
      <w:r>
        <w:rPr>
          <w:rStyle w:val="18"/>
          <w:rFonts w:ascii="Times New Roman" w:hAnsi="Times New Roman"/>
          <w:color w:val="auto"/>
          <w:sz w:val="18"/>
          <w:szCs w:val="18"/>
          <w:u w:val="none"/>
        </w:rPr>
        <w:instrText xml:space="preserve"> PAGEREF _Toc4340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48</w:t>
      </w:r>
      <w:r>
        <w:rPr>
          <w:rStyle w:val="18"/>
        </w:rPr>
        <w:fldChar w:fldCharType="end"/>
      </w:r>
      <w:r>
        <w:rPr>
          <w:rStyle w:val="18"/>
        </w:rPr>
        <w:fldChar w:fldCharType="end"/>
      </w:r>
    </w:p>
    <w:p w14:paraId="04F8CBF7">
      <w:pPr>
        <w:pStyle w:val="11"/>
        <w:widowControl/>
        <w:tabs>
          <w:tab w:val="right" w:leader="dot" w:pos="8400"/>
        </w:tabs>
        <w:rPr>
          <w:rFonts w:ascii="Times New Roman" w:hAnsi="Times New Roman" w:eastAsia="Helvetica"/>
          <w:color w:val="1F2328"/>
          <w:szCs w:val="21"/>
          <w:shd w:val="clear" w:color="auto" w:fill="FFFFFF"/>
        </w:rPr>
      </w:pPr>
      <w:r>
        <w:fldChar w:fldCharType="begin"/>
      </w:r>
      <w:r>
        <w:instrText xml:space="preserve"> HYPERLINK </w:instrText>
      </w:r>
      <w:r>
        <w:fldChar w:fldCharType="separate"/>
      </w:r>
      <w:r>
        <w:rPr>
          <w:rStyle w:val="18"/>
          <w:rFonts w:ascii="Times New Roman" w:hAnsi="Times New Roman" w:eastAsia="Helvetica"/>
          <w:color w:val="1F2328"/>
          <w:szCs w:val="21"/>
          <w:u w:val="none"/>
          <w:shd w:val="clear" w:color="auto" w:fill="FFFFFF"/>
        </w:rPr>
        <w:t xml:space="preserve">Appendix A </w:t>
      </w:r>
      <w:r>
        <w:rPr>
          <w:rStyle w:val="18"/>
          <w:rFonts w:ascii="Times New Roman" w:hAnsi="Times New Roman"/>
          <w:color w:val="1F2328"/>
          <w:szCs w:val="21"/>
          <w:u w:val="none"/>
          <w:shd w:val="clear" w:color="auto" w:fill="FFFFFF"/>
        </w:rPr>
        <w:t xml:space="preserve"> A</w:t>
      </w:r>
      <w:r>
        <w:rPr>
          <w:rStyle w:val="18"/>
          <w:rFonts w:ascii="Times New Roman" w:hAnsi="Times New Roman" w:eastAsia="Helvetica"/>
          <w:color w:val="1F2328"/>
          <w:szCs w:val="21"/>
          <w:u w:val="none"/>
          <w:shd w:val="clear" w:color="auto" w:fill="FFFFFF"/>
        </w:rPr>
        <w:t xml:space="preserve">nnual </w:t>
      </w:r>
      <w:r>
        <w:rPr>
          <w:rStyle w:val="18"/>
          <w:rFonts w:ascii="Times New Roman" w:hAnsi="Times New Roman"/>
          <w:color w:val="1F2328"/>
          <w:szCs w:val="21"/>
          <w:u w:val="none"/>
          <w:shd w:val="clear" w:color="auto" w:fill="FFFFFF"/>
        </w:rPr>
        <w:t>c</w:t>
      </w:r>
      <w:r>
        <w:rPr>
          <w:rStyle w:val="18"/>
          <w:rFonts w:ascii="Times New Roman" w:hAnsi="Times New Roman" w:eastAsia="Helvetica"/>
          <w:color w:val="1F2328"/>
          <w:szCs w:val="21"/>
          <w:u w:val="none"/>
          <w:shd w:val="clear" w:color="auto" w:fill="FFFFFF"/>
        </w:rPr>
        <w:t xml:space="preserve">ooling </w:t>
      </w:r>
      <w:r>
        <w:rPr>
          <w:rStyle w:val="18"/>
          <w:rFonts w:ascii="Times New Roman" w:hAnsi="Times New Roman"/>
          <w:color w:val="1F2328"/>
          <w:szCs w:val="21"/>
          <w:u w:val="none"/>
          <w:shd w:val="clear" w:color="auto" w:fill="FFFFFF"/>
        </w:rPr>
        <w:t>l</w:t>
      </w:r>
      <w:r>
        <w:rPr>
          <w:rStyle w:val="18"/>
          <w:rFonts w:ascii="Times New Roman" w:hAnsi="Times New Roman" w:eastAsia="Helvetica"/>
          <w:color w:val="1F2328"/>
          <w:szCs w:val="21"/>
          <w:u w:val="none"/>
          <w:shd w:val="clear" w:color="auto" w:fill="FFFFFF"/>
        </w:rPr>
        <w:t xml:space="preserve">oad </w:t>
      </w:r>
      <w:r>
        <w:rPr>
          <w:rStyle w:val="18"/>
          <w:rFonts w:ascii="Times New Roman" w:hAnsi="Times New Roman"/>
          <w:color w:val="1F2328"/>
          <w:szCs w:val="21"/>
          <w:u w:val="none"/>
          <w:shd w:val="clear" w:color="auto" w:fill="FFFFFF"/>
        </w:rPr>
        <w:t>e</w:t>
      </w:r>
      <w:r>
        <w:rPr>
          <w:rStyle w:val="18"/>
          <w:rFonts w:ascii="Times New Roman" w:hAnsi="Times New Roman" w:eastAsia="Helvetica"/>
          <w:color w:val="1F2328"/>
          <w:szCs w:val="21"/>
          <w:u w:val="none"/>
          <w:shd w:val="clear" w:color="auto" w:fill="FFFFFF"/>
        </w:rPr>
        <w:t xml:space="preserve">ndices for </w:t>
      </w:r>
      <w:r>
        <w:rPr>
          <w:rStyle w:val="18"/>
          <w:rFonts w:ascii="Times New Roman" w:hAnsi="Times New Roman"/>
          <w:color w:val="1F2328"/>
          <w:szCs w:val="21"/>
          <w:u w:val="none"/>
          <w:shd w:val="clear" w:color="auto" w:fill="FFFFFF"/>
        </w:rPr>
        <w:t>r</w:t>
      </w:r>
      <w:r>
        <w:rPr>
          <w:rStyle w:val="18"/>
          <w:rFonts w:ascii="Times New Roman" w:hAnsi="Times New Roman" w:eastAsia="Helvetica"/>
          <w:color w:val="1F2328"/>
          <w:szCs w:val="21"/>
          <w:u w:val="none"/>
          <w:shd w:val="clear" w:color="auto" w:fill="FFFFFF"/>
        </w:rPr>
        <w:t xml:space="preserve">epresentative </w:t>
      </w:r>
      <w:r>
        <w:rPr>
          <w:rStyle w:val="18"/>
          <w:rFonts w:ascii="Times New Roman" w:hAnsi="Times New Roman"/>
          <w:color w:val="1F2328"/>
          <w:szCs w:val="21"/>
          <w:u w:val="none"/>
          <w:shd w:val="clear" w:color="auto" w:fill="FFFFFF"/>
        </w:rPr>
        <w:t>c</w:t>
      </w:r>
      <w:r>
        <w:rPr>
          <w:rStyle w:val="18"/>
          <w:rFonts w:ascii="Times New Roman" w:hAnsi="Times New Roman" w:eastAsia="Helvetica"/>
          <w:color w:val="1F2328"/>
          <w:szCs w:val="21"/>
          <w:u w:val="none"/>
          <w:shd w:val="clear" w:color="auto" w:fill="FFFFFF"/>
        </w:rPr>
        <w:t>ities</w:t>
      </w:r>
      <w:r>
        <w:rPr>
          <w:rStyle w:val="18"/>
          <w:rFonts w:ascii="Times New Roman" w:hAnsi="Times New Roman" w:eastAsia="Helvetica"/>
          <w:color w:val="1F2328"/>
          <w:szCs w:val="21"/>
          <w:u w:val="none"/>
          <w:shd w:val="clear" w:color="auto" w:fill="FFFFFF"/>
        </w:rPr>
        <w:tab/>
      </w:r>
      <w:r>
        <w:rPr>
          <w:rStyle w:val="18"/>
        </w:rPr>
        <w:fldChar w:fldCharType="begin"/>
      </w:r>
      <w:r>
        <w:rPr>
          <w:rStyle w:val="18"/>
          <w:rFonts w:ascii="Times New Roman" w:hAnsi="Times New Roman"/>
          <w:color w:val="auto"/>
          <w:sz w:val="18"/>
          <w:szCs w:val="18"/>
          <w:u w:val="none"/>
        </w:rPr>
        <w:instrText xml:space="preserve"> PAGEREF _Toc28696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59</w:t>
      </w:r>
      <w:r>
        <w:rPr>
          <w:rStyle w:val="18"/>
        </w:rPr>
        <w:fldChar w:fldCharType="end"/>
      </w:r>
      <w:r>
        <w:rPr>
          <w:rStyle w:val="18"/>
        </w:rPr>
        <w:fldChar w:fldCharType="end"/>
      </w:r>
    </w:p>
    <w:p w14:paraId="57B56353">
      <w:pPr>
        <w:pStyle w:val="11"/>
        <w:widowControl/>
        <w:tabs>
          <w:tab w:val="right" w:leader="dot" w:pos="8400"/>
        </w:tabs>
      </w:pPr>
      <w:r>
        <w:fldChar w:fldCharType="begin"/>
      </w:r>
      <w:r>
        <w:instrText xml:space="preserve"> HYPERLINK "file:///C:/Users/18701/Desktop/工作/02协会工作/03标准/挂网/《超低能耗居住建筑节能设计标准》/《超低能耗居住建筑节能设计标准》征求意见稿（条文说明邻正文）20240417(2).wps" \l "_Toc338" </w:instrText>
      </w:r>
      <w:r>
        <w:fldChar w:fldCharType="separate"/>
      </w:r>
      <w:r>
        <w:rPr>
          <w:rStyle w:val="18"/>
          <w:rFonts w:ascii="Times New Roman" w:hAnsi="Times New Roman" w:eastAsia="Helvetica"/>
          <w:color w:val="1F2328"/>
          <w:szCs w:val="21"/>
          <w:u w:val="none"/>
          <w:shd w:val="clear" w:color="auto" w:fill="FFFFFF"/>
        </w:rPr>
        <w:t xml:space="preserve">Appendix B </w:t>
      </w:r>
      <w:r>
        <w:rPr>
          <w:rStyle w:val="18"/>
          <w:rFonts w:ascii="Times New Roman" w:hAnsi="Times New Roman"/>
          <w:color w:val="1F2328"/>
          <w:szCs w:val="21"/>
          <w:u w:val="none"/>
          <w:shd w:val="clear" w:color="auto" w:fill="FFFFFF"/>
        </w:rPr>
        <w:t xml:space="preserve"> </w:t>
      </w:r>
      <w:r>
        <w:rPr>
          <w:rStyle w:val="18"/>
          <w:rFonts w:ascii="Times New Roman" w:hAnsi="Times New Roman" w:eastAsia="Helvetica"/>
          <w:color w:val="1F2328"/>
          <w:szCs w:val="21"/>
          <w:u w:val="none"/>
          <w:shd w:val="clear" w:color="auto" w:fill="FFFFFF"/>
        </w:rPr>
        <w:t xml:space="preserve">Adjustment </w:t>
      </w:r>
      <w:r>
        <w:rPr>
          <w:rStyle w:val="18"/>
          <w:rFonts w:ascii="Times New Roman" w:hAnsi="Times New Roman"/>
          <w:color w:val="1F2328"/>
          <w:szCs w:val="21"/>
          <w:u w:val="none"/>
          <w:shd w:val="clear" w:color="auto" w:fill="FFFFFF"/>
        </w:rPr>
        <w:t>r</w:t>
      </w:r>
      <w:r>
        <w:rPr>
          <w:rStyle w:val="18"/>
          <w:rFonts w:ascii="Times New Roman" w:hAnsi="Times New Roman" w:eastAsia="Helvetica"/>
          <w:color w:val="1F2328"/>
          <w:szCs w:val="21"/>
          <w:u w:val="none"/>
          <w:shd w:val="clear" w:color="auto" w:fill="FFFFFF"/>
        </w:rPr>
        <w:t xml:space="preserve">equirements for </w:t>
      </w:r>
      <w:r>
        <w:rPr>
          <w:rStyle w:val="18"/>
          <w:rFonts w:ascii="Times New Roman" w:hAnsi="Times New Roman"/>
          <w:color w:val="1F2328"/>
          <w:szCs w:val="21"/>
          <w:u w:val="none"/>
          <w:shd w:val="clear" w:color="auto" w:fill="FFFFFF"/>
        </w:rPr>
        <w:t>i</w:t>
      </w:r>
      <w:r>
        <w:rPr>
          <w:rStyle w:val="18"/>
          <w:rFonts w:ascii="Times New Roman" w:hAnsi="Times New Roman" w:eastAsia="Helvetica"/>
          <w:color w:val="1F2328"/>
          <w:szCs w:val="21"/>
          <w:u w:val="none"/>
          <w:shd w:val="clear" w:color="auto" w:fill="FFFFFF"/>
        </w:rPr>
        <w:t xml:space="preserve">nsulation </w:t>
      </w:r>
      <w:r>
        <w:rPr>
          <w:rStyle w:val="18"/>
          <w:rFonts w:ascii="Times New Roman" w:hAnsi="Times New Roman"/>
          <w:color w:val="1F2328"/>
          <w:szCs w:val="21"/>
          <w:u w:val="none"/>
          <w:shd w:val="clear" w:color="auto" w:fill="FFFFFF"/>
        </w:rPr>
        <w:t>m</w:t>
      </w:r>
      <w:r>
        <w:rPr>
          <w:rStyle w:val="18"/>
          <w:rFonts w:ascii="Times New Roman" w:hAnsi="Times New Roman" w:eastAsia="Helvetica"/>
          <w:color w:val="1F2328"/>
          <w:szCs w:val="21"/>
          <w:u w:val="none"/>
          <w:shd w:val="clear" w:color="auto" w:fill="FFFFFF"/>
        </w:rPr>
        <w:t xml:space="preserve">aterial </w:t>
      </w:r>
      <w:r>
        <w:rPr>
          <w:rStyle w:val="18"/>
          <w:rFonts w:ascii="Times New Roman" w:hAnsi="Times New Roman"/>
          <w:color w:val="1F2328"/>
          <w:szCs w:val="21"/>
          <w:u w:val="none"/>
          <w:shd w:val="clear" w:color="auto" w:fill="FFFFFF"/>
        </w:rPr>
        <w:t>c</w:t>
      </w:r>
      <w:r>
        <w:rPr>
          <w:rStyle w:val="18"/>
          <w:rFonts w:ascii="Times New Roman" w:hAnsi="Times New Roman" w:eastAsia="Helvetica"/>
          <w:color w:val="1F2328"/>
          <w:szCs w:val="21"/>
          <w:u w:val="none"/>
          <w:shd w:val="clear" w:color="auto" w:fill="FFFFFF"/>
        </w:rPr>
        <w:t xml:space="preserve">orrection </w:t>
      </w:r>
      <w:r>
        <w:rPr>
          <w:rStyle w:val="18"/>
          <w:rFonts w:ascii="Times New Roman" w:hAnsi="Times New Roman"/>
          <w:color w:val="1F2328"/>
          <w:szCs w:val="21"/>
          <w:u w:val="none"/>
          <w:shd w:val="clear" w:color="auto" w:fill="FFFFFF"/>
        </w:rPr>
        <w:t>c</w:t>
      </w:r>
      <w:r>
        <w:rPr>
          <w:rStyle w:val="18"/>
          <w:rFonts w:ascii="Times New Roman" w:hAnsi="Times New Roman" w:eastAsia="Helvetica"/>
          <w:color w:val="1F2328"/>
          <w:szCs w:val="21"/>
          <w:u w:val="none"/>
          <w:shd w:val="clear" w:color="auto" w:fill="FFFFFF"/>
        </w:rPr>
        <w:t>oefficients</w:t>
      </w:r>
      <w:r>
        <w:rPr>
          <w:rStyle w:val="18"/>
          <w:color w:val="auto"/>
          <w:u w:val="none"/>
        </w:rPr>
        <w:tab/>
      </w:r>
      <w:r>
        <w:rPr>
          <w:rStyle w:val="18"/>
        </w:rPr>
        <w:fldChar w:fldCharType="begin"/>
      </w:r>
      <w:r>
        <w:rPr>
          <w:rStyle w:val="18"/>
          <w:rFonts w:ascii="Times New Roman" w:hAnsi="Times New Roman"/>
          <w:color w:val="auto"/>
          <w:sz w:val="18"/>
          <w:szCs w:val="18"/>
          <w:u w:val="none"/>
        </w:rPr>
        <w:instrText xml:space="preserve"> PAGEREF _Toc338 \h </w:instrText>
      </w:r>
      <w:r>
        <w:rPr>
          <w:rStyle w:val="18"/>
          <w:rFonts w:ascii="Times New Roman" w:hAnsi="Times New Roman"/>
          <w:color w:val="auto"/>
          <w:sz w:val="18"/>
          <w:szCs w:val="18"/>
          <w:u w:val="none"/>
        </w:rPr>
        <w:fldChar w:fldCharType="separate"/>
      </w:r>
      <w:r>
        <w:rPr>
          <w:rStyle w:val="18"/>
          <w:rFonts w:ascii="Times New Roman" w:hAnsi="Times New Roman"/>
          <w:color w:val="auto"/>
          <w:sz w:val="18"/>
          <w:szCs w:val="18"/>
          <w:u w:val="none"/>
        </w:rPr>
        <w:t>61</w:t>
      </w:r>
      <w:r>
        <w:rPr>
          <w:rStyle w:val="18"/>
        </w:rPr>
        <w:fldChar w:fldCharType="end"/>
      </w:r>
      <w:r>
        <w:rPr>
          <w:rStyle w:val="18"/>
        </w:rPr>
        <w:fldChar w:fldCharType="end"/>
      </w:r>
    </w:p>
    <w:p w14:paraId="64B04184">
      <w:r>
        <w:rPr>
          <w:rFonts w:ascii="Calibri" w:hAnsi="Calibri" w:eastAsia="宋体" w:cs="Times New Roman"/>
          <w:lang w:bidi="ar"/>
        </w:rPr>
        <w:fldChar w:fldCharType="end"/>
      </w:r>
    </w:p>
    <w:p w14:paraId="2341F6F6">
      <w:pPr>
        <w:spacing w:line="360" w:lineRule="auto"/>
        <w:rPr>
          <w:rFonts w:ascii="Times New Roman" w:hAnsi="Times New Roman" w:eastAsia="宋体" w:cs="Times New Roman"/>
          <w:sz w:val="30"/>
          <w:lang w:bidi="ar"/>
        </w:rPr>
        <w:sectPr>
          <w:pgSz w:w="11906" w:h="16838"/>
          <w:pgMar w:top="1440" w:right="1706" w:bottom="1440" w:left="1800" w:header="851" w:footer="992" w:gutter="0"/>
          <w:pgNumType w:start="2"/>
          <w:cols w:space="425" w:num="1"/>
          <w:docGrid w:type="lines" w:linePitch="312" w:charSpace="0"/>
        </w:sectPr>
      </w:pPr>
    </w:p>
    <w:p w14:paraId="7BA1FF89">
      <w:pPr>
        <w:pStyle w:val="2"/>
        <w:widowControl/>
      </w:pPr>
      <w:bookmarkStart w:id="2" w:name="_Toc13981"/>
      <w:bookmarkStart w:id="3" w:name="_Toc13972"/>
      <w:bookmarkStart w:id="4" w:name="_Toc2097"/>
      <w:bookmarkStart w:id="5" w:name="_Toc24880"/>
      <w:r>
        <w:t xml:space="preserve">1  </w:t>
      </w:r>
      <w:r>
        <w:rPr>
          <w:rFonts w:hint="eastAsia" w:cs="宋体"/>
        </w:rPr>
        <w:t>总</w:t>
      </w:r>
      <w:r>
        <w:t xml:space="preserve"> </w:t>
      </w:r>
      <w:r>
        <w:rPr>
          <w:rFonts w:hint="eastAsia" w:cs="宋体"/>
        </w:rPr>
        <w:t>则</w:t>
      </w:r>
      <w:bookmarkEnd w:id="0"/>
      <w:bookmarkEnd w:id="1"/>
      <w:bookmarkEnd w:id="2"/>
      <w:bookmarkEnd w:id="3"/>
      <w:bookmarkEnd w:id="4"/>
      <w:bookmarkEnd w:id="5"/>
    </w:p>
    <w:p w14:paraId="10D521FC">
      <w:pPr>
        <w:pStyle w:val="27"/>
        <w:widowControl/>
        <w:rPr>
          <w:rFonts w:hint="default"/>
          <w:szCs w:val="24"/>
        </w:rPr>
      </w:pPr>
      <w:r>
        <w:rPr>
          <w:rFonts w:hint="default" w:ascii="Times New Roman" w:hAnsi="Times New Roman"/>
          <w:b/>
          <w:bCs/>
          <w:szCs w:val="24"/>
        </w:rPr>
        <w:t xml:space="preserve">1.0.1  </w:t>
      </w:r>
      <w:r>
        <w:rPr>
          <w:szCs w:val="24"/>
        </w:rPr>
        <w:t>为</w:t>
      </w:r>
      <w:r>
        <w:rPr>
          <w:szCs w:val="24"/>
          <w:lang w:bidi="ar"/>
        </w:rPr>
        <w:t>降低居住建筑能耗</w:t>
      </w:r>
      <w:r>
        <w:rPr>
          <w:szCs w:val="24"/>
        </w:rPr>
        <w:t>，提升居住建筑品质，规范超低能耗居住建筑节能设计，特制定本标准。</w:t>
      </w:r>
    </w:p>
    <w:p w14:paraId="5B8573B9">
      <w:pPr>
        <w:pStyle w:val="7"/>
        <w:widowControl/>
        <w:adjustRightInd w:val="0"/>
        <w:snapToGrid w:val="0"/>
        <w:spacing w:line="312" w:lineRule="auto"/>
        <w:rPr>
          <w:rFonts w:hint="default"/>
        </w:rPr>
      </w:pPr>
      <w:r>
        <w:rPr>
          <w:b/>
          <w:bCs/>
          <w:color w:val="8FAADB"/>
          <w:sz w:val="24"/>
          <w:szCs w:val="24"/>
        </w:rPr>
        <w:t>【条文说明】</w:t>
      </w:r>
      <w:r>
        <w:rPr>
          <w:color w:val="8FAADB"/>
          <w:sz w:val="24"/>
          <w:szCs w:val="24"/>
        </w:rPr>
        <w:t>降低居住建筑能耗是本标准的核心目标之一，旨在通过科学合理的节能设计，减少建筑在全生命周期内对能源的消耗，尤其是对非可再生能源的依赖。此外，提升居住建筑品质同样是本标准的重要关切。节能设计不仅有助于节约资源，还能改善建筑的室内环境质量，如提高舒适度、增强健康性、减少噪声污染等，从而提升居民的生活质量。</w:t>
      </w:r>
    </w:p>
    <w:p w14:paraId="29B55C5F">
      <w:pPr>
        <w:pStyle w:val="27"/>
        <w:widowControl/>
        <w:rPr>
          <w:rFonts w:hint="default"/>
          <w:szCs w:val="24"/>
        </w:rPr>
      </w:pPr>
      <w:r>
        <w:rPr>
          <w:rFonts w:hint="default" w:ascii="Times New Roman" w:hAnsi="Times New Roman"/>
          <w:b/>
          <w:bCs/>
          <w:szCs w:val="24"/>
        </w:rPr>
        <w:t xml:space="preserve">1.0.2  </w:t>
      </w:r>
      <w:r>
        <w:rPr>
          <w:szCs w:val="24"/>
        </w:rPr>
        <w:t>本标准适用于新建、扩建和改建的超低能耗居住建筑节能设计。</w:t>
      </w:r>
    </w:p>
    <w:p w14:paraId="2DA56C06">
      <w:pPr>
        <w:pStyle w:val="7"/>
        <w:widowControl/>
        <w:adjustRightInd w:val="0"/>
        <w:snapToGrid w:val="0"/>
        <w:spacing w:line="312" w:lineRule="auto"/>
        <w:rPr>
          <w:rFonts w:hint="default"/>
        </w:rPr>
      </w:pPr>
      <w:r>
        <w:rPr>
          <w:b/>
          <w:bCs/>
          <w:color w:val="8FAADB"/>
          <w:sz w:val="24"/>
          <w:szCs w:val="24"/>
        </w:rPr>
        <w:t>【条文说明】</w:t>
      </w:r>
      <w:r>
        <w:rPr>
          <w:color w:val="8FAADB"/>
          <w:sz w:val="24"/>
          <w:szCs w:val="24"/>
        </w:rPr>
        <w:t>本标准不仅适用于新建的超低能耗居住建筑项目，对于已存在的建筑进行规模扩大或功能扩展的项目，只要其扩建部分按照超低能耗居住建筑的标准进行设计，也应遵循本标准。对既有居住建筑进行节能改造以达到超低能耗标准的项目，同样适用本标准。改建设计需结合原有建筑条件，采用适宜的节能技术措施，如外墙保温、门窗系统升级、高效热回收通风系统安装等，使改建后的建筑符合超低能耗建筑的各项指标要求。</w:t>
      </w:r>
    </w:p>
    <w:p w14:paraId="3E2DEEE8">
      <w:pPr>
        <w:pStyle w:val="27"/>
        <w:widowControl/>
        <w:rPr>
          <w:rFonts w:hint="default"/>
          <w:szCs w:val="24"/>
        </w:rPr>
      </w:pPr>
      <w:r>
        <w:rPr>
          <w:rFonts w:hint="default" w:ascii="Times New Roman" w:hAnsi="Times New Roman"/>
          <w:b/>
          <w:bCs/>
          <w:szCs w:val="24"/>
        </w:rPr>
        <w:t xml:space="preserve">1.0.3  </w:t>
      </w:r>
      <w:r>
        <w:rPr>
          <w:szCs w:val="24"/>
        </w:rPr>
        <w:t>超低能耗居住建筑设计除应符合本标准外，尚应符合国家现行有关标准和现行中国工程建设标准化协会有关标准的规定。</w:t>
      </w:r>
    </w:p>
    <w:p w14:paraId="03331420">
      <w:pPr>
        <w:pStyle w:val="2"/>
        <w:widowControl/>
      </w:pPr>
      <w:r>
        <w:rPr>
          <w:lang w:bidi="ar"/>
        </w:rPr>
        <w:br w:type="page"/>
      </w:r>
      <w:bookmarkStart w:id="6" w:name="_Toc7913"/>
      <w:bookmarkStart w:id="7" w:name="_Toc12299"/>
      <w:bookmarkStart w:id="8" w:name="_Toc5216"/>
      <w:bookmarkStart w:id="9" w:name="_Toc7453"/>
      <w:bookmarkStart w:id="10" w:name="_Toc6358"/>
      <w:bookmarkStart w:id="11" w:name="_Toc27718"/>
      <w:bookmarkStart w:id="12" w:name="_Toc16215"/>
      <w:bookmarkStart w:id="13" w:name="_Toc14895"/>
      <w:r>
        <w:rPr>
          <w:rStyle w:val="22"/>
          <w:rFonts w:ascii="Times New Roman" w:hAnsi="Times New Roman" w:cs="Times New Roman"/>
          <w:b w:val="0"/>
        </w:rPr>
        <w:t>2</w:t>
      </w:r>
      <w:r>
        <w:rPr>
          <w:rStyle w:val="22"/>
          <w:rFonts w:cs="Times New Roman"/>
          <w:b w:val="0"/>
        </w:rPr>
        <w:t xml:space="preserve">  </w:t>
      </w:r>
      <w:r>
        <w:rPr>
          <w:rStyle w:val="22"/>
          <w:rFonts w:hint="eastAsia" w:cs="Times New Roman"/>
          <w:b w:val="0"/>
        </w:rPr>
        <w:t>术</w:t>
      </w:r>
      <w:r>
        <w:rPr>
          <w:rStyle w:val="22"/>
          <w:rFonts w:cs="Times New Roman"/>
          <w:b w:val="0"/>
        </w:rPr>
        <w:t xml:space="preserve"> </w:t>
      </w:r>
      <w:r>
        <w:rPr>
          <w:rStyle w:val="22"/>
          <w:rFonts w:hint="eastAsia" w:cs="Times New Roman"/>
          <w:b w:val="0"/>
        </w:rPr>
        <w:t>语</w:t>
      </w:r>
      <w:bookmarkEnd w:id="6"/>
      <w:bookmarkEnd w:id="7"/>
      <w:bookmarkEnd w:id="8"/>
      <w:bookmarkEnd w:id="9"/>
      <w:bookmarkEnd w:id="10"/>
      <w:bookmarkEnd w:id="11"/>
      <w:bookmarkEnd w:id="12"/>
      <w:bookmarkEnd w:id="13"/>
    </w:p>
    <w:p w14:paraId="5997BAEF">
      <w:pPr>
        <w:pStyle w:val="27"/>
        <w:widowControl/>
        <w:rPr>
          <w:rFonts w:hint="default"/>
          <w:szCs w:val="24"/>
        </w:rPr>
      </w:pPr>
      <w:bookmarkStart w:id="14" w:name="_Toc17760"/>
      <w:r>
        <w:rPr>
          <w:rFonts w:hint="default" w:ascii="Times New Roman" w:hAnsi="Times New Roman"/>
          <w:b/>
          <w:bCs/>
          <w:szCs w:val="24"/>
        </w:rPr>
        <w:t xml:space="preserve">2.0.1  </w:t>
      </w:r>
      <w:r>
        <w:rPr>
          <w:szCs w:val="24"/>
        </w:rPr>
        <w:t>超低能耗居住建筑</w:t>
      </w:r>
      <w:bookmarkEnd w:id="14"/>
      <w:r>
        <w:rPr>
          <w:szCs w:val="24"/>
        </w:rPr>
        <w:t xml:space="preserve">    </w:t>
      </w:r>
      <w:r>
        <w:rPr>
          <w:rFonts w:hint="default" w:ascii="Times New Roman" w:hAnsi="Times New Roman"/>
          <w:szCs w:val="24"/>
        </w:rPr>
        <w:t>ultra-Low energy residential building</w:t>
      </w:r>
    </w:p>
    <w:p w14:paraId="2CEB3C38">
      <w:pPr>
        <w:pStyle w:val="27"/>
        <w:widowControl/>
        <w:ind w:firstLine="480" w:firstLineChars="200"/>
        <w:rPr>
          <w:rFonts w:hint="default"/>
          <w:b/>
          <w:bCs/>
          <w:color w:val="8FAADB"/>
          <w:szCs w:val="24"/>
        </w:rPr>
      </w:pPr>
      <w:r>
        <w:rPr>
          <w:szCs w:val="24"/>
        </w:rPr>
        <w:t>适应特定气候特征和场地条件，通过被动式建筑设计最大幅度降低建筑供暖、空调、照明需求，通过主动技术措施最大幅度提高能源设备与系统效率，充分利用可再生能源，以最少的能源消耗提供舒适室内环境，且其室内环境参数和能效指标符合本标准规定的居住建筑。</w:t>
      </w:r>
    </w:p>
    <w:p w14:paraId="5771EF35">
      <w:pPr>
        <w:pStyle w:val="27"/>
        <w:widowControl/>
        <w:spacing w:line="26" w:lineRule="atLeast"/>
        <w:rPr>
          <w:rFonts w:hint="default"/>
          <w:color w:val="8FAADB"/>
          <w:szCs w:val="24"/>
        </w:rPr>
      </w:pPr>
      <w:r>
        <w:rPr>
          <w:b/>
          <w:bCs/>
          <w:color w:val="8FAADB"/>
          <w:szCs w:val="24"/>
        </w:rPr>
        <w:t>【条文说明】</w:t>
      </w:r>
      <w:r>
        <w:rPr>
          <w:color w:val="8FAADB"/>
          <w:szCs w:val="24"/>
        </w:rPr>
        <w:t>超低能耗居住建筑是以严格控制能耗为设计目标，首先通过被动式建筑设计手段大幅降低建筑的用能需求，提升建筑用能系统的运行效率，从而降低整体能耗。在此基础上，进一步利用可再生能源，以实现超低能耗运营。在满足严格的能耗控制目标的同时，超低能耗居住建筑的室内环境参数须达到较高的热舒适标准，即，满足本标准规定的室内环境参数，确保为居住者提供健康、舒适的室内环境，这是超低能耗居住建筑的基本前提。</w:t>
      </w:r>
    </w:p>
    <w:p w14:paraId="48F2AD4E">
      <w:pPr>
        <w:pStyle w:val="13"/>
        <w:widowControl/>
        <w:shd w:val="clear" w:color="auto" w:fill="FFFFFF"/>
        <w:adjustRightInd w:val="0"/>
        <w:snapToGrid w:val="0"/>
        <w:spacing w:beforeAutospacing="0" w:afterAutospacing="0" w:line="26" w:lineRule="atLeast"/>
        <w:ind w:firstLine="480" w:firstLineChars="200"/>
        <w:rPr>
          <w:color w:val="8FAADB"/>
          <w:shd w:val="clear" w:color="auto" w:fill="FFFFFF"/>
        </w:rPr>
      </w:pPr>
      <w:r>
        <w:rPr>
          <w:rFonts w:hint="eastAsia" w:cs="宋体"/>
          <w:color w:val="8FAADB"/>
          <w:shd w:val="clear" w:color="auto" w:fill="FFFFFF"/>
        </w:rPr>
        <w:t>超低能耗居住建筑主要技术特征体现在以下六个方面：</w:t>
      </w:r>
    </w:p>
    <w:p w14:paraId="20EF5624">
      <w:pPr>
        <w:pStyle w:val="13"/>
        <w:widowControl/>
        <w:shd w:val="clear" w:color="auto" w:fill="FFFFFF"/>
        <w:adjustRightInd w:val="0"/>
        <w:snapToGrid w:val="0"/>
        <w:spacing w:beforeAutospacing="0" w:afterAutospacing="0" w:line="26" w:lineRule="atLeast"/>
        <w:ind w:firstLine="480" w:firstLineChars="200"/>
        <w:rPr>
          <w:color w:val="8FAADB"/>
          <w:shd w:val="clear" w:color="auto" w:fill="FFFFFF"/>
        </w:rPr>
      </w:pPr>
      <w:r>
        <w:rPr>
          <w:color w:val="8FAADB"/>
          <w:shd w:val="clear" w:color="auto" w:fill="FFFFFF"/>
        </w:rPr>
        <w:t xml:space="preserve">1  </w:t>
      </w:r>
      <w:r>
        <w:rPr>
          <w:rFonts w:hint="eastAsia" w:cs="宋体"/>
          <w:color w:val="8FAADB"/>
          <w:shd w:val="clear" w:color="auto" w:fill="FFFFFF"/>
        </w:rPr>
        <w:t>保温隔热性能更高的非透明围护结构；</w:t>
      </w:r>
    </w:p>
    <w:p w14:paraId="18C85D86">
      <w:pPr>
        <w:pStyle w:val="13"/>
        <w:widowControl/>
        <w:shd w:val="clear" w:color="auto" w:fill="FFFFFF"/>
        <w:adjustRightInd w:val="0"/>
        <w:snapToGrid w:val="0"/>
        <w:spacing w:beforeAutospacing="0" w:afterAutospacing="0" w:line="26" w:lineRule="atLeast"/>
        <w:ind w:firstLine="480" w:firstLineChars="200"/>
        <w:rPr>
          <w:color w:val="8FAADB"/>
          <w:shd w:val="clear" w:color="auto" w:fill="FFFFFF"/>
        </w:rPr>
      </w:pPr>
      <w:r>
        <w:rPr>
          <w:color w:val="8FAADB"/>
          <w:shd w:val="clear" w:color="auto" w:fill="FFFFFF"/>
        </w:rPr>
        <w:t xml:space="preserve">2  </w:t>
      </w:r>
      <w:r>
        <w:rPr>
          <w:rFonts w:hint="eastAsia" w:cs="宋体"/>
          <w:color w:val="8FAADB"/>
          <w:shd w:val="clear" w:color="auto" w:fill="FFFFFF"/>
        </w:rPr>
        <w:t>保温隔热性能和气密性能更高的外窗；</w:t>
      </w:r>
    </w:p>
    <w:p w14:paraId="59B8AB3B">
      <w:pPr>
        <w:pStyle w:val="13"/>
        <w:widowControl/>
        <w:shd w:val="clear" w:color="auto" w:fill="FFFFFF"/>
        <w:adjustRightInd w:val="0"/>
        <w:snapToGrid w:val="0"/>
        <w:spacing w:beforeAutospacing="0" w:afterAutospacing="0" w:line="26" w:lineRule="atLeast"/>
        <w:ind w:firstLine="480" w:firstLineChars="200"/>
        <w:rPr>
          <w:color w:val="8FAADB"/>
          <w:shd w:val="clear" w:color="auto" w:fill="FFFFFF"/>
        </w:rPr>
      </w:pPr>
      <w:r>
        <w:rPr>
          <w:color w:val="8FAADB"/>
          <w:shd w:val="clear" w:color="auto" w:fill="FFFFFF"/>
        </w:rPr>
        <w:t xml:space="preserve">3  </w:t>
      </w:r>
      <w:r>
        <w:rPr>
          <w:rFonts w:hint="eastAsia" w:cs="宋体"/>
          <w:color w:val="8FAADB"/>
          <w:shd w:val="clear" w:color="auto" w:fill="FFFFFF"/>
        </w:rPr>
        <w:t>无（极少）热桥的设计与施工；</w:t>
      </w:r>
    </w:p>
    <w:p w14:paraId="1C8DD033">
      <w:pPr>
        <w:pStyle w:val="13"/>
        <w:widowControl/>
        <w:shd w:val="clear" w:color="auto" w:fill="FFFFFF"/>
        <w:adjustRightInd w:val="0"/>
        <w:snapToGrid w:val="0"/>
        <w:spacing w:beforeAutospacing="0" w:afterAutospacing="0" w:line="26" w:lineRule="atLeast"/>
        <w:ind w:firstLine="480" w:firstLineChars="200"/>
        <w:rPr>
          <w:color w:val="8FAADB"/>
          <w:shd w:val="clear" w:color="auto" w:fill="FFFFFF"/>
        </w:rPr>
      </w:pPr>
      <w:r>
        <w:rPr>
          <w:color w:val="8FAADB"/>
          <w:shd w:val="clear" w:color="auto" w:fill="FFFFFF"/>
        </w:rPr>
        <w:t xml:space="preserve">4  </w:t>
      </w:r>
      <w:r>
        <w:rPr>
          <w:rFonts w:hint="eastAsia" w:cs="宋体"/>
          <w:color w:val="8FAADB"/>
          <w:shd w:val="clear" w:color="auto" w:fill="FFFFFF"/>
        </w:rPr>
        <w:t>建筑整体的高气密性；</w:t>
      </w:r>
    </w:p>
    <w:p w14:paraId="0778FF3C">
      <w:pPr>
        <w:pStyle w:val="13"/>
        <w:widowControl/>
        <w:shd w:val="clear" w:color="auto" w:fill="FFFFFF"/>
        <w:adjustRightInd w:val="0"/>
        <w:snapToGrid w:val="0"/>
        <w:spacing w:beforeAutospacing="0" w:afterAutospacing="0" w:line="26" w:lineRule="atLeast"/>
        <w:ind w:firstLine="480" w:firstLineChars="200"/>
        <w:rPr>
          <w:color w:val="8FAADB"/>
          <w:shd w:val="clear" w:color="auto" w:fill="FFFFFF"/>
        </w:rPr>
      </w:pPr>
      <w:r>
        <w:rPr>
          <w:color w:val="8FAADB"/>
          <w:shd w:val="clear" w:color="auto" w:fill="FFFFFF"/>
        </w:rPr>
        <w:t xml:space="preserve">5  </w:t>
      </w:r>
      <w:r>
        <w:rPr>
          <w:rFonts w:hint="eastAsia" w:cs="宋体"/>
          <w:color w:val="8FAADB"/>
          <w:shd w:val="clear" w:color="auto" w:fill="FFFFFF"/>
        </w:rPr>
        <w:t>高效新风热（湿）回收系统；</w:t>
      </w:r>
    </w:p>
    <w:p w14:paraId="47E457F2">
      <w:pPr>
        <w:pStyle w:val="13"/>
        <w:widowControl/>
        <w:shd w:val="clear" w:color="auto" w:fill="FFFFFF"/>
        <w:adjustRightInd w:val="0"/>
        <w:snapToGrid w:val="0"/>
        <w:spacing w:beforeAutospacing="0" w:afterAutospacing="0" w:line="26" w:lineRule="atLeast"/>
        <w:ind w:firstLine="480" w:firstLineChars="200"/>
        <w:rPr>
          <w:color w:val="8FAADB"/>
          <w:shd w:val="clear" w:color="auto" w:fill="FFFFFF"/>
        </w:rPr>
      </w:pPr>
      <w:r>
        <w:rPr>
          <w:color w:val="8FAADB"/>
          <w:shd w:val="clear" w:color="auto" w:fill="FFFFFF"/>
        </w:rPr>
        <w:t xml:space="preserve">6  </w:t>
      </w:r>
      <w:r>
        <w:rPr>
          <w:rFonts w:hint="eastAsia" w:cs="宋体"/>
          <w:color w:val="8FAADB"/>
          <w:shd w:val="clear" w:color="auto" w:fill="FFFFFF"/>
        </w:rPr>
        <w:t>充分利用可再生能源。</w:t>
      </w:r>
    </w:p>
    <w:p w14:paraId="1E0EACC4">
      <w:pPr>
        <w:pStyle w:val="27"/>
        <w:widowControl/>
        <w:spacing w:line="26" w:lineRule="atLeast"/>
        <w:ind w:firstLine="480" w:firstLineChars="200"/>
        <w:rPr>
          <w:rFonts w:hint="default" w:ascii="Calibri" w:hAnsi="Calibri"/>
          <w:color w:val="8FAADB"/>
          <w:kern w:val="0"/>
          <w:szCs w:val="24"/>
          <w:lang w:bidi="ar"/>
        </w:rPr>
      </w:pPr>
      <w:r>
        <w:rPr>
          <w:rFonts w:ascii="Calibri" w:hAnsi="Calibri"/>
          <w:color w:val="8FAADB"/>
          <w:kern w:val="0"/>
          <w:szCs w:val="24"/>
          <w:lang w:bidi="ar"/>
        </w:rPr>
        <w:t>作为对比，超低能耗居住建筑在供暖、空调、照明、生活热水、电梯等主要能耗领域的能耗水平，应至少比行业标准《严寒和寒冷地区居住建筑节能设计标准》</w:t>
      </w:r>
      <w:r>
        <w:rPr>
          <w:rFonts w:hint="default" w:ascii="Times New Roman" w:hAnsi="Times New Roman"/>
          <w:color w:val="8FAADB"/>
          <w:kern w:val="0"/>
          <w:szCs w:val="24"/>
          <w:lang w:bidi="ar"/>
        </w:rPr>
        <w:t>JGJ 26-2010</w:t>
      </w:r>
      <w:r>
        <w:rPr>
          <w:rFonts w:ascii="Calibri" w:hAnsi="Calibri"/>
          <w:color w:val="8FAADB"/>
          <w:kern w:val="0"/>
          <w:szCs w:val="24"/>
          <w:lang w:bidi="ar"/>
        </w:rPr>
        <w:t>、《夏热冬冷地区居住建筑节能设计标准》</w:t>
      </w:r>
      <w:r>
        <w:rPr>
          <w:rFonts w:hint="default" w:ascii="Times New Roman" w:hAnsi="Times New Roman"/>
          <w:color w:val="8FAADB"/>
          <w:kern w:val="0"/>
          <w:szCs w:val="24"/>
          <w:lang w:bidi="ar"/>
        </w:rPr>
        <w:t>JGJ134-2016</w:t>
      </w:r>
      <w:r>
        <w:rPr>
          <w:rFonts w:ascii="Times New Roman" w:hAnsi="Times New Roman"/>
          <w:color w:val="8FAADB"/>
          <w:kern w:val="0"/>
          <w:szCs w:val="24"/>
          <w:lang w:bidi="ar"/>
        </w:rPr>
        <w:t>、</w:t>
      </w:r>
      <w:r>
        <w:rPr>
          <w:rFonts w:ascii="Calibri" w:hAnsi="Calibri"/>
          <w:color w:val="8FAADB"/>
          <w:kern w:val="0"/>
          <w:szCs w:val="24"/>
          <w:lang w:bidi="ar"/>
        </w:rPr>
        <w:t>《夏热冬暖地区居住建筑节能设计标准》</w:t>
      </w:r>
      <w:r>
        <w:rPr>
          <w:rFonts w:hint="default" w:ascii="Times New Roman" w:hAnsi="Times New Roman"/>
          <w:color w:val="8FAADB"/>
          <w:kern w:val="0"/>
          <w:szCs w:val="24"/>
          <w:lang w:bidi="ar"/>
        </w:rPr>
        <w:t>JGJ 75-2012</w:t>
      </w:r>
      <w:r>
        <w:rPr>
          <w:rFonts w:ascii="Calibri" w:hAnsi="Calibri"/>
          <w:color w:val="8FAADB"/>
          <w:kern w:val="0"/>
          <w:szCs w:val="24"/>
          <w:lang w:bidi="ar"/>
        </w:rPr>
        <w:t>的能耗降低</w:t>
      </w:r>
      <w:r>
        <w:rPr>
          <w:rFonts w:hint="default" w:ascii="Times New Roman" w:hAnsi="Times New Roman"/>
          <w:color w:val="8FAADB"/>
          <w:kern w:val="0"/>
          <w:szCs w:val="24"/>
          <w:lang w:bidi="ar"/>
        </w:rPr>
        <w:t>50%</w:t>
      </w:r>
      <w:r>
        <w:rPr>
          <w:rFonts w:ascii="Calibri" w:hAnsi="Calibri"/>
          <w:color w:val="8FAADB"/>
          <w:kern w:val="0"/>
          <w:szCs w:val="24"/>
          <w:lang w:bidi="ar"/>
        </w:rPr>
        <w:t>以上。</w:t>
      </w:r>
    </w:p>
    <w:p w14:paraId="3406AA7A">
      <w:pPr>
        <w:pStyle w:val="27"/>
        <w:widowControl/>
        <w:rPr>
          <w:rFonts w:hint="default"/>
          <w:szCs w:val="24"/>
        </w:rPr>
      </w:pPr>
      <w:r>
        <w:rPr>
          <w:rFonts w:hint="default" w:ascii="Times New Roman" w:hAnsi="Times New Roman"/>
          <w:b/>
          <w:bCs/>
          <w:szCs w:val="24"/>
        </w:rPr>
        <w:t xml:space="preserve">2.0.2  </w:t>
      </w:r>
      <w:r>
        <w:rPr>
          <w:szCs w:val="24"/>
        </w:rPr>
        <w:t xml:space="preserve">性能化设计    </w:t>
      </w:r>
      <w:r>
        <w:rPr>
          <w:rFonts w:hint="default" w:ascii="Times New Roman" w:hAnsi="Times New Roman"/>
          <w:szCs w:val="24"/>
        </w:rPr>
        <w:t>Performance-based design</w:t>
      </w:r>
    </w:p>
    <w:p w14:paraId="7EC6EAE6">
      <w:pPr>
        <w:pStyle w:val="27"/>
        <w:widowControl/>
        <w:ind w:firstLine="480" w:firstLineChars="200"/>
        <w:rPr>
          <w:rFonts w:hint="default"/>
          <w:szCs w:val="24"/>
        </w:rPr>
      </w:pPr>
      <w:r>
        <w:rPr>
          <w:szCs w:val="24"/>
        </w:rPr>
        <w:t>以建筑室内环境参数和能效指标为优化目标，利用建筑模拟工具对设计方案进行多轮迭代优化，最终达到预定性能要求的设计过程。</w:t>
      </w:r>
    </w:p>
    <w:p w14:paraId="302E7EEE">
      <w:pPr>
        <w:pStyle w:val="27"/>
        <w:widowControl/>
        <w:spacing w:line="26" w:lineRule="atLeast"/>
        <w:rPr>
          <w:rFonts w:hint="default"/>
          <w:color w:val="8EAADB"/>
          <w:szCs w:val="24"/>
        </w:rPr>
      </w:pPr>
      <w:r>
        <w:rPr>
          <w:b/>
          <w:bCs/>
          <w:color w:val="8FAADB"/>
          <w:szCs w:val="24"/>
        </w:rPr>
        <w:t>【条文说明】</w:t>
      </w:r>
      <w:r>
        <w:rPr>
          <w:color w:val="8EAADB"/>
          <w:szCs w:val="24"/>
        </w:rPr>
        <w:t>性能化设计是一种以建筑室内环境质量和能源效率为核心，借助建筑模拟工具进行精细化设计和优化的过程，旨在确保建筑在实际运行中达到预定的性能标准，实现用户舒适度与能源效率的双重提升，是现代建筑设计中追求可持续性与高品质室内环境的重要方法论。</w:t>
      </w:r>
    </w:p>
    <w:p w14:paraId="02C8303B">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EAADB"/>
          <w:kern w:val="2"/>
          <w:shd w:val="clear" w:color="auto" w:fill="FFFFFF"/>
        </w:rPr>
      </w:pPr>
      <w:r>
        <w:rPr>
          <w:rFonts w:hint="eastAsia" w:ascii="宋体" w:hAnsi="宋体" w:cs="宋体"/>
          <w:color w:val="8EAADB"/>
          <w:kern w:val="2"/>
          <w:shd w:val="clear" w:color="auto" w:fill="FFFFFF"/>
        </w:rPr>
        <w:t>性能化设计的目标包括建筑使用者的舒适度、健康性和建筑运营的能源效率。一方面，性能化设计需要关注室内温度、相对湿度、空气品质、光照水平和声环境等参数，这些参数直接影响居住者或工作人员的生理舒适度、心理满意度和工作效率。另一方面，性能化设计还需要关注能效指标，如建筑能耗强度、供暖空调系统的能效比、照明功率密度、可再生能源利用率和碳排放强度等。</w:t>
      </w:r>
    </w:p>
    <w:p w14:paraId="54EEEAA6">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EAADB"/>
          <w:kern w:val="2"/>
          <w:shd w:val="clear" w:color="auto" w:fill="FFFFFF"/>
        </w:rPr>
      </w:pPr>
      <w:r>
        <w:rPr>
          <w:rFonts w:hint="eastAsia" w:ascii="宋体" w:hAnsi="宋体" w:cs="宋体"/>
          <w:color w:val="8EAADB"/>
          <w:kern w:val="2"/>
          <w:shd w:val="clear" w:color="auto" w:fill="FFFFFF"/>
        </w:rPr>
        <w:t>性能化设计过程中，需要借助使用先进的计算机软件——建筑模拟工具来支持设计决策和方案优化。这些工具基于复杂的物理模型和算法，模拟建筑在不同气候条件和使用场景下的热湿传递、光照分布、空气流动和声传播等现象，以及相关的能源消耗情况。</w:t>
      </w:r>
    </w:p>
    <w:p w14:paraId="6CACCA61">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EAADB"/>
          <w:kern w:val="2"/>
          <w:shd w:val="clear" w:color="auto" w:fill="FFFFFF"/>
        </w:rPr>
      </w:pPr>
      <w:r>
        <w:rPr>
          <w:rFonts w:hint="eastAsia" w:ascii="宋体" w:hAnsi="宋体" w:cs="宋体"/>
          <w:color w:val="8EAADB"/>
          <w:kern w:val="2"/>
          <w:shd w:val="clear" w:color="auto" w:fill="FFFFFF"/>
        </w:rPr>
        <w:t>在确定性能目标后，通过使用建筑模拟工具对初步设计方案进行详细模拟分析，识别影响性能目标达成的关键因素。然后，通过对这些因素进行调整和改进（如改变围护结构材料、优化空调系统配置、调整建筑朝向、增加遮阳措施、改进自然通风策略等），反复迭代模拟计算，直至设计方案在模拟结果中达到或超过预设的性能目标。这一过程可能涉及多学科协作和多次反馈循环，体现了性能化设计的动态优化性质。</w:t>
      </w:r>
    </w:p>
    <w:p w14:paraId="3BDCE78B">
      <w:pPr>
        <w:pStyle w:val="13"/>
        <w:widowControl/>
        <w:shd w:val="clear" w:color="auto" w:fill="FFFFFF"/>
        <w:adjustRightInd w:val="0"/>
        <w:snapToGrid w:val="0"/>
        <w:spacing w:beforeAutospacing="0" w:afterAutospacing="0" w:line="312" w:lineRule="auto"/>
        <w:ind w:firstLine="480" w:firstLineChars="200"/>
        <w:rPr>
          <w:shd w:val="clear" w:color="auto" w:fill="FFFFFF"/>
        </w:rPr>
      </w:pPr>
      <w:r>
        <w:rPr>
          <w:rFonts w:hint="eastAsia" w:ascii="宋体" w:hAnsi="宋体" w:cs="宋体"/>
          <w:color w:val="8EAADB"/>
          <w:kern w:val="2"/>
          <w:shd w:val="clear" w:color="auto" w:fill="FFFFFF"/>
        </w:rPr>
        <w:t>最终形成的建筑设计方案应在模拟计算中全面满足或超越预先设定的建筑室内环境参数标准和能效指标要求。以便建筑在建成投入使用后，能够为用户提供既定标准的舒适室内环境，同时在能源效率和减排等方面表现出色，实现设计初期设定的高性能目标。</w:t>
      </w:r>
    </w:p>
    <w:p w14:paraId="24ABA686">
      <w:pPr>
        <w:pStyle w:val="27"/>
        <w:widowControl/>
        <w:rPr>
          <w:rFonts w:hint="default"/>
          <w:szCs w:val="24"/>
        </w:rPr>
      </w:pPr>
      <w:r>
        <w:rPr>
          <w:rFonts w:hint="default" w:ascii="Times New Roman" w:hAnsi="Times New Roman"/>
          <w:b/>
          <w:bCs/>
          <w:szCs w:val="24"/>
        </w:rPr>
        <w:t xml:space="preserve">2.0.3  </w:t>
      </w:r>
      <w:r>
        <w:rPr>
          <w:szCs w:val="24"/>
        </w:rPr>
        <w:t xml:space="preserve">建筑气密性    </w:t>
      </w:r>
      <w:r>
        <w:rPr>
          <w:rFonts w:hint="default" w:ascii="Times New Roman" w:hAnsi="Times New Roman"/>
          <w:szCs w:val="24"/>
        </w:rPr>
        <w:t>building air tightness</w:t>
      </w:r>
    </w:p>
    <w:p w14:paraId="68203327">
      <w:pPr>
        <w:pStyle w:val="27"/>
        <w:widowControl/>
        <w:ind w:firstLine="480" w:firstLineChars="200"/>
        <w:rPr>
          <w:rFonts w:hint="default"/>
          <w:szCs w:val="24"/>
        </w:rPr>
      </w:pPr>
      <w:r>
        <w:rPr>
          <w:szCs w:val="24"/>
        </w:rPr>
        <w:t>建筑在封闭状态下阻止空气非正常渗透的能力，通常以室内外压差为50Pa时1小时内换气次数（N</w:t>
      </w:r>
      <w:r>
        <w:rPr>
          <w:szCs w:val="24"/>
          <w:vertAlign w:val="subscript"/>
        </w:rPr>
        <w:t>50</w:t>
      </w:r>
      <w:r>
        <w:rPr>
          <w:szCs w:val="24"/>
        </w:rPr>
        <w:t>）来衡量。</w:t>
      </w:r>
    </w:p>
    <w:p w14:paraId="36573C28">
      <w:pPr>
        <w:pStyle w:val="27"/>
        <w:widowControl/>
        <w:spacing w:line="26" w:lineRule="atLeast"/>
        <w:rPr>
          <w:rFonts w:hint="default"/>
          <w:color w:val="8EAADB"/>
          <w:szCs w:val="24"/>
        </w:rPr>
      </w:pPr>
      <w:r>
        <w:rPr>
          <w:b/>
          <w:bCs/>
          <w:color w:val="8FAADB"/>
          <w:szCs w:val="24"/>
        </w:rPr>
        <w:t>【条文说明】</w:t>
      </w:r>
      <w:r>
        <w:rPr>
          <w:color w:val="8EAADB"/>
          <w:szCs w:val="24"/>
        </w:rPr>
        <w:t>建筑气密性是评价建筑围护结构阻止无组织空气渗透能力的重要属性，通过压差试验进行检测，并常以换气次数N</w:t>
      </w:r>
      <w:r>
        <w:rPr>
          <w:color w:val="8EAADB"/>
          <w:szCs w:val="24"/>
          <w:vertAlign w:val="subscript"/>
        </w:rPr>
        <w:t>50</w:t>
      </w:r>
      <w:r>
        <w:rPr>
          <w:color w:val="8EAADB"/>
          <w:szCs w:val="24"/>
        </w:rPr>
        <w:t>作为量化指标。优秀的建筑气密性有助于提高建筑能效、保障室内环境质量和降低运行成本。</w:t>
      </w:r>
    </w:p>
    <w:p w14:paraId="4BAB8DF7">
      <w:pPr>
        <w:pStyle w:val="27"/>
        <w:widowControl/>
        <w:ind w:firstLine="480" w:firstLineChars="200"/>
        <w:rPr>
          <w:rFonts w:hint="default"/>
          <w:color w:val="8EAADB"/>
          <w:szCs w:val="24"/>
        </w:rPr>
      </w:pPr>
      <w:r>
        <w:rPr>
          <w:color w:val="8EAADB"/>
          <w:szCs w:val="24"/>
        </w:rPr>
        <w:t>建筑气密性是指当建筑处于封闭状态时，其阻止外部空气未经设计途径（如门窗、通风口等）而无序渗透进入建筑内部的能力。这一属性直接关乎建筑的能源效率、室内空气质量以及热舒适性，因为无组织的空气渗透可能导致不必要的热量损失、湿气入侵、外部污染物进入以及室内环境控制难度增大。</w:t>
      </w:r>
    </w:p>
    <w:p w14:paraId="0F7228DB">
      <w:pPr>
        <w:pStyle w:val="27"/>
        <w:widowControl/>
        <w:ind w:firstLine="480" w:firstLineChars="200"/>
        <w:rPr>
          <w:rFonts w:hint="default"/>
          <w:color w:val="8EAADB"/>
          <w:szCs w:val="24"/>
        </w:rPr>
      </w:pPr>
      <w:r>
        <w:rPr>
          <w:color w:val="8EAADB"/>
          <w:szCs w:val="24"/>
        </w:rPr>
        <w:t>建筑气密性的检测通常采用压差试验方法进行。这是一种通过在建筑内部和外部之间制造一定的压差，观察在该压差作用下空气通过建筑外壳渗透的速率，以此评估建筑整体或局部的气密性能。压差试验通常在实验室条件下或现场实际环境中进行，是国际上公认的评价建筑气密性的重要手段。</w:t>
      </w:r>
    </w:p>
    <w:p w14:paraId="29961128">
      <w:pPr>
        <w:pStyle w:val="27"/>
        <w:widowControl/>
        <w:ind w:firstLine="480" w:firstLineChars="200"/>
        <w:rPr>
          <w:rFonts w:hint="default"/>
          <w:color w:val="8EAADB"/>
          <w:szCs w:val="24"/>
        </w:rPr>
      </w:pPr>
      <w:r>
        <w:rPr>
          <w:color w:val="8EAADB"/>
          <w:szCs w:val="24"/>
        </w:rPr>
        <w:t>换气次数N</w:t>
      </w:r>
      <w:r>
        <w:rPr>
          <w:color w:val="8EAADB"/>
          <w:szCs w:val="24"/>
          <w:vertAlign w:val="subscript"/>
        </w:rPr>
        <w:t>50</w:t>
      </w:r>
      <w:r>
        <w:rPr>
          <w:color w:val="8EAADB"/>
          <w:szCs w:val="24"/>
        </w:rPr>
        <w:t>是建筑气密性的一种标准化表征方式。它是当室内外压差达到50</w:t>
      </w:r>
      <w:r>
        <w:rPr>
          <w:color w:val="8EAADB"/>
          <w:szCs w:val="24"/>
          <w:vertAlign w:val="subscript"/>
        </w:rPr>
        <w:t>Pa</w:t>
      </w:r>
      <w:r>
        <w:rPr>
          <w:color w:val="8EAADB"/>
          <w:szCs w:val="24"/>
        </w:rPr>
        <w:t>时，建筑在1小时内因空气渗透而发生的等效换气次数。N</w:t>
      </w:r>
      <w:r>
        <w:rPr>
          <w:color w:val="8EAADB"/>
          <w:szCs w:val="24"/>
          <w:vertAlign w:val="subscript"/>
        </w:rPr>
        <w:t>50</w:t>
      </w:r>
      <w:r>
        <w:rPr>
          <w:color w:val="8EAADB"/>
          <w:szCs w:val="24"/>
        </w:rPr>
        <w:t>数值越低，表示建筑的气密性越好，即在相同压差下，无组织空气渗透量越少。这一指标便于不同建筑之间的气密性比较，也是许多国家和地区建筑节能标准中用来规定建筑气密性限值的重要参数。</w:t>
      </w:r>
    </w:p>
    <w:p w14:paraId="7D1CFCD3">
      <w:pPr>
        <w:pStyle w:val="27"/>
        <w:widowControl/>
        <w:rPr>
          <w:rFonts w:hint="default"/>
          <w:szCs w:val="24"/>
        </w:rPr>
      </w:pPr>
      <w:r>
        <w:rPr>
          <w:rFonts w:hint="default" w:ascii="Times New Roman" w:hAnsi="Times New Roman"/>
          <w:b/>
          <w:bCs/>
          <w:szCs w:val="24"/>
        </w:rPr>
        <w:t xml:space="preserve">2.0.4  </w:t>
      </w:r>
      <w:r>
        <w:rPr>
          <w:szCs w:val="24"/>
        </w:rPr>
        <w:t xml:space="preserve">气密层    </w:t>
      </w:r>
      <w:r>
        <w:rPr>
          <w:rFonts w:hint="default" w:ascii="Times New Roman" w:hAnsi="Times New Roman"/>
          <w:szCs w:val="24"/>
        </w:rPr>
        <w:t>airtight layer</w:t>
      </w:r>
    </w:p>
    <w:p w14:paraId="5C1C2DED">
      <w:pPr>
        <w:pStyle w:val="27"/>
        <w:widowControl/>
        <w:ind w:firstLine="480" w:firstLineChars="200"/>
        <w:rPr>
          <w:rFonts w:hint="default"/>
          <w:szCs w:val="24"/>
        </w:rPr>
      </w:pPr>
      <w:r>
        <w:rPr>
          <w:szCs w:val="24"/>
        </w:rPr>
        <w:t>由气密性材料、专用部件及可能包含的抹灰层等共同构成的连续、封闭构造层，用于防止空气在建筑围护结构非设计开口处无序渗透。</w:t>
      </w:r>
    </w:p>
    <w:p w14:paraId="401ABFEE">
      <w:pPr>
        <w:pStyle w:val="27"/>
        <w:widowControl/>
        <w:spacing w:line="26" w:lineRule="atLeast"/>
        <w:rPr>
          <w:rFonts w:hint="default"/>
          <w:color w:val="8EAADB"/>
          <w:szCs w:val="24"/>
        </w:rPr>
      </w:pPr>
      <w:r>
        <w:rPr>
          <w:b/>
          <w:bCs/>
          <w:color w:val="8FAADB"/>
          <w:szCs w:val="24"/>
        </w:rPr>
        <w:t>【条文说明】</w:t>
      </w:r>
      <w:r>
        <w:rPr>
          <w:color w:val="8EAADB"/>
          <w:szCs w:val="24"/>
        </w:rPr>
        <w:t>气密层是指在建筑围护结构中，由具备优异气密性能的材料、专用连接部件以及可能包括的抹灰层等共同构建而成的一道连续、封闭的构造层。其主要目的是为了有效地阻止空气从建筑外壳非设计开口（如缝隙、接头、孔洞等）无序渗透，确保建筑内部环境的稳定性和能源效率。</w:t>
      </w:r>
    </w:p>
    <w:p w14:paraId="5D41D757">
      <w:pPr>
        <w:pStyle w:val="27"/>
        <w:widowControl/>
        <w:ind w:firstLine="480" w:firstLineChars="200"/>
        <w:rPr>
          <w:rFonts w:hint="default"/>
          <w:color w:val="8EAADB"/>
          <w:szCs w:val="24"/>
        </w:rPr>
      </w:pPr>
      <w:r>
        <w:rPr>
          <w:color w:val="8EAADB"/>
          <w:szCs w:val="24"/>
        </w:rPr>
        <w:t>气密性材料是指那些具有低渗透性、能够有效阻挡空气通过的建筑材料，如气密膜、气密胶带、气密窗框密封条、专用气密型材等。这些材料通常具有低透气率、高弹性、持久耐用等特性，以确保在建筑使用周期内持续保持良好的气密效果。</w:t>
      </w:r>
    </w:p>
    <w:p w14:paraId="41EF0231">
      <w:pPr>
        <w:pStyle w:val="27"/>
        <w:widowControl/>
        <w:ind w:firstLine="480" w:firstLineChars="200"/>
        <w:rPr>
          <w:rFonts w:hint="default"/>
          <w:color w:val="8EAADB"/>
          <w:szCs w:val="24"/>
        </w:rPr>
      </w:pPr>
      <w:r>
        <w:rPr>
          <w:color w:val="8EAADB"/>
          <w:szCs w:val="24"/>
        </w:rPr>
        <w:t>相关部件则指专门设计用于增强构造连接部位气密性的配件，如气密型角部连接件、接缝密封件、管道穿墙套管的密封组件等。这些部件与气密性材料配合使用，确保在各种复杂构造节点处也能形成严密的气密屏障。</w:t>
      </w:r>
    </w:p>
    <w:p w14:paraId="0933E6A0">
      <w:pPr>
        <w:pStyle w:val="27"/>
        <w:widowControl/>
        <w:ind w:firstLine="480" w:firstLineChars="200"/>
        <w:rPr>
          <w:rFonts w:hint="default"/>
          <w:color w:val="8EAADB"/>
          <w:szCs w:val="24"/>
        </w:rPr>
      </w:pPr>
      <w:r>
        <w:rPr>
          <w:color w:val="8EAADB"/>
          <w:szCs w:val="24"/>
        </w:rPr>
        <w:t>抹灰层在某些情况下也被纳入气密层的组成部分，特别是在砖石结构或轻质隔墙等围护结构中。抹灰层可以采用具有较高密实性和良好粘结力的砂浆或专用气密涂料进行涂抹，形成一层连续的封闭表面，有助于弥补基层材料可能存在的微小孔隙，进一步增强整体气密性能。</w:t>
      </w:r>
    </w:p>
    <w:p w14:paraId="27232CEB">
      <w:pPr>
        <w:pStyle w:val="27"/>
        <w:widowControl/>
        <w:ind w:firstLine="480" w:firstLineChars="200"/>
        <w:rPr>
          <w:rFonts w:hint="default"/>
          <w:color w:val="8EAADB"/>
          <w:szCs w:val="24"/>
        </w:rPr>
      </w:pPr>
      <w:r>
        <w:rPr>
          <w:color w:val="8EAADB"/>
          <w:szCs w:val="24"/>
        </w:rPr>
        <w:t>气密层作为连续构造层的意义在于，它必须在建筑围护结构的整个周界形成无缝隙、无断点的封闭屏障，防止空气在任何一点发生渗透。这种完整性对于保持建筑内部稳定的温湿度环境、防止能源浪费、提升室内空气质量以及避免外部环境因素（如湿气、污染、噪声等）对室内空间的影响至关重要。</w:t>
      </w:r>
    </w:p>
    <w:p w14:paraId="0B7EEDF8">
      <w:pPr>
        <w:pStyle w:val="27"/>
        <w:widowControl/>
        <w:rPr>
          <w:rFonts w:hint="default"/>
          <w:szCs w:val="24"/>
        </w:rPr>
      </w:pPr>
      <w:r>
        <w:rPr>
          <w:rFonts w:hint="default" w:ascii="Times New Roman" w:hAnsi="Times New Roman"/>
          <w:b/>
          <w:bCs/>
          <w:szCs w:val="24"/>
        </w:rPr>
        <w:t xml:space="preserve">2.0.5  </w:t>
      </w:r>
      <w:r>
        <w:rPr>
          <w:szCs w:val="24"/>
        </w:rPr>
        <w:t xml:space="preserve">气密性材料    </w:t>
      </w:r>
      <w:r>
        <w:rPr>
          <w:rFonts w:hint="default" w:ascii="Times New Roman" w:hAnsi="Times New Roman"/>
          <w:szCs w:val="24"/>
        </w:rPr>
        <w:t>airtight material</w:t>
      </w:r>
    </w:p>
    <w:p w14:paraId="1F7BF838">
      <w:pPr>
        <w:pStyle w:val="27"/>
        <w:widowControl/>
        <w:ind w:firstLine="480" w:firstLineChars="200"/>
        <w:rPr>
          <w:rFonts w:hint="default"/>
          <w:szCs w:val="24"/>
        </w:rPr>
      </w:pPr>
      <w:r>
        <w:rPr>
          <w:szCs w:val="24"/>
        </w:rPr>
        <w:t>应用于建筑围护结构，用于密封室内缝隙，防止采暖、空调空间的室内空气无序向室外或非采暖空调区域渗透的专用材料。</w:t>
      </w:r>
    </w:p>
    <w:p w14:paraId="71EE4DDD">
      <w:pPr>
        <w:pStyle w:val="27"/>
        <w:widowControl/>
        <w:spacing w:line="26" w:lineRule="atLeast"/>
        <w:rPr>
          <w:rFonts w:hint="default"/>
          <w:color w:val="8EAADB"/>
          <w:szCs w:val="24"/>
        </w:rPr>
      </w:pPr>
      <w:r>
        <w:rPr>
          <w:b/>
          <w:bCs/>
          <w:color w:val="8FAADB"/>
          <w:szCs w:val="24"/>
        </w:rPr>
        <w:t>【条文说明】</w:t>
      </w:r>
      <w:r>
        <w:rPr>
          <w:color w:val="8EAADB"/>
          <w:szCs w:val="24"/>
        </w:rPr>
        <w:t>气密性材料是应用于建筑围护结构中，专门用于密封缝隙、防止采暖、空调空间内部空气无序向室外或非采暖空调区域渗透的专用材料。如气密膜、气密胶带、气密窗框密封条、专用气密型材等。这些材料通常具有低透气率、高弹性、持久耐用等特性，以确保在建筑使用周期内持续保持良好的气密效果。</w:t>
      </w:r>
    </w:p>
    <w:p w14:paraId="5E2E091A">
      <w:pPr>
        <w:pStyle w:val="27"/>
        <w:widowControl/>
        <w:ind w:firstLine="480" w:firstLineChars="200"/>
        <w:rPr>
          <w:rFonts w:hint="default"/>
          <w:color w:val="8EAADB"/>
          <w:szCs w:val="24"/>
        </w:rPr>
      </w:pPr>
      <w:r>
        <w:rPr>
          <w:color w:val="8EAADB"/>
          <w:szCs w:val="24"/>
        </w:rPr>
        <w:t>气密性材料主要应用于建筑围护结构，包括但不限于墙体、楼板、门窗接口、管线穿越部位、结构接缝等可能存在空气渗透隐患的位置。这些材料通过有效填补和封闭结构缝隙，确保建筑外壳的气密完整性，对维持室内环境的稳定性和能源效率起到关键作用。</w:t>
      </w:r>
    </w:p>
    <w:p w14:paraId="272000FD">
      <w:pPr>
        <w:pStyle w:val="27"/>
        <w:widowControl/>
        <w:rPr>
          <w:rFonts w:hint="default" w:ascii="Times New Roman" w:hAnsi="Times New Roman"/>
          <w:szCs w:val="24"/>
        </w:rPr>
      </w:pPr>
      <w:r>
        <w:rPr>
          <w:rFonts w:hint="default" w:ascii="Times New Roman" w:hAnsi="Times New Roman"/>
          <w:b/>
          <w:bCs/>
          <w:szCs w:val="24"/>
        </w:rPr>
        <w:t xml:space="preserve">2.0.6  </w:t>
      </w:r>
      <w:r>
        <w:rPr>
          <w:szCs w:val="24"/>
        </w:rPr>
        <w:t xml:space="preserve">防水透汽材料    </w:t>
      </w:r>
      <w:r>
        <w:rPr>
          <w:rFonts w:hint="default" w:ascii="Times New Roman" w:hAnsi="Times New Roman" w:eastAsia="Helvetica"/>
          <w:color w:val="1F2328"/>
          <w:szCs w:val="24"/>
          <w:shd w:val="clear" w:color="auto" w:fill="FFFFFF"/>
        </w:rPr>
        <w:t>waterproof and vapor-permeable material</w:t>
      </w:r>
    </w:p>
    <w:p w14:paraId="11D2BBE3">
      <w:pPr>
        <w:pStyle w:val="27"/>
        <w:widowControl/>
        <w:ind w:firstLine="480" w:firstLineChars="200"/>
        <w:rPr>
          <w:rFonts w:hint="default"/>
          <w:szCs w:val="24"/>
        </w:rPr>
      </w:pPr>
      <w:r>
        <w:rPr>
          <w:szCs w:val="24"/>
        </w:rPr>
        <w:t>兼具防水及水蒸气透过功能的材料，用于保温材料迎水面，尤其适用于湿度较大或可能发生冷凝风险的部位，既能防止外部水分进入保温层，又能使保温层内水汽透出，保持其干燥。</w:t>
      </w:r>
    </w:p>
    <w:p w14:paraId="5C7E9C00">
      <w:pPr>
        <w:pStyle w:val="27"/>
        <w:widowControl/>
        <w:spacing w:line="26" w:lineRule="atLeast"/>
        <w:rPr>
          <w:rFonts w:hint="default"/>
          <w:color w:val="8FAADB"/>
          <w:szCs w:val="24"/>
        </w:rPr>
      </w:pPr>
      <w:r>
        <w:rPr>
          <w:b/>
          <w:bCs/>
          <w:color w:val="8FAADB"/>
          <w:szCs w:val="24"/>
        </w:rPr>
        <w:t>【条文说明】</w:t>
      </w:r>
      <w:r>
        <w:rPr>
          <w:color w:val="8FAADB"/>
          <w:szCs w:val="24"/>
        </w:rPr>
        <w:t>防水透汽材料是一种集防水与透汽于一体的高性能材料，主要用于保温材料的迎水面，尤其适用于湿度较大或存在冷凝风险的环境，旨在防止外部水分侵入保温层，同时确保保温层内水分以水蒸气形式顺畅排出，保持保温层干燥，从而维护建筑结构的稳定性、保温性能和室内环境的舒适度。</w:t>
      </w:r>
    </w:p>
    <w:p w14:paraId="0033901C">
      <w:pPr>
        <w:pStyle w:val="27"/>
        <w:widowControl/>
        <w:ind w:firstLine="480" w:firstLineChars="200"/>
        <w:rPr>
          <w:rFonts w:hint="default"/>
          <w:color w:val="8FAADB"/>
          <w:szCs w:val="24"/>
        </w:rPr>
      </w:pPr>
      <w:r>
        <w:rPr>
          <w:color w:val="8FAADB"/>
          <w:szCs w:val="24"/>
        </w:rPr>
        <w:t>防水透汽材料的防水功能主要体现在其能够有效阻挡雨水、雪水等外部液态水对建筑围护结构内部（尤其是保温层）的渗透，防止水分对保温材料性能的损害，以及由此引发的结构腐蚀、霉菌滋生、保温效果下降等问题。</w:t>
      </w:r>
    </w:p>
    <w:p w14:paraId="552C290F">
      <w:pPr>
        <w:pStyle w:val="27"/>
        <w:widowControl/>
        <w:ind w:firstLine="480" w:firstLineChars="200"/>
        <w:rPr>
          <w:rFonts w:hint="default"/>
          <w:color w:val="8FAADB"/>
          <w:szCs w:val="24"/>
        </w:rPr>
      </w:pPr>
      <w:r>
        <w:rPr>
          <w:color w:val="8FAADB"/>
          <w:szCs w:val="24"/>
        </w:rPr>
        <w:t>防水透汽材料的透汽功能体现在其允许保温层内部或墙体内部产生的水蒸气（如湿气、结露水等）以水蒸气的形式穿过材料，释放到外部环境中。这一特性有助于维持保温层内部的干燥状态，避免湿气积聚导致的保温性能下降、结构损坏以及霉菌生长等问题，从而保护建筑结构的长期稳定性和居住环境的舒适性。</w:t>
      </w:r>
    </w:p>
    <w:p w14:paraId="1A3008B5">
      <w:pPr>
        <w:pStyle w:val="27"/>
        <w:widowControl/>
        <w:ind w:firstLine="480" w:firstLineChars="200"/>
        <w:rPr>
          <w:rFonts w:hint="default"/>
          <w:color w:val="8FAADB"/>
          <w:szCs w:val="24"/>
        </w:rPr>
      </w:pPr>
      <w:r>
        <w:rPr>
          <w:color w:val="8FAADB"/>
          <w:szCs w:val="24"/>
        </w:rPr>
        <w:t>防水透汽材料一般用于保温材料的迎水面，即直接与外界接触的一面，特别是在环境湿度较大或可能发生冷凝风险的部位。这些环境包括但不限于：寒冷地区冬季室内温度高于室外，导致保温层内部水蒸气向冷界面冷凝；夏热冬冷或夏热冬暖地区，因季节性温差和湿度变化导致的内外侧蒸汽压差变化等。应用防水透汽材料可以有效解决此类问题，确保保温层始终处于干燥状态，充分发挥其保温效能。</w:t>
      </w:r>
    </w:p>
    <w:p w14:paraId="3FCACAF7">
      <w:pPr>
        <w:pStyle w:val="27"/>
        <w:widowControl/>
        <w:rPr>
          <w:rFonts w:hint="default"/>
          <w:szCs w:val="24"/>
        </w:rPr>
      </w:pPr>
      <w:r>
        <w:rPr>
          <w:rFonts w:hint="default" w:ascii="Times New Roman" w:hAnsi="Times New Roman"/>
          <w:b/>
          <w:bCs/>
          <w:szCs w:val="24"/>
        </w:rPr>
        <w:t xml:space="preserve">2.0.7  </w:t>
      </w:r>
      <w:r>
        <w:rPr>
          <w:szCs w:val="24"/>
        </w:rPr>
        <w:t xml:space="preserve">防水隔汽材料    </w:t>
      </w:r>
      <w:r>
        <w:rPr>
          <w:rFonts w:hint="default" w:ascii="Times New Roman" w:hAnsi="Times New Roman"/>
          <w:szCs w:val="24"/>
        </w:rPr>
        <w:t>waterproof vapor barrier material</w:t>
      </w:r>
    </w:p>
    <w:p w14:paraId="61D93CF2">
      <w:pPr>
        <w:pStyle w:val="27"/>
        <w:widowControl/>
        <w:ind w:firstLine="480" w:firstLineChars="200"/>
        <w:rPr>
          <w:rFonts w:hint="default"/>
          <w:szCs w:val="24"/>
        </w:rPr>
      </w:pPr>
      <w:r>
        <w:rPr>
          <w:szCs w:val="24"/>
        </w:rPr>
        <w:t>旨在防止水蒸气进入保温层或围护结构内部的材料，一般用于保温材料背水面（室内方向），适用于日常环境湿度较大或可能出现高温高湿条件的部位。</w:t>
      </w:r>
    </w:p>
    <w:p w14:paraId="6603FA3C">
      <w:pPr>
        <w:pStyle w:val="27"/>
        <w:widowControl/>
        <w:rPr>
          <w:rFonts w:hint="default"/>
          <w:color w:val="8FAADB"/>
          <w:szCs w:val="24"/>
        </w:rPr>
      </w:pPr>
      <w:r>
        <w:rPr>
          <w:b/>
          <w:bCs/>
          <w:color w:val="8FAADB"/>
          <w:szCs w:val="24"/>
        </w:rPr>
        <w:t>【条文说明】</w:t>
      </w:r>
      <w:r>
        <w:rPr>
          <w:color w:val="8FAADB"/>
          <w:szCs w:val="24"/>
        </w:rPr>
        <w:t>防水隔汽材料是一种专注于防止水蒸气进入保温层或围护结构内部的材料，通常设置于保温材料的背水面（室内方向），尤其适用于日常环境湿度较大或可能出现高温高湿条件的部位。其通过有效隔离湿气，保护保温层干燥，维持建筑结构的稳定性和室内环境的舒适度。与防水透汽材料相比，两者分别针对保温层内外两侧的水汽管理需求，应用场景各有侧重。</w:t>
      </w:r>
    </w:p>
    <w:p w14:paraId="41A3C655">
      <w:pPr>
        <w:pStyle w:val="27"/>
        <w:widowControl/>
        <w:rPr>
          <w:rFonts w:hint="default"/>
          <w:szCs w:val="24"/>
        </w:rPr>
      </w:pPr>
      <w:r>
        <w:rPr>
          <w:rFonts w:hint="default" w:ascii="Times New Roman" w:hAnsi="Times New Roman"/>
          <w:b/>
          <w:bCs/>
          <w:szCs w:val="24"/>
        </w:rPr>
        <w:t xml:space="preserve">2.0.8  </w:t>
      </w:r>
      <w:r>
        <w:rPr>
          <w:szCs w:val="24"/>
        </w:rPr>
        <w:t xml:space="preserve">节能附框    </w:t>
      </w:r>
      <w:r>
        <w:rPr>
          <w:rFonts w:hint="default" w:ascii="Times New Roman" w:hAnsi="Times New Roman"/>
          <w:szCs w:val="24"/>
        </w:rPr>
        <w:t>energy-efficient subframe</w:t>
      </w:r>
    </w:p>
    <w:p w14:paraId="42FC925B">
      <w:pPr>
        <w:pStyle w:val="27"/>
        <w:widowControl/>
        <w:ind w:firstLine="480" w:firstLineChars="200"/>
        <w:rPr>
          <w:rFonts w:hint="default"/>
          <w:szCs w:val="24"/>
        </w:rPr>
      </w:pPr>
      <w:r>
        <w:rPr>
          <w:szCs w:val="24"/>
        </w:rPr>
        <w:t>为减小窗户安装时的热桥效应，主体结构采用低导热性材料制作成一套预埋或预先安装于门窗洞口的杆件系统，旨在方便门窗安装并有效隔断热量传递。</w:t>
      </w:r>
    </w:p>
    <w:p w14:paraId="6E8780FA">
      <w:pPr>
        <w:pStyle w:val="27"/>
        <w:widowControl/>
        <w:spacing w:line="26" w:lineRule="atLeast"/>
        <w:rPr>
          <w:rFonts w:hint="default"/>
          <w:color w:val="8FAADB"/>
          <w:szCs w:val="24"/>
        </w:rPr>
      </w:pPr>
      <w:r>
        <w:rPr>
          <w:b/>
          <w:bCs/>
          <w:color w:val="8FAADB"/>
          <w:szCs w:val="24"/>
        </w:rPr>
        <w:t>【条文说明】</w:t>
      </w:r>
      <w:r>
        <w:rPr>
          <w:color w:val="8FAADB"/>
          <w:szCs w:val="24"/>
        </w:rPr>
        <w:t>设置节能附框目的是降低窗户与主体结构接触部位可能产生的热桥效应。节能附框的主体结构采用低导热性材料制成，可以在门窗与墙体连接处形成一道热阻屏障，减少热桥效应。</w:t>
      </w:r>
    </w:p>
    <w:p w14:paraId="5F6BE171">
      <w:pPr>
        <w:pStyle w:val="27"/>
        <w:widowControl/>
        <w:rPr>
          <w:rFonts w:hint="default"/>
          <w:color w:val="8FAADB"/>
          <w:szCs w:val="24"/>
        </w:rPr>
      </w:pPr>
    </w:p>
    <w:p w14:paraId="48B4982C">
      <w:pPr>
        <w:pStyle w:val="2"/>
        <w:widowControl/>
      </w:pPr>
      <w:r>
        <w:rPr>
          <w:lang w:bidi="ar"/>
        </w:rPr>
        <w:br w:type="page"/>
      </w:r>
      <w:bookmarkStart w:id="15" w:name="_Toc4051"/>
      <w:bookmarkStart w:id="16" w:name="_Toc6126"/>
      <w:bookmarkStart w:id="17" w:name="_Toc26812"/>
      <w:bookmarkStart w:id="18" w:name="_Toc22895"/>
      <w:bookmarkStart w:id="19" w:name="_Toc12053"/>
      <w:bookmarkStart w:id="20" w:name="_Toc1364"/>
      <w:bookmarkStart w:id="21" w:name="_Toc10727"/>
      <w:bookmarkStart w:id="22" w:name="_Toc24710"/>
      <w:r>
        <w:rPr>
          <w:rStyle w:val="22"/>
          <w:rFonts w:ascii="Times New Roman" w:hAnsi="Times New Roman" w:cs="Times New Roman"/>
          <w:b w:val="0"/>
        </w:rPr>
        <w:t>3</w:t>
      </w:r>
      <w:r>
        <w:rPr>
          <w:rStyle w:val="22"/>
          <w:rFonts w:cs="Times New Roman"/>
          <w:b w:val="0"/>
        </w:rPr>
        <w:t xml:space="preserve">  </w:t>
      </w:r>
      <w:r>
        <w:rPr>
          <w:rStyle w:val="22"/>
          <w:rFonts w:hint="eastAsia" w:cs="Times New Roman"/>
          <w:b w:val="0"/>
        </w:rPr>
        <w:t>基本规定</w:t>
      </w:r>
      <w:bookmarkEnd w:id="15"/>
      <w:bookmarkEnd w:id="16"/>
      <w:bookmarkEnd w:id="17"/>
      <w:bookmarkEnd w:id="18"/>
      <w:bookmarkEnd w:id="19"/>
      <w:bookmarkEnd w:id="20"/>
      <w:bookmarkEnd w:id="21"/>
      <w:bookmarkEnd w:id="22"/>
      <w:bookmarkStart w:id="23" w:name="_Toc5994"/>
      <w:bookmarkStart w:id="24" w:name="_Toc17619"/>
    </w:p>
    <w:p w14:paraId="533EADF2">
      <w:pPr>
        <w:pStyle w:val="4"/>
        <w:widowControl/>
        <w:spacing w:before="312" w:beforeLines="100" w:after="312" w:afterLines="100" w:line="240" w:lineRule="auto"/>
        <w:rPr>
          <w:rFonts w:ascii="宋体" w:hAnsi="宋体" w:cs="宋体"/>
          <w:szCs w:val="28"/>
        </w:rPr>
      </w:pPr>
      <w:bookmarkStart w:id="25" w:name="_Toc19494"/>
      <w:bookmarkStart w:id="26" w:name="_Toc31591"/>
      <w:bookmarkStart w:id="27" w:name="_Toc24495"/>
      <w:bookmarkStart w:id="28" w:name="_Toc4516"/>
      <w:bookmarkStart w:id="29" w:name="_Toc31047"/>
      <w:bookmarkStart w:id="30" w:name="_Toc4666"/>
      <w:r>
        <w:rPr>
          <w:rFonts w:ascii="Times New Roman" w:hAnsi="Times New Roman"/>
          <w:szCs w:val="28"/>
        </w:rPr>
        <w:t xml:space="preserve">3.1  </w:t>
      </w:r>
      <w:r>
        <w:rPr>
          <w:rFonts w:hint="eastAsia" w:ascii="宋体" w:hAnsi="宋体" w:cs="宋体"/>
          <w:szCs w:val="28"/>
        </w:rPr>
        <w:t>一般规定</w:t>
      </w:r>
      <w:bookmarkEnd w:id="23"/>
      <w:bookmarkEnd w:id="24"/>
      <w:bookmarkEnd w:id="25"/>
      <w:bookmarkEnd w:id="26"/>
      <w:bookmarkEnd w:id="27"/>
      <w:bookmarkEnd w:id="28"/>
      <w:bookmarkEnd w:id="29"/>
      <w:bookmarkEnd w:id="30"/>
    </w:p>
    <w:p w14:paraId="26A3EE37">
      <w:pPr>
        <w:pStyle w:val="27"/>
        <w:widowControl/>
        <w:rPr>
          <w:rFonts w:hint="default"/>
        </w:rPr>
      </w:pPr>
      <w:r>
        <w:rPr>
          <w:rFonts w:hint="default" w:ascii="Times New Roman" w:hAnsi="Times New Roman"/>
          <w:b/>
          <w:bCs/>
          <w:szCs w:val="24"/>
        </w:rPr>
        <w:t xml:space="preserve">3.1.1  </w:t>
      </w:r>
      <w:r>
        <w:t>超低能耗居住建筑的规划与建筑设计应依据气候特征和场地条件，采用性能化设计方法，通过合理布局建筑空间，运用被动式设计手段，以降低建筑能耗需求。同时，应提升主动式设备能效，并充分利用可再生能源，以达到超低能耗建筑的目标要求。</w:t>
      </w:r>
    </w:p>
    <w:p w14:paraId="79F66A86">
      <w:pPr>
        <w:pStyle w:val="27"/>
        <w:widowControl/>
        <w:spacing w:line="26" w:lineRule="atLeast"/>
        <w:rPr>
          <w:rFonts w:hint="default"/>
          <w:color w:val="8FAADB"/>
        </w:rPr>
      </w:pPr>
      <w:r>
        <w:rPr>
          <w:b/>
          <w:bCs/>
          <w:color w:val="8FAADB"/>
          <w:szCs w:val="24"/>
        </w:rPr>
        <w:t>【条文说明】</w:t>
      </w:r>
      <w:r>
        <w:rPr>
          <w:color w:val="8FAADB"/>
        </w:rPr>
        <w:t>本条规定了超低能耗居住建筑在规划与设计阶段应遵循的原则、方法和技术路线，旨在确保建筑从整体到细节均符合超低能耗目标的要求。具体说明如下：</w:t>
      </w:r>
    </w:p>
    <w:p w14:paraId="7D619FDF">
      <w:pPr>
        <w:pStyle w:val="13"/>
        <w:widowControl/>
        <w:shd w:val="clear" w:color="auto" w:fill="FFFFFF"/>
        <w:adjustRightInd w:val="0"/>
        <w:snapToGrid w:val="0"/>
        <w:spacing w:beforeAutospacing="0" w:afterAutospacing="0" w:line="26" w:lineRule="atLeast"/>
        <w:ind w:left="826" w:leftChars="229" w:hanging="345" w:hangingChars="144"/>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1  依据气候特征和场地条件：超低能耗居住建筑的规划设计应充分考虑其所在的特定气候区域，包括但不限于气温、湿度、风速、风向、太阳辐射、降水量、季节性变化等因素，以及场地的地形地貌、土壤特性、植被覆盖、周边建筑影响、微气候效应等具体条件。这些因素对建筑能耗有着直接影响，例如，寒冷地区需要着重考虑保温与冬季太阳能利用，而炎热地区则更关注遮阳与自然通风。场地条件则可能影响建筑布局、朝向、地下空间利用（如地源热泵）等设计决策。</w:t>
      </w:r>
    </w:p>
    <w:p w14:paraId="253F1E55">
      <w:pPr>
        <w:pStyle w:val="13"/>
        <w:widowControl/>
        <w:shd w:val="clear" w:color="auto" w:fill="FFFFFF"/>
        <w:adjustRightInd w:val="0"/>
        <w:snapToGrid w:val="0"/>
        <w:spacing w:beforeAutospacing="0" w:afterAutospacing="0" w:line="26" w:lineRule="atLeast"/>
        <w:ind w:left="826" w:leftChars="229" w:hanging="345" w:hangingChars="144"/>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2  采用性能化设计方法：基于建筑性能模拟软件进行量化分析，以预测建筑在不同气候条件下的能耗表现、室内环境品质及可再生能源利用效率等关键指标。这种方法是在设计初期就通过模型计算来评估和比较不同设计方案的节能效果，从而做出最优选择。性能化设计有助于精确掌控建筑能耗，避免单纯依赖经验或规则性标准可能导致的节能潜力未被充分挖掘。</w:t>
      </w:r>
    </w:p>
    <w:p w14:paraId="017B6126">
      <w:pPr>
        <w:pStyle w:val="13"/>
        <w:widowControl/>
        <w:shd w:val="clear" w:color="auto" w:fill="FFFFFF"/>
        <w:adjustRightInd w:val="0"/>
        <w:snapToGrid w:val="0"/>
        <w:spacing w:beforeAutospacing="0" w:afterAutospacing="0" w:line="26" w:lineRule="atLeast"/>
        <w:ind w:left="826" w:leftChars="229" w:hanging="345" w:hangingChars="144"/>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3  合理布局建筑空间：空间布局对建筑能耗有显著影响。设计时应遵循以下原则：</w:t>
      </w:r>
    </w:p>
    <w:p w14:paraId="754AA01B">
      <w:pPr>
        <w:widowControl/>
        <w:adjustRightInd w:val="0"/>
        <w:snapToGrid w:val="0"/>
        <w:spacing w:line="26" w:lineRule="atLeast"/>
        <w:ind w:left="1207" w:leftChars="400" w:hanging="367" w:hangingChars="153"/>
        <w:rPr>
          <w:rFonts w:ascii="宋体" w:hAnsi="宋体" w:eastAsia="宋体" w:cs="宋体"/>
          <w:color w:val="8FAADB"/>
          <w:sz w:val="24"/>
          <w:szCs w:val="28"/>
        </w:rPr>
      </w:pPr>
      <w:r>
        <w:rPr>
          <w:rFonts w:hint="eastAsia" w:ascii="宋体" w:hAnsi="宋体" w:eastAsia="宋体" w:cs="宋体"/>
          <w:color w:val="8FAADB"/>
          <w:sz w:val="24"/>
          <w:szCs w:val="28"/>
          <w:lang w:bidi="ar"/>
        </w:rPr>
        <w:t>1）紧凑型布局：减少建筑表面积与体积比，降低外围护结构的热损失或热增益。</w:t>
      </w:r>
    </w:p>
    <w:p w14:paraId="4AED1994">
      <w:pPr>
        <w:widowControl/>
        <w:adjustRightInd w:val="0"/>
        <w:snapToGrid w:val="0"/>
        <w:spacing w:line="26" w:lineRule="atLeast"/>
        <w:ind w:left="1207" w:leftChars="400" w:hanging="367" w:hangingChars="153"/>
        <w:rPr>
          <w:rFonts w:ascii="宋体" w:hAnsi="宋体" w:eastAsia="宋体" w:cs="宋体"/>
          <w:color w:val="8FAADB"/>
          <w:sz w:val="24"/>
          <w:szCs w:val="28"/>
        </w:rPr>
      </w:pPr>
      <w:r>
        <w:rPr>
          <w:rFonts w:hint="eastAsia" w:ascii="宋体" w:hAnsi="宋体" w:eastAsia="宋体" w:cs="宋体"/>
          <w:color w:val="8FAADB"/>
          <w:sz w:val="24"/>
          <w:szCs w:val="28"/>
          <w:lang w:bidi="ar"/>
        </w:rPr>
        <w:t>2）功能分区：依据使用功能和热需求差异，合理安排房间位置，如将频繁使用的空间置于南向以利用太阳能，将热敏感空间远离热桥或冷桥区域。</w:t>
      </w:r>
    </w:p>
    <w:p w14:paraId="04FB2C32">
      <w:pPr>
        <w:widowControl/>
        <w:adjustRightInd w:val="0"/>
        <w:snapToGrid w:val="0"/>
        <w:spacing w:line="26" w:lineRule="atLeast"/>
        <w:ind w:left="1207" w:leftChars="400" w:hanging="367" w:hangingChars="153"/>
        <w:rPr>
          <w:rFonts w:ascii="宋体" w:hAnsi="宋体" w:eastAsia="宋体" w:cs="宋体"/>
          <w:color w:val="8FAADB"/>
          <w:sz w:val="24"/>
          <w:szCs w:val="28"/>
        </w:rPr>
      </w:pPr>
      <w:r>
        <w:rPr>
          <w:rFonts w:hint="eastAsia" w:ascii="宋体" w:hAnsi="宋体" w:eastAsia="宋体" w:cs="宋体"/>
          <w:color w:val="8FAADB"/>
          <w:sz w:val="24"/>
          <w:szCs w:val="28"/>
          <w:lang w:bidi="ar"/>
        </w:rPr>
        <w:t>3）流线组织：优化建筑内部交通动线，减少无效空间，降低暖通空调系统的输送能耗。</w:t>
      </w:r>
    </w:p>
    <w:p w14:paraId="32DB1D15">
      <w:pPr>
        <w:pStyle w:val="13"/>
        <w:widowControl/>
        <w:shd w:val="clear" w:color="auto" w:fill="FFFFFF"/>
        <w:adjustRightInd w:val="0"/>
        <w:snapToGrid w:val="0"/>
        <w:spacing w:beforeAutospacing="0" w:afterAutospacing="0" w:line="26" w:lineRule="atLeast"/>
        <w:ind w:left="826" w:leftChars="229" w:hanging="345" w:hangingChars="144"/>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4  运用被动式设计手段：被动式设计是降低建筑能耗需求的重要策略，主要包括：</w:t>
      </w:r>
    </w:p>
    <w:p w14:paraId="1AF77AD5">
      <w:pPr>
        <w:widowControl/>
        <w:adjustRightInd w:val="0"/>
        <w:snapToGrid w:val="0"/>
        <w:spacing w:line="26" w:lineRule="atLeast"/>
        <w:ind w:left="1207" w:leftChars="400" w:hanging="367" w:hangingChars="153"/>
        <w:rPr>
          <w:rFonts w:ascii="宋体" w:hAnsi="宋体" w:eastAsia="宋体" w:cs="宋体"/>
          <w:color w:val="8FAADB"/>
          <w:sz w:val="24"/>
          <w:szCs w:val="28"/>
        </w:rPr>
      </w:pPr>
      <w:r>
        <w:rPr>
          <w:rFonts w:hint="eastAsia" w:ascii="宋体" w:hAnsi="宋体" w:eastAsia="宋体" w:cs="宋体"/>
          <w:color w:val="8FAADB"/>
          <w:sz w:val="24"/>
          <w:szCs w:val="28"/>
          <w:lang w:bidi="ar"/>
        </w:rPr>
        <w:t>1）自然通风：通过建筑设计引导自然风流，如利用风压差、热压差形成有效的穿堂风、烟囱效应等，减少对机械通风的依赖。</w:t>
      </w:r>
    </w:p>
    <w:p w14:paraId="23300CCE">
      <w:pPr>
        <w:widowControl/>
        <w:adjustRightInd w:val="0"/>
        <w:snapToGrid w:val="0"/>
        <w:spacing w:line="26" w:lineRule="atLeast"/>
        <w:ind w:left="1207" w:leftChars="400" w:hanging="367" w:hangingChars="153"/>
        <w:rPr>
          <w:rFonts w:ascii="宋体" w:hAnsi="宋体" w:eastAsia="宋体" w:cs="宋体"/>
          <w:color w:val="8FAADB"/>
          <w:sz w:val="24"/>
          <w:szCs w:val="28"/>
        </w:rPr>
      </w:pPr>
      <w:r>
        <w:rPr>
          <w:rFonts w:hint="eastAsia" w:ascii="宋体" w:hAnsi="宋体" w:eastAsia="宋体" w:cs="宋体"/>
          <w:color w:val="8FAADB"/>
          <w:sz w:val="24"/>
          <w:szCs w:val="28"/>
          <w:lang w:bidi="ar"/>
        </w:rPr>
        <w:t>2）天然采光：最大化利用日光照明，通过合适的窗户尺寸、位置、朝向以及内表面反射率设计，减少人工照明需求。</w:t>
      </w:r>
    </w:p>
    <w:p w14:paraId="056802FF">
      <w:pPr>
        <w:widowControl/>
        <w:adjustRightInd w:val="0"/>
        <w:snapToGrid w:val="0"/>
        <w:spacing w:line="26" w:lineRule="atLeast"/>
        <w:ind w:left="1207" w:leftChars="400" w:hanging="367" w:hangingChars="153"/>
        <w:rPr>
          <w:rFonts w:ascii="宋体" w:hAnsi="宋体" w:eastAsia="宋体" w:cs="宋体"/>
          <w:color w:val="8FAADB"/>
          <w:sz w:val="24"/>
          <w:szCs w:val="28"/>
        </w:rPr>
      </w:pPr>
      <w:r>
        <w:rPr>
          <w:rFonts w:hint="eastAsia" w:ascii="宋体" w:hAnsi="宋体" w:eastAsia="宋体" w:cs="宋体"/>
          <w:color w:val="8FAADB"/>
          <w:sz w:val="24"/>
          <w:szCs w:val="28"/>
          <w:lang w:bidi="ar"/>
        </w:rPr>
        <w:t>3）生态绿化：利用绿化植被、绿墙、绿色屋顶等手段，通过蒸发冷却、遮阳、减缓风速、吸收雨水等多种方式，辅助降低建筑能耗，同时提升生态环境品质。</w:t>
      </w:r>
    </w:p>
    <w:p w14:paraId="0247A10B">
      <w:pPr>
        <w:pStyle w:val="13"/>
        <w:widowControl/>
        <w:shd w:val="clear" w:color="auto" w:fill="FFFFFF"/>
        <w:adjustRightInd w:val="0"/>
        <w:snapToGrid w:val="0"/>
        <w:spacing w:beforeAutospacing="0" w:afterAutospacing="0" w:line="26" w:lineRule="atLeast"/>
        <w:ind w:left="826" w:leftChars="229" w:hanging="345" w:hangingChars="144"/>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5  提升主动式设备能效：对于必需的主动式建筑设备与系统，如空调、采暖、照明、热水供应等，应选用能效等级高的产品和技术，如变频空调、热泵系统、LED照明、高效热回收装置等，确保在满足使用需求的同时，最大程度降低设备本身的能耗。</w:t>
      </w:r>
    </w:p>
    <w:p w14:paraId="10F9E383">
      <w:pPr>
        <w:pStyle w:val="13"/>
        <w:widowControl/>
        <w:shd w:val="clear" w:color="auto" w:fill="FFFFFF"/>
        <w:adjustRightInd w:val="0"/>
        <w:snapToGrid w:val="0"/>
        <w:spacing w:beforeAutospacing="0" w:afterAutospacing="0" w:line="26" w:lineRule="atLeast"/>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6  充分利用可再生能源：在建筑规划与设计中融入可再生能源利用设施，如：</w:t>
      </w:r>
    </w:p>
    <w:p w14:paraId="5D99DB21">
      <w:pPr>
        <w:widowControl/>
        <w:adjustRightInd w:val="0"/>
        <w:snapToGrid w:val="0"/>
        <w:spacing w:line="26" w:lineRule="atLeast"/>
        <w:ind w:left="1207" w:leftChars="400" w:hanging="367" w:hangingChars="153"/>
        <w:rPr>
          <w:rFonts w:ascii="宋体" w:hAnsi="宋体" w:eastAsia="宋体" w:cs="宋体"/>
          <w:color w:val="8FAADB"/>
          <w:sz w:val="24"/>
          <w:szCs w:val="28"/>
        </w:rPr>
      </w:pPr>
      <w:r>
        <w:rPr>
          <w:rFonts w:hint="eastAsia" w:ascii="宋体" w:hAnsi="宋体" w:eastAsia="宋体" w:cs="宋体"/>
          <w:color w:val="8FAADB"/>
          <w:sz w:val="24"/>
          <w:szCs w:val="28"/>
          <w:lang w:bidi="ar"/>
        </w:rPr>
        <w:t>1）太阳能利用：安装太阳能光伏系统供电或太阳能热水系统供热水。</w:t>
      </w:r>
    </w:p>
    <w:p w14:paraId="727856DA">
      <w:pPr>
        <w:widowControl/>
        <w:adjustRightInd w:val="0"/>
        <w:snapToGrid w:val="0"/>
        <w:spacing w:line="26" w:lineRule="atLeast"/>
        <w:ind w:left="1207" w:leftChars="400" w:hanging="367" w:hangingChars="153"/>
        <w:rPr>
          <w:rFonts w:ascii="宋体" w:hAnsi="宋体" w:eastAsia="宋体" w:cs="宋体"/>
          <w:color w:val="8FAADB"/>
          <w:sz w:val="24"/>
          <w:szCs w:val="28"/>
        </w:rPr>
      </w:pPr>
      <w:r>
        <w:rPr>
          <w:rFonts w:hint="eastAsia" w:ascii="宋体" w:hAnsi="宋体" w:eastAsia="宋体" w:cs="宋体"/>
          <w:color w:val="8FAADB"/>
          <w:sz w:val="24"/>
          <w:szCs w:val="28"/>
          <w:lang w:bidi="ar"/>
        </w:rPr>
        <w:t>2）地热能利用：条件允许时，采用地源热泵系统提取浅层地热能用于供暖或制冷。</w:t>
      </w:r>
    </w:p>
    <w:p w14:paraId="0DA8EF8C">
      <w:pPr>
        <w:widowControl/>
        <w:adjustRightInd w:val="0"/>
        <w:snapToGrid w:val="0"/>
        <w:spacing w:line="26" w:lineRule="atLeast"/>
        <w:ind w:left="1207" w:leftChars="400" w:hanging="367" w:hangingChars="153"/>
        <w:rPr>
          <w:rFonts w:ascii="宋体" w:hAnsi="宋体" w:eastAsia="宋体" w:cs="宋体"/>
          <w:color w:val="8FAADB"/>
          <w:sz w:val="24"/>
          <w:szCs w:val="28"/>
        </w:rPr>
      </w:pPr>
      <w:r>
        <w:rPr>
          <w:rFonts w:hint="eastAsia" w:ascii="宋体" w:hAnsi="宋体" w:eastAsia="宋体" w:cs="宋体"/>
          <w:color w:val="8FAADB"/>
          <w:sz w:val="24"/>
          <w:szCs w:val="28"/>
          <w:lang w:bidi="ar"/>
        </w:rPr>
        <w:t>3）其他可再生能源：视具体情况考虑风能、生物质能等的利用。</w:t>
      </w:r>
    </w:p>
    <w:p w14:paraId="24FA7533">
      <w:pPr>
        <w:pStyle w:val="27"/>
        <w:widowControl/>
        <w:rPr>
          <w:rFonts w:hint="default"/>
        </w:rPr>
      </w:pPr>
      <w:r>
        <w:rPr>
          <w:rFonts w:hint="default" w:ascii="Times New Roman" w:hAnsi="Times New Roman"/>
          <w:b/>
          <w:bCs/>
          <w:szCs w:val="24"/>
        </w:rPr>
        <w:t xml:space="preserve">3.1.2  </w:t>
      </w:r>
      <w:r>
        <w:t>本标准中的室内环境参数及能效指标为约束性指标，涉及的各专业设计技术措施的性能指标为推荐性指标。</w:t>
      </w:r>
    </w:p>
    <w:p w14:paraId="376EE6DE">
      <w:pPr>
        <w:pStyle w:val="27"/>
        <w:widowControl/>
        <w:spacing w:line="26" w:lineRule="atLeast"/>
        <w:rPr>
          <w:rFonts w:hint="default"/>
          <w:color w:val="8FAADB"/>
          <w:szCs w:val="24"/>
        </w:rPr>
      </w:pPr>
      <w:r>
        <w:rPr>
          <w:b/>
          <w:bCs/>
          <w:color w:val="8FAADB"/>
          <w:szCs w:val="24"/>
        </w:rPr>
        <w:t>【条文说明】</w:t>
      </w:r>
      <w:r>
        <w:rPr>
          <w:color w:val="8FAADB"/>
          <w:szCs w:val="24"/>
        </w:rPr>
        <w:t>满足本标准规定的室内环境参数，确保为居住者提供健康、舒适的室内环境，这是超低能耗居住建筑的基本前提。本条规定本标准中的室内环境参数及能效指标为约束性指标。为了最大限度体现性能化设计对超低能耗建筑的贡献，本条规定涉及的各专业设计技术措施的性能指标为推荐性指标，以鼓励通过性能化设计方法实现超低能耗居住建筑的设计目标。</w:t>
      </w:r>
    </w:p>
    <w:p w14:paraId="349B951C">
      <w:pPr>
        <w:pStyle w:val="27"/>
        <w:widowControl/>
        <w:rPr>
          <w:rFonts w:hint="default"/>
        </w:rPr>
      </w:pPr>
      <w:r>
        <w:rPr>
          <w:rFonts w:hint="default" w:ascii="Times New Roman" w:hAnsi="Times New Roman"/>
          <w:b/>
          <w:bCs/>
          <w:szCs w:val="24"/>
        </w:rPr>
        <w:t xml:space="preserve">3.1.3  </w:t>
      </w:r>
      <w:r>
        <w:t>建筑能耗指标计算应符合第7章的规定。</w:t>
      </w:r>
    </w:p>
    <w:p w14:paraId="4FB4316E">
      <w:pPr>
        <w:pStyle w:val="27"/>
        <w:widowControl/>
        <w:rPr>
          <w:rFonts w:hint="default"/>
        </w:rPr>
      </w:pPr>
      <w:r>
        <w:rPr>
          <w:rFonts w:hint="default" w:ascii="Times New Roman" w:hAnsi="Times New Roman"/>
          <w:b/>
          <w:bCs/>
          <w:szCs w:val="24"/>
        </w:rPr>
        <w:t xml:space="preserve">3.1.4  </w:t>
      </w:r>
      <w:r>
        <w:t>超低能耗居住建筑应进行全装修设计。</w:t>
      </w:r>
    </w:p>
    <w:p w14:paraId="4ED93622">
      <w:pPr>
        <w:pStyle w:val="27"/>
        <w:widowControl/>
        <w:spacing w:line="26" w:lineRule="atLeast"/>
        <w:rPr>
          <w:rFonts w:hint="default"/>
        </w:rPr>
      </w:pPr>
      <w:r>
        <w:rPr>
          <w:b/>
          <w:bCs/>
          <w:color w:val="8FAADB"/>
          <w:szCs w:val="24"/>
        </w:rPr>
        <w:t>【条文说明】</w:t>
      </w:r>
      <w:r>
        <w:rPr>
          <w:color w:val="8FAADB"/>
          <w:szCs w:val="24"/>
        </w:rPr>
        <w:t>实现超低能耗居住建筑设计目标，需要综合运用多项技术手段。如果不按全装修设计，则应用在超低能耗居住建筑中的各项技术措施均无法保证在用户自行设计的装修活动中得到最终落实，从而无法真正实现超低能耗设计目标。所以，本条规定超低能耗居住建筑应进行全装修设计。</w:t>
      </w:r>
    </w:p>
    <w:p w14:paraId="7DFE82C6">
      <w:pPr>
        <w:pStyle w:val="4"/>
        <w:widowControl/>
      </w:pPr>
      <w:bookmarkStart w:id="31" w:name="_Toc7347"/>
      <w:bookmarkStart w:id="32" w:name="_Toc23940"/>
      <w:bookmarkStart w:id="33" w:name="_Toc8367"/>
      <w:bookmarkStart w:id="34" w:name="_Toc4991"/>
      <w:bookmarkStart w:id="35" w:name="_Toc6425"/>
      <w:bookmarkStart w:id="36" w:name="_Toc28932"/>
      <w:bookmarkStart w:id="37" w:name="_Toc21278"/>
      <w:bookmarkStart w:id="38" w:name="_Toc9453"/>
      <w:r>
        <w:rPr>
          <w:rFonts w:ascii="Times New Roman" w:hAnsi="Times New Roman"/>
        </w:rPr>
        <w:t>3.2</w:t>
      </w:r>
      <w:r>
        <w:t xml:space="preserve">  </w:t>
      </w:r>
      <w:r>
        <w:rPr>
          <w:rFonts w:hint="eastAsia" w:cs="宋体"/>
        </w:rPr>
        <w:t>技术指标</w:t>
      </w:r>
      <w:bookmarkEnd w:id="31"/>
      <w:bookmarkEnd w:id="32"/>
      <w:bookmarkEnd w:id="33"/>
      <w:bookmarkEnd w:id="34"/>
      <w:bookmarkEnd w:id="35"/>
      <w:bookmarkEnd w:id="36"/>
      <w:bookmarkEnd w:id="37"/>
      <w:bookmarkEnd w:id="38"/>
    </w:p>
    <w:p w14:paraId="27EBF0A0">
      <w:pPr>
        <w:pStyle w:val="27"/>
        <w:widowControl/>
        <w:rPr>
          <w:rFonts w:hint="default"/>
        </w:rPr>
      </w:pPr>
      <w:r>
        <w:rPr>
          <w:rFonts w:hint="default" w:ascii="Times New Roman" w:hAnsi="Times New Roman"/>
          <w:b/>
          <w:bCs/>
          <w:szCs w:val="24"/>
        </w:rPr>
        <w:t xml:space="preserve">3.2.1  </w:t>
      </w:r>
      <w:r>
        <w:t>超低能耗居住建筑主要房间室内环境参数应符合表3.2.1的规定：</w:t>
      </w:r>
    </w:p>
    <w:p w14:paraId="217AE5FF">
      <w:pPr>
        <w:pStyle w:val="27"/>
        <w:widowControl/>
        <w:spacing w:before="156" w:beforeLines="50" w:after="156" w:afterLines="50"/>
        <w:jc w:val="center"/>
        <w:rPr>
          <w:rFonts w:hint="default"/>
          <w:b/>
          <w:bCs/>
          <w:sz w:val="21"/>
          <w:szCs w:val="21"/>
        </w:rPr>
      </w:pPr>
      <w:r>
        <w:rPr>
          <w:b/>
          <w:bCs/>
          <w:sz w:val="21"/>
          <w:szCs w:val="21"/>
        </w:rPr>
        <w:t>表3.2.1  超低能耗居住建筑主要房间室内环境参数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4110"/>
        <w:gridCol w:w="1684"/>
        <w:gridCol w:w="1572"/>
      </w:tblGrid>
      <w:tr w14:paraId="3B6A7FD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110" w:type="dxa"/>
            <w:tcBorders>
              <w:top w:val="single" w:color="auto" w:sz="12" w:space="0"/>
              <w:left w:val="single" w:color="auto" w:sz="12" w:space="0"/>
              <w:bottom w:val="single" w:color="auto" w:sz="4" w:space="0"/>
              <w:right w:val="single" w:color="auto" w:sz="4" w:space="0"/>
            </w:tcBorders>
            <w:shd w:val="clear" w:color="auto" w:fill="auto"/>
          </w:tcPr>
          <w:p w14:paraId="02D62023">
            <w:pPr>
              <w:pStyle w:val="27"/>
              <w:widowControl/>
              <w:jc w:val="center"/>
              <w:rPr>
                <w:rFonts w:hint="default"/>
                <w:sz w:val="21"/>
                <w:szCs w:val="21"/>
              </w:rPr>
            </w:pPr>
            <w:r>
              <w:rPr>
                <w:sz w:val="21"/>
                <w:szCs w:val="21"/>
              </w:rPr>
              <w:t>室内湿环境参数</w:t>
            </w:r>
          </w:p>
        </w:tc>
        <w:tc>
          <w:tcPr>
            <w:tcW w:w="1684" w:type="dxa"/>
            <w:tcBorders>
              <w:top w:val="single" w:color="auto" w:sz="12" w:space="0"/>
              <w:left w:val="single" w:color="auto" w:sz="4" w:space="0"/>
              <w:bottom w:val="single" w:color="auto" w:sz="4" w:space="0"/>
              <w:right w:val="single" w:color="auto" w:sz="4" w:space="0"/>
            </w:tcBorders>
            <w:shd w:val="clear" w:color="auto" w:fill="auto"/>
          </w:tcPr>
          <w:p w14:paraId="6B9B908A">
            <w:pPr>
              <w:pStyle w:val="27"/>
              <w:widowControl/>
              <w:jc w:val="center"/>
              <w:rPr>
                <w:rFonts w:hint="default"/>
                <w:sz w:val="21"/>
                <w:szCs w:val="21"/>
              </w:rPr>
            </w:pPr>
            <w:r>
              <w:rPr>
                <w:sz w:val="21"/>
                <w:szCs w:val="21"/>
              </w:rPr>
              <w:t>冬季</w:t>
            </w:r>
          </w:p>
        </w:tc>
        <w:tc>
          <w:tcPr>
            <w:tcW w:w="1572" w:type="dxa"/>
            <w:tcBorders>
              <w:top w:val="single" w:color="auto" w:sz="12" w:space="0"/>
              <w:left w:val="single" w:color="auto" w:sz="4" w:space="0"/>
              <w:bottom w:val="single" w:color="auto" w:sz="4" w:space="0"/>
              <w:right w:val="single" w:color="auto" w:sz="12" w:space="0"/>
            </w:tcBorders>
            <w:shd w:val="clear" w:color="auto" w:fill="auto"/>
          </w:tcPr>
          <w:p w14:paraId="4A04F652">
            <w:pPr>
              <w:pStyle w:val="27"/>
              <w:widowControl/>
              <w:jc w:val="center"/>
              <w:rPr>
                <w:rFonts w:hint="default"/>
                <w:sz w:val="21"/>
                <w:szCs w:val="21"/>
              </w:rPr>
            </w:pPr>
            <w:r>
              <w:rPr>
                <w:sz w:val="21"/>
                <w:szCs w:val="21"/>
              </w:rPr>
              <w:t>夏季</w:t>
            </w:r>
          </w:p>
        </w:tc>
      </w:tr>
      <w:tr w14:paraId="79FE992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110" w:type="dxa"/>
            <w:tcBorders>
              <w:top w:val="single" w:color="auto" w:sz="4" w:space="0"/>
              <w:left w:val="single" w:color="auto" w:sz="12" w:space="0"/>
              <w:bottom w:val="single" w:color="auto" w:sz="4" w:space="0"/>
              <w:right w:val="single" w:color="auto" w:sz="4" w:space="0"/>
            </w:tcBorders>
            <w:shd w:val="clear" w:color="auto" w:fill="auto"/>
          </w:tcPr>
          <w:p w14:paraId="7FB6D243">
            <w:pPr>
              <w:pStyle w:val="27"/>
              <w:widowControl/>
              <w:jc w:val="center"/>
              <w:rPr>
                <w:rFonts w:hint="default"/>
                <w:sz w:val="21"/>
                <w:szCs w:val="21"/>
              </w:rPr>
            </w:pPr>
            <w:r>
              <w:rPr>
                <w:sz w:val="21"/>
                <w:szCs w:val="21"/>
              </w:rPr>
              <w:t>温度（℃）</w:t>
            </w:r>
          </w:p>
        </w:tc>
        <w:tc>
          <w:tcPr>
            <w:tcW w:w="1684" w:type="dxa"/>
            <w:tcBorders>
              <w:top w:val="single" w:color="auto" w:sz="4" w:space="0"/>
              <w:left w:val="single" w:color="auto" w:sz="4" w:space="0"/>
              <w:bottom w:val="single" w:color="auto" w:sz="4" w:space="0"/>
              <w:right w:val="single" w:color="auto" w:sz="4" w:space="0"/>
            </w:tcBorders>
            <w:shd w:val="clear" w:color="auto" w:fill="auto"/>
          </w:tcPr>
          <w:p w14:paraId="23AD43E9">
            <w:pPr>
              <w:pStyle w:val="27"/>
              <w:widowControl/>
              <w:jc w:val="center"/>
              <w:rPr>
                <w:rFonts w:hint="default"/>
                <w:sz w:val="21"/>
                <w:szCs w:val="21"/>
              </w:rPr>
            </w:pPr>
            <w:r>
              <w:rPr>
                <w:sz w:val="21"/>
                <w:szCs w:val="21"/>
              </w:rPr>
              <w:t>≥20</w:t>
            </w:r>
          </w:p>
        </w:tc>
        <w:tc>
          <w:tcPr>
            <w:tcW w:w="1572" w:type="dxa"/>
            <w:tcBorders>
              <w:top w:val="single" w:color="auto" w:sz="4" w:space="0"/>
              <w:left w:val="single" w:color="auto" w:sz="4" w:space="0"/>
              <w:bottom w:val="single" w:color="auto" w:sz="4" w:space="0"/>
              <w:right w:val="single" w:color="auto" w:sz="12" w:space="0"/>
            </w:tcBorders>
            <w:shd w:val="clear" w:color="auto" w:fill="auto"/>
          </w:tcPr>
          <w:p w14:paraId="491306F4">
            <w:pPr>
              <w:pStyle w:val="27"/>
              <w:widowControl/>
              <w:jc w:val="center"/>
              <w:rPr>
                <w:rFonts w:hint="default"/>
                <w:sz w:val="21"/>
                <w:szCs w:val="21"/>
              </w:rPr>
            </w:pPr>
            <w:r>
              <w:rPr>
                <w:sz w:val="21"/>
                <w:szCs w:val="21"/>
              </w:rPr>
              <w:t>≤26</w:t>
            </w:r>
          </w:p>
        </w:tc>
      </w:tr>
      <w:tr w14:paraId="2756445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110" w:type="dxa"/>
            <w:tcBorders>
              <w:top w:val="single" w:color="auto" w:sz="4" w:space="0"/>
              <w:left w:val="single" w:color="auto" w:sz="12" w:space="0"/>
              <w:bottom w:val="single" w:color="auto" w:sz="4" w:space="0"/>
              <w:right w:val="single" w:color="auto" w:sz="4" w:space="0"/>
            </w:tcBorders>
            <w:shd w:val="clear" w:color="auto" w:fill="auto"/>
          </w:tcPr>
          <w:p w14:paraId="37465731">
            <w:pPr>
              <w:pStyle w:val="27"/>
              <w:widowControl/>
              <w:jc w:val="center"/>
              <w:rPr>
                <w:rFonts w:hint="default"/>
                <w:sz w:val="21"/>
                <w:szCs w:val="21"/>
              </w:rPr>
            </w:pPr>
            <w:r>
              <w:rPr>
                <w:sz w:val="21"/>
                <w:szCs w:val="21"/>
              </w:rPr>
              <w:t>相对湿度（%）</w:t>
            </w:r>
          </w:p>
        </w:tc>
        <w:tc>
          <w:tcPr>
            <w:tcW w:w="1684" w:type="dxa"/>
            <w:tcBorders>
              <w:top w:val="single" w:color="auto" w:sz="4" w:space="0"/>
              <w:left w:val="single" w:color="auto" w:sz="4" w:space="0"/>
              <w:bottom w:val="single" w:color="auto" w:sz="4" w:space="0"/>
              <w:right w:val="single" w:color="auto" w:sz="4" w:space="0"/>
            </w:tcBorders>
            <w:shd w:val="clear" w:color="auto" w:fill="auto"/>
          </w:tcPr>
          <w:p w14:paraId="208BCD8B">
            <w:pPr>
              <w:pStyle w:val="27"/>
              <w:widowControl/>
              <w:jc w:val="center"/>
              <w:rPr>
                <w:rFonts w:hint="default"/>
                <w:sz w:val="21"/>
                <w:szCs w:val="21"/>
              </w:rPr>
            </w:pPr>
            <w:r>
              <w:rPr>
                <w:sz w:val="21"/>
                <w:szCs w:val="21"/>
              </w:rPr>
              <w:t>≥30</w:t>
            </w:r>
          </w:p>
        </w:tc>
        <w:tc>
          <w:tcPr>
            <w:tcW w:w="1572" w:type="dxa"/>
            <w:tcBorders>
              <w:top w:val="single" w:color="auto" w:sz="4" w:space="0"/>
              <w:left w:val="single" w:color="auto" w:sz="4" w:space="0"/>
              <w:bottom w:val="single" w:color="auto" w:sz="4" w:space="0"/>
              <w:right w:val="single" w:color="auto" w:sz="12" w:space="0"/>
            </w:tcBorders>
            <w:shd w:val="clear" w:color="auto" w:fill="auto"/>
          </w:tcPr>
          <w:p w14:paraId="2E58FFB3">
            <w:pPr>
              <w:pStyle w:val="27"/>
              <w:widowControl/>
              <w:jc w:val="center"/>
              <w:rPr>
                <w:rFonts w:hint="default"/>
                <w:sz w:val="21"/>
                <w:szCs w:val="21"/>
              </w:rPr>
            </w:pPr>
            <w:r>
              <w:rPr>
                <w:sz w:val="21"/>
                <w:szCs w:val="21"/>
              </w:rPr>
              <w:t>≤60</w:t>
            </w:r>
          </w:p>
        </w:tc>
      </w:tr>
      <w:tr w14:paraId="4953FBB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110" w:type="dxa"/>
            <w:tcBorders>
              <w:top w:val="single" w:color="auto" w:sz="4" w:space="0"/>
              <w:left w:val="single" w:color="auto" w:sz="12" w:space="0"/>
              <w:bottom w:val="single" w:color="auto" w:sz="4" w:space="0"/>
              <w:right w:val="single" w:color="auto" w:sz="4" w:space="0"/>
            </w:tcBorders>
            <w:shd w:val="clear" w:color="auto" w:fill="auto"/>
          </w:tcPr>
          <w:p w14:paraId="33881D3D">
            <w:pPr>
              <w:pStyle w:val="27"/>
              <w:widowControl/>
              <w:jc w:val="center"/>
              <w:rPr>
                <w:rFonts w:hint="default"/>
                <w:sz w:val="21"/>
                <w:szCs w:val="21"/>
              </w:rPr>
            </w:pPr>
            <w:r>
              <w:rPr>
                <w:sz w:val="21"/>
                <w:szCs w:val="21"/>
              </w:rPr>
              <w:t>主要房间新风量(</w:t>
            </w:r>
            <w:r>
              <w:rPr>
                <w:position w:val="-8"/>
                <w:sz w:val="21"/>
                <w:szCs w:val="21"/>
              </w:rPr>
              <w:object>
                <v:shape id="_x0000_i1025" o:spt="75" type="#_x0000_t75" style="height:13.8pt;width:45pt;" o:ole="t" filled="f" o:preferrelative="t" stroked="f" coordsize="21600,21600">
                  <v:path/>
                  <v:fill on="f" focussize="0,0"/>
                  <v:stroke on="f" joinstyle="miter"/>
                  <v:imagedata r:id="rId6" o:title=""/>
                  <o:lock v:ext="edit" aspectratio="t"/>
                  <w10:wrap type="none"/>
                  <w10:anchorlock/>
                </v:shape>
                <o:OLEObject Type="Embed" ProgID="" ShapeID="_x0000_i1025" DrawAspect="Content" ObjectID="_1468075725" r:id="rId5">
                  <o:LockedField>false</o:LockedField>
                </o:OLEObject>
              </w:object>
            </w:r>
            <w:r>
              <w:rPr>
                <w:sz w:val="21"/>
                <w:szCs w:val="21"/>
              </w:rPr>
              <w:t>)</w:t>
            </w:r>
          </w:p>
        </w:tc>
        <w:tc>
          <w:tcPr>
            <w:tcW w:w="3256" w:type="dxa"/>
            <w:gridSpan w:val="2"/>
            <w:tcBorders>
              <w:top w:val="single" w:color="auto" w:sz="4" w:space="0"/>
              <w:left w:val="single" w:color="auto" w:sz="4" w:space="0"/>
              <w:bottom w:val="single" w:color="auto" w:sz="4" w:space="0"/>
              <w:right w:val="single" w:color="auto" w:sz="12" w:space="0"/>
            </w:tcBorders>
            <w:shd w:val="clear" w:color="auto" w:fill="auto"/>
          </w:tcPr>
          <w:p w14:paraId="07D67505">
            <w:pPr>
              <w:pStyle w:val="27"/>
              <w:widowControl/>
              <w:jc w:val="center"/>
              <w:rPr>
                <w:rFonts w:hint="default"/>
                <w:sz w:val="21"/>
                <w:szCs w:val="21"/>
              </w:rPr>
            </w:pPr>
            <w:r>
              <w:rPr>
                <w:sz w:val="21"/>
                <w:szCs w:val="21"/>
              </w:rPr>
              <w:t>≥30</w:t>
            </w:r>
          </w:p>
        </w:tc>
      </w:tr>
      <w:tr w14:paraId="7FFF9D2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110" w:type="dxa"/>
            <w:tcBorders>
              <w:top w:val="single" w:color="auto" w:sz="4" w:space="0"/>
              <w:left w:val="single" w:color="auto" w:sz="12" w:space="0"/>
              <w:bottom w:val="single" w:color="auto" w:sz="12" w:space="0"/>
              <w:right w:val="single" w:color="auto" w:sz="4" w:space="0"/>
            </w:tcBorders>
            <w:shd w:val="clear" w:color="auto" w:fill="auto"/>
          </w:tcPr>
          <w:p w14:paraId="35EC461E">
            <w:pPr>
              <w:pStyle w:val="27"/>
              <w:widowControl/>
              <w:jc w:val="center"/>
              <w:rPr>
                <w:rFonts w:hint="default"/>
                <w:sz w:val="21"/>
                <w:szCs w:val="21"/>
              </w:rPr>
            </w:pPr>
            <w:r>
              <w:rPr>
                <w:sz w:val="21"/>
                <w:szCs w:val="21"/>
              </w:rPr>
              <w:t>温度不保证率（%）</w:t>
            </w:r>
          </w:p>
        </w:tc>
        <w:tc>
          <w:tcPr>
            <w:tcW w:w="3256" w:type="dxa"/>
            <w:gridSpan w:val="2"/>
            <w:tcBorders>
              <w:top w:val="single" w:color="auto" w:sz="4" w:space="0"/>
              <w:left w:val="single" w:color="auto" w:sz="4" w:space="0"/>
              <w:bottom w:val="single" w:color="auto" w:sz="12" w:space="0"/>
              <w:right w:val="single" w:color="auto" w:sz="12" w:space="0"/>
            </w:tcBorders>
            <w:shd w:val="clear" w:color="auto" w:fill="auto"/>
          </w:tcPr>
          <w:p w14:paraId="444AADF0">
            <w:pPr>
              <w:pStyle w:val="27"/>
              <w:widowControl/>
              <w:jc w:val="center"/>
              <w:rPr>
                <w:rFonts w:hint="default"/>
                <w:sz w:val="21"/>
                <w:szCs w:val="21"/>
              </w:rPr>
            </w:pPr>
            <w:r>
              <w:rPr>
                <w:sz w:val="21"/>
                <w:szCs w:val="21"/>
              </w:rPr>
              <w:t>≤10</w:t>
            </w:r>
          </w:p>
        </w:tc>
      </w:tr>
    </w:tbl>
    <w:p w14:paraId="0C3C3676">
      <w:pPr>
        <w:pStyle w:val="27"/>
        <w:widowControl/>
        <w:ind w:left="1059" w:leftChars="200" w:right="420" w:rightChars="200" w:hanging="639" w:hangingChars="355"/>
        <w:rPr>
          <w:rFonts w:hint="default"/>
          <w:sz w:val="18"/>
          <w:szCs w:val="18"/>
        </w:rPr>
      </w:pPr>
      <w:r>
        <w:rPr>
          <w:sz w:val="18"/>
          <w:szCs w:val="18"/>
        </w:rPr>
        <w:t>注：</w:t>
      </w:r>
      <w:r>
        <w:rPr>
          <w:rFonts w:hint="default" w:ascii="Times New Roman" w:hAnsi="Times New Roman"/>
          <w:b/>
          <w:bCs/>
          <w:sz w:val="18"/>
          <w:szCs w:val="18"/>
        </w:rPr>
        <w:t xml:space="preserve">1  </w:t>
      </w:r>
      <w:r>
        <w:rPr>
          <w:sz w:val="18"/>
          <w:szCs w:val="18"/>
        </w:rPr>
        <w:t>冬季室内湿度可不参与设备选型和能耗指标计算；当严寒地区不设置空调设施时，夏季室内热湿环境参数可不参与设备选型和能效指标的计算；当夏热冬暖和温和地区不设置供暖设施时，冬季室内热湿环境参数可不参与设备选型和能耗指标计算。</w:t>
      </w:r>
    </w:p>
    <w:p w14:paraId="7D021253">
      <w:pPr>
        <w:pStyle w:val="27"/>
        <w:widowControl/>
        <w:ind w:left="1055" w:leftChars="304" w:hanging="417" w:hangingChars="231"/>
        <w:rPr>
          <w:rFonts w:hint="default"/>
          <w:sz w:val="18"/>
          <w:szCs w:val="18"/>
        </w:rPr>
      </w:pPr>
      <w:r>
        <w:rPr>
          <w:rFonts w:hint="default" w:ascii="Times New Roman" w:hAnsi="Times New Roman"/>
          <w:b/>
          <w:bCs/>
          <w:sz w:val="18"/>
          <w:szCs w:val="18"/>
        </w:rPr>
        <w:t xml:space="preserve">2  </w:t>
      </w:r>
      <w:r>
        <w:rPr>
          <w:sz w:val="18"/>
          <w:szCs w:val="18"/>
        </w:rPr>
        <w:t>新风量的人均建筑面积按</w:t>
      </w:r>
      <w:r>
        <w:rPr>
          <w:rFonts w:hint="default" w:ascii="Times New Roman" w:hAnsi="Times New Roman"/>
          <w:sz w:val="18"/>
          <w:szCs w:val="18"/>
        </w:rPr>
        <w:t>32m</w:t>
      </w:r>
      <w:r>
        <w:rPr>
          <w:rFonts w:ascii="Times New Roman" w:hAnsi="Times New Roman"/>
          <w:sz w:val="18"/>
          <w:szCs w:val="18"/>
        </w:rPr>
        <w:t>²</w:t>
      </w:r>
      <w:r>
        <w:rPr>
          <w:rFonts w:hint="default" w:ascii="Times New Roman" w:hAnsi="Times New Roman"/>
          <w:sz w:val="18"/>
          <w:szCs w:val="18"/>
        </w:rPr>
        <w:t>/</w:t>
      </w:r>
      <w:r>
        <w:rPr>
          <w:sz w:val="18"/>
          <w:szCs w:val="18"/>
        </w:rPr>
        <w:t>人。</w:t>
      </w:r>
    </w:p>
    <w:p w14:paraId="5385E29A">
      <w:pPr>
        <w:pStyle w:val="27"/>
        <w:widowControl/>
        <w:ind w:left="1055" w:leftChars="304" w:hanging="417" w:hangingChars="231"/>
        <w:rPr>
          <w:rFonts w:hint="default"/>
          <w:sz w:val="18"/>
          <w:szCs w:val="18"/>
        </w:rPr>
      </w:pPr>
      <w:r>
        <w:rPr>
          <w:rFonts w:hint="default" w:ascii="Times New Roman" w:hAnsi="Times New Roman"/>
          <w:b/>
          <w:bCs/>
          <w:sz w:val="18"/>
          <w:szCs w:val="18"/>
        </w:rPr>
        <w:t xml:space="preserve">3  </w:t>
      </w:r>
      <w:r>
        <w:rPr>
          <w:sz w:val="18"/>
          <w:szCs w:val="18"/>
        </w:rPr>
        <w:t>主要房间：宿舍与住宅套内的卧室、客厅、餐厅、书房。</w:t>
      </w:r>
    </w:p>
    <w:p w14:paraId="52530FE0">
      <w:pPr>
        <w:pStyle w:val="27"/>
        <w:widowControl/>
        <w:ind w:left="1055" w:leftChars="304" w:hanging="417" w:hangingChars="231"/>
        <w:rPr>
          <w:rFonts w:hint="default" w:ascii="Times New Roman" w:hAnsi="Times New Roman"/>
          <w:sz w:val="18"/>
          <w:szCs w:val="18"/>
        </w:rPr>
      </w:pPr>
      <w:r>
        <w:rPr>
          <w:rFonts w:hint="default" w:ascii="Times New Roman" w:hAnsi="Times New Roman"/>
          <w:b/>
          <w:bCs/>
          <w:sz w:val="18"/>
          <w:szCs w:val="18"/>
        </w:rPr>
        <w:t xml:space="preserve">4  </w:t>
      </w:r>
      <w:r>
        <w:rPr>
          <w:sz w:val="18"/>
          <w:szCs w:val="18"/>
        </w:rPr>
        <w:t>温度</w:t>
      </w:r>
      <w:r>
        <w:rPr>
          <w:rFonts w:ascii="Times New Roman" w:hAnsi="Times New Roman"/>
          <w:sz w:val="18"/>
          <w:szCs w:val="18"/>
        </w:rPr>
        <w:t>不保证率：当不设供暖设施时，全年室内温度低于</w:t>
      </w:r>
      <w:r>
        <w:rPr>
          <w:rFonts w:hint="default" w:ascii="Times New Roman" w:hAnsi="Times New Roman"/>
          <w:sz w:val="18"/>
          <w:szCs w:val="18"/>
        </w:rPr>
        <w:t>20℃</w:t>
      </w:r>
      <w:r>
        <w:rPr>
          <w:rFonts w:ascii="Times New Roman" w:hAnsi="Times New Roman"/>
          <w:sz w:val="18"/>
          <w:szCs w:val="18"/>
        </w:rPr>
        <w:t>的小时数占全年时间的比例；当不设空调设施时，全年室内温度高于</w:t>
      </w:r>
      <w:r>
        <w:rPr>
          <w:rFonts w:hint="default" w:ascii="Times New Roman" w:hAnsi="Times New Roman"/>
          <w:sz w:val="18"/>
          <w:szCs w:val="18"/>
        </w:rPr>
        <w:t>26℃</w:t>
      </w:r>
      <w:r>
        <w:rPr>
          <w:rFonts w:ascii="Times New Roman" w:hAnsi="Times New Roman"/>
          <w:sz w:val="18"/>
          <w:szCs w:val="18"/>
        </w:rPr>
        <w:t>的小时数占全年时间的比例。</w:t>
      </w:r>
    </w:p>
    <w:p w14:paraId="5794EDB9">
      <w:pPr>
        <w:pStyle w:val="13"/>
        <w:widowControl/>
        <w:shd w:val="clear" w:color="auto" w:fill="FFFFFF"/>
        <w:adjustRightInd w:val="0"/>
        <w:snapToGrid w:val="0"/>
        <w:spacing w:beforeAutospacing="0" w:afterAutospacing="0" w:line="312" w:lineRule="auto"/>
        <w:rPr>
          <w:rFonts w:ascii="宋体" w:hAnsi="宋体" w:cs="宋体"/>
          <w:color w:val="8FAADB"/>
          <w:kern w:val="2"/>
          <w:szCs w:val="28"/>
          <w:shd w:val="clear" w:color="auto" w:fill="FFFFFF"/>
        </w:rPr>
      </w:pPr>
      <w:r>
        <w:rPr>
          <w:rFonts w:hint="eastAsia" w:cs="宋体"/>
          <w:b/>
          <w:bCs/>
          <w:color w:val="8FAADB"/>
          <w:shd w:val="clear" w:color="auto" w:fill="FFFFFF"/>
        </w:rPr>
        <w:t>【条文说明】</w:t>
      </w:r>
      <w:r>
        <w:rPr>
          <w:rFonts w:hint="eastAsia" w:ascii="宋体" w:hAnsi="宋体" w:cs="宋体"/>
          <w:color w:val="8FAADB"/>
          <w:kern w:val="2"/>
          <w:szCs w:val="28"/>
          <w:shd w:val="clear" w:color="auto" w:fill="FFFFFF"/>
        </w:rPr>
        <w:t>本条旨在为设计人员提供一套科学、严谨的室内环境设计参数，作为构建健康、舒适且节能的超低能耗居住建筑的指导依据。在进行性能化设计、能耗计算和评价时，所采用的室内环境参数应与本条所规定的参数保持一致，确保设计与评估的一致性和准确性。</w:t>
      </w:r>
    </w:p>
    <w:p w14:paraId="0770BAE3">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健康、舒适的室内环境是超低能耗居住建筑的核心诉求。为此，本条着重规定了影响室内热舒适水平的关键参数——温度与相对湿度。这些参数直接影响人体感知的热舒适程度及建筑的能耗表现。设计时，应以满足人体热舒适需求为目标，而对于工艺性建筑空间，则应依据其特定工艺要求另行设定相应的环境参数。</w:t>
      </w:r>
    </w:p>
    <w:p w14:paraId="0ABE406E">
      <w:pPr>
        <w:pStyle w:val="13"/>
        <w:widowControl/>
        <w:shd w:val="clear" w:color="auto" w:fill="FFFFFF"/>
        <w:adjustRightInd w:val="0"/>
        <w:snapToGrid w:val="0"/>
        <w:spacing w:beforeAutospacing="0" w:afterAutospacing="0" w:line="312" w:lineRule="auto"/>
        <w:ind w:firstLine="480" w:firstLineChars="200"/>
        <w:rPr>
          <w:rFonts w:ascii="Times New Roman" w:hAnsi="Times New Roman"/>
          <w:color w:val="8FAADB"/>
          <w:kern w:val="2"/>
          <w:szCs w:val="28"/>
          <w:shd w:val="clear" w:color="auto" w:fill="FFFFFF"/>
        </w:rPr>
      </w:pPr>
      <w:r>
        <w:rPr>
          <w:rFonts w:hint="eastAsia" w:ascii="Times New Roman" w:hAnsi="Times New Roman" w:cs="宋体"/>
          <w:color w:val="8FAADB"/>
          <w:kern w:val="2"/>
          <w:szCs w:val="28"/>
          <w:shd w:val="clear" w:color="auto" w:fill="FFFFFF"/>
        </w:rPr>
        <w:t>国内外研究普遍认为，当人体穿着适宜且处于静息状态时，室内温度为</w:t>
      </w:r>
      <w:r>
        <w:rPr>
          <w:rFonts w:ascii="Times New Roman" w:hAnsi="Times New Roman"/>
          <w:color w:val="8FAADB"/>
          <w:kern w:val="2"/>
          <w:szCs w:val="28"/>
          <w:shd w:val="clear" w:color="auto" w:fill="FFFFFF"/>
        </w:rPr>
        <w:t>20℃</w:t>
      </w:r>
      <w:r>
        <w:rPr>
          <w:rFonts w:hint="eastAsia" w:ascii="Times New Roman" w:hAnsi="Times New Roman" w:cs="宋体"/>
          <w:color w:val="8FAADB"/>
          <w:kern w:val="2"/>
          <w:szCs w:val="28"/>
          <w:shd w:val="clear" w:color="auto" w:fill="FFFFFF"/>
        </w:rPr>
        <w:t>时最为舒适，</w:t>
      </w:r>
      <w:r>
        <w:rPr>
          <w:rFonts w:ascii="Times New Roman" w:hAnsi="Times New Roman"/>
          <w:color w:val="8FAADB"/>
          <w:kern w:val="2"/>
          <w:szCs w:val="28"/>
          <w:shd w:val="clear" w:color="auto" w:fill="FFFFFF"/>
        </w:rPr>
        <w:t>18℃</w:t>
      </w:r>
      <w:r>
        <w:rPr>
          <w:rFonts w:hint="eastAsia" w:ascii="Times New Roman" w:hAnsi="Times New Roman" w:cs="宋体"/>
          <w:color w:val="8FAADB"/>
          <w:kern w:val="2"/>
          <w:szCs w:val="28"/>
          <w:shd w:val="clear" w:color="auto" w:fill="FFFFFF"/>
        </w:rPr>
        <w:t>时无明显冷感，而</w:t>
      </w:r>
      <w:r>
        <w:rPr>
          <w:rFonts w:ascii="Times New Roman" w:hAnsi="Times New Roman"/>
          <w:color w:val="8FAADB"/>
          <w:kern w:val="2"/>
          <w:szCs w:val="28"/>
          <w:shd w:val="clear" w:color="auto" w:fill="FFFFFF"/>
        </w:rPr>
        <w:t>15℃</w:t>
      </w:r>
      <w:r>
        <w:rPr>
          <w:rFonts w:hint="eastAsia" w:ascii="Times New Roman" w:hAnsi="Times New Roman" w:cs="宋体"/>
          <w:color w:val="8FAADB"/>
          <w:kern w:val="2"/>
          <w:szCs w:val="28"/>
          <w:shd w:val="clear" w:color="auto" w:fill="FFFFFF"/>
        </w:rPr>
        <w:t>以下则易产生冷感。根据热舒适模型（</w:t>
      </w:r>
      <w:r>
        <w:rPr>
          <w:rFonts w:ascii="Times New Roman" w:hAnsi="Times New Roman"/>
          <w:color w:val="8FAADB"/>
          <w:kern w:val="2"/>
          <w:szCs w:val="28"/>
          <w:shd w:val="clear" w:color="auto" w:fill="FFFFFF"/>
        </w:rPr>
        <w:t>PMV</w:t>
      </w:r>
      <w:r>
        <w:rPr>
          <w:rFonts w:hint="eastAsia" w:ascii="Times New Roman" w:hAnsi="Times New Roman" w:cs="宋体"/>
          <w:color w:val="8FAADB"/>
          <w:kern w:val="2"/>
          <w:szCs w:val="28"/>
          <w:shd w:val="clear" w:color="auto" w:fill="FFFFFF"/>
        </w:rPr>
        <w:t>）分析，冬季（</w:t>
      </w:r>
      <w:r>
        <w:rPr>
          <w:rFonts w:ascii="Times New Roman" w:hAnsi="Times New Roman"/>
          <w:color w:val="8FAADB"/>
          <w:kern w:val="2"/>
          <w:szCs w:val="28"/>
          <w:shd w:val="clear" w:color="auto" w:fill="FFFFFF"/>
        </w:rPr>
        <w:t>-1≤PMV≤1</w:t>
      </w:r>
      <w:r>
        <w:rPr>
          <w:rFonts w:hint="eastAsia" w:ascii="Times New Roman" w:hAnsi="Times New Roman" w:cs="宋体"/>
          <w:color w:val="8FAADB"/>
          <w:kern w:val="2"/>
          <w:szCs w:val="28"/>
          <w:shd w:val="clear" w:color="auto" w:fill="FFFFFF"/>
        </w:rPr>
        <w:t>）对应的舒适温度区间为</w:t>
      </w:r>
      <w:r>
        <w:rPr>
          <w:rFonts w:ascii="Times New Roman" w:hAnsi="Times New Roman"/>
          <w:color w:val="8FAADB"/>
          <w:kern w:val="2"/>
          <w:szCs w:val="28"/>
          <w:shd w:val="clear" w:color="auto" w:fill="FFFFFF"/>
        </w:rPr>
        <w:t>18℃</w:t>
      </w:r>
      <w:r>
        <w:rPr>
          <w:rFonts w:hint="eastAsia" w:ascii="Times New Roman" w:hAnsi="Times New Roman" w:cs="宋体"/>
          <w:color w:val="8FAADB"/>
          <w:kern w:val="2"/>
          <w:szCs w:val="28"/>
          <w:shd w:val="clear" w:color="auto" w:fill="FFFFFF"/>
        </w:rPr>
        <w:t>～</w:t>
      </w:r>
      <w:r>
        <w:rPr>
          <w:rFonts w:ascii="Times New Roman" w:hAnsi="Times New Roman"/>
          <w:color w:val="8FAADB"/>
          <w:kern w:val="2"/>
          <w:szCs w:val="28"/>
          <w:shd w:val="clear" w:color="auto" w:fill="FFFFFF"/>
        </w:rPr>
        <w:t>24℃</w:t>
      </w:r>
      <w:r>
        <w:rPr>
          <w:rFonts w:hint="eastAsia" w:ascii="Times New Roman" w:hAnsi="Times New Roman" w:cs="宋体"/>
          <w:color w:val="8FAADB"/>
          <w:kern w:val="2"/>
          <w:szCs w:val="28"/>
          <w:shd w:val="clear" w:color="auto" w:fill="FFFFFF"/>
        </w:rPr>
        <w:t>。基于节能与舒适兼顾的原则，本标准在北方集中供暖常设温度（</w:t>
      </w:r>
      <w:r>
        <w:rPr>
          <w:rFonts w:ascii="Times New Roman" w:hAnsi="Times New Roman"/>
          <w:color w:val="8FAADB"/>
          <w:kern w:val="2"/>
          <w:szCs w:val="28"/>
          <w:shd w:val="clear" w:color="auto" w:fill="FFFFFF"/>
        </w:rPr>
        <w:t>18℃</w:t>
      </w:r>
      <w:r>
        <w:rPr>
          <w:rFonts w:hint="eastAsia" w:ascii="Times New Roman" w:hAnsi="Times New Roman" w:cs="宋体"/>
          <w:color w:val="8FAADB"/>
          <w:kern w:val="2"/>
          <w:szCs w:val="28"/>
          <w:shd w:val="clear" w:color="auto" w:fill="FFFFFF"/>
        </w:rPr>
        <w:t>）基础上适度提升至</w:t>
      </w:r>
      <w:r>
        <w:rPr>
          <w:rFonts w:ascii="Times New Roman" w:hAnsi="Times New Roman"/>
          <w:color w:val="8FAADB"/>
          <w:kern w:val="2"/>
          <w:szCs w:val="28"/>
          <w:shd w:val="clear" w:color="auto" w:fill="FFFFFF"/>
        </w:rPr>
        <w:t>20℃</w:t>
      </w:r>
      <w:r>
        <w:rPr>
          <w:rFonts w:hint="eastAsia" w:ascii="Times New Roman" w:hAnsi="Times New Roman" w:cs="宋体"/>
          <w:color w:val="8FAADB"/>
          <w:kern w:val="2"/>
          <w:szCs w:val="28"/>
          <w:shd w:val="clear" w:color="auto" w:fill="FFFFFF"/>
        </w:rPr>
        <w:t>，旨在在确保生活质量、提升室内舒适度的同时，尽可能实现节能目标。</w:t>
      </w:r>
    </w:p>
    <w:p w14:paraId="3FBA64A6">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超低能耗居住建筑凭借良好的气密性与新风热回收系统，尤其在冬季室内外温差较大的地区，相较于普通建筑更能有效维持室内相对湿度。实证研究表明，北方冬季超低能耗建筑的室内湿度通常可保持在30%以上。表3.2.1中所列冬季室内相对湿度为舒适度要求，不纳入设备选型与能耗指标计算。此类建筑通过被动式设计及高效气密性，有效防止冷风渗透导致的室内湿度下降，为居住者营造适宜的湿度环境。</w:t>
      </w:r>
    </w:p>
    <w:p w14:paraId="6CB3FFFB">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1F2328"/>
          <w:shd w:val="clear" w:color="auto" w:fill="FFFFFF"/>
        </w:rPr>
      </w:pPr>
      <w:r>
        <w:rPr>
          <w:rFonts w:hint="eastAsia" w:ascii="宋体" w:hAnsi="宋体" w:cs="宋体"/>
          <w:color w:val="8FAADB"/>
          <w:kern w:val="2"/>
          <w:szCs w:val="28"/>
          <w:shd w:val="clear" w:color="auto" w:fill="FFFFFF"/>
        </w:rPr>
        <w:t>在特定气候区，超低能耗建筑凭借其优越的节能性能，可能无需主动供暖或供冷系统即可确保室内热舒适度。计算显示，对于夏热冬暖和部分温和地区，若不设置供暖设施，全年室内温度低于20℃的小时数（过冷小时数）占全年时间的比例应≤10%；而在部分严寒地区若不设空调设施，全年温度高于28℃的小时数（过热小时数）占全年时间的比例也应≤10%。这表明，在适宜的气候条件下，超低能耗建筑可通过被动式技术和优良围护结构，使夏季室内保持良好环境，或在冬季无需主动供暖系统，有效改善室内低温状况。如此，部分气候区的超低能耗建筑在不增设供暖和空调设施的情况下，仍能大幅度提升室内环境的热舒适度，优于常规建筑。</w:t>
      </w:r>
    </w:p>
    <w:p w14:paraId="50702B8E">
      <w:pPr>
        <w:pStyle w:val="13"/>
        <w:widowControl/>
        <w:shd w:val="clear" w:color="auto" w:fill="FFFFFF"/>
        <w:adjustRightInd w:val="0"/>
        <w:snapToGrid w:val="0"/>
        <w:spacing w:beforeAutospacing="0" w:afterAutospacing="0" w:line="312" w:lineRule="auto"/>
        <w:ind w:firstLine="480" w:firstLineChars="200"/>
        <w:rPr>
          <w:color w:val="8FAADB"/>
          <w:shd w:val="clear" w:color="auto" w:fill="FFFFFF"/>
        </w:rPr>
      </w:pPr>
      <w:r>
        <w:rPr>
          <w:rFonts w:hint="eastAsia" w:ascii="宋体" w:hAnsi="宋体" w:cs="宋体"/>
          <w:color w:val="8FAADB"/>
          <w:kern w:val="2"/>
          <w:szCs w:val="28"/>
          <w:shd w:val="clear" w:color="auto" w:fill="FFFFFF"/>
        </w:rPr>
        <w:t>本条中所称“主要房间”，特指建筑中人员长期停留的空间，如卧室、起居室、办公室等。对于人员短期停留的公共区域，如走廊、电梯厅、地下车库等，其热湿参数应依据实际需求设定，并需符合现行相关标准的规定。此类空间的环境调控应兼顾使用者体验、建筑功能及节能效果，确保整体建筑室内环境的和谐统一。</w:t>
      </w:r>
    </w:p>
    <w:p w14:paraId="7A43CBA9">
      <w:pPr>
        <w:pStyle w:val="27"/>
        <w:widowControl/>
        <w:rPr>
          <w:rFonts w:hint="default"/>
        </w:rPr>
      </w:pPr>
      <w:r>
        <w:rPr>
          <w:rFonts w:hint="default" w:ascii="Times New Roman" w:hAnsi="Times New Roman"/>
          <w:b/>
          <w:bCs/>
          <w:szCs w:val="24"/>
        </w:rPr>
        <w:t xml:space="preserve">3.2.2 </w:t>
      </w:r>
      <w:r>
        <w:t>超低能耗居住建筑能效指标应符合表</w:t>
      </w:r>
      <w:r>
        <w:rPr>
          <w:rFonts w:hint="default" w:ascii="Times New Roman" w:hAnsi="Times New Roman"/>
        </w:rPr>
        <w:t>3.2.2</w:t>
      </w:r>
      <w:r>
        <w:t>的规定。</w:t>
      </w:r>
    </w:p>
    <w:p w14:paraId="15E913E0">
      <w:pPr>
        <w:pStyle w:val="27"/>
        <w:widowControl/>
        <w:spacing w:before="156" w:beforeLines="50" w:after="156" w:afterLines="50"/>
        <w:jc w:val="center"/>
        <w:rPr>
          <w:rFonts w:hint="default"/>
          <w:b/>
          <w:bCs/>
          <w:sz w:val="21"/>
          <w:szCs w:val="21"/>
        </w:rPr>
      </w:pPr>
      <w:r>
        <w:rPr>
          <w:b/>
          <w:bCs/>
          <w:sz w:val="21"/>
          <w:szCs w:val="21"/>
        </w:rPr>
        <w:t>表3.2.2  超低能耗居住建筑能效指标</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outset" w:color="auto" w:sz="6" w:space="0"/>
        </w:tblBorders>
        <w:tblLayout w:type="autofit"/>
        <w:tblCellMar>
          <w:top w:w="57" w:type="dxa"/>
          <w:left w:w="57" w:type="dxa"/>
          <w:bottom w:w="57" w:type="dxa"/>
          <w:right w:w="57" w:type="dxa"/>
        </w:tblCellMar>
      </w:tblPr>
      <w:tblGrid>
        <w:gridCol w:w="1996"/>
        <w:gridCol w:w="965"/>
        <w:gridCol w:w="1069"/>
        <w:gridCol w:w="1528"/>
        <w:gridCol w:w="1078"/>
        <w:gridCol w:w="1525"/>
      </w:tblGrid>
      <w:tr w14:paraId="5C5666A6">
        <w:tblPrEx>
          <w:tblBorders>
            <w:top w:val="single" w:color="auto" w:sz="12" w:space="0"/>
            <w:left w:val="single" w:color="auto" w:sz="12" w:space="0"/>
            <w:bottom w:val="single" w:color="auto" w:sz="12" w:space="0"/>
            <w:right w:val="single" w:color="auto" w:sz="12" w:space="0"/>
            <w:insideH w:val="single" w:color="auto" w:sz="4" w:space="0"/>
            <w:insideV w:val="outset" w:color="auto" w:sz="6" w:space="0"/>
          </w:tblBorders>
          <w:tblCellMar>
            <w:top w:w="57" w:type="dxa"/>
            <w:left w:w="57" w:type="dxa"/>
            <w:bottom w:w="57" w:type="dxa"/>
            <w:right w:w="57" w:type="dxa"/>
          </w:tblCellMar>
        </w:tblPrEx>
        <w:trPr>
          <w:jc w:val="center"/>
        </w:trPr>
        <w:tc>
          <w:tcPr>
            <w:tcW w:w="1996" w:type="dxa"/>
            <w:tcBorders>
              <w:top w:val="single" w:color="auto" w:sz="12" w:space="0"/>
              <w:left w:val="single" w:color="auto" w:sz="12" w:space="0"/>
              <w:bottom w:val="single" w:color="auto" w:sz="4" w:space="0"/>
              <w:right w:val="single" w:color="auto" w:sz="4" w:space="0"/>
            </w:tcBorders>
            <w:shd w:val="clear" w:color="auto" w:fill="auto"/>
          </w:tcPr>
          <w:p w14:paraId="29AC270F">
            <w:pPr>
              <w:pStyle w:val="27"/>
              <w:widowControl/>
              <w:jc w:val="center"/>
              <w:rPr>
                <w:rFonts w:hint="default"/>
                <w:sz w:val="21"/>
                <w:szCs w:val="21"/>
              </w:rPr>
            </w:pPr>
            <w:r>
              <w:rPr>
                <w:sz w:val="21"/>
                <w:szCs w:val="21"/>
              </w:rPr>
              <w:t>指标名称</w:t>
            </w:r>
          </w:p>
        </w:tc>
        <w:tc>
          <w:tcPr>
            <w:tcW w:w="965" w:type="dxa"/>
            <w:tcBorders>
              <w:top w:val="single" w:color="auto" w:sz="12" w:space="0"/>
              <w:left w:val="single" w:color="auto" w:sz="4" w:space="0"/>
              <w:bottom w:val="single" w:color="auto" w:sz="4" w:space="0"/>
              <w:right w:val="single" w:color="auto" w:sz="4" w:space="0"/>
            </w:tcBorders>
            <w:shd w:val="clear" w:color="auto" w:fill="auto"/>
            <w:vAlign w:val="center"/>
          </w:tcPr>
          <w:p w14:paraId="4C632425">
            <w:pPr>
              <w:pStyle w:val="27"/>
              <w:widowControl/>
              <w:jc w:val="center"/>
              <w:rPr>
                <w:rFonts w:hint="default"/>
                <w:sz w:val="21"/>
                <w:szCs w:val="21"/>
              </w:rPr>
            </w:pPr>
            <w:r>
              <w:rPr>
                <w:sz w:val="21"/>
                <w:szCs w:val="21"/>
              </w:rPr>
              <w:t>严寒地区</w:t>
            </w:r>
          </w:p>
        </w:tc>
        <w:tc>
          <w:tcPr>
            <w:tcW w:w="1069" w:type="dxa"/>
            <w:tcBorders>
              <w:top w:val="single" w:color="auto" w:sz="12" w:space="0"/>
              <w:left w:val="single" w:color="auto" w:sz="4" w:space="0"/>
              <w:bottom w:val="single" w:color="auto" w:sz="4" w:space="0"/>
              <w:right w:val="single" w:color="auto" w:sz="4" w:space="0"/>
            </w:tcBorders>
            <w:shd w:val="clear" w:color="auto" w:fill="auto"/>
            <w:vAlign w:val="center"/>
          </w:tcPr>
          <w:p w14:paraId="126E740A">
            <w:pPr>
              <w:pStyle w:val="27"/>
              <w:widowControl/>
              <w:jc w:val="center"/>
              <w:rPr>
                <w:rFonts w:hint="default"/>
                <w:sz w:val="21"/>
                <w:szCs w:val="21"/>
              </w:rPr>
            </w:pPr>
            <w:r>
              <w:rPr>
                <w:sz w:val="21"/>
                <w:szCs w:val="21"/>
              </w:rPr>
              <w:t>寒冷地区</w:t>
            </w:r>
          </w:p>
        </w:tc>
        <w:tc>
          <w:tcPr>
            <w:tcW w:w="1528" w:type="dxa"/>
            <w:tcBorders>
              <w:top w:val="single" w:color="auto" w:sz="12" w:space="0"/>
              <w:left w:val="single" w:color="auto" w:sz="4" w:space="0"/>
              <w:bottom w:val="single" w:color="auto" w:sz="4" w:space="0"/>
              <w:right w:val="single" w:color="auto" w:sz="4" w:space="0"/>
            </w:tcBorders>
            <w:shd w:val="clear" w:color="auto" w:fill="auto"/>
            <w:vAlign w:val="center"/>
          </w:tcPr>
          <w:p w14:paraId="326659E2">
            <w:pPr>
              <w:pStyle w:val="27"/>
              <w:widowControl/>
              <w:jc w:val="center"/>
              <w:rPr>
                <w:rFonts w:hint="default"/>
                <w:sz w:val="21"/>
                <w:szCs w:val="21"/>
              </w:rPr>
            </w:pPr>
            <w:r>
              <w:rPr>
                <w:sz w:val="21"/>
                <w:szCs w:val="21"/>
              </w:rPr>
              <w:t>夏热冬冷地区</w:t>
            </w:r>
          </w:p>
        </w:tc>
        <w:tc>
          <w:tcPr>
            <w:tcW w:w="1078" w:type="dxa"/>
            <w:tcBorders>
              <w:top w:val="single" w:color="auto" w:sz="12" w:space="0"/>
              <w:left w:val="single" w:color="auto" w:sz="4" w:space="0"/>
              <w:bottom w:val="single" w:color="auto" w:sz="4" w:space="0"/>
              <w:right w:val="single" w:color="auto" w:sz="4" w:space="0"/>
            </w:tcBorders>
            <w:shd w:val="clear" w:color="auto" w:fill="auto"/>
            <w:vAlign w:val="center"/>
          </w:tcPr>
          <w:p w14:paraId="1B92FA10">
            <w:pPr>
              <w:pStyle w:val="27"/>
              <w:widowControl/>
              <w:jc w:val="center"/>
              <w:rPr>
                <w:rFonts w:hint="default"/>
                <w:sz w:val="21"/>
                <w:szCs w:val="21"/>
              </w:rPr>
            </w:pPr>
            <w:r>
              <w:rPr>
                <w:sz w:val="21"/>
                <w:szCs w:val="21"/>
              </w:rPr>
              <w:t>温和地区</w:t>
            </w:r>
          </w:p>
        </w:tc>
        <w:tc>
          <w:tcPr>
            <w:tcW w:w="1525" w:type="dxa"/>
            <w:tcBorders>
              <w:top w:val="single" w:color="auto" w:sz="12" w:space="0"/>
              <w:left w:val="single" w:color="auto" w:sz="4" w:space="0"/>
              <w:bottom w:val="single" w:color="auto" w:sz="4" w:space="0"/>
              <w:right w:val="single" w:color="auto" w:sz="12" w:space="0"/>
            </w:tcBorders>
            <w:shd w:val="clear" w:color="auto" w:fill="auto"/>
            <w:vAlign w:val="center"/>
          </w:tcPr>
          <w:p w14:paraId="708FEBCF">
            <w:pPr>
              <w:pStyle w:val="27"/>
              <w:widowControl/>
              <w:jc w:val="center"/>
              <w:rPr>
                <w:rFonts w:hint="default"/>
                <w:sz w:val="21"/>
                <w:szCs w:val="21"/>
              </w:rPr>
            </w:pPr>
            <w:r>
              <w:rPr>
                <w:sz w:val="21"/>
                <w:szCs w:val="21"/>
              </w:rPr>
              <w:t>夏热冬暖地区</w:t>
            </w:r>
          </w:p>
        </w:tc>
      </w:tr>
      <w:tr w14:paraId="4274B7E3">
        <w:tblPrEx>
          <w:tblBorders>
            <w:top w:val="single" w:color="auto" w:sz="12" w:space="0"/>
            <w:left w:val="single" w:color="auto" w:sz="12" w:space="0"/>
            <w:bottom w:val="single" w:color="auto" w:sz="12" w:space="0"/>
            <w:right w:val="single" w:color="auto" w:sz="12" w:space="0"/>
            <w:insideH w:val="single" w:color="auto" w:sz="4" w:space="0"/>
            <w:insideV w:val="outset" w:color="auto" w:sz="6" w:space="0"/>
          </w:tblBorders>
          <w:tblCellMar>
            <w:top w:w="57" w:type="dxa"/>
            <w:left w:w="57" w:type="dxa"/>
            <w:bottom w:w="57" w:type="dxa"/>
            <w:right w:w="57" w:type="dxa"/>
          </w:tblCellMar>
        </w:tblPrEx>
        <w:trPr>
          <w:jc w:val="center"/>
        </w:trPr>
        <w:tc>
          <w:tcPr>
            <w:tcW w:w="1996" w:type="dxa"/>
            <w:tcBorders>
              <w:top w:val="single" w:color="auto" w:sz="4" w:space="0"/>
              <w:left w:val="single" w:color="auto" w:sz="12" w:space="0"/>
              <w:bottom w:val="single" w:color="auto" w:sz="4" w:space="0"/>
              <w:right w:val="single" w:color="auto" w:sz="4" w:space="0"/>
            </w:tcBorders>
            <w:shd w:val="clear" w:color="auto" w:fill="auto"/>
          </w:tcPr>
          <w:p w14:paraId="79ACD148">
            <w:pPr>
              <w:pStyle w:val="27"/>
              <w:widowControl/>
              <w:jc w:val="center"/>
              <w:rPr>
                <w:rFonts w:hint="default"/>
                <w:sz w:val="21"/>
                <w:szCs w:val="21"/>
              </w:rPr>
            </w:pPr>
            <w:r>
              <w:rPr>
                <w:sz w:val="21"/>
                <w:szCs w:val="21"/>
              </w:rPr>
              <w:t>年供暖需求</w:t>
            </w:r>
            <w:r>
              <w:rPr>
                <w:sz w:val="21"/>
                <w:szCs w:val="21"/>
              </w:rPr>
              <w:object>
                <v:shape id="_x0000_i1026" o:spt="75" type="#_x0000_t75" style="height:13.8pt;width:50.4pt;" o:ole="t" filled="f" o:preferrelative="t" stroked="f" coordsize="21600,21600">
                  <v:path/>
                  <v:fill on="f" focussize="0,0"/>
                  <v:stroke on="f" joinstyle="miter"/>
                  <v:imagedata r:id="rId8" o:title=""/>
                  <o:lock v:ext="edit" aspectratio="t"/>
                  <w10:wrap type="none"/>
                  <w10:anchorlock/>
                </v:shape>
                <o:OLEObject Type="Embed" ProgID="" ShapeID="_x0000_i1026" DrawAspect="Content" ObjectID="_1468075726" r:id="rId7">
                  <o:LockedField>false</o:LockedField>
                </o:OLEObject>
              </w:object>
            </w:r>
          </w:p>
        </w:tc>
        <w:tc>
          <w:tcPr>
            <w:tcW w:w="965" w:type="dxa"/>
            <w:tcBorders>
              <w:top w:val="single" w:color="auto" w:sz="4" w:space="0"/>
              <w:left w:val="single" w:color="auto" w:sz="4" w:space="0"/>
              <w:bottom w:val="single" w:color="auto" w:sz="4" w:space="0"/>
              <w:right w:val="single" w:color="auto" w:sz="4" w:space="0"/>
            </w:tcBorders>
            <w:shd w:val="clear" w:color="auto" w:fill="auto"/>
            <w:vAlign w:val="center"/>
          </w:tcPr>
          <w:p w14:paraId="75E5B555">
            <w:pPr>
              <w:pStyle w:val="27"/>
              <w:widowControl/>
              <w:jc w:val="center"/>
              <w:rPr>
                <w:rFonts w:hint="default" w:ascii="Times New Roman" w:hAnsi="Times New Roman"/>
                <w:sz w:val="21"/>
                <w:szCs w:val="21"/>
              </w:rPr>
            </w:pPr>
            <w:r>
              <w:rPr>
                <w:rFonts w:hint="default" w:ascii="Times New Roman" w:hAnsi="Times New Roman"/>
                <w:sz w:val="21"/>
                <w:szCs w:val="21"/>
              </w:rPr>
              <w:t>≤18</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center"/>
          </w:tcPr>
          <w:p w14:paraId="086A7997">
            <w:pPr>
              <w:pStyle w:val="27"/>
              <w:widowControl/>
              <w:jc w:val="center"/>
              <w:rPr>
                <w:rFonts w:hint="default" w:ascii="Times New Roman" w:hAnsi="Times New Roman"/>
                <w:sz w:val="21"/>
                <w:szCs w:val="21"/>
              </w:rPr>
            </w:pPr>
            <w:r>
              <w:rPr>
                <w:rFonts w:hint="default" w:ascii="Times New Roman" w:hAnsi="Times New Roman"/>
                <w:sz w:val="21"/>
                <w:szCs w:val="21"/>
              </w:rPr>
              <w:t>≤15</w:t>
            </w:r>
          </w:p>
        </w:tc>
        <w:tc>
          <w:tcPr>
            <w:tcW w:w="26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C74522">
            <w:pPr>
              <w:pStyle w:val="27"/>
              <w:widowControl/>
              <w:jc w:val="center"/>
              <w:rPr>
                <w:rFonts w:hint="default" w:ascii="Times New Roman" w:hAnsi="Times New Roman"/>
                <w:sz w:val="21"/>
                <w:szCs w:val="21"/>
              </w:rPr>
            </w:pPr>
            <w:r>
              <w:rPr>
                <w:rFonts w:hint="default" w:ascii="Times New Roman" w:hAnsi="Times New Roman"/>
                <w:sz w:val="21"/>
                <w:szCs w:val="21"/>
              </w:rPr>
              <w:t>≤10</w:t>
            </w:r>
          </w:p>
        </w:tc>
        <w:tc>
          <w:tcPr>
            <w:tcW w:w="1525" w:type="dxa"/>
            <w:tcBorders>
              <w:top w:val="single" w:color="auto" w:sz="4" w:space="0"/>
              <w:left w:val="single" w:color="auto" w:sz="4" w:space="0"/>
              <w:bottom w:val="single" w:color="auto" w:sz="4" w:space="0"/>
              <w:right w:val="single" w:color="auto" w:sz="12" w:space="0"/>
            </w:tcBorders>
            <w:shd w:val="clear" w:color="auto" w:fill="auto"/>
            <w:vAlign w:val="center"/>
          </w:tcPr>
          <w:p w14:paraId="32B41ACB">
            <w:pPr>
              <w:pStyle w:val="27"/>
              <w:widowControl/>
              <w:jc w:val="center"/>
              <w:rPr>
                <w:rFonts w:hint="default" w:ascii="Times New Roman" w:hAnsi="Times New Roman"/>
                <w:sz w:val="21"/>
                <w:szCs w:val="21"/>
              </w:rPr>
            </w:pPr>
            <w:r>
              <w:rPr>
                <w:rFonts w:hint="default" w:ascii="Times New Roman" w:hAnsi="Times New Roman"/>
                <w:sz w:val="21"/>
                <w:szCs w:val="21"/>
              </w:rPr>
              <w:t>≤5</w:t>
            </w:r>
          </w:p>
        </w:tc>
      </w:tr>
      <w:tr w14:paraId="37B54257">
        <w:tblPrEx>
          <w:tblBorders>
            <w:top w:val="single" w:color="auto" w:sz="12" w:space="0"/>
            <w:left w:val="single" w:color="auto" w:sz="12" w:space="0"/>
            <w:bottom w:val="single" w:color="auto" w:sz="12" w:space="0"/>
            <w:right w:val="single" w:color="auto" w:sz="12" w:space="0"/>
            <w:insideH w:val="single" w:color="auto" w:sz="4" w:space="0"/>
            <w:insideV w:val="outset" w:color="auto" w:sz="6" w:space="0"/>
          </w:tblBorders>
          <w:tblCellMar>
            <w:top w:w="57" w:type="dxa"/>
            <w:left w:w="57" w:type="dxa"/>
            <w:bottom w:w="57" w:type="dxa"/>
            <w:right w:w="57" w:type="dxa"/>
          </w:tblCellMar>
        </w:tblPrEx>
        <w:trPr>
          <w:jc w:val="center"/>
        </w:trPr>
        <w:tc>
          <w:tcPr>
            <w:tcW w:w="1996" w:type="dxa"/>
            <w:tcBorders>
              <w:top w:val="single" w:color="auto" w:sz="4" w:space="0"/>
              <w:left w:val="single" w:color="auto" w:sz="12" w:space="0"/>
              <w:bottom w:val="single" w:color="auto" w:sz="4" w:space="0"/>
              <w:right w:val="single" w:color="auto" w:sz="4" w:space="0"/>
            </w:tcBorders>
            <w:shd w:val="clear" w:color="auto" w:fill="auto"/>
          </w:tcPr>
          <w:p w14:paraId="12BF46A6">
            <w:pPr>
              <w:pStyle w:val="27"/>
              <w:widowControl/>
              <w:jc w:val="center"/>
              <w:rPr>
                <w:rFonts w:hint="default"/>
                <w:sz w:val="21"/>
                <w:szCs w:val="21"/>
              </w:rPr>
            </w:pPr>
            <w:r>
              <w:rPr>
                <w:sz w:val="21"/>
                <w:szCs w:val="21"/>
              </w:rPr>
              <w:t xml:space="preserve">年供冷需求 </w:t>
            </w:r>
            <w:r>
              <w:rPr>
                <w:sz w:val="21"/>
                <w:szCs w:val="21"/>
              </w:rPr>
              <w:object>
                <v:shape id="_x0000_i1027" o:spt="75" type="#_x0000_t75" style="height:13.8pt;width:50.4pt;" o:ole="t" filled="f" o:preferrelative="t" stroked="f" coordsize="21600,21600">
                  <v:path/>
                  <v:fill on="f" focussize="0,0"/>
                  <v:stroke on="f" joinstyle="miter"/>
                  <v:imagedata r:id="rId8" o:title=""/>
                  <o:lock v:ext="edit" aspectratio="t"/>
                  <w10:wrap type="none"/>
                  <w10:anchorlock/>
                </v:shape>
                <o:OLEObject Type="Embed" ProgID="" ShapeID="_x0000_i1027" DrawAspect="Content" ObjectID="_1468075727" r:id="rId9">
                  <o:LockedField>false</o:LockedField>
                </o:OLEObject>
              </w:object>
            </w:r>
          </w:p>
        </w:tc>
        <w:tc>
          <w:tcPr>
            <w:tcW w:w="6165" w:type="dxa"/>
            <w:gridSpan w:val="5"/>
            <w:tcBorders>
              <w:top w:val="single" w:color="auto" w:sz="4" w:space="0"/>
              <w:left w:val="single" w:color="auto" w:sz="4" w:space="0"/>
              <w:bottom w:val="single" w:color="auto" w:sz="4" w:space="0"/>
              <w:right w:val="single" w:color="auto" w:sz="12" w:space="0"/>
            </w:tcBorders>
            <w:shd w:val="clear" w:color="auto" w:fill="auto"/>
          </w:tcPr>
          <w:p w14:paraId="4F061736">
            <w:pPr>
              <w:pStyle w:val="27"/>
              <w:widowControl/>
              <w:jc w:val="center"/>
              <w:rPr>
                <w:rFonts w:hint="default" w:ascii="Times New Roman" w:hAnsi="Times New Roman"/>
                <w:sz w:val="21"/>
                <w:szCs w:val="21"/>
              </w:rPr>
            </w:pPr>
            <w:r>
              <w:rPr>
                <w:rFonts w:hint="default" w:ascii="Times New Roman" w:hAnsi="Times New Roman"/>
                <w:sz w:val="21"/>
                <w:szCs w:val="21"/>
              </w:rPr>
              <w:t>≤3.5+2.0×WDH</w:t>
            </w:r>
            <w:r>
              <w:rPr>
                <w:rFonts w:hint="default" w:ascii="Times New Roman" w:hAnsi="Times New Roman"/>
                <w:sz w:val="21"/>
                <w:szCs w:val="21"/>
                <w:vertAlign w:val="subscript"/>
              </w:rPr>
              <w:t>20</w:t>
            </w:r>
            <w:r>
              <w:rPr>
                <w:rFonts w:hint="default" w:ascii="Times New Roman" w:hAnsi="Times New Roman"/>
                <w:sz w:val="21"/>
                <w:szCs w:val="21"/>
                <w:vertAlign w:val="superscript"/>
              </w:rPr>
              <w:fldChar w:fldCharType="begin"/>
            </w:r>
            <w:r>
              <w:rPr>
                <w:rFonts w:hint="default" w:ascii="Times New Roman" w:hAnsi="Times New Roman"/>
                <w:sz w:val="21"/>
                <w:szCs w:val="21"/>
                <w:vertAlign w:val="superscript"/>
              </w:rPr>
              <w:instrText xml:space="preserve"> = 1 \* GB3 \* MERGEFORMAT </w:instrText>
            </w:r>
            <w:r>
              <w:rPr>
                <w:rFonts w:hint="default" w:ascii="Times New Roman" w:hAnsi="Times New Roman"/>
                <w:sz w:val="21"/>
                <w:szCs w:val="21"/>
                <w:vertAlign w:val="superscript"/>
              </w:rPr>
              <w:fldChar w:fldCharType="separate"/>
            </w:r>
            <w:r>
              <w:rPr>
                <w:vertAlign w:val="superscript"/>
              </w:rPr>
              <w:t>①</w:t>
            </w:r>
            <w:r>
              <w:rPr>
                <w:rFonts w:hint="default" w:ascii="Times New Roman" w:hAnsi="Times New Roman"/>
                <w:sz w:val="21"/>
                <w:szCs w:val="21"/>
                <w:vertAlign w:val="superscript"/>
              </w:rPr>
              <w:fldChar w:fldCharType="end"/>
            </w:r>
            <w:r>
              <w:rPr>
                <w:rFonts w:hint="default" w:ascii="Times New Roman" w:hAnsi="Times New Roman"/>
                <w:sz w:val="21"/>
                <w:szCs w:val="21"/>
              </w:rPr>
              <w:t>+2.2×DDH</w:t>
            </w:r>
            <w:r>
              <w:rPr>
                <w:rFonts w:hint="default" w:ascii="Times New Roman" w:hAnsi="Times New Roman"/>
                <w:sz w:val="21"/>
                <w:szCs w:val="21"/>
                <w:vertAlign w:val="subscript"/>
              </w:rPr>
              <w:t>28</w:t>
            </w:r>
            <w:r>
              <w:rPr>
                <w:rFonts w:hint="default" w:ascii="Times New Roman" w:hAnsi="Times New Roman"/>
                <w:sz w:val="21"/>
                <w:szCs w:val="21"/>
                <w:vertAlign w:val="superscript"/>
              </w:rPr>
              <w:fldChar w:fldCharType="begin"/>
            </w:r>
            <w:r>
              <w:rPr>
                <w:rFonts w:hint="default" w:ascii="Times New Roman" w:hAnsi="Times New Roman"/>
                <w:sz w:val="21"/>
                <w:szCs w:val="21"/>
                <w:vertAlign w:val="superscript"/>
              </w:rPr>
              <w:instrText xml:space="preserve"> = 2 \* GB3 \* MERGEFORMAT </w:instrText>
            </w:r>
            <w:r>
              <w:rPr>
                <w:rFonts w:hint="default" w:ascii="Times New Roman" w:hAnsi="Times New Roman"/>
                <w:sz w:val="21"/>
                <w:szCs w:val="21"/>
                <w:vertAlign w:val="superscript"/>
              </w:rPr>
              <w:fldChar w:fldCharType="separate"/>
            </w:r>
            <w:r>
              <w:rPr>
                <w:vertAlign w:val="superscript"/>
              </w:rPr>
              <w:t>②</w:t>
            </w:r>
            <w:r>
              <w:rPr>
                <w:rFonts w:hint="default" w:ascii="Times New Roman" w:hAnsi="Times New Roman"/>
                <w:sz w:val="21"/>
                <w:szCs w:val="21"/>
                <w:vertAlign w:val="superscript"/>
              </w:rPr>
              <w:fldChar w:fldCharType="end"/>
            </w:r>
          </w:p>
        </w:tc>
      </w:tr>
      <w:tr w14:paraId="53A3D683">
        <w:tblPrEx>
          <w:tblBorders>
            <w:top w:val="single" w:color="auto" w:sz="12" w:space="0"/>
            <w:left w:val="single" w:color="auto" w:sz="12" w:space="0"/>
            <w:bottom w:val="single" w:color="auto" w:sz="12" w:space="0"/>
            <w:right w:val="single" w:color="auto" w:sz="12" w:space="0"/>
            <w:insideH w:val="single" w:color="auto" w:sz="4" w:space="0"/>
            <w:insideV w:val="outset" w:color="auto" w:sz="6" w:space="0"/>
          </w:tblBorders>
          <w:tblCellMar>
            <w:top w:w="57" w:type="dxa"/>
            <w:left w:w="57" w:type="dxa"/>
            <w:bottom w:w="57" w:type="dxa"/>
            <w:right w:w="57" w:type="dxa"/>
          </w:tblCellMar>
        </w:tblPrEx>
        <w:trPr>
          <w:jc w:val="center"/>
        </w:trPr>
        <w:tc>
          <w:tcPr>
            <w:tcW w:w="1996" w:type="dxa"/>
            <w:tcBorders>
              <w:top w:val="single" w:color="auto" w:sz="4" w:space="0"/>
              <w:left w:val="single" w:color="auto" w:sz="12" w:space="0"/>
              <w:bottom w:val="single" w:color="auto" w:sz="4" w:space="0"/>
              <w:right w:val="single" w:color="auto" w:sz="4" w:space="0"/>
            </w:tcBorders>
            <w:shd w:val="clear" w:color="auto" w:fill="auto"/>
            <w:vAlign w:val="center"/>
          </w:tcPr>
          <w:p w14:paraId="3FBEE7A3">
            <w:pPr>
              <w:pStyle w:val="27"/>
              <w:widowControl/>
              <w:jc w:val="center"/>
              <w:rPr>
                <w:rFonts w:hint="default"/>
                <w:sz w:val="21"/>
                <w:szCs w:val="21"/>
              </w:rPr>
            </w:pPr>
            <w:r>
              <w:rPr>
                <w:sz w:val="21"/>
                <w:szCs w:val="21"/>
              </w:rPr>
              <w:t>建筑能耗综合值</w:t>
            </w:r>
            <w:r>
              <w:rPr>
                <w:rFonts w:hint="default" w:ascii="Times New Roman" w:hAnsi="Times New Roman"/>
                <w:sz w:val="21"/>
                <w:szCs w:val="21"/>
                <w:vertAlign w:val="superscript"/>
              </w:rPr>
              <w:fldChar w:fldCharType="begin"/>
            </w:r>
            <w:r>
              <w:rPr>
                <w:rFonts w:hint="default" w:ascii="Times New Roman" w:hAnsi="Times New Roman"/>
                <w:sz w:val="21"/>
                <w:szCs w:val="21"/>
                <w:vertAlign w:val="superscript"/>
              </w:rPr>
              <w:instrText xml:space="preserve"> = 3 \* GB3 \* MERGEFORMAT </w:instrText>
            </w:r>
            <w:r>
              <w:rPr>
                <w:rFonts w:hint="default" w:ascii="Times New Roman" w:hAnsi="Times New Roman"/>
                <w:sz w:val="21"/>
                <w:szCs w:val="21"/>
                <w:vertAlign w:val="superscript"/>
              </w:rPr>
              <w:fldChar w:fldCharType="separate"/>
            </w:r>
            <w:r>
              <w:rPr>
                <w:vertAlign w:val="superscript"/>
              </w:rPr>
              <w:t>③</w:t>
            </w:r>
            <w:r>
              <w:rPr>
                <w:rFonts w:hint="default" w:ascii="Times New Roman" w:hAnsi="Times New Roman"/>
                <w:sz w:val="21"/>
                <w:szCs w:val="21"/>
                <w:vertAlign w:val="superscript"/>
              </w:rPr>
              <w:fldChar w:fldCharType="end"/>
            </w:r>
          </w:p>
        </w:tc>
        <w:tc>
          <w:tcPr>
            <w:tcW w:w="6165" w:type="dxa"/>
            <w:gridSpan w:val="5"/>
            <w:tcBorders>
              <w:top w:val="single" w:color="auto" w:sz="4" w:space="0"/>
              <w:left w:val="single" w:color="auto" w:sz="4" w:space="0"/>
              <w:bottom w:val="single" w:color="auto" w:sz="4" w:space="0"/>
              <w:right w:val="single" w:color="auto" w:sz="12" w:space="0"/>
            </w:tcBorders>
            <w:shd w:val="clear" w:color="auto" w:fill="auto"/>
          </w:tcPr>
          <w:p w14:paraId="19C91E80">
            <w:pPr>
              <w:pStyle w:val="27"/>
              <w:widowControl/>
              <w:jc w:val="center"/>
              <w:rPr>
                <w:rFonts w:hint="default" w:ascii="Times New Roman" w:hAnsi="Times New Roman"/>
                <w:sz w:val="21"/>
                <w:szCs w:val="21"/>
              </w:rPr>
            </w:pPr>
            <w:r>
              <w:rPr>
                <w:rFonts w:hint="default" w:ascii="Times New Roman" w:hAnsi="Times New Roman"/>
                <w:sz w:val="21"/>
                <w:szCs w:val="21"/>
              </w:rPr>
              <w:t>≤60k</w:t>
            </w:r>
            <w:r>
              <w:rPr>
                <w:rFonts w:hint="default" w:ascii="Times New Roman" w:hAnsi="Times New Roman"/>
                <w:sz w:val="21"/>
                <w:szCs w:val="21"/>
              </w:rPr>
              <w:object>
                <v:shape id="_x0000_i1028" o:spt="75" type="#_x0000_t75" style="height:13.8pt;width:50.4pt;" o:ole="t" filled="f" o:preferrelative="t" stroked="f" coordsize="21600,21600">
                  <v:path/>
                  <v:fill on="f" focussize="0,0"/>
                  <v:stroke on="f" joinstyle="miter"/>
                  <v:imagedata r:id="rId11" o:title=""/>
                  <o:lock v:ext="edit" aspectratio="t"/>
                  <w10:wrap type="none"/>
                  <w10:anchorlock/>
                </v:shape>
                <o:OLEObject Type="Embed" ProgID="" ShapeID="_x0000_i1028" DrawAspect="Content" ObjectID="_1468075728" r:id="rId10">
                  <o:LockedField>false</o:LockedField>
                </o:OLEObject>
              </w:object>
            </w:r>
            <w:r>
              <w:rPr>
                <w:rFonts w:hint="default" w:ascii="Times New Roman" w:hAnsi="Times New Roman"/>
                <w:sz w:val="21"/>
                <w:szCs w:val="21"/>
              </w:rPr>
              <w:t>·a(</w:t>
            </w:r>
            <w:r>
              <w:rPr>
                <w:rFonts w:ascii="Times New Roman" w:hAnsi="Times New Roman"/>
                <w:sz w:val="21"/>
                <w:szCs w:val="21"/>
              </w:rPr>
              <w:t>或</w:t>
            </w:r>
            <w:r>
              <w:rPr>
                <w:rFonts w:hint="default" w:ascii="Times New Roman" w:hAnsi="Times New Roman"/>
                <w:sz w:val="21"/>
                <w:szCs w:val="21"/>
              </w:rPr>
              <w:t>7.4</w:t>
            </w:r>
            <w:r>
              <w:rPr>
                <w:rFonts w:hint="default" w:ascii="Times New Roman" w:hAnsi="Times New Roman"/>
                <w:color w:val="000000"/>
                <w:kern w:val="0"/>
                <w:sz w:val="21"/>
                <w:szCs w:val="21"/>
                <w:lang w:bidi="ar"/>
              </w:rPr>
              <w:object>
                <v:shape id="_x0000_i1029" o:spt="75" type="#_x0000_t75" style="height:15.6pt;width:54pt;" o:ole="t" filled="f" o:preferrelative="t" stroked="f" coordsize="21600,21600">
                  <v:path/>
                  <v:fill on="f" focussize="0,0"/>
                  <v:stroke on="f" joinstyle="miter"/>
                  <v:imagedata r:id="rId13" o:title=""/>
                  <o:lock v:ext="edit" aspectratio="t"/>
                  <w10:wrap type="none"/>
                  <w10:anchorlock/>
                </v:shape>
                <o:OLEObject Type="Embed" ProgID="" ShapeID="_x0000_i1029" DrawAspect="Content" ObjectID="_1468075729" r:id="rId12">
                  <o:LockedField>false</o:LockedField>
                </o:OLEObject>
              </w:object>
            </w:r>
            <w:r>
              <w:rPr>
                <w:rFonts w:hint="default" w:ascii="Times New Roman" w:hAnsi="Times New Roman"/>
                <w:sz w:val="21"/>
                <w:szCs w:val="21"/>
              </w:rPr>
              <w:t>)</w:t>
            </w:r>
            <w:r>
              <w:rPr>
                <w:rFonts w:hint="default" w:ascii="Times New Roman" w:hAnsi="Times New Roman"/>
                <w:sz w:val="21"/>
                <w:szCs w:val="21"/>
                <w:vertAlign w:val="superscript"/>
              </w:rPr>
              <w:fldChar w:fldCharType="begin"/>
            </w:r>
            <w:r>
              <w:rPr>
                <w:rFonts w:hint="default" w:ascii="Times New Roman" w:hAnsi="Times New Roman"/>
                <w:sz w:val="21"/>
                <w:szCs w:val="21"/>
                <w:vertAlign w:val="superscript"/>
              </w:rPr>
              <w:instrText xml:space="preserve"> = 4 \* GB3 \* MERGEFORMAT </w:instrText>
            </w:r>
            <w:r>
              <w:rPr>
                <w:rFonts w:hint="default" w:ascii="Times New Roman" w:hAnsi="Times New Roman"/>
                <w:sz w:val="21"/>
                <w:szCs w:val="21"/>
                <w:vertAlign w:val="superscript"/>
              </w:rPr>
              <w:fldChar w:fldCharType="separate"/>
            </w:r>
            <w:r>
              <w:rPr>
                <w:vertAlign w:val="superscript"/>
              </w:rPr>
              <w:t>④</w:t>
            </w:r>
            <w:r>
              <w:rPr>
                <w:rFonts w:hint="default" w:ascii="Times New Roman" w:hAnsi="Times New Roman"/>
                <w:sz w:val="21"/>
                <w:szCs w:val="21"/>
                <w:vertAlign w:val="superscript"/>
              </w:rPr>
              <w:fldChar w:fldCharType="end"/>
            </w:r>
          </w:p>
        </w:tc>
      </w:tr>
      <w:tr w14:paraId="40A35D63">
        <w:tblPrEx>
          <w:tblBorders>
            <w:top w:val="single" w:color="auto" w:sz="12" w:space="0"/>
            <w:left w:val="single" w:color="auto" w:sz="12" w:space="0"/>
            <w:bottom w:val="single" w:color="auto" w:sz="12" w:space="0"/>
            <w:right w:val="single" w:color="auto" w:sz="12" w:space="0"/>
            <w:insideH w:val="single" w:color="auto" w:sz="4" w:space="0"/>
            <w:insideV w:val="outset" w:color="auto" w:sz="6" w:space="0"/>
          </w:tblBorders>
          <w:tblCellMar>
            <w:top w:w="57" w:type="dxa"/>
            <w:left w:w="57" w:type="dxa"/>
            <w:bottom w:w="57" w:type="dxa"/>
            <w:right w:w="57" w:type="dxa"/>
          </w:tblCellMar>
        </w:tblPrEx>
        <w:trPr>
          <w:jc w:val="center"/>
        </w:trPr>
        <w:tc>
          <w:tcPr>
            <w:tcW w:w="1996" w:type="dxa"/>
            <w:tcBorders>
              <w:top w:val="single" w:color="auto" w:sz="4" w:space="0"/>
              <w:left w:val="single" w:color="auto" w:sz="12" w:space="0"/>
              <w:bottom w:val="single" w:color="auto" w:sz="12" w:space="0"/>
              <w:right w:val="single" w:color="auto" w:sz="4" w:space="0"/>
            </w:tcBorders>
            <w:shd w:val="clear" w:color="auto" w:fill="auto"/>
          </w:tcPr>
          <w:p w14:paraId="4F693A67">
            <w:pPr>
              <w:pStyle w:val="27"/>
              <w:widowControl/>
              <w:jc w:val="center"/>
              <w:rPr>
                <w:rFonts w:hint="default"/>
                <w:sz w:val="21"/>
                <w:szCs w:val="21"/>
              </w:rPr>
            </w:pPr>
            <w:r>
              <w:rPr>
                <w:sz w:val="21"/>
                <w:szCs w:val="21"/>
              </w:rPr>
              <w:t>建筑气密性</w:t>
            </w:r>
          </w:p>
          <w:p w14:paraId="12F260F4">
            <w:pPr>
              <w:pStyle w:val="27"/>
              <w:widowControl/>
              <w:jc w:val="center"/>
              <w:rPr>
                <w:rFonts w:hint="default"/>
                <w:sz w:val="21"/>
                <w:szCs w:val="21"/>
              </w:rPr>
            </w:pPr>
            <w:r>
              <w:rPr>
                <w:sz w:val="21"/>
                <w:szCs w:val="21"/>
              </w:rPr>
              <w:t>（换气次数</w:t>
            </w:r>
            <w:r>
              <w:rPr>
                <w:rFonts w:hint="default" w:ascii="Times New Roman" w:hAnsi="Times New Roman"/>
                <w:sz w:val="21"/>
                <w:szCs w:val="21"/>
              </w:rPr>
              <w:t>N</w:t>
            </w:r>
            <w:r>
              <w:rPr>
                <w:rFonts w:hint="default" w:ascii="Times New Roman" w:hAnsi="Times New Roman"/>
                <w:sz w:val="21"/>
                <w:szCs w:val="21"/>
                <w:vertAlign w:val="subscript"/>
              </w:rPr>
              <w:t>50</w:t>
            </w:r>
            <w:r>
              <w:rPr>
                <w:sz w:val="21"/>
                <w:szCs w:val="21"/>
              </w:rPr>
              <w:t>）</w:t>
            </w:r>
          </w:p>
        </w:tc>
        <w:tc>
          <w:tcPr>
            <w:tcW w:w="6165" w:type="dxa"/>
            <w:gridSpan w:val="5"/>
            <w:tcBorders>
              <w:top w:val="single" w:color="auto" w:sz="4" w:space="0"/>
              <w:left w:val="single" w:color="auto" w:sz="4" w:space="0"/>
              <w:bottom w:val="single" w:color="auto" w:sz="12" w:space="0"/>
              <w:right w:val="single" w:color="auto" w:sz="12" w:space="0"/>
            </w:tcBorders>
            <w:shd w:val="clear" w:color="auto" w:fill="auto"/>
            <w:vAlign w:val="center"/>
          </w:tcPr>
          <w:p w14:paraId="777E3AD1">
            <w:pPr>
              <w:pStyle w:val="27"/>
              <w:widowControl/>
              <w:jc w:val="center"/>
              <w:rPr>
                <w:rFonts w:hint="default" w:ascii="Times New Roman" w:hAnsi="Times New Roman"/>
                <w:sz w:val="21"/>
                <w:szCs w:val="21"/>
              </w:rPr>
            </w:pPr>
            <w:r>
              <w:rPr>
                <w:rFonts w:hint="default" w:ascii="Times New Roman" w:hAnsi="Times New Roman"/>
                <w:sz w:val="21"/>
                <w:szCs w:val="21"/>
              </w:rPr>
              <w:t>≤0.6</w:t>
            </w:r>
          </w:p>
        </w:tc>
      </w:tr>
    </w:tbl>
    <w:p w14:paraId="56426360">
      <w:pPr>
        <w:pStyle w:val="27"/>
        <w:widowControl/>
        <w:ind w:left="1059" w:leftChars="200" w:right="420" w:rightChars="200" w:hanging="639" w:hangingChars="355"/>
        <w:rPr>
          <w:rFonts w:hint="default"/>
          <w:sz w:val="18"/>
          <w:szCs w:val="18"/>
        </w:rPr>
      </w:pPr>
      <w:r>
        <w:rPr>
          <w:sz w:val="18"/>
          <w:szCs w:val="18"/>
        </w:rPr>
        <w:t>注：1  WDH</w:t>
      </w:r>
      <w:r>
        <w:rPr>
          <w:sz w:val="18"/>
          <w:szCs w:val="18"/>
          <w:vertAlign w:val="subscript"/>
        </w:rPr>
        <w:t>20</w:t>
      </w:r>
      <w:r>
        <w:rPr>
          <w:sz w:val="18"/>
          <w:szCs w:val="18"/>
        </w:rPr>
        <w:t>（Wet-bulb degree hours 20）为一年中室外湿球温度高于20℃时刻的湿球温度与20℃差值的累计值（单位：h）；</w:t>
      </w:r>
    </w:p>
    <w:p w14:paraId="4BEB2D7F">
      <w:pPr>
        <w:pStyle w:val="27"/>
        <w:widowControl/>
        <w:ind w:left="1056" w:leftChars="375" w:right="420" w:rightChars="200" w:hanging="268" w:hangingChars="149"/>
        <w:rPr>
          <w:rFonts w:hint="default"/>
          <w:sz w:val="18"/>
          <w:szCs w:val="18"/>
        </w:rPr>
      </w:pPr>
      <w:r>
        <w:rPr>
          <w:sz w:val="18"/>
          <w:szCs w:val="18"/>
        </w:rPr>
        <w:t>2  DDH</w:t>
      </w:r>
      <w:r>
        <w:rPr>
          <w:sz w:val="18"/>
          <w:szCs w:val="18"/>
          <w:vertAlign w:val="subscript"/>
        </w:rPr>
        <w:t>28</w:t>
      </w:r>
      <w:r>
        <w:rPr>
          <w:sz w:val="18"/>
          <w:szCs w:val="18"/>
        </w:rPr>
        <w:t>（Dry-bulb degree hours28）为一年中室外干球温度高于28℃时刻的干球温度与28℃差值的累计值（单位：h）；</w:t>
      </w:r>
    </w:p>
    <w:p w14:paraId="183D2FE4">
      <w:pPr>
        <w:pStyle w:val="27"/>
        <w:widowControl/>
        <w:ind w:left="1056" w:leftChars="375" w:right="420" w:rightChars="200" w:hanging="268" w:hangingChars="149"/>
        <w:rPr>
          <w:rFonts w:hint="default"/>
          <w:sz w:val="18"/>
          <w:szCs w:val="18"/>
        </w:rPr>
      </w:pPr>
      <w:r>
        <w:rPr>
          <w:sz w:val="18"/>
          <w:szCs w:val="18"/>
        </w:rPr>
        <w:t>3  建筑能耗综合值为年供暖、供冷、照明、和电梯的一次能源消耗量；</w:t>
      </w:r>
    </w:p>
    <w:p w14:paraId="7E62EDA1">
      <w:pPr>
        <w:pStyle w:val="27"/>
        <w:widowControl/>
        <w:ind w:left="1056" w:leftChars="375" w:right="420" w:rightChars="200" w:hanging="268" w:hangingChars="149"/>
        <w:rPr>
          <w:rFonts w:hint="default"/>
          <w:sz w:val="18"/>
          <w:szCs w:val="18"/>
        </w:rPr>
      </w:pPr>
      <w:r>
        <w:rPr>
          <w:sz w:val="18"/>
          <w:szCs w:val="18"/>
        </w:rPr>
        <w:t>4  m²为套内使用面积，其计算规定见第7章。</w:t>
      </w:r>
    </w:p>
    <w:p w14:paraId="34433559">
      <w:pPr>
        <w:pStyle w:val="27"/>
        <w:widowControl/>
        <w:spacing w:line="360" w:lineRule="auto"/>
        <w:rPr>
          <w:rFonts w:hint="default"/>
          <w:color w:val="8FAADB"/>
        </w:rPr>
      </w:pPr>
      <w:r>
        <w:rPr>
          <w:b/>
          <w:bCs/>
          <w:color w:val="8FAADB"/>
          <w:szCs w:val="24"/>
        </w:rPr>
        <w:t>【条文说明】</w:t>
      </w:r>
      <w:r>
        <w:rPr>
          <w:color w:val="8FAADB"/>
        </w:rPr>
        <w:t>本条规定了超低能耗居住建筑应遵循的能效指标要求，作为判断建筑是否达到超低能耗标准的重要约束条件。能效指标的计算方法应符合本标准第7章中具体规定。能效指标涵盖供暖、通风、空调、照明、生活热水、电梯系统的能耗以及可再生能源利用量。</w:t>
      </w:r>
    </w:p>
    <w:p w14:paraId="1162548D">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能效指标包括建筑能耗综合值和建筑本体性能指标两部分，两者需同时满足要求。建筑能耗综合值是反映建筑总体能效的关键指标，其中已考虑了可再生能源的贡献。建筑本体性能指标针对居住建筑，以供暖年耗热量、供冷年耗冷量及建筑气密性作为约束条件，照明、通风、生活热水和电梯的能耗在建筑能耗综合值中一并考虑，不单独设限。</w:t>
      </w:r>
    </w:p>
    <w:p w14:paraId="04526810">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本条中能效指标的设定遵循了以下原则：</w:t>
      </w:r>
    </w:p>
    <w:p w14:paraId="686EE22F">
      <w:pPr>
        <w:widowControl/>
        <w:adjustRightInd w:val="0"/>
        <w:snapToGrid w:val="0"/>
        <w:spacing w:line="312" w:lineRule="auto"/>
        <w:ind w:left="360" w:firstLine="482" w:firstLineChars="200"/>
        <w:rPr>
          <w:rFonts w:ascii="宋体" w:hAnsi="宋体" w:eastAsia="宋体" w:cs="宋体"/>
          <w:color w:val="8FAADB"/>
          <w:sz w:val="24"/>
          <w:szCs w:val="28"/>
        </w:rPr>
      </w:pPr>
      <w:r>
        <w:rPr>
          <w:rFonts w:ascii="Times New Roman" w:hAnsi="Times New Roman" w:eastAsia="宋体" w:cs="Times New Roman"/>
          <w:b/>
          <w:bCs/>
          <w:color w:val="8FAADB"/>
          <w:sz w:val="24"/>
          <w:szCs w:val="28"/>
          <w:lang w:bidi="ar"/>
        </w:rPr>
        <w:t>1</w:t>
      </w:r>
      <w:r>
        <w:rPr>
          <w:rFonts w:hint="eastAsia" w:ascii="宋体" w:hAnsi="宋体" w:eastAsia="宋体" w:cs="宋体"/>
          <w:color w:val="8FAADB"/>
          <w:sz w:val="24"/>
          <w:szCs w:val="28"/>
          <w:lang w:bidi="ar"/>
        </w:rPr>
        <w:t xml:space="preserve">  大幅度提高能效：尤其在严寒、寒冷地区，居住建筑可摒弃传统供暖系统，夏热冬冷地区在无供暖设施下，冬季室内环境显著改善。</w:t>
      </w:r>
    </w:p>
    <w:p w14:paraId="00E82402">
      <w:pPr>
        <w:widowControl/>
        <w:adjustRightInd w:val="0"/>
        <w:snapToGrid w:val="0"/>
        <w:spacing w:line="312" w:lineRule="auto"/>
        <w:ind w:left="360" w:firstLine="482" w:firstLineChars="200"/>
        <w:rPr>
          <w:rFonts w:ascii="宋体" w:hAnsi="宋体" w:eastAsia="宋体" w:cs="宋体"/>
          <w:color w:val="8FAADB"/>
          <w:sz w:val="24"/>
          <w:szCs w:val="28"/>
        </w:rPr>
      </w:pPr>
      <w:r>
        <w:rPr>
          <w:rFonts w:ascii="Times New Roman" w:hAnsi="Times New Roman" w:eastAsia="宋体" w:cs="Times New Roman"/>
          <w:b/>
          <w:bCs/>
          <w:color w:val="8FAADB"/>
          <w:sz w:val="24"/>
          <w:szCs w:val="28"/>
          <w:lang w:bidi="ar"/>
        </w:rPr>
        <w:t>2</w:t>
      </w:r>
      <w:r>
        <w:rPr>
          <w:rFonts w:hint="eastAsia" w:ascii="宋体" w:hAnsi="宋体" w:eastAsia="宋体" w:cs="宋体"/>
          <w:color w:val="8FAADB"/>
          <w:sz w:val="24"/>
          <w:szCs w:val="28"/>
          <w:lang w:bidi="ar"/>
        </w:rPr>
        <w:t xml:space="preserve">  大幅降低实际能耗：通过高效利用自然资源、采用高性能围护结构、自然通风等被动式技术减少建筑能耗需求，再借助高效供暖、空调及照明技术降低系统能耗，结合可再生能源利用，实现建筑总能耗降低。</w:t>
      </w:r>
    </w:p>
    <w:p w14:paraId="64BA08A9">
      <w:pPr>
        <w:pStyle w:val="27"/>
        <w:widowControl/>
        <w:spacing w:line="360" w:lineRule="auto"/>
        <w:rPr>
          <w:rFonts w:hint="default"/>
        </w:rPr>
      </w:pPr>
      <w:r>
        <w:rPr>
          <w:rFonts w:hint="default" w:ascii="Times New Roman" w:hAnsi="Times New Roman"/>
          <w:b/>
          <w:bCs/>
          <w:color w:val="8FAADB"/>
        </w:rPr>
        <w:t>3</w:t>
      </w:r>
      <w:r>
        <w:rPr>
          <w:color w:val="8FAADB"/>
        </w:rPr>
        <w:t xml:space="preserve">  与国际先进水平相当：能效指标设定应与国际相近气候区水平相当，体现建筑节能发展的前沿趋势。</w:t>
      </w:r>
    </w:p>
    <w:p w14:paraId="4FEB347B">
      <w:pPr>
        <w:pStyle w:val="2"/>
        <w:widowControl/>
      </w:pPr>
      <w:r>
        <w:rPr>
          <w:lang w:bidi="ar"/>
        </w:rPr>
        <w:br w:type="page"/>
      </w:r>
      <w:bookmarkStart w:id="39" w:name="_Toc2825"/>
      <w:bookmarkStart w:id="40" w:name="_Toc11762"/>
      <w:bookmarkStart w:id="41" w:name="_Toc3781"/>
      <w:bookmarkStart w:id="42" w:name="_Toc4012"/>
      <w:bookmarkStart w:id="43" w:name="_Toc18018"/>
      <w:bookmarkStart w:id="44" w:name="_Toc32483"/>
      <w:r>
        <w:rPr>
          <w:rStyle w:val="22"/>
          <w:rFonts w:ascii="Times New Roman" w:hAnsi="Times New Roman" w:cs="Times New Roman"/>
          <w:b w:val="0"/>
        </w:rPr>
        <w:t>4</w:t>
      </w:r>
      <w:r>
        <w:rPr>
          <w:rStyle w:val="22"/>
          <w:rFonts w:hint="eastAsia" w:ascii="Calibri" w:hAnsi="Calibri" w:cs="Times New Roman"/>
          <w:b w:val="0"/>
        </w:rPr>
        <w:t>建筑规划</w:t>
      </w:r>
      <w:bookmarkEnd w:id="39"/>
      <w:bookmarkEnd w:id="40"/>
      <w:bookmarkEnd w:id="41"/>
      <w:bookmarkEnd w:id="42"/>
      <w:bookmarkEnd w:id="43"/>
      <w:bookmarkEnd w:id="44"/>
    </w:p>
    <w:p w14:paraId="0D492602">
      <w:pPr>
        <w:pStyle w:val="4"/>
        <w:widowControl/>
      </w:pPr>
      <w:bookmarkStart w:id="45" w:name="_Toc31215"/>
      <w:bookmarkStart w:id="46" w:name="_Toc12613"/>
      <w:bookmarkStart w:id="47" w:name="_Toc22126"/>
      <w:bookmarkStart w:id="48" w:name="_Toc31495"/>
      <w:bookmarkStart w:id="49" w:name="_Toc30160"/>
      <w:bookmarkStart w:id="50" w:name="_Toc27523"/>
      <w:r>
        <w:rPr>
          <w:rFonts w:ascii="Times New Roman" w:hAnsi="Times New Roman"/>
        </w:rPr>
        <w:t>4.1</w:t>
      </w:r>
      <w:r>
        <w:t xml:space="preserve"> </w:t>
      </w:r>
      <w:r>
        <w:rPr>
          <w:rFonts w:hint="eastAsia" w:cs="宋体"/>
        </w:rPr>
        <w:t>一般规定</w:t>
      </w:r>
      <w:bookmarkEnd w:id="45"/>
      <w:bookmarkEnd w:id="46"/>
      <w:bookmarkEnd w:id="47"/>
      <w:bookmarkEnd w:id="48"/>
      <w:bookmarkEnd w:id="49"/>
      <w:bookmarkEnd w:id="50"/>
    </w:p>
    <w:p w14:paraId="4A43CD9A">
      <w:pPr>
        <w:pStyle w:val="27"/>
        <w:widowControl/>
        <w:rPr>
          <w:rFonts w:hint="default"/>
        </w:rPr>
      </w:pPr>
      <w:r>
        <w:rPr>
          <w:rFonts w:hint="default" w:ascii="Times New Roman" w:hAnsi="Times New Roman"/>
          <w:b/>
          <w:bCs/>
        </w:rPr>
        <w:t xml:space="preserve">4.1.1  </w:t>
      </w:r>
      <w:r>
        <w:t>超低能耗居住建筑应采用性能化设计方法，根据本标准规定的室内环境参数和能耗指标要求，利用建筑能耗模拟计算软件等工具，优化确定设计方案。</w:t>
      </w:r>
    </w:p>
    <w:p w14:paraId="26337399">
      <w:pPr>
        <w:pStyle w:val="27"/>
        <w:widowControl/>
        <w:spacing w:line="26" w:lineRule="atLeast"/>
        <w:rPr>
          <w:rFonts w:hint="default"/>
          <w:color w:val="8FAADB"/>
        </w:rPr>
      </w:pPr>
      <w:r>
        <w:rPr>
          <w:b/>
          <w:bCs/>
          <w:color w:val="8FAADB"/>
          <w:szCs w:val="24"/>
        </w:rPr>
        <w:t>【条文说明】</w:t>
      </w:r>
      <w:r>
        <w:rPr>
          <w:color w:val="8FAADB"/>
        </w:rPr>
        <w:t>性能化设计是超低能耗居住建筑设计的核心方法，贯穿设计全过程。其特点在于以性能目标为导向，通过定量化分析与优化，确定建筑方案的关键性能参数。这些参数并非直接取自规范，而是基于对气候特征、自然资源、居住习惯等深入理解，以及对建筑平面布局、朝向、体形系数、开窗形式、采光遮阳、室内空间组织等进行适应性设计的基础上，通过能耗模拟软件进行定量分析的结果。</w:t>
      </w:r>
    </w:p>
    <w:p w14:paraId="1EE68894">
      <w:pPr>
        <w:pStyle w:val="27"/>
        <w:widowControl/>
        <w:rPr>
          <w:rFonts w:hint="default"/>
          <w:color w:val="8FAADB"/>
        </w:rPr>
      </w:pPr>
      <w:r>
        <w:rPr>
          <w:color w:val="8FAADB"/>
        </w:rPr>
        <w:t>设计过程中，应首先以气候特征为指导，结合传统建筑的被动式措施，设计建筑平面布局、朝向、体形等，最大限度降低建筑供暖供冷需求。随后，结合机电系统方案、可再生能源应用及控制策略，将设计方案输入能耗模拟软件，分析其是否满足超低能耗目标和其他技术经济指标。根据模拟结果，反复调整、优化设计策略和参数，直至达成性能目标。性能化设计方法流程如图4.1.1所示。</w:t>
      </w:r>
    </w:p>
    <w:p w14:paraId="0D1260FF">
      <w:pPr>
        <w:pStyle w:val="27"/>
        <w:widowControl/>
        <w:rPr>
          <w:rFonts w:hint="default"/>
        </w:rPr>
      </w:pPr>
      <w:r>
        <w:drawing>
          <wp:inline distT="0" distB="0" distL="114300" distR="114300">
            <wp:extent cx="5334000" cy="3634740"/>
            <wp:effectExtent l="0" t="0" r="0" b="7620"/>
            <wp:docPr id="10" name="图片 119"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9" descr="未标题-2"/>
                    <pic:cNvPicPr>
                      <a:picLocks noChangeAspect="1"/>
                    </pic:cNvPicPr>
                  </pic:nvPicPr>
                  <pic:blipFill>
                    <a:blip r:embed="rId14"/>
                    <a:stretch>
                      <a:fillRect/>
                    </a:stretch>
                  </pic:blipFill>
                  <pic:spPr>
                    <a:xfrm>
                      <a:off x="0" y="0"/>
                      <a:ext cx="5334000" cy="3634740"/>
                    </a:xfrm>
                    <a:prstGeom prst="rect">
                      <a:avLst/>
                    </a:prstGeom>
                    <a:noFill/>
                    <a:ln>
                      <a:noFill/>
                    </a:ln>
                  </pic:spPr>
                </pic:pic>
              </a:graphicData>
            </a:graphic>
          </wp:inline>
        </w:drawing>
      </w:r>
    </w:p>
    <w:p w14:paraId="151FD834">
      <w:pPr>
        <w:pStyle w:val="27"/>
        <w:widowControl/>
        <w:spacing w:before="156" w:beforeLines="50" w:after="156" w:afterLines="50"/>
        <w:jc w:val="center"/>
        <w:rPr>
          <w:rFonts w:hint="default"/>
          <w:b/>
          <w:bCs/>
          <w:sz w:val="21"/>
          <w:szCs w:val="21"/>
        </w:rPr>
      </w:pPr>
      <w:r>
        <w:rPr>
          <w:b/>
          <w:bCs/>
          <w:sz w:val="21"/>
          <w:szCs w:val="21"/>
        </w:rPr>
        <w:t>图</w:t>
      </w:r>
      <w:r>
        <w:rPr>
          <w:rFonts w:hint="default" w:ascii="Times New Roman" w:hAnsi="Times New Roman"/>
          <w:b/>
          <w:bCs/>
          <w:sz w:val="21"/>
          <w:szCs w:val="21"/>
        </w:rPr>
        <w:t>4.1.1</w:t>
      </w:r>
      <w:r>
        <w:rPr>
          <w:b/>
          <w:bCs/>
          <w:sz w:val="21"/>
          <w:szCs w:val="21"/>
        </w:rPr>
        <w:t xml:space="preserve">  性能化设计方法框架示意图</w:t>
      </w:r>
    </w:p>
    <w:p w14:paraId="01B5F3E6">
      <w:pPr>
        <w:pStyle w:val="27"/>
        <w:widowControl/>
        <w:rPr>
          <w:rFonts w:hint="default"/>
        </w:rPr>
      </w:pPr>
      <w:r>
        <w:rPr>
          <w:rFonts w:hint="default" w:ascii="Times New Roman" w:hAnsi="Times New Roman"/>
          <w:b/>
          <w:bCs/>
        </w:rPr>
        <w:t xml:space="preserve">4.1.2  </w:t>
      </w:r>
      <w:r>
        <w:t>超低能耗居住建筑的外围护结构应避免过多凹凸变化，严寒和寒冷地区不宜设置顶、底、侧面接触室外空气的凸（飘）窗。</w:t>
      </w:r>
    </w:p>
    <w:p w14:paraId="3C5A6A17">
      <w:pPr>
        <w:pStyle w:val="27"/>
        <w:widowControl/>
        <w:spacing w:line="26" w:lineRule="atLeast"/>
        <w:rPr>
          <w:rFonts w:hint="default"/>
          <w:color w:val="8FAADB"/>
        </w:rPr>
      </w:pPr>
      <w:r>
        <w:rPr>
          <w:b/>
          <w:bCs/>
          <w:color w:val="8FAADB"/>
          <w:szCs w:val="24"/>
        </w:rPr>
        <w:t>【条文说明】</w:t>
      </w:r>
      <w:r>
        <w:rPr>
          <w:color w:val="8FAADB"/>
        </w:rPr>
        <w:t>过多的围护结构凹凸会增加建筑外表面能耗传递面积，不利于节能，同时增加建筑材料消耗、施工难度，可能引发工程质量问题，不符合建筑全生命周期的低碳理念。</w:t>
      </w:r>
    </w:p>
    <w:p w14:paraId="73A4BC49">
      <w:pPr>
        <w:pStyle w:val="27"/>
        <w:widowControl/>
        <w:rPr>
          <w:rFonts w:hint="default"/>
        </w:rPr>
      </w:pPr>
      <w:r>
        <w:rPr>
          <w:rFonts w:hint="default" w:ascii="Times New Roman" w:hAnsi="Times New Roman"/>
          <w:b/>
          <w:bCs/>
        </w:rPr>
        <w:t xml:space="preserve">4.1.3  </w:t>
      </w:r>
      <w:r>
        <w:t>室内空间布局应有利于利用当地气候特点实现自然通风。</w:t>
      </w:r>
    </w:p>
    <w:p w14:paraId="11D83BC0">
      <w:pPr>
        <w:pStyle w:val="27"/>
        <w:widowControl/>
        <w:spacing w:line="26" w:lineRule="atLeast"/>
        <w:rPr>
          <w:rFonts w:hint="default"/>
          <w:color w:val="8FAADB"/>
        </w:rPr>
      </w:pPr>
      <w:r>
        <w:rPr>
          <w:b/>
          <w:bCs/>
          <w:color w:val="8FAADB"/>
          <w:szCs w:val="24"/>
        </w:rPr>
        <w:t>【条文说明】</w:t>
      </w:r>
      <w:r>
        <w:rPr>
          <w:color w:val="8FAADB"/>
        </w:rPr>
        <w:t>良好的自然通风不仅有益于人与自然和谐共生，保障健康生活，还能在夏季降低建筑能耗，过渡季节减少空调使用时间，实现节能目的。</w:t>
      </w:r>
    </w:p>
    <w:p w14:paraId="2F78F8B6">
      <w:pPr>
        <w:pStyle w:val="27"/>
        <w:widowControl/>
        <w:rPr>
          <w:rFonts w:hint="default"/>
        </w:rPr>
      </w:pPr>
      <w:r>
        <w:rPr>
          <w:rFonts w:hint="default" w:ascii="Times New Roman" w:hAnsi="Times New Roman"/>
          <w:b/>
          <w:bCs/>
        </w:rPr>
        <w:t xml:space="preserve">4.1.4  </w:t>
      </w:r>
      <w:r>
        <w:t>超低能耗居住建筑计算体形系数时，应将凸（飘）窗空间的体积和外表面计入整体体积和外表面中。计算窗墙比时，凸窗透明围护结构面积以其展开面积计。同时，凸（飘）窗的顶板和底板应满足外墙保温性能要求，不按屋面和架空楼板处理。</w:t>
      </w:r>
    </w:p>
    <w:p w14:paraId="4EEA2E4A">
      <w:pPr>
        <w:pStyle w:val="27"/>
        <w:widowControl/>
        <w:spacing w:line="26" w:lineRule="atLeast"/>
        <w:rPr>
          <w:rFonts w:hint="default"/>
          <w:color w:val="8FAADB"/>
        </w:rPr>
      </w:pPr>
      <w:r>
        <w:rPr>
          <w:b/>
          <w:bCs/>
          <w:color w:val="8FAADB"/>
          <w:szCs w:val="24"/>
        </w:rPr>
        <w:t>【条文说明】</w:t>
      </w:r>
      <w:r>
        <w:rPr>
          <w:color w:val="8FAADB"/>
        </w:rPr>
        <w:t>凸（飘）窗部位实际也是室内空间，与主体空间对建筑建筑能耗的影响完全相同，不应因为凸（飘）窗不计算建筑面积而区别对待，所以，凸窗空间的体积和外表面也应列入计算体形系数的体积和外表面中，在计算窗墙比时，凸窗透明围护结构的面积也应以其展开面积计算。同时，为了简化计算，计算外表面位置的凸（飘）窗的顶板和底板均应满足外墙的保温性能要求，不用按屋面和架空楼板考虑。</w:t>
      </w:r>
    </w:p>
    <w:p w14:paraId="08FEB45D">
      <w:pPr>
        <w:pStyle w:val="27"/>
        <w:widowControl/>
        <w:rPr>
          <w:rFonts w:hint="default"/>
          <w:color w:val="8FAADB"/>
        </w:rPr>
      </w:pPr>
      <w:r>
        <w:rPr>
          <w:color w:val="8FAADB"/>
        </w:rPr>
        <w:t>不同情况凸（飘）窗的体积和表面积计算范围如图4.1.5所示：</w:t>
      </w:r>
    </w:p>
    <w:p w14:paraId="2E5A0158">
      <w:pPr>
        <w:pStyle w:val="27"/>
        <w:widowControl/>
        <w:rPr>
          <w:rFonts w:hint="default"/>
        </w:rPr>
      </w:pPr>
      <w:r>
        <w:drawing>
          <wp:inline distT="0" distB="0" distL="114300" distR="114300">
            <wp:extent cx="5166360" cy="6979920"/>
            <wp:effectExtent l="0" t="0" r="0"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5"/>
                    <a:stretch>
                      <a:fillRect/>
                    </a:stretch>
                  </pic:blipFill>
                  <pic:spPr>
                    <a:xfrm>
                      <a:off x="0" y="0"/>
                      <a:ext cx="5166360" cy="6979920"/>
                    </a:xfrm>
                    <a:prstGeom prst="rect">
                      <a:avLst/>
                    </a:prstGeom>
                    <a:noFill/>
                    <a:ln>
                      <a:noFill/>
                    </a:ln>
                  </pic:spPr>
                </pic:pic>
              </a:graphicData>
            </a:graphic>
          </wp:inline>
        </w:drawing>
      </w:r>
    </w:p>
    <w:p w14:paraId="4DF2513A">
      <w:pPr>
        <w:pStyle w:val="27"/>
        <w:widowControl/>
        <w:spacing w:before="156" w:beforeLines="50" w:after="156" w:afterLines="50"/>
        <w:jc w:val="center"/>
        <w:rPr>
          <w:rFonts w:hint="default"/>
          <w:b/>
          <w:bCs/>
          <w:sz w:val="21"/>
          <w:szCs w:val="21"/>
        </w:rPr>
      </w:pPr>
      <w:r>
        <w:rPr>
          <w:b/>
          <w:bCs/>
          <w:sz w:val="21"/>
          <w:szCs w:val="21"/>
        </w:rPr>
        <w:t>图</w:t>
      </w:r>
      <w:r>
        <w:rPr>
          <w:rFonts w:hint="default" w:ascii="Times New Roman" w:hAnsi="Times New Roman"/>
          <w:b/>
          <w:bCs/>
          <w:sz w:val="21"/>
          <w:szCs w:val="21"/>
        </w:rPr>
        <w:t>4.1.5</w:t>
      </w:r>
      <w:r>
        <w:rPr>
          <w:b/>
          <w:bCs/>
          <w:sz w:val="21"/>
          <w:szCs w:val="21"/>
        </w:rPr>
        <w:t xml:space="preserve">  结构性热桥保温范围示意图</w:t>
      </w:r>
    </w:p>
    <w:p w14:paraId="64230A1D">
      <w:pPr>
        <w:pStyle w:val="27"/>
        <w:widowControl/>
        <w:rPr>
          <w:rFonts w:hint="default"/>
        </w:rPr>
      </w:pPr>
    </w:p>
    <w:p w14:paraId="2F47F7E4">
      <w:pPr>
        <w:pStyle w:val="27"/>
        <w:widowControl/>
        <w:rPr>
          <w:rFonts w:hint="default"/>
        </w:rPr>
      </w:pPr>
      <w:r>
        <w:rPr>
          <w:rFonts w:hint="default" w:ascii="Times New Roman" w:hAnsi="Times New Roman"/>
          <w:b/>
          <w:bCs/>
        </w:rPr>
        <w:t xml:space="preserve">4.1.5  </w:t>
      </w:r>
      <w:r>
        <w:t>建筑室内装修应采用无污染、环境友好型材料和部品，室内空气污染物浓度应符合现行国家标准《建筑环境通用规范》GB 55016的规定。</w:t>
      </w:r>
    </w:p>
    <w:p w14:paraId="76FDBB3E">
      <w:pPr>
        <w:pStyle w:val="27"/>
        <w:widowControl/>
        <w:spacing w:line="26" w:lineRule="atLeast"/>
        <w:rPr>
          <w:rFonts w:hint="default"/>
          <w:color w:val="8FAADB"/>
        </w:rPr>
      </w:pPr>
      <w:r>
        <w:rPr>
          <w:b/>
          <w:bCs/>
          <w:color w:val="8FAADB"/>
          <w:szCs w:val="24"/>
        </w:rPr>
        <w:t>【条文说明】</w:t>
      </w:r>
      <w:r>
        <w:rPr>
          <w:color w:val="8FAADB"/>
        </w:rPr>
        <w:t>为保障人员在建筑内工作、生活的健康安全，应防止或减少室内空气污染物危害，居住建筑室内空气污染物浓度应满足《建筑环境通用规范》GB 55016要求。</w:t>
      </w:r>
    </w:p>
    <w:p w14:paraId="7F053C6B">
      <w:pPr>
        <w:pStyle w:val="4"/>
        <w:widowControl/>
      </w:pPr>
      <w:bookmarkStart w:id="51" w:name="_Toc9473"/>
      <w:bookmarkStart w:id="52" w:name="_Toc30314"/>
      <w:bookmarkStart w:id="53" w:name="_Toc19795"/>
      <w:bookmarkStart w:id="54" w:name="_Toc2536"/>
      <w:bookmarkStart w:id="55" w:name="_Toc4524"/>
      <w:bookmarkStart w:id="56" w:name="_Toc15738"/>
      <w:r>
        <w:rPr>
          <w:rFonts w:ascii="Times New Roman" w:hAnsi="Times New Roman"/>
        </w:rPr>
        <w:t>4.2</w:t>
      </w:r>
      <w:r>
        <w:t xml:space="preserve">  </w:t>
      </w:r>
      <w:r>
        <w:rPr>
          <w:rFonts w:hint="eastAsia" w:cs="宋体"/>
        </w:rPr>
        <w:t>场地规划</w:t>
      </w:r>
      <w:bookmarkEnd w:id="51"/>
      <w:bookmarkEnd w:id="52"/>
      <w:bookmarkEnd w:id="53"/>
      <w:bookmarkEnd w:id="54"/>
      <w:bookmarkEnd w:id="55"/>
      <w:bookmarkEnd w:id="56"/>
    </w:p>
    <w:p w14:paraId="06EBE1AA">
      <w:pPr>
        <w:pStyle w:val="27"/>
        <w:widowControl/>
        <w:rPr>
          <w:rFonts w:hint="default"/>
        </w:rPr>
      </w:pPr>
      <w:r>
        <w:rPr>
          <w:rFonts w:hint="default" w:ascii="Times New Roman" w:hAnsi="Times New Roman"/>
          <w:b/>
          <w:bCs/>
        </w:rPr>
        <w:t xml:space="preserve">4.2.1  </w:t>
      </w:r>
      <w:r>
        <w:t>建筑场地规划应有利于营造适宜的微环境，可参考下列规定：</w:t>
      </w:r>
    </w:p>
    <w:p w14:paraId="223CF5ED">
      <w:pPr>
        <w:pStyle w:val="27"/>
        <w:widowControl/>
        <w:ind w:firstLine="482" w:firstLineChars="200"/>
        <w:rPr>
          <w:rFonts w:hint="default"/>
        </w:rPr>
      </w:pPr>
      <w:r>
        <w:rPr>
          <w:rFonts w:hint="default" w:ascii="Times New Roman" w:hAnsi="Times New Roman"/>
          <w:b/>
          <w:bCs/>
        </w:rPr>
        <w:t xml:space="preserve">1  </w:t>
      </w:r>
      <w:r>
        <w:t>通过场地风环境分析优化建筑布局，预留夏季主导风向风路，营造良好的室外风环境；</w:t>
      </w:r>
    </w:p>
    <w:p w14:paraId="17B33D4C">
      <w:pPr>
        <w:pStyle w:val="27"/>
        <w:widowControl/>
        <w:ind w:firstLine="482" w:firstLineChars="200"/>
        <w:rPr>
          <w:rFonts w:hint="default"/>
        </w:rPr>
      </w:pPr>
      <w:r>
        <w:rPr>
          <w:b/>
          <w:bCs/>
        </w:rPr>
        <w:t xml:space="preserve">2  </w:t>
      </w:r>
      <w:r>
        <w:t>建筑朝向应有利于日照、采光与通风。主入口宜避开冬季主导风向，减少冷风渗透；</w:t>
      </w:r>
    </w:p>
    <w:p w14:paraId="524348ED">
      <w:pPr>
        <w:pStyle w:val="27"/>
        <w:widowControl/>
        <w:ind w:firstLine="482" w:firstLineChars="200"/>
        <w:rPr>
          <w:rFonts w:hint="default"/>
        </w:rPr>
      </w:pPr>
      <w:r>
        <w:rPr>
          <w:rFonts w:hint="default" w:ascii="Times New Roman" w:hAnsi="Times New Roman"/>
          <w:b/>
          <w:bCs/>
        </w:rPr>
        <w:t xml:space="preserve">3  </w:t>
      </w:r>
      <w:r>
        <w:t>合理控制透水铺装材料使用；</w:t>
      </w:r>
    </w:p>
    <w:p w14:paraId="7A518E66">
      <w:pPr>
        <w:pStyle w:val="27"/>
        <w:widowControl/>
        <w:ind w:firstLine="482" w:firstLineChars="200"/>
        <w:rPr>
          <w:rFonts w:hint="default"/>
        </w:rPr>
      </w:pPr>
      <w:r>
        <w:rPr>
          <w:rFonts w:hint="default" w:ascii="Times New Roman" w:hAnsi="Times New Roman"/>
          <w:b/>
          <w:bCs/>
        </w:rPr>
        <w:t xml:space="preserve">4  </w:t>
      </w:r>
      <w:r>
        <w:t>实施复层绿化，活动场地、广场设置乔木或构筑物遮荫，降低场地热岛效应；</w:t>
      </w:r>
    </w:p>
    <w:p w14:paraId="25D0EB3F">
      <w:pPr>
        <w:pStyle w:val="27"/>
        <w:widowControl/>
        <w:ind w:firstLine="482" w:firstLineChars="200"/>
        <w:rPr>
          <w:rFonts w:hint="default"/>
        </w:rPr>
      </w:pPr>
      <w:r>
        <w:rPr>
          <w:rFonts w:hint="default" w:ascii="Times New Roman" w:hAnsi="Times New Roman"/>
          <w:b/>
          <w:bCs/>
        </w:rPr>
        <w:t xml:space="preserve">5  </w:t>
      </w:r>
      <w:r>
        <w:t>进行噪声专项分析，采取降噪措施，确保声环境符合现行国家标准《声环境质量标准》GB 3096要求。</w:t>
      </w:r>
    </w:p>
    <w:p w14:paraId="5ADDA408">
      <w:pPr>
        <w:pStyle w:val="27"/>
        <w:widowControl/>
        <w:spacing w:line="26" w:lineRule="atLeast"/>
        <w:rPr>
          <w:rFonts w:hint="default"/>
          <w:color w:val="8FAADB"/>
        </w:rPr>
      </w:pPr>
      <w:r>
        <w:rPr>
          <w:b/>
          <w:bCs/>
          <w:color w:val="8FAADB"/>
          <w:szCs w:val="24"/>
        </w:rPr>
        <w:t>【条文说明】</w:t>
      </w:r>
      <w:r>
        <w:rPr>
          <w:color w:val="8FAADB"/>
        </w:rPr>
        <w:t>在进行建筑场地规划时，应充分考虑场地的风环境特征。通过对场地进行风环境模拟或分析，了解不同季节尤其是夏季的主导风向、风速及风场分布情况。据此优化建筑布局，确保建筑群落设计既能有效利用夏季主导风向形成良好的自然通风，又能避免形成风速过快、风向紊乱等不利于人体舒适度和建筑节能的风环境。预留足够的风路空间，保证夏季风能在建筑间顺畅流动，降低建筑外表面及室外活动区域的温度，提升室外环境的舒适度。</w:t>
      </w:r>
    </w:p>
    <w:p w14:paraId="03EAA013">
      <w:pPr>
        <w:pStyle w:val="27"/>
        <w:widowControl/>
        <w:rPr>
          <w:rFonts w:hint="default"/>
          <w:color w:val="8FAADB"/>
        </w:rPr>
      </w:pPr>
      <w:r>
        <w:rPr>
          <w:color w:val="8FAADB"/>
        </w:rPr>
        <w:t>建筑的朝向选择应兼顾日照、采光和通风的需求。优先选择有利于获取充足阳光照射、减少冬季室内冷负荷的朝向，同时确保主要生活和工作空间具备良好的自然采光条件。主入口的位置设计应避免直面冬季主导风向，以减少冬季冷风直接吹入建筑内部，降低冷风渗透导致的热量损失，提高建筑的保温性能和室内舒适度。</w:t>
      </w:r>
    </w:p>
    <w:p w14:paraId="5B0BB239">
      <w:pPr>
        <w:pStyle w:val="27"/>
        <w:widowControl/>
        <w:rPr>
          <w:rFonts w:hint="default"/>
          <w:color w:val="8FAADB"/>
        </w:rPr>
      </w:pPr>
      <w:r>
        <w:rPr>
          <w:color w:val="8FAADB"/>
        </w:rPr>
        <w:t>在场地硬质地面铺装设计中，应合理选用和布置透水性良好的铺装材料（如透水砖、透水混凝土等）。透水铺装有助于雨水迅速下渗，减少地表径流，改善场地排水状况，降低暴雨积水风险。同时，透水铺装可增加土壤含水量，有利于场地绿化植物生长，缓解城市热岛效应。但在实际应用中，需结合场地地质条件、地下水位、雨水收集利用系统等因素，适度控制透水铺装的比例和布局，防止过度透水引发地下水污染、地面沉降等问题。</w:t>
      </w:r>
    </w:p>
    <w:p w14:paraId="6AC10CD2">
      <w:pPr>
        <w:pStyle w:val="27"/>
        <w:widowControl/>
        <w:rPr>
          <w:rFonts w:hint="default"/>
          <w:color w:val="8FAADB"/>
        </w:rPr>
      </w:pPr>
      <w:r>
        <w:rPr>
          <w:color w:val="8FAADB"/>
        </w:rPr>
        <w:t>在场地绿化设计中，推行多层次、多样化的植被配置，即实施复层绿化。复层绿化包括地被植物、灌木、小乔木和大乔木等多个层次，能够有效增加绿化覆盖率，提高场地的蒸腾降温能力，吸收和反射太阳辐射，降低场地表面温度。对于活动场地、广场等人员密集区域，应种植高大乔木或设置遮阳构筑物（如遮阳棚、遮阳廊架等），提供必要的阴凉空间，减少阳光直射造成的高温环境，从而减轻场地热岛效应，提升户外活动的舒适度。</w:t>
      </w:r>
    </w:p>
    <w:p w14:paraId="0B15C582">
      <w:pPr>
        <w:pStyle w:val="27"/>
        <w:widowControl/>
        <w:rPr>
          <w:rFonts w:hint="default"/>
          <w:color w:val="8FAADB"/>
        </w:rPr>
      </w:pPr>
      <w:r>
        <w:rPr>
          <w:color w:val="8FAADB"/>
        </w:rPr>
        <w:t>在建筑场地规划阶段，应对场地周边的噪声源进行识别和评估，进行噪声专项分析，预测场地建成后可能受到的噪声影响。根据分析结果，采取相应的降噪措施，如设置声屏障、绿化带、隔声窗等，合理布局噪声敏感功能区（如卧室、教室、医院等）与噪声源的距离，确保建成后的声环境质量满足《声环境质量标准》GB 3096的要求，为居民提供安静、舒适的居住和生活环境。</w:t>
      </w:r>
    </w:p>
    <w:p w14:paraId="5D46D14F">
      <w:pPr>
        <w:pStyle w:val="27"/>
        <w:widowControl/>
        <w:rPr>
          <w:rFonts w:hint="default"/>
        </w:rPr>
      </w:pPr>
      <w:r>
        <w:rPr>
          <w:rFonts w:hint="default" w:ascii="Times New Roman" w:hAnsi="Times New Roman"/>
          <w:b/>
          <w:bCs/>
        </w:rPr>
        <w:t xml:space="preserve">4.2.2  </w:t>
      </w:r>
      <w:r>
        <w:t>建筑群总体布局、单体建筑平面、立面设计及门窗设置应有利于自然通风。</w:t>
      </w:r>
    </w:p>
    <w:p w14:paraId="00D8AFAD">
      <w:pPr>
        <w:pStyle w:val="27"/>
        <w:widowControl/>
        <w:spacing w:line="26" w:lineRule="atLeast"/>
        <w:rPr>
          <w:rFonts w:hint="default"/>
          <w:color w:val="8FAADB"/>
        </w:rPr>
      </w:pPr>
      <w:r>
        <w:rPr>
          <w:b/>
          <w:bCs/>
          <w:color w:val="8FAADB"/>
          <w:szCs w:val="24"/>
        </w:rPr>
        <w:t>【条文说明】</w:t>
      </w:r>
      <w:r>
        <w:rPr>
          <w:color w:val="8FAADB"/>
        </w:rPr>
        <w:t>在建筑群布局和平面设计时，应兼顾功能需求，夏季避免直射，冬季充分利用太阳辐射，过渡季和夏季组织好室内外自然通风，改善热舒适环境，减少空调运行时间，降低实际能耗。</w:t>
      </w:r>
    </w:p>
    <w:p w14:paraId="13D82983">
      <w:pPr>
        <w:pStyle w:val="27"/>
        <w:widowControl/>
        <w:rPr>
          <w:rFonts w:hint="default"/>
        </w:rPr>
      </w:pPr>
      <w:r>
        <w:rPr>
          <w:rFonts w:hint="default" w:ascii="Times New Roman" w:hAnsi="Times New Roman"/>
          <w:b/>
          <w:bCs/>
        </w:rPr>
        <w:t xml:space="preserve">4.2.3  </w:t>
      </w:r>
      <w:r>
        <w:t>严寒地区建筑出入口及寒冷地区面向冬季主导风向的主要出入口应设置门斗。</w:t>
      </w:r>
    </w:p>
    <w:p w14:paraId="66BD39C4">
      <w:pPr>
        <w:pStyle w:val="27"/>
        <w:widowControl/>
        <w:spacing w:line="26" w:lineRule="atLeast"/>
        <w:rPr>
          <w:rFonts w:hint="default"/>
          <w:color w:val="8FAADB"/>
        </w:rPr>
      </w:pPr>
      <w:r>
        <w:rPr>
          <w:b/>
          <w:bCs/>
          <w:color w:val="8FAADB"/>
          <w:szCs w:val="24"/>
        </w:rPr>
        <w:t>【条文说明】</w:t>
      </w:r>
      <w:r>
        <w:rPr>
          <w:color w:val="8FAADB"/>
        </w:rPr>
        <w:t>严寒和寒冷地区冬季室内外温差大，入口处设置门斗能有效阻挡冷空气直接进入室内，实现节能并提高室内舒适度。</w:t>
      </w:r>
    </w:p>
    <w:p w14:paraId="045DFBDF">
      <w:pPr>
        <w:pStyle w:val="4"/>
        <w:widowControl/>
      </w:pPr>
      <w:bookmarkStart w:id="57" w:name="_Toc11071"/>
      <w:bookmarkStart w:id="58" w:name="_Toc15232"/>
      <w:bookmarkStart w:id="59" w:name="_Toc13732"/>
      <w:bookmarkStart w:id="60" w:name="_Toc18542"/>
      <w:bookmarkStart w:id="61" w:name="_Toc30819"/>
      <w:bookmarkStart w:id="62" w:name="_Toc18499"/>
      <w:r>
        <w:rPr>
          <w:rFonts w:ascii="Times New Roman" w:hAnsi="Times New Roman"/>
        </w:rPr>
        <w:t>4.3</w:t>
      </w:r>
      <w:r>
        <w:t xml:space="preserve">  </w:t>
      </w:r>
      <w:r>
        <w:rPr>
          <w:rFonts w:hint="eastAsia" w:cs="宋体"/>
        </w:rPr>
        <w:t>建筑围护结构</w:t>
      </w:r>
      <w:bookmarkEnd w:id="57"/>
      <w:bookmarkEnd w:id="58"/>
      <w:bookmarkEnd w:id="59"/>
      <w:bookmarkEnd w:id="60"/>
      <w:bookmarkEnd w:id="61"/>
      <w:bookmarkEnd w:id="62"/>
    </w:p>
    <w:p w14:paraId="249445C6">
      <w:pPr>
        <w:pStyle w:val="5"/>
        <w:widowControl/>
        <w:jc w:val="center"/>
      </w:pPr>
      <w:bookmarkStart w:id="63" w:name="_Toc8884"/>
      <w:bookmarkStart w:id="64" w:name="_Toc988"/>
      <w:bookmarkStart w:id="65" w:name="_Toc8395"/>
      <w:bookmarkStart w:id="66" w:name="_Toc8031"/>
      <w:bookmarkStart w:id="67" w:name="_Toc29035"/>
      <w:bookmarkStart w:id="68" w:name="_Toc25235"/>
      <w:r>
        <w:rPr>
          <w:rFonts w:ascii="Times New Roman" w:hAnsi="Times New Roman"/>
        </w:rPr>
        <w:t>I</w:t>
      </w:r>
      <w:r>
        <w:t xml:space="preserve">  </w:t>
      </w:r>
      <w:r>
        <w:rPr>
          <w:rFonts w:hint="eastAsia" w:cs="宋体"/>
        </w:rPr>
        <w:t>非透光围护结构</w:t>
      </w:r>
      <w:bookmarkEnd w:id="63"/>
      <w:bookmarkEnd w:id="64"/>
      <w:bookmarkEnd w:id="65"/>
      <w:bookmarkEnd w:id="66"/>
      <w:bookmarkEnd w:id="67"/>
      <w:bookmarkEnd w:id="68"/>
    </w:p>
    <w:p w14:paraId="67457367">
      <w:pPr>
        <w:pStyle w:val="27"/>
        <w:widowControl/>
        <w:rPr>
          <w:rFonts w:hint="default"/>
        </w:rPr>
      </w:pPr>
      <w:r>
        <w:rPr>
          <w:rFonts w:hint="default" w:ascii="Times New Roman" w:hAnsi="Times New Roman"/>
          <w:b/>
          <w:bCs/>
        </w:rPr>
        <w:t xml:space="preserve">4.3.1  </w:t>
      </w:r>
      <w:r>
        <w:t>超低能耗居住建筑非透光围护结构平均传热系数应根据性能化设计计算确定，应符合表4.3.1的规定。</w:t>
      </w:r>
    </w:p>
    <w:p w14:paraId="6E691247">
      <w:pPr>
        <w:pStyle w:val="27"/>
        <w:widowControl/>
        <w:spacing w:before="156" w:beforeLines="50" w:after="156" w:afterLines="50"/>
        <w:jc w:val="center"/>
        <w:rPr>
          <w:rFonts w:hint="default"/>
          <w:b/>
          <w:bCs/>
          <w:sz w:val="21"/>
          <w:szCs w:val="21"/>
        </w:rPr>
      </w:pPr>
      <w:r>
        <w:rPr>
          <w:b/>
          <w:bCs/>
          <w:sz w:val="21"/>
          <w:szCs w:val="21"/>
        </w:rPr>
        <w:t>表4.3.1-1严寒A区居住建筑围护结构热工性能参数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4673"/>
        <w:gridCol w:w="1450"/>
        <w:gridCol w:w="1543"/>
      </w:tblGrid>
      <w:tr w14:paraId="04224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4FEF2228">
            <w:pPr>
              <w:pStyle w:val="27"/>
              <w:widowControl/>
              <w:jc w:val="center"/>
              <w:rPr>
                <w:rFonts w:hint="default"/>
                <w:sz w:val="21"/>
                <w:szCs w:val="21"/>
              </w:rPr>
            </w:pPr>
            <w:r>
              <w:rPr>
                <w:sz w:val="21"/>
                <w:szCs w:val="21"/>
              </w:rPr>
              <w:t>围护结构部位</w:t>
            </w:r>
          </w:p>
        </w:tc>
        <w:tc>
          <w:tcPr>
            <w:tcW w:w="2993"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23FE35D2">
            <w:pPr>
              <w:pStyle w:val="27"/>
              <w:widowControl/>
              <w:jc w:val="center"/>
              <w:rPr>
                <w:rFonts w:hint="default"/>
                <w:sz w:val="21"/>
                <w:szCs w:val="21"/>
              </w:rPr>
            </w:pPr>
            <w:r>
              <w:rPr>
                <w:sz w:val="21"/>
                <w:szCs w:val="21"/>
              </w:rPr>
              <w:t>传热系数</w:t>
            </w:r>
          </w:p>
          <w:p w14:paraId="6A63723B">
            <w:pPr>
              <w:pStyle w:val="27"/>
              <w:widowControl/>
              <w:jc w:val="center"/>
              <w:rPr>
                <w:rFonts w:hint="default"/>
                <w:sz w:val="21"/>
                <w:szCs w:val="21"/>
              </w:rPr>
            </w:pPr>
            <w:r>
              <w:rPr>
                <w:sz w:val="21"/>
                <w:szCs w:val="21"/>
              </w:rPr>
              <w:t>K [</w:t>
            </w:r>
            <w:r>
              <w:rPr>
                <w:position w:val="-8"/>
                <w:sz w:val="21"/>
                <w:szCs w:val="21"/>
              </w:rPr>
              <w:object>
                <v:shape id="_x0000_i1030" o:spt="75" type="#_x0000_t75" style="height:14.4pt;width:40.8pt;" o:ole="t" filled="f" o:preferrelative="t" stroked="f" coordsize="21600,21600">
                  <v:path/>
                  <v:fill on="f" focussize="0,0"/>
                  <v:stroke on="f" joinstyle="miter"/>
                  <v:imagedata r:id="rId17" o:title=""/>
                  <o:lock v:ext="edit" aspectratio="t"/>
                  <w10:wrap type="none"/>
                  <w10:anchorlock/>
                </v:shape>
                <o:OLEObject Type="Embed" ProgID="" ShapeID="_x0000_i1030" DrawAspect="Content" ObjectID="_1468075730" r:id="rId16">
                  <o:LockedField>false</o:LockedField>
                </o:OLEObject>
              </w:object>
            </w:r>
            <w:r>
              <w:rPr>
                <w:sz w:val="21"/>
                <w:szCs w:val="21"/>
              </w:rPr>
              <w:t>]</w:t>
            </w:r>
          </w:p>
        </w:tc>
      </w:tr>
      <w:tr w14:paraId="35A8A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3181D8C9">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D665A3B">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AA060A7">
            <w:pPr>
              <w:pStyle w:val="27"/>
              <w:widowControl/>
              <w:jc w:val="center"/>
              <w:rPr>
                <w:rFonts w:hint="default"/>
                <w:sz w:val="21"/>
                <w:szCs w:val="21"/>
              </w:rPr>
            </w:pPr>
            <w:r>
              <w:rPr>
                <w:sz w:val="21"/>
                <w:szCs w:val="21"/>
              </w:rPr>
              <w:t>＞3层</w:t>
            </w:r>
          </w:p>
        </w:tc>
      </w:tr>
      <w:tr w14:paraId="46581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22A6B2AA">
            <w:pPr>
              <w:pStyle w:val="27"/>
              <w:widowControl/>
              <w:jc w:val="center"/>
              <w:rPr>
                <w:rFonts w:hint="default"/>
                <w:sz w:val="21"/>
                <w:szCs w:val="21"/>
              </w:rPr>
            </w:pPr>
            <w:r>
              <w:rPr>
                <w:sz w:val="21"/>
                <w:szCs w:val="21"/>
              </w:rPr>
              <w:t>屋面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020E4DE">
            <w:pPr>
              <w:pStyle w:val="27"/>
              <w:widowControl/>
              <w:jc w:val="center"/>
              <w:rPr>
                <w:rFonts w:hint="default"/>
                <w:sz w:val="21"/>
                <w:szCs w:val="21"/>
              </w:rPr>
            </w:pPr>
            <w:r>
              <w:rPr>
                <w:sz w:val="21"/>
                <w:szCs w:val="21"/>
              </w:rPr>
              <w:t>≤0.10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8F912EF">
            <w:pPr>
              <w:pStyle w:val="27"/>
              <w:widowControl/>
              <w:jc w:val="center"/>
              <w:rPr>
                <w:rFonts w:hint="default"/>
                <w:sz w:val="21"/>
                <w:szCs w:val="21"/>
              </w:rPr>
            </w:pPr>
            <w:r>
              <w:rPr>
                <w:sz w:val="21"/>
                <w:szCs w:val="21"/>
              </w:rPr>
              <w:t>≤0.10</w:t>
            </w:r>
          </w:p>
        </w:tc>
      </w:tr>
      <w:tr w14:paraId="70D56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3DAD54AD">
            <w:pPr>
              <w:pStyle w:val="27"/>
              <w:widowControl/>
              <w:jc w:val="center"/>
              <w:rPr>
                <w:rFonts w:hint="default"/>
                <w:sz w:val="21"/>
                <w:szCs w:val="21"/>
              </w:rPr>
            </w:pPr>
            <w:r>
              <w:rPr>
                <w:sz w:val="21"/>
                <w:szCs w:val="21"/>
              </w:rPr>
              <w:t>外墙</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D9647D7">
            <w:pPr>
              <w:pStyle w:val="27"/>
              <w:widowControl/>
              <w:jc w:val="center"/>
              <w:rPr>
                <w:rFonts w:hint="default"/>
                <w:sz w:val="21"/>
                <w:szCs w:val="21"/>
              </w:rPr>
            </w:pPr>
            <w:r>
              <w:rPr>
                <w:sz w:val="21"/>
                <w:szCs w:val="21"/>
              </w:rPr>
              <w:t>≤0.15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494ED886">
            <w:pPr>
              <w:pStyle w:val="27"/>
              <w:widowControl/>
              <w:jc w:val="center"/>
              <w:rPr>
                <w:rFonts w:hint="default"/>
                <w:sz w:val="21"/>
                <w:szCs w:val="21"/>
              </w:rPr>
            </w:pPr>
            <w:r>
              <w:rPr>
                <w:sz w:val="21"/>
                <w:szCs w:val="21"/>
              </w:rPr>
              <w:t>≤0.20</w:t>
            </w:r>
          </w:p>
        </w:tc>
      </w:tr>
      <w:tr w14:paraId="7117A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46324955">
            <w:pPr>
              <w:pStyle w:val="27"/>
              <w:widowControl/>
              <w:jc w:val="center"/>
              <w:rPr>
                <w:rFonts w:hint="default"/>
                <w:sz w:val="21"/>
                <w:szCs w:val="21"/>
              </w:rPr>
            </w:pPr>
            <w:r>
              <w:rPr>
                <w:sz w:val="21"/>
                <w:szCs w:val="21"/>
              </w:rPr>
              <w:t>架空或外挑楼板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2342084">
            <w:pPr>
              <w:pStyle w:val="27"/>
              <w:widowControl/>
              <w:jc w:val="center"/>
              <w:rPr>
                <w:rFonts w:hint="default"/>
                <w:sz w:val="21"/>
                <w:szCs w:val="21"/>
              </w:rPr>
            </w:pPr>
            <w:r>
              <w:rPr>
                <w:sz w:val="21"/>
                <w:szCs w:val="21"/>
              </w:rPr>
              <w:t>≤0.15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4D02B3C">
            <w:pPr>
              <w:pStyle w:val="27"/>
              <w:widowControl/>
              <w:jc w:val="center"/>
              <w:rPr>
                <w:rFonts w:hint="default"/>
                <w:sz w:val="21"/>
                <w:szCs w:val="21"/>
              </w:rPr>
            </w:pPr>
            <w:r>
              <w:rPr>
                <w:sz w:val="21"/>
                <w:szCs w:val="21"/>
              </w:rPr>
              <w:t>≤0.20</w:t>
            </w:r>
          </w:p>
        </w:tc>
      </w:tr>
      <w:tr w14:paraId="06CA0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3295933F">
            <w:pPr>
              <w:pStyle w:val="27"/>
              <w:widowControl/>
              <w:jc w:val="center"/>
              <w:rPr>
                <w:rFonts w:hint="default"/>
                <w:sz w:val="21"/>
                <w:szCs w:val="21"/>
              </w:rPr>
            </w:pPr>
            <w:r>
              <w:rPr>
                <w:sz w:val="21"/>
                <w:szCs w:val="21"/>
              </w:rPr>
              <w:t>外门不透光部分</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F3EAF7B">
            <w:pPr>
              <w:pStyle w:val="27"/>
              <w:widowControl/>
              <w:jc w:val="center"/>
              <w:rPr>
                <w:rFonts w:hint="default"/>
                <w:sz w:val="21"/>
                <w:szCs w:val="21"/>
              </w:rPr>
            </w:pPr>
            <w:r>
              <w:rPr>
                <w:sz w:val="21"/>
                <w:szCs w:val="21"/>
              </w:rPr>
              <w:t>≤1.20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12DEC220">
            <w:pPr>
              <w:pStyle w:val="27"/>
              <w:widowControl/>
              <w:jc w:val="center"/>
              <w:rPr>
                <w:rFonts w:hint="default"/>
                <w:sz w:val="21"/>
                <w:szCs w:val="21"/>
              </w:rPr>
            </w:pPr>
            <w:r>
              <w:rPr>
                <w:sz w:val="21"/>
                <w:szCs w:val="21"/>
              </w:rPr>
              <w:t>≤1.20</w:t>
            </w:r>
          </w:p>
        </w:tc>
      </w:tr>
      <w:tr w14:paraId="5A8CF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0E9C9E27">
            <w:pPr>
              <w:pStyle w:val="27"/>
              <w:widowControl/>
              <w:jc w:val="center"/>
              <w:rPr>
                <w:rFonts w:hint="default"/>
                <w:sz w:val="21"/>
                <w:szCs w:val="21"/>
              </w:rPr>
            </w:pPr>
            <w:r>
              <w:rPr>
                <w:sz w:val="21"/>
                <w:szCs w:val="21"/>
              </w:rPr>
              <w:t>非供暖地下室顶板（上部为供暖房间时）</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96C007B">
            <w:pPr>
              <w:pStyle w:val="27"/>
              <w:widowControl/>
              <w:jc w:val="center"/>
              <w:rPr>
                <w:rFonts w:hint="default"/>
                <w:sz w:val="21"/>
                <w:szCs w:val="21"/>
              </w:rPr>
            </w:pPr>
            <w:r>
              <w:rPr>
                <w:sz w:val="21"/>
                <w:szCs w:val="21"/>
              </w:rPr>
              <w:t>≤0.30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F5B3F02">
            <w:pPr>
              <w:pStyle w:val="27"/>
              <w:widowControl/>
              <w:jc w:val="center"/>
              <w:rPr>
                <w:rFonts w:hint="default"/>
                <w:sz w:val="21"/>
                <w:szCs w:val="21"/>
              </w:rPr>
            </w:pPr>
            <w:r>
              <w:rPr>
                <w:sz w:val="21"/>
                <w:szCs w:val="21"/>
              </w:rPr>
              <w:t>≤0.30</w:t>
            </w:r>
          </w:p>
        </w:tc>
      </w:tr>
      <w:tr w14:paraId="247C2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6E16E3F8">
            <w:pPr>
              <w:pStyle w:val="27"/>
              <w:widowControl/>
              <w:jc w:val="center"/>
              <w:rPr>
                <w:rFonts w:hint="default"/>
                <w:sz w:val="21"/>
                <w:szCs w:val="21"/>
              </w:rPr>
            </w:pPr>
            <w:r>
              <w:rPr>
                <w:sz w:val="21"/>
                <w:szCs w:val="21"/>
              </w:rPr>
              <w:t>分隔供暖与非供暖空间的隔墙、楼板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F348C76">
            <w:pPr>
              <w:pStyle w:val="27"/>
              <w:widowControl/>
              <w:jc w:val="center"/>
              <w:rPr>
                <w:rFonts w:hint="default"/>
                <w:sz w:val="21"/>
                <w:szCs w:val="21"/>
              </w:rPr>
            </w:pPr>
            <w:r>
              <w:rPr>
                <w:sz w:val="21"/>
                <w:szCs w:val="21"/>
              </w:rPr>
              <w:t>≤0.80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1DFD9650">
            <w:pPr>
              <w:pStyle w:val="27"/>
              <w:widowControl/>
              <w:jc w:val="center"/>
              <w:rPr>
                <w:rFonts w:hint="default"/>
                <w:sz w:val="21"/>
                <w:szCs w:val="21"/>
              </w:rPr>
            </w:pPr>
            <w:r>
              <w:rPr>
                <w:sz w:val="21"/>
                <w:szCs w:val="21"/>
              </w:rPr>
              <w:t>≤0.80</w:t>
            </w:r>
          </w:p>
        </w:tc>
      </w:tr>
      <w:tr w14:paraId="5DFEF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4B45F37A">
            <w:pPr>
              <w:pStyle w:val="27"/>
              <w:widowControl/>
              <w:jc w:val="center"/>
              <w:rPr>
                <w:rFonts w:hint="default"/>
                <w:sz w:val="21"/>
                <w:szCs w:val="21"/>
              </w:rPr>
            </w:pPr>
            <w:r>
              <w:rPr>
                <w:sz w:val="21"/>
                <w:szCs w:val="21"/>
              </w:rPr>
              <w:t>分隔供暖与非供暖空间的户门</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59A6B42">
            <w:pPr>
              <w:pStyle w:val="27"/>
              <w:widowControl/>
              <w:jc w:val="center"/>
              <w:rPr>
                <w:rFonts w:hint="default"/>
                <w:sz w:val="21"/>
                <w:szCs w:val="21"/>
              </w:rPr>
            </w:pPr>
            <w:r>
              <w:rPr>
                <w:sz w:val="21"/>
                <w:szCs w:val="21"/>
              </w:rPr>
              <w:t>≤1.30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01197F3">
            <w:pPr>
              <w:pStyle w:val="27"/>
              <w:widowControl/>
              <w:jc w:val="center"/>
              <w:rPr>
                <w:rFonts w:hint="default"/>
                <w:sz w:val="21"/>
                <w:szCs w:val="21"/>
              </w:rPr>
            </w:pPr>
            <w:r>
              <w:rPr>
                <w:sz w:val="21"/>
                <w:szCs w:val="21"/>
              </w:rPr>
              <w:t>≤1.30</w:t>
            </w:r>
          </w:p>
        </w:tc>
      </w:tr>
      <w:tr w14:paraId="41EAA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197D1715">
            <w:pPr>
              <w:pStyle w:val="27"/>
              <w:widowControl/>
              <w:jc w:val="center"/>
              <w:rPr>
                <w:rFonts w:hint="default"/>
                <w:sz w:val="21"/>
                <w:szCs w:val="21"/>
              </w:rPr>
            </w:pPr>
            <w:r>
              <w:rPr>
                <w:sz w:val="21"/>
                <w:szCs w:val="21"/>
              </w:rPr>
              <w:t>分隔供暖设计温度温差大于5K的隔墙、楼板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EEB3680">
            <w:pPr>
              <w:pStyle w:val="27"/>
              <w:widowControl/>
              <w:jc w:val="center"/>
              <w:rPr>
                <w:rFonts w:hint="default"/>
                <w:sz w:val="21"/>
                <w:szCs w:val="21"/>
              </w:rPr>
            </w:pPr>
            <w:r>
              <w:rPr>
                <w:sz w:val="21"/>
                <w:szCs w:val="21"/>
              </w:rPr>
              <w:t>≤1.50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5096BD57">
            <w:pPr>
              <w:pStyle w:val="27"/>
              <w:widowControl/>
              <w:jc w:val="center"/>
              <w:rPr>
                <w:rFonts w:hint="default"/>
                <w:sz w:val="21"/>
                <w:szCs w:val="21"/>
              </w:rPr>
            </w:pPr>
            <w:r>
              <w:rPr>
                <w:sz w:val="21"/>
                <w:szCs w:val="21"/>
              </w:rPr>
              <w:t>≤1.50</w:t>
            </w:r>
          </w:p>
        </w:tc>
      </w:tr>
      <w:tr w14:paraId="2101C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614B1E5B">
            <w:pPr>
              <w:pStyle w:val="27"/>
              <w:widowControl/>
              <w:jc w:val="center"/>
              <w:rPr>
                <w:rFonts w:hint="default"/>
                <w:b/>
                <w:bCs/>
                <w:sz w:val="21"/>
                <w:szCs w:val="21"/>
              </w:rPr>
            </w:pPr>
            <w:r>
              <w:rPr>
                <w:sz w:val="21"/>
                <w:szCs w:val="21"/>
              </w:rPr>
              <w:t>围护结构部位</w:t>
            </w:r>
          </w:p>
        </w:tc>
        <w:tc>
          <w:tcPr>
            <w:tcW w:w="2993"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19D87555">
            <w:pPr>
              <w:pStyle w:val="27"/>
              <w:widowControl/>
              <w:jc w:val="center"/>
              <w:rPr>
                <w:rFonts w:hint="default"/>
                <w:sz w:val="21"/>
                <w:szCs w:val="21"/>
              </w:rPr>
            </w:pPr>
            <w:r>
              <w:rPr>
                <w:sz w:val="21"/>
                <w:szCs w:val="21"/>
              </w:rPr>
              <w:t>保温材料层热阻R</w:t>
            </w:r>
          </w:p>
          <w:p w14:paraId="201A036A">
            <w:pPr>
              <w:pStyle w:val="27"/>
              <w:widowControl/>
              <w:jc w:val="center"/>
              <w:rPr>
                <w:rFonts w:hint="default"/>
                <w:b/>
                <w:bCs/>
                <w:sz w:val="21"/>
                <w:szCs w:val="21"/>
              </w:rPr>
            </w:pPr>
            <w:r>
              <w:rPr>
                <w:b/>
                <w:bCs/>
                <w:sz w:val="21"/>
                <w:szCs w:val="21"/>
              </w:rPr>
              <w:t>[</w:t>
            </w:r>
            <w:r>
              <w:rPr>
                <w:b/>
                <w:bCs/>
                <w:position w:val="-8"/>
                <w:sz w:val="21"/>
                <w:szCs w:val="21"/>
              </w:rPr>
              <w:object>
                <v:shape id="_x0000_i1031" o:spt="75" type="#_x0000_t75" style="height:15pt;width:40.8pt;" o:ole="t" filled="f" o:preferrelative="t" stroked="f" coordsize="21600,21600">
                  <v:path/>
                  <v:fill on="f" focussize="0,0"/>
                  <v:stroke on="f" joinstyle="miter"/>
                  <v:imagedata r:id="rId19" o:title=""/>
                  <o:lock v:ext="edit" aspectratio="t"/>
                  <w10:wrap type="none"/>
                  <w10:anchorlock/>
                </v:shape>
                <o:OLEObject Type="Embed" ProgID="" ShapeID="_x0000_i1031" DrawAspect="Content" ObjectID="_1468075731" r:id="rId18">
                  <o:LockedField>false</o:LockedField>
                </o:OLEObject>
              </w:object>
            </w:r>
            <w:r>
              <w:rPr>
                <w:b/>
                <w:bCs/>
                <w:sz w:val="21"/>
                <w:szCs w:val="21"/>
              </w:rPr>
              <w:t>]</w:t>
            </w:r>
          </w:p>
        </w:tc>
      </w:tr>
      <w:tr w14:paraId="71BE3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5B91EBF9">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8168B3F">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3E8B6EB">
            <w:pPr>
              <w:pStyle w:val="27"/>
              <w:widowControl/>
              <w:jc w:val="center"/>
              <w:rPr>
                <w:rFonts w:hint="default"/>
                <w:sz w:val="21"/>
                <w:szCs w:val="21"/>
              </w:rPr>
            </w:pPr>
            <w:r>
              <w:rPr>
                <w:sz w:val="21"/>
                <w:szCs w:val="21"/>
              </w:rPr>
              <w:t>＞3层</w:t>
            </w:r>
          </w:p>
        </w:tc>
      </w:tr>
      <w:tr w14:paraId="06B88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29456F5C">
            <w:pPr>
              <w:pStyle w:val="27"/>
              <w:widowControl/>
              <w:jc w:val="center"/>
              <w:rPr>
                <w:rFonts w:hint="default"/>
                <w:sz w:val="21"/>
                <w:szCs w:val="21"/>
              </w:rPr>
            </w:pPr>
            <w:r>
              <w:rPr>
                <w:sz w:val="21"/>
                <w:szCs w:val="21"/>
              </w:rPr>
              <w:t>室内地面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7CDD97D">
            <w:pPr>
              <w:pStyle w:val="27"/>
              <w:widowControl/>
              <w:jc w:val="center"/>
              <w:rPr>
                <w:rFonts w:hint="default"/>
                <w:sz w:val="21"/>
                <w:szCs w:val="21"/>
              </w:rPr>
            </w:pPr>
            <w:r>
              <w:rPr>
                <w:sz w:val="21"/>
                <w:szCs w:val="21"/>
              </w:rPr>
              <w:t>≥2.00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5F1D6BAC">
            <w:pPr>
              <w:pStyle w:val="27"/>
              <w:widowControl/>
              <w:jc w:val="center"/>
              <w:rPr>
                <w:rFonts w:hint="default"/>
                <w:sz w:val="21"/>
                <w:szCs w:val="21"/>
              </w:rPr>
            </w:pPr>
            <w:r>
              <w:rPr>
                <w:sz w:val="21"/>
                <w:szCs w:val="21"/>
              </w:rPr>
              <w:t>≥2.00</w:t>
            </w:r>
          </w:p>
        </w:tc>
      </w:tr>
      <w:tr w14:paraId="5CB82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12" w:space="0"/>
              <w:right w:val="single" w:color="auto" w:sz="4" w:space="0"/>
            </w:tcBorders>
            <w:shd w:val="clear" w:color="auto" w:fill="auto"/>
            <w:vAlign w:val="center"/>
          </w:tcPr>
          <w:p w14:paraId="7058150B">
            <w:pPr>
              <w:pStyle w:val="27"/>
              <w:widowControl/>
              <w:jc w:val="center"/>
              <w:rPr>
                <w:rFonts w:hint="default"/>
                <w:sz w:val="21"/>
                <w:szCs w:val="21"/>
              </w:rPr>
            </w:pPr>
            <w:r>
              <w:rPr>
                <w:sz w:val="21"/>
                <w:szCs w:val="21"/>
              </w:rPr>
              <w:t>地下室外墙（与土壤接触的外墙）</w:t>
            </w:r>
          </w:p>
        </w:tc>
        <w:tc>
          <w:tcPr>
            <w:tcW w:w="1450" w:type="dxa"/>
            <w:tcBorders>
              <w:top w:val="single" w:color="auto" w:sz="4" w:space="0"/>
              <w:left w:val="single" w:color="auto" w:sz="4" w:space="0"/>
              <w:bottom w:val="single" w:color="auto" w:sz="12" w:space="0"/>
              <w:right w:val="single" w:color="auto" w:sz="4" w:space="0"/>
            </w:tcBorders>
            <w:shd w:val="clear" w:color="auto" w:fill="auto"/>
            <w:vAlign w:val="center"/>
          </w:tcPr>
          <w:p w14:paraId="7E2C42B3">
            <w:pPr>
              <w:pStyle w:val="27"/>
              <w:widowControl/>
              <w:jc w:val="center"/>
              <w:rPr>
                <w:rFonts w:hint="default"/>
                <w:sz w:val="21"/>
                <w:szCs w:val="21"/>
              </w:rPr>
            </w:pPr>
            <w:r>
              <w:rPr>
                <w:sz w:val="21"/>
                <w:szCs w:val="21"/>
              </w:rPr>
              <w:t>≥2.00</w:t>
            </w:r>
          </w:p>
        </w:tc>
        <w:tc>
          <w:tcPr>
            <w:tcW w:w="1543" w:type="dxa"/>
            <w:tcBorders>
              <w:top w:val="single" w:color="auto" w:sz="4" w:space="0"/>
              <w:left w:val="single" w:color="auto" w:sz="4" w:space="0"/>
              <w:bottom w:val="single" w:color="auto" w:sz="12" w:space="0"/>
              <w:right w:val="single" w:color="auto" w:sz="12" w:space="0"/>
            </w:tcBorders>
            <w:shd w:val="clear" w:color="auto" w:fill="auto"/>
            <w:vAlign w:val="center"/>
          </w:tcPr>
          <w:p w14:paraId="0307C90A">
            <w:pPr>
              <w:pStyle w:val="27"/>
              <w:widowControl/>
              <w:jc w:val="center"/>
              <w:rPr>
                <w:rFonts w:hint="default"/>
                <w:sz w:val="21"/>
                <w:szCs w:val="21"/>
              </w:rPr>
            </w:pPr>
            <w:r>
              <w:rPr>
                <w:sz w:val="21"/>
                <w:szCs w:val="21"/>
              </w:rPr>
              <w:t>≥2.00</w:t>
            </w:r>
          </w:p>
        </w:tc>
      </w:tr>
    </w:tbl>
    <w:p w14:paraId="2019F532">
      <w:pPr>
        <w:pStyle w:val="27"/>
        <w:widowControl/>
        <w:spacing w:before="156" w:beforeLines="50" w:after="156" w:afterLines="50"/>
        <w:jc w:val="center"/>
        <w:rPr>
          <w:rFonts w:hint="default"/>
          <w:b/>
          <w:bCs/>
          <w:sz w:val="21"/>
          <w:szCs w:val="21"/>
        </w:rPr>
      </w:pPr>
      <w:r>
        <w:rPr>
          <w:b/>
          <w:bCs/>
          <w:sz w:val="21"/>
          <w:szCs w:val="21"/>
        </w:rPr>
        <w:t>表4.3.1-2严寒B区居住建筑围护结构热工性能参数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4673"/>
        <w:gridCol w:w="1450"/>
        <w:gridCol w:w="1543"/>
      </w:tblGrid>
      <w:tr w14:paraId="425D6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1EE04B4B">
            <w:pPr>
              <w:pStyle w:val="27"/>
              <w:widowControl/>
              <w:jc w:val="center"/>
              <w:rPr>
                <w:rFonts w:hint="default"/>
                <w:sz w:val="21"/>
                <w:szCs w:val="21"/>
              </w:rPr>
            </w:pPr>
            <w:r>
              <w:rPr>
                <w:sz w:val="21"/>
                <w:szCs w:val="21"/>
              </w:rPr>
              <w:t>围护结构部位</w:t>
            </w:r>
          </w:p>
        </w:tc>
        <w:tc>
          <w:tcPr>
            <w:tcW w:w="2993"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1DB544B4">
            <w:pPr>
              <w:pStyle w:val="27"/>
              <w:widowControl/>
              <w:jc w:val="center"/>
              <w:rPr>
                <w:rFonts w:hint="default"/>
                <w:sz w:val="21"/>
                <w:szCs w:val="21"/>
              </w:rPr>
            </w:pPr>
            <w:r>
              <w:rPr>
                <w:sz w:val="21"/>
                <w:szCs w:val="21"/>
              </w:rPr>
              <w:t>传热系数</w:t>
            </w:r>
          </w:p>
          <w:p w14:paraId="4E1979AB">
            <w:pPr>
              <w:pStyle w:val="27"/>
              <w:widowControl/>
              <w:jc w:val="center"/>
              <w:rPr>
                <w:rFonts w:hint="default"/>
                <w:sz w:val="21"/>
                <w:szCs w:val="21"/>
              </w:rPr>
            </w:pPr>
            <w:r>
              <w:rPr>
                <w:sz w:val="21"/>
                <w:szCs w:val="21"/>
              </w:rPr>
              <w:t>K [</w:t>
            </w:r>
            <w:r>
              <w:rPr>
                <w:position w:val="-8"/>
                <w:sz w:val="21"/>
                <w:szCs w:val="21"/>
              </w:rPr>
              <w:object>
                <v:shape id="_x0000_i1032"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32" DrawAspect="Content" ObjectID="_1468075732" r:id="rId20">
                  <o:LockedField>false</o:LockedField>
                </o:OLEObject>
              </w:object>
            </w:r>
            <w:r>
              <w:rPr>
                <w:sz w:val="21"/>
                <w:szCs w:val="21"/>
              </w:rPr>
              <w:t>]</w:t>
            </w:r>
          </w:p>
        </w:tc>
      </w:tr>
      <w:tr w14:paraId="1F1A2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14F26AFE">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2FF430E">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05BC2D15">
            <w:pPr>
              <w:pStyle w:val="27"/>
              <w:widowControl/>
              <w:jc w:val="center"/>
              <w:rPr>
                <w:rFonts w:hint="default"/>
                <w:sz w:val="21"/>
                <w:szCs w:val="21"/>
              </w:rPr>
            </w:pPr>
            <w:r>
              <w:rPr>
                <w:sz w:val="21"/>
                <w:szCs w:val="21"/>
              </w:rPr>
              <w:t>＞3层</w:t>
            </w:r>
          </w:p>
        </w:tc>
      </w:tr>
      <w:tr w14:paraId="7D41D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4A2C510D">
            <w:pPr>
              <w:pStyle w:val="27"/>
              <w:widowControl/>
              <w:jc w:val="center"/>
              <w:rPr>
                <w:rFonts w:hint="default"/>
                <w:sz w:val="21"/>
                <w:szCs w:val="21"/>
              </w:rPr>
            </w:pPr>
            <w:r>
              <w:rPr>
                <w:sz w:val="21"/>
                <w:szCs w:val="21"/>
              </w:rPr>
              <w:t>屋面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12E372B">
            <w:pPr>
              <w:pStyle w:val="27"/>
              <w:widowControl/>
              <w:jc w:val="center"/>
              <w:rPr>
                <w:rFonts w:hint="default"/>
                <w:sz w:val="21"/>
                <w:szCs w:val="21"/>
              </w:rPr>
            </w:pPr>
            <w:r>
              <w:rPr>
                <w:sz w:val="21"/>
                <w:szCs w:val="21"/>
              </w:rPr>
              <w:t>≤0.15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05071F20">
            <w:pPr>
              <w:pStyle w:val="27"/>
              <w:widowControl/>
              <w:jc w:val="center"/>
              <w:rPr>
                <w:rFonts w:hint="default"/>
                <w:sz w:val="21"/>
                <w:szCs w:val="21"/>
              </w:rPr>
            </w:pPr>
            <w:r>
              <w:rPr>
                <w:sz w:val="21"/>
                <w:szCs w:val="21"/>
              </w:rPr>
              <w:t>≤0.15</w:t>
            </w:r>
          </w:p>
        </w:tc>
      </w:tr>
      <w:tr w14:paraId="3D53A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6132D4EC">
            <w:pPr>
              <w:pStyle w:val="27"/>
              <w:widowControl/>
              <w:jc w:val="center"/>
              <w:rPr>
                <w:rFonts w:hint="default"/>
                <w:sz w:val="21"/>
                <w:szCs w:val="21"/>
              </w:rPr>
            </w:pPr>
            <w:r>
              <w:rPr>
                <w:sz w:val="21"/>
                <w:szCs w:val="21"/>
              </w:rPr>
              <w:t>外墙</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61F5173">
            <w:pPr>
              <w:pStyle w:val="27"/>
              <w:widowControl/>
              <w:jc w:val="center"/>
              <w:rPr>
                <w:rFonts w:hint="default"/>
                <w:sz w:val="21"/>
                <w:szCs w:val="21"/>
              </w:rPr>
            </w:pPr>
            <w:r>
              <w:rPr>
                <w:sz w:val="21"/>
                <w:szCs w:val="21"/>
              </w:rPr>
              <w:t>≤0.15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A84A250">
            <w:pPr>
              <w:pStyle w:val="27"/>
              <w:widowControl/>
              <w:jc w:val="center"/>
              <w:rPr>
                <w:rFonts w:hint="default"/>
                <w:sz w:val="21"/>
                <w:szCs w:val="21"/>
              </w:rPr>
            </w:pPr>
            <w:r>
              <w:rPr>
                <w:sz w:val="21"/>
                <w:szCs w:val="21"/>
              </w:rPr>
              <w:t>≤0.20</w:t>
            </w:r>
          </w:p>
        </w:tc>
      </w:tr>
      <w:tr w14:paraId="1D932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4C8E786C">
            <w:pPr>
              <w:pStyle w:val="27"/>
              <w:widowControl/>
              <w:jc w:val="center"/>
              <w:rPr>
                <w:rFonts w:hint="default"/>
                <w:sz w:val="21"/>
                <w:szCs w:val="21"/>
              </w:rPr>
            </w:pPr>
            <w:r>
              <w:rPr>
                <w:sz w:val="21"/>
                <w:szCs w:val="21"/>
              </w:rPr>
              <w:t>架空或外挑楼板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0AE923E">
            <w:pPr>
              <w:pStyle w:val="27"/>
              <w:widowControl/>
              <w:jc w:val="center"/>
              <w:rPr>
                <w:rFonts w:hint="default"/>
                <w:sz w:val="21"/>
                <w:szCs w:val="21"/>
              </w:rPr>
            </w:pPr>
            <w:r>
              <w:rPr>
                <w:sz w:val="21"/>
                <w:szCs w:val="21"/>
              </w:rPr>
              <w:t>≤0.15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142D012F">
            <w:pPr>
              <w:pStyle w:val="27"/>
              <w:widowControl/>
              <w:jc w:val="center"/>
              <w:rPr>
                <w:rFonts w:hint="default"/>
                <w:sz w:val="21"/>
                <w:szCs w:val="21"/>
              </w:rPr>
            </w:pPr>
            <w:r>
              <w:rPr>
                <w:sz w:val="21"/>
                <w:szCs w:val="21"/>
              </w:rPr>
              <w:t>≤0.20</w:t>
            </w:r>
          </w:p>
        </w:tc>
      </w:tr>
      <w:tr w14:paraId="50929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311030D3">
            <w:pPr>
              <w:pStyle w:val="27"/>
              <w:widowControl/>
              <w:jc w:val="center"/>
              <w:rPr>
                <w:rFonts w:hint="default"/>
                <w:sz w:val="21"/>
                <w:szCs w:val="21"/>
              </w:rPr>
            </w:pPr>
            <w:r>
              <w:rPr>
                <w:sz w:val="21"/>
                <w:szCs w:val="21"/>
              </w:rPr>
              <w:t>外门不透光部分</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52DE126">
            <w:pPr>
              <w:pStyle w:val="27"/>
              <w:widowControl/>
              <w:jc w:val="center"/>
              <w:rPr>
                <w:rFonts w:hint="default"/>
                <w:sz w:val="21"/>
                <w:szCs w:val="21"/>
              </w:rPr>
            </w:pPr>
            <w:r>
              <w:rPr>
                <w:sz w:val="21"/>
                <w:szCs w:val="21"/>
              </w:rPr>
              <w:t>≤1.20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5C23481E">
            <w:pPr>
              <w:pStyle w:val="27"/>
              <w:widowControl/>
              <w:jc w:val="center"/>
              <w:rPr>
                <w:rFonts w:hint="default"/>
                <w:sz w:val="21"/>
                <w:szCs w:val="21"/>
              </w:rPr>
            </w:pPr>
            <w:r>
              <w:rPr>
                <w:sz w:val="21"/>
                <w:szCs w:val="21"/>
              </w:rPr>
              <w:t>≤1.20</w:t>
            </w:r>
          </w:p>
        </w:tc>
      </w:tr>
      <w:tr w14:paraId="5DB98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22588231">
            <w:pPr>
              <w:pStyle w:val="27"/>
              <w:widowControl/>
              <w:jc w:val="center"/>
              <w:rPr>
                <w:rFonts w:hint="default"/>
                <w:sz w:val="21"/>
                <w:szCs w:val="21"/>
              </w:rPr>
            </w:pPr>
            <w:r>
              <w:rPr>
                <w:sz w:val="21"/>
                <w:szCs w:val="21"/>
              </w:rPr>
              <w:t>非供暖地下室顶板（上部为供暖房间时）</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8875D67">
            <w:pPr>
              <w:pStyle w:val="27"/>
              <w:widowControl/>
              <w:jc w:val="center"/>
              <w:rPr>
                <w:rFonts w:hint="default"/>
                <w:sz w:val="21"/>
                <w:szCs w:val="21"/>
              </w:rPr>
            </w:pPr>
            <w:r>
              <w:rPr>
                <w:sz w:val="21"/>
                <w:szCs w:val="21"/>
              </w:rPr>
              <w:t>≤0.30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C171CD3">
            <w:pPr>
              <w:pStyle w:val="27"/>
              <w:widowControl/>
              <w:jc w:val="center"/>
              <w:rPr>
                <w:rFonts w:hint="default"/>
                <w:sz w:val="21"/>
                <w:szCs w:val="21"/>
              </w:rPr>
            </w:pPr>
            <w:r>
              <w:rPr>
                <w:sz w:val="21"/>
                <w:szCs w:val="21"/>
              </w:rPr>
              <w:t>≤0.30</w:t>
            </w:r>
          </w:p>
        </w:tc>
      </w:tr>
      <w:tr w14:paraId="7B4F2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3272EF47">
            <w:pPr>
              <w:pStyle w:val="27"/>
              <w:widowControl/>
              <w:jc w:val="center"/>
              <w:rPr>
                <w:rFonts w:hint="default"/>
                <w:sz w:val="21"/>
                <w:szCs w:val="21"/>
              </w:rPr>
            </w:pPr>
            <w:r>
              <w:rPr>
                <w:sz w:val="21"/>
                <w:szCs w:val="21"/>
              </w:rPr>
              <w:t>分隔供暖与非供暖空间的隔墙、楼板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E52537A">
            <w:pPr>
              <w:pStyle w:val="27"/>
              <w:widowControl/>
              <w:jc w:val="center"/>
              <w:rPr>
                <w:rFonts w:hint="default"/>
                <w:sz w:val="21"/>
                <w:szCs w:val="21"/>
              </w:rPr>
            </w:pPr>
            <w:r>
              <w:rPr>
                <w:sz w:val="21"/>
                <w:szCs w:val="21"/>
              </w:rPr>
              <w:t>≤0.80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759639C">
            <w:pPr>
              <w:pStyle w:val="27"/>
              <w:widowControl/>
              <w:jc w:val="center"/>
              <w:rPr>
                <w:rFonts w:hint="default"/>
                <w:sz w:val="21"/>
                <w:szCs w:val="21"/>
              </w:rPr>
            </w:pPr>
            <w:r>
              <w:rPr>
                <w:sz w:val="21"/>
                <w:szCs w:val="21"/>
              </w:rPr>
              <w:t>≤0.80</w:t>
            </w:r>
          </w:p>
        </w:tc>
      </w:tr>
      <w:tr w14:paraId="012BE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27A14679">
            <w:pPr>
              <w:pStyle w:val="27"/>
              <w:widowControl/>
              <w:jc w:val="center"/>
              <w:rPr>
                <w:rFonts w:hint="default"/>
                <w:sz w:val="21"/>
                <w:szCs w:val="21"/>
              </w:rPr>
            </w:pPr>
            <w:r>
              <w:rPr>
                <w:sz w:val="21"/>
                <w:szCs w:val="21"/>
              </w:rPr>
              <w:t>分隔供暖与非供暖空间的户门</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1194920">
            <w:pPr>
              <w:pStyle w:val="27"/>
              <w:widowControl/>
              <w:jc w:val="center"/>
              <w:rPr>
                <w:rFonts w:hint="default"/>
                <w:sz w:val="21"/>
                <w:szCs w:val="21"/>
              </w:rPr>
            </w:pPr>
            <w:r>
              <w:rPr>
                <w:sz w:val="21"/>
                <w:szCs w:val="21"/>
              </w:rPr>
              <w:t>≤1.30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217412A">
            <w:pPr>
              <w:pStyle w:val="27"/>
              <w:widowControl/>
              <w:jc w:val="center"/>
              <w:rPr>
                <w:rFonts w:hint="default"/>
                <w:sz w:val="21"/>
                <w:szCs w:val="21"/>
              </w:rPr>
            </w:pPr>
            <w:r>
              <w:rPr>
                <w:sz w:val="21"/>
                <w:szCs w:val="21"/>
              </w:rPr>
              <w:t>≤1.30</w:t>
            </w:r>
          </w:p>
        </w:tc>
      </w:tr>
      <w:tr w14:paraId="57301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0B84D400">
            <w:pPr>
              <w:pStyle w:val="27"/>
              <w:widowControl/>
              <w:jc w:val="center"/>
              <w:rPr>
                <w:rFonts w:hint="default"/>
                <w:sz w:val="21"/>
                <w:szCs w:val="21"/>
              </w:rPr>
            </w:pPr>
            <w:r>
              <w:rPr>
                <w:sz w:val="21"/>
                <w:szCs w:val="21"/>
              </w:rPr>
              <w:t>分隔供暖设计温度温差大于5K的隔墙、楼板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1C5A905">
            <w:pPr>
              <w:pStyle w:val="27"/>
              <w:widowControl/>
              <w:jc w:val="center"/>
              <w:rPr>
                <w:rFonts w:hint="default"/>
                <w:sz w:val="21"/>
                <w:szCs w:val="21"/>
              </w:rPr>
            </w:pPr>
            <w:r>
              <w:rPr>
                <w:sz w:val="21"/>
                <w:szCs w:val="21"/>
              </w:rPr>
              <w:t>≤1.50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16F1D975">
            <w:pPr>
              <w:pStyle w:val="27"/>
              <w:widowControl/>
              <w:jc w:val="center"/>
              <w:rPr>
                <w:rFonts w:hint="default"/>
                <w:sz w:val="21"/>
                <w:szCs w:val="21"/>
              </w:rPr>
            </w:pPr>
            <w:r>
              <w:rPr>
                <w:sz w:val="21"/>
                <w:szCs w:val="21"/>
              </w:rPr>
              <w:t>≤1.50</w:t>
            </w:r>
          </w:p>
        </w:tc>
      </w:tr>
      <w:tr w14:paraId="63A44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6A9F3F11">
            <w:pPr>
              <w:pStyle w:val="27"/>
              <w:widowControl/>
              <w:jc w:val="center"/>
              <w:rPr>
                <w:rFonts w:hint="default"/>
                <w:sz w:val="21"/>
                <w:szCs w:val="21"/>
              </w:rPr>
            </w:pPr>
            <w:r>
              <w:rPr>
                <w:sz w:val="21"/>
                <w:szCs w:val="21"/>
              </w:rPr>
              <w:t>围护结构部位</w:t>
            </w:r>
          </w:p>
        </w:tc>
        <w:tc>
          <w:tcPr>
            <w:tcW w:w="2993"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7A436077">
            <w:pPr>
              <w:pStyle w:val="27"/>
              <w:widowControl/>
              <w:jc w:val="center"/>
              <w:rPr>
                <w:rFonts w:hint="default"/>
                <w:sz w:val="21"/>
                <w:szCs w:val="21"/>
              </w:rPr>
            </w:pPr>
            <w:r>
              <w:rPr>
                <w:sz w:val="21"/>
                <w:szCs w:val="21"/>
              </w:rPr>
              <w:t>保温材料层热阻R</w:t>
            </w:r>
          </w:p>
          <w:p w14:paraId="05D8A7A6">
            <w:pPr>
              <w:pStyle w:val="27"/>
              <w:widowControl/>
              <w:jc w:val="center"/>
              <w:rPr>
                <w:rFonts w:hint="default"/>
                <w:sz w:val="21"/>
                <w:szCs w:val="21"/>
              </w:rPr>
            </w:pPr>
            <w:r>
              <w:rPr>
                <w:sz w:val="21"/>
                <w:szCs w:val="21"/>
              </w:rPr>
              <w:t>[</w:t>
            </w:r>
            <w:r>
              <w:rPr>
                <w:position w:val="-8"/>
                <w:sz w:val="21"/>
                <w:szCs w:val="21"/>
              </w:rPr>
              <w:object>
                <v:shape id="_x0000_i1033" o:spt="75" type="#_x0000_t75" style="height:15pt;width:40.8pt;" o:ole="t" filled="f" o:preferrelative="t" stroked="f" coordsize="21600,21600">
                  <v:path/>
                  <v:fill on="f" focussize="0,0"/>
                  <v:stroke on="f" joinstyle="miter"/>
                  <v:imagedata r:id="rId19" o:title=""/>
                  <o:lock v:ext="edit" aspectratio="t"/>
                  <w10:wrap type="none"/>
                  <w10:anchorlock/>
                </v:shape>
                <o:OLEObject Type="Embed" ProgID="" ShapeID="_x0000_i1033" DrawAspect="Content" ObjectID="_1468075733" r:id="rId21">
                  <o:LockedField>false</o:LockedField>
                </o:OLEObject>
              </w:object>
            </w:r>
            <w:r>
              <w:rPr>
                <w:sz w:val="21"/>
                <w:szCs w:val="21"/>
              </w:rPr>
              <w:t>]</w:t>
            </w:r>
          </w:p>
        </w:tc>
      </w:tr>
      <w:tr w14:paraId="69CC3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3125B804">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F11435A">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4519BA1">
            <w:pPr>
              <w:pStyle w:val="27"/>
              <w:widowControl/>
              <w:jc w:val="center"/>
              <w:rPr>
                <w:rFonts w:hint="default"/>
                <w:sz w:val="21"/>
                <w:szCs w:val="21"/>
              </w:rPr>
            </w:pPr>
            <w:r>
              <w:rPr>
                <w:sz w:val="21"/>
                <w:szCs w:val="21"/>
              </w:rPr>
              <w:t>＞3层</w:t>
            </w:r>
          </w:p>
        </w:tc>
      </w:tr>
      <w:tr w14:paraId="1D0FC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598E1692">
            <w:pPr>
              <w:pStyle w:val="27"/>
              <w:widowControl/>
              <w:jc w:val="center"/>
              <w:rPr>
                <w:rFonts w:hint="default"/>
                <w:sz w:val="21"/>
                <w:szCs w:val="21"/>
              </w:rPr>
            </w:pPr>
            <w:r>
              <w:rPr>
                <w:sz w:val="21"/>
                <w:szCs w:val="21"/>
              </w:rPr>
              <w:t>室内地面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B04C6D1">
            <w:pPr>
              <w:pStyle w:val="27"/>
              <w:widowControl/>
              <w:jc w:val="center"/>
              <w:rPr>
                <w:rFonts w:hint="default"/>
                <w:sz w:val="21"/>
                <w:szCs w:val="21"/>
              </w:rPr>
            </w:pPr>
            <w:r>
              <w:rPr>
                <w:sz w:val="21"/>
                <w:szCs w:val="21"/>
              </w:rPr>
              <w:t>≥1.80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414C095B">
            <w:pPr>
              <w:pStyle w:val="27"/>
              <w:widowControl/>
              <w:jc w:val="center"/>
              <w:rPr>
                <w:rFonts w:hint="default"/>
                <w:sz w:val="21"/>
                <w:szCs w:val="21"/>
              </w:rPr>
            </w:pPr>
            <w:r>
              <w:rPr>
                <w:sz w:val="21"/>
                <w:szCs w:val="21"/>
              </w:rPr>
              <w:t>≥1.80</w:t>
            </w:r>
          </w:p>
        </w:tc>
      </w:tr>
      <w:tr w14:paraId="0B788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12" w:space="0"/>
              <w:right w:val="single" w:color="auto" w:sz="4" w:space="0"/>
            </w:tcBorders>
            <w:shd w:val="clear" w:color="auto" w:fill="auto"/>
            <w:vAlign w:val="center"/>
          </w:tcPr>
          <w:p w14:paraId="0099E5B7">
            <w:pPr>
              <w:pStyle w:val="27"/>
              <w:widowControl/>
              <w:jc w:val="center"/>
              <w:rPr>
                <w:rFonts w:hint="default"/>
                <w:sz w:val="21"/>
                <w:szCs w:val="21"/>
              </w:rPr>
            </w:pPr>
            <w:r>
              <w:rPr>
                <w:sz w:val="21"/>
                <w:szCs w:val="21"/>
              </w:rPr>
              <w:t>地下室外墙（与土壤接触的外墙）</w:t>
            </w:r>
          </w:p>
        </w:tc>
        <w:tc>
          <w:tcPr>
            <w:tcW w:w="1450" w:type="dxa"/>
            <w:tcBorders>
              <w:top w:val="single" w:color="auto" w:sz="4" w:space="0"/>
              <w:left w:val="single" w:color="auto" w:sz="4" w:space="0"/>
              <w:bottom w:val="single" w:color="auto" w:sz="12" w:space="0"/>
              <w:right w:val="single" w:color="auto" w:sz="4" w:space="0"/>
            </w:tcBorders>
            <w:shd w:val="clear" w:color="auto" w:fill="auto"/>
            <w:vAlign w:val="center"/>
          </w:tcPr>
          <w:p w14:paraId="2B0E4006">
            <w:pPr>
              <w:pStyle w:val="27"/>
              <w:widowControl/>
              <w:jc w:val="center"/>
              <w:rPr>
                <w:rFonts w:hint="default"/>
                <w:sz w:val="21"/>
                <w:szCs w:val="21"/>
              </w:rPr>
            </w:pPr>
            <w:r>
              <w:rPr>
                <w:sz w:val="21"/>
                <w:szCs w:val="21"/>
              </w:rPr>
              <w:t>≥2.00</w:t>
            </w:r>
          </w:p>
        </w:tc>
        <w:tc>
          <w:tcPr>
            <w:tcW w:w="1543" w:type="dxa"/>
            <w:tcBorders>
              <w:top w:val="single" w:color="auto" w:sz="4" w:space="0"/>
              <w:left w:val="single" w:color="auto" w:sz="4" w:space="0"/>
              <w:bottom w:val="single" w:color="auto" w:sz="12" w:space="0"/>
              <w:right w:val="single" w:color="auto" w:sz="12" w:space="0"/>
            </w:tcBorders>
            <w:shd w:val="clear" w:color="auto" w:fill="auto"/>
            <w:vAlign w:val="center"/>
          </w:tcPr>
          <w:p w14:paraId="5CBAF5E7">
            <w:pPr>
              <w:pStyle w:val="27"/>
              <w:widowControl/>
              <w:jc w:val="center"/>
              <w:rPr>
                <w:rFonts w:hint="default"/>
                <w:sz w:val="21"/>
                <w:szCs w:val="21"/>
              </w:rPr>
            </w:pPr>
            <w:r>
              <w:rPr>
                <w:sz w:val="21"/>
                <w:szCs w:val="21"/>
              </w:rPr>
              <w:t>≥2.00</w:t>
            </w:r>
          </w:p>
        </w:tc>
      </w:tr>
    </w:tbl>
    <w:p w14:paraId="2AFDA6BF">
      <w:pPr>
        <w:pStyle w:val="27"/>
        <w:widowControl/>
        <w:spacing w:before="156" w:beforeLines="50" w:after="156" w:afterLines="50"/>
        <w:jc w:val="center"/>
        <w:rPr>
          <w:rFonts w:hint="default"/>
          <w:b/>
          <w:bCs/>
          <w:sz w:val="21"/>
          <w:szCs w:val="21"/>
        </w:rPr>
      </w:pPr>
    </w:p>
    <w:p w14:paraId="5FF2C67A">
      <w:pPr>
        <w:pStyle w:val="27"/>
        <w:widowControl/>
        <w:spacing w:before="156" w:beforeLines="50" w:after="156" w:afterLines="50"/>
        <w:jc w:val="center"/>
        <w:rPr>
          <w:rFonts w:hint="default"/>
          <w:b/>
          <w:bCs/>
          <w:sz w:val="21"/>
          <w:szCs w:val="21"/>
        </w:rPr>
      </w:pPr>
      <w:r>
        <w:rPr>
          <w:b/>
          <w:bCs/>
          <w:sz w:val="21"/>
          <w:szCs w:val="21"/>
        </w:rPr>
        <w:t>表4.3.1-3 严寒C区居住建筑围护结构热工性能参数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4673"/>
        <w:gridCol w:w="1450"/>
        <w:gridCol w:w="1543"/>
      </w:tblGrid>
      <w:tr w14:paraId="55ABC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7FB50F08">
            <w:pPr>
              <w:pStyle w:val="27"/>
              <w:widowControl/>
              <w:jc w:val="center"/>
              <w:rPr>
                <w:rFonts w:hint="default"/>
                <w:sz w:val="21"/>
                <w:szCs w:val="21"/>
              </w:rPr>
            </w:pPr>
            <w:r>
              <w:rPr>
                <w:sz w:val="21"/>
                <w:szCs w:val="21"/>
              </w:rPr>
              <w:t>围护结构部位</w:t>
            </w:r>
          </w:p>
        </w:tc>
        <w:tc>
          <w:tcPr>
            <w:tcW w:w="2993"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600EA881">
            <w:pPr>
              <w:pStyle w:val="27"/>
              <w:widowControl/>
              <w:jc w:val="center"/>
              <w:rPr>
                <w:rFonts w:hint="default"/>
                <w:sz w:val="21"/>
                <w:szCs w:val="21"/>
              </w:rPr>
            </w:pPr>
            <w:r>
              <w:rPr>
                <w:sz w:val="21"/>
                <w:szCs w:val="21"/>
              </w:rPr>
              <w:t>传热系数</w:t>
            </w:r>
          </w:p>
          <w:p w14:paraId="2D634DC8">
            <w:pPr>
              <w:pStyle w:val="27"/>
              <w:widowControl/>
              <w:jc w:val="center"/>
              <w:rPr>
                <w:rFonts w:hint="default"/>
                <w:sz w:val="21"/>
                <w:szCs w:val="21"/>
              </w:rPr>
            </w:pPr>
            <w:r>
              <w:rPr>
                <w:sz w:val="21"/>
                <w:szCs w:val="21"/>
              </w:rPr>
              <w:t>K [</w:t>
            </w:r>
            <w:r>
              <w:rPr>
                <w:position w:val="-8"/>
                <w:sz w:val="21"/>
                <w:szCs w:val="21"/>
              </w:rPr>
              <w:object>
                <v:shape id="_x0000_i1034"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34" DrawAspect="Content" ObjectID="_1468075734" r:id="rId22">
                  <o:LockedField>false</o:LockedField>
                </o:OLEObject>
              </w:object>
            </w:r>
            <w:r>
              <w:rPr>
                <w:sz w:val="21"/>
                <w:szCs w:val="21"/>
              </w:rPr>
              <w:t>]</w:t>
            </w:r>
          </w:p>
        </w:tc>
      </w:tr>
      <w:tr w14:paraId="3BC24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3920CA87">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A066B92">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359814E">
            <w:pPr>
              <w:pStyle w:val="27"/>
              <w:widowControl/>
              <w:jc w:val="center"/>
              <w:rPr>
                <w:rFonts w:hint="default"/>
                <w:sz w:val="21"/>
                <w:szCs w:val="21"/>
              </w:rPr>
            </w:pPr>
            <w:r>
              <w:rPr>
                <w:sz w:val="21"/>
                <w:szCs w:val="21"/>
              </w:rPr>
              <w:t>＞3层</w:t>
            </w:r>
          </w:p>
        </w:tc>
      </w:tr>
      <w:tr w14:paraId="5938E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2770CF66">
            <w:pPr>
              <w:pStyle w:val="27"/>
              <w:widowControl/>
              <w:jc w:val="center"/>
              <w:rPr>
                <w:rFonts w:hint="default"/>
                <w:sz w:val="21"/>
                <w:szCs w:val="21"/>
              </w:rPr>
            </w:pPr>
            <w:r>
              <w:rPr>
                <w:sz w:val="21"/>
                <w:szCs w:val="21"/>
              </w:rPr>
              <w:t>屋面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DD1427D">
            <w:pPr>
              <w:pStyle w:val="27"/>
              <w:widowControl/>
              <w:jc w:val="center"/>
              <w:rPr>
                <w:rFonts w:hint="default"/>
                <w:sz w:val="21"/>
                <w:szCs w:val="21"/>
              </w:rPr>
            </w:pPr>
            <w:r>
              <w:rPr>
                <w:sz w:val="21"/>
                <w:szCs w:val="21"/>
              </w:rPr>
              <w:t>≤0.15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4FF0855C">
            <w:pPr>
              <w:pStyle w:val="27"/>
              <w:widowControl/>
              <w:jc w:val="center"/>
              <w:rPr>
                <w:rFonts w:hint="default"/>
                <w:sz w:val="21"/>
                <w:szCs w:val="21"/>
              </w:rPr>
            </w:pPr>
            <w:r>
              <w:rPr>
                <w:sz w:val="21"/>
                <w:szCs w:val="21"/>
              </w:rPr>
              <w:t>≤0.15</w:t>
            </w:r>
          </w:p>
        </w:tc>
      </w:tr>
      <w:tr w14:paraId="51091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77E8AC8E">
            <w:pPr>
              <w:pStyle w:val="27"/>
              <w:widowControl/>
              <w:jc w:val="center"/>
              <w:rPr>
                <w:rFonts w:hint="default"/>
                <w:sz w:val="21"/>
                <w:szCs w:val="21"/>
              </w:rPr>
            </w:pPr>
            <w:r>
              <w:rPr>
                <w:sz w:val="21"/>
                <w:szCs w:val="21"/>
              </w:rPr>
              <w:t>外墙</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430AD16">
            <w:pPr>
              <w:pStyle w:val="27"/>
              <w:widowControl/>
              <w:jc w:val="center"/>
              <w:rPr>
                <w:rFonts w:hint="default"/>
                <w:sz w:val="21"/>
                <w:szCs w:val="21"/>
              </w:rPr>
            </w:pPr>
            <w:r>
              <w:rPr>
                <w:sz w:val="21"/>
                <w:szCs w:val="21"/>
              </w:rPr>
              <w:t>≤0.20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4A6CF53D">
            <w:pPr>
              <w:pStyle w:val="27"/>
              <w:widowControl/>
              <w:jc w:val="center"/>
              <w:rPr>
                <w:rFonts w:hint="default"/>
                <w:sz w:val="21"/>
                <w:szCs w:val="21"/>
              </w:rPr>
            </w:pPr>
            <w:r>
              <w:rPr>
                <w:sz w:val="21"/>
                <w:szCs w:val="21"/>
              </w:rPr>
              <w:t>≤0.25</w:t>
            </w:r>
          </w:p>
        </w:tc>
      </w:tr>
      <w:tr w14:paraId="660CD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6441F11B">
            <w:pPr>
              <w:pStyle w:val="27"/>
              <w:widowControl/>
              <w:jc w:val="center"/>
              <w:rPr>
                <w:rFonts w:hint="default"/>
                <w:sz w:val="21"/>
                <w:szCs w:val="21"/>
              </w:rPr>
            </w:pPr>
            <w:r>
              <w:rPr>
                <w:sz w:val="21"/>
                <w:szCs w:val="21"/>
              </w:rPr>
              <w:t>架空或外挑楼板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0CB83CE">
            <w:pPr>
              <w:pStyle w:val="27"/>
              <w:widowControl/>
              <w:jc w:val="center"/>
              <w:rPr>
                <w:rFonts w:hint="default"/>
                <w:sz w:val="21"/>
                <w:szCs w:val="21"/>
              </w:rPr>
            </w:pPr>
            <w:r>
              <w:rPr>
                <w:sz w:val="21"/>
                <w:szCs w:val="21"/>
              </w:rPr>
              <w:t>≤0.20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A8C5E5D">
            <w:pPr>
              <w:pStyle w:val="27"/>
              <w:widowControl/>
              <w:jc w:val="center"/>
              <w:rPr>
                <w:rFonts w:hint="default"/>
                <w:sz w:val="21"/>
                <w:szCs w:val="21"/>
              </w:rPr>
            </w:pPr>
            <w:r>
              <w:rPr>
                <w:sz w:val="21"/>
                <w:szCs w:val="21"/>
              </w:rPr>
              <w:t>≤0.25</w:t>
            </w:r>
          </w:p>
        </w:tc>
      </w:tr>
      <w:tr w14:paraId="4EA5F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15CDE747">
            <w:pPr>
              <w:pStyle w:val="27"/>
              <w:widowControl/>
              <w:jc w:val="center"/>
              <w:rPr>
                <w:rFonts w:hint="default"/>
                <w:sz w:val="21"/>
                <w:szCs w:val="21"/>
              </w:rPr>
            </w:pPr>
            <w:r>
              <w:rPr>
                <w:sz w:val="21"/>
                <w:szCs w:val="21"/>
              </w:rPr>
              <w:t>外门不透光部分</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72E59B9">
            <w:pPr>
              <w:pStyle w:val="27"/>
              <w:widowControl/>
              <w:jc w:val="center"/>
              <w:rPr>
                <w:rFonts w:hint="default"/>
                <w:sz w:val="21"/>
                <w:szCs w:val="21"/>
              </w:rPr>
            </w:pPr>
            <w:r>
              <w:rPr>
                <w:sz w:val="21"/>
                <w:szCs w:val="21"/>
              </w:rPr>
              <w:t>≤1.20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834DA42">
            <w:pPr>
              <w:pStyle w:val="27"/>
              <w:widowControl/>
              <w:jc w:val="center"/>
              <w:rPr>
                <w:rFonts w:hint="default"/>
                <w:sz w:val="21"/>
                <w:szCs w:val="21"/>
              </w:rPr>
            </w:pPr>
            <w:r>
              <w:rPr>
                <w:sz w:val="21"/>
                <w:szCs w:val="21"/>
              </w:rPr>
              <w:t>≤1.20</w:t>
            </w:r>
          </w:p>
        </w:tc>
      </w:tr>
      <w:tr w14:paraId="6B678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51077E6A">
            <w:pPr>
              <w:pStyle w:val="27"/>
              <w:widowControl/>
              <w:jc w:val="center"/>
              <w:rPr>
                <w:rFonts w:hint="default"/>
                <w:sz w:val="21"/>
                <w:szCs w:val="21"/>
              </w:rPr>
            </w:pPr>
            <w:r>
              <w:rPr>
                <w:sz w:val="21"/>
                <w:szCs w:val="21"/>
              </w:rPr>
              <w:t>非供暖地下室顶板（上部为供暖房间时）</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7897E87">
            <w:pPr>
              <w:pStyle w:val="27"/>
              <w:widowControl/>
              <w:jc w:val="center"/>
              <w:rPr>
                <w:rFonts w:hint="default"/>
                <w:sz w:val="21"/>
                <w:szCs w:val="21"/>
              </w:rPr>
            </w:pPr>
            <w:r>
              <w:rPr>
                <w:sz w:val="21"/>
                <w:szCs w:val="21"/>
              </w:rPr>
              <w:t>≤0.30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0C7C899">
            <w:pPr>
              <w:pStyle w:val="27"/>
              <w:widowControl/>
              <w:jc w:val="center"/>
              <w:rPr>
                <w:rFonts w:hint="default"/>
                <w:sz w:val="21"/>
                <w:szCs w:val="21"/>
              </w:rPr>
            </w:pPr>
            <w:r>
              <w:rPr>
                <w:sz w:val="21"/>
                <w:szCs w:val="21"/>
              </w:rPr>
              <w:t>≤0.30</w:t>
            </w:r>
          </w:p>
        </w:tc>
      </w:tr>
      <w:tr w14:paraId="4F8D1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7CD954FE">
            <w:pPr>
              <w:pStyle w:val="27"/>
              <w:widowControl/>
              <w:jc w:val="center"/>
              <w:rPr>
                <w:rFonts w:hint="default"/>
                <w:sz w:val="21"/>
                <w:szCs w:val="21"/>
              </w:rPr>
            </w:pPr>
            <w:r>
              <w:rPr>
                <w:sz w:val="21"/>
                <w:szCs w:val="21"/>
              </w:rPr>
              <w:t>分隔供暖与非供暖空间的隔墙、楼板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89EA09D">
            <w:pPr>
              <w:pStyle w:val="27"/>
              <w:widowControl/>
              <w:jc w:val="center"/>
              <w:rPr>
                <w:rFonts w:hint="default"/>
                <w:sz w:val="21"/>
                <w:szCs w:val="21"/>
              </w:rPr>
            </w:pPr>
            <w:r>
              <w:rPr>
                <w:sz w:val="21"/>
                <w:szCs w:val="21"/>
              </w:rPr>
              <w:t>≤0.80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884891E">
            <w:pPr>
              <w:pStyle w:val="27"/>
              <w:widowControl/>
              <w:jc w:val="center"/>
              <w:rPr>
                <w:rFonts w:hint="default"/>
                <w:sz w:val="21"/>
                <w:szCs w:val="21"/>
              </w:rPr>
            </w:pPr>
            <w:r>
              <w:rPr>
                <w:sz w:val="21"/>
                <w:szCs w:val="21"/>
              </w:rPr>
              <w:t>≤0.80</w:t>
            </w:r>
          </w:p>
        </w:tc>
      </w:tr>
      <w:tr w14:paraId="12E24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72649CB8">
            <w:pPr>
              <w:pStyle w:val="27"/>
              <w:widowControl/>
              <w:jc w:val="center"/>
              <w:rPr>
                <w:rFonts w:hint="default"/>
                <w:sz w:val="21"/>
                <w:szCs w:val="21"/>
              </w:rPr>
            </w:pPr>
            <w:r>
              <w:rPr>
                <w:sz w:val="21"/>
                <w:szCs w:val="21"/>
              </w:rPr>
              <w:t>分隔供暖与非供暖空间的户门</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8DD3648">
            <w:pPr>
              <w:pStyle w:val="27"/>
              <w:widowControl/>
              <w:jc w:val="center"/>
              <w:rPr>
                <w:rFonts w:hint="default"/>
                <w:sz w:val="21"/>
                <w:szCs w:val="21"/>
              </w:rPr>
            </w:pPr>
            <w:r>
              <w:rPr>
                <w:sz w:val="21"/>
                <w:szCs w:val="21"/>
              </w:rPr>
              <w:t>≤1.30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978304F">
            <w:pPr>
              <w:pStyle w:val="27"/>
              <w:widowControl/>
              <w:jc w:val="center"/>
              <w:rPr>
                <w:rFonts w:hint="default"/>
                <w:sz w:val="21"/>
                <w:szCs w:val="21"/>
              </w:rPr>
            </w:pPr>
            <w:r>
              <w:rPr>
                <w:sz w:val="21"/>
                <w:szCs w:val="21"/>
              </w:rPr>
              <w:t>≤1.30</w:t>
            </w:r>
          </w:p>
        </w:tc>
      </w:tr>
      <w:tr w14:paraId="04CD4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0D51030C">
            <w:pPr>
              <w:pStyle w:val="27"/>
              <w:widowControl/>
              <w:jc w:val="center"/>
              <w:rPr>
                <w:rFonts w:hint="default"/>
                <w:sz w:val="21"/>
                <w:szCs w:val="21"/>
              </w:rPr>
            </w:pPr>
            <w:r>
              <w:rPr>
                <w:sz w:val="21"/>
                <w:szCs w:val="21"/>
              </w:rPr>
              <w:t>分隔供暖设计温度温差大于5K的隔墙、楼板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7EE8D77">
            <w:pPr>
              <w:pStyle w:val="27"/>
              <w:widowControl/>
              <w:jc w:val="center"/>
              <w:rPr>
                <w:rFonts w:hint="default"/>
                <w:sz w:val="21"/>
                <w:szCs w:val="21"/>
              </w:rPr>
            </w:pPr>
            <w:r>
              <w:rPr>
                <w:sz w:val="21"/>
                <w:szCs w:val="21"/>
              </w:rPr>
              <w:t>≤1.50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15B61195">
            <w:pPr>
              <w:pStyle w:val="27"/>
              <w:widowControl/>
              <w:jc w:val="center"/>
              <w:rPr>
                <w:rFonts w:hint="default"/>
                <w:sz w:val="21"/>
                <w:szCs w:val="21"/>
              </w:rPr>
            </w:pPr>
            <w:r>
              <w:rPr>
                <w:sz w:val="21"/>
                <w:szCs w:val="21"/>
              </w:rPr>
              <w:t>≤1.50</w:t>
            </w:r>
          </w:p>
        </w:tc>
      </w:tr>
      <w:tr w14:paraId="0F5AA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51CF144E">
            <w:pPr>
              <w:pStyle w:val="27"/>
              <w:widowControl/>
              <w:jc w:val="center"/>
              <w:rPr>
                <w:rFonts w:hint="default"/>
                <w:sz w:val="21"/>
                <w:szCs w:val="21"/>
              </w:rPr>
            </w:pPr>
            <w:r>
              <w:rPr>
                <w:sz w:val="21"/>
                <w:szCs w:val="21"/>
              </w:rPr>
              <w:t>围护结构部位</w:t>
            </w:r>
          </w:p>
        </w:tc>
        <w:tc>
          <w:tcPr>
            <w:tcW w:w="2993"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104ACE2E">
            <w:pPr>
              <w:pStyle w:val="27"/>
              <w:widowControl/>
              <w:jc w:val="center"/>
              <w:rPr>
                <w:rFonts w:hint="default"/>
                <w:sz w:val="21"/>
                <w:szCs w:val="21"/>
              </w:rPr>
            </w:pPr>
            <w:r>
              <w:rPr>
                <w:sz w:val="21"/>
                <w:szCs w:val="21"/>
              </w:rPr>
              <w:t>保温材料层热阻R</w:t>
            </w:r>
          </w:p>
          <w:p w14:paraId="20D46606">
            <w:pPr>
              <w:pStyle w:val="27"/>
              <w:widowControl/>
              <w:jc w:val="center"/>
              <w:rPr>
                <w:rFonts w:hint="default"/>
                <w:sz w:val="21"/>
                <w:szCs w:val="21"/>
              </w:rPr>
            </w:pPr>
            <w:r>
              <w:rPr>
                <w:sz w:val="21"/>
                <w:szCs w:val="21"/>
              </w:rPr>
              <w:t>[</w:t>
            </w:r>
            <w:r>
              <w:rPr>
                <w:position w:val="-8"/>
                <w:sz w:val="21"/>
                <w:szCs w:val="21"/>
              </w:rPr>
              <w:object>
                <v:shape id="_x0000_i1035" o:spt="75" type="#_x0000_t75" style="height:15pt;width:40.8pt;" o:ole="t" filled="f" o:preferrelative="t" stroked="f" coordsize="21600,21600">
                  <v:path/>
                  <v:fill on="f" focussize="0,0"/>
                  <v:stroke on="f" joinstyle="miter"/>
                  <v:imagedata r:id="rId19" o:title=""/>
                  <o:lock v:ext="edit" aspectratio="t"/>
                  <w10:wrap type="none"/>
                  <w10:anchorlock/>
                </v:shape>
                <o:OLEObject Type="Embed" ProgID="" ShapeID="_x0000_i1035" DrawAspect="Content" ObjectID="_1468075735" r:id="rId23">
                  <o:LockedField>false</o:LockedField>
                </o:OLEObject>
              </w:object>
            </w:r>
            <w:r>
              <w:rPr>
                <w:sz w:val="21"/>
                <w:szCs w:val="21"/>
              </w:rPr>
              <w:t>]</w:t>
            </w:r>
          </w:p>
        </w:tc>
      </w:tr>
      <w:tr w14:paraId="0406B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23CD6A7B">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A7ABC70">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19BE0A9">
            <w:pPr>
              <w:pStyle w:val="27"/>
              <w:widowControl/>
              <w:jc w:val="center"/>
              <w:rPr>
                <w:rFonts w:hint="default"/>
                <w:sz w:val="21"/>
                <w:szCs w:val="21"/>
              </w:rPr>
            </w:pPr>
            <w:r>
              <w:rPr>
                <w:sz w:val="21"/>
                <w:szCs w:val="21"/>
              </w:rPr>
              <w:t>＞3层</w:t>
            </w:r>
          </w:p>
        </w:tc>
      </w:tr>
      <w:tr w14:paraId="260AE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1132FA2D">
            <w:pPr>
              <w:pStyle w:val="27"/>
              <w:widowControl/>
              <w:jc w:val="center"/>
              <w:rPr>
                <w:rFonts w:hint="default"/>
                <w:sz w:val="21"/>
                <w:szCs w:val="21"/>
              </w:rPr>
            </w:pPr>
            <w:r>
              <w:rPr>
                <w:sz w:val="21"/>
                <w:szCs w:val="21"/>
              </w:rPr>
              <w:t>室内地面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BB44698">
            <w:pPr>
              <w:pStyle w:val="27"/>
              <w:widowControl/>
              <w:jc w:val="center"/>
              <w:rPr>
                <w:rFonts w:hint="default"/>
                <w:sz w:val="21"/>
                <w:szCs w:val="21"/>
              </w:rPr>
            </w:pPr>
            <w:r>
              <w:rPr>
                <w:sz w:val="21"/>
                <w:szCs w:val="21"/>
              </w:rPr>
              <w:t>≥1.80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E052289">
            <w:pPr>
              <w:pStyle w:val="27"/>
              <w:widowControl/>
              <w:jc w:val="center"/>
              <w:rPr>
                <w:rFonts w:hint="default"/>
                <w:sz w:val="21"/>
                <w:szCs w:val="21"/>
              </w:rPr>
            </w:pPr>
            <w:r>
              <w:rPr>
                <w:sz w:val="21"/>
                <w:szCs w:val="21"/>
              </w:rPr>
              <w:t>≥1.80</w:t>
            </w:r>
          </w:p>
        </w:tc>
      </w:tr>
      <w:tr w14:paraId="5C150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12" w:space="0"/>
              <w:right w:val="single" w:color="auto" w:sz="4" w:space="0"/>
            </w:tcBorders>
            <w:shd w:val="clear" w:color="auto" w:fill="auto"/>
            <w:vAlign w:val="center"/>
          </w:tcPr>
          <w:p w14:paraId="0AA2DE2C">
            <w:pPr>
              <w:pStyle w:val="27"/>
              <w:widowControl/>
              <w:jc w:val="center"/>
              <w:rPr>
                <w:rFonts w:hint="default"/>
                <w:sz w:val="21"/>
                <w:szCs w:val="21"/>
              </w:rPr>
            </w:pPr>
            <w:r>
              <w:rPr>
                <w:sz w:val="21"/>
                <w:szCs w:val="21"/>
              </w:rPr>
              <w:t>地下室外墙（与土壤接触的外墙）</w:t>
            </w:r>
          </w:p>
        </w:tc>
        <w:tc>
          <w:tcPr>
            <w:tcW w:w="1450" w:type="dxa"/>
            <w:tcBorders>
              <w:top w:val="single" w:color="auto" w:sz="4" w:space="0"/>
              <w:left w:val="single" w:color="auto" w:sz="4" w:space="0"/>
              <w:bottom w:val="single" w:color="auto" w:sz="12" w:space="0"/>
              <w:right w:val="single" w:color="auto" w:sz="4" w:space="0"/>
            </w:tcBorders>
            <w:shd w:val="clear" w:color="auto" w:fill="auto"/>
            <w:vAlign w:val="center"/>
          </w:tcPr>
          <w:p w14:paraId="2531FD60">
            <w:pPr>
              <w:pStyle w:val="27"/>
              <w:widowControl/>
              <w:jc w:val="center"/>
              <w:rPr>
                <w:rFonts w:hint="default"/>
                <w:sz w:val="21"/>
                <w:szCs w:val="21"/>
              </w:rPr>
            </w:pPr>
            <w:r>
              <w:rPr>
                <w:sz w:val="21"/>
                <w:szCs w:val="21"/>
              </w:rPr>
              <w:t>≥2.00</w:t>
            </w:r>
          </w:p>
        </w:tc>
        <w:tc>
          <w:tcPr>
            <w:tcW w:w="1543" w:type="dxa"/>
            <w:tcBorders>
              <w:top w:val="single" w:color="auto" w:sz="4" w:space="0"/>
              <w:left w:val="single" w:color="auto" w:sz="4" w:space="0"/>
              <w:bottom w:val="single" w:color="auto" w:sz="12" w:space="0"/>
              <w:right w:val="single" w:color="auto" w:sz="12" w:space="0"/>
            </w:tcBorders>
            <w:shd w:val="clear" w:color="auto" w:fill="auto"/>
            <w:vAlign w:val="center"/>
          </w:tcPr>
          <w:p w14:paraId="09D218FB">
            <w:pPr>
              <w:pStyle w:val="27"/>
              <w:widowControl/>
              <w:jc w:val="center"/>
              <w:rPr>
                <w:rFonts w:hint="default"/>
                <w:sz w:val="21"/>
                <w:szCs w:val="21"/>
              </w:rPr>
            </w:pPr>
            <w:r>
              <w:rPr>
                <w:sz w:val="21"/>
                <w:szCs w:val="21"/>
              </w:rPr>
              <w:t>≥2.00</w:t>
            </w:r>
          </w:p>
        </w:tc>
      </w:tr>
    </w:tbl>
    <w:p w14:paraId="2D72F325">
      <w:pPr>
        <w:pStyle w:val="27"/>
        <w:widowControl/>
        <w:spacing w:before="156" w:beforeLines="50" w:after="156" w:afterLines="50"/>
        <w:jc w:val="center"/>
        <w:rPr>
          <w:rFonts w:hint="default"/>
          <w:b/>
          <w:bCs/>
          <w:sz w:val="21"/>
          <w:szCs w:val="21"/>
        </w:rPr>
      </w:pPr>
      <w:r>
        <w:rPr>
          <w:b/>
          <w:bCs/>
          <w:sz w:val="21"/>
          <w:szCs w:val="21"/>
        </w:rPr>
        <w:t>表4.3.1-4 寒冷A区居住建筑围护结构热工性能参数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4673"/>
        <w:gridCol w:w="1450"/>
        <w:gridCol w:w="1543"/>
      </w:tblGrid>
      <w:tr w14:paraId="1048C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2DE6ADB5">
            <w:pPr>
              <w:pStyle w:val="27"/>
              <w:widowControl/>
              <w:jc w:val="center"/>
              <w:rPr>
                <w:rFonts w:hint="default"/>
                <w:sz w:val="21"/>
                <w:szCs w:val="21"/>
              </w:rPr>
            </w:pPr>
            <w:r>
              <w:rPr>
                <w:sz w:val="21"/>
                <w:szCs w:val="21"/>
              </w:rPr>
              <w:t>围护结构部位</w:t>
            </w:r>
          </w:p>
        </w:tc>
        <w:tc>
          <w:tcPr>
            <w:tcW w:w="2993"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05A2B560">
            <w:pPr>
              <w:pStyle w:val="27"/>
              <w:widowControl/>
              <w:jc w:val="center"/>
              <w:rPr>
                <w:rFonts w:hint="default"/>
                <w:sz w:val="21"/>
                <w:szCs w:val="21"/>
              </w:rPr>
            </w:pPr>
            <w:r>
              <w:rPr>
                <w:sz w:val="21"/>
                <w:szCs w:val="21"/>
              </w:rPr>
              <w:t>传热系数</w:t>
            </w:r>
          </w:p>
          <w:p w14:paraId="4E14D554">
            <w:pPr>
              <w:pStyle w:val="27"/>
              <w:widowControl/>
              <w:jc w:val="center"/>
              <w:rPr>
                <w:rFonts w:hint="default"/>
                <w:sz w:val="21"/>
                <w:szCs w:val="21"/>
              </w:rPr>
            </w:pPr>
            <w:r>
              <w:rPr>
                <w:sz w:val="21"/>
                <w:szCs w:val="21"/>
              </w:rPr>
              <w:t>K [</w:t>
            </w:r>
            <w:r>
              <w:rPr>
                <w:position w:val="-8"/>
                <w:sz w:val="21"/>
                <w:szCs w:val="21"/>
              </w:rPr>
              <w:object>
                <v:shape id="_x0000_i1036"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36" DrawAspect="Content" ObjectID="_1468075736" r:id="rId24">
                  <o:LockedField>false</o:LockedField>
                </o:OLEObject>
              </w:object>
            </w:r>
            <w:r>
              <w:rPr>
                <w:sz w:val="21"/>
                <w:szCs w:val="21"/>
              </w:rPr>
              <w:t>]</w:t>
            </w:r>
          </w:p>
        </w:tc>
      </w:tr>
      <w:tr w14:paraId="0B305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53E7E97D">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2F54AE3">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17469E37">
            <w:pPr>
              <w:pStyle w:val="27"/>
              <w:widowControl/>
              <w:jc w:val="center"/>
              <w:rPr>
                <w:rFonts w:hint="default"/>
                <w:sz w:val="21"/>
                <w:szCs w:val="21"/>
              </w:rPr>
            </w:pPr>
            <w:r>
              <w:rPr>
                <w:sz w:val="21"/>
                <w:szCs w:val="21"/>
              </w:rPr>
              <w:t>＞3层</w:t>
            </w:r>
          </w:p>
        </w:tc>
      </w:tr>
      <w:tr w14:paraId="28DC8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596702DE">
            <w:pPr>
              <w:pStyle w:val="27"/>
              <w:widowControl/>
              <w:jc w:val="center"/>
              <w:rPr>
                <w:rFonts w:hint="default"/>
                <w:sz w:val="21"/>
                <w:szCs w:val="21"/>
              </w:rPr>
            </w:pPr>
            <w:r>
              <w:rPr>
                <w:sz w:val="21"/>
                <w:szCs w:val="21"/>
              </w:rPr>
              <w:t>屋面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FE5D929">
            <w:pPr>
              <w:pStyle w:val="27"/>
              <w:widowControl/>
              <w:jc w:val="center"/>
              <w:rPr>
                <w:rFonts w:hint="default"/>
                <w:sz w:val="21"/>
                <w:szCs w:val="21"/>
              </w:rPr>
            </w:pPr>
            <w:r>
              <w:rPr>
                <w:sz w:val="21"/>
                <w:szCs w:val="21"/>
              </w:rPr>
              <w:t>≤0.20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0FC8E3EC">
            <w:pPr>
              <w:pStyle w:val="27"/>
              <w:widowControl/>
              <w:jc w:val="center"/>
              <w:rPr>
                <w:rFonts w:hint="default"/>
                <w:sz w:val="21"/>
                <w:szCs w:val="21"/>
              </w:rPr>
            </w:pPr>
            <w:r>
              <w:rPr>
                <w:sz w:val="21"/>
                <w:szCs w:val="21"/>
              </w:rPr>
              <w:t>≤0.20</w:t>
            </w:r>
          </w:p>
        </w:tc>
      </w:tr>
      <w:tr w14:paraId="31D67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2F81EFDE">
            <w:pPr>
              <w:pStyle w:val="27"/>
              <w:widowControl/>
              <w:jc w:val="center"/>
              <w:rPr>
                <w:rFonts w:hint="default"/>
                <w:sz w:val="21"/>
                <w:szCs w:val="21"/>
              </w:rPr>
            </w:pPr>
            <w:r>
              <w:rPr>
                <w:sz w:val="21"/>
                <w:szCs w:val="21"/>
              </w:rPr>
              <w:t>外墙</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6DBEA12">
            <w:pPr>
              <w:pStyle w:val="27"/>
              <w:widowControl/>
              <w:jc w:val="center"/>
              <w:rPr>
                <w:rFonts w:hint="default"/>
                <w:sz w:val="21"/>
                <w:szCs w:val="21"/>
              </w:rPr>
            </w:pPr>
            <w:r>
              <w:rPr>
                <w:sz w:val="21"/>
                <w:szCs w:val="21"/>
              </w:rPr>
              <w:t>≤0.25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5DAF86E2">
            <w:pPr>
              <w:pStyle w:val="27"/>
              <w:widowControl/>
              <w:jc w:val="center"/>
              <w:rPr>
                <w:rFonts w:hint="default"/>
                <w:sz w:val="21"/>
                <w:szCs w:val="21"/>
              </w:rPr>
            </w:pPr>
            <w:r>
              <w:rPr>
                <w:sz w:val="21"/>
                <w:szCs w:val="21"/>
              </w:rPr>
              <w:t>≤0.30</w:t>
            </w:r>
          </w:p>
        </w:tc>
      </w:tr>
      <w:tr w14:paraId="246DD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0CA696F9">
            <w:pPr>
              <w:pStyle w:val="27"/>
              <w:widowControl/>
              <w:jc w:val="center"/>
              <w:rPr>
                <w:rFonts w:hint="default"/>
                <w:sz w:val="21"/>
                <w:szCs w:val="21"/>
              </w:rPr>
            </w:pPr>
            <w:r>
              <w:rPr>
                <w:sz w:val="21"/>
                <w:szCs w:val="21"/>
              </w:rPr>
              <w:t>架空或外挑楼板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DFA7737">
            <w:pPr>
              <w:pStyle w:val="27"/>
              <w:widowControl/>
              <w:jc w:val="center"/>
              <w:rPr>
                <w:rFonts w:hint="default"/>
                <w:sz w:val="21"/>
                <w:szCs w:val="21"/>
              </w:rPr>
            </w:pPr>
            <w:r>
              <w:rPr>
                <w:sz w:val="21"/>
                <w:szCs w:val="21"/>
              </w:rPr>
              <w:t>≤0.20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CBC71FD">
            <w:pPr>
              <w:pStyle w:val="27"/>
              <w:widowControl/>
              <w:jc w:val="center"/>
              <w:rPr>
                <w:rFonts w:hint="default"/>
                <w:sz w:val="21"/>
                <w:szCs w:val="21"/>
              </w:rPr>
            </w:pPr>
            <w:r>
              <w:rPr>
                <w:sz w:val="21"/>
                <w:szCs w:val="21"/>
              </w:rPr>
              <w:t>≤0.25</w:t>
            </w:r>
          </w:p>
        </w:tc>
      </w:tr>
      <w:tr w14:paraId="2E106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25F39025">
            <w:pPr>
              <w:pStyle w:val="27"/>
              <w:widowControl/>
              <w:jc w:val="center"/>
              <w:rPr>
                <w:rFonts w:hint="default"/>
                <w:sz w:val="21"/>
                <w:szCs w:val="21"/>
              </w:rPr>
            </w:pPr>
            <w:r>
              <w:rPr>
                <w:sz w:val="21"/>
                <w:szCs w:val="21"/>
              </w:rPr>
              <w:t>外门不透光部分</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BEDA7F2">
            <w:pPr>
              <w:pStyle w:val="27"/>
              <w:widowControl/>
              <w:jc w:val="center"/>
              <w:rPr>
                <w:rFonts w:hint="default"/>
                <w:sz w:val="21"/>
                <w:szCs w:val="21"/>
              </w:rPr>
            </w:pPr>
            <w:r>
              <w:rPr>
                <w:sz w:val="21"/>
                <w:szCs w:val="21"/>
              </w:rPr>
              <w:t>≤1.40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750B3D9">
            <w:pPr>
              <w:pStyle w:val="27"/>
              <w:widowControl/>
              <w:jc w:val="center"/>
              <w:rPr>
                <w:rFonts w:hint="default"/>
                <w:sz w:val="21"/>
                <w:szCs w:val="21"/>
              </w:rPr>
            </w:pPr>
            <w:r>
              <w:rPr>
                <w:sz w:val="21"/>
                <w:szCs w:val="21"/>
              </w:rPr>
              <w:t>≤1.40</w:t>
            </w:r>
          </w:p>
        </w:tc>
      </w:tr>
      <w:tr w14:paraId="734EA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46BA41EA">
            <w:pPr>
              <w:pStyle w:val="27"/>
              <w:widowControl/>
              <w:jc w:val="center"/>
              <w:rPr>
                <w:rFonts w:hint="default"/>
                <w:sz w:val="21"/>
                <w:szCs w:val="21"/>
              </w:rPr>
            </w:pPr>
            <w:r>
              <w:rPr>
                <w:sz w:val="21"/>
                <w:szCs w:val="21"/>
              </w:rPr>
              <w:t>非供暖地下室顶板（上部为供暖房间时）</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27F86CC">
            <w:pPr>
              <w:pStyle w:val="27"/>
              <w:widowControl/>
              <w:jc w:val="center"/>
              <w:rPr>
                <w:rFonts w:hint="default"/>
                <w:sz w:val="21"/>
                <w:szCs w:val="21"/>
              </w:rPr>
            </w:pPr>
            <w:r>
              <w:rPr>
                <w:sz w:val="21"/>
                <w:szCs w:val="21"/>
              </w:rPr>
              <w:t>≤0.30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1632351">
            <w:pPr>
              <w:pStyle w:val="27"/>
              <w:widowControl/>
              <w:jc w:val="center"/>
              <w:rPr>
                <w:rFonts w:hint="default"/>
                <w:sz w:val="21"/>
                <w:szCs w:val="21"/>
              </w:rPr>
            </w:pPr>
            <w:r>
              <w:rPr>
                <w:sz w:val="21"/>
                <w:szCs w:val="21"/>
              </w:rPr>
              <w:t>≤0.30</w:t>
            </w:r>
          </w:p>
        </w:tc>
      </w:tr>
      <w:tr w14:paraId="19CEE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2A7B0800">
            <w:pPr>
              <w:pStyle w:val="27"/>
              <w:widowControl/>
              <w:jc w:val="center"/>
              <w:rPr>
                <w:rFonts w:hint="default"/>
                <w:sz w:val="21"/>
                <w:szCs w:val="21"/>
              </w:rPr>
            </w:pPr>
            <w:r>
              <w:rPr>
                <w:sz w:val="21"/>
                <w:szCs w:val="21"/>
              </w:rPr>
              <w:t>分隔供暖与非供暖空间的隔墙、楼板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CEEBED7">
            <w:pPr>
              <w:pStyle w:val="27"/>
              <w:widowControl/>
              <w:jc w:val="center"/>
              <w:rPr>
                <w:rFonts w:hint="default"/>
                <w:sz w:val="21"/>
                <w:szCs w:val="21"/>
              </w:rPr>
            </w:pPr>
            <w:r>
              <w:rPr>
                <w:sz w:val="21"/>
                <w:szCs w:val="21"/>
              </w:rPr>
              <w:t>≤0.80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E1C2BF2">
            <w:pPr>
              <w:pStyle w:val="27"/>
              <w:widowControl/>
              <w:jc w:val="center"/>
              <w:rPr>
                <w:rFonts w:hint="default"/>
                <w:sz w:val="21"/>
                <w:szCs w:val="21"/>
              </w:rPr>
            </w:pPr>
            <w:r>
              <w:rPr>
                <w:sz w:val="21"/>
                <w:szCs w:val="21"/>
              </w:rPr>
              <w:t>≤0.80</w:t>
            </w:r>
          </w:p>
        </w:tc>
      </w:tr>
      <w:tr w14:paraId="7D63F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328F74C4">
            <w:pPr>
              <w:pStyle w:val="27"/>
              <w:widowControl/>
              <w:jc w:val="center"/>
              <w:rPr>
                <w:rFonts w:hint="default"/>
                <w:sz w:val="21"/>
                <w:szCs w:val="21"/>
              </w:rPr>
            </w:pPr>
            <w:r>
              <w:rPr>
                <w:sz w:val="21"/>
                <w:szCs w:val="21"/>
              </w:rPr>
              <w:t>分隔供暖与非供暖空间的户门</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47F4956">
            <w:pPr>
              <w:pStyle w:val="27"/>
              <w:widowControl/>
              <w:jc w:val="center"/>
              <w:rPr>
                <w:rFonts w:hint="default"/>
                <w:sz w:val="21"/>
                <w:szCs w:val="21"/>
              </w:rPr>
            </w:pPr>
            <w:r>
              <w:rPr>
                <w:sz w:val="21"/>
                <w:szCs w:val="21"/>
              </w:rPr>
              <w:t>≤1.30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22D42AE">
            <w:pPr>
              <w:pStyle w:val="27"/>
              <w:widowControl/>
              <w:jc w:val="center"/>
              <w:rPr>
                <w:rFonts w:hint="default"/>
                <w:sz w:val="21"/>
                <w:szCs w:val="21"/>
              </w:rPr>
            </w:pPr>
            <w:r>
              <w:rPr>
                <w:sz w:val="21"/>
                <w:szCs w:val="21"/>
              </w:rPr>
              <w:t>≤1.30</w:t>
            </w:r>
          </w:p>
        </w:tc>
      </w:tr>
      <w:tr w14:paraId="6E8AE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7E053F7C">
            <w:pPr>
              <w:pStyle w:val="27"/>
              <w:widowControl/>
              <w:jc w:val="center"/>
              <w:rPr>
                <w:rFonts w:hint="default"/>
                <w:sz w:val="21"/>
                <w:szCs w:val="21"/>
              </w:rPr>
            </w:pPr>
            <w:r>
              <w:rPr>
                <w:sz w:val="21"/>
                <w:szCs w:val="21"/>
              </w:rPr>
              <w:t>分隔供暖设计温度温差大于5K的隔墙、楼板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2A616FB6">
            <w:pPr>
              <w:pStyle w:val="27"/>
              <w:widowControl/>
              <w:jc w:val="center"/>
              <w:rPr>
                <w:rFonts w:hint="default"/>
                <w:sz w:val="21"/>
                <w:szCs w:val="21"/>
              </w:rPr>
            </w:pPr>
            <w:r>
              <w:rPr>
                <w:sz w:val="21"/>
                <w:szCs w:val="21"/>
              </w:rPr>
              <w:t>≤1.50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7074FBD">
            <w:pPr>
              <w:pStyle w:val="27"/>
              <w:widowControl/>
              <w:jc w:val="center"/>
              <w:rPr>
                <w:rFonts w:hint="default"/>
                <w:sz w:val="21"/>
                <w:szCs w:val="21"/>
              </w:rPr>
            </w:pPr>
            <w:r>
              <w:rPr>
                <w:sz w:val="21"/>
                <w:szCs w:val="21"/>
              </w:rPr>
              <w:t>≤1.50</w:t>
            </w:r>
          </w:p>
        </w:tc>
      </w:tr>
      <w:tr w14:paraId="61BAE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631147A0">
            <w:pPr>
              <w:pStyle w:val="27"/>
              <w:widowControl/>
              <w:jc w:val="center"/>
              <w:rPr>
                <w:rFonts w:hint="default"/>
                <w:sz w:val="21"/>
                <w:szCs w:val="21"/>
              </w:rPr>
            </w:pPr>
            <w:r>
              <w:rPr>
                <w:sz w:val="21"/>
                <w:szCs w:val="21"/>
              </w:rPr>
              <w:t>围护结构部位</w:t>
            </w:r>
          </w:p>
        </w:tc>
        <w:tc>
          <w:tcPr>
            <w:tcW w:w="2993"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28F5A329">
            <w:pPr>
              <w:pStyle w:val="27"/>
              <w:widowControl/>
              <w:jc w:val="center"/>
              <w:rPr>
                <w:rFonts w:hint="default"/>
                <w:sz w:val="21"/>
                <w:szCs w:val="21"/>
              </w:rPr>
            </w:pPr>
            <w:r>
              <w:rPr>
                <w:sz w:val="21"/>
                <w:szCs w:val="21"/>
              </w:rPr>
              <w:t>保温材料层热阻R</w:t>
            </w:r>
          </w:p>
          <w:p w14:paraId="72813428">
            <w:pPr>
              <w:pStyle w:val="27"/>
              <w:widowControl/>
              <w:jc w:val="center"/>
              <w:rPr>
                <w:rFonts w:hint="default"/>
                <w:sz w:val="21"/>
                <w:szCs w:val="21"/>
              </w:rPr>
            </w:pPr>
            <w:r>
              <w:rPr>
                <w:sz w:val="21"/>
                <w:szCs w:val="21"/>
              </w:rPr>
              <w:t>[</w:t>
            </w:r>
            <w:r>
              <w:rPr>
                <w:position w:val="-8"/>
                <w:sz w:val="21"/>
                <w:szCs w:val="21"/>
              </w:rPr>
              <w:object>
                <v:shape id="_x0000_i1037" o:spt="75" type="#_x0000_t75" style="height:15pt;width:40.8pt;" o:ole="t" filled="f" o:preferrelative="t" stroked="f" coordsize="21600,21600">
                  <v:path/>
                  <v:fill on="f" focussize="0,0"/>
                  <v:stroke on="f" joinstyle="miter"/>
                  <v:imagedata r:id="rId19" o:title=""/>
                  <o:lock v:ext="edit" aspectratio="t"/>
                  <w10:wrap type="none"/>
                  <w10:anchorlock/>
                </v:shape>
                <o:OLEObject Type="Embed" ProgID="" ShapeID="_x0000_i1037" DrawAspect="Content" ObjectID="_1468075737" r:id="rId25">
                  <o:LockedField>false</o:LockedField>
                </o:OLEObject>
              </w:object>
            </w:r>
            <w:r>
              <w:rPr>
                <w:sz w:val="21"/>
                <w:szCs w:val="21"/>
              </w:rPr>
              <w:t>]</w:t>
            </w:r>
          </w:p>
        </w:tc>
      </w:tr>
      <w:tr w14:paraId="17219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5970D9DA">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96273E2">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1049053">
            <w:pPr>
              <w:pStyle w:val="27"/>
              <w:widowControl/>
              <w:jc w:val="center"/>
              <w:rPr>
                <w:rFonts w:hint="default"/>
                <w:sz w:val="21"/>
                <w:szCs w:val="21"/>
              </w:rPr>
            </w:pPr>
            <w:r>
              <w:rPr>
                <w:sz w:val="21"/>
                <w:szCs w:val="21"/>
              </w:rPr>
              <w:t>＞3层</w:t>
            </w:r>
          </w:p>
        </w:tc>
      </w:tr>
      <w:tr w14:paraId="21391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7EB31BBA">
            <w:pPr>
              <w:pStyle w:val="27"/>
              <w:widowControl/>
              <w:jc w:val="center"/>
              <w:rPr>
                <w:rFonts w:hint="default"/>
                <w:sz w:val="21"/>
                <w:szCs w:val="21"/>
              </w:rPr>
            </w:pPr>
            <w:r>
              <w:rPr>
                <w:sz w:val="21"/>
                <w:szCs w:val="21"/>
              </w:rPr>
              <w:t>室内地面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83BAD5A">
            <w:pPr>
              <w:pStyle w:val="27"/>
              <w:widowControl/>
              <w:jc w:val="center"/>
              <w:rPr>
                <w:rFonts w:hint="default"/>
                <w:sz w:val="21"/>
                <w:szCs w:val="21"/>
              </w:rPr>
            </w:pPr>
            <w:r>
              <w:rPr>
                <w:sz w:val="21"/>
                <w:szCs w:val="21"/>
              </w:rPr>
              <w:t>≥1.60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476160F">
            <w:pPr>
              <w:pStyle w:val="27"/>
              <w:widowControl/>
              <w:jc w:val="center"/>
              <w:rPr>
                <w:rFonts w:hint="default"/>
                <w:sz w:val="21"/>
                <w:szCs w:val="21"/>
              </w:rPr>
            </w:pPr>
            <w:r>
              <w:rPr>
                <w:sz w:val="21"/>
                <w:szCs w:val="21"/>
              </w:rPr>
              <w:t>≥1.60</w:t>
            </w:r>
          </w:p>
        </w:tc>
      </w:tr>
      <w:tr w14:paraId="19FBB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12" w:space="0"/>
              <w:right w:val="single" w:color="auto" w:sz="4" w:space="0"/>
            </w:tcBorders>
            <w:shd w:val="clear" w:color="auto" w:fill="auto"/>
            <w:vAlign w:val="center"/>
          </w:tcPr>
          <w:p w14:paraId="266A619E">
            <w:pPr>
              <w:pStyle w:val="27"/>
              <w:widowControl/>
              <w:jc w:val="center"/>
              <w:rPr>
                <w:rFonts w:hint="default"/>
                <w:sz w:val="21"/>
                <w:szCs w:val="21"/>
              </w:rPr>
            </w:pPr>
            <w:r>
              <w:rPr>
                <w:sz w:val="21"/>
                <w:szCs w:val="21"/>
              </w:rPr>
              <w:t>地下室外墙（与土壤接触的外墙）</w:t>
            </w:r>
          </w:p>
        </w:tc>
        <w:tc>
          <w:tcPr>
            <w:tcW w:w="1450" w:type="dxa"/>
            <w:tcBorders>
              <w:top w:val="single" w:color="auto" w:sz="4" w:space="0"/>
              <w:left w:val="single" w:color="auto" w:sz="4" w:space="0"/>
              <w:bottom w:val="single" w:color="auto" w:sz="12" w:space="0"/>
              <w:right w:val="single" w:color="auto" w:sz="4" w:space="0"/>
            </w:tcBorders>
            <w:shd w:val="clear" w:color="auto" w:fill="auto"/>
            <w:vAlign w:val="center"/>
          </w:tcPr>
          <w:p w14:paraId="5A2FAC56">
            <w:pPr>
              <w:pStyle w:val="27"/>
              <w:widowControl/>
              <w:jc w:val="center"/>
              <w:rPr>
                <w:rFonts w:hint="default"/>
                <w:sz w:val="21"/>
                <w:szCs w:val="21"/>
              </w:rPr>
            </w:pPr>
            <w:r>
              <w:rPr>
                <w:sz w:val="21"/>
                <w:szCs w:val="21"/>
              </w:rPr>
              <w:t>≥1.80</w:t>
            </w:r>
          </w:p>
        </w:tc>
        <w:tc>
          <w:tcPr>
            <w:tcW w:w="1543" w:type="dxa"/>
            <w:tcBorders>
              <w:top w:val="single" w:color="auto" w:sz="4" w:space="0"/>
              <w:left w:val="single" w:color="auto" w:sz="4" w:space="0"/>
              <w:bottom w:val="single" w:color="auto" w:sz="12" w:space="0"/>
              <w:right w:val="single" w:color="auto" w:sz="12" w:space="0"/>
            </w:tcBorders>
            <w:shd w:val="clear" w:color="auto" w:fill="auto"/>
            <w:vAlign w:val="center"/>
          </w:tcPr>
          <w:p w14:paraId="71F33316">
            <w:pPr>
              <w:pStyle w:val="27"/>
              <w:widowControl/>
              <w:jc w:val="center"/>
              <w:rPr>
                <w:rFonts w:hint="default"/>
                <w:sz w:val="21"/>
                <w:szCs w:val="21"/>
              </w:rPr>
            </w:pPr>
            <w:r>
              <w:rPr>
                <w:sz w:val="21"/>
                <w:szCs w:val="21"/>
              </w:rPr>
              <w:t>≥1.80</w:t>
            </w:r>
          </w:p>
        </w:tc>
      </w:tr>
    </w:tbl>
    <w:p w14:paraId="689AC842">
      <w:pPr>
        <w:pStyle w:val="27"/>
        <w:widowControl/>
        <w:spacing w:before="156" w:beforeLines="50" w:after="156" w:afterLines="50"/>
        <w:jc w:val="center"/>
        <w:rPr>
          <w:rFonts w:hint="default"/>
          <w:b/>
          <w:bCs/>
          <w:sz w:val="21"/>
          <w:szCs w:val="21"/>
        </w:rPr>
      </w:pPr>
      <w:r>
        <w:rPr>
          <w:b/>
          <w:bCs/>
          <w:sz w:val="21"/>
          <w:szCs w:val="21"/>
        </w:rPr>
        <w:t>表4.3.1-5 寒冷B区居住建筑围护结构热工性能参数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4673"/>
        <w:gridCol w:w="1450"/>
        <w:gridCol w:w="1543"/>
      </w:tblGrid>
      <w:tr w14:paraId="65A34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15017089">
            <w:pPr>
              <w:pStyle w:val="27"/>
              <w:widowControl/>
              <w:jc w:val="center"/>
              <w:rPr>
                <w:rFonts w:hint="default"/>
                <w:sz w:val="21"/>
                <w:szCs w:val="21"/>
              </w:rPr>
            </w:pPr>
            <w:r>
              <w:rPr>
                <w:sz w:val="21"/>
                <w:szCs w:val="21"/>
              </w:rPr>
              <w:t>围护结构部位</w:t>
            </w:r>
          </w:p>
        </w:tc>
        <w:tc>
          <w:tcPr>
            <w:tcW w:w="2993"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7346E21A">
            <w:pPr>
              <w:pStyle w:val="27"/>
              <w:widowControl/>
              <w:jc w:val="center"/>
              <w:rPr>
                <w:rFonts w:hint="default"/>
                <w:sz w:val="21"/>
                <w:szCs w:val="21"/>
              </w:rPr>
            </w:pPr>
            <w:r>
              <w:rPr>
                <w:sz w:val="21"/>
                <w:szCs w:val="21"/>
              </w:rPr>
              <w:t>传热系数</w:t>
            </w:r>
          </w:p>
          <w:p w14:paraId="015CF157">
            <w:pPr>
              <w:pStyle w:val="27"/>
              <w:widowControl/>
              <w:jc w:val="center"/>
              <w:rPr>
                <w:rFonts w:hint="default"/>
                <w:sz w:val="21"/>
                <w:szCs w:val="21"/>
              </w:rPr>
            </w:pPr>
            <w:r>
              <w:rPr>
                <w:sz w:val="21"/>
                <w:szCs w:val="21"/>
              </w:rPr>
              <w:t>K [</w:t>
            </w:r>
            <w:r>
              <w:rPr>
                <w:position w:val="-8"/>
                <w:sz w:val="21"/>
                <w:szCs w:val="21"/>
              </w:rPr>
              <w:object>
                <v:shape id="_x0000_i1038"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38" DrawAspect="Content" ObjectID="_1468075738" r:id="rId26">
                  <o:LockedField>false</o:LockedField>
                </o:OLEObject>
              </w:object>
            </w:r>
            <w:r>
              <w:rPr>
                <w:sz w:val="21"/>
                <w:szCs w:val="21"/>
              </w:rPr>
              <w:t>]</w:t>
            </w:r>
          </w:p>
        </w:tc>
      </w:tr>
      <w:tr w14:paraId="38CFE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44E7D318">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C9A1E95">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0F93EBF6">
            <w:pPr>
              <w:pStyle w:val="27"/>
              <w:widowControl/>
              <w:jc w:val="center"/>
              <w:rPr>
                <w:rFonts w:hint="default"/>
                <w:sz w:val="21"/>
                <w:szCs w:val="21"/>
              </w:rPr>
            </w:pPr>
            <w:r>
              <w:rPr>
                <w:sz w:val="21"/>
                <w:szCs w:val="21"/>
              </w:rPr>
              <w:t>＞3层</w:t>
            </w:r>
          </w:p>
        </w:tc>
      </w:tr>
      <w:tr w14:paraId="0D5D0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1AFD70FB">
            <w:pPr>
              <w:pStyle w:val="27"/>
              <w:widowControl/>
              <w:jc w:val="center"/>
              <w:rPr>
                <w:rFonts w:hint="default"/>
                <w:sz w:val="21"/>
                <w:szCs w:val="21"/>
              </w:rPr>
            </w:pPr>
            <w:r>
              <w:rPr>
                <w:sz w:val="21"/>
                <w:szCs w:val="21"/>
              </w:rPr>
              <w:t>屋面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07E4132C">
            <w:pPr>
              <w:pStyle w:val="27"/>
              <w:widowControl/>
              <w:jc w:val="center"/>
              <w:rPr>
                <w:rFonts w:hint="default"/>
                <w:sz w:val="21"/>
                <w:szCs w:val="21"/>
              </w:rPr>
            </w:pPr>
            <w:r>
              <w:rPr>
                <w:sz w:val="21"/>
                <w:szCs w:val="21"/>
              </w:rPr>
              <w:t>≤0.20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53C0251F">
            <w:pPr>
              <w:pStyle w:val="27"/>
              <w:widowControl/>
              <w:jc w:val="center"/>
              <w:rPr>
                <w:rFonts w:hint="default"/>
                <w:sz w:val="21"/>
                <w:szCs w:val="21"/>
              </w:rPr>
            </w:pPr>
            <w:r>
              <w:rPr>
                <w:sz w:val="21"/>
                <w:szCs w:val="21"/>
              </w:rPr>
              <w:t>≤0.20</w:t>
            </w:r>
          </w:p>
        </w:tc>
      </w:tr>
      <w:tr w14:paraId="7672C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4411A8FC">
            <w:pPr>
              <w:pStyle w:val="27"/>
              <w:widowControl/>
              <w:jc w:val="center"/>
              <w:rPr>
                <w:rFonts w:hint="default"/>
                <w:sz w:val="21"/>
                <w:szCs w:val="21"/>
              </w:rPr>
            </w:pPr>
            <w:r>
              <w:rPr>
                <w:sz w:val="21"/>
                <w:szCs w:val="21"/>
              </w:rPr>
              <w:t>外墙</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748CA3CF">
            <w:pPr>
              <w:pStyle w:val="27"/>
              <w:widowControl/>
              <w:jc w:val="center"/>
              <w:rPr>
                <w:rFonts w:hint="default"/>
                <w:sz w:val="21"/>
                <w:szCs w:val="21"/>
              </w:rPr>
            </w:pPr>
            <w:r>
              <w:rPr>
                <w:sz w:val="21"/>
                <w:szCs w:val="21"/>
              </w:rPr>
              <w:t>≤0.25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52753B5A">
            <w:pPr>
              <w:pStyle w:val="27"/>
              <w:widowControl/>
              <w:jc w:val="center"/>
              <w:rPr>
                <w:rFonts w:hint="default"/>
                <w:sz w:val="21"/>
                <w:szCs w:val="21"/>
              </w:rPr>
            </w:pPr>
            <w:r>
              <w:rPr>
                <w:sz w:val="21"/>
                <w:szCs w:val="21"/>
              </w:rPr>
              <w:t>≤0.30</w:t>
            </w:r>
          </w:p>
        </w:tc>
      </w:tr>
      <w:tr w14:paraId="124BB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2D7B1A26">
            <w:pPr>
              <w:pStyle w:val="27"/>
              <w:widowControl/>
              <w:jc w:val="center"/>
              <w:rPr>
                <w:rFonts w:hint="default"/>
                <w:sz w:val="21"/>
                <w:szCs w:val="21"/>
              </w:rPr>
            </w:pPr>
            <w:r>
              <w:rPr>
                <w:sz w:val="21"/>
                <w:szCs w:val="21"/>
              </w:rPr>
              <w:t>架空或外挑楼板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6A6E8A9">
            <w:pPr>
              <w:pStyle w:val="27"/>
              <w:widowControl/>
              <w:jc w:val="center"/>
              <w:rPr>
                <w:rFonts w:hint="default"/>
                <w:sz w:val="21"/>
                <w:szCs w:val="21"/>
              </w:rPr>
            </w:pPr>
            <w:r>
              <w:rPr>
                <w:sz w:val="21"/>
                <w:szCs w:val="21"/>
              </w:rPr>
              <w:t>≤0.20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C3898D3">
            <w:pPr>
              <w:pStyle w:val="27"/>
              <w:widowControl/>
              <w:jc w:val="center"/>
              <w:rPr>
                <w:rFonts w:hint="default"/>
                <w:sz w:val="21"/>
                <w:szCs w:val="21"/>
              </w:rPr>
            </w:pPr>
            <w:r>
              <w:rPr>
                <w:sz w:val="21"/>
                <w:szCs w:val="21"/>
              </w:rPr>
              <w:t>≤0.25</w:t>
            </w:r>
          </w:p>
        </w:tc>
      </w:tr>
      <w:tr w14:paraId="04419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7D205F0B">
            <w:pPr>
              <w:pStyle w:val="27"/>
              <w:widowControl/>
              <w:jc w:val="center"/>
              <w:rPr>
                <w:rFonts w:hint="default"/>
                <w:sz w:val="21"/>
                <w:szCs w:val="21"/>
              </w:rPr>
            </w:pPr>
            <w:r>
              <w:rPr>
                <w:sz w:val="21"/>
                <w:szCs w:val="21"/>
              </w:rPr>
              <w:t>外门不透光部分</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5DEB3616">
            <w:pPr>
              <w:pStyle w:val="27"/>
              <w:widowControl/>
              <w:jc w:val="center"/>
              <w:rPr>
                <w:rFonts w:hint="default"/>
                <w:sz w:val="21"/>
                <w:szCs w:val="21"/>
              </w:rPr>
            </w:pPr>
            <w:r>
              <w:rPr>
                <w:sz w:val="21"/>
                <w:szCs w:val="21"/>
              </w:rPr>
              <w:t>≤1.40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386C508">
            <w:pPr>
              <w:pStyle w:val="27"/>
              <w:widowControl/>
              <w:jc w:val="center"/>
              <w:rPr>
                <w:rFonts w:hint="default"/>
                <w:sz w:val="21"/>
                <w:szCs w:val="21"/>
              </w:rPr>
            </w:pPr>
            <w:r>
              <w:rPr>
                <w:sz w:val="21"/>
                <w:szCs w:val="21"/>
              </w:rPr>
              <w:t>≤1.40</w:t>
            </w:r>
          </w:p>
        </w:tc>
      </w:tr>
      <w:tr w14:paraId="6F19D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628A2E5C">
            <w:pPr>
              <w:pStyle w:val="27"/>
              <w:widowControl/>
              <w:jc w:val="center"/>
              <w:rPr>
                <w:rFonts w:hint="default"/>
                <w:sz w:val="21"/>
                <w:szCs w:val="21"/>
              </w:rPr>
            </w:pPr>
            <w:r>
              <w:rPr>
                <w:sz w:val="21"/>
                <w:szCs w:val="21"/>
              </w:rPr>
              <w:t>非供暖地下室顶板（上部为供暖房间时）</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6A217A01">
            <w:pPr>
              <w:pStyle w:val="27"/>
              <w:widowControl/>
              <w:jc w:val="center"/>
              <w:rPr>
                <w:rFonts w:hint="default"/>
                <w:sz w:val="21"/>
                <w:szCs w:val="21"/>
              </w:rPr>
            </w:pPr>
            <w:r>
              <w:rPr>
                <w:sz w:val="21"/>
                <w:szCs w:val="21"/>
              </w:rPr>
              <w:t>≤0.30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1525880">
            <w:pPr>
              <w:pStyle w:val="27"/>
              <w:widowControl/>
              <w:jc w:val="center"/>
              <w:rPr>
                <w:rFonts w:hint="default"/>
                <w:sz w:val="21"/>
                <w:szCs w:val="21"/>
              </w:rPr>
            </w:pPr>
            <w:r>
              <w:rPr>
                <w:sz w:val="21"/>
                <w:szCs w:val="21"/>
              </w:rPr>
              <w:t>≤0.30</w:t>
            </w:r>
          </w:p>
        </w:tc>
      </w:tr>
      <w:tr w14:paraId="6E1C9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4E0E3A84">
            <w:pPr>
              <w:pStyle w:val="27"/>
              <w:widowControl/>
              <w:jc w:val="center"/>
              <w:rPr>
                <w:rFonts w:hint="default"/>
                <w:sz w:val="21"/>
                <w:szCs w:val="21"/>
              </w:rPr>
            </w:pPr>
            <w:r>
              <w:rPr>
                <w:sz w:val="21"/>
                <w:szCs w:val="21"/>
              </w:rPr>
              <w:t>分隔供暖与非供暖空间的隔墙、楼板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2E7C7BA">
            <w:pPr>
              <w:pStyle w:val="27"/>
              <w:widowControl/>
              <w:jc w:val="center"/>
              <w:rPr>
                <w:rFonts w:hint="default"/>
                <w:sz w:val="21"/>
                <w:szCs w:val="21"/>
              </w:rPr>
            </w:pPr>
            <w:r>
              <w:rPr>
                <w:sz w:val="21"/>
                <w:szCs w:val="21"/>
              </w:rPr>
              <w:t>≤0.80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0E5E204">
            <w:pPr>
              <w:pStyle w:val="27"/>
              <w:widowControl/>
              <w:jc w:val="center"/>
              <w:rPr>
                <w:rFonts w:hint="default"/>
                <w:sz w:val="21"/>
                <w:szCs w:val="21"/>
              </w:rPr>
            </w:pPr>
            <w:r>
              <w:rPr>
                <w:sz w:val="21"/>
                <w:szCs w:val="21"/>
              </w:rPr>
              <w:t>≤0.80</w:t>
            </w:r>
          </w:p>
        </w:tc>
      </w:tr>
      <w:tr w14:paraId="331C0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5AC6AC80">
            <w:pPr>
              <w:pStyle w:val="27"/>
              <w:widowControl/>
              <w:jc w:val="center"/>
              <w:rPr>
                <w:rFonts w:hint="default"/>
                <w:sz w:val="21"/>
                <w:szCs w:val="21"/>
              </w:rPr>
            </w:pPr>
            <w:r>
              <w:rPr>
                <w:sz w:val="21"/>
                <w:szCs w:val="21"/>
              </w:rPr>
              <w:t>分隔供暖与非供暖空间的户门</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2D48CBC">
            <w:pPr>
              <w:pStyle w:val="27"/>
              <w:widowControl/>
              <w:jc w:val="center"/>
              <w:rPr>
                <w:rFonts w:hint="default"/>
                <w:sz w:val="21"/>
                <w:szCs w:val="21"/>
              </w:rPr>
            </w:pPr>
            <w:r>
              <w:rPr>
                <w:sz w:val="21"/>
                <w:szCs w:val="21"/>
              </w:rPr>
              <w:t>≤1.30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F27C0CA">
            <w:pPr>
              <w:pStyle w:val="27"/>
              <w:widowControl/>
              <w:jc w:val="center"/>
              <w:rPr>
                <w:rFonts w:hint="default"/>
                <w:sz w:val="21"/>
                <w:szCs w:val="21"/>
              </w:rPr>
            </w:pPr>
            <w:r>
              <w:rPr>
                <w:sz w:val="21"/>
                <w:szCs w:val="21"/>
              </w:rPr>
              <w:t>≤1.30</w:t>
            </w:r>
          </w:p>
        </w:tc>
      </w:tr>
      <w:tr w14:paraId="1FAE0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54CFE015">
            <w:pPr>
              <w:pStyle w:val="27"/>
              <w:widowControl/>
              <w:jc w:val="center"/>
              <w:rPr>
                <w:rFonts w:hint="default"/>
                <w:sz w:val="21"/>
                <w:szCs w:val="21"/>
              </w:rPr>
            </w:pPr>
            <w:r>
              <w:rPr>
                <w:sz w:val="21"/>
                <w:szCs w:val="21"/>
              </w:rPr>
              <w:t>分隔供暖设计温度温差大于5K的隔墙、楼板</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45D473EC">
            <w:pPr>
              <w:pStyle w:val="27"/>
              <w:widowControl/>
              <w:jc w:val="center"/>
              <w:rPr>
                <w:rFonts w:hint="default"/>
                <w:sz w:val="21"/>
                <w:szCs w:val="21"/>
              </w:rPr>
            </w:pPr>
            <w:r>
              <w:rPr>
                <w:sz w:val="21"/>
                <w:szCs w:val="21"/>
              </w:rPr>
              <w:t>≤1.50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02700CF7">
            <w:pPr>
              <w:pStyle w:val="27"/>
              <w:widowControl/>
              <w:jc w:val="center"/>
              <w:rPr>
                <w:rFonts w:hint="default"/>
                <w:sz w:val="21"/>
                <w:szCs w:val="21"/>
              </w:rPr>
            </w:pPr>
            <w:r>
              <w:rPr>
                <w:sz w:val="21"/>
                <w:szCs w:val="21"/>
              </w:rPr>
              <w:t>≤1.50</w:t>
            </w:r>
          </w:p>
        </w:tc>
      </w:tr>
      <w:tr w14:paraId="440EA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7232604C">
            <w:pPr>
              <w:pStyle w:val="27"/>
              <w:widowControl/>
              <w:jc w:val="center"/>
              <w:rPr>
                <w:rFonts w:hint="default"/>
                <w:sz w:val="21"/>
                <w:szCs w:val="21"/>
              </w:rPr>
            </w:pPr>
            <w:r>
              <w:rPr>
                <w:sz w:val="21"/>
                <w:szCs w:val="21"/>
              </w:rPr>
              <w:t>围护结构部位</w:t>
            </w:r>
          </w:p>
        </w:tc>
        <w:tc>
          <w:tcPr>
            <w:tcW w:w="2993"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11A54A69">
            <w:pPr>
              <w:pStyle w:val="27"/>
              <w:widowControl/>
              <w:jc w:val="center"/>
              <w:rPr>
                <w:rFonts w:hint="default"/>
                <w:sz w:val="21"/>
                <w:szCs w:val="21"/>
              </w:rPr>
            </w:pPr>
            <w:r>
              <w:rPr>
                <w:sz w:val="21"/>
                <w:szCs w:val="21"/>
              </w:rPr>
              <w:t>保温材料层热阻R</w:t>
            </w:r>
          </w:p>
          <w:p w14:paraId="0D2448EF">
            <w:pPr>
              <w:pStyle w:val="27"/>
              <w:widowControl/>
              <w:jc w:val="center"/>
              <w:rPr>
                <w:rFonts w:hint="default"/>
                <w:sz w:val="21"/>
                <w:szCs w:val="21"/>
              </w:rPr>
            </w:pPr>
            <w:r>
              <w:rPr>
                <w:sz w:val="21"/>
                <w:szCs w:val="21"/>
              </w:rPr>
              <w:t>[</w:t>
            </w:r>
            <w:r>
              <w:rPr>
                <w:position w:val="-8"/>
                <w:sz w:val="21"/>
                <w:szCs w:val="21"/>
              </w:rPr>
              <w:object>
                <v:shape id="_x0000_i1039" o:spt="75" type="#_x0000_t75" style="height:15pt;width:40.8pt;" o:ole="t" filled="f" o:preferrelative="t" stroked="f" coordsize="21600,21600">
                  <v:path/>
                  <v:fill on="f" focussize="0,0"/>
                  <v:stroke on="f" joinstyle="miter"/>
                  <v:imagedata r:id="rId19" o:title=""/>
                  <o:lock v:ext="edit" aspectratio="t"/>
                  <w10:wrap type="none"/>
                  <w10:anchorlock/>
                </v:shape>
                <o:OLEObject Type="Embed" ProgID="" ShapeID="_x0000_i1039" DrawAspect="Content" ObjectID="_1468075739" r:id="rId27">
                  <o:LockedField>false</o:LockedField>
                </o:OLEObject>
              </w:object>
            </w:r>
            <w:r>
              <w:rPr>
                <w:sz w:val="21"/>
                <w:szCs w:val="21"/>
              </w:rPr>
              <w:t>]</w:t>
            </w:r>
          </w:p>
        </w:tc>
      </w:tr>
      <w:tr w14:paraId="3EA80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00540A67">
            <w:pPr>
              <w:rPr>
                <w:rFonts w:ascii="Times New Roman" w:hAnsi="Times New Roman" w:cs="Times New Roman"/>
                <w:sz w:val="20"/>
                <w:szCs w:val="20"/>
              </w:rPr>
            </w:pP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331FB430">
            <w:pPr>
              <w:pStyle w:val="27"/>
              <w:widowControl/>
              <w:jc w:val="center"/>
              <w:rPr>
                <w:rFonts w:hint="default"/>
                <w:sz w:val="21"/>
                <w:szCs w:val="21"/>
              </w:rPr>
            </w:pPr>
            <w:r>
              <w:rPr>
                <w:sz w:val="21"/>
                <w:szCs w:val="21"/>
              </w:rPr>
              <w:t>≤3层</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25053B4">
            <w:pPr>
              <w:pStyle w:val="27"/>
              <w:widowControl/>
              <w:jc w:val="center"/>
              <w:rPr>
                <w:rFonts w:hint="default"/>
                <w:sz w:val="21"/>
                <w:szCs w:val="21"/>
              </w:rPr>
            </w:pPr>
            <w:r>
              <w:rPr>
                <w:sz w:val="21"/>
                <w:szCs w:val="21"/>
              </w:rPr>
              <w:t>＞3层</w:t>
            </w:r>
          </w:p>
        </w:tc>
      </w:tr>
      <w:tr w14:paraId="026E7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4F0C0606">
            <w:pPr>
              <w:pStyle w:val="27"/>
              <w:widowControl/>
              <w:jc w:val="center"/>
              <w:rPr>
                <w:rFonts w:hint="default"/>
                <w:sz w:val="21"/>
                <w:szCs w:val="21"/>
              </w:rPr>
            </w:pPr>
            <w:r>
              <w:rPr>
                <w:sz w:val="21"/>
                <w:szCs w:val="21"/>
              </w:rPr>
              <w:t>室内地面</w:t>
            </w:r>
          </w:p>
        </w:tc>
        <w:tc>
          <w:tcPr>
            <w:tcW w:w="1450" w:type="dxa"/>
            <w:tcBorders>
              <w:top w:val="single" w:color="auto" w:sz="4" w:space="0"/>
              <w:left w:val="single" w:color="auto" w:sz="4" w:space="0"/>
              <w:bottom w:val="single" w:color="auto" w:sz="4" w:space="0"/>
              <w:right w:val="single" w:color="auto" w:sz="4" w:space="0"/>
            </w:tcBorders>
            <w:shd w:val="clear" w:color="auto" w:fill="auto"/>
            <w:vAlign w:val="center"/>
          </w:tcPr>
          <w:p w14:paraId="1B500061">
            <w:pPr>
              <w:pStyle w:val="27"/>
              <w:widowControl/>
              <w:jc w:val="center"/>
              <w:rPr>
                <w:rFonts w:hint="default"/>
                <w:sz w:val="21"/>
                <w:szCs w:val="21"/>
              </w:rPr>
            </w:pPr>
            <w:r>
              <w:rPr>
                <w:sz w:val="21"/>
                <w:szCs w:val="21"/>
              </w:rPr>
              <w:t>≥1.50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72B47CD">
            <w:pPr>
              <w:pStyle w:val="27"/>
              <w:widowControl/>
              <w:jc w:val="center"/>
              <w:rPr>
                <w:rFonts w:hint="default"/>
                <w:sz w:val="21"/>
                <w:szCs w:val="21"/>
              </w:rPr>
            </w:pPr>
            <w:r>
              <w:rPr>
                <w:sz w:val="21"/>
                <w:szCs w:val="21"/>
              </w:rPr>
              <w:t>≥1.50</w:t>
            </w:r>
          </w:p>
        </w:tc>
      </w:tr>
      <w:tr w14:paraId="3AECB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12" w:space="0"/>
              <w:right w:val="single" w:color="auto" w:sz="4" w:space="0"/>
            </w:tcBorders>
            <w:shd w:val="clear" w:color="auto" w:fill="auto"/>
            <w:vAlign w:val="center"/>
          </w:tcPr>
          <w:p w14:paraId="62D88B60">
            <w:pPr>
              <w:pStyle w:val="27"/>
              <w:widowControl/>
              <w:jc w:val="center"/>
              <w:rPr>
                <w:rFonts w:hint="default"/>
                <w:sz w:val="21"/>
                <w:szCs w:val="21"/>
              </w:rPr>
            </w:pPr>
            <w:r>
              <w:rPr>
                <w:sz w:val="21"/>
                <w:szCs w:val="21"/>
              </w:rPr>
              <w:t>地下室外墙（与土壤接触的外墙）</w:t>
            </w:r>
          </w:p>
        </w:tc>
        <w:tc>
          <w:tcPr>
            <w:tcW w:w="1450" w:type="dxa"/>
            <w:tcBorders>
              <w:top w:val="single" w:color="auto" w:sz="4" w:space="0"/>
              <w:left w:val="single" w:color="auto" w:sz="4" w:space="0"/>
              <w:bottom w:val="single" w:color="auto" w:sz="12" w:space="0"/>
              <w:right w:val="single" w:color="auto" w:sz="4" w:space="0"/>
            </w:tcBorders>
            <w:shd w:val="clear" w:color="auto" w:fill="auto"/>
            <w:vAlign w:val="center"/>
          </w:tcPr>
          <w:p w14:paraId="2867C130">
            <w:pPr>
              <w:pStyle w:val="27"/>
              <w:widowControl/>
              <w:jc w:val="center"/>
              <w:rPr>
                <w:rFonts w:hint="default"/>
                <w:sz w:val="21"/>
                <w:szCs w:val="21"/>
              </w:rPr>
            </w:pPr>
            <w:r>
              <w:rPr>
                <w:sz w:val="21"/>
                <w:szCs w:val="21"/>
              </w:rPr>
              <w:t>≥1.60</w:t>
            </w:r>
          </w:p>
        </w:tc>
        <w:tc>
          <w:tcPr>
            <w:tcW w:w="1543" w:type="dxa"/>
            <w:tcBorders>
              <w:top w:val="single" w:color="auto" w:sz="4" w:space="0"/>
              <w:left w:val="single" w:color="auto" w:sz="4" w:space="0"/>
              <w:bottom w:val="single" w:color="auto" w:sz="12" w:space="0"/>
              <w:right w:val="single" w:color="auto" w:sz="12" w:space="0"/>
            </w:tcBorders>
            <w:shd w:val="clear" w:color="auto" w:fill="auto"/>
            <w:vAlign w:val="center"/>
          </w:tcPr>
          <w:p w14:paraId="2F6B1AB7">
            <w:pPr>
              <w:pStyle w:val="27"/>
              <w:widowControl/>
              <w:jc w:val="center"/>
              <w:rPr>
                <w:rFonts w:hint="default"/>
                <w:sz w:val="21"/>
                <w:szCs w:val="21"/>
              </w:rPr>
            </w:pPr>
            <w:r>
              <w:rPr>
                <w:sz w:val="21"/>
                <w:szCs w:val="21"/>
              </w:rPr>
              <w:t>≥1.60</w:t>
            </w:r>
          </w:p>
        </w:tc>
      </w:tr>
    </w:tbl>
    <w:p w14:paraId="25E3B969">
      <w:pPr>
        <w:pStyle w:val="27"/>
        <w:widowControl/>
        <w:spacing w:before="156" w:beforeLines="50" w:after="156" w:afterLines="50"/>
        <w:jc w:val="center"/>
        <w:rPr>
          <w:rFonts w:hint="default"/>
          <w:b/>
          <w:bCs/>
          <w:sz w:val="21"/>
          <w:szCs w:val="21"/>
        </w:rPr>
      </w:pPr>
      <w:r>
        <w:rPr>
          <w:b/>
          <w:bCs/>
          <w:sz w:val="21"/>
          <w:szCs w:val="21"/>
        </w:rPr>
        <w:t>表4.3.1-6 夏热冬冷A区居住建筑围护结构热工性能参数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1198"/>
        <w:gridCol w:w="3158"/>
        <w:gridCol w:w="1767"/>
        <w:gridCol w:w="1543"/>
      </w:tblGrid>
      <w:tr w14:paraId="593AC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356" w:type="dxa"/>
            <w:gridSpan w:val="2"/>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2C4CC84A">
            <w:pPr>
              <w:pStyle w:val="27"/>
              <w:widowControl/>
              <w:jc w:val="center"/>
              <w:rPr>
                <w:rFonts w:hint="default"/>
                <w:sz w:val="21"/>
                <w:szCs w:val="21"/>
              </w:rPr>
            </w:pPr>
            <w:r>
              <w:rPr>
                <w:sz w:val="21"/>
                <w:szCs w:val="21"/>
              </w:rPr>
              <w:t>围护结构部位</w:t>
            </w:r>
          </w:p>
        </w:tc>
        <w:tc>
          <w:tcPr>
            <w:tcW w:w="3310"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18AC7BE1">
            <w:pPr>
              <w:pStyle w:val="27"/>
              <w:widowControl/>
              <w:jc w:val="center"/>
              <w:rPr>
                <w:rFonts w:hint="default"/>
                <w:sz w:val="21"/>
                <w:szCs w:val="21"/>
              </w:rPr>
            </w:pPr>
            <w:r>
              <w:rPr>
                <w:sz w:val="21"/>
                <w:szCs w:val="21"/>
              </w:rPr>
              <w:t>传热系数</w:t>
            </w:r>
          </w:p>
          <w:p w14:paraId="2C1914AC">
            <w:pPr>
              <w:pStyle w:val="27"/>
              <w:widowControl/>
              <w:jc w:val="center"/>
              <w:rPr>
                <w:rFonts w:hint="default"/>
                <w:sz w:val="21"/>
                <w:szCs w:val="21"/>
              </w:rPr>
            </w:pPr>
            <w:r>
              <w:rPr>
                <w:sz w:val="21"/>
                <w:szCs w:val="21"/>
              </w:rPr>
              <w:t>K [</w:t>
            </w:r>
            <w:r>
              <w:rPr>
                <w:position w:val="-8"/>
                <w:sz w:val="21"/>
                <w:szCs w:val="21"/>
              </w:rPr>
              <w:object>
                <v:shape id="_x0000_i1040"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40" DrawAspect="Content" ObjectID="_1468075740" r:id="rId28">
                  <o:LockedField>false</o:LockedField>
                </o:OLEObject>
              </w:object>
            </w:r>
            <w:r>
              <w:rPr>
                <w:sz w:val="21"/>
                <w:szCs w:val="21"/>
              </w:rPr>
              <w:t>]</w:t>
            </w:r>
          </w:p>
        </w:tc>
      </w:tr>
      <w:tr w14:paraId="6F0E5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3F932126">
            <w:pPr>
              <w:rPr>
                <w:rFonts w:ascii="Times New Roman" w:hAnsi="Times New Roman" w:cs="Times New Roman"/>
                <w:sz w:val="20"/>
                <w:szCs w:val="20"/>
              </w:rPr>
            </w:pP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0A6B87AC">
            <w:pPr>
              <w:pStyle w:val="27"/>
              <w:widowControl/>
              <w:jc w:val="center"/>
              <w:rPr>
                <w:rFonts w:hint="default"/>
                <w:sz w:val="21"/>
                <w:szCs w:val="21"/>
              </w:rPr>
            </w:pPr>
            <w:r>
              <w:rPr>
                <w:sz w:val="21"/>
                <w:szCs w:val="21"/>
              </w:rPr>
              <w:t>热惰性指标</w:t>
            </w:r>
          </w:p>
          <w:p w14:paraId="5A40954B">
            <w:pPr>
              <w:pStyle w:val="27"/>
              <w:widowControl/>
              <w:jc w:val="center"/>
              <w:rPr>
                <w:rFonts w:hint="default"/>
                <w:sz w:val="21"/>
                <w:szCs w:val="21"/>
              </w:rPr>
            </w:pPr>
            <w:r>
              <w:rPr>
                <w:sz w:val="21"/>
                <w:szCs w:val="21"/>
              </w:rPr>
              <w:t>D≤2.5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AAC46D8">
            <w:pPr>
              <w:pStyle w:val="27"/>
              <w:widowControl/>
              <w:jc w:val="center"/>
              <w:rPr>
                <w:rFonts w:hint="default"/>
                <w:sz w:val="21"/>
                <w:szCs w:val="21"/>
              </w:rPr>
            </w:pPr>
            <w:r>
              <w:rPr>
                <w:sz w:val="21"/>
                <w:szCs w:val="21"/>
              </w:rPr>
              <w:t>热惰性指标</w:t>
            </w:r>
          </w:p>
          <w:p w14:paraId="3E26BC30">
            <w:pPr>
              <w:pStyle w:val="27"/>
              <w:widowControl/>
              <w:jc w:val="center"/>
              <w:rPr>
                <w:rFonts w:hint="default"/>
                <w:sz w:val="21"/>
                <w:szCs w:val="21"/>
              </w:rPr>
            </w:pPr>
            <w:r>
              <w:rPr>
                <w:sz w:val="21"/>
                <w:szCs w:val="21"/>
              </w:rPr>
              <w:t>D＞2.5</w:t>
            </w:r>
          </w:p>
        </w:tc>
      </w:tr>
      <w:tr w14:paraId="59C9E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133A1BD9">
            <w:pPr>
              <w:pStyle w:val="27"/>
              <w:widowControl/>
              <w:jc w:val="center"/>
              <w:rPr>
                <w:rFonts w:hint="default"/>
                <w:sz w:val="21"/>
                <w:szCs w:val="21"/>
              </w:rPr>
            </w:pPr>
            <w:r>
              <w:rPr>
                <w:sz w:val="21"/>
                <w:szCs w:val="21"/>
              </w:rPr>
              <w:t>屋面</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374B1864">
            <w:pPr>
              <w:pStyle w:val="27"/>
              <w:widowControl/>
              <w:jc w:val="center"/>
              <w:rPr>
                <w:rFonts w:hint="default"/>
                <w:sz w:val="21"/>
                <w:szCs w:val="21"/>
              </w:rPr>
            </w:pPr>
            <w:r>
              <w:rPr>
                <w:sz w:val="21"/>
                <w:szCs w:val="21"/>
              </w:rPr>
              <w:t>≤0.30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56F395E2">
            <w:pPr>
              <w:pStyle w:val="27"/>
              <w:widowControl/>
              <w:jc w:val="center"/>
              <w:rPr>
                <w:rFonts w:hint="default"/>
                <w:sz w:val="21"/>
                <w:szCs w:val="21"/>
              </w:rPr>
            </w:pPr>
            <w:r>
              <w:rPr>
                <w:sz w:val="21"/>
                <w:szCs w:val="21"/>
              </w:rPr>
              <w:t>≤0.30</w:t>
            </w:r>
          </w:p>
        </w:tc>
      </w:tr>
      <w:tr w14:paraId="669D1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326E8660">
            <w:pPr>
              <w:pStyle w:val="27"/>
              <w:widowControl/>
              <w:jc w:val="center"/>
              <w:rPr>
                <w:rFonts w:hint="default"/>
                <w:sz w:val="21"/>
                <w:szCs w:val="21"/>
              </w:rPr>
            </w:pPr>
            <w:r>
              <w:rPr>
                <w:sz w:val="21"/>
                <w:szCs w:val="21"/>
              </w:rPr>
              <w:t>外墙</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5525DF53">
            <w:pPr>
              <w:pStyle w:val="27"/>
              <w:widowControl/>
              <w:jc w:val="center"/>
              <w:rPr>
                <w:rFonts w:hint="default"/>
                <w:sz w:val="21"/>
                <w:szCs w:val="21"/>
              </w:rPr>
            </w:pPr>
            <w:r>
              <w:rPr>
                <w:sz w:val="21"/>
                <w:szCs w:val="21"/>
              </w:rPr>
              <w:t>≤0.40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8F553D0">
            <w:pPr>
              <w:pStyle w:val="27"/>
              <w:widowControl/>
              <w:jc w:val="center"/>
              <w:rPr>
                <w:rFonts w:hint="default"/>
                <w:sz w:val="21"/>
                <w:szCs w:val="21"/>
              </w:rPr>
            </w:pPr>
            <w:r>
              <w:rPr>
                <w:sz w:val="21"/>
                <w:szCs w:val="21"/>
              </w:rPr>
              <w:t>≤0.80</w:t>
            </w:r>
          </w:p>
        </w:tc>
      </w:tr>
      <w:tr w14:paraId="0C7EE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32CF2A5B">
            <w:pPr>
              <w:pStyle w:val="27"/>
              <w:widowControl/>
              <w:jc w:val="center"/>
              <w:rPr>
                <w:rFonts w:hint="default"/>
                <w:sz w:val="21"/>
                <w:szCs w:val="21"/>
              </w:rPr>
            </w:pPr>
            <w:r>
              <w:rPr>
                <w:sz w:val="21"/>
                <w:szCs w:val="21"/>
              </w:rPr>
              <w:t>底面接触空气的架空或外挑楼板</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5098AF03">
            <w:pPr>
              <w:pStyle w:val="27"/>
              <w:widowControl/>
              <w:jc w:val="center"/>
              <w:rPr>
                <w:rFonts w:hint="default"/>
                <w:sz w:val="21"/>
                <w:szCs w:val="21"/>
              </w:rPr>
            </w:pPr>
            <w:r>
              <w:rPr>
                <w:sz w:val="21"/>
                <w:szCs w:val="21"/>
              </w:rPr>
              <w:t>≤0.80</w:t>
            </w:r>
          </w:p>
        </w:tc>
      </w:tr>
      <w:tr w14:paraId="44645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7BFC8CA3">
            <w:pPr>
              <w:pStyle w:val="27"/>
              <w:widowControl/>
              <w:jc w:val="center"/>
              <w:rPr>
                <w:rFonts w:hint="default"/>
                <w:sz w:val="21"/>
                <w:szCs w:val="21"/>
              </w:rPr>
            </w:pPr>
            <w:r>
              <w:rPr>
                <w:sz w:val="21"/>
                <w:szCs w:val="21"/>
              </w:rPr>
              <w:t>分户墙、楼梯间隔墙、外走廊隔墙</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22AC3B1C">
            <w:pPr>
              <w:pStyle w:val="27"/>
              <w:widowControl/>
              <w:jc w:val="center"/>
              <w:rPr>
                <w:rFonts w:hint="default"/>
                <w:sz w:val="21"/>
                <w:szCs w:val="21"/>
              </w:rPr>
            </w:pPr>
            <w:r>
              <w:rPr>
                <w:sz w:val="21"/>
                <w:szCs w:val="21"/>
              </w:rPr>
              <w:t>≤1.00</w:t>
            </w:r>
          </w:p>
        </w:tc>
      </w:tr>
      <w:tr w14:paraId="39659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589A2FC5">
            <w:pPr>
              <w:pStyle w:val="27"/>
              <w:widowControl/>
              <w:jc w:val="center"/>
              <w:rPr>
                <w:rFonts w:hint="default"/>
                <w:sz w:val="21"/>
                <w:szCs w:val="21"/>
              </w:rPr>
            </w:pPr>
            <w:r>
              <w:rPr>
                <w:sz w:val="21"/>
                <w:szCs w:val="21"/>
              </w:rPr>
              <w:t>分户楼板</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2E276BF7">
            <w:pPr>
              <w:pStyle w:val="27"/>
              <w:widowControl/>
              <w:jc w:val="center"/>
              <w:rPr>
                <w:rFonts w:hint="default"/>
                <w:sz w:val="21"/>
                <w:szCs w:val="21"/>
              </w:rPr>
            </w:pPr>
            <w:r>
              <w:rPr>
                <w:sz w:val="21"/>
                <w:szCs w:val="21"/>
              </w:rPr>
              <w:t>≤1.00</w:t>
            </w:r>
          </w:p>
        </w:tc>
      </w:tr>
      <w:tr w14:paraId="683AC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1198" w:type="dxa"/>
            <w:vMerge w:val="restart"/>
            <w:tcBorders>
              <w:top w:val="single" w:color="auto" w:sz="4" w:space="0"/>
              <w:left w:val="single" w:color="auto" w:sz="12" w:space="0"/>
              <w:bottom w:val="single" w:color="auto" w:sz="12" w:space="0"/>
              <w:right w:val="single" w:color="auto" w:sz="4" w:space="0"/>
            </w:tcBorders>
            <w:shd w:val="clear" w:color="auto" w:fill="auto"/>
            <w:vAlign w:val="center"/>
          </w:tcPr>
          <w:p w14:paraId="0A3495F0">
            <w:pPr>
              <w:pStyle w:val="27"/>
              <w:widowControl/>
              <w:jc w:val="center"/>
              <w:rPr>
                <w:rFonts w:hint="default"/>
                <w:sz w:val="21"/>
                <w:szCs w:val="21"/>
              </w:rPr>
            </w:pPr>
            <w:r>
              <w:rPr>
                <w:sz w:val="21"/>
                <w:szCs w:val="21"/>
              </w:rPr>
              <w:t>户门</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1E68C632">
            <w:pPr>
              <w:pStyle w:val="27"/>
              <w:widowControl/>
              <w:jc w:val="center"/>
              <w:rPr>
                <w:rFonts w:hint="default"/>
                <w:sz w:val="21"/>
                <w:szCs w:val="21"/>
              </w:rPr>
            </w:pPr>
            <w:r>
              <w:rPr>
                <w:sz w:val="21"/>
                <w:szCs w:val="21"/>
              </w:rPr>
              <w:t>通往封闭空间</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348833DF">
            <w:pPr>
              <w:pStyle w:val="27"/>
              <w:widowControl/>
              <w:jc w:val="center"/>
              <w:rPr>
                <w:rFonts w:hint="default"/>
                <w:sz w:val="21"/>
                <w:szCs w:val="21"/>
              </w:rPr>
            </w:pPr>
            <w:r>
              <w:rPr>
                <w:sz w:val="21"/>
                <w:szCs w:val="21"/>
              </w:rPr>
              <w:t>2.0</w:t>
            </w:r>
          </w:p>
        </w:tc>
      </w:tr>
      <w:tr w14:paraId="77F04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1198" w:type="dxa"/>
            <w:vMerge w:val="continue"/>
            <w:tcBorders>
              <w:top w:val="single" w:color="auto" w:sz="4" w:space="0"/>
              <w:left w:val="single" w:color="auto" w:sz="12" w:space="0"/>
              <w:bottom w:val="single" w:color="auto" w:sz="12" w:space="0"/>
              <w:right w:val="single" w:color="auto" w:sz="4" w:space="0"/>
            </w:tcBorders>
            <w:shd w:val="clear" w:color="auto" w:fill="auto"/>
            <w:vAlign w:val="center"/>
          </w:tcPr>
          <w:p w14:paraId="31B1271F">
            <w:pPr>
              <w:rPr>
                <w:rFonts w:ascii="Times New Roman" w:hAnsi="Times New Roman" w:cs="Times New Roman"/>
                <w:sz w:val="20"/>
                <w:szCs w:val="20"/>
              </w:rPr>
            </w:pPr>
          </w:p>
        </w:tc>
        <w:tc>
          <w:tcPr>
            <w:tcW w:w="3158" w:type="dxa"/>
            <w:tcBorders>
              <w:top w:val="single" w:color="auto" w:sz="4" w:space="0"/>
              <w:left w:val="single" w:color="auto" w:sz="4" w:space="0"/>
              <w:bottom w:val="single" w:color="auto" w:sz="12" w:space="0"/>
              <w:right w:val="single" w:color="auto" w:sz="4" w:space="0"/>
            </w:tcBorders>
            <w:shd w:val="clear" w:color="auto" w:fill="auto"/>
            <w:vAlign w:val="center"/>
          </w:tcPr>
          <w:p w14:paraId="7436908C">
            <w:pPr>
              <w:pStyle w:val="27"/>
              <w:widowControl/>
              <w:jc w:val="center"/>
              <w:rPr>
                <w:rFonts w:hint="default"/>
                <w:sz w:val="21"/>
                <w:szCs w:val="21"/>
              </w:rPr>
            </w:pPr>
            <w:r>
              <w:rPr>
                <w:sz w:val="21"/>
                <w:szCs w:val="21"/>
              </w:rPr>
              <w:t>通往非封闭空间或室外</w:t>
            </w:r>
          </w:p>
        </w:tc>
        <w:tc>
          <w:tcPr>
            <w:tcW w:w="3310"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6C544537">
            <w:pPr>
              <w:pStyle w:val="27"/>
              <w:widowControl/>
              <w:jc w:val="center"/>
              <w:rPr>
                <w:rFonts w:hint="default"/>
                <w:sz w:val="21"/>
                <w:szCs w:val="21"/>
              </w:rPr>
            </w:pPr>
            <w:r>
              <w:rPr>
                <w:sz w:val="21"/>
                <w:szCs w:val="21"/>
              </w:rPr>
              <w:t>≤1.40</w:t>
            </w:r>
          </w:p>
        </w:tc>
      </w:tr>
    </w:tbl>
    <w:p w14:paraId="56ECE8E9">
      <w:pPr>
        <w:pStyle w:val="27"/>
        <w:widowControl/>
        <w:spacing w:before="156" w:beforeLines="50" w:after="156" w:afterLines="50"/>
        <w:jc w:val="center"/>
        <w:rPr>
          <w:rFonts w:hint="default"/>
          <w:b/>
          <w:bCs/>
          <w:sz w:val="21"/>
          <w:szCs w:val="21"/>
        </w:rPr>
      </w:pPr>
      <w:r>
        <w:rPr>
          <w:b/>
          <w:bCs/>
          <w:sz w:val="21"/>
          <w:szCs w:val="21"/>
        </w:rPr>
        <w:t>表4.3.1-7 夏热冬冷B区居住建筑围护结构热工性能参数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1198"/>
        <w:gridCol w:w="3158"/>
        <w:gridCol w:w="1767"/>
        <w:gridCol w:w="1543"/>
      </w:tblGrid>
      <w:tr w14:paraId="4E5C3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59B00CEF">
            <w:pPr>
              <w:pStyle w:val="27"/>
              <w:widowControl/>
              <w:jc w:val="center"/>
              <w:rPr>
                <w:rFonts w:hint="default"/>
                <w:sz w:val="21"/>
                <w:szCs w:val="21"/>
              </w:rPr>
            </w:pPr>
            <w:r>
              <w:rPr>
                <w:sz w:val="21"/>
                <w:szCs w:val="21"/>
              </w:rPr>
              <w:t>围护结构部位</w:t>
            </w:r>
          </w:p>
        </w:tc>
        <w:tc>
          <w:tcPr>
            <w:tcW w:w="3310"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51ED01F1">
            <w:pPr>
              <w:pStyle w:val="27"/>
              <w:widowControl/>
              <w:jc w:val="center"/>
              <w:rPr>
                <w:rFonts w:hint="default"/>
                <w:sz w:val="21"/>
                <w:szCs w:val="21"/>
              </w:rPr>
            </w:pPr>
            <w:r>
              <w:rPr>
                <w:sz w:val="21"/>
                <w:szCs w:val="21"/>
              </w:rPr>
              <w:t>传热系数</w:t>
            </w:r>
          </w:p>
          <w:p w14:paraId="0C706195">
            <w:pPr>
              <w:pStyle w:val="27"/>
              <w:widowControl/>
              <w:jc w:val="center"/>
              <w:rPr>
                <w:rFonts w:hint="default"/>
                <w:sz w:val="21"/>
                <w:szCs w:val="21"/>
              </w:rPr>
            </w:pPr>
            <w:r>
              <w:rPr>
                <w:sz w:val="21"/>
                <w:szCs w:val="21"/>
              </w:rPr>
              <w:t>K [</w:t>
            </w:r>
            <w:r>
              <w:rPr>
                <w:position w:val="-8"/>
                <w:sz w:val="21"/>
                <w:szCs w:val="21"/>
              </w:rPr>
              <w:object>
                <v:shape id="_x0000_i1041"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41" DrawAspect="Content" ObjectID="_1468075741" r:id="rId29">
                  <o:LockedField>false</o:LockedField>
                </o:OLEObject>
              </w:object>
            </w:r>
            <w:r>
              <w:rPr>
                <w:sz w:val="21"/>
                <w:szCs w:val="21"/>
              </w:rPr>
              <w:t>]</w:t>
            </w:r>
          </w:p>
        </w:tc>
      </w:tr>
      <w:tr w14:paraId="59F8D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43597025">
            <w:pPr>
              <w:rPr>
                <w:rFonts w:ascii="Times New Roman" w:hAnsi="Times New Roman" w:cs="Times New Roman"/>
                <w:sz w:val="20"/>
                <w:szCs w:val="20"/>
              </w:rPr>
            </w:pP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5930253D">
            <w:pPr>
              <w:pStyle w:val="27"/>
              <w:widowControl/>
              <w:jc w:val="center"/>
              <w:rPr>
                <w:rFonts w:hint="default"/>
                <w:sz w:val="21"/>
                <w:szCs w:val="21"/>
              </w:rPr>
            </w:pPr>
            <w:r>
              <w:rPr>
                <w:sz w:val="21"/>
                <w:szCs w:val="21"/>
              </w:rPr>
              <w:t>热惰性指标</w:t>
            </w:r>
          </w:p>
          <w:p w14:paraId="27118149">
            <w:pPr>
              <w:pStyle w:val="27"/>
              <w:widowControl/>
              <w:jc w:val="center"/>
              <w:rPr>
                <w:rFonts w:hint="default"/>
                <w:sz w:val="21"/>
                <w:szCs w:val="21"/>
              </w:rPr>
            </w:pPr>
            <w:r>
              <w:rPr>
                <w:sz w:val="21"/>
                <w:szCs w:val="21"/>
              </w:rPr>
              <w:t>D≤2.5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599851D">
            <w:pPr>
              <w:pStyle w:val="27"/>
              <w:widowControl/>
              <w:jc w:val="center"/>
              <w:rPr>
                <w:rFonts w:hint="default"/>
                <w:sz w:val="21"/>
                <w:szCs w:val="21"/>
              </w:rPr>
            </w:pPr>
            <w:r>
              <w:rPr>
                <w:sz w:val="21"/>
                <w:szCs w:val="21"/>
              </w:rPr>
              <w:t>热惰性指标</w:t>
            </w:r>
          </w:p>
          <w:p w14:paraId="4D94A132">
            <w:pPr>
              <w:pStyle w:val="27"/>
              <w:widowControl/>
              <w:jc w:val="center"/>
              <w:rPr>
                <w:rFonts w:hint="default"/>
                <w:sz w:val="21"/>
                <w:szCs w:val="21"/>
              </w:rPr>
            </w:pPr>
            <w:r>
              <w:rPr>
                <w:sz w:val="21"/>
                <w:szCs w:val="21"/>
              </w:rPr>
              <w:t>D＞2.5</w:t>
            </w:r>
          </w:p>
        </w:tc>
      </w:tr>
      <w:tr w14:paraId="7A901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3A8633BC">
            <w:pPr>
              <w:pStyle w:val="27"/>
              <w:widowControl/>
              <w:jc w:val="center"/>
              <w:rPr>
                <w:rFonts w:hint="default"/>
                <w:sz w:val="21"/>
                <w:szCs w:val="21"/>
              </w:rPr>
            </w:pPr>
            <w:r>
              <w:rPr>
                <w:sz w:val="21"/>
                <w:szCs w:val="21"/>
              </w:rPr>
              <w:t>屋面</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497B7D2D">
            <w:pPr>
              <w:pStyle w:val="27"/>
              <w:widowControl/>
              <w:jc w:val="center"/>
              <w:rPr>
                <w:rFonts w:hint="default"/>
                <w:sz w:val="21"/>
                <w:szCs w:val="21"/>
              </w:rPr>
            </w:pPr>
            <w:r>
              <w:rPr>
                <w:sz w:val="21"/>
                <w:szCs w:val="21"/>
              </w:rPr>
              <w:t>≤0.30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17E04EF">
            <w:pPr>
              <w:pStyle w:val="27"/>
              <w:widowControl/>
              <w:jc w:val="center"/>
              <w:rPr>
                <w:rFonts w:hint="default"/>
                <w:sz w:val="21"/>
                <w:szCs w:val="21"/>
              </w:rPr>
            </w:pPr>
            <w:r>
              <w:rPr>
                <w:sz w:val="21"/>
                <w:szCs w:val="21"/>
              </w:rPr>
              <w:t>≤0.30</w:t>
            </w:r>
          </w:p>
        </w:tc>
      </w:tr>
      <w:tr w14:paraId="78C1C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05349A19">
            <w:pPr>
              <w:pStyle w:val="27"/>
              <w:widowControl/>
              <w:jc w:val="center"/>
              <w:rPr>
                <w:rFonts w:hint="default"/>
                <w:sz w:val="21"/>
                <w:szCs w:val="21"/>
              </w:rPr>
            </w:pPr>
            <w:r>
              <w:rPr>
                <w:sz w:val="21"/>
                <w:szCs w:val="21"/>
              </w:rPr>
              <w:t>外墙</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4E086BC0">
            <w:pPr>
              <w:pStyle w:val="27"/>
              <w:widowControl/>
              <w:jc w:val="center"/>
              <w:rPr>
                <w:rFonts w:hint="default"/>
                <w:sz w:val="21"/>
                <w:szCs w:val="21"/>
              </w:rPr>
            </w:pPr>
            <w:r>
              <w:rPr>
                <w:sz w:val="21"/>
                <w:szCs w:val="21"/>
              </w:rPr>
              <w:t>≤0.60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41A8735">
            <w:pPr>
              <w:pStyle w:val="27"/>
              <w:widowControl/>
              <w:jc w:val="center"/>
              <w:rPr>
                <w:rFonts w:hint="default"/>
                <w:sz w:val="21"/>
                <w:szCs w:val="21"/>
              </w:rPr>
            </w:pPr>
            <w:r>
              <w:rPr>
                <w:sz w:val="21"/>
                <w:szCs w:val="21"/>
              </w:rPr>
              <w:t>≤1.00</w:t>
            </w:r>
          </w:p>
        </w:tc>
      </w:tr>
      <w:tr w14:paraId="13852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3D61FDDC">
            <w:pPr>
              <w:pStyle w:val="27"/>
              <w:widowControl/>
              <w:jc w:val="center"/>
              <w:rPr>
                <w:rFonts w:hint="default"/>
                <w:sz w:val="21"/>
                <w:szCs w:val="21"/>
              </w:rPr>
            </w:pPr>
            <w:r>
              <w:rPr>
                <w:sz w:val="21"/>
                <w:szCs w:val="21"/>
              </w:rPr>
              <w:t>底面接触空气的架空或外挑楼板</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7354B3DD">
            <w:pPr>
              <w:pStyle w:val="27"/>
              <w:widowControl/>
              <w:jc w:val="center"/>
              <w:rPr>
                <w:rFonts w:hint="default"/>
                <w:sz w:val="21"/>
                <w:szCs w:val="21"/>
              </w:rPr>
            </w:pPr>
            <w:r>
              <w:rPr>
                <w:sz w:val="21"/>
                <w:szCs w:val="21"/>
              </w:rPr>
              <w:t>≤1.00</w:t>
            </w:r>
          </w:p>
        </w:tc>
      </w:tr>
      <w:tr w14:paraId="5C44A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766C192F">
            <w:pPr>
              <w:pStyle w:val="27"/>
              <w:widowControl/>
              <w:jc w:val="center"/>
              <w:rPr>
                <w:rFonts w:hint="default"/>
                <w:sz w:val="21"/>
                <w:szCs w:val="21"/>
              </w:rPr>
            </w:pPr>
            <w:r>
              <w:rPr>
                <w:sz w:val="21"/>
                <w:szCs w:val="21"/>
              </w:rPr>
              <w:t>分户墙、楼梯间隔墙、外走廊隔墙</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2C0F267F">
            <w:pPr>
              <w:pStyle w:val="27"/>
              <w:widowControl/>
              <w:jc w:val="center"/>
              <w:rPr>
                <w:rFonts w:hint="default"/>
                <w:sz w:val="21"/>
                <w:szCs w:val="21"/>
              </w:rPr>
            </w:pPr>
            <w:r>
              <w:rPr>
                <w:sz w:val="21"/>
                <w:szCs w:val="21"/>
              </w:rPr>
              <w:t>≤1.20</w:t>
            </w:r>
          </w:p>
        </w:tc>
      </w:tr>
      <w:tr w14:paraId="2FC8A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14:paraId="515C6449">
            <w:pPr>
              <w:pStyle w:val="27"/>
              <w:widowControl/>
              <w:jc w:val="center"/>
              <w:rPr>
                <w:rFonts w:hint="default"/>
                <w:sz w:val="21"/>
                <w:szCs w:val="21"/>
              </w:rPr>
            </w:pPr>
            <w:r>
              <w:rPr>
                <w:sz w:val="21"/>
                <w:szCs w:val="21"/>
              </w:rPr>
              <w:t>分户楼板</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60802999">
            <w:pPr>
              <w:pStyle w:val="27"/>
              <w:widowControl/>
              <w:jc w:val="center"/>
              <w:rPr>
                <w:rFonts w:hint="default"/>
                <w:sz w:val="21"/>
                <w:szCs w:val="21"/>
              </w:rPr>
            </w:pPr>
            <w:r>
              <w:rPr>
                <w:sz w:val="21"/>
                <w:szCs w:val="21"/>
              </w:rPr>
              <w:t>≤1.20</w:t>
            </w:r>
          </w:p>
        </w:tc>
      </w:tr>
      <w:tr w14:paraId="34B6D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1198" w:type="dxa"/>
            <w:vMerge w:val="restart"/>
            <w:tcBorders>
              <w:top w:val="single" w:color="auto" w:sz="4" w:space="0"/>
              <w:left w:val="single" w:color="auto" w:sz="12" w:space="0"/>
              <w:bottom w:val="single" w:color="auto" w:sz="12" w:space="0"/>
              <w:right w:val="single" w:color="auto" w:sz="4" w:space="0"/>
            </w:tcBorders>
            <w:shd w:val="clear" w:color="auto" w:fill="auto"/>
            <w:vAlign w:val="center"/>
          </w:tcPr>
          <w:p w14:paraId="40BC5AB5">
            <w:pPr>
              <w:pStyle w:val="27"/>
              <w:widowControl/>
              <w:jc w:val="center"/>
              <w:rPr>
                <w:rFonts w:hint="default"/>
                <w:sz w:val="21"/>
                <w:szCs w:val="21"/>
              </w:rPr>
            </w:pPr>
            <w:r>
              <w:rPr>
                <w:sz w:val="21"/>
                <w:szCs w:val="21"/>
              </w:rPr>
              <w:t>户门</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14F0B1D1">
            <w:pPr>
              <w:pStyle w:val="27"/>
              <w:widowControl/>
              <w:jc w:val="center"/>
              <w:rPr>
                <w:rFonts w:hint="default"/>
                <w:sz w:val="21"/>
                <w:szCs w:val="21"/>
              </w:rPr>
            </w:pPr>
            <w:r>
              <w:rPr>
                <w:sz w:val="21"/>
                <w:szCs w:val="21"/>
              </w:rPr>
              <w:t>通往封闭空间</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70E24D27">
            <w:pPr>
              <w:pStyle w:val="27"/>
              <w:widowControl/>
              <w:jc w:val="center"/>
              <w:rPr>
                <w:rFonts w:hint="default"/>
                <w:sz w:val="21"/>
                <w:szCs w:val="21"/>
              </w:rPr>
            </w:pPr>
            <w:r>
              <w:rPr>
                <w:sz w:val="21"/>
                <w:szCs w:val="21"/>
              </w:rPr>
              <w:t>2.0</w:t>
            </w:r>
          </w:p>
        </w:tc>
      </w:tr>
      <w:tr w14:paraId="70719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1198" w:type="dxa"/>
            <w:vMerge w:val="continue"/>
            <w:tcBorders>
              <w:top w:val="single" w:color="auto" w:sz="4" w:space="0"/>
              <w:left w:val="single" w:color="auto" w:sz="12" w:space="0"/>
              <w:bottom w:val="single" w:color="auto" w:sz="12" w:space="0"/>
              <w:right w:val="single" w:color="auto" w:sz="4" w:space="0"/>
            </w:tcBorders>
            <w:shd w:val="clear" w:color="auto" w:fill="auto"/>
            <w:vAlign w:val="center"/>
          </w:tcPr>
          <w:p w14:paraId="64F55666">
            <w:pPr>
              <w:rPr>
                <w:rFonts w:ascii="Times New Roman" w:hAnsi="Times New Roman" w:cs="Times New Roman"/>
                <w:sz w:val="20"/>
                <w:szCs w:val="20"/>
              </w:rPr>
            </w:pPr>
          </w:p>
        </w:tc>
        <w:tc>
          <w:tcPr>
            <w:tcW w:w="3158" w:type="dxa"/>
            <w:tcBorders>
              <w:top w:val="single" w:color="auto" w:sz="4" w:space="0"/>
              <w:left w:val="single" w:color="auto" w:sz="4" w:space="0"/>
              <w:bottom w:val="single" w:color="auto" w:sz="12" w:space="0"/>
              <w:right w:val="single" w:color="auto" w:sz="4" w:space="0"/>
            </w:tcBorders>
            <w:shd w:val="clear" w:color="auto" w:fill="auto"/>
            <w:vAlign w:val="center"/>
          </w:tcPr>
          <w:p w14:paraId="3300616B">
            <w:pPr>
              <w:pStyle w:val="27"/>
              <w:widowControl/>
              <w:jc w:val="center"/>
              <w:rPr>
                <w:rFonts w:hint="default"/>
                <w:sz w:val="21"/>
                <w:szCs w:val="21"/>
              </w:rPr>
            </w:pPr>
            <w:r>
              <w:rPr>
                <w:sz w:val="21"/>
                <w:szCs w:val="21"/>
              </w:rPr>
              <w:t>通往非封闭空间或室外</w:t>
            </w:r>
          </w:p>
        </w:tc>
        <w:tc>
          <w:tcPr>
            <w:tcW w:w="3310"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30A621F6">
            <w:pPr>
              <w:pStyle w:val="27"/>
              <w:widowControl/>
              <w:jc w:val="center"/>
              <w:rPr>
                <w:rFonts w:hint="default"/>
                <w:sz w:val="21"/>
                <w:szCs w:val="21"/>
              </w:rPr>
            </w:pPr>
            <w:r>
              <w:rPr>
                <w:sz w:val="21"/>
                <w:szCs w:val="21"/>
              </w:rPr>
              <w:t>≤1.60</w:t>
            </w:r>
          </w:p>
        </w:tc>
      </w:tr>
    </w:tbl>
    <w:p w14:paraId="50B7397E">
      <w:pPr>
        <w:pStyle w:val="27"/>
        <w:widowControl/>
        <w:spacing w:before="156" w:beforeLines="50" w:after="156" w:afterLines="50"/>
        <w:jc w:val="center"/>
        <w:rPr>
          <w:rFonts w:hint="default"/>
          <w:b/>
          <w:bCs/>
          <w:sz w:val="21"/>
          <w:szCs w:val="21"/>
        </w:rPr>
      </w:pPr>
      <w:r>
        <w:rPr>
          <w:b/>
          <w:bCs/>
          <w:sz w:val="21"/>
          <w:szCs w:val="21"/>
        </w:rPr>
        <w:t>表4.3.1-8 夏热冬暖地区居住建筑围护结构热工性能参数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4356"/>
        <w:gridCol w:w="1767"/>
        <w:gridCol w:w="1543"/>
      </w:tblGrid>
      <w:tr w14:paraId="5718D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20257051">
            <w:pPr>
              <w:pStyle w:val="27"/>
              <w:widowControl/>
              <w:jc w:val="center"/>
              <w:rPr>
                <w:rFonts w:hint="default"/>
                <w:sz w:val="21"/>
                <w:szCs w:val="21"/>
              </w:rPr>
            </w:pPr>
            <w:r>
              <w:rPr>
                <w:sz w:val="21"/>
                <w:szCs w:val="21"/>
              </w:rPr>
              <w:t>围护结构部位</w:t>
            </w:r>
          </w:p>
        </w:tc>
        <w:tc>
          <w:tcPr>
            <w:tcW w:w="3310"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57528939">
            <w:pPr>
              <w:pStyle w:val="27"/>
              <w:widowControl/>
              <w:jc w:val="center"/>
              <w:rPr>
                <w:rFonts w:hint="default"/>
                <w:sz w:val="21"/>
                <w:szCs w:val="21"/>
              </w:rPr>
            </w:pPr>
            <w:r>
              <w:rPr>
                <w:sz w:val="21"/>
                <w:szCs w:val="21"/>
              </w:rPr>
              <w:t>传热系数</w:t>
            </w:r>
          </w:p>
          <w:p w14:paraId="14673995">
            <w:pPr>
              <w:pStyle w:val="27"/>
              <w:widowControl/>
              <w:jc w:val="center"/>
              <w:rPr>
                <w:rFonts w:hint="default"/>
                <w:sz w:val="21"/>
                <w:szCs w:val="21"/>
              </w:rPr>
            </w:pPr>
            <w:r>
              <w:rPr>
                <w:sz w:val="21"/>
                <w:szCs w:val="21"/>
              </w:rPr>
              <w:t>K [</w:t>
            </w:r>
            <w:r>
              <w:rPr>
                <w:position w:val="-8"/>
                <w:sz w:val="21"/>
                <w:szCs w:val="21"/>
              </w:rPr>
              <w:object>
                <v:shape id="_x0000_i1042"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42" DrawAspect="Content" ObjectID="_1468075742" r:id="rId30">
                  <o:LockedField>false</o:LockedField>
                </o:OLEObject>
              </w:object>
            </w:r>
            <w:r>
              <w:rPr>
                <w:sz w:val="21"/>
                <w:szCs w:val="21"/>
              </w:rPr>
              <w:t>]</w:t>
            </w:r>
          </w:p>
        </w:tc>
      </w:tr>
      <w:tr w14:paraId="53F1B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6ED10C65">
            <w:pPr>
              <w:rPr>
                <w:rFonts w:ascii="Times New Roman" w:hAnsi="Times New Roman" w:cs="Times New Roman"/>
                <w:sz w:val="20"/>
                <w:szCs w:val="20"/>
              </w:rPr>
            </w:pP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64D576BA">
            <w:pPr>
              <w:pStyle w:val="27"/>
              <w:widowControl/>
              <w:jc w:val="center"/>
              <w:rPr>
                <w:rFonts w:hint="default"/>
                <w:sz w:val="21"/>
                <w:szCs w:val="21"/>
              </w:rPr>
            </w:pPr>
            <w:r>
              <w:rPr>
                <w:sz w:val="21"/>
                <w:szCs w:val="21"/>
              </w:rPr>
              <w:t>热惰性指标</w:t>
            </w:r>
          </w:p>
          <w:p w14:paraId="6C38971B">
            <w:pPr>
              <w:pStyle w:val="27"/>
              <w:widowControl/>
              <w:jc w:val="center"/>
              <w:rPr>
                <w:rFonts w:hint="default"/>
                <w:sz w:val="21"/>
                <w:szCs w:val="21"/>
              </w:rPr>
            </w:pPr>
            <w:r>
              <w:rPr>
                <w:sz w:val="21"/>
                <w:szCs w:val="21"/>
              </w:rPr>
              <w:t>D≤2.5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5209E955">
            <w:pPr>
              <w:pStyle w:val="27"/>
              <w:widowControl/>
              <w:jc w:val="center"/>
              <w:rPr>
                <w:rFonts w:hint="default"/>
                <w:sz w:val="21"/>
                <w:szCs w:val="21"/>
              </w:rPr>
            </w:pPr>
            <w:r>
              <w:rPr>
                <w:sz w:val="21"/>
                <w:szCs w:val="21"/>
              </w:rPr>
              <w:t>热惰性指标</w:t>
            </w:r>
          </w:p>
          <w:p w14:paraId="61494BE7">
            <w:pPr>
              <w:pStyle w:val="27"/>
              <w:widowControl/>
              <w:jc w:val="center"/>
              <w:rPr>
                <w:rFonts w:hint="default"/>
                <w:sz w:val="21"/>
                <w:szCs w:val="21"/>
              </w:rPr>
            </w:pPr>
            <w:r>
              <w:rPr>
                <w:sz w:val="21"/>
                <w:szCs w:val="21"/>
              </w:rPr>
              <w:t>D＞2.5</w:t>
            </w:r>
          </w:p>
        </w:tc>
      </w:tr>
      <w:tr w14:paraId="1B5BD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tcBorders>
              <w:top w:val="single" w:color="auto" w:sz="4" w:space="0"/>
              <w:left w:val="single" w:color="auto" w:sz="12" w:space="0"/>
              <w:bottom w:val="single" w:color="auto" w:sz="4" w:space="0"/>
              <w:right w:val="single" w:color="auto" w:sz="4" w:space="0"/>
            </w:tcBorders>
            <w:shd w:val="clear" w:color="auto" w:fill="auto"/>
            <w:vAlign w:val="center"/>
          </w:tcPr>
          <w:p w14:paraId="7B1CA0B9">
            <w:pPr>
              <w:pStyle w:val="27"/>
              <w:widowControl/>
              <w:jc w:val="center"/>
              <w:rPr>
                <w:rFonts w:hint="default"/>
                <w:sz w:val="21"/>
                <w:szCs w:val="21"/>
              </w:rPr>
            </w:pPr>
            <w:r>
              <w:rPr>
                <w:sz w:val="21"/>
                <w:szCs w:val="21"/>
              </w:rPr>
              <w:t>屋面</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144ED1FF">
            <w:pPr>
              <w:pStyle w:val="27"/>
              <w:widowControl/>
              <w:jc w:val="center"/>
              <w:rPr>
                <w:rFonts w:hint="default"/>
                <w:sz w:val="21"/>
                <w:szCs w:val="21"/>
              </w:rPr>
            </w:pPr>
            <w:r>
              <w:rPr>
                <w:sz w:val="21"/>
                <w:szCs w:val="21"/>
              </w:rPr>
              <w:t>≤0.30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2EDACF9F">
            <w:pPr>
              <w:pStyle w:val="27"/>
              <w:widowControl/>
              <w:jc w:val="center"/>
              <w:rPr>
                <w:rFonts w:hint="default"/>
                <w:sz w:val="21"/>
                <w:szCs w:val="21"/>
              </w:rPr>
            </w:pPr>
            <w:r>
              <w:rPr>
                <w:sz w:val="21"/>
                <w:szCs w:val="21"/>
              </w:rPr>
              <w:t>≤0.30</w:t>
            </w:r>
          </w:p>
        </w:tc>
      </w:tr>
      <w:tr w14:paraId="3EB24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tcBorders>
              <w:top w:val="single" w:color="auto" w:sz="4" w:space="0"/>
              <w:left w:val="single" w:color="auto" w:sz="12" w:space="0"/>
              <w:bottom w:val="single" w:color="auto" w:sz="12" w:space="0"/>
              <w:right w:val="single" w:color="auto" w:sz="4" w:space="0"/>
            </w:tcBorders>
            <w:shd w:val="clear" w:color="auto" w:fill="auto"/>
            <w:vAlign w:val="center"/>
          </w:tcPr>
          <w:p w14:paraId="2C997E94">
            <w:pPr>
              <w:pStyle w:val="27"/>
              <w:widowControl/>
              <w:jc w:val="center"/>
              <w:rPr>
                <w:rFonts w:hint="default"/>
                <w:sz w:val="21"/>
                <w:szCs w:val="21"/>
              </w:rPr>
            </w:pPr>
            <w:r>
              <w:rPr>
                <w:sz w:val="21"/>
                <w:szCs w:val="21"/>
              </w:rPr>
              <w:t>外墙</w:t>
            </w:r>
          </w:p>
        </w:tc>
        <w:tc>
          <w:tcPr>
            <w:tcW w:w="1767" w:type="dxa"/>
            <w:tcBorders>
              <w:top w:val="single" w:color="auto" w:sz="4" w:space="0"/>
              <w:left w:val="single" w:color="auto" w:sz="4" w:space="0"/>
              <w:bottom w:val="single" w:color="auto" w:sz="12" w:space="0"/>
              <w:right w:val="single" w:color="auto" w:sz="4" w:space="0"/>
            </w:tcBorders>
            <w:shd w:val="clear" w:color="auto" w:fill="auto"/>
            <w:vAlign w:val="center"/>
          </w:tcPr>
          <w:p w14:paraId="1799C2E5">
            <w:pPr>
              <w:pStyle w:val="27"/>
              <w:widowControl/>
              <w:jc w:val="center"/>
              <w:rPr>
                <w:rFonts w:hint="default"/>
                <w:sz w:val="21"/>
                <w:szCs w:val="21"/>
              </w:rPr>
            </w:pPr>
            <w:r>
              <w:rPr>
                <w:sz w:val="21"/>
                <w:szCs w:val="21"/>
              </w:rPr>
              <w:t>≤0.50</w:t>
            </w:r>
          </w:p>
        </w:tc>
        <w:tc>
          <w:tcPr>
            <w:tcW w:w="1543" w:type="dxa"/>
            <w:tcBorders>
              <w:top w:val="single" w:color="auto" w:sz="4" w:space="0"/>
              <w:left w:val="single" w:color="auto" w:sz="4" w:space="0"/>
              <w:bottom w:val="single" w:color="auto" w:sz="12" w:space="0"/>
              <w:right w:val="single" w:color="auto" w:sz="12" w:space="0"/>
            </w:tcBorders>
            <w:shd w:val="clear" w:color="auto" w:fill="auto"/>
            <w:vAlign w:val="center"/>
          </w:tcPr>
          <w:p w14:paraId="00D6777A">
            <w:pPr>
              <w:pStyle w:val="27"/>
              <w:widowControl/>
              <w:jc w:val="center"/>
              <w:rPr>
                <w:rFonts w:hint="default"/>
                <w:sz w:val="21"/>
                <w:szCs w:val="21"/>
              </w:rPr>
            </w:pPr>
            <w:r>
              <w:rPr>
                <w:sz w:val="21"/>
                <w:szCs w:val="21"/>
              </w:rPr>
              <w:t>≤1.20</w:t>
            </w:r>
          </w:p>
        </w:tc>
      </w:tr>
    </w:tbl>
    <w:p w14:paraId="57EF8AA2">
      <w:pPr>
        <w:pStyle w:val="27"/>
        <w:widowControl/>
        <w:spacing w:before="156" w:beforeLines="50" w:after="156" w:afterLines="50"/>
        <w:jc w:val="center"/>
        <w:rPr>
          <w:rFonts w:hint="default"/>
          <w:b/>
          <w:bCs/>
          <w:sz w:val="21"/>
          <w:szCs w:val="21"/>
        </w:rPr>
      </w:pPr>
    </w:p>
    <w:p w14:paraId="1BA644F1">
      <w:pPr>
        <w:pStyle w:val="27"/>
        <w:widowControl/>
        <w:spacing w:before="156" w:beforeLines="50" w:after="156" w:afterLines="50"/>
        <w:jc w:val="center"/>
        <w:rPr>
          <w:rFonts w:hint="default"/>
          <w:b/>
          <w:bCs/>
          <w:sz w:val="21"/>
          <w:szCs w:val="21"/>
        </w:rPr>
      </w:pPr>
    </w:p>
    <w:p w14:paraId="54AF8E18">
      <w:pPr>
        <w:pStyle w:val="27"/>
        <w:widowControl/>
        <w:spacing w:before="156" w:beforeLines="50" w:after="156" w:afterLines="50"/>
        <w:jc w:val="center"/>
        <w:rPr>
          <w:rFonts w:hint="default"/>
          <w:b/>
          <w:bCs/>
          <w:sz w:val="21"/>
          <w:szCs w:val="21"/>
        </w:rPr>
      </w:pPr>
      <w:r>
        <w:rPr>
          <w:b/>
          <w:bCs/>
          <w:sz w:val="21"/>
          <w:szCs w:val="21"/>
        </w:rPr>
        <w:t>表4.3.1-9 温和A区居住建筑围护结构热工性能参数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4356"/>
        <w:gridCol w:w="1767"/>
        <w:gridCol w:w="1543"/>
      </w:tblGrid>
      <w:tr w14:paraId="50914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6DEAFF90">
            <w:pPr>
              <w:pStyle w:val="27"/>
              <w:widowControl/>
              <w:jc w:val="center"/>
              <w:rPr>
                <w:rFonts w:hint="default"/>
                <w:sz w:val="21"/>
                <w:szCs w:val="21"/>
              </w:rPr>
            </w:pPr>
            <w:r>
              <w:rPr>
                <w:sz w:val="21"/>
                <w:szCs w:val="21"/>
              </w:rPr>
              <w:t>围护结构部位</w:t>
            </w:r>
          </w:p>
        </w:tc>
        <w:tc>
          <w:tcPr>
            <w:tcW w:w="3310"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6B5B3723">
            <w:pPr>
              <w:pStyle w:val="27"/>
              <w:widowControl/>
              <w:jc w:val="center"/>
              <w:rPr>
                <w:rFonts w:hint="default"/>
                <w:sz w:val="21"/>
                <w:szCs w:val="21"/>
              </w:rPr>
            </w:pPr>
            <w:r>
              <w:rPr>
                <w:sz w:val="21"/>
                <w:szCs w:val="21"/>
              </w:rPr>
              <w:t>传热系数</w:t>
            </w:r>
          </w:p>
          <w:p w14:paraId="255F356C">
            <w:pPr>
              <w:pStyle w:val="27"/>
              <w:widowControl/>
              <w:jc w:val="center"/>
              <w:rPr>
                <w:rFonts w:hint="default"/>
                <w:sz w:val="21"/>
                <w:szCs w:val="21"/>
              </w:rPr>
            </w:pPr>
            <w:r>
              <w:rPr>
                <w:sz w:val="21"/>
                <w:szCs w:val="21"/>
              </w:rPr>
              <w:t>K [</w:t>
            </w:r>
            <w:r>
              <w:rPr>
                <w:position w:val="-8"/>
                <w:sz w:val="21"/>
                <w:szCs w:val="21"/>
              </w:rPr>
              <w:object>
                <v:shape id="_x0000_i1043"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43" DrawAspect="Content" ObjectID="_1468075743" r:id="rId31">
                  <o:LockedField>false</o:LockedField>
                </o:OLEObject>
              </w:object>
            </w:r>
            <w:r>
              <w:rPr>
                <w:sz w:val="21"/>
                <w:szCs w:val="21"/>
              </w:rPr>
              <w:t>]</w:t>
            </w:r>
          </w:p>
        </w:tc>
      </w:tr>
      <w:tr w14:paraId="4CD3F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703293D0">
            <w:pPr>
              <w:rPr>
                <w:rFonts w:ascii="Times New Roman" w:hAnsi="Times New Roman" w:cs="Times New Roman"/>
                <w:sz w:val="20"/>
                <w:szCs w:val="20"/>
              </w:rPr>
            </w:pP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5F5D92EA">
            <w:pPr>
              <w:pStyle w:val="27"/>
              <w:widowControl/>
              <w:jc w:val="center"/>
              <w:rPr>
                <w:rFonts w:hint="default"/>
                <w:sz w:val="21"/>
                <w:szCs w:val="21"/>
              </w:rPr>
            </w:pPr>
            <w:r>
              <w:rPr>
                <w:sz w:val="21"/>
                <w:szCs w:val="21"/>
              </w:rPr>
              <w:t>热惰性指标</w:t>
            </w:r>
          </w:p>
          <w:p w14:paraId="23D9FAB1">
            <w:pPr>
              <w:pStyle w:val="27"/>
              <w:widowControl/>
              <w:jc w:val="center"/>
              <w:rPr>
                <w:rFonts w:hint="default"/>
                <w:sz w:val="21"/>
                <w:szCs w:val="21"/>
              </w:rPr>
            </w:pPr>
            <w:r>
              <w:rPr>
                <w:sz w:val="21"/>
                <w:szCs w:val="21"/>
              </w:rPr>
              <w:t>D≤2.5</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7C73306A">
            <w:pPr>
              <w:pStyle w:val="27"/>
              <w:widowControl/>
              <w:jc w:val="center"/>
              <w:rPr>
                <w:rFonts w:hint="default"/>
                <w:sz w:val="21"/>
                <w:szCs w:val="21"/>
              </w:rPr>
            </w:pPr>
            <w:r>
              <w:rPr>
                <w:sz w:val="21"/>
                <w:szCs w:val="21"/>
              </w:rPr>
              <w:t>热惰性指标</w:t>
            </w:r>
          </w:p>
          <w:p w14:paraId="6A1543B9">
            <w:pPr>
              <w:pStyle w:val="27"/>
              <w:widowControl/>
              <w:jc w:val="center"/>
              <w:rPr>
                <w:rFonts w:hint="default"/>
                <w:sz w:val="21"/>
                <w:szCs w:val="21"/>
              </w:rPr>
            </w:pPr>
            <w:r>
              <w:rPr>
                <w:sz w:val="21"/>
                <w:szCs w:val="21"/>
              </w:rPr>
              <w:t>D＞2.5</w:t>
            </w:r>
          </w:p>
        </w:tc>
      </w:tr>
      <w:tr w14:paraId="204AA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tcBorders>
              <w:top w:val="single" w:color="auto" w:sz="4" w:space="0"/>
              <w:left w:val="single" w:color="auto" w:sz="12" w:space="0"/>
              <w:bottom w:val="single" w:color="auto" w:sz="4" w:space="0"/>
              <w:right w:val="single" w:color="auto" w:sz="4" w:space="0"/>
            </w:tcBorders>
            <w:shd w:val="clear" w:color="auto" w:fill="auto"/>
            <w:vAlign w:val="center"/>
          </w:tcPr>
          <w:p w14:paraId="7B6D0182">
            <w:pPr>
              <w:pStyle w:val="27"/>
              <w:widowControl/>
              <w:jc w:val="center"/>
              <w:rPr>
                <w:rFonts w:hint="default"/>
                <w:sz w:val="21"/>
                <w:szCs w:val="21"/>
              </w:rPr>
            </w:pPr>
            <w:r>
              <w:rPr>
                <w:sz w:val="21"/>
                <w:szCs w:val="21"/>
              </w:rPr>
              <w:t>屋面</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1FDFCA7F">
            <w:pPr>
              <w:pStyle w:val="27"/>
              <w:widowControl/>
              <w:jc w:val="center"/>
              <w:rPr>
                <w:rFonts w:hint="default"/>
                <w:sz w:val="21"/>
                <w:szCs w:val="21"/>
              </w:rPr>
            </w:pPr>
            <w:r>
              <w:rPr>
                <w:sz w:val="21"/>
                <w:szCs w:val="21"/>
              </w:rPr>
              <w:t>≤0.30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67681DC3">
            <w:pPr>
              <w:pStyle w:val="27"/>
              <w:widowControl/>
              <w:jc w:val="center"/>
              <w:rPr>
                <w:rFonts w:hint="default"/>
                <w:sz w:val="21"/>
                <w:szCs w:val="21"/>
              </w:rPr>
            </w:pPr>
            <w:r>
              <w:rPr>
                <w:sz w:val="21"/>
                <w:szCs w:val="21"/>
              </w:rPr>
              <w:t>≤0.30</w:t>
            </w:r>
          </w:p>
        </w:tc>
      </w:tr>
      <w:tr w14:paraId="1D013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tcBorders>
              <w:top w:val="single" w:color="auto" w:sz="4" w:space="0"/>
              <w:left w:val="single" w:color="auto" w:sz="12" w:space="0"/>
              <w:bottom w:val="single" w:color="auto" w:sz="4" w:space="0"/>
              <w:right w:val="single" w:color="auto" w:sz="4" w:space="0"/>
            </w:tcBorders>
            <w:shd w:val="clear" w:color="auto" w:fill="auto"/>
            <w:vAlign w:val="center"/>
          </w:tcPr>
          <w:p w14:paraId="6A2089EC">
            <w:pPr>
              <w:pStyle w:val="27"/>
              <w:widowControl/>
              <w:jc w:val="center"/>
              <w:rPr>
                <w:rFonts w:hint="default"/>
                <w:sz w:val="21"/>
                <w:szCs w:val="21"/>
              </w:rPr>
            </w:pPr>
            <w:r>
              <w:rPr>
                <w:sz w:val="21"/>
                <w:szCs w:val="21"/>
              </w:rPr>
              <w:t>外墙</w:t>
            </w:r>
          </w:p>
        </w:tc>
        <w:tc>
          <w:tcPr>
            <w:tcW w:w="1767" w:type="dxa"/>
            <w:tcBorders>
              <w:top w:val="single" w:color="auto" w:sz="4" w:space="0"/>
              <w:left w:val="single" w:color="auto" w:sz="4" w:space="0"/>
              <w:bottom w:val="single" w:color="auto" w:sz="4" w:space="0"/>
              <w:right w:val="single" w:color="auto" w:sz="4" w:space="0"/>
            </w:tcBorders>
            <w:shd w:val="clear" w:color="auto" w:fill="auto"/>
            <w:vAlign w:val="center"/>
          </w:tcPr>
          <w:p w14:paraId="7D581812">
            <w:pPr>
              <w:pStyle w:val="27"/>
              <w:widowControl/>
              <w:jc w:val="center"/>
              <w:rPr>
                <w:rFonts w:hint="default"/>
                <w:sz w:val="21"/>
                <w:szCs w:val="21"/>
              </w:rPr>
            </w:pPr>
            <w:r>
              <w:rPr>
                <w:sz w:val="21"/>
                <w:szCs w:val="21"/>
              </w:rPr>
              <w:t>≤0.40</w:t>
            </w:r>
          </w:p>
        </w:tc>
        <w:tc>
          <w:tcPr>
            <w:tcW w:w="1543" w:type="dxa"/>
            <w:tcBorders>
              <w:top w:val="single" w:color="auto" w:sz="4" w:space="0"/>
              <w:left w:val="single" w:color="auto" w:sz="4" w:space="0"/>
              <w:bottom w:val="single" w:color="auto" w:sz="4" w:space="0"/>
              <w:right w:val="single" w:color="auto" w:sz="12" w:space="0"/>
            </w:tcBorders>
            <w:shd w:val="clear" w:color="auto" w:fill="auto"/>
            <w:vAlign w:val="center"/>
          </w:tcPr>
          <w:p w14:paraId="37A0559D">
            <w:pPr>
              <w:pStyle w:val="27"/>
              <w:widowControl/>
              <w:jc w:val="center"/>
              <w:rPr>
                <w:rFonts w:hint="default"/>
                <w:sz w:val="21"/>
                <w:szCs w:val="21"/>
              </w:rPr>
            </w:pPr>
            <w:r>
              <w:rPr>
                <w:sz w:val="21"/>
                <w:szCs w:val="21"/>
              </w:rPr>
              <w:t>≤0.80</w:t>
            </w:r>
          </w:p>
        </w:tc>
      </w:tr>
      <w:tr w14:paraId="521CF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tcBorders>
              <w:top w:val="single" w:color="auto" w:sz="4" w:space="0"/>
              <w:left w:val="single" w:color="auto" w:sz="12" w:space="0"/>
              <w:bottom w:val="single" w:color="auto" w:sz="4" w:space="0"/>
              <w:right w:val="single" w:color="auto" w:sz="4" w:space="0"/>
            </w:tcBorders>
            <w:shd w:val="clear" w:color="auto" w:fill="auto"/>
            <w:vAlign w:val="center"/>
          </w:tcPr>
          <w:p w14:paraId="51CADCC2">
            <w:pPr>
              <w:pStyle w:val="27"/>
              <w:widowControl/>
              <w:jc w:val="center"/>
              <w:rPr>
                <w:rFonts w:hint="default"/>
                <w:sz w:val="21"/>
                <w:szCs w:val="21"/>
              </w:rPr>
            </w:pPr>
            <w:r>
              <w:rPr>
                <w:sz w:val="21"/>
                <w:szCs w:val="21"/>
              </w:rPr>
              <w:t>底面接触室外空气的架空或外挑楼板</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6E83D205">
            <w:pPr>
              <w:pStyle w:val="27"/>
              <w:widowControl/>
              <w:jc w:val="center"/>
              <w:rPr>
                <w:rFonts w:hint="default"/>
                <w:sz w:val="21"/>
                <w:szCs w:val="21"/>
              </w:rPr>
            </w:pPr>
            <w:r>
              <w:rPr>
                <w:sz w:val="21"/>
                <w:szCs w:val="21"/>
              </w:rPr>
              <w:t>≤0.80</w:t>
            </w:r>
          </w:p>
        </w:tc>
      </w:tr>
      <w:tr w14:paraId="6066A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tcBorders>
              <w:top w:val="single" w:color="auto" w:sz="4" w:space="0"/>
              <w:left w:val="single" w:color="auto" w:sz="12" w:space="0"/>
              <w:bottom w:val="single" w:color="auto" w:sz="4" w:space="0"/>
              <w:right w:val="single" w:color="auto" w:sz="4" w:space="0"/>
            </w:tcBorders>
            <w:shd w:val="clear" w:color="auto" w:fill="auto"/>
            <w:vAlign w:val="center"/>
          </w:tcPr>
          <w:p w14:paraId="3C6172CE">
            <w:pPr>
              <w:pStyle w:val="27"/>
              <w:widowControl/>
              <w:jc w:val="center"/>
              <w:rPr>
                <w:rFonts w:hint="default"/>
                <w:sz w:val="21"/>
                <w:szCs w:val="21"/>
              </w:rPr>
            </w:pPr>
            <w:r>
              <w:rPr>
                <w:sz w:val="21"/>
                <w:szCs w:val="21"/>
              </w:rPr>
              <w:t>分户墙、楼梯间隔墙、外走廊隔墙</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017E2BE5">
            <w:pPr>
              <w:pStyle w:val="27"/>
              <w:widowControl/>
              <w:jc w:val="center"/>
              <w:rPr>
                <w:rFonts w:hint="default"/>
                <w:sz w:val="21"/>
                <w:szCs w:val="21"/>
              </w:rPr>
            </w:pPr>
            <w:r>
              <w:rPr>
                <w:sz w:val="21"/>
                <w:szCs w:val="21"/>
              </w:rPr>
              <w:t>≤1.20</w:t>
            </w:r>
          </w:p>
        </w:tc>
      </w:tr>
      <w:tr w14:paraId="2D617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tcBorders>
              <w:top w:val="single" w:color="auto" w:sz="4" w:space="0"/>
              <w:left w:val="single" w:color="auto" w:sz="12" w:space="0"/>
              <w:bottom w:val="single" w:color="auto" w:sz="4" w:space="0"/>
              <w:right w:val="single" w:color="auto" w:sz="4" w:space="0"/>
            </w:tcBorders>
            <w:shd w:val="clear" w:color="auto" w:fill="auto"/>
            <w:vAlign w:val="center"/>
          </w:tcPr>
          <w:p w14:paraId="5D5F6042">
            <w:pPr>
              <w:pStyle w:val="27"/>
              <w:widowControl/>
              <w:jc w:val="center"/>
              <w:rPr>
                <w:rFonts w:hint="default"/>
                <w:sz w:val="21"/>
                <w:szCs w:val="21"/>
              </w:rPr>
            </w:pPr>
            <w:r>
              <w:rPr>
                <w:sz w:val="21"/>
                <w:szCs w:val="21"/>
              </w:rPr>
              <w:t>分户楼板</w:t>
            </w:r>
          </w:p>
        </w:tc>
        <w:tc>
          <w:tcPr>
            <w:tcW w:w="3310"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14:paraId="2EFCA562">
            <w:pPr>
              <w:pStyle w:val="27"/>
              <w:widowControl/>
              <w:jc w:val="center"/>
              <w:rPr>
                <w:rFonts w:hint="default"/>
                <w:sz w:val="21"/>
                <w:szCs w:val="21"/>
              </w:rPr>
            </w:pPr>
            <w:r>
              <w:rPr>
                <w:sz w:val="21"/>
                <w:szCs w:val="21"/>
              </w:rPr>
              <w:t>≤1.20</w:t>
            </w:r>
          </w:p>
        </w:tc>
      </w:tr>
      <w:tr w14:paraId="78253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356" w:type="dxa"/>
            <w:tcBorders>
              <w:top w:val="single" w:color="auto" w:sz="4" w:space="0"/>
              <w:left w:val="single" w:color="auto" w:sz="12" w:space="0"/>
              <w:bottom w:val="single" w:color="auto" w:sz="12" w:space="0"/>
              <w:right w:val="single" w:color="auto" w:sz="4" w:space="0"/>
            </w:tcBorders>
            <w:shd w:val="clear" w:color="auto" w:fill="auto"/>
            <w:vAlign w:val="center"/>
          </w:tcPr>
          <w:p w14:paraId="106689EF">
            <w:pPr>
              <w:pStyle w:val="27"/>
              <w:widowControl/>
              <w:jc w:val="center"/>
              <w:rPr>
                <w:rFonts w:hint="default"/>
                <w:sz w:val="21"/>
                <w:szCs w:val="21"/>
              </w:rPr>
            </w:pPr>
            <w:r>
              <w:rPr>
                <w:sz w:val="21"/>
                <w:szCs w:val="21"/>
              </w:rPr>
              <w:t>户门</w:t>
            </w:r>
          </w:p>
        </w:tc>
        <w:tc>
          <w:tcPr>
            <w:tcW w:w="3310"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48C63D29">
            <w:pPr>
              <w:pStyle w:val="27"/>
              <w:widowControl/>
              <w:jc w:val="center"/>
              <w:rPr>
                <w:rFonts w:hint="default"/>
                <w:sz w:val="21"/>
                <w:szCs w:val="21"/>
              </w:rPr>
            </w:pPr>
            <w:r>
              <w:rPr>
                <w:sz w:val="21"/>
                <w:szCs w:val="21"/>
              </w:rPr>
              <w:t>≤2.00</w:t>
            </w:r>
          </w:p>
        </w:tc>
      </w:tr>
    </w:tbl>
    <w:p w14:paraId="4685F10B">
      <w:pPr>
        <w:pStyle w:val="27"/>
        <w:widowControl/>
        <w:spacing w:before="156" w:beforeLines="50" w:after="156" w:afterLines="50"/>
        <w:jc w:val="center"/>
        <w:rPr>
          <w:rFonts w:hint="default"/>
          <w:b/>
          <w:bCs/>
          <w:sz w:val="21"/>
          <w:szCs w:val="21"/>
        </w:rPr>
      </w:pPr>
      <w:r>
        <w:rPr>
          <w:b/>
          <w:bCs/>
          <w:sz w:val="21"/>
          <w:szCs w:val="21"/>
        </w:rPr>
        <w:t>表4.3.1-10 温和B区居住建筑围护结构热工性能参数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4673"/>
        <w:gridCol w:w="2993"/>
      </w:tblGrid>
      <w:tr w14:paraId="73EA7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12" w:space="0"/>
              <w:left w:val="single" w:color="auto" w:sz="12" w:space="0"/>
              <w:bottom w:val="single" w:color="auto" w:sz="4" w:space="0"/>
              <w:right w:val="single" w:color="auto" w:sz="4" w:space="0"/>
            </w:tcBorders>
            <w:shd w:val="clear" w:color="auto" w:fill="auto"/>
            <w:vAlign w:val="center"/>
          </w:tcPr>
          <w:p w14:paraId="1B7D1155">
            <w:pPr>
              <w:pStyle w:val="27"/>
              <w:widowControl/>
              <w:jc w:val="center"/>
              <w:rPr>
                <w:rFonts w:hint="default"/>
                <w:sz w:val="21"/>
                <w:szCs w:val="21"/>
              </w:rPr>
            </w:pPr>
            <w:r>
              <w:rPr>
                <w:sz w:val="21"/>
                <w:szCs w:val="21"/>
              </w:rPr>
              <w:t>围护结构部位</w:t>
            </w:r>
          </w:p>
        </w:tc>
        <w:tc>
          <w:tcPr>
            <w:tcW w:w="2993" w:type="dxa"/>
            <w:tcBorders>
              <w:top w:val="single" w:color="auto" w:sz="12" w:space="0"/>
              <w:left w:val="single" w:color="auto" w:sz="4" w:space="0"/>
              <w:bottom w:val="single" w:color="auto" w:sz="4" w:space="0"/>
              <w:right w:val="single" w:color="auto" w:sz="12" w:space="0"/>
            </w:tcBorders>
            <w:shd w:val="clear" w:color="auto" w:fill="auto"/>
            <w:vAlign w:val="center"/>
          </w:tcPr>
          <w:p w14:paraId="280EB7A8">
            <w:pPr>
              <w:pStyle w:val="27"/>
              <w:widowControl/>
              <w:jc w:val="center"/>
              <w:rPr>
                <w:rFonts w:hint="default"/>
                <w:sz w:val="21"/>
                <w:szCs w:val="21"/>
              </w:rPr>
            </w:pPr>
            <w:r>
              <w:rPr>
                <w:sz w:val="21"/>
                <w:szCs w:val="21"/>
              </w:rPr>
              <w:t>传热系数</w:t>
            </w:r>
          </w:p>
          <w:p w14:paraId="57A87056">
            <w:pPr>
              <w:pStyle w:val="27"/>
              <w:widowControl/>
              <w:jc w:val="center"/>
              <w:rPr>
                <w:rFonts w:hint="default"/>
                <w:sz w:val="21"/>
                <w:szCs w:val="21"/>
              </w:rPr>
            </w:pPr>
            <w:r>
              <w:rPr>
                <w:sz w:val="21"/>
                <w:szCs w:val="21"/>
              </w:rPr>
              <w:t>K [</w:t>
            </w:r>
            <w:r>
              <w:rPr>
                <w:position w:val="-8"/>
                <w:sz w:val="21"/>
                <w:szCs w:val="21"/>
              </w:rPr>
              <w:object>
                <v:shape id="_x0000_i1044"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44" DrawAspect="Content" ObjectID="_1468075744" r:id="rId32">
                  <o:LockedField>false</o:LockedField>
                </o:OLEObject>
              </w:object>
            </w:r>
            <w:r>
              <w:rPr>
                <w:sz w:val="21"/>
                <w:szCs w:val="21"/>
              </w:rPr>
              <w:t>]</w:t>
            </w:r>
          </w:p>
        </w:tc>
      </w:tr>
      <w:tr w14:paraId="01851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4" w:space="0"/>
              <w:right w:val="single" w:color="auto" w:sz="4" w:space="0"/>
            </w:tcBorders>
            <w:shd w:val="clear" w:color="auto" w:fill="auto"/>
            <w:vAlign w:val="center"/>
          </w:tcPr>
          <w:p w14:paraId="05085D8D">
            <w:pPr>
              <w:pStyle w:val="27"/>
              <w:widowControl/>
              <w:jc w:val="center"/>
              <w:rPr>
                <w:rFonts w:hint="default"/>
                <w:sz w:val="21"/>
                <w:szCs w:val="21"/>
              </w:rPr>
            </w:pPr>
            <w:r>
              <w:rPr>
                <w:sz w:val="21"/>
                <w:szCs w:val="21"/>
              </w:rPr>
              <w:t>屋面</w:t>
            </w:r>
          </w:p>
        </w:tc>
        <w:tc>
          <w:tcPr>
            <w:tcW w:w="2993" w:type="dxa"/>
            <w:tcBorders>
              <w:top w:val="single" w:color="auto" w:sz="4" w:space="0"/>
              <w:left w:val="single" w:color="auto" w:sz="4" w:space="0"/>
              <w:bottom w:val="single" w:color="auto" w:sz="4" w:space="0"/>
              <w:right w:val="single" w:color="auto" w:sz="12" w:space="0"/>
            </w:tcBorders>
            <w:shd w:val="clear" w:color="auto" w:fill="auto"/>
            <w:vAlign w:val="center"/>
          </w:tcPr>
          <w:p w14:paraId="2CF9AD96">
            <w:pPr>
              <w:pStyle w:val="27"/>
              <w:widowControl/>
              <w:jc w:val="center"/>
              <w:rPr>
                <w:rFonts w:hint="default"/>
                <w:sz w:val="21"/>
                <w:szCs w:val="21"/>
              </w:rPr>
            </w:pPr>
            <w:r>
              <w:rPr>
                <w:sz w:val="21"/>
                <w:szCs w:val="21"/>
              </w:rPr>
              <w:t>≤0.60</w:t>
            </w:r>
          </w:p>
        </w:tc>
      </w:tr>
      <w:tr w14:paraId="1BA37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4673" w:type="dxa"/>
            <w:tcBorders>
              <w:top w:val="single" w:color="auto" w:sz="4" w:space="0"/>
              <w:left w:val="single" w:color="auto" w:sz="12" w:space="0"/>
              <w:bottom w:val="single" w:color="auto" w:sz="12" w:space="0"/>
              <w:right w:val="single" w:color="auto" w:sz="4" w:space="0"/>
            </w:tcBorders>
            <w:shd w:val="clear" w:color="auto" w:fill="auto"/>
            <w:vAlign w:val="center"/>
          </w:tcPr>
          <w:p w14:paraId="691B363C">
            <w:pPr>
              <w:pStyle w:val="27"/>
              <w:widowControl/>
              <w:jc w:val="center"/>
              <w:rPr>
                <w:rFonts w:hint="default"/>
                <w:sz w:val="21"/>
                <w:szCs w:val="21"/>
              </w:rPr>
            </w:pPr>
            <w:r>
              <w:rPr>
                <w:sz w:val="21"/>
                <w:szCs w:val="21"/>
              </w:rPr>
              <w:t>外墙</w:t>
            </w:r>
          </w:p>
        </w:tc>
        <w:tc>
          <w:tcPr>
            <w:tcW w:w="2993" w:type="dxa"/>
            <w:tcBorders>
              <w:top w:val="single" w:color="auto" w:sz="4" w:space="0"/>
              <w:left w:val="single" w:color="auto" w:sz="4" w:space="0"/>
              <w:bottom w:val="single" w:color="auto" w:sz="12" w:space="0"/>
              <w:right w:val="single" w:color="auto" w:sz="12" w:space="0"/>
            </w:tcBorders>
            <w:shd w:val="clear" w:color="auto" w:fill="auto"/>
            <w:vAlign w:val="center"/>
          </w:tcPr>
          <w:p w14:paraId="53FC9315">
            <w:pPr>
              <w:pStyle w:val="27"/>
              <w:widowControl/>
              <w:jc w:val="center"/>
              <w:rPr>
                <w:rFonts w:hint="default"/>
                <w:sz w:val="21"/>
                <w:szCs w:val="21"/>
              </w:rPr>
            </w:pPr>
            <w:r>
              <w:rPr>
                <w:sz w:val="21"/>
                <w:szCs w:val="21"/>
              </w:rPr>
              <w:t>≤0.80</w:t>
            </w:r>
          </w:p>
        </w:tc>
      </w:tr>
    </w:tbl>
    <w:p w14:paraId="69539C19">
      <w:pPr>
        <w:pStyle w:val="27"/>
        <w:widowControl/>
        <w:spacing w:line="26" w:lineRule="atLeast"/>
        <w:rPr>
          <w:rFonts w:hint="default"/>
          <w:color w:val="8FAADB"/>
        </w:rPr>
      </w:pPr>
      <w:r>
        <w:rPr>
          <w:b/>
          <w:bCs/>
          <w:color w:val="8FAADB"/>
          <w:szCs w:val="24"/>
        </w:rPr>
        <w:t>【条文说明】</w:t>
      </w:r>
      <w:r>
        <w:rPr>
          <w:color w:val="8FAADB"/>
        </w:rPr>
        <w:t>建筑外围护结构的热工性能参数是决定建筑节能效果的关键因素。相较于普通居住建筑，超低能耗居住建筑显著提升了节能标准，其关键特征之一在于采用了保温隔热性能更优的围护结构。为了响应《建筑节能与可再生能源利用通用规范》GB55015-2021的要求，并针对超低能耗居住建筑的特殊节能需求，本条所列的各项指标在遵循该规范的基础上进行了适应性调整与提升。</w:t>
      </w:r>
    </w:p>
    <w:p w14:paraId="479848BE">
      <w:pPr>
        <w:pStyle w:val="27"/>
        <w:widowControl/>
        <w:rPr>
          <w:rFonts w:hint="default"/>
        </w:rPr>
      </w:pPr>
      <w:r>
        <w:rPr>
          <w:rFonts w:hint="default" w:ascii="Times New Roman" w:hAnsi="Times New Roman"/>
          <w:b/>
          <w:bCs/>
        </w:rPr>
        <w:t xml:space="preserve">4.3.2  </w:t>
      </w:r>
      <w:r>
        <w:t>屋面与外墙的保温设计应确保其连续性和完整性，兼顾安全、质量和经济性，最大限度减少无保温部位。在难以避免无保温部位的情况下，应采取热桥保温措施，且此类措施的实施范围应符合本标准第4.3.9条的规定。</w:t>
      </w:r>
    </w:p>
    <w:p w14:paraId="382B7CD0">
      <w:pPr>
        <w:pStyle w:val="27"/>
        <w:widowControl/>
        <w:spacing w:line="26" w:lineRule="atLeast"/>
        <w:rPr>
          <w:rFonts w:hint="default"/>
          <w:color w:val="8FAADB"/>
        </w:rPr>
      </w:pPr>
      <w:r>
        <w:rPr>
          <w:b/>
          <w:bCs/>
          <w:color w:val="8FAADB"/>
          <w:szCs w:val="24"/>
        </w:rPr>
        <w:t>【条文说明】</w:t>
      </w:r>
      <w:r>
        <w:rPr>
          <w:color w:val="8FAADB"/>
        </w:rPr>
        <w:t>外保温的连续是避免能量从保温薄弱部位传递的必要措施，极少热桥的设计是超低能耗居住建筑的基本特点之一。但是在现有技术条件且需要兼顾安全、质量、经济的前提下，若要做到绝对无热桥设计是几乎不可能实现的，所以，在进行外围护结构保温设计时，应兼顾各种因素，尽量避免出现无保温部位。</w:t>
      </w:r>
    </w:p>
    <w:p w14:paraId="775FFE97">
      <w:pPr>
        <w:pStyle w:val="27"/>
        <w:widowControl/>
        <w:rPr>
          <w:rFonts w:hint="default"/>
        </w:rPr>
      </w:pPr>
      <w:r>
        <w:rPr>
          <w:rFonts w:hint="default" w:ascii="Times New Roman" w:hAnsi="Times New Roman"/>
          <w:b/>
          <w:bCs/>
        </w:rPr>
        <w:t xml:space="preserve">4.3.3  </w:t>
      </w:r>
      <w:r>
        <w:t>保温材料外应设有防止室外雨水、雪水及室内水汽侵入保温层的有效措施。外墙外保温层外侧的防护层应具备透汽性能，以利于保温层内水汽排出。若采用无透汽性的防护材料，必须采用专门构造措施释放保温层内积聚的水汽。屋面防水构造宜采用保温与防水同步或一体化施工方式，同时应提供应对施工期间天气变化的应急技术预案。若不具备同步施工条件，必须设置释放保温层内水汽的构造措施。</w:t>
      </w:r>
    </w:p>
    <w:p w14:paraId="38B6EE8D">
      <w:pPr>
        <w:pStyle w:val="27"/>
        <w:widowControl/>
        <w:spacing w:line="26" w:lineRule="atLeast"/>
        <w:rPr>
          <w:rFonts w:hint="default"/>
          <w:color w:val="8FAADB"/>
        </w:rPr>
      </w:pPr>
      <w:r>
        <w:rPr>
          <w:b/>
          <w:bCs/>
          <w:color w:val="8FAADB"/>
          <w:szCs w:val="24"/>
        </w:rPr>
        <w:t>【条文说明】</w:t>
      </w:r>
      <w:r>
        <w:rPr>
          <w:color w:val="8FAADB"/>
        </w:rPr>
        <w:t>保温层内一点有水侵入或水汽含量增加，其保温性能将会明显降低，所以，不论是用于什么部位的保温材料，均应避免侵入水分或水汽。在实际施工过程中，由于土建基层材料中的水分完全释放需要很长时间，所以，一方面要防止保温材料外部的水分或水汽侵入，另一方面，还要能够释放从主体结构中渗透到保温材料内的水汽。如果长期得不到释放，不仅降低保温材料的保温性能，还可能因为保温内部的气压在高温天气增加而产生保温层与基层剥离、涨破保温层外的防水层等质量问题。当屋面保温和防水同步或一体化施工时，可以很好地避免保温材料内进入水分或水汽，所以，此时可以不考虑保温层内有水汽需要释放，反之则容易产生上述主体内水汽进入保温层内的现象，相应则需要有释放保温层内水汽的构造措施。</w:t>
      </w:r>
    </w:p>
    <w:p w14:paraId="5CEA6F43">
      <w:pPr>
        <w:pStyle w:val="27"/>
        <w:widowControl/>
        <w:rPr>
          <w:rFonts w:hint="default"/>
        </w:rPr>
      </w:pPr>
      <w:r>
        <w:rPr>
          <w:rFonts w:hint="default" w:ascii="Times New Roman" w:hAnsi="Times New Roman"/>
          <w:b/>
          <w:bCs/>
        </w:rPr>
        <w:t xml:space="preserve">4.3.4  </w:t>
      </w:r>
      <w:r>
        <w:t>当雨水较多地区的保温构造采用倒置式保温构造时，保温层外部至少应设一道防水层，保温层与结构层之间的防水层设置应满足现行国家标准《建筑与市政工程防水通用规范》GB55030的规定，且应有释放保温层内水汽的技术措施。</w:t>
      </w:r>
    </w:p>
    <w:p w14:paraId="28BB4797">
      <w:pPr>
        <w:pStyle w:val="27"/>
        <w:widowControl/>
        <w:spacing w:line="26" w:lineRule="atLeast"/>
        <w:rPr>
          <w:rFonts w:hint="default"/>
          <w:color w:val="8FAADB"/>
        </w:rPr>
      </w:pPr>
      <w:r>
        <w:rPr>
          <w:b/>
          <w:bCs/>
          <w:color w:val="8FAADB"/>
          <w:szCs w:val="24"/>
        </w:rPr>
        <w:t>【条文说明】</w:t>
      </w:r>
      <w:r>
        <w:rPr>
          <w:color w:val="8FAADB"/>
        </w:rPr>
        <w:t>倒置式屋面与正置式屋面相比，倒置式屋面的显著优点是防水质量更容易保证，而防水质量是房屋质量问题中最受各界关注的问题，所以，在很多降水量大的地区往往更希望采用倒置式屋面。从围护结构保温性能的角度而言，若倒置式屋面的保温层外部无任何防水措施，尽管保温材料的吸水率较低，但较多的雨水会进入保温板材之间、保温板材与基层之间的缝隙，相应则会产生较多的热桥效应。</w:t>
      </w:r>
    </w:p>
    <w:p w14:paraId="33B63510">
      <w:pPr>
        <w:pStyle w:val="27"/>
        <w:widowControl/>
        <w:rPr>
          <w:rFonts w:hint="default"/>
        </w:rPr>
      </w:pPr>
      <w:r>
        <w:rPr>
          <w:rFonts w:hint="default" w:ascii="Times New Roman" w:hAnsi="Times New Roman"/>
          <w:b/>
          <w:bCs/>
        </w:rPr>
        <w:t xml:space="preserve">4.3.5  </w:t>
      </w:r>
      <w:r>
        <w:t>在冬季采暖期室外平均温度低于2℃的地区，采用倒置式保温构造时，应强化保温层外侧的防水措施，以有效防止雨雪水渗透至保温层。</w:t>
      </w:r>
    </w:p>
    <w:p w14:paraId="701E6C0B">
      <w:pPr>
        <w:pStyle w:val="27"/>
        <w:widowControl/>
        <w:spacing w:line="26" w:lineRule="atLeast"/>
        <w:rPr>
          <w:rFonts w:hint="default"/>
          <w:color w:val="8FAADB"/>
        </w:rPr>
      </w:pPr>
      <w:r>
        <w:rPr>
          <w:b/>
          <w:bCs/>
          <w:color w:val="8FAADB"/>
          <w:szCs w:val="24"/>
        </w:rPr>
        <w:t>【条文说明】</w:t>
      </w:r>
      <w:r>
        <w:rPr>
          <w:color w:val="8FAADB"/>
        </w:rPr>
        <w:t>采暖期室外平均温度低于2℃的度的地区往往伴随着较多时间的结冰天气，一道防水层的防水可靠性是较低的，一旦这一道防水层损坏导致雨雪水进入，则会进一步导致冻涨现象对防水层和保温层破坏，并形成恶性循环。所以，本条对采暖期室外平均气温低于2℃的地区提出了强化保温层外侧防水的要求。强化保温层外侧的防水措施，如增加保温层厚度或层数、加大排水坡度、对保护层的缝隙采取密封措施等。</w:t>
      </w:r>
    </w:p>
    <w:p w14:paraId="5A23DBE7">
      <w:pPr>
        <w:pStyle w:val="27"/>
        <w:widowControl/>
        <w:rPr>
          <w:rFonts w:hint="default"/>
        </w:rPr>
      </w:pPr>
      <w:r>
        <w:rPr>
          <w:rFonts w:hint="default" w:ascii="Times New Roman" w:hAnsi="Times New Roman"/>
          <w:b/>
          <w:bCs/>
        </w:rPr>
        <w:t xml:space="preserve">4.3.6  </w:t>
      </w:r>
      <w:r>
        <w:t>外围护结构保温系统应优先按外保温设计。</w:t>
      </w:r>
    </w:p>
    <w:p w14:paraId="2CB81B24">
      <w:pPr>
        <w:pStyle w:val="27"/>
        <w:widowControl/>
        <w:spacing w:line="26" w:lineRule="atLeast"/>
        <w:rPr>
          <w:rFonts w:hint="default"/>
          <w:color w:val="8FAADB"/>
        </w:rPr>
      </w:pPr>
      <w:r>
        <w:rPr>
          <w:b/>
          <w:bCs/>
          <w:color w:val="8FAADB"/>
          <w:szCs w:val="24"/>
        </w:rPr>
        <w:t>【条文说明】</w:t>
      </w:r>
      <w:r>
        <w:rPr>
          <w:color w:val="8FAADB"/>
        </w:rPr>
        <w:t>外保温体系不仅容易减少热桥面积，也会使主体结构材料的蓄热能力得到充分发挥，有利于室内热环境稳定，所以，应优先按外保温体系设计。但是，实际设计工作中也有一些特殊情况无法做外保温，或者外保温会带来结构设计难度的情况，例如，因结构构件不能转折，且因其他因素结构构件无法退让出保温所需空间的情况。所以，本条提出优先按外保温体系设计，出现无法避免的局部保温可以按内保温设计。</w:t>
      </w:r>
    </w:p>
    <w:p w14:paraId="2DF5EEF9">
      <w:pPr>
        <w:pStyle w:val="27"/>
        <w:widowControl/>
        <w:rPr>
          <w:rFonts w:hint="default"/>
        </w:rPr>
      </w:pPr>
      <w:r>
        <w:rPr>
          <w:rFonts w:hint="default" w:ascii="Times New Roman" w:hAnsi="Times New Roman"/>
          <w:b/>
          <w:bCs/>
        </w:rPr>
        <w:t xml:space="preserve">4.3.7  </w:t>
      </w:r>
      <w:r>
        <w:t>外围护结构保温性能计算时应根据建筑外墙做法特点考虑热桥对保温整体性能及局部内表面温度的影响，尽可能避免或减少热桥，当无法完全避免热桥时，应按附录B要求对外围护结构的热工性能进行进一步修正。</w:t>
      </w:r>
    </w:p>
    <w:p w14:paraId="4EDD9774">
      <w:pPr>
        <w:pStyle w:val="27"/>
        <w:widowControl/>
        <w:spacing w:line="26" w:lineRule="atLeast"/>
        <w:rPr>
          <w:rFonts w:hint="default"/>
          <w:color w:val="8FAADB"/>
        </w:rPr>
      </w:pPr>
      <w:r>
        <w:rPr>
          <w:b/>
          <w:bCs/>
          <w:color w:val="8FAADB"/>
          <w:szCs w:val="24"/>
        </w:rPr>
        <w:t>【条文说明】</w:t>
      </w:r>
      <w:r>
        <w:rPr>
          <w:color w:val="8FAADB"/>
        </w:rPr>
        <w:t>热桥对外围护结构的保温性能有着较大的不利影响，而且，现实设计中大量存在着因各种客观原因存在热桥的情况。实际设计过程中，由于缺少对热桥面积规模的量化约束，导致执行时凭主观判断的情况大量存在，也导致争议时有发生。为了减少争议，本条规定按附录B对不同规模比例的热桥情况的热工计算进行进一步修正。</w:t>
      </w:r>
    </w:p>
    <w:p w14:paraId="2608248B">
      <w:pPr>
        <w:pStyle w:val="27"/>
        <w:widowControl/>
        <w:rPr>
          <w:rFonts w:hint="default"/>
        </w:rPr>
      </w:pPr>
      <w:r>
        <w:rPr>
          <w:rFonts w:hint="default" w:ascii="Times New Roman" w:hAnsi="Times New Roman"/>
          <w:b/>
          <w:bCs/>
        </w:rPr>
        <w:t xml:space="preserve">4.3.8  </w:t>
      </w:r>
      <w:r>
        <w:rPr>
          <w:rFonts w:hint="default" w:ascii="Helvetica" w:hAnsi="Helvetica" w:eastAsia="Helvetica" w:cs="Helvetica"/>
          <w:color w:val="1F2328"/>
          <w:szCs w:val="24"/>
          <w:shd w:val="clear" w:color="auto" w:fill="FFFFFF"/>
        </w:rPr>
        <w:t>对于非因技术原因无法实施热传导阻断措施的热桥部位，应采取热传导阻断措施，并进行专项的热桥消除或削弱设计</w:t>
      </w:r>
      <w:r>
        <w:t>。</w:t>
      </w:r>
    </w:p>
    <w:p w14:paraId="216EB573">
      <w:pPr>
        <w:pStyle w:val="27"/>
        <w:widowControl/>
        <w:spacing w:line="26" w:lineRule="atLeast"/>
        <w:rPr>
          <w:rFonts w:hint="default"/>
          <w:color w:val="8FAADB"/>
        </w:rPr>
      </w:pPr>
      <w:r>
        <w:rPr>
          <w:b/>
          <w:bCs/>
          <w:color w:val="8FAADB"/>
          <w:szCs w:val="24"/>
        </w:rPr>
        <w:t>【条文说明】</w:t>
      </w:r>
      <w:r>
        <w:rPr>
          <w:color w:val="8FAADB"/>
        </w:rPr>
        <w:t>消除或削弱热桥的设计是保温工程中一项关键且细致的任务。传统保温设计往往采用笼统的表述方法，易于忽略局部细节，导致建成后的建筑存在大量未在设计阶段预见的热桥现象。因此，本规定强调应对热桥部位进行专项的消除或削弱设计。</w:t>
      </w:r>
    </w:p>
    <w:p w14:paraId="2F33C529">
      <w:pPr>
        <w:pStyle w:val="27"/>
        <w:widowControl/>
        <w:spacing w:line="26" w:lineRule="atLeast"/>
        <w:ind w:firstLine="480" w:firstLineChars="200"/>
        <w:rPr>
          <w:rFonts w:hint="default"/>
          <w:color w:val="8FAADB"/>
        </w:rPr>
      </w:pPr>
      <w:r>
        <w:rPr>
          <w:color w:val="8FAADB"/>
        </w:rPr>
        <w:t>热桥处理应遵循以下原则：</w:t>
      </w:r>
    </w:p>
    <w:p w14:paraId="701F7B33">
      <w:pPr>
        <w:widowControl/>
        <w:adjustRightInd w:val="0"/>
        <w:snapToGrid w:val="0"/>
        <w:spacing w:line="26" w:lineRule="atLeast"/>
        <w:ind w:left="360" w:firstLine="480" w:firstLineChars="200"/>
        <w:rPr>
          <w:rFonts w:ascii="宋体" w:hAnsi="宋体" w:eastAsia="宋体" w:cs="宋体"/>
          <w:color w:val="8FAADB"/>
          <w:sz w:val="24"/>
          <w:szCs w:val="28"/>
        </w:rPr>
      </w:pPr>
      <w:r>
        <w:rPr>
          <w:rFonts w:hint="eastAsia" w:ascii="宋体" w:hAnsi="宋体" w:eastAsia="宋体" w:cs="宋体"/>
          <w:color w:val="8FAADB"/>
          <w:sz w:val="24"/>
          <w:szCs w:val="28"/>
          <w:lang w:bidi="ar"/>
        </w:rPr>
        <w:t>1  尽可能减少不利的几何形态热桥，如外挑热桥构件；</w:t>
      </w:r>
    </w:p>
    <w:p w14:paraId="02C65468">
      <w:pPr>
        <w:widowControl/>
        <w:adjustRightInd w:val="0"/>
        <w:snapToGrid w:val="0"/>
        <w:spacing w:line="26" w:lineRule="atLeast"/>
        <w:ind w:left="360" w:firstLine="480" w:firstLineChars="200"/>
        <w:rPr>
          <w:rFonts w:ascii="宋体" w:hAnsi="宋体" w:eastAsia="宋体" w:cs="宋体"/>
          <w:color w:val="8FAADB"/>
          <w:sz w:val="24"/>
          <w:szCs w:val="28"/>
        </w:rPr>
      </w:pPr>
      <w:r>
        <w:rPr>
          <w:rFonts w:hint="eastAsia" w:ascii="宋体" w:hAnsi="宋体" w:eastAsia="宋体" w:cs="宋体"/>
          <w:color w:val="8FAADB"/>
          <w:sz w:val="24"/>
          <w:szCs w:val="28"/>
          <w:lang w:bidi="ar"/>
        </w:rPr>
        <w:t>2  避免形成穿透式热桥；</w:t>
      </w:r>
    </w:p>
    <w:p w14:paraId="0DA0DD72">
      <w:pPr>
        <w:widowControl/>
        <w:adjustRightInd w:val="0"/>
        <w:snapToGrid w:val="0"/>
        <w:spacing w:line="26" w:lineRule="atLeast"/>
        <w:ind w:left="360" w:firstLine="480" w:firstLineChars="200"/>
        <w:rPr>
          <w:rFonts w:ascii="宋体" w:hAnsi="宋体" w:eastAsia="宋体" w:cs="宋体"/>
          <w:color w:val="8FAADB"/>
          <w:sz w:val="24"/>
          <w:szCs w:val="28"/>
        </w:rPr>
      </w:pPr>
      <w:r>
        <w:rPr>
          <w:rFonts w:hint="eastAsia" w:ascii="宋体" w:hAnsi="宋体" w:eastAsia="宋体" w:cs="宋体"/>
          <w:color w:val="8FAADB"/>
          <w:sz w:val="24"/>
          <w:szCs w:val="28"/>
          <w:lang w:bidi="ar"/>
        </w:rPr>
        <w:t>3  选用高热阻性能的保温材料；</w:t>
      </w:r>
    </w:p>
    <w:p w14:paraId="6F5C12B7">
      <w:pPr>
        <w:widowControl/>
        <w:adjustRightInd w:val="0"/>
        <w:snapToGrid w:val="0"/>
        <w:spacing w:line="26" w:lineRule="atLeast"/>
        <w:ind w:left="360" w:firstLine="480" w:firstLineChars="200"/>
        <w:rPr>
          <w:rFonts w:ascii="宋体" w:hAnsi="宋体" w:eastAsia="宋体" w:cs="宋体"/>
          <w:color w:val="8FAADB"/>
          <w:sz w:val="24"/>
          <w:szCs w:val="28"/>
        </w:rPr>
      </w:pPr>
      <w:r>
        <w:rPr>
          <w:rFonts w:hint="eastAsia" w:ascii="宋体" w:hAnsi="宋体" w:eastAsia="宋体" w:cs="宋体"/>
          <w:color w:val="8FAADB"/>
          <w:sz w:val="24"/>
          <w:szCs w:val="28"/>
          <w:lang w:bidi="ar"/>
        </w:rPr>
        <w:t>4  用保温材料妥善包裹热桥区域；</w:t>
      </w:r>
    </w:p>
    <w:p w14:paraId="3A46DF15">
      <w:pPr>
        <w:widowControl/>
        <w:adjustRightInd w:val="0"/>
        <w:snapToGrid w:val="0"/>
        <w:spacing w:line="26" w:lineRule="atLeast"/>
        <w:ind w:left="360" w:firstLine="480" w:firstLineChars="200"/>
        <w:rPr>
          <w:rFonts w:ascii="宋体" w:hAnsi="宋体" w:eastAsia="宋体" w:cs="宋体"/>
          <w:color w:val="8FAADB"/>
          <w:sz w:val="24"/>
          <w:szCs w:val="28"/>
        </w:rPr>
      </w:pPr>
      <w:r>
        <w:rPr>
          <w:rFonts w:hint="eastAsia" w:ascii="宋体" w:hAnsi="宋体" w:eastAsia="宋体" w:cs="宋体"/>
          <w:color w:val="8FAADB"/>
          <w:sz w:val="24"/>
          <w:szCs w:val="28"/>
          <w:lang w:bidi="ar"/>
        </w:rPr>
        <w:t>5  有效切断热桥处的热量传递路径；</w:t>
      </w:r>
    </w:p>
    <w:p w14:paraId="4BE8F1FC">
      <w:pPr>
        <w:widowControl/>
        <w:adjustRightInd w:val="0"/>
        <w:snapToGrid w:val="0"/>
        <w:spacing w:line="26" w:lineRule="atLeast"/>
        <w:ind w:left="360" w:firstLine="480" w:firstLineChars="200"/>
        <w:rPr>
          <w:rFonts w:ascii="宋体" w:hAnsi="宋体" w:eastAsia="宋体" w:cs="宋体"/>
          <w:color w:val="8FAADB"/>
          <w:sz w:val="24"/>
          <w:szCs w:val="28"/>
        </w:rPr>
      </w:pPr>
      <w:r>
        <w:rPr>
          <w:rFonts w:hint="eastAsia" w:ascii="宋体" w:hAnsi="宋体" w:eastAsia="宋体" w:cs="宋体"/>
          <w:color w:val="8FAADB"/>
          <w:sz w:val="24"/>
          <w:szCs w:val="28"/>
          <w:lang w:bidi="ar"/>
        </w:rPr>
        <w:t>6  缩减热桥中低热阻材料的占比或表面积；</w:t>
      </w:r>
    </w:p>
    <w:p w14:paraId="429823B8">
      <w:pPr>
        <w:widowControl/>
        <w:adjustRightInd w:val="0"/>
        <w:snapToGrid w:val="0"/>
        <w:spacing w:line="26" w:lineRule="atLeast"/>
        <w:ind w:left="360" w:firstLine="480" w:firstLineChars="200"/>
        <w:rPr>
          <w:rFonts w:ascii="宋体" w:hAnsi="宋体" w:eastAsia="宋体" w:cs="宋体"/>
          <w:color w:val="8FAADB"/>
          <w:sz w:val="24"/>
          <w:szCs w:val="28"/>
        </w:rPr>
      </w:pPr>
      <w:r>
        <w:rPr>
          <w:rFonts w:hint="eastAsia" w:ascii="宋体" w:hAnsi="宋体" w:eastAsia="宋体" w:cs="宋体"/>
          <w:color w:val="8FAADB"/>
          <w:sz w:val="24"/>
          <w:szCs w:val="28"/>
          <w:lang w:bidi="ar"/>
        </w:rPr>
        <w:t>7  选用低导热系数的材料覆盖热桥部位内外表面；</w:t>
      </w:r>
    </w:p>
    <w:p w14:paraId="619F1525">
      <w:pPr>
        <w:widowControl/>
        <w:adjustRightInd w:val="0"/>
        <w:snapToGrid w:val="0"/>
        <w:spacing w:line="26" w:lineRule="atLeast"/>
        <w:ind w:left="360" w:firstLine="480" w:firstLineChars="200"/>
        <w:rPr>
          <w:rFonts w:ascii="宋体" w:hAnsi="宋体" w:eastAsia="宋体" w:cs="宋体"/>
          <w:color w:val="8FAADB"/>
          <w:sz w:val="24"/>
          <w:szCs w:val="28"/>
        </w:rPr>
      </w:pPr>
      <w:r>
        <w:rPr>
          <w:rFonts w:hint="eastAsia" w:ascii="宋体" w:hAnsi="宋体" w:eastAsia="宋体" w:cs="宋体"/>
          <w:color w:val="8FAADB"/>
          <w:sz w:val="24"/>
          <w:szCs w:val="28"/>
          <w:lang w:bidi="ar"/>
        </w:rPr>
        <w:t>8  在适宜情况下，以点状热桥替代线状热桥以减少热损失。</w:t>
      </w:r>
    </w:p>
    <w:p w14:paraId="2EFB1B56">
      <w:pPr>
        <w:pStyle w:val="27"/>
        <w:widowControl/>
        <w:rPr>
          <w:rFonts w:hint="default"/>
        </w:rPr>
      </w:pPr>
      <w:r>
        <w:rPr>
          <w:rFonts w:hint="default" w:ascii="Times New Roman" w:hAnsi="Times New Roman"/>
          <w:b/>
          <w:bCs/>
        </w:rPr>
        <w:t xml:space="preserve">4.3.9  </w:t>
      </w:r>
      <w:r>
        <w:t>当热桥部位凸出主体保温围护结构表面距离过大时，凸出部位的热桥保温需要有一定的外展距离（图</w:t>
      </w:r>
      <w:r>
        <w:rPr>
          <w:rFonts w:hint="default" w:ascii="Times New Roman" w:hAnsi="Times New Roman"/>
        </w:rPr>
        <w:t>4.3.9</w:t>
      </w:r>
      <w:r>
        <w:t>），其最小外展距离可参考下列公式计算：</w:t>
      </w:r>
    </w:p>
    <w:p w14:paraId="7254857C">
      <w:pPr>
        <w:pStyle w:val="27"/>
        <w:widowControl/>
        <w:tabs>
          <w:tab w:val="right" w:leader="middleDot" w:pos="1050"/>
        </w:tabs>
        <w:ind w:firstLine="2940" w:firstLineChars="1225"/>
        <w:jc w:val="right"/>
        <w:rPr>
          <w:rFonts w:hint="default" w:ascii="Times New Roman" w:hAnsi="Times New Roman"/>
        </w:rPr>
      </w:pPr>
      <w:r>
        <w:rPr>
          <w:rFonts w:hint="default" w:ascii="Times New Roman" w:hAnsi="Times New Roman"/>
          <w:color w:val="0000FF"/>
          <w:position w:val="-6"/>
        </w:rPr>
        <w:object>
          <v:shape id="_x0000_i1045" o:spt="75" type="#_x0000_t75" style="height:30.6pt;width:76.2pt;" o:ole="t" filled="f" o:preferrelative="t" stroked="f" coordsize="21600,21600">
            <v:path/>
            <v:fill on="f" focussize="0,0"/>
            <v:stroke on="f" joinstyle="miter"/>
            <v:imagedata r:id="rId34" o:title=""/>
            <o:lock v:ext="edit" aspectratio="t"/>
            <w10:wrap type="none"/>
            <w10:anchorlock/>
          </v:shape>
          <o:OLEObject Type="Embed" ProgID="" ShapeID="_x0000_i1045" DrawAspect="Content" ObjectID="_1468075745" r:id="rId33">
            <o:LockedField>false</o:LockedField>
          </o:OLEObject>
        </w:object>
      </w:r>
      <w:r>
        <w:rPr>
          <w:rFonts w:hint="default" w:ascii="Times New Roman" w:hAnsi="Times New Roman"/>
        </w:rPr>
        <w:tab/>
      </w:r>
      <w:r>
        <w:rPr>
          <w:rFonts w:hint="default" w:ascii="Times New Roman" w:hAnsi="Times New Roman"/>
        </w:rPr>
        <w:tab/>
      </w:r>
      <w:r>
        <w:rPr>
          <w:rFonts w:ascii="Times New Roman" w:hAnsi="Times New Roman"/>
        </w:rPr>
        <w:t>（</w:t>
      </w:r>
      <w:r>
        <w:rPr>
          <w:rFonts w:hint="default" w:ascii="Times New Roman" w:hAnsi="Times New Roman"/>
        </w:rPr>
        <w:t>4.3.9</w:t>
      </w:r>
      <w:r>
        <w:rPr>
          <w:rFonts w:ascii="Times New Roman" w:hAnsi="Times New Roman"/>
        </w:rPr>
        <w:t>）</w:t>
      </w:r>
    </w:p>
    <w:p w14:paraId="2F91DEAF">
      <w:pPr>
        <w:pStyle w:val="27"/>
        <w:widowControl/>
        <w:rPr>
          <w:rFonts w:hint="default"/>
          <w:sz w:val="21"/>
          <w:szCs w:val="21"/>
        </w:rPr>
      </w:pPr>
      <w:r>
        <w:rPr>
          <w:sz w:val="21"/>
          <w:szCs w:val="21"/>
        </w:rPr>
        <w:t>式中： L ——结构性热桥保温外展宽度；</w:t>
      </w:r>
    </w:p>
    <w:p w14:paraId="0A18A423">
      <w:pPr>
        <w:pStyle w:val="27"/>
        <w:widowControl/>
        <w:ind w:left="1337" w:leftChars="304" w:hanging="699" w:hangingChars="333"/>
        <w:jc w:val="left"/>
        <w:rPr>
          <w:rFonts w:hint="default"/>
          <w:sz w:val="21"/>
          <w:szCs w:val="21"/>
        </w:rPr>
      </w:pPr>
      <w:r>
        <w:rPr>
          <w:sz w:val="21"/>
          <w:szCs w:val="21"/>
        </w:rPr>
        <w:t>λ1——结构性热桥构件中主要材料导热系数。其中，当最不利热桥材料的截面占整个结构性热桥构件截面的5%以上时，则λ1为最不利热桥材料的导热系数；</w:t>
      </w:r>
    </w:p>
    <w:p w14:paraId="6E5D8DE8">
      <w:pPr>
        <w:pStyle w:val="27"/>
        <w:widowControl/>
        <w:ind w:left="1337" w:leftChars="304" w:hanging="699" w:hangingChars="333"/>
        <w:jc w:val="left"/>
        <w:rPr>
          <w:rFonts w:hint="default"/>
          <w:sz w:val="21"/>
          <w:szCs w:val="21"/>
        </w:rPr>
      </w:pPr>
      <w:r>
        <w:rPr>
          <w:sz w:val="21"/>
          <w:szCs w:val="21"/>
        </w:rPr>
        <w:t>λ2——热桥保温材料导热系数；</w:t>
      </w:r>
    </w:p>
    <w:p w14:paraId="1619EA28">
      <w:pPr>
        <w:pStyle w:val="27"/>
        <w:widowControl/>
        <w:ind w:left="1409" w:leftChars="338" w:hanging="699" w:hangingChars="333"/>
        <w:jc w:val="left"/>
        <w:rPr>
          <w:rFonts w:hint="default"/>
          <w:sz w:val="21"/>
          <w:szCs w:val="21"/>
        </w:rPr>
      </w:pPr>
      <w:r>
        <w:rPr>
          <w:sz w:val="21"/>
          <w:szCs w:val="21"/>
        </w:rPr>
        <w:t>D ——热桥保温材料计算厚度或允许厚度。</w:t>
      </w:r>
    </w:p>
    <w:p w14:paraId="7B38B128">
      <w:pPr>
        <w:pStyle w:val="27"/>
        <w:widowControl/>
        <w:jc w:val="center"/>
        <w:rPr>
          <w:rFonts w:hint="default"/>
        </w:rPr>
      </w:pPr>
      <w:r>
        <w:drawing>
          <wp:inline distT="0" distB="0" distL="114300" distR="114300">
            <wp:extent cx="3352800" cy="1790700"/>
            <wp:effectExtent l="0" t="0" r="0" b="7620"/>
            <wp:docPr id="13" name="图片 130" descr="热桥保温范围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0" descr="热桥保温范围示意"/>
                    <pic:cNvPicPr>
                      <a:picLocks noChangeAspect="1"/>
                    </pic:cNvPicPr>
                  </pic:nvPicPr>
                  <pic:blipFill>
                    <a:blip r:embed="rId35"/>
                    <a:stretch>
                      <a:fillRect/>
                    </a:stretch>
                  </pic:blipFill>
                  <pic:spPr>
                    <a:xfrm>
                      <a:off x="0" y="0"/>
                      <a:ext cx="3352800" cy="1790700"/>
                    </a:xfrm>
                    <a:prstGeom prst="rect">
                      <a:avLst/>
                    </a:prstGeom>
                    <a:noFill/>
                    <a:ln>
                      <a:noFill/>
                    </a:ln>
                  </pic:spPr>
                </pic:pic>
              </a:graphicData>
            </a:graphic>
          </wp:inline>
        </w:drawing>
      </w:r>
    </w:p>
    <w:p w14:paraId="48F14750">
      <w:pPr>
        <w:pStyle w:val="27"/>
        <w:widowControl/>
        <w:spacing w:before="156" w:beforeLines="50" w:after="156" w:afterLines="50"/>
        <w:jc w:val="center"/>
        <w:rPr>
          <w:rFonts w:hint="default"/>
          <w:b/>
          <w:bCs/>
          <w:sz w:val="21"/>
          <w:szCs w:val="21"/>
        </w:rPr>
      </w:pPr>
      <w:r>
        <w:rPr>
          <w:b/>
          <w:bCs/>
          <w:sz w:val="21"/>
          <w:szCs w:val="21"/>
        </w:rPr>
        <w:t>图4.3.9  结构性热桥保温范围示意图</w:t>
      </w:r>
    </w:p>
    <w:p w14:paraId="6B49A499">
      <w:pPr>
        <w:pStyle w:val="7"/>
        <w:widowControl/>
        <w:numPr>
          <w:ilvl w:val="0"/>
          <w:numId w:val="1"/>
        </w:numPr>
        <w:adjustRightInd w:val="0"/>
        <w:snapToGrid w:val="0"/>
        <w:spacing w:line="312" w:lineRule="auto"/>
        <w:ind w:right="840" w:rightChars="400" w:firstLine="838" w:firstLineChars="466"/>
        <w:jc w:val="center"/>
        <w:rPr>
          <w:rFonts w:hint="default"/>
          <w:sz w:val="18"/>
          <w:szCs w:val="18"/>
        </w:rPr>
      </w:pPr>
      <w:r>
        <w:rPr>
          <w:sz w:val="18"/>
          <w:szCs w:val="18"/>
        </w:rPr>
        <w:t>围护结构外保温；2-热桥保温；3-主体围护结构；4-凸出主体围护结构的构件；</w:t>
      </w:r>
    </w:p>
    <w:p w14:paraId="033C67F0">
      <w:pPr>
        <w:pStyle w:val="7"/>
        <w:widowControl/>
        <w:adjustRightInd w:val="0"/>
        <w:snapToGrid w:val="0"/>
        <w:spacing w:line="312" w:lineRule="auto"/>
        <w:ind w:left="979" w:leftChars="466" w:right="840" w:rightChars="400"/>
        <w:jc w:val="center"/>
        <w:rPr>
          <w:rFonts w:hint="default"/>
          <w:sz w:val="18"/>
          <w:szCs w:val="18"/>
        </w:rPr>
      </w:pPr>
      <w:r>
        <w:rPr>
          <w:sz w:val="18"/>
          <w:szCs w:val="18"/>
        </w:rPr>
        <w:t>5-一般性热桥材料；6-最不利热桥材料</w:t>
      </w:r>
    </w:p>
    <w:p w14:paraId="3F6C1A76">
      <w:pPr>
        <w:pStyle w:val="27"/>
        <w:widowControl/>
        <w:spacing w:line="26" w:lineRule="atLeast"/>
        <w:rPr>
          <w:rFonts w:hint="default"/>
          <w:color w:val="8FAADB"/>
        </w:rPr>
      </w:pPr>
      <w:r>
        <w:rPr>
          <w:b/>
          <w:bCs/>
          <w:color w:val="8FAADB"/>
          <w:szCs w:val="24"/>
        </w:rPr>
        <w:t>【条文说明】</w:t>
      </w:r>
      <w:r>
        <w:rPr>
          <w:color w:val="8FAADB"/>
        </w:rPr>
        <w:t>实际设计过程中，由于建筑造型、建筑组合、结构安全等原因，导致有些部位存在热桥凸出主体保温围护结构表面距离过大的情况。热桥保温的目的是为了满足室内防结露和避免因内表面温度过低而降低舒适性，但由于其热阻一般远小于主体保温墙体，当热桥向外突出的长度达到一定程度时，沿凸出长度方向的凸出构件自身热阻即可满足热桥保温后的热阻要求，因此若全部把这种凸出的热桥构件全部用保温材料进行处理会产生较大的浪费，与低碳建筑的节材理念不符。由于实际设计工作中缺少对凸出主体墙面过大尺寸热桥构件延展长度的依据，本条针对此进行补充，以便具体设计时有据可依。</w:t>
      </w:r>
    </w:p>
    <w:p w14:paraId="313FE428">
      <w:pPr>
        <w:pStyle w:val="27"/>
        <w:widowControl/>
        <w:rPr>
          <w:rFonts w:hint="default"/>
        </w:rPr>
      </w:pPr>
      <w:r>
        <w:rPr>
          <w:rFonts w:hint="default" w:ascii="Times New Roman" w:hAnsi="Times New Roman"/>
          <w:b/>
          <w:bCs/>
        </w:rPr>
        <w:t xml:space="preserve">4.3.10  </w:t>
      </w:r>
      <w:r>
        <w:t>管道穿越外围护结构时，应预设套管并留足间隙。预留洞内径应至少等于穿墙管线直径与所需保温材料厚度之和。</w:t>
      </w:r>
    </w:p>
    <w:p w14:paraId="7B20A15A">
      <w:pPr>
        <w:pStyle w:val="27"/>
        <w:widowControl/>
        <w:spacing w:line="26" w:lineRule="atLeast"/>
        <w:rPr>
          <w:rFonts w:hint="default"/>
          <w:color w:val="8FAADB"/>
        </w:rPr>
      </w:pPr>
      <w:r>
        <w:rPr>
          <w:b/>
          <w:bCs/>
          <w:color w:val="8FAADB"/>
          <w:szCs w:val="24"/>
        </w:rPr>
        <w:t>【条文说明】</w:t>
      </w:r>
      <w:r>
        <w:rPr>
          <w:color w:val="8FAADB"/>
        </w:rPr>
        <w:t>穿过外墙的管线与外墙预留洞之间的缝隙若不采用一定厚度保温材料填充，则会在此处形成热桥。（图4.3.10）</w:t>
      </w:r>
    </w:p>
    <w:p w14:paraId="2DDAFD32">
      <w:pPr>
        <w:pStyle w:val="27"/>
        <w:widowControl/>
        <w:jc w:val="center"/>
        <w:rPr>
          <w:rFonts w:hint="default"/>
        </w:rPr>
      </w:pPr>
      <w:r>
        <w:drawing>
          <wp:inline distT="0" distB="0" distL="114300" distR="114300">
            <wp:extent cx="2042160" cy="1539240"/>
            <wp:effectExtent l="0" t="0" r="0" b="0"/>
            <wp:docPr id="11" name="图片 131" descr="管线穿越预留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1" descr="管线穿越预留洞"/>
                    <pic:cNvPicPr>
                      <a:picLocks noChangeAspect="1"/>
                    </pic:cNvPicPr>
                  </pic:nvPicPr>
                  <pic:blipFill>
                    <a:blip r:embed="rId36"/>
                    <a:stretch>
                      <a:fillRect/>
                    </a:stretch>
                  </pic:blipFill>
                  <pic:spPr>
                    <a:xfrm>
                      <a:off x="0" y="0"/>
                      <a:ext cx="2042160" cy="1539240"/>
                    </a:xfrm>
                    <a:prstGeom prst="rect">
                      <a:avLst/>
                    </a:prstGeom>
                    <a:noFill/>
                    <a:ln>
                      <a:noFill/>
                    </a:ln>
                  </pic:spPr>
                </pic:pic>
              </a:graphicData>
            </a:graphic>
          </wp:inline>
        </w:drawing>
      </w:r>
    </w:p>
    <w:p w14:paraId="4530389C">
      <w:pPr>
        <w:pStyle w:val="27"/>
        <w:widowControl/>
        <w:spacing w:before="156" w:beforeLines="50" w:after="156" w:afterLines="50"/>
        <w:jc w:val="center"/>
        <w:rPr>
          <w:rFonts w:hint="default"/>
          <w:b/>
          <w:bCs/>
          <w:color w:val="4F81BD"/>
          <w:sz w:val="21"/>
          <w:szCs w:val="21"/>
        </w:rPr>
      </w:pPr>
      <w:r>
        <w:rPr>
          <w:b/>
          <w:bCs/>
          <w:color w:val="4F81BD"/>
          <w:sz w:val="21"/>
          <w:szCs w:val="21"/>
        </w:rPr>
        <w:t>图4.3.10  管线穿越预留洞处热桥保温示意</w:t>
      </w:r>
    </w:p>
    <w:p w14:paraId="65F8A385">
      <w:pPr>
        <w:pStyle w:val="7"/>
        <w:widowControl/>
        <w:numPr>
          <w:ilvl w:val="0"/>
          <w:numId w:val="2"/>
        </w:numPr>
        <w:adjustRightInd w:val="0"/>
        <w:snapToGrid w:val="0"/>
        <w:spacing w:line="312" w:lineRule="auto"/>
        <w:ind w:left="420" w:leftChars="200" w:right="420" w:rightChars="200"/>
        <w:jc w:val="center"/>
        <w:rPr>
          <w:rFonts w:hint="default"/>
          <w:color w:val="4F81BD"/>
        </w:rPr>
      </w:pPr>
      <w:r>
        <w:rPr>
          <w:color w:val="4F81BD"/>
        </w:rPr>
        <w:t>围护结构外保温；2穿越围护结构洞口的管线；3-保温材料填充缝隙；</w:t>
      </w:r>
    </w:p>
    <w:p w14:paraId="0EA5FFE8">
      <w:pPr>
        <w:pStyle w:val="7"/>
        <w:widowControl/>
        <w:adjustRightInd w:val="0"/>
        <w:snapToGrid w:val="0"/>
        <w:spacing w:line="312" w:lineRule="auto"/>
        <w:ind w:left="420" w:leftChars="200" w:right="420" w:rightChars="200"/>
        <w:jc w:val="center"/>
        <w:rPr>
          <w:rFonts w:hint="default"/>
          <w:color w:val="4F81BD"/>
        </w:rPr>
      </w:pPr>
      <w:r>
        <w:rPr>
          <w:color w:val="4F81BD"/>
        </w:rPr>
        <w:t>4-防水透气材料；5-防水隔汽材料；6-外围护结构构件；</w:t>
      </w:r>
    </w:p>
    <w:p w14:paraId="115731EA">
      <w:pPr>
        <w:pStyle w:val="7"/>
        <w:widowControl/>
        <w:adjustRightInd w:val="0"/>
        <w:snapToGrid w:val="0"/>
        <w:spacing w:line="312" w:lineRule="auto"/>
        <w:ind w:left="420" w:leftChars="200" w:right="420" w:rightChars="200"/>
        <w:jc w:val="center"/>
        <w:rPr>
          <w:rFonts w:hint="default"/>
          <w:color w:val="4F81BD"/>
        </w:rPr>
      </w:pPr>
      <w:r>
        <w:rPr>
          <w:color w:val="4F81BD"/>
        </w:rPr>
        <w:t>D-预留洞口直径；d-穿越洞口的管线直径</w:t>
      </w:r>
    </w:p>
    <w:p w14:paraId="59228E2F">
      <w:pPr>
        <w:pStyle w:val="7"/>
        <w:widowControl/>
        <w:adjustRightInd w:val="0"/>
        <w:snapToGrid w:val="0"/>
        <w:spacing w:line="312" w:lineRule="auto"/>
        <w:ind w:left="420" w:leftChars="200" w:right="420" w:rightChars="200"/>
        <w:jc w:val="center"/>
        <w:rPr>
          <w:rFonts w:hint="default"/>
        </w:rPr>
      </w:pPr>
    </w:p>
    <w:p w14:paraId="1DB59969">
      <w:pPr>
        <w:pStyle w:val="27"/>
        <w:widowControl/>
        <w:rPr>
          <w:rFonts w:hint="default"/>
        </w:rPr>
      </w:pPr>
      <w:r>
        <w:rPr>
          <w:rFonts w:hint="default" w:ascii="Times New Roman" w:hAnsi="Times New Roman"/>
          <w:b/>
          <w:bCs/>
        </w:rPr>
        <w:t xml:space="preserve">4.3.11  </w:t>
      </w:r>
      <w:r>
        <w:t>因技术原因必须外露的金属构件与围护结构主体相连时，应有隔断外露金属构件与外围护结构主体热流路径或减少外露金属构件与外围护结构主体热流传递面积的措施；</w:t>
      </w:r>
    </w:p>
    <w:p w14:paraId="5ACB200B">
      <w:pPr>
        <w:pStyle w:val="27"/>
        <w:widowControl/>
        <w:spacing w:line="26" w:lineRule="atLeast"/>
        <w:rPr>
          <w:rFonts w:hint="default"/>
          <w:color w:val="8FAADB"/>
        </w:rPr>
      </w:pPr>
      <w:r>
        <w:rPr>
          <w:b/>
          <w:bCs/>
          <w:color w:val="8FAADB"/>
          <w:szCs w:val="24"/>
        </w:rPr>
        <w:t>【条文说明】</w:t>
      </w:r>
      <w:r>
        <w:rPr>
          <w:color w:val="8FAADB"/>
        </w:rPr>
        <w:t>实际项目中，存在着诸如建筑避雷针、光伏支架、外墙金属支架、幕墙与墙体的连接件等热桥构件，因这类构件在现有技术条件下难以做到用保温材料完全包覆，所以，需要在保证安全的前提下，尽可能减少这类热桥构件与主体结构的接触面，如，在外露金属构件与主体结构表面之间增加隔热垫片。如有技术条件能使金属构件与主体结构完全隔离，应优先考虑此方案。若技术和经济条件允许，也可按本标准4.3.9条要求，对主体保温之外的金属构件用保温材料做局部包覆，如，采用岩棉保温系统、气凝胶隔热涂料系统、微陶涂层保温隔热系统进行局部包覆。（图4.3.11）</w:t>
      </w:r>
    </w:p>
    <w:p w14:paraId="3D992A1A">
      <w:pPr>
        <w:pStyle w:val="27"/>
        <w:widowControl/>
        <w:rPr>
          <w:rFonts w:hint="default"/>
        </w:rPr>
      </w:pPr>
      <w:r>
        <w:drawing>
          <wp:inline distT="0" distB="0" distL="114300" distR="114300">
            <wp:extent cx="4724400" cy="3779520"/>
            <wp:effectExtent l="0" t="0" r="0" b="0"/>
            <wp:docPr id="12" name="图片 135" descr="外露金属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5" descr="外露金属构件"/>
                    <pic:cNvPicPr>
                      <a:picLocks noChangeAspect="1"/>
                    </pic:cNvPicPr>
                  </pic:nvPicPr>
                  <pic:blipFill>
                    <a:blip r:embed="rId37"/>
                    <a:stretch>
                      <a:fillRect/>
                    </a:stretch>
                  </pic:blipFill>
                  <pic:spPr>
                    <a:xfrm>
                      <a:off x="0" y="0"/>
                      <a:ext cx="4724400" cy="3779520"/>
                    </a:xfrm>
                    <a:prstGeom prst="rect">
                      <a:avLst/>
                    </a:prstGeom>
                    <a:noFill/>
                    <a:ln>
                      <a:noFill/>
                    </a:ln>
                  </pic:spPr>
                </pic:pic>
              </a:graphicData>
            </a:graphic>
          </wp:inline>
        </w:drawing>
      </w:r>
    </w:p>
    <w:p w14:paraId="37F0F4B2">
      <w:pPr>
        <w:pStyle w:val="27"/>
        <w:widowControl/>
        <w:spacing w:before="156" w:beforeLines="50" w:after="156" w:afterLines="50"/>
        <w:jc w:val="center"/>
        <w:rPr>
          <w:rFonts w:hint="default"/>
          <w:b/>
          <w:bCs/>
          <w:color w:val="4F81BD"/>
          <w:sz w:val="21"/>
          <w:szCs w:val="21"/>
        </w:rPr>
      </w:pPr>
      <w:r>
        <w:rPr>
          <w:b/>
          <w:bCs/>
          <w:color w:val="4F81BD"/>
          <w:sz w:val="21"/>
          <w:szCs w:val="21"/>
        </w:rPr>
        <w:t>图4.3.11  外露金属构件与围护结构主体相连削弱热桥做法示意</w:t>
      </w:r>
    </w:p>
    <w:p w14:paraId="31E834EB">
      <w:pPr>
        <w:pStyle w:val="7"/>
        <w:widowControl/>
        <w:numPr>
          <w:ilvl w:val="0"/>
          <w:numId w:val="3"/>
        </w:numPr>
        <w:adjustRightInd w:val="0"/>
        <w:snapToGrid w:val="0"/>
        <w:spacing w:line="312" w:lineRule="auto"/>
        <w:ind w:right="420" w:rightChars="200" w:firstLine="419" w:firstLineChars="233"/>
        <w:jc w:val="center"/>
        <w:rPr>
          <w:rFonts w:hint="default"/>
          <w:color w:val="4F81BD"/>
          <w:sz w:val="18"/>
          <w:szCs w:val="18"/>
        </w:rPr>
      </w:pPr>
      <w:r>
        <w:rPr>
          <w:color w:val="4F81BD"/>
          <w:sz w:val="18"/>
          <w:szCs w:val="18"/>
        </w:rPr>
        <w:t>隔热垫片；2-角钢、槽钢等开口型钢；3-主体结构保温层；4-连接件、预埋件；</w:t>
      </w:r>
    </w:p>
    <w:p w14:paraId="3442F68F">
      <w:pPr>
        <w:pStyle w:val="7"/>
        <w:widowControl/>
        <w:adjustRightInd w:val="0"/>
        <w:snapToGrid w:val="0"/>
        <w:spacing w:after="156" w:afterLines="50" w:line="312" w:lineRule="auto"/>
        <w:ind w:left="489" w:leftChars="233" w:right="420" w:rightChars="200"/>
        <w:rPr>
          <w:rFonts w:hint="default"/>
          <w:color w:val="4F81BD"/>
          <w:sz w:val="18"/>
          <w:szCs w:val="18"/>
        </w:rPr>
      </w:pPr>
      <w:r>
        <w:rPr>
          <w:color w:val="4F81BD"/>
          <w:sz w:val="18"/>
          <w:szCs w:val="18"/>
        </w:rPr>
        <w:t>5-管状金属型材；6-填充保温材料；7-外露金属件热桥保温材料（如，保温涂料、保温毡等）</w:t>
      </w:r>
    </w:p>
    <w:p w14:paraId="07F9A7F7">
      <w:pPr>
        <w:pStyle w:val="27"/>
        <w:widowControl/>
        <w:rPr>
          <w:rFonts w:hint="default"/>
        </w:rPr>
      </w:pPr>
      <w:r>
        <w:rPr>
          <w:rFonts w:hint="default" w:ascii="Times New Roman" w:hAnsi="Times New Roman"/>
          <w:b/>
          <w:bCs/>
        </w:rPr>
        <w:t xml:space="preserve">4.3.12  </w:t>
      </w:r>
      <w:r>
        <w:t>实现外保温系统无热桥设计应遵循如下原则：</w:t>
      </w:r>
    </w:p>
    <w:p w14:paraId="0FAD644F">
      <w:pPr>
        <w:pStyle w:val="27"/>
        <w:widowControl/>
        <w:ind w:firstLine="482" w:firstLineChars="200"/>
        <w:rPr>
          <w:rFonts w:hint="default"/>
        </w:rPr>
      </w:pPr>
      <w:r>
        <w:rPr>
          <w:rFonts w:hint="default" w:ascii="Times New Roman" w:hAnsi="Times New Roman"/>
          <w:b/>
          <w:bCs/>
        </w:rPr>
        <w:t xml:space="preserve">1  </w:t>
      </w:r>
      <w:r>
        <w:t>外保温系统的链接锚栓应具备断热桥功能,否则应采取其他热桥阻断措施或按附录B要求调整保温材料的修正系数；</w:t>
      </w:r>
    </w:p>
    <w:p w14:paraId="09EDD94F">
      <w:pPr>
        <w:pStyle w:val="27"/>
        <w:widowControl/>
        <w:ind w:firstLine="482" w:firstLineChars="200"/>
        <w:rPr>
          <w:rFonts w:hint="default"/>
        </w:rPr>
      </w:pPr>
      <w:r>
        <w:rPr>
          <w:rFonts w:hint="default" w:ascii="Times New Roman" w:hAnsi="Times New Roman"/>
          <w:b/>
          <w:bCs/>
        </w:rPr>
        <w:t xml:space="preserve">2  </w:t>
      </w:r>
      <w:r>
        <w:t>外墙室外地面、露天平台以上300</w:t>
      </w:r>
      <w:r>
        <w:rPr>
          <w:position w:val="-4"/>
        </w:rPr>
        <w:t>mm</w:t>
      </w:r>
      <w:r>
        <w:t>高度范围内和埋入潮湿材料中的保温材料，应采用耐腐蚀、吸水率低的保温材料；</w:t>
      </w:r>
    </w:p>
    <w:p w14:paraId="04B65E6E">
      <w:pPr>
        <w:pStyle w:val="27"/>
        <w:widowControl/>
        <w:ind w:firstLine="482" w:firstLineChars="200"/>
        <w:rPr>
          <w:rFonts w:hint="default"/>
        </w:rPr>
      </w:pPr>
      <w:r>
        <w:rPr>
          <w:rFonts w:hint="default" w:ascii="Times New Roman" w:hAnsi="Times New Roman"/>
          <w:b/>
          <w:bCs/>
        </w:rPr>
        <w:t xml:space="preserve">3  </w:t>
      </w:r>
      <w:r>
        <w:t>外墙转角处宜采用成型保温构件；</w:t>
      </w:r>
    </w:p>
    <w:p w14:paraId="63515450">
      <w:pPr>
        <w:pStyle w:val="27"/>
        <w:widowControl/>
        <w:ind w:firstLine="482" w:firstLineChars="200"/>
        <w:rPr>
          <w:rFonts w:hint="default"/>
        </w:rPr>
      </w:pPr>
      <w:r>
        <w:rPr>
          <w:rFonts w:hint="default" w:ascii="Times New Roman" w:hAnsi="Times New Roman"/>
          <w:b/>
          <w:bCs/>
        </w:rPr>
        <w:t xml:space="preserve">4  </w:t>
      </w:r>
      <w:r>
        <w:rPr>
          <w:rFonts w:hint="default" w:ascii="Helvetica" w:hAnsi="Helvetica" w:eastAsia="Helvetica" w:cs="Helvetica"/>
          <w:color w:val="1F2328"/>
          <w:szCs w:val="24"/>
          <w:shd w:val="clear" w:color="auto" w:fill="FFFFFF"/>
        </w:rPr>
        <w:t>当外墙保温采用保温墙体一体化的保温系统时，应以不降低相应部位墙体的保温性能为原则，提供针对对拉螺栓孔、施工期间临时固定部位、因保护不力或拉拔试验破损等原因导致的保温层破损的修补构造措施</w:t>
      </w:r>
      <w:r>
        <w:t>。</w:t>
      </w:r>
    </w:p>
    <w:p w14:paraId="421C5D4D">
      <w:pPr>
        <w:pStyle w:val="27"/>
        <w:widowControl/>
        <w:spacing w:line="26" w:lineRule="atLeast"/>
        <w:rPr>
          <w:rFonts w:hint="default"/>
          <w:color w:val="8FAADB"/>
        </w:rPr>
      </w:pPr>
      <w:r>
        <w:rPr>
          <w:b/>
          <w:bCs/>
          <w:color w:val="8FAADB"/>
          <w:szCs w:val="24"/>
        </w:rPr>
        <w:t>【条文说明】</w:t>
      </w:r>
      <w:r>
        <w:rPr>
          <w:color w:val="8FAADB"/>
        </w:rPr>
        <w:t>1 为了减少锚栓对保温性能的影响，目前外保温系统连接锚栓通常采用的是断热型锚栓。如果采取其他阻断热桥的方式，如用保温材料覆盖锚栓圆盘，也可不采用断热型锚栓（图4.3.12-1a、图4.3.12-1b）。当因技术原因既不能采用断热型连接件，也无法采取其他阻断热桥的方式时，则应在对围护结构进行节能计算时，按附录B规定相应增加保温层的修正系数。</w:t>
      </w:r>
    </w:p>
    <w:p w14:paraId="55341D73">
      <w:pPr>
        <w:pStyle w:val="27"/>
        <w:widowControl/>
        <w:rPr>
          <w:rFonts w:hint="default"/>
          <w:color w:val="8FAADB"/>
        </w:rPr>
      </w:pPr>
    </w:p>
    <w:p w14:paraId="4B5AB3BF">
      <w:pPr>
        <w:pStyle w:val="27"/>
        <w:widowControl/>
        <w:jc w:val="center"/>
        <w:rPr>
          <w:rFonts w:hint="default"/>
          <w:color w:val="8FAADB"/>
        </w:rPr>
      </w:pPr>
      <w:r>
        <w:rPr>
          <w:color w:val="8FAADB"/>
        </w:rPr>
        <w:drawing>
          <wp:inline distT="0" distB="0" distL="114300" distR="114300">
            <wp:extent cx="1508760" cy="1478280"/>
            <wp:effectExtent l="0" t="0" r="0" b="0"/>
            <wp:docPr id="2" name="图片 143" descr="非断热型锚栓断热措施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3" descr="非断热型锚栓断热措施1-Model"/>
                    <pic:cNvPicPr>
                      <a:picLocks noChangeAspect="1"/>
                    </pic:cNvPicPr>
                  </pic:nvPicPr>
                  <pic:blipFill>
                    <a:blip r:embed="rId38"/>
                    <a:stretch>
                      <a:fillRect/>
                    </a:stretch>
                  </pic:blipFill>
                  <pic:spPr>
                    <a:xfrm>
                      <a:off x="0" y="0"/>
                      <a:ext cx="1508760" cy="1478280"/>
                    </a:xfrm>
                    <a:prstGeom prst="rect">
                      <a:avLst/>
                    </a:prstGeom>
                    <a:noFill/>
                    <a:ln>
                      <a:noFill/>
                    </a:ln>
                  </pic:spPr>
                </pic:pic>
              </a:graphicData>
            </a:graphic>
          </wp:inline>
        </w:drawing>
      </w:r>
    </w:p>
    <w:p w14:paraId="71AE8099">
      <w:pPr>
        <w:pStyle w:val="27"/>
        <w:widowControl/>
        <w:spacing w:before="156" w:beforeLines="50" w:after="156" w:afterLines="50"/>
        <w:jc w:val="center"/>
        <w:rPr>
          <w:rFonts w:hint="default"/>
          <w:b/>
          <w:bCs/>
          <w:color w:val="8FAADB"/>
          <w:sz w:val="21"/>
          <w:szCs w:val="21"/>
        </w:rPr>
      </w:pPr>
      <w:r>
        <w:rPr>
          <w:b/>
          <w:bCs/>
          <w:color w:val="8FAADB"/>
          <w:sz w:val="21"/>
          <w:szCs w:val="21"/>
        </w:rPr>
        <w:t>图4.3.12-1a  非断热型锚栓断热措施示意图</w:t>
      </w:r>
    </w:p>
    <w:p w14:paraId="4E886218">
      <w:pPr>
        <w:pStyle w:val="7"/>
        <w:widowControl/>
        <w:adjustRightInd w:val="0"/>
        <w:snapToGrid w:val="0"/>
        <w:spacing w:line="312" w:lineRule="auto"/>
        <w:ind w:right="420" w:rightChars="200" w:firstLine="360" w:firstLineChars="200"/>
        <w:jc w:val="center"/>
        <w:rPr>
          <w:rFonts w:hint="default"/>
          <w:color w:val="4F81BD"/>
          <w:sz w:val="18"/>
          <w:szCs w:val="18"/>
        </w:rPr>
      </w:pPr>
      <w:r>
        <w:rPr>
          <w:color w:val="4F81BD"/>
          <w:sz w:val="18"/>
          <w:szCs w:val="18"/>
        </w:rPr>
        <w:t>1-围护结构保温层；2-覆盖非断热型锚栓圆盘的保温材料；3-非断热型锚栓</w:t>
      </w:r>
    </w:p>
    <w:p w14:paraId="61281DF0">
      <w:pPr>
        <w:pStyle w:val="7"/>
        <w:widowControl/>
        <w:adjustRightInd w:val="0"/>
        <w:snapToGrid w:val="0"/>
        <w:spacing w:line="312" w:lineRule="auto"/>
        <w:ind w:right="420" w:rightChars="200" w:firstLine="360" w:firstLineChars="200"/>
        <w:jc w:val="center"/>
        <w:rPr>
          <w:rFonts w:hint="default"/>
          <w:color w:val="4F81BD"/>
          <w:sz w:val="18"/>
          <w:szCs w:val="18"/>
        </w:rPr>
      </w:pPr>
      <w:r>
        <w:rPr>
          <w:color w:val="4F81BD"/>
          <w:sz w:val="18"/>
          <w:szCs w:val="18"/>
        </w:rPr>
        <w:t>a-覆盖锚栓盘的保温材料厚度；b-锚栓圆盘嵌入保温层之后余下的保温层厚度</w:t>
      </w:r>
    </w:p>
    <w:p w14:paraId="5B117D9E">
      <w:pPr>
        <w:pStyle w:val="7"/>
        <w:widowControl/>
        <w:adjustRightInd w:val="0"/>
        <w:snapToGrid w:val="0"/>
        <w:spacing w:line="312" w:lineRule="auto"/>
        <w:ind w:left="1051" w:leftChars="199" w:hanging="633" w:hangingChars="352"/>
        <w:jc w:val="left"/>
        <w:rPr>
          <w:rFonts w:hint="default"/>
          <w:color w:val="4F81BD"/>
          <w:sz w:val="18"/>
          <w:szCs w:val="18"/>
        </w:rPr>
      </w:pPr>
      <w:r>
        <w:rPr>
          <w:color w:val="4F81BD"/>
          <w:sz w:val="18"/>
          <w:szCs w:val="18"/>
        </w:rPr>
        <w:t>注： 1 a数值的确定以按当地气候特点需要满足当地允许的热桥保温热阻为准，当无具体热阻值规定时，可根据当地允许的相应热桥保温材料的最小厚度换算后确定；</w:t>
      </w:r>
    </w:p>
    <w:p w14:paraId="490CF2C9">
      <w:pPr>
        <w:pStyle w:val="7"/>
        <w:widowControl/>
        <w:adjustRightInd w:val="0"/>
        <w:snapToGrid w:val="0"/>
        <w:spacing w:after="156" w:afterLines="50" w:line="312" w:lineRule="auto"/>
        <w:ind w:left="1127" w:leftChars="411" w:hanging="264" w:hangingChars="147"/>
        <w:jc w:val="left"/>
        <w:rPr>
          <w:rFonts w:hint="default"/>
          <w:color w:val="4F81BD"/>
          <w:sz w:val="18"/>
          <w:szCs w:val="18"/>
        </w:rPr>
      </w:pPr>
      <w:r>
        <w:rPr>
          <w:color w:val="4F81BD"/>
          <w:sz w:val="18"/>
          <w:szCs w:val="18"/>
        </w:rPr>
        <w:t>2 b应不小于保温层自身允许的最小厚度要求。</w:t>
      </w:r>
    </w:p>
    <w:p w14:paraId="10CAE170">
      <w:pPr>
        <w:pStyle w:val="27"/>
        <w:widowControl/>
        <w:rPr>
          <w:rFonts w:hint="default"/>
          <w:color w:val="8FAADB"/>
        </w:rPr>
      </w:pPr>
      <w:r>
        <w:rPr>
          <w:color w:val="8FAADB"/>
        </w:rPr>
        <w:t>随着技术的发展，也会出现一些新的技术，比如，采用把锚栓盘置入保温层内的技术，锚栓盘外的保温层钻孔采用原主体保温材料或其他保温材料填充，比采用传统的断热型锚栓更能有效阻断锚栓的热传导。（图4.3.12-1b）</w:t>
      </w:r>
    </w:p>
    <w:p w14:paraId="5237460D">
      <w:pPr>
        <w:pStyle w:val="27"/>
        <w:widowControl/>
        <w:jc w:val="center"/>
        <w:rPr>
          <w:rFonts w:hint="default"/>
          <w:b/>
          <w:bCs/>
          <w:color w:val="8FAADB"/>
          <w:sz w:val="21"/>
          <w:szCs w:val="21"/>
        </w:rPr>
      </w:pPr>
      <w:r>
        <w:rPr>
          <w:b/>
          <w:bCs/>
          <w:color w:val="8FAADB"/>
          <w:sz w:val="21"/>
          <w:szCs w:val="21"/>
        </w:rPr>
        <w:drawing>
          <wp:inline distT="0" distB="0" distL="114300" distR="114300">
            <wp:extent cx="1600200" cy="1432560"/>
            <wp:effectExtent l="0" t="0" r="0" b="0"/>
            <wp:docPr id="3" name="图片 142" descr="特殊锚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2" descr="特殊锚栓"/>
                    <pic:cNvPicPr>
                      <a:picLocks noChangeAspect="1"/>
                    </pic:cNvPicPr>
                  </pic:nvPicPr>
                  <pic:blipFill>
                    <a:blip r:embed="rId39"/>
                    <a:stretch>
                      <a:fillRect/>
                    </a:stretch>
                  </pic:blipFill>
                  <pic:spPr>
                    <a:xfrm>
                      <a:off x="0" y="0"/>
                      <a:ext cx="1600200" cy="1432560"/>
                    </a:xfrm>
                    <a:prstGeom prst="rect">
                      <a:avLst/>
                    </a:prstGeom>
                    <a:noFill/>
                    <a:ln>
                      <a:noFill/>
                    </a:ln>
                  </pic:spPr>
                </pic:pic>
              </a:graphicData>
            </a:graphic>
          </wp:inline>
        </w:drawing>
      </w:r>
    </w:p>
    <w:p w14:paraId="2D873BB0">
      <w:pPr>
        <w:pStyle w:val="27"/>
        <w:widowControl/>
        <w:spacing w:before="156" w:beforeLines="50" w:after="156" w:afterLines="50"/>
        <w:jc w:val="center"/>
        <w:rPr>
          <w:rFonts w:hint="default"/>
          <w:b/>
          <w:bCs/>
          <w:color w:val="8FAADB"/>
          <w:sz w:val="21"/>
          <w:szCs w:val="21"/>
        </w:rPr>
      </w:pPr>
      <w:r>
        <w:rPr>
          <w:b/>
          <w:bCs/>
          <w:color w:val="8FAADB"/>
          <w:sz w:val="21"/>
          <w:szCs w:val="21"/>
        </w:rPr>
        <w:t>图4.3.12-1b 锚栓盘置入保温层内断热原理示意图</w:t>
      </w:r>
    </w:p>
    <w:p w14:paraId="3809960C">
      <w:pPr>
        <w:pStyle w:val="7"/>
        <w:widowControl/>
        <w:spacing w:after="156" w:afterLines="50" w:line="312" w:lineRule="auto"/>
        <w:jc w:val="center"/>
        <w:rPr>
          <w:rFonts w:hint="default"/>
          <w:color w:val="4F81BD"/>
        </w:rPr>
      </w:pPr>
      <w:r>
        <w:rPr>
          <w:color w:val="4F81BD"/>
          <w:sz w:val="18"/>
          <w:szCs w:val="18"/>
        </w:rPr>
        <w:t>1-围护结构保温层；2-保温材料覆盖；3-将锚栓盘置入保温层内部的锚栓</w:t>
      </w:r>
    </w:p>
    <w:p w14:paraId="62CE0C4B">
      <w:pPr>
        <w:pStyle w:val="27"/>
        <w:widowControl/>
        <w:ind w:firstLine="480" w:firstLineChars="200"/>
        <w:rPr>
          <w:rFonts w:hint="default"/>
          <w:color w:val="8FAADB"/>
        </w:rPr>
      </w:pPr>
      <w:r>
        <w:rPr>
          <w:color w:val="8FAADB"/>
        </w:rPr>
        <w:t>2 当保温层在土壤、含水砂石内等潮湿材料中时，或在靠近室外平台、室外地面等有可能产生吸潮现象的位置时，为了避免因保温层外部的保护层、防水层产生破损后，使外部的水分侵入保温层，从而严重降低保温系统的保温性能，严重时还可能相继产生风化、腐烂等现象，所以，本条要求在上述位置的保温材料需要采用吸水率低、耐腐蚀的保温材料。常见的吸水率低、耐腐蚀的外保温材料有</w:t>
      </w:r>
      <w:r>
        <w:rPr>
          <w:rFonts w:hint="default" w:ascii="Times New Roman" w:hAnsi="Times New Roman"/>
          <w:color w:val="8FAADB"/>
        </w:rPr>
        <w:t>XPS</w:t>
      </w:r>
      <w:r>
        <w:rPr>
          <w:color w:val="8FAADB"/>
        </w:rPr>
        <w:t>、</w:t>
      </w:r>
      <w:r>
        <w:rPr>
          <w:rFonts w:hint="default" w:ascii="Times New Roman" w:hAnsi="Times New Roman"/>
          <w:color w:val="8FAADB"/>
        </w:rPr>
        <w:t>EPS</w:t>
      </w:r>
      <w:r>
        <w:rPr>
          <w:color w:val="8FAADB"/>
        </w:rPr>
        <w:t>、硬泡聚氨酯、泡沫玻璃、发泡陶瓷等。参考《倒置式屋面工程技术规程》</w:t>
      </w:r>
      <w:r>
        <w:rPr>
          <w:rFonts w:hint="default" w:ascii="Times New Roman" w:hAnsi="Times New Roman"/>
          <w:color w:val="8FAADB"/>
        </w:rPr>
        <w:t>JGJ 230-2010</w:t>
      </w:r>
      <w:r>
        <w:rPr>
          <w:color w:val="8FAADB"/>
        </w:rPr>
        <w:t>中对保温材料的要求，当体积吸水率不大于</w:t>
      </w:r>
      <w:r>
        <w:rPr>
          <w:rFonts w:hint="default" w:ascii="Times New Roman" w:hAnsi="Times New Roman"/>
          <w:color w:val="8FAADB"/>
        </w:rPr>
        <w:t>3%</w:t>
      </w:r>
      <w:r>
        <w:rPr>
          <w:color w:val="8FAADB"/>
        </w:rPr>
        <w:t>时可以视为低吸水率。</w:t>
      </w:r>
    </w:p>
    <w:p w14:paraId="15BA9375">
      <w:pPr>
        <w:pStyle w:val="27"/>
        <w:widowControl/>
        <w:ind w:firstLine="480" w:firstLineChars="200"/>
        <w:rPr>
          <w:rFonts w:hint="default"/>
          <w:color w:val="8FAADB"/>
        </w:rPr>
      </w:pPr>
      <w:r>
        <w:rPr>
          <w:color w:val="8FAADB"/>
        </w:rPr>
        <w:t>3 由于建筑工程外墙平整度难以掌控，常规保温板在转角处拼接时往往容易产生接缝宽度较大的情况，既会降低保温系统的保温性能，也容易出现保温系统在转角处开裂工程的质量问题，采用成型产品可以很好地避免这种现象的发生。（图4.3.12-2）</w:t>
      </w:r>
    </w:p>
    <w:p w14:paraId="31B7ACCC">
      <w:pPr>
        <w:pStyle w:val="27"/>
        <w:widowControl/>
        <w:spacing w:before="156" w:beforeLines="50" w:after="156" w:afterLines="50"/>
        <w:jc w:val="center"/>
        <w:rPr>
          <w:rFonts w:hint="default"/>
          <w:b/>
          <w:bCs/>
          <w:color w:val="8FAADB"/>
          <w:sz w:val="21"/>
          <w:szCs w:val="21"/>
        </w:rPr>
      </w:pPr>
      <w:r>
        <w:rPr>
          <w:b/>
          <w:bCs/>
          <w:color w:val="8FAADB"/>
          <w:sz w:val="21"/>
          <w:szCs w:val="21"/>
        </w:rPr>
        <w:drawing>
          <wp:inline distT="0" distB="0" distL="114300" distR="114300">
            <wp:extent cx="3543300" cy="2065020"/>
            <wp:effectExtent l="0" t="0" r="0" b="0"/>
            <wp:docPr id="4" name="图片 150" descr="成型保温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0" descr="成型保温构件"/>
                    <pic:cNvPicPr>
                      <a:picLocks noChangeAspect="1"/>
                    </pic:cNvPicPr>
                  </pic:nvPicPr>
                  <pic:blipFill>
                    <a:blip r:embed="rId40"/>
                    <a:stretch>
                      <a:fillRect/>
                    </a:stretch>
                  </pic:blipFill>
                  <pic:spPr>
                    <a:xfrm>
                      <a:off x="0" y="0"/>
                      <a:ext cx="3543300" cy="2065020"/>
                    </a:xfrm>
                    <a:prstGeom prst="rect">
                      <a:avLst/>
                    </a:prstGeom>
                    <a:noFill/>
                    <a:ln>
                      <a:noFill/>
                    </a:ln>
                  </pic:spPr>
                </pic:pic>
              </a:graphicData>
            </a:graphic>
          </wp:inline>
        </w:drawing>
      </w:r>
    </w:p>
    <w:p w14:paraId="6E6CD7E9">
      <w:pPr>
        <w:pStyle w:val="27"/>
        <w:widowControl/>
        <w:spacing w:before="156" w:beforeLines="50" w:after="156" w:afterLines="50"/>
        <w:jc w:val="center"/>
        <w:rPr>
          <w:rFonts w:hint="default"/>
          <w:b/>
          <w:bCs/>
          <w:color w:val="8FAADB"/>
          <w:sz w:val="21"/>
          <w:szCs w:val="21"/>
        </w:rPr>
      </w:pPr>
      <w:r>
        <w:rPr>
          <w:b/>
          <w:bCs/>
          <w:color w:val="8FAADB"/>
          <w:sz w:val="21"/>
          <w:szCs w:val="21"/>
        </w:rPr>
        <w:t>图4.3.12-2  外墙转角成型保温构件示意图</w:t>
      </w:r>
    </w:p>
    <w:p w14:paraId="60A402A0">
      <w:pPr>
        <w:pStyle w:val="7"/>
        <w:widowControl/>
        <w:jc w:val="center"/>
        <w:rPr>
          <w:rFonts w:hint="default"/>
          <w:color w:val="4F81BD"/>
          <w:sz w:val="18"/>
          <w:szCs w:val="18"/>
        </w:rPr>
      </w:pPr>
      <w:r>
        <w:rPr>
          <w:color w:val="4F81BD"/>
          <w:sz w:val="18"/>
          <w:szCs w:val="18"/>
        </w:rPr>
        <w:t>1-墙体；2-常规保温板；3-阳角用成型保温板；4-阴角用成型保温板</w:t>
      </w:r>
    </w:p>
    <w:p w14:paraId="0F058D11">
      <w:pPr>
        <w:pStyle w:val="27"/>
        <w:widowControl/>
        <w:ind w:firstLine="480" w:firstLineChars="200"/>
        <w:rPr>
          <w:rFonts w:hint="default"/>
          <w:color w:val="8FAADB"/>
        </w:rPr>
      </w:pPr>
      <w:r>
        <w:rPr>
          <w:color w:val="8FAADB"/>
        </w:rPr>
        <w:t>4 由于保温墙体一体化的保温系统中的保温板是与其基层墙体同步施工的，保温系统在建筑的整个建造过程的早期即以完成，很容易在后续的施工过程中产生破损，破损后的保温层若修补不当，则会降低保温系统的热工性能，所以，本条要求在设计文件中提供对破损保温的修补构造措施，以防盲目修补施工。修补的原则是不降低相应部位墙体的保温性能。</w:t>
      </w:r>
    </w:p>
    <w:p w14:paraId="63018FF4">
      <w:pPr>
        <w:pStyle w:val="27"/>
        <w:widowControl/>
        <w:rPr>
          <w:rFonts w:hint="default"/>
        </w:rPr>
      </w:pPr>
      <w:r>
        <w:rPr>
          <w:rFonts w:hint="default" w:ascii="Times New Roman" w:hAnsi="Times New Roman"/>
          <w:b/>
          <w:bCs/>
        </w:rPr>
        <w:t xml:space="preserve">4.3.13  </w:t>
      </w:r>
      <w:r>
        <w:t>实现屋面无热桥设计，应满足以下要求：</w:t>
      </w:r>
    </w:p>
    <w:p w14:paraId="4DFC681E">
      <w:pPr>
        <w:pStyle w:val="27"/>
        <w:widowControl/>
        <w:ind w:firstLine="482" w:firstLineChars="200"/>
        <w:rPr>
          <w:rFonts w:hint="default"/>
        </w:rPr>
      </w:pPr>
      <w:r>
        <w:rPr>
          <w:rFonts w:hint="default" w:ascii="Times New Roman" w:hAnsi="Times New Roman"/>
          <w:b/>
          <w:bCs/>
        </w:rPr>
        <w:t xml:space="preserve">1  </w:t>
      </w:r>
      <w:r>
        <w:t>出屋面的管道、排气道外壁应进行热桥保温处理，</w:t>
      </w:r>
      <w:r>
        <w:rPr>
          <w:rFonts w:hint="default" w:ascii="Helvetica" w:hAnsi="Helvetica" w:eastAsia="Helvetica" w:cs="Helvetica"/>
          <w:color w:val="1F2328"/>
          <w:szCs w:val="24"/>
          <w:shd w:val="clear" w:color="auto" w:fill="FFFFFF"/>
        </w:rPr>
        <w:t>其保温范围应符合本标准第4.3.9条</w:t>
      </w:r>
      <w:r>
        <w:rPr>
          <w:rFonts w:ascii="Helvetica" w:hAnsi="Helvetica" w:cs="Helvetica"/>
          <w:color w:val="1F2328"/>
          <w:szCs w:val="24"/>
          <w:shd w:val="clear" w:color="auto" w:fill="FFFFFF"/>
        </w:rPr>
        <w:t>规定</w:t>
      </w:r>
      <w:r>
        <w:t>。在严寒和寒冷地区，除必须外露的风帽、通气帽等构件外，屋面不应存在无保温区域；</w:t>
      </w:r>
    </w:p>
    <w:p w14:paraId="673336FD">
      <w:pPr>
        <w:pStyle w:val="27"/>
        <w:widowControl/>
        <w:ind w:firstLine="482" w:firstLineChars="200"/>
        <w:rPr>
          <w:rFonts w:hint="default"/>
        </w:rPr>
      </w:pPr>
      <w:r>
        <w:rPr>
          <w:rFonts w:hint="default" w:ascii="Times New Roman" w:hAnsi="Times New Roman"/>
          <w:b/>
          <w:bCs/>
        </w:rPr>
        <w:t xml:space="preserve">2  </w:t>
      </w:r>
      <w:r>
        <w:t>当保温层包覆到女儿墙等突岀屋面结构体顶面时，其上部宜有与基层可靠连接的压顶、金属盖板等保护措施。</w:t>
      </w:r>
    </w:p>
    <w:p w14:paraId="32D17DEC">
      <w:pPr>
        <w:pStyle w:val="27"/>
        <w:widowControl/>
        <w:rPr>
          <w:rFonts w:hint="default"/>
          <w:color w:val="8FAADB"/>
        </w:rPr>
      </w:pPr>
      <w:r>
        <w:rPr>
          <w:b/>
          <w:bCs/>
          <w:color w:val="8FAADB"/>
          <w:szCs w:val="24"/>
        </w:rPr>
        <w:t>【条文说明】</w:t>
      </w:r>
      <w:r>
        <w:rPr>
          <w:color w:val="8FAADB"/>
        </w:rPr>
        <w:t>1 伸出屋面的管道、排气道与室内连通，通过这些部位的能耗较大，需要对这些部位进行保温处理，以尽量减少建筑能耗。</w:t>
      </w:r>
    </w:p>
    <w:p w14:paraId="29D8A3CC">
      <w:pPr>
        <w:pStyle w:val="27"/>
        <w:widowControl/>
        <w:ind w:firstLine="480" w:firstLineChars="200"/>
        <w:rPr>
          <w:rFonts w:hint="default"/>
          <w:color w:val="8FAADB"/>
        </w:rPr>
      </w:pPr>
      <w:r>
        <w:rPr>
          <w:color w:val="8FAADB"/>
        </w:rPr>
        <w:t>2 女儿墙顶面是受雨雪影响较大的部位，为了防止水分浸入顶面的保温层，往往需要对女儿墙顶面做防水设防。为了避免女儿墙顶的防水层受破坏，需要在其顶部设置与基层可靠连接的压顶、金属盖板等保护措施。</w:t>
      </w:r>
    </w:p>
    <w:p w14:paraId="77109383">
      <w:pPr>
        <w:pStyle w:val="27"/>
        <w:widowControl/>
        <w:rPr>
          <w:rFonts w:hint="default"/>
          <w:lang w:val="zh-TW" w:eastAsia="zh-TW"/>
        </w:rPr>
      </w:pPr>
      <w:r>
        <w:rPr>
          <w:rFonts w:hint="default" w:ascii="Times New Roman" w:hAnsi="Times New Roman"/>
          <w:b/>
          <w:bCs/>
        </w:rPr>
        <w:t xml:space="preserve">4.3.14  </w:t>
      </w:r>
      <w:r>
        <w:rPr>
          <w:lang w:val="zh-TW"/>
        </w:rPr>
        <w:t>地下室与地面热桥的处理应遵循以下规定：</w:t>
      </w:r>
    </w:p>
    <w:p w14:paraId="51F7F097">
      <w:pPr>
        <w:pStyle w:val="27"/>
        <w:widowControl/>
        <w:ind w:firstLine="482" w:firstLineChars="200"/>
        <w:rPr>
          <w:rFonts w:hint="default"/>
        </w:rPr>
      </w:pPr>
      <w:r>
        <w:rPr>
          <w:rFonts w:hint="default" w:ascii="Times New Roman" w:hAnsi="Times New Roman"/>
          <w:b/>
          <w:bCs/>
        </w:rPr>
        <w:t xml:space="preserve">1  </w:t>
      </w:r>
      <w:r>
        <w:t>首层地面保温层应保持连续性，地上外墙外保温应延伸至室内地面以下或与首层地面保温层相连。外墙或地面保温层向下延伸至室内地面以下的深度，不仅应符合本标准第4.3.9条规定，还应延伸至冻土层下方；</w:t>
      </w:r>
    </w:p>
    <w:p w14:paraId="2FD5AF31">
      <w:pPr>
        <w:pStyle w:val="27"/>
        <w:widowControl/>
        <w:ind w:firstLine="482" w:firstLineChars="200"/>
        <w:rPr>
          <w:rFonts w:hint="default"/>
        </w:rPr>
      </w:pPr>
      <w:r>
        <w:rPr>
          <w:rFonts w:hint="default" w:ascii="Times New Roman" w:hAnsi="Times New Roman"/>
          <w:b/>
          <w:bCs/>
        </w:rPr>
        <w:t xml:space="preserve">2  </w:t>
      </w:r>
      <w:r>
        <w:t>地下室外墙外侧保温层的内部和外部均应设置防水层，且内外防水层均应符合现行国家标准《建筑与市政工程防水通用规范》GB55030要求延伸至室外地面以上适当高度的要求。</w:t>
      </w:r>
      <w:r>
        <w:rPr>
          <w:rFonts w:hint="default" w:ascii="Helvetica" w:hAnsi="Helvetica" w:eastAsia="Helvetica" w:cs="Helvetica"/>
          <w:color w:val="1F2328"/>
          <w:szCs w:val="24"/>
          <w:shd w:val="clear" w:color="auto" w:fill="FFFFFF"/>
        </w:rPr>
        <w:t>保温层外部的防水层应为柔性防水材料，且应不少于一道。</w:t>
      </w:r>
    </w:p>
    <w:p w14:paraId="33AEB894">
      <w:pPr>
        <w:pStyle w:val="27"/>
        <w:widowControl/>
        <w:ind w:firstLine="482" w:firstLineChars="200"/>
        <w:rPr>
          <w:rFonts w:hint="default"/>
        </w:rPr>
      </w:pPr>
      <w:r>
        <w:rPr>
          <w:rFonts w:hint="default" w:ascii="Times New Roman" w:hAnsi="Times New Roman"/>
          <w:b/>
          <w:bCs/>
        </w:rPr>
        <w:t xml:space="preserve">3  </w:t>
      </w:r>
      <w:r>
        <w:t>地下室外墙防水保温系统外侧外应设保护层,保护层应为砌体或刚性材料预制板。保护层应坐落在稳固的基座上，且不宜与地下室墙体拉结锚固，当采取拉结锚固措施时，应对拉结构件穿越防水层的部位进行防水加强处理。</w:t>
      </w:r>
    </w:p>
    <w:p w14:paraId="50EBCE12">
      <w:pPr>
        <w:pStyle w:val="27"/>
        <w:widowControl/>
        <w:rPr>
          <w:rFonts w:hint="default"/>
          <w:color w:val="8FAADB"/>
        </w:rPr>
      </w:pPr>
      <w:r>
        <w:rPr>
          <w:b/>
          <w:bCs/>
          <w:color w:val="8FAADB"/>
          <w:szCs w:val="24"/>
        </w:rPr>
        <w:t>【条文说明】</w:t>
      </w:r>
      <w:r>
        <w:rPr>
          <w:color w:val="8FAADB"/>
        </w:rPr>
        <w:t>1 由于地上建筑的外墙一般会向室内地面以下延伸形成热桥构件，所以，需要按本标准4.3.9条要求对向下延伸的外墙进行保温包覆，如果没有地下室且首层地面设有保温层时，也可以与首层地面保温层连续。首层地面的保温层也应在规范规定的铺设范围内连续，如果应受地下墙柱影响无法连续时，也应按本标准4.3.9条要求向下延伸。</w:t>
      </w:r>
    </w:p>
    <w:p w14:paraId="014D6D3F">
      <w:pPr>
        <w:pStyle w:val="27"/>
        <w:widowControl/>
        <w:ind w:firstLine="480" w:firstLineChars="200"/>
        <w:rPr>
          <w:rFonts w:hint="default"/>
          <w:color w:val="8FAADB"/>
        </w:rPr>
      </w:pPr>
      <w:r>
        <w:rPr>
          <w:color w:val="8FAADB"/>
        </w:rPr>
        <w:t>2 土壤中含有大量水分，为了避免土壤中的水分侵入保温层，需要对地下室外墙保温层的外面采取防水措施；地下土壤内物理化学环境变化复杂，从防水工程质量可靠性角度考虑，防水层附着于主体结构表面远优于附着于保温层外部。为了在尽可能确保地下工程防水质量的同时，使保温材料的保温性能得到维持，本条要求地下室外墙外侧保温层的内部和外部均应设置防水层。</w:t>
      </w:r>
    </w:p>
    <w:p w14:paraId="1264C229">
      <w:pPr>
        <w:pStyle w:val="27"/>
        <w:widowControl/>
        <w:ind w:firstLine="480" w:firstLineChars="200"/>
        <w:rPr>
          <w:rFonts w:hint="default"/>
          <w:color w:val="8FAADB"/>
        </w:rPr>
      </w:pPr>
      <w:r>
        <w:rPr>
          <w:color w:val="8FAADB"/>
        </w:rPr>
        <w:t>3 地下室土回填施工时，需要防止施工过程中对防水层各冲撞或挤压破坏，在土方回填过程中和回填工程结束后，均会出现土壤下沉现象，需要加强对地下室外墙防水层的保护，以防土壤下沉对防水、保温层产生拉扯破坏。同时，也可一定程度起到预防植物根系和啮齿动物破坏的作用。所以，本条提出了保护层应为砌体或刚性材料预制板的要求。</w:t>
      </w:r>
    </w:p>
    <w:p w14:paraId="3E79622F">
      <w:pPr>
        <w:pStyle w:val="5"/>
        <w:widowControl/>
        <w:jc w:val="center"/>
      </w:pPr>
      <w:bookmarkStart w:id="69" w:name="_Toc26787"/>
      <w:bookmarkStart w:id="70" w:name="_Toc30653"/>
      <w:bookmarkStart w:id="71" w:name="_Toc12191"/>
      <w:bookmarkStart w:id="72" w:name="_Toc18506"/>
      <w:bookmarkStart w:id="73" w:name="_Toc24207"/>
      <w:bookmarkStart w:id="74" w:name="_Toc14963"/>
      <w:r>
        <w:rPr>
          <w:rFonts w:hint="eastAsia" w:cs="宋体"/>
        </w:rPr>
        <w:t>Ⅱ</w:t>
      </w:r>
      <w:r>
        <w:t xml:space="preserve">  </w:t>
      </w:r>
      <w:r>
        <w:rPr>
          <w:rFonts w:hint="eastAsia" w:cs="宋体"/>
        </w:rPr>
        <w:t>透光围护结构及遮阳</w:t>
      </w:r>
      <w:bookmarkEnd w:id="69"/>
      <w:bookmarkEnd w:id="70"/>
      <w:bookmarkEnd w:id="71"/>
      <w:bookmarkEnd w:id="72"/>
      <w:bookmarkEnd w:id="73"/>
      <w:bookmarkEnd w:id="74"/>
    </w:p>
    <w:p w14:paraId="51B86866">
      <w:pPr>
        <w:pStyle w:val="27"/>
        <w:widowControl/>
        <w:rPr>
          <w:rFonts w:hint="default"/>
        </w:rPr>
      </w:pPr>
      <w:r>
        <w:rPr>
          <w:rFonts w:hint="default" w:ascii="Times New Roman" w:hAnsi="Times New Roman"/>
          <w:b/>
          <w:bCs/>
        </w:rPr>
        <w:t xml:space="preserve">4.3.15  </w:t>
      </w:r>
      <w:r>
        <w:t>超低能耗居住建筑透光围护结构的热工性能参数应依据性能化设计计算确定，确保在满足整体超低能耗要求的同时，避免局部内表面温度过低而形成与室内温差过大（超过4.2K）或产生结露发霉风险。透光围护结构热工性能参数不宜超过表4.3.15所列限值。</w:t>
      </w:r>
    </w:p>
    <w:p w14:paraId="2A89DF95">
      <w:pPr>
        <w:pStyle w:val="27"/>
        <w:widowControl/>
        <w:spacing w:before="156" w:beforeLines="50" w:after="156" w:afterLines="50"/>
        <w:jc w:val="center"/>
        <w:rPr>
          <w:rFonts w:hint="default"/>
          <w:b/>
          <w:bCs/>
          <w:sz w:val="21"/>
          <w:szCs w:val="21"/>
        </w:rPr>
      </w:pPr>
      <w:r>
        <w:rPr>
          <w:b/>
          <w:bCs/>
          <w:sz w:val="21"/>
          <w:szCs w:val="21"/>
        </w:rPr>
        <w:t>表4.3.15  透光围护结构热工性能参数</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57" w:type="dxa"/>
          <w:left w:w="57" w:type="dxa"/>
          <w:bottom w:w="57" w:type="dxa"/>
          <w:right w:w="57" w:type="dxa"/>
        </w:tblCellMar>
      </w:tblPr>
      <w:tblGrid>
        <w:gridCol w:w="1599"/>
        <w:gridCol w:w="2500"/>
        <w:gridCol w:w="1786"/>
        <w:gridCol w:w="2062"/>
      </w:tblGrid>
      <w:tr w14:paraId="12CA2AF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57" w:type="dxa"/>
            <w:left w:w="57" w:type="dxa"/>
            <w:bottom w:w="57" w:type="dxa"/>
            <w:right w:w="57" w:type="dxa"/>
          </w:tblCellMar>
        </w:tblPrEx>
        <w:trPr>
          <w:jc w:val="center"/>
        </w:trPr>
        <w:tc>
          <w:tcPr>
            <w:tcW w:w="1599" w:type="dxa"/>
            <w:vMerge w:val="restart"/>
            <w:tcBorders>
              <w:top w:val="single" w:color="auto" w:sz="12" w:space="0"/>
              <w:left w:val="single" w:color="auto" w:sz="12" w:space="0"/>
              <w:bottom w:val="single" w:color="000000" w:sz="4" w:space="0"/>
              <w:right w:val="single" w:color="000000" w:sz="4" w:space="0"/>
            </w:tcBorders>
            <w:shd w:val="clear" w:color="auto" w:fill="auto"/>
            <w:vAlign w:val="center"/>
          </w:tcPr>
          <w:p w14:paraId="06531865">
            <w:pPr>
              <w:pStyle w:val="27"/>
              <w:widowControl/>
              <w:jc w:val="center"/>
              <w:rPr>
                <w:rFonts w:hint="default"/>
                <w:b/>
                <w:bCs/>
                <w:sz w:val="21"/>
                <w:szCs w:val="21"/>
              </w:rPr>
            </w:pPr>
            <w:r>
              <w:rPr>
                <w:sz w:val="21"/>
                <w:szCs w:val="21"/>
              </w:rPr>
              <w:t>气候区</w:t>
            </w:r>
          </w:p>
        </w:tc>
        <w:tc>
          <w:tcPr>
            <w:tcW w:w="2500" w:type="dxa"/>
            <w:vMerge w:val="restart"/>
            <w:tcBorders>
              <w:top w:val="single" w:color="auto" w:sz="12" w:space="0"/>
              <w:left w:val="single" w:color="000000" w:sz="4" w:space="0"/>
              <w:bottom w:val="single" w:color="000000" w:sz="4" w:space="0"/>
              <w:right w:val="single" w:color="000000" w:sz="4" w:space="0"/>
            </w:tcBorders>
            <w:shd w:val="clear" w:color="auto" w:fill="auto"/>
            <w:vAlign w:val="center"/>
          </w:tcPr>
          <w:p w14:paraId="3CDB962F">
            <w:pPr>
              <w:pStyle w:val="27"/>
              <w:widowControl/>
              <w:jc w:val="center"/>
              <w:rPr>
                <w:rFonts w:hint="default"/>
                <w:sz w:val="21"/>
                <w:szCs w:val="21"/>
              </w:rPr>
            </w:pPr>
            <w:r>
              <w:rPr>
                <w:sz w:val="21"/>
                <w:szCs w:val="21"/>
              </w:rPr>
              <w:t>外窗、天窗、透光幕墙</w:t>
            </w:r>
          </w:p>
          <w:p w14:paraId="4F1D6B74">
            <w:pPr>
              <w:pStyle w:val="27"/>
              <w:widowControl/>
              <w:jc w:val="center"/>
              <w:rPr>
                <w:rFonts w:hint="default"/>
                <w:sz w:val="21"/>
                <w:szCs w:val="21"/>
              </w:rPr>
            </w:pPr>
            <w:r>
              <w:rPr>
                <w:sz w:val="21"/>
                <w:szCs w:val="21"/>
              </w:rPr>
              <w:t>传热系数K</w:t>
            </w:r>
          </w:p>
          <w:p w14:paraId="36B02DF0">
            <w:pPr>
              <w:pStyle w:val="27"/>
              <w:widowControl/>
              <w:jc w:val="center"/>
              <w:rPr>
                <w:rFonts w:hint="default"/>
                <w:b/>
                <w:bCs/>
                <w:sz w:val="21"/>
                <w:szCs w:val="21"/>
              </w:rPr>
            </w:pPr>
            <w:r>
              <w:rPr>
                <w:sz w:val="21"/>
                <w:szCs w:val="21"/>
              </w:rPr>
              <w:t>[</w:t>
            </w:r>
            <w:r>
              <w:rPr>
                <w:position w:val="-8"/>
                <w:sz w:val="21"/>
                <w:szCs w:val="21"/>
              </w:rPr>
              <w:object>
                <v:shape id="_x0000_i1046" o:spt="75" type="#_x0000_t75" style="height:15pt;width:40.8pt;" o:ole="t" filled="f" o:preferrelative="t" stroked="f" coordsize="21600,21600">
                  <v:path/>
                  <v:fill on="f" focussize="0,0"/>
                  <v:stroke on="f" joinstyle="miter"/>
                  <v:imagedata r:id="rId17" o:title=""/>
                  <o:lock v:ext="edit" aspectratio="t"/>
                  <w10:wrap type="none"/>
                  <w10:anchorlock/>
                </v:shape>
                <o:OLEObject Type="Embed" ProgID="" ShapeID="_x0000_i1046" DrawAspect="Content" ObjectID="_1468075746" r:id="rId41">
                  <o:LockedField>false</o:LockedField>
                </o:OLEObject>
              </w:object>
            </w:r>
            <w:r>
              <w:rPr>
                <w:sz w:val="21"/>
                <w:szCs w:val="21"/>
              </w:rPr>
              <w:t>]</w:t>
            </w:r>
          </w:p>
        </w:tc>
        <w:tc>
          <w:tcPr>
            <w:tcW w:w="3848" w:type="dxa"/>
            <w:gridSpan w:val="2"/>
            <w:tcBorders>
              <w:top w:val="single" w:color="auto" w:sz="12" w:space="0"/>
              <w:left w:val="single" w:color="000000" w:sz="4" w:space="0"/>
              <w:bottom w:val="single" w:color="000000" w:sz="4" w:space="0"/>
              <w:right w:val="single" w:color="auto" w:sz="12" w:space="0"/>
            </w:tcBorders>
            <w:shd w:val="clear" w:color="auto" w:fill="auto"/>
            <w:vAlign w:val="center"/>
          </w:tcPr>
          <w:p w14:paraId="1FDF2023">
            <w:pPr>
              <w:pStyle w:val="27"/>
              <w:widowControl/>
              <w:jc w:val="center"/>
              <w:rPr>
                <w:rFonts w:hint="default"/>
                <w:sz w:val="21"/>
                <w:szCs w:val="21"/>
              </w:rPr>
            </w:pPr>
            <w:r>
              <w:rPr>
                <w:sz w:val="21"/>
                <w:szCs w:val="21"/>
              </w:rPr>
              <w:t>太阳得热系数</w:t>
            </w:r>
          </w:p>
          <w:p w14:paraId="4DE0B149">
            <w:pPr>
              <w:pStyle w:val="27"/>
              <w:widowControl/>
              <w:jc w:val="center"/>
              <w:rPr>
                <w:rFonts w:hint="default"/>
                <w:sz w:val="21"/>
                <w:szCs w:val="21"/>
              </w:rPr>
            </w:pPr>
            <w:r>
              <w:rPr>
                <w:sz w:val="21"/>
                <w:szCs w:val="21"/>
              </w:rPr>
              <w:t>（东、西、南向、天窗）</w:t>
            </w:r>
          </w:p>
          <w:p w14:paraId="3FFE1DCD">
            <w:pPr>
              <w:pStyle w:val="27"/>
              <w:widowControl/>
              <w:jc w:val="center"/>
              <w:rPr>
                <w:rFonts w:hint="default"/>
                <w:sz w:val="21"/>
                <w:szCs w:val="21"/>
              </w:rPr>
            </w:pPr>
            <w:r>
              <w:rPr>
                <w:sz w:val="21"/>
                <w:szCs w:val="21"/>
              </w:rPr>
              <w:t>SHGC</w:t>
            </w:r>
          </w:p>
        </w:tc>
      </w:tr>
      <w:tr w14:paraId="06EF714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57" w:type="dxa"/>
            <w:left w:w="57" w:type="dxa"/>
            <w:bottom w:w="57" w:type="dxa"/>
            <w:right w:w="57" w:type="dxa"/>
          </w:tblCellMar>
        </w:tblPrEx>
        <w:trPr>
          <w:jc w:val="center"/>
        </w:trPr>
        <w:tc>
          <w:tcPr>
            <w:tcW w:w="1599" w:type="dxa"/>
            <w:vMerge w:val="continue"/>
            <w:tcBorders>
              <w:top w:val="single" w:color="auto" w:sz="12" w:space="0"/>
              <w:left w:val="single" w:color="auto" w:sz="12" w:space="0"/>
              <w:bottom w:val="single" w:color="000000" w:sz="4" w:space="0"/>
              <w:right w:val="single" w:color="000000" w:sz="4" w:space="0"/>
            </w:tcBorders>
            <w:shd w:val="clear" w:color="auto" w:fill="auto"/>
            <w:vAlign w:val="center"/>
          </w:tcPr>
          <w:p w14:paraId="70DF62B4">
            <w:pPr>
              <w:rPr>
                <w:rFonts w:ascii="Times New Roman" w:hAnsi="Times New Roman" w:cs="Times New Roman"/>
                <w:sz w:val="20"/>
                <w:szCs w:val="20"/>
              </w:rPr>
            </w:pPr>
          </w:p>
        </w:tc>
        <w:tc>
          <w:tcPr>
            <w:tcW w:w="2500" w:type="dxa"/>
            <w:vMerge w:val="continue"/>
            <w:tcBorders>
              <w:top w:val="single" w:color="auto" w:sz="12" w:space="0"/>
              <w:left w:val="single" w:color="000000" w:sz="4" w:space="0"/>
              <w:bottom w:val="single" w:color="000000" w:sz="4" w:space="0"/>
              <w:right w:val="single" w:color="000000" w:sz="4" w:space="0"/>
            </w:tcBorders>
            <w:shd w:val="clear" w:color="auto" w:fill="auto"/>
            <w:vAlign w:val="center"/>
          </w:tcPr>
          <w:p w14:paraId="44DA81D6">
            <w:pPr>
              <w:rPr>
                <w:rFonts w:ascii="Times New Roman" w:hAnsi="Times New Roman" w:cs="Times New Roman"/>
                <w:sz w:val="20"/>
                <w:szCs w:val="20"/>
              </w:rPr>
            </w:pP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BEB2">
            <w:pPr>
              <w:pStyle w:val="27"/>
              <w:widowControl/>
              <w:jc w:val="center"/>
              <w:rPr>
                <w:rFonts w:hint="default"/>
                <w:sz w:val="21"/>
                <w:szCs w:val="21"/>
              </w:rPr>
            </w:pPr>
            <w:r>
              <w:rPr>
                <w:sz w:val="21"/>
                <w:szCs w:val="21"/>
              </w:rPr>
              <w:t>冬季</w:t>
            </w:r>
          </w:p>
        </w:tc>
        <w:tc>
          <w:tcPr>
            <w:tcW w:w="2062" w:type="dxa"/>
            <w:tcBorders>
              <w:top w:val="single" w:color="000000" w:sz="4" w:space="0"/>
              <w:left w:val="single" w:color="000000" w:sz="4" w:space="0"/>
              <w:bottom w:val="single" w:color="000000" w:sz="4" w:space="0"/>
              <w:right w:val="single" w:color="auto" w:sz="12" w:space="0"/>
            </w:tcBorders>
            <w:shd w:val="clear" w:color="auto" w:fill="auto"/>
            <w:vAlign w:val="center"/>
          </w:tcPr>
          <w:p w14:paraId="43A75EDF">
            <w:pPr>
              <w:pStyle w:val="27"/>
              <w:widowControl/>
              <w:jc w:val="center"/>
              <w:rPr>
                <w:rFonts w:hint="default"/>
                <w:sz w:val="21"/>
                <w:szCs w:val="21"/>
              </w:rPr>
            </w:pPr>
            <w:r>
              <w:rPr>
                <w:sz w:val="21"/>
                <w:szCs w:val="21"/>
              </w:rPr>
              <w:t>夏季</w:t>
            </w:r>
          </w:p>
        </w:tc>
      </w:tr>
      <w:tr w14:paraId="680072C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57" w:type="dxa"/>
            <w:left w:w="57" w:type="dxa"/>
            <w:bottom w:w="57" w:type="dxa"/>
            <w:right w:w="57" w:type="dxa"/>
          </w:tblCellMar>
        </w:tblPrEx>
        <w:trPr>
          <w:jc w:val="center"/>
        </w:trPr>
        <w:tc>
          <w:tcPr>
            <w:tcW w:w="1599" w:type="dxa"/>
            <w:tcBorders>
              <w:top w:val="single" w:color="000000" w:sz="4" w:space="0"/>
              <w:left w:val="single" w:color="auto" w:sz="12" w:space="0"/>
              <w:bottom w:val="single" w:color="000000" w:sz="4" w:space="0"/>
              <w:right w:val="single" w:color="000000" w:sz="4" w:space="0"/>
            </w:tcBorders>
            <w:shd w:val="clear" w:color="auto" w:fill="auto"/>
            <w:vAlign w:val="center"/>
          </w:tcPr>
          <w:p w14:paraId="2ADA33BF">
            <w:pPr>
              <w:pStyle w:val="27"/>
              <w:widowControl/>
              <w:jc w:val="center"/>
              <w:rPr>
                <w:rFonts w:hint="default"/>
                <w:sz w:val="21"/>
                <w:szCs w:val="21"/>
              </w:rPr>
            </w:pPr>
            <w:r>
              <w:rPr>
                <w:sz w:val="21"/>
                <w:szCs w:val="21"/>
              </w:rPr>
              <w:t>严寒地区</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F6A3">
            <w:pPr>
              <w:pStyle w:val="27"/>
              <w:widowControl/>
              <w:jc w:val="center"/>
              <w:rPr>
                <w:rFonts w:hint="default"/>
                <w:sz w:val="21"/>
                <w:szCs w:val="21"/>
              </w:rPr>
            </w:pPr>
            <w:r>
              <w:rPr>
                <w:sz w:val="21"/>
                <w:szCs w:val="21"/>
              </w:rPr>
              <w:t>≤1.00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934B">
            <w:pPr>
              <w:pStyle w:val="27"/>
              <w:widowControl/>
              <w:jc w:val="center"/>
              <w:rPr>
                <w:rFonts w:hint="default"/>
                <w:sz w:val="21"/>
                <w:szCs w:val="21"/>
              </w:rPr>
            </w:pPr>
            <w:r>
              <w:rPr>
                <w:sz w:val="21"/>
                <w:szCs w:val="21"/>
              </w:rPr>
              <w:t>≥0.50</w:t>
            </w:r>
          </w:p>
        </w:tc>
        <w:tc>
          <w:tcPr>
            <w:tcW w:w="2062" w:type="dxa"/>
            <w:tcBorders>
              <w:top w:val="single" w:color="000000" w:sz="4" w:space="0"/>
              <w:left w:val="single" w:color="000000" w:sz="4" w:space="0"/>
              <w:bottom w:val="single" w:color="000000" w:sz="4" w:space="0"/>
              <w:right w:val="single" w:color="auto" w:sz="12" w:space="0"/>
            </w:tcBorders>
            <w:shd w:val="clear" w:color="auto" w:fill="auto"/>
            <w:vAlign w:val="center"/>
          </w:tcPr>
          <w:p w14:paraId="10109A69">
            <w:pPr>
              <w:pStyle w:val="27"/>
              <w:widowControl/>
              <w:jc w:val="center"/>
              <w:rPr>
                <w:rFonts w:hint="default"/>
                <w:sz w:val="21"/>
                <w:szCs w:val="21"/>
              </w:rPr>
            </w:pPr>
            <w:r>
              <w:rPr>
                <w:sz w:val="21"/>
                <w:szCs w:val="21"/>
              </w:rPr>
              <w:t>≤0.3</w:t>
            </w:r>
          </w:p>
        </w:tc>
      </w:tr>
      <w:tr w14:paraId="467FC68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57" w:type="dxa"/>
            <w:left w:w="57" w:type="dxa"/>
            <w:bottom w:w="57" w:type="dxa"/>
            <w:right w:w="57" w:type="dxa"/>
          </w:tblCellMar>
        </w:tblPrEx>
        <w:trPr>
          <w:jc w:val="center"/>
        </w:trPr>
        <w:tc>
          <w:tcPr>
            <w:tcW w:w="1599" w:type="dxa"/>
            <w:tcBorders>
              <w:top w:val="single" w:color="000000" w:sz="4" w:space="0"/>
              <w:left w:val="single" w:color="auto" w:sz="12" w:space="0"/>
              <w:bottom w:val="single" w:color="000000" w:sz="4" w:space="0"/>
              <w:right w:val="single" w:color="000000" w:sz="4" w:space="0"/>
            </w:tcBorders>
            <w:shd w:val="clear" w:color="auto" w:fill="auto"/>
            <w:vAlign w:val="center"/>
          </w:tcPr>
          <w:p w14:paraId="744024D1">
            <w:pPr>
              <w:pStyle w:val="27"/>
              <w:widowControl/>
              <w:jc w:val="center"/>
              <w:rPr>
                <w:rFonts w:hint="default"/>
                <w:sz w:val="21"/>
                <w:szCs w:val="21"/>
              </w:rPr>
            </w:pPr>
            <w:r>
              <w:rPr>
                <w:sz w:val="21"/>
                <w:szCs w:val="21"/>
              </w:rPr>
              <w:t>寒冷地区</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4EAD">
            <w:pPr>
              <w:pStyle w:val="27"/>
              <w:widowControl/>
              <w:jc w:val="center"/>
              <w:rPr>
                <w:rFonts w:hint="default"/>
                <w:sz w:val="21"/>
                <w:szCs w:val="21"/>
              </w:rPr>
            </w:pPr>
            <w:r>
              <w:rPr>
                <w:sz w:val="21"/>
                <w:szCs w:val="21"/>
              </w:rPr>
              <w:t>≤1.20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1A4B">
            <w:pPr>
              <w:pStyle w:val="27"/>
              <w:widowControl/>
              <w:jc w:val="center"/>
              <w:rPr>
                <w:rFonts w:hint="default"/>
                <w:sz w:val="21"/>
                <w:szCs w:val="21"/>
              </w:rPr>
            </w:pPr>
            <w:r>
              <w:rPr>
                <w:sz w:val="21"/>
                <w:szCs w:val="21"/>
              </w:rPr>
              <w:t>≥0.45</w:t>
            </w:r>
          </w:p>
        </w:tc>
        <w:tc>
          <w:tcPr>
            <w:tcW w:w="2062" w:type="dxa"/>
            <w:tcBorders>
              <w:top w:val="single" w:color="000000" w:sz="4" w:space="0"/>
              <w:left w:val="single" w:color="000000" w:sz="4" w:space="0"/>
              <w:bottom w:val="single" w:color="000000" w:sz="4" w:space="0"/>
              <w:right w:val="single" w:color="auto" w:sz="12" w:space="0"/>
            </w:tcBorders>
            <w:shd w:val="clear" w:color="auto" w:fill="auto"/>
            <w:vAlign w:val="center"/>
          </w:tcPr>
          <w:p w14:paraId="093161C0">
            <w:pPr>
              <w:pStyle w:val="27"/>
              <w:widowControl/>
              <w:jc w:val="center"/>
              <w:rPr>
                <w:rFonts w:hint="default"/>
                <w:sz w:val="21"/>
                <w:szCs w:val="21"/>
              </w:rPr>
            </w:pPr>
            <w:r>
              <w:rPr>
                <w:sz w:val="21"/>
                <w:szCs w:val="21"/>
              </w:rPr>
              <w:t>≤0.3</w:t>
            </w:r>
          </w:p>
        </w:tc>
      </w:tr>
      <w:tr w14:paraId="27F0FA0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57" w:type="dxa"/>
            <w:left w:w="57" w:type="dxa"/>
            <w:bottom w:w="57" w:type="dxa"/>
            <w:right w:w="57" w:type="dxa"/>
          </w:tblCellMar>
        </w:tblPrEx>
        <w:trPr>
          <w:jc w:val="center"/>
        </w:trPr>
        <w:tc>
          <w:tcPr>
            <w:tcW w:w="1599" w:type="dxa"/>
            <w:tcBorders>
              <w:top w:val="single" w:color="000000" w:sz="4" w:space="0"/>
              <w:left w:val="single" w:color="auto" w:sz="12" w:space="0"/>
              <w:bottom w:val="single" w:color="000000" w:sz="4" w:space="0"/>
              <w:right w:val="single" w:color="000000" w:sz="4" w:space="0"/>
            </w:tcBorders>
            <w:shd w:val="clear" w:color="auto" w:fill="auto"/>
            <w:vAlign w:val="center"/>
          </w:tcPr>
          <w:p w14:paraId="2EF1448D">
            <w:pPr>
              <w:pStyle w:val="27"/>
              <w:widowControl/>
              <w:jc w:val="center"/>
              <w:rPr>
                <w:rFonts w:hint="default"/>
                <w:sz w:val="21"/>
                <w:szCs w:val="21"/>
              </w:rPr>
            </w:pPr>
            <w:r>
              <w:rPr>
                <w:sz w:val="21"/>
                <w:szCs w:val="21"/>
              </w:rPr>
              <w:t>夏热冬冷地区</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9E93">
            <w:pPr>
              <w:pStyle w:val="27"/>
              <w:widowControl/>
              <w:jc w:val="center"/>
              <w:rPr>
                <w:rFonts w:hint="default"/>
                <w:sz w:val="21"/>
                <w:szCs w:val="21"/>
              </w:rPr>
            </w:pPr>
            <w:r>
              <w:rPr>
                <w:sz w:val="21"/>
                <w:szCs w:val="21"/>
              </w:rPr>
              <w:t>≤1.80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66F0">
            <w:pPr>
              <w:pStyle w:val="27"/>
              <w:widowControl/>
              <w:jc w:val="center"/>
              <w:rPr>
                <w:rFonts w:hint="default"/>
                <w:sz w:val="21"/>
                <w:szCs w:val="21"/>
              </w:rPr>
            </w:pPr>
            <w:r>
              <w:rPr>
                <w:sz w:val="21"/>
                <w:szCs w:val="21"/>
              </w:rPr>
              <w:t>≥0.40</w:t>
            </w:r>
          </w:p>
        </w:tc>
        <w:tc>
          <w:tcPr>
            <w:tcW w:w="2062" w:type="dxa"/>
            <w:tcBorders>
              <w:top w:val="single" w:color="000000" w:sz="4" w:space="0"/>
              <w:left w:val="single" w:color="000000" w:sz="4" w:space="0"/>
              <w:bottom w:val="single" w:color="000000" w:sz="4" w:space="0"/>
              <w:right w:val="single" w:color="auto" w:sz="12" w:space="0"/>
            </w:tcBorders>
            <w:shd w:val="clear" w:color="auto" w:fill="auto"/>
            <w:vAlign w:val="center"/>
          </w:tcPr>
          <w:p w14:paraId="0A20D0A5">
            <w:pPr>
              <w:pStyle w:val="27"/>
              <w:widowControl/>
              <w:jc w:val="center"/>
              <w:rPr>
                <w:rFonts w:hint="default"/>
                <w:sz w:val="21"/>
                <w:szCs w:val="21"/>
              </w:rPr>
            </w:pPr>
            <w:r>
              <w:rPr>
                <w:sz w:val="21"/>
                <w:szCs w:val="21"/>
              </w:rPr>
              <w:t>≤0.15</w:t>
            </w:r>
          </w:p>
        </w:tc>
      </w:tr>
      <w:tr w14:paraId="0151624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57" w:type="dxa"/>
            <w:left w:w="57" w:type="dxa"/>
            <w:bottom w:w="57" w:type="dxa"/>
            <w:right w:w="57" w:type="dxa"/>
          </w:tblCellMar>
        </w:tblPrEx>
        <w:trPr>
          <w:jc w:val="center"/>
        </w:trPr>
        <w:tc>
          <w:tcPr>
            <w:tcW w:w="1599" w:type="dxa"/>
            <w:tcBorders>
              <w:top w:val="single" w:color="000000" w:sz="4" w:space="0"/>
              <w:left w:val="single" w:color="auto" w:sz="12" w:space="0"/>
              <w:bottom w:val="single" w:color="000000" w:sz="4" w:space="0"/>
              <w:right w:val="single" w:color="000000" w:sz="4" w:space="0"/>
            </w:tcBorders>
            <w:shd w:val="clear" w:color="auto" w:fill="auto"/>
            <w:vAlign w:val="center"/>
          </w:tcPr>
          <w:p w14:paraId="62B5695C">
            <w:pPr>
              <w:pStyle w:val="27"/>
              <w:widowControl/>
              <w:jc w:val="center"/>
              <w:rPr>
                <w:rFonts w:hint="default"/>
                <w:sz w:val="21"/>
                <w:szCs w:val="21"/>
              </w:rPr>
            </w:pPr>
            <w:r>
              <w:rPr>
                <w:sz w:val="21"/>
                <w:szCs w:val="21"/>
              </w:rPr>
              <w:t>夏热冬暖地区</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E7CE">
            <w:pPr>
              <w:pStyle w:val="27"/>
              <w:widowControl/>
              <w:jc w:val="center"/>
              <w:rPr>
                <w:rFonts w:hint="default"/>
                <w:sz w:val="21"/>
                <w:szCs w:val="21"/>
              </w:rPr>
            </w:pPr>
            <w:r>
              <w:rPr>
                <w:sz w:val="21"/>
                <w:szCs w:val="21"/>
              </w:rPr>
              <w:t>≤1.80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AD91">
            <w:pPr>
              <w:pStyle w:val="27"/>
              <w:widowControl/>
              <w:jc w:val="center"/>
              <w:rPr>
                <w:rFonts w:hint="default"/>
                <w:sz w:val="21"/>
                <w:szCs w:val="21"/>
              </w:rPr>
            </w:pPr>
            <w:r>
              <w:rPr>
                <w:sz w:val="21"/>
                <w:szCs w:val="21"/>
              </w:rPr>
              <w:t>≥0.35</w:t>
            </w:r>
          </w:p>
        </w:tc>
        <w:tc>
          <w:tcPr>
            <w:tcW w:w="2062" w:type="dxa"/>
            <w:tcBorders>
              <w:top w:val="single" w:color="000000" w:sz="4" w:space="0"/>
              <w:left w:val="single" w:color="000000" w:sz="4" w:space="0"/>
              <w:bottom w:val="single" w:color="000000" w:sz="4" w:space="0"/>
              <w:right w:val="single" w:color="auto" w:sz="12" w:space="0"/>
            </w:tcBorders>
            <w:shd w:val="clear" w:color="auto" w:fill="auto"/>
            <w:vAlign w:val="center"/>
          </w:tcPr>
          <w:p w14:paraId="72A36472">
            <w:pPr>
              <w:pStyle w:val="27"/>
              <w:widowControl/>
              <w:jc w:val="center"/>
              <w:rPr>
                <w:rFonts w:hint="default"/>
                <w:sz w:val="21"/>
                <w:szCs w:val="21"/>
              </w:rPr>
            </w:pPr>
            <w:r>
              <w:rPr>
                <w:sz w:val="21"/>
                <w:szCs w:val="21"/>
              </w:rPr>
              <w:t>≤0.15</w:t>
            </w:r>
          </w:p>
        </w:tc>
      </w:tr>
      <w:tr w14:paraId="35627D0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57" w:type="dxa"/>
            <w:left w:w="57" w:type="dxa"/>
            <w:bottom w:w="57" w:type="dxa"/>
            <w:right w:w="57" w:type="dxa"/>
          </w:tblCellMar>
        </w:tblPrEx>
        <w:trPr>
          <w:jc w:val="center"/>
        </w:trPr>
        <w:tc>
          <w:tcPr>
            <w:tcW w:w="1599" w:type="dxa"/>
            <w:tcBorders>
              <w:top w:val="single" w:color="000000" w:sz="4" w:space="0"/>
              <w:left w:val="single" w:color="auto" w:sz="12" w:space="0"/>
              <w:bottom w:val="single" w:color="auto" w:sz="12" w:space="0"/>
              <w:right w:val="single" w:color="000000" w:sz="4" w:space="0"/>
            </w:tcBorders>
            <w:shd w:val="clear" w:color="auto" w:fill="auto"/>
            <w:vAlign w:val="center"/>
          </w:tcPr>
          <w:p w14:paraId="2A33F0D2">
            <w:pPr>
              <w:pStyle w:val="27"/>
              <w:widowControl/>
              <w:jc w:val="center"/>
              <w:rPr>
                <w:rFonts w:hint="default"/>
                <w:sz w:val="21"/>
                <w:szCs w:val="21"/>
              </w:rPr>
            </w:pPr>
            <w:r>
              <w:rPr>
                <w:sz w:val="21"/>
                <w:szCs w:val="21"/>
              </w:rPr>
              <w:t>温和地区</w:t>
            </w:r>
          </w:p>
        </w:tc>
        <w:tc>
          <w:tcPr>
            <w:tcW w:w="2500" w:type="dxa"/>
            <w:tcBorders>
              <w:top w:val="single" w:color="000000" w:sz="4" w:space="0"/>
              <w:left w:val="single" w:color="000000" w:sz="4" w:space="0"/>
              <w:bottom w:val="single" w:color="auto" w:sz="12" w:space="0"/>
              <w:right w:val="single" w:color="000000" w:sz="4" w:space="0"/>
            </w:tcBorders>
            <w:shd w:val="clear" w:color="auto" w:fill="auto"/>
            <w:vAlign w:val="center"/>
          </w:tcPr>
          <w:p w14:paraId="25AA7684">
            <w:pPr>
              <w:pStyle w:val="27"/>
              <w:widowControl/>
              <w:jc w:val="center"/>
              <w:rPr>
                <w:rFonts w:hint="default"/>
                <w:sz w:val="21"/>
                <w:szCs w:val="21"/>
              </w:rPr>
            </w:pPr>
            <w:r>
              <w:rPr>
                <w:sz w:val="21"/>
                <w:szCs w:val="21"/>
              </w:rPr>
              <w:t>≤1.80</w:t>
            </w:r>
          </w:p>
        </w:tc>
        <w:tc>
          <w:tcPr>
            <w:tcW w:w="1786" w:type="dxa"/>
            <w:tcBorders>
              <w:top w:val="single" w:color="000000" w:sz="4" w:space="0"/>
              <w:left w:val="single" w:color="000000" w:sz="4" w:space="0"/>
              <w:bottom w:val="single" w:color="auto" w:sz="12" w:space="0"/>
              <w:right w:val="single" w:color="000000" w:sz="4" w:space="0"/>
            </w:tcBorders>
            <w:shd w:val="clear" w:color="auto" w:fill="auto"/>
            <w:vAlign w:val="center"/>
          </w:tcPr>
          <w:p w14:paraId="17917D36">
            <w:pPr>
              <w:pStyle w:val="27"/>
              <w:widowControl/>
              <w:jc w:val="center"/>
              <w:rPr>
                <w:rFonts w:hint="default"/>
                <w:sz w:val="21"/>
                <w:szCs w:val="21"/>
              </w:rPr>
            </w:pPr>
            <w:r>
              <w:rPr>
                <w:sz w:val="21"/>
                <w:szCs w:val="21"/>
              </w:rPr>
              <w:t>≥0.40</w:t>
            </w:r>
          </w:p>
        </w:tc>
        <w:tc>
          <w:tcPr>
            <w:tcW w:w="2062" w:type="dxa"/>
            <w:tcBorders>
              <w:top w:val="single" w:color="000000" w:sz="4" w:space="0"/>
              <w:left w:val="single" w:color="000000" w:sz="4" w:space="0"/>
              <w:bottom w:val="single" w:color="auto" w:sz="12" w:space="0"/>
              <w:right w:val="single" w:color="auto" w:sz="12" w:space="0"/>
            </w:tcBorders>
            <w:shd w:val="clear" w:color="auto" w:fill="auto"/>
            <w:vAlign w:val="center"/>
          </w:tcPr>
          <w:p w14:paraId="437D34E1">
            <w:pPr>
              <w:pStyle w:val="27"/>
              <w:widowControl/>
              <w:jc w:val="center"/>
              <w:rPr>
                <w:rFonts w:hint="default"/>
                <w:sz w:val="21"/>
                <w:szCs w:val="21"/>
              </w:rPr>
            </w:pPr>
            <w:r>
              <w:rPr>
                <w:sz w:val="21"/>
                <w:szCs w:val="21"/>
              </w:rPr>
              <w:t>≤0.3</w:t>
            </w:r>
          </w:p>
        </w:tc>
      </w:tr>
    </w:tbl>
    <w:p w14:paraId="1E63839C">
      <w:pPr>
        <w:pStyle w:val="27"/>
        <w:widowControl/>
        <w:spacing w:line="26" w:lineRule="atLeast"/>
        <w:rPr>
          <w:rFonts w:hint="default"/>
          <w:color w:val="8FAADB"/>
        </w:rPr>
      </w:pPr>
      <w:r>
        <w:rPr>
          <w:b/>
          <w:bCs/>
          <w:color w:val="8FAADB"/>
          <w:szCs w:val="24"/>
        </w:rPr>
        <w:t>【条文说明】</w:t>
      </w:r>
      <w:r>
        <w:rPr>
          <w:color w:val="8FAADB"/>
        </w:rPr>
        <w:t>本条款规定了超低能耗居住建筑中透光围护结构（包括外窗、天窗和透光幕墙）的热工性能参数设计原则、具体要求及限值标准，旨在引导设计者运用性能化设计方法，结合不同气候区的参数限值，精准调控超低能耗居住建筑中透光围护结构的热工性能，以确保建筑整体节能效果、室内热舒适性及避免结露发霉等不利现象。</w:t>
      </w:r>
    </w:p>
    <w:p w14:paraId="6ABCBA22">
      <w:pPr>
        <w:pStyle w:val="27"/>
        <w:widowControl/>
        <w:rPr>
          <w:rFonts w:hint="default"/>
        </w:rPr>
      </w:pPr>
      <w:r>
        <w:rPr>
          <w:rFonts w:hint="default" w:ascii="Times New Roman" w:hAnsi="Times New Roman"/>
          <w:b/>
          <w:bCs/>
        </w:rPr>
        <w:t xml:space="preserve">4.3.16  </w:t>
      </w:r>
      <w:r>
        <w:t>外窗与遮阳设施的性能选择应综合考虑保温、天然采光、自然通风、夏季遮阳、冬季得热等多种需求。对于严寒和寒冷地区，设计应侧重冬季保温与太阳得热，兼顾夏季隔热遮阳；而在夏热冬冷和夏热冬暖地区，应以夏季隔热遮阳为主，同时注意冬季保温要求，过渡季节应能确保有效利用自然通风以降低能耗。</w:t>
      </w:r>
    </w:p>
    <w:p w14:paraId="653D889C">
      <w:pPr>
        <w:pStyle w:val="27"/>
        <w:widowControl/>
        <w:spacing w:line="26" w:lineRule="atLeast"/>
        <w:rPr>
          <w:rFonts w:hint="default"/>
          <w:color w:val="8FAADB"/>
        </w:rPr>
      </w:pPr>
      <w:r>
        <w:rPr>
          <w:b/>
          <w:bCs/>
          <w:color w:val="8FAADB"/>
          <w:szCs w:val="24"/>
        </w:rPr>
        <w:t>【条文说明】</w:t>
      </w:r>
      <w:r>
        <w:rPr>
          <w:color w:val="8FAADB"/>
        </w:rPr>
        <w:t>超低能耗居住建筑节能设计应根据场地和气候条件，在满足建筑功能和美观要求的前提下，通过优化建筑外形和内部空间布局，充分利用天然采光以减少建筑的人工照明需求，适时合理利用自然通风以消除建筑余热余湿。在保证室内环境质量，满足人们对室内舒适度要求的前提下，优先考虑优化围护结构保温隔热能力，减少通过围护结构形成的建筑冷热负荷，降低建筑用能需求，继而考虑提高供暖、通风、空调和照明、电气、给水排水等系统的能源利用效率，进一步降低能耗:在此基础上，通过合理利用可再生能源，实现降低化石能源消耗量的目标。严寒和寒冷地区采暖时间较长，应以保温和获取太阳得热为主，夏热冬冷和夏热冬暖地区空调时间较长，应充分考虑夏季隔热和遮阳，减少围护结构外表面温度，从而减少室内外温差实现降低能耗的目的。</w:t>
      </w:r>
    </w:p>
    <w:p w14:paraId="04AEB5D9">
      <w:pPr>
        <w:pStyle w:val="27"/>
        <w:widowControl/>
        <w:ind w:firstLine="480" w:firstLineChars="200"/>
        <w:rPr>
          <w:rFonts w:hint="default"/>
          <w:color w:val="8FAADB"/>
        </w:rPr>
      </w:pPr>
      <w:r>
        <w:rPr>
          <w:color w:val="8FAADB"/>
        </w:rPr>
        <w:t>在进行外窗和遮阳设施性能的选择时，应根据外窗所在的位置、朝向综合考虑，既要考虑夏季的遮阳，尽量减少太阳辐射热透过玻璃传入室内，又要考虑能在采暖季节从窗户获得尽可能多的太阳辐射热能，不能单一考虑某一个季节的需要。同时，尽量能做到即使在遮阳时也能尽可多的能获得充足的天然采光。</w:t>
      </w:r>
    </w:p>
    <w:p w14:paraId="3D82EBE5">
      <w:pPr>
        <w:pStyle w:val="27"/>
        <w:widowControl/>
        <w:rPr>
          <w:rFonts w:hint="default"/>
        </w:rPr>
      </w:pPr>
      <w:r>
        <w:rPr>
          <w:rFonts w:hint="default" w:ascii="Times New Roman" w:hAnsi="Times New Roman"/>
          <w:b/>
          <w:bCs/>
        </w:rPr>
        <w:t xml:space="preserve">4.3.17  </w:t>
      </w:r>
      <w:r>
        <w:t>外窗设计应尽量少设窗框，提高玻璃面积占比，以提升外窗的保温性能、冬季得热效果及采光、视野通透性。但单块玻璃面积不宜过大，以免过于增加成本和施工难度。</w:t>
      </w:r>
    </w:p>
    <w:p w14:paraId="62A09485">
      <w:pPr>
        <w:pStyle w:val="27"/>
        <w:widowControl/>
        <w:spacing w:line="26" w:lineRule="atLeast"/>
        <w:rPr>
          <w:rFonts w:hint="default"/>
          <w:color w:val="8FAADB"/>
        </w:rPr>
      </w:pPr>
      <w:r>
        <w:rPr>
          <w:b/>
          <w:bCs/>
          <w:color w:val="8FAADB"/>
          <w:szCs w:val="24"/>
        </w:rPr>
        <w:t>【条文说明】</w:t>
      </w:r>
      <w:r>
        <w:rPr>
          <w:color w:val="8FAADB"/>
        </w:rPr>
        <w:t>随着超低能耗居住建筑透明围护结构保温性能要求的提高，其型材往往大于普通建筑，导致型材占外窗的比例明显加大，这将严重影响外窗的采光性能。从天然采光的需求来说，冬季从外窗射入室内的阳光可以带给室内较多的热量，从而起到降低能耗的作用，同时，过小的透光面积也会降低生活舒适度，这是人们不愿意接受的。所以，若要解决这一矛盾，尽可能选择型材截面尺寸较小的产品、减少型材数量即成为必然手段。一般玻璃的传热系数与单位面积价格都低于窗框，所以提高玻璃占比无论一次性投资成本或运营成本都更低。但如果单扇玻璃面积过大，如超过4平方米，可能按结构强度需求必须提高玻璃厚度，从而增加成本及施工高难度。</w:t>
      </w:r>
    </w:p>
    <w:p w14:paraId="456E9479">
      <w:pPr>
        <w:pStyle w:val="27"/>
        <w:widowControl/>
        <w:rPr>
          <w:rFonts w:hint="default"/>
        </w:rPr>
      </w:pPr>
      <w:r>
        <w:rPr>
          <w:rFonts w:hint="default" w:ascii="Times New Roman" w:hAnsi="Times New Roman"/>
          <w:b/>
          <w:bCs/>
        </w:rPr>
        <w:t xml:space="preserve">4.3.18  </w:t>
      </w:r>
      <w:r>
        <w:t>外门窗及其遮阳设施应综合考虑节能、安全、窗外设施、外观造型等因素，并遵循以下热桥处理规定：</w:t>
      </w:r>
    </w:p>
    <w:p w14:paraId="3E42BDD9">
      <w:pPr>
        <w:pStyle w:val="27"/>
        <w:widowControl/>
        <w:ind w:firstLine="482" w:firstLineChars="200"/>
        <w:rPr>
          <w:rFonts w:hint="default"/>
        </w:rPr>
      </w:pPr>
      <w:r>
        <w:rPr>
          <w:rFonts w:hint="default" w:ascii="Times New Roman" w:hAnsi="Times New Roman"/>
          <w:b/>
          <w:bCs/>
        </w:rPr>
        <w:t xml:space="preserve">1  </w:t>
      </w:r>
      <w:r>
        <w:t>当采用全嵌、半嵌安装方式时，应采取措施降低门窗框与周边墙体间的热流传递强度，并进行安装热桥、整体保温性能及局部内表面温度计算。对于内嵌中站或内嵌内平安装方式，对应的土建洞口内墙体端面窗口周边保温层的自身热阻不应低于主墙面保温层的自身热阻。</w:t>
      </w:r>
    </w:p>
    <w:p w14:paraId="217A0A25">
      <w:pPr>
        <w:pStyle w:val="27"/>
        <w:widowControl/>
        <w:ind w:firstLine="482" w:firstLineChars="200"/>
        <w:rPr>
          <w:rFonts w:hint="default"/>
        </w:rPr>
      </w:pPr>
      <w:r>
        <w:rPr>
          <w:rFonts w:hint="default" w:ascii="Times New Roman" w:hAnsi="Times New Roman"/>
          <w:b/>
          <w:bCs/>
        </w:rPr>
        <w:t xml:space="preserve">2  </w:t>
      </w:r>
      <w:r>
        <w:t>在混凝土预制夹心保温外墙中，外门窗应采用全嵌式安装，以防止窗体重量及风荷载传递至外叶板导致系统性风险。</w:t>
      </w:r>
    </w:p>
    <w:p w14:paraId="61E3FEE3">
      <w:pPr>
        <w:pStyle w:val="27"/>
        <w:widowControl/>
        <w:spacing w:line="26" w:lineRule="atLeast"/>
        <w:rPr>
          <w:rFonts w:hint="default"/>
          <w:color w:val="8FAADB"/>
        </w:rPr>
      </w:pPr>
      <w:r>
        <w:rPr>
          <w:b/>
          <w:bCs/>
          <w:color w:val="8FAADB"/>
          <w:szCs w:val="24"/>
        </w:rPr>
        <w:t>【条文说明】</w:t>
      </w:r>
      <w:r>
        <w:rPr>
          <w:color w:val="8FAADB"/>
        </w:rPr>
        <w:t>1 若纯粹从保温效果的角度考虑，外门窗采用外挂的方式安装对减少窗口周边热桥是最有利的，但是，外挂安装方式的施工难度较大，也会因此产生安全隐患。若从建筑创意角度考虑，如果过于强调为了保温效果达到最好而采用外挂安装方式，会严重约束建筑创意。所以，本条中提出可以根据工程特点采用外挂、半嵌、全嵌（内嵌外平、内嵌中站、内嵌内平）的安装方式。无论采用何种安装方式，均应以实现超低能耗节能目标为前提，针对不同的安装位置应有相对应的热桥处理措施。</w:t>
      </w:r>
    </w:p>
    <w:p w14:paraId="02B63551">
      <w:pPr>
        <w:pStyle w:val="27"/>
        <w:widowControl/>
        <w:ind w:firstLine="480" w:firstLineChars="200"/>
        <w:rPr>
          <w:rFonts w:hint="default"/>
          <w:color w:val="8FAADB"/>
        </w:rPr>
      </w:pPr>
      <w:r>
        <w:rPr>
          <w:color w:val="8FAADB"/>
        </w:rPr>
        <w:t>全嵌、半嵌式安装时，窗框与窗口墙体之间会有一定程度的热流传递，一般采用在窗框与墙体之间增加节能附框的做法来减弱此处的热流传递，但是，节能附框也有增加渗漏风险和增加安装工序等弱点，时常受到部分施工人员的抵触，随着建材产品不断推陈出新，相信会有替代节能附框解决窗口保温问题的技术方案应运而生。本条强调减弱窗框与窗口之间热流传递的目的，但不将采用节能附框作为唯一措施。</w:t>
      </w:r>
    </w:p>
    <w:p w14:paraId="232818A7">
      <w:pPr>
        <w:pStyle w:val="27"/>
        <w:widowControl/>
        <w:ind w:firstLine="480" w:firstLineChars="200"/>
        <w:rPr>
          <w:rFonts w:hint="default"/>
          <w:color w:val="8FAADB"/>
        </w:rPr>
      </w:pPr>
      <w:r>
        <w:rPr>
          <w:color w:val="8FAADB"/>
        </w:rPr>
        <w:t>当采用内嵌中站或内嵌内平安装方式时，将会使主体外墙的端面（即，窗口）有一部分置于窗体之外，相应会增加热桥面积，若要把此处的热桥保温与常规外墙保温性能一致，将会使大多数地区的窗口保温过厚，严重影响外窗安装，鉴于节能计算模型中的外窗面积是按土建洞口计算，所以，本条要求当采用内嵌中站或内嵌内平安装方式时，不强调窗口保温层的厚度，而是要求窗口周边保温层的自身热阻不应低于主墙面保温层的自身热阻，以便可以使用保温性能更优的材料来解决避免窗口保温层过厚的问题。</w:t>
      </w:r>
    </w:p>
    <w:p w14:paraId="5446894C">
      <w:pPr>
        <w:pStyle w:val="27"/>
        <w:widowControl/>
        <w:ind w:firstLine="480" w:firstLineChars="200"/>
        <w:rPr>
          <w:rFonts w:hint="default"/>
          <w:color w:val="8FAADB"/>
        </w:rPr>
      </w:pPr>
      <w:r>
        <w:rPr>
          <w:color w:val="8FAADB"/>
        </w:rPr>
        <w:t>2 混凝土预制夹心保温外墙的外叶板属于非承重构件，若采用外挂安装方式，很容易使窗体重量和窗体接受到的风力传递到外叶板上，很可能会因此引发外叶板下坠变形，且窗框与夹心保温层不连续。所以，本条规定混凝土预制夹心保温外墙中的外门窗应采用全嵌式安装方式。</w:t>
      </w:r>
    </w:p>
    <w:p w14:paraId="310E1628">
      <w:pPr>
        <w:pStyle w:val="27"/>
        <w:widowControl/>
        <w:rPr>
          <w:rFonts w:hint="default"/>
          <w:color w:val="8FAADB"/>
        </w:rPr>
      </w:pPr>
      <w:r>
        <w:rPr>
          <w:color w:val="8FAADB"/>
        </w:rPr>
        <w:drawing>
          <wp:inline distT="0" distB="0" distL="114300" distR="114300">
            <wp:extent cx="5326380" cy="4168140"/>
            <wp:effectExtent l="0" t="0" r="0" b="7620"/>
            <wp:docPr id="5" name="图片 148" descr="外窗位置种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8" descr="外窗位置种类"/>
                    <pic:cNvPicPr>
                      <a:picLocks noChangeAspect="1"/>
                    </pic:cNvPicPr>
                  </pic:nvPicPr>
                  <pic:blipFill>
                    <a:blip r:embed="rId42"/>
                    <a:stretch>
                      <a:fillRect/>
                    </a:stretch>
                  </pic:blipFill>
                  <pic:spPr>
                    <a:xfrm>
                      <a:off x="0" y="0"/>
                      <a:ext cx="5326380" cy="4168140"/>
                    </a:xfrm>
                    <a:prstGeom prst="rect">
                      <a:avLst/>
                    </a:prstGeom>
                    <a:noFill/>
                    <a:ln>
                      <a:noFill/>
                    </a:ln>
                  </pic:spPr>
                </pic:pic>
              </a:graphicData>
            </a:graphic>
          </wp:inline>
        </w:drawing>
      </w:r>
    </w:p>
    <w:p w14:paraId="0474C571">
      <w:pPr>
        <w:pStyle w:val="27"/>
        <w:widowControl/>
        <w:spacing w:before="156" w:beforeLines="50" w:after="156" w:afterLines="50"/>
        <w:jc w:val="center"/>
        <w:rPr>
          <w:rFonts w:hint="default"/>
          <w:b/>
          <w:bCs/>
          <w:color w:val="8FAADB"/>
          <w:sz w:val="21"/>
          <w:szCs w:val="21"/>
        </w:rPr>
      </w:pPr>
      <w:r>
        <w:rPr>
          <w:b/>
          <w:bCs/>
          <w:color w:val="8FAADB"/>
          <w:sz w:val="21"/>
          <w:szCs w:val="21"/>
        </w:rPr>
        <w:t>图4.3.18  外窗位置种类示意图</w:t>
      </w:r>
    </w:p>
    <w:p w14:paraId="0EC7296A">
      <w:pPr>
        <w:pStyle w:val="7"/>
        <w:widowControl/>
        <w:numPr>
          <w:ilvl w:val="0"/>
          <w:numId w:val="4"/>
        </w:numPr>
        <w:adjustRightInd w:val="0"/>
        <w:snapToGrid w:val="0"/>
        <w:spacing w:after="156" w:afterLines="50" w:line="312" w:lineRule="auto"/>
        <w:jc w:val="center"/>
        <w:rPr>
          <w:rFonts w:hint="default"/>
          <w:color w:val="8FAADB"/>
          <w:sz w:val="18"/>
          <w:szCs w:val="18"/>
        </w:rPr>
      </w:pPr>
      <w:r>
        <w:rPr>
          <w:color w:val="8FAADB"/>
          <w:sz w:val="18"/>
          <w:szCs w:val="18"/>
        </w:rPr>
        <w:t>窗框；2-墙体；3-外墙保温系统；4-断热措施；5-窗口保温系统。</w:t>
      </w:r>
    </w:p>
    <w:p w14:paraId="098C852D">
      <w:pPr>
        <w:pStyle w:val="27"/>
        <w:widowControl/>
        <w:rPr>
          <w:rFonts w:hint="default"/>
        </w:rPr>
      </w:pPr>
      <w:r>
        <w:rPr>
          <w:rFonts w:hint="default" w:ascii="Times New Roman" w:hAnsi="Times New Roman"/>
          <w:b/>
          <w:bCs/>
        </w:rPr>
        <w:t xml:space="preserve">4.3.19  </w:t>
      </w:r>
      <w:r>
        <w:t>遮阳设计应根据当地气候、房间功能、窗口朝向、周边自然环境及相邻建筑等因素，可选择以下一种或多种遮阳措施：</w:t>
      </w:r>
    </w:p>
    <w:p w14:paraId="6EDDD5A1">
      <w:pPr>
        <w:pStyle w:val="27"/>
        <w:widowControl/>
        <w:ind w:firstLine="482" w:firstLineChars="200"/>
        <w:rPr>
          <w:rFonts w:hint="default"/>
        </w:rPr>
      </w:pPr>
      <w:r>
        <w:rPr>
          <w:rFonts w:hint="default" w:ascii="Times New Roman" w:hAnsi="Times New Roman"/>
          <w:b/>
          <w:bCs/>
        </w:rPr>
        <w:t xml:space="preserve">1  </w:t>
      </w:r>
      <w:r>
        <w:t>南向窗宜采用水平外置遮阳（如雨篷、阳台、挑板等固定遮阳构件），按所在地纬度计算夏季与冬季太阳入射角，平衡夏季遮阳与冬季得热。也可采用活动水平遮阳（如伸缩雨棚）。东西向窗宜选垂直面遮阳（如活动百叶）。</w:t>
      </w:r>
    </w:p>
    <w:p w14:paraId="4F5969DD">
      <w:pPr>
        <w:pStyle w:val="27"/>
        <w:widowControl/>
        <w:ind w:firstLine="482" w:firstLineChars="200"/>
        <w:rPr>
          <w:rFonts w:hint="default"/>
        </w:rPr>
      </w:pPr>
      <w:r>
        <w:rPr>
          <w:rFonts w:hint="default" w:ascii="Times New Roman" w:hAnsi="Times New Roman"/>
          <w:b/>
          <w:bCs/>
        </w:rPr>
        <w:t xml:space="preserve">2  </w:t>
      </w:r>
      <w:r>
        <w:t>若采用中置遮阳（如可调节中置遮阳百叶），应考虑操作便利性、安装位置（内腔或外腔）、内置百叶对玻璃隔热效果的影响、窗户高度与安装垂直度要求、玻璃过热爆裂风险等。</w:t>
      </w:r>
    </w:p>
    <w:p w14:paraId="343F1E2D">
      <w:pPr>
        <w:pStyle w:val="27"/>
        <w:widowControl/>
        <w:ind w:firstLine="482" w:firstLineChars="200"/>
        <w:rPr>
          <w:rFonts w:hint="default"/>
        </w:rPr>
      </w:pPr>
      <w:r>
        <w:rPr>
          <w:rFonts w:hint="default" w:ascii="Times New Roman" w:hAnsi="Times New Roman"/>
          <w:b/>
          <w:bCs/>
        </w:rPr>
        <w:t xml:space="preserve">3  </w:t>
      </w:r>
      <w:r>
        <w:t>利用具有遮阳功能的玻璃，如各种热反射玻璃、镀膜玻璃、阳光控制膜、低发射率膜、可调节太阳得热系数（SHGC）的调光玻璃等进行遮阳。</w:t>
      </w:r>
    </w:p>
    <w:p w14:paraId="7475647C">
      <w:pPr>
        <w:pStyle w:val="27"/>
        <w:widowControl/>
        <w:ind w:firstLine="482" w:firstLineChars="200"/>
        <w:rPr>
          <w:rFonts w:hint="default"/>
        </w:rPr>
      </w:pPr>
      <w:r>
        <w:rPr>
          <w:rFonts w:hint="default" w:ascii="Times New Roman" w:hAnsi="Times New Roman"/>
          <w:b/>
          <w:bCs/>
        </w:rPr>
        <w:t xml:space="preserve">4  </w:t>
      </w:r>
      <w:r>
        <w:t>通过专项计算验证或专项论证后的内遮阳。</w:t>
      </w:r>
    </w:p>
    <w:p w14:paraId="569CD578">
      <w:pPr>
        <w:pStyle w:val="27"/>
        <w:widowControl/>
        <w:ind w:firstLine="482" w:firstLineChars="200"/>
        <w:rPr>
          <w:rFonts w:hint="default"/>
        </w:rPr>
      </w:pPr>
      <w:r>
        <w:rPr>
          <w:rFonts w:hint="default" w:ascii="Times New Roman" w:hAnsi="Times New Roman"/>
          <w:b/>
          <w:bCs/>
        </w:rPr>
        <w:t xml:space="preserve">5  </w:t>
      </w:r>
      <w:r>
        <w:t>结合景观或建筑造型，创造植物生长条件或利用现有树木（落叶植物）进行遮阳。</w:t>
      </w:r>
    </w:p>
    <w:p w14:paraId="59B63023">
      <w:pPr>
        <w:pStyle w:val="27"/>
        <w:widowControl/>
        <w:ind w:firstLine="482" w:firstLineChars="200"/>
        <w:rPr>
          <w:rFonts w:hint="default"/>
        </w:rPr>
      </w:pPr>
      <w:r>
        <w:rPr>
          <w:rFonts w:hint="default" w:ascii="Times New Roman" w:hAnsi="Times New Roman"/>
          <w:b/>
          <w:bCs/>
        </w:rPr>
        <w:t xml:space="preserve">6  </w:t>
      </w:r>
      <w:r>
        <w:t>利用建筑群间的相互遮挡关系，如在满足日照标准的前提下，借助相邻建筑为低楼层外窗提供遮阳，避免重复投资。</w:t>
      </w:r>
    </w:p>
    <w:p w14:paraId="3D619CDC">
      <w:pPr>
        <w:pStyle w:val="27"/>
        <w:widowControl/>
        <w:spacing w:line="26" w:lineRule="atLeast"/>
        <w:rPr>
          <w:rFonts w:hint="default"/>
          <w:color w:val="8FAADB"/>
        </w:rPr>
      </w:pPr>
      <w:r>
        <w:rPr>
          <w:b/>
          <w:bCs/>
          <w:color w:val="8FAADB"/>
          <w:szCs w:val="24"/>
        </w:rPr>
        <w:t>【条文说明】</w:t>
      </w:r>
      <w:r>
        <w:rPr>
          <w:color w:val="8FAADB"/>
        </w:rPr>
        <w:t>遮阳设计需要按因地制宜的原则综合考虑，否则，很容易造成投资浪费。日常设计中，往往忽视建筑周边环境，把已经有遮阳物的位置也设置了活动遮阳，比如，在凹天井内的全天无日照楼层的东西向外窗也经常被设置活动遮阳，因此产生巨大的浪费。比如，在北方地区，靠近建筑的落叶乔木在冬季落叶时可以透过阳光，为建筑提供太阳辐射热量，在夏季枝叶茂密时又可以起到遮阳作用，大幅降低太阳辐射对建筑的影响。</w:t>
      </w:r>
    </w:p>
    <w:p w14:paraId="64CB7E35">
      <w:pPr>
        <w:pStyle w:val="27"/>
        <w:widowControl/>
        <w:rPr>
          <w:rFonts w:hint="default"/>
          <w:color w:val="8FAADB"/>
        </w:rPr>
      </w:pPr>
      <w:r>
        <w:rPr>
          <w:color w:val="8FAADB"/>
        </w:rPr>
        <w:t>本条提供了多种可以起到遮阳作用的方法，具体设计时需要根据项目特点，因地制宜选择合适的遮阳措施。</w:t>
      </w:r>
    </w:p>
    <w:p w14:paraId="6DB5B2BC">
      <w:pPr>
        <w:pStyle w:val="27"/>
        <w:widowControl/>
        <w:rPr>
          <w:rFonts w:hint="default"/>
          <w:color w:val="8FAADB"/>
        </w:rPr>
      </w:pPr>
      <w:r>
        <w:rPr>
          <w:color w:val="8FAADB"/>
        </w:rPr>
        <w:t>由于可调节外遮阳可以根据需要进行调节，所以可以用于各种朝向，但自然采光会受到影响；水平固定外遮阳设施的遮阳效果会随着太阳高度角的变化而变化，当冬季太阳高度角较小时，较多的阳光可以穿过这样板下射入窗内，满足冬季得热的需要；当夏季太阳高度角高到一定程度时，太阳辐射则会被水平遮阳板遮挡，满足夏季遮阳的需要，同时还能获得相应的自然采光。垂直遮阳和挡板遮阳不受太阳高度角变化的影响，即使冬季需要得热时也无法得到太阳辐射热，所以，不推荐使用垂直固定遮阳；内遮阳必须有充分的应用依据，并通过专项验算或论证，否则不予考虑。</w:t>
      </w:r>
    </w:p>
    <w:p w14:paraId="6E96BD52">
      <w:pPr>
        <w:pStyle w:val="27"/>
        <w:widowControl/>
        <w:rPr>
          <w:rFonts w:hint="default"/>
        </w:rPr>
      </w:pPr>
      <w:r>
        <w:rPr>
          <w:rFonts w:hint="default" w:ascii="Times New Roman" w:hAnsi="Times New Roman"/>
          <w:b/>
          <w:bCs/>
        </w:rPr>
        <w:t xml:space="preserve">4.3.20  </w:t>
      </w:r>
      <w:r>
        <w:t>遮阳设施选择时，应综合评估外窗的夏季遮阳、冬季得热以及天然采光需求。</w:t>
      </w:r>
    </w:p>
    <w:p w14:paraId="27E9E9B4">
      <w:pPr>
        <w:pStyle w:val="27"/>
        <w:widowControl/>
        <w:spacing w:line="26" w:lineRule="atLeast"/>
        <w:rPr>
          <w:rFonts w:hint="default"/>
          <w:color w:val="8FAADB"/>
        </w:rPr>
      </w:pPr>
      <w:r>
        <w:rPr>
          <w:b/>
          <w:bCs/>
          <w:color w:val="8FAADB"/>
          <w:szCs w:val="24"/>
        </w:rPr>
        <w:t>【条文说明】</w:t>
      </w:r>
      <w:r>
        <w:rPr>
          <w:color w:val="8FAADB"/>
        </w:rPr>
        <w:t>在进行外窗遮阳设施性能的选择时，应根据外窗所在的位置、朝向综合考虑，既要考虑夏季的遮阳，尽量减少太阳辐射热透过玻璃传入室内，又要考虑能在采暖季节从窗户获得尽可能多的太阳辐射热能，不能单一考虑某一个季节的需要。同时，尽量能做到即使在遮阳时也能尽可多的能获得充足的天然采光。</w:t>
      </w:r>
    </w:p>
    <w:p w14:paraId="53B75C0E">
      <w:pPr>
        <w:pStyle w:val="27"/>
        <w:widowControl/>
        <w:rPr>
          <w:rFonts w:hint="default"/>
        </w:rPr>
      </w:pPr>
      <w:r>
        <w:rPr>
          <w:rFonts w:hint="default" w:ascii="Times New Roman" w:hAnsi="Times New Roman"/>
          <w:b/>
          <w:bCs/>
        </w:rPr>
        <w:t xml:space="preserve">4.3.21  </w:t>
      </w:r>
      <w:r>
        <w:t>根据不同气候区特点，遮阳措施的设置要求如下：</w:t>
      </w:r>
    </w:p>
    <w:p w14:paraId="3C5371BC">
      <w:pPr>
        <w:pStyle w:val="27"/>
        <w:widowControl/>
        <w:ind w:firstLine="482" w:firstLineChars="200"/>
        <w:rPr>
          <w:rFonts w:hint="default"/>
        </w:rPr>
      </w:pPr>
      <w:r>
        <w:rPr>
          <w:rFonts w:hint="default" w:ascii="Times New Roman" w:hAnsi="Times New Roman"/>
          <w:b/>
          <w:bCs/>
        </w:rPr>
        <w:t xml:space="preserve">1  </w:t>
      </w:r>
      <w:r>
        <w:t>严寒地区：南向外窗宜采取适当的遮阳措施。</w:t>
      </w:r>
    </w:p>
    <w:p w14:paraId="683EFB4E">
      <w:pPr>
        <w:pStyle w:val="27"/>
        <w:widowControl/>
        <w:ind w:firstLine="482" w:firstLineChars="200"/>
        <w:rPr>
          <w:rFonts w:hint="default"/>
        </w:rPr>
      </w:pPr>
      <w:r>
        <w:rPr>
          <w:rFonts w:hint="default" w:ascii="Times New Roman" w:hAnsi="Times New Roman"/>
          <w:b/>
          <w:bCs/>
        </w:rPr>
        <w:t xml:space="preserve">2  </w:t>
      </w:r>
      <w:r>
        <w:t>寒冷地区：东、西、南向的外窗均宜采取遮阳措施。</w:t>
      </w:r>
    </w:p>
    <w:p w14:paraId="533BE083">
      <w:pPr>
        <w:pStyle w:val="27"/>
        <w:widowControl/>
        <w:ind w:firstLine="482" w:firstLineChars="200"/>
        <w:rPr>
          <w:rFonts w:hint="default"/>
        </w:rPr>
      </w:pPr>
      <w:r>
        <w:rPr>
          <w:rFonts w:hint="default" w:ascii="Times New Roman" w:hAnsi="Times New Roman"/>
          <w:b/>
          <w:bCs/>
        </w:rPr>
        <w:t xml:space="preserve">3  </w:t>
      </w:r>
      <w:r>
        <w:t>夏热冬冷地区和夏热冬暖地区：东、西、南向均应采取遮阳措施，尤其应重视东、西向的遮阳设计。</w:t>
      </w:r>
    </w:p>
    <w:p w14:paraId="3B20E120">
      <w:pPr>
        <w:pStyle w:val="27"/>
        <w:widowControl/>
        <w:spacing w:line="26" w:lineRule="atLeast"/>
        <w:rPr>
          <w:rFonts w:hint="default"/>
          <w:color w:val="8FAADB"/>
        </w:rPr>
      </w:pPr>
      <w:r>
        <w:rPr>
          <w:b/>
          <w:bCs/>
          <w:color w:val="8FAADB"/>
          <w:szCs w:val="24"/>
        </w:rPr>
        <w:t>【条文说明】</w:t>
      </w:r>
      <w:r>
        <w:rPr>
          <w:color w:val="8FAADB"/>
        </w:rPr>
        <w:t>严寒地区采暖期时间长，夏季室外气温也相对不高，空调期时间短，所以，严寒地区对遮阳的要求不高，只需对南向外窗做适当的遮阳。</w:t>
      </w:r>
    </w:p>
    <w:p w14:paraId="776952CD">
      <w:pPr>
        <w:pStyle w:val="27"/>
        <w:widowControl/>
        <w:rPr>
          <w:rFonts w:hint="default"/>
          <w:color w:val="8FAADB"/>
        </w:rPr>
      </w:pPr>
      <w:r>
        <w:rPr>
          <w:color w:val="8FAADB"/>
        </w:rPr>
        <w:t>寒冷地区夏季室外气温较高，太阳辐射较强，所以，需要对东、西、南向的外窗均进行遮阳。</w:t>
      </w:r>
    </w:p>
    <w:p w14:paraId="1E9A7BEF">
      <w:pPr>
        <w:pStyle w:val="27"/>
        <w:widowControl/>
        <w:ind w:firstLine="480" w:firstLineChars="200"/>
        <w:rPr>
          <w:rFonts w:hint="default"/>
          <w:color w:val="8FAADB"/>
        </w:rPr>
      </w:pPr>
      <w:r>
        <w:rPr>
          <w:color w:val="8FAADB"/>
        </w:rPr>
        <w:t>夏热冬冷地区、夏热冬暖地区的夏季气温更高、太阳辐射更强，而且，由于随着太阳高度角的变化，太阳辐射到东、西向外窗的时间长、能量密度高，所以，夏热冬冷和夏热冬暖地区需要对东、西向遮阳做重点考虑。</w:t>
      </w:r>
    </w:p>
    <w:p w14:paraId="2791443C">
      <w:pPr>
        <w:pStyle w:val="27"/>
        <w:widowControl/>
        <w:rPr>
          <w:rFonts w:hint="default"/>
        </w:rPr>
      </w:pPr>
      <w:r>
        <w:rPr>
          <w:rFonts w:hint="default" w:ascii="Times New Roman" w:hAnsi="Times New Roman"/>
          <w:b/>
          <w:bCs/>
        </w:rPr>
        <w:t xml:space="preserve">4.3.22  </w:t>
      </w:r>
      <w:r>
        <w:t>当设活动外遮阳时，应按活动外遮阳设施的技术要求做预留安装条件的设计，并应采取热桥阻断处理措施。遮阳装置与墙体结合处应确保气密性。</w:t>
      </w:r>
    </w:p>
    <w:p w14:paraId="0AF3856C">
      <w:pPr>
        <w:pStyle w:val="27"/>
        <w:widowControl/>
        <w:spacing w:line="26" w:lineRule="atLeast"/>
        <w:rPr>
          <w:rFonts w:hint="default"/>
          <w:color w:val="8FAADB"/>
        </w:rPr>
      </w:pPr>
      <w:r>
        <w:rPr>
          <w:b/>
          <w:bCs/>
          <w:color w:val="8FAADB"/>
          <w:szCs w:val="24"/>
        </w:rPr>
        <w:t>【条文说明】</w:t>
      </w:r>
      <w:r>
        <w:rPr>
          <w:color w:val="8FAADB"/>
        </w:rPr>
        <w:t>活动外遮阳设施与建筑主体的连接应牢固可靠，设计时应预先规划好安装条件，避免后期安装造成外墙破坏。此外，遮阳装置与建筑主体结合部位应做好热桥阻断，并确保遮阳装置进入室内的部分具备良好的气密性。</w:t>
      </w:r>
    </w:p>
    <w:p w14:paraId="3B52289F">
      <w:pPr>
        <w:pStyle w:val="4"/>
        <w:widowControl/>
      </w:pPr>
      <w:bookmarkStart w:id="75" w:name="_Toc20972"/>
      <w:bookmarkStart w:id="76" w:name="_Toc12612"/>
      <w:bookmarkStart w:id="77" w:name="_Toc16911"/>
      <w:bookmarkStart w:id="78" w:name="_Toc15231"/>
      <w:bookmarkStart w:id="79" w:name="_Toc32336"/>
      <w:bookmarkStart w:id="80" w:name="_Toc17954"/>
      <w:r>
        <w:rPr>
          <w:rFonts w:ascii="Times New Roman" w:hAnsi="Times New Roman"/>
        </w:rPr>
        <w:t>4.4</w:t>
      </w:r>
      <w:r>
        <w:t xml:space="preserve">  </w:t>
      </w:r>
      <w:r>
        <w:rPr>
          <w:rFonts w:hint="eastAsia" w:cs="宋体"/>
        </w:rPr>
        <w:t>建筑物理环境</w:t>
      </w:r>
      <w:bookmarkEnd w:id="75"/>
      <w:bookmarkEnd w:id="76"/>
      <w:bookmarkEnd w:id="77"/>
      <w:bookmarkEnd w:id="78"/>
      <w:bookmarkEnd w:id="79"/>
      <w:bookmarkEnd w:id="80"/>
    </w:p>
    <w:p w14:paraId="59ED31EE">
      <w:pPr>
        <w:pStyle w:val="5"/>
        <w:widowControl/>
        <w:jc w:val="center"/>
      </w:pPr>
      <w:bookmarkStart w:id="81" w:name="_Toc2523"/>
      <w:bookmarkStart w:id="82" w:name="_Toc16447"/>
      <w:bookmarkStart w:id="83" w:name="_Toc21767"/>
      <w:bookmarkStart w:id="84" w:name="_Toc2154"/>
      <w:bookmarkStart w:id="85" w:name="_Toc12747"/>
      <w:bookmarkStart w:id="86" w:name="_Toc31092"/>
      <w:r>
        <w:rPr>
          <w:rFonts w:ascii="Times New Roman" w:hAnsi="Times New Roman"/>
        </w:rPr>
        <w:t>Ⅰ</w:t>
      </w:r>
      <w:r>
        <w:t xml:space="preserve">  </w:t>
      </w:r>
      <w:r>
        <w:rPr>
          <w:rFonts w:hint="eastAsia" w:cs="宋体"/>
        </w:rPr>
        <w:t>声环境</w:t>
      </w:r>
      <w:bookmarkEnd w:id="81"/>
      <w:bookmarkEnd w:id="82"/>
      <w:bookmarkEnd w:id="83"/>
      <w:bookmarkEnd w:id="84"/>
      <w:bookmarkEnd w:id="85"/>
      <w:bookmarkEnd w:id="86"/>
    </w:p>
    <w:p w14:paraId="7BA14CF3">
      <w:pPr>
        <w:pStyle w:val="27"/>
        <w:widowControl/>
        <w:rPr>
          <w:rFonts w:hint="default"/>
        </w:rPr>
      </w:pPr>
      <w:r>
        <w:rPr>
          <w:rFonts w:hint="default" w:ascii="Times New Roman" w:hAnsi="Times New Roman"/>
          <w:b/>
          <w:bCs/>
        </w:rPr>
        <w:t xml:space="preserve">4.4.1  </w:t>
      </w:r>
      <w:r>
        <w:t>居住建筑中主要房间的室内噪声控制应符合现行国家标准《建筑环境通用规范》GB 55016的要求。</w:t>
      </w:r>
    </w:p>
    <w:p w14:paraId="76121024">
      <w:pPr>
        <w:pStyle w:val="27"/>
        <w:widowControl/>
        <w:rPr>
          <w:rFonts w:hint="default"/>
        </w:rPr>
      </w:pPr>
      <w:r>
        <w:rPr>
          <w:rFonts w:hint="default" w:ascii="Times New Roman" w:hAnsi="Times New Roman"/>
          <w:b/>
          <w:bCs/>
        </w:rPr>
        <w:t xml:space="preserve">4.4.2  </w:t>
      </w:r>
      <w:r>
        <w:t>超低能耗居住建筑设计应积极采取隔声、吸声、消声及隔振等技术手段，有效减少室内噪声干扰，以确保建筑声环境充分契合各类使用功能的需求。</w:t>
      </w:r>
    </w:p>
    <w:p w14:paraId="2E023DAC">
      <w:pPr>
        <w:pStyle w:val="27"/>
        <w:widowControl/>
        <w:rPr>
          <w:rFonts w:hint="default"/>
        </w:rPr>
      </w:pPr>
      <w:r>
        <w:rPr>
          <w:rFonts w:hint="default" w:ascii="Times New Roman" w:hAnsi="Times New Roman"/>
          <w:b/>
          <w:bCs/>
        </w:rPr>
        <w:t xml:space="preserve">4.4.3  </w:t>
      </w:r>
      <w:r>
        <w:t>超低能耗居住建筑设计应</w:t>
      </w:r>
      <w:r>
        <w:rPr>
          <w:rFonts w:hint="default" w:ascii="Helvetica" w:hAnsi="Helvetica" w:eastAsia="Helvetica" w:cs="Helvetica"/>
          <w:color w:val="1F2328"/>
          <w:szCs w:val="24"/>
          <w:shd w:val="clear" w:color="auto" w:fill="FFFFFF"/>
        </w:rPr>
        <w:t>合理规划建筑体形、朝向及平面布局，以利于噪声的有效控制，</w:t>
      </w:r>
      <w:r>
        <w:t>并应遵循以下原则：</w:t>
      </w:r>
    </w:p>
    <w:p w14:paraId="2704CE6C">
      <w:pPr>
        <w:pStyle w:val="27"/>
        <w:widowControl/>
        <w:ind w:firstLine="482" w:firstLineChars="200"/>
        <w:rPr>
          <w:rFonts w:hint="default"/>
        </w:rPr>
      </w:pPr>
      <w:r>
        <w:rPr>
          <w:rFonts w:hint="default" w:ascii="Times New Roman" w:hAnsi="Times New Roman"/>
          <w:b/>
          <w:bCs/>
        </w:rPr>
        <w:t xml:space="preserve">1  </w:t>
      </w:r>
      <w:r>
        <w:t>分户墙两侧的房间和分户楼板上下的房间宜同属一类，</w:t>
      </w:r>
      <w:r>
        <w:rPr>
          <w:rFonts w:hint="default" w:ascii="Helvetica" w:hAnsi="Helvetica" w:eastAsia="Helvetica" w:cs="Helvetica"/>
          <w:color w:val="1F2328"/>
          <w:szCs w:val="24"/>
          <w:shd w:val="clear" w:color="auto" w:fill="FFFFFF"/>
        </w:rPr>
        <w:t>以减少不同类型空间之间因使用模式差异而产生的噪声影响</w:t>
      </w:r>
      <w:r>
        <w:t>；</w:t>
      </w:r>
    </w:p>
    <w:p w14:paraId="7E6FBE07">
      <w:pPr>
        <w:pStyle w:val="27"/>
        <w:widowControl/>
        <w:ind w:firstLine="482" w:firstLineChars="200"/>
        <w:rPr>
          <w:rFonts w:hint="default"/>
        </w:rPr>
      </w:pPr>
      <w:r>
        <w:rPr>
          <w:rFonts w:hint="default" w:ascii="Times New Roman" w:hAnsi="Times New Roman"/>
          <w:b/>
          <w:bCs/>
        </w:rPr>
        <w:t xml:space="preserve">2 </w:t>
      </w:r>
      <w:r>
        <w:t xml:space="preserve"> 卧室、起居室（厅）等需要安静环境的居住空间，宜优先布置在远离外部噪声源的位置。如因条件限制必须设置在噪声源一侧时，其外窗应采用具有相应隔声性能的构造措施以降低噪声入侵。</w:t>
      </w:r>
    </w:p>
    <w:p w14:paraId="1FDA069C">
      <w:pPr>
        <w:pStyle w:val="27"/>
        <w:widowControl/>
        <w:ind w:firstLine="482" w:firstLineChars="200"/>
        <w:rPr>
          <w:rFonts w:hint="default" w:ascii="Helvetica" w:hAnsi="Helvetica" w:eastAsia="Helvetica" w:cs="Helvetica"/>
          <w:color w:val="1F2328"/>
          <w:szCs w:val="24"/>
          <w:shd w:val="clear" w:color="auto" w:fill="FFFFFF"/>
        </w:rPr>
      </w:pPr>
      <w:r>
        <w:rPr>
          <w:rFonts w:hint="default" w:ascii="Times New Roman" w:hAnsi="Times New Roman"/>
          <w:b/>
          <w:bCs/>
        </w:rPr>
        <w:t xml:space="preserve">3  </w:t>
      </w:r>
      <w:r>
        <w:t>当需要安静环境的居住空间与可能产生较大噪声的房间（如厨房、卫生间、家庭娱乐室等）相邻时，两者的分隔墙与分隔楼板均应采取适宜的隔声降噪处理</w:t>
      </w:r>
      <w:r>
        <w:rPr>
          <w:rFonts w:hint="default" w:ascii="Helvetica" w:hAnsi="Helvetica" w:eastAsia="Helvetica" w:cs="Helvetica"/>
          <w:color w:val="1F2328"/>
          <w:szCs w:val="24"/>
          <w:shd w:val="clear" w:color="auto" w:fill="FFFFFF"/>
        </w:rPr>
        <w:t>；</w:t>
      </w:r>
    </w:p>
    <w:p w14:paraId="0A3C5016">
      <w:pPr>
        <w:pStyle w:val="27"/>
        <w:widowControl/>
        <w:ind w:firstLine="482" w:firstLineChars="200"/>
        <w:rPr>
          <w:rFonts w:hint="default" w:ascii="Helvetica" w:hAnsi="Helvetica" w:eastAsia="Helvetica" w:cs="Helvetica"/>
          <w:color w:val="1F2328"/>
          <w:szCs w:val="24"/>
          <w:shd w:val="clear" w:color="auto" w:fill="FFFFFF"/>
        </w:rPr>
      </w:pPr>
      <w:r>
        <w:rPr>
          <w:rFonts w:hint="default" w:ascii="Times New Roman" w:hAnsi="Times New Roman"/>
          <w:b/>
          <w:bCs/>
        </w:rPr>
        <w:t xml:space="preserve">4 </w:t>
      </w:r>
      <w:r>
        <w:rPr>
          <w:rFonts w:hint="default" w:ascii="Helvetica" w:hAnsi="Helvetica" w:eastAsia="Helvetica" w:cs="Helvetica"/>
          <w:color w:val="1F2328"/>
          <w:szCs w:val="24"/>
          <w:shd w:val="clear" w:color="auto" w:fill="FFFFFF"/>
        </w:rPr>
        <w:t xml:space="preserve"> 针对内天井、凹天井等特殊空间布局中，相邻住户面向天井开启的窗户，也应考虑采用隔声降噪设计（如使用低透声率玻璃、增设隔音窗帘、优化窗框密封等），以减少户间噪声传播。</w:t>
      </w:r>
    </w:p>
    <w:p w14:paraId="46D9256C">
      <w:pPr>
        <w:pStyle w:val="27"/>
        <w:widowControl/>
        <w:spacing w:line="26" w:lineRule="atLeast"/>
        <w:rPr>
          <w:rFonts w:hint="default"/>
          <w:color w:val="8FAADB"/>
        </w:rPr>
      </w:pPr>
      <w:r>
        <w:rPr>
          <w:b/>
          <w:bCs/>
          <w:color w:val="8FAADB"/>
          <w:szCs w:val="24"/>
        </w:rPr>
        <w:t>【条文说明】</w:t>
      </w:r>
      <w:r>
        <w:rPr>
          <w:color w:val="8FAADB"/>
        </w:rPr>
        <w:t>本条文通过指导住宅建筑在体形、朝向和平面布置上的合理设计，结合针对性的隔声降噪措施，旨在构建一个声环境优良、满足居民宁静生活需求的住宅空间。实际工作中应结合项目具体情况，灵活运用上述原则与措施，实现住宅建筑的高效噪声控制。</w:t>
      </w:r>
    </w:p>
    <w:p w14:paraId="137D7A60">
      <w:pPr>
        <w:pStyle w:val="7"/>
        <w:widowControl/>
        <w:ind w:firstLine="480" w:firstLineChars="200"/>
        <w:rPr>
          <w:rFonts w:hint="default"/>
          <w:color w:val="8FAADB"/>
          <w:sz w:val="24"/>
          <w:szCs w:val="28"/>
        </w:rPr>
      </w:pPr>
      <w:r>
        <w:rPr>
          <w:color w:val="8FAADB"/>
          <w:sz w:val="24"/>
          <w:szCs w:val="28"/>
        </w:rPr>
        <w:t>1 住宅设计需要合理布局空间，降低户间噪声干扰。同类房间（如卧室与卧室、客厅与客厅等）在使用时间、活动强度和噪声产生特性上往往较为接近，将其相邻布置可以有效减少因生活习惯差异带来的噪声影响。例如，将卧室与卧室相邻设置，可避免因一方作息时间与另一方娱乐活动时间冲突而导致的噪声困扰。同时，同类房间对噪声敏感度相近，采用相同或相似的隔声标准和措施更为经济合理。</w:t>
      </w:r>
    </w:p>
    <w:p w14:paraId="4FCC7C0E">
      <w:pPr>
        <w:pStyle w:val="7"/>
        <w:widowControl/>
        <w:ind w:firstLine="480" w:firstLineChars="200"/>
        <w:rPr>
          <w:rFonts w:hint="default"/>
          <w:color w:val="8FAADB"/>
          <w:sz w:val="24"/>
          <w:szCs w:val="28"/>
        </w:rPr>
      </w:pPr>
      <w:r>
        <w:rPr>
          <w:color w:val="8FAADB"/>
          <w:sz w:val="24"/>
          <w:szCs w:val="28"/>
        </w:rPr>
        <w:t>2 卧室、起居室（厅）作为居民日常生活的核心区域，对声环境质量要求较高。设计时应优先考虑将其置于远离外部噪声源（如交通道路、商业区、公共设施等）的位置，以减少噪声直接侵入。若无法避开噪声源，应对外窗采取有效的隔声降噪措施，如采用双层或多层中空玻璃、加装隔音窗膜、强化窗框密封等。</w:t>
      </w:r>
    </w:p>
    <w:p w14:paraId="72C0145A">
      <w:pPr>
        <w:pStyle w:val="7"/>
        <w:widowControl/>
        <w:ind w:firstLine="480" w:firstLineChars="200"/>
        <w:rPr>
          <w:rFonts w:hint="default"/>
          <w:color w:val="8FAADB"/>
          <w:sz w:val="24"/>
          <w:szCs w:val="28"/>
        </w:rPr>
      </w:pPr>
      <w:r>
        <w:rPr>
          <w:color w:val="8FAADB"/>
          <w:sz w:val="24"/>
          <w:szCs w:val="28"/>
        </w:rPr>
        <w:t>3 对于户内噪声源，如厨房、卫生间、家庭娱乐室等，应确保卧室、起居室（厅）与其保持适当距离，并在两者之间的分隔墙和分隔楼板采取隔声构造，如选用高密度隔声材料、增加墙体厚度、设置弹性阻尼层、采用浮筑楼板等，以有效阻隔噪声传播。</w:t>
      </w:r>
    </w:p>
    <w:p w14:paraId="4DD9B6C8">
      <w:pPr>
        <w:pStyle w:val="7"/>
        <w:widowControl/>
        <w:ind w:firstLine="480" w:firstLineChars="200"/>
        <w:rPr>
          <w:rFonts w:hint="default" w:ascii="Helvetica" w:hAnsi="Helvetica" w:eastAsia="Helvetica" w:cs="Helvetica"/>
          <w:color w:val="1F2328"/>
          <w:sz w:val="24"/>
          <w:szCs w:val="24"/>
          <w:shd w:val="clear" w:color="auto" w:fill="FFFFFF"/>
        </w:rPr>
      </w:pPr>
      <w:r>
        <w:rPr>
          <w:color w:val="8FAADB"/>
          <w:sz w:val="24"/>
          <w:szCs w:val="28"/>
        </w:rPr>
        <w:t>4 内天井、凹天井，这类空间易形成声波反射和聚焦效应，加剧户间噪声传播。因此，对于面向天井开窗的相邻住户，建议其窗户采用隔声降噪设计，如采用低透声率玻璃、增设隔音窗帘、加强窗框密封等措施，以降低户间噪声相互影响，营造宁静的居住环境。</w:t>
      </w:r>
    </w:p>
    <w:p w14:paraId="3445FAB0">
      <w:pPr>
        <w:pStyle w:val="27"/>
        <w:widowControl/>
        <w:rPr>
          <w:rFonts w:hint="default"/>
        </w:rPr>
      </w:pPr>
      <w:r>
        <w:rPr>
          <w:rFonts w:hint="default" w:ascii="Times New Roman" w:hAnsi="Times New Roman"/>
          <w:b/>
          <w:bCs/>
        </w:rPr>
        <w:t xml:space="preserve">4.4.4  </w:t>
      </w:r>
      <w:r>
        <w:t>卫生间内声源较大的排水管应采取隔声措施。当相邻户卫生间排水时，卧室内的排水噪声等效声级不应超过</w:t>
      </w:r>
      <w:r>
        <w:rPr>
          <w:rFonts w:hint="default" w:ascii="Times New Roman" w:hAnsi="Times New Roman"/>
        </w:rPr>
        <w:t>33dB</w:t>
      </w:r>
      <w:r>
        <w:t>。</w:t>
      </w:r>
    </w:p>
    <w:p w14:paraId="7BAEF838">
      <w:pPr>
        <w:pStyle w:val="27"/>
        <w:widowControl/>
        <w:spacing w:line="26" w:lineRule="atLeast"/>
        <w:rPr>
          <w:rFonts w:hint="default"/>
          <w:color w:val="8FAADB"/>
        </w:rPr>
      </w:pPr>
      <w:r>
        <w:rPr>
          <w:b/>
          <w:bCs/>
          <w:color w:val="8FAADB"/>
          <w:szCs w:val="24"/>
        </w:rPr>
        <w:t>【条文说明】</w:t>
      </w:r>
      <w:r>
        <w:rPr>
          <w:color w:val="8FAADB"/>
        </w:rPr>
        <w:t>本条针对的声源显著的排水管系特指连接马桶的排水横管与立管，如在遇到类似马桶冲水产生的强烈噪声情况时，亦应参照本条规定执行相关措施。究其原因，马桶冲水瞬间形成的高速水流会产生尤为突出的声响，故此，对接驳马桶的排水横管与立管实施隔音或消音处理至关重要，例如采用隔声或消声材料进行包裹。</w:t>
      </w:r>
    </w:p>
    <w:p w14:paraId="027564B9">
      <w:pPr>
        <w:pStyle w:val="27"/>
        <w:widowControl/>
        <w:ind w:firstLine="480" w:firstLineChars="200"/>
        <w:rPr>
          <w:rFonts w:hint="default"/>
          <w:color w:val="8FAADB"/>
        </w:rPr>
      </w:pPr>
      <w:r>
        <w:rPr>
          <w:color w:val="8FAADB"/>
        </w:rPr>
        <w:t>相比之下，源自地漏、台盆的排水管由于水流速度较低，所生成的噪声相对轻微。厨房排水通常不会在夜间时段干扰住户，而阳台排水虽有可能在夜间的低电价时段启用，但鉴于阳台立管与卧室之间通常已有充足的间隔构件或空间，且不存在马桶冲水那样的急剧水流现象，加之精装房普遍将排水管道整合于管井内，进一步降低了噪声传播的可能性。因此，对来自地漏、台盆、厨房及阳台的排水管不做隔声处理的特别要求。</w:t>
      </w:r>
    </w:p>
    <w:p w14:paraId="6CA5C1BB">
      <w:pPr>
        <w:pStyle w:val="27"/>
        <w:widowControl/>
        <w:ind w:firstLine="480" w:firstLineChars="200"/>
        <w:rPr>
          <w:rFonts w:hint="default"/>
          <w:color w:val="8FAADB"/>
        </w:rPr>
      </w:pPr>
      <w:r>
        <w:rPr>
          <w:color w:val="8FAADB"/>
        </w:rPr>
        <w:t>依据《建筑环境通用规范》GB 55016-2021第2.1.4条，建筑物内部建筑设备传至卧室等睡眠区域的噪声限值设定为33dB。据此，本条参照该标准，明确规定卧室内部排水系统的噪声等效声级不应超过33dB，旨在确保住户享有宁静的睡眠环境。</w:t>
      </w:r>
    </w:p>
    <w:p w14:paraId="2E060970">
      <w:pPr>
        <w:pStyle w:val="27"/>
        <w:widowControl/>
        <w:rPr>
          <w:rFonts w:hint="default"/>
        </w:rPr>
      </w:pPr>
      <w:r>
        <w:rPr>
          <w:rFonts w:hint="default" w:ascii="Times New Roman" w:hAnsi="Times New Roman"/>
          <w:b/>
          <w:bCs/>
        </w:rPr>
        <w:t xml:space="preserve">4.4.5  </w:t>
      </w:r>
      <w:r>
        <w:rPr>
          <w:rFonts w:hint="default" w:ascii="Helvetica" w:hAnsi="Helvetica" w:eastAsia="Helvetica" w:cs="Helvetica"/>
          <w:color w:val="1F2328"/>
          <w:szCs w:val="24"/>
          <w:shd w:val="clear" w:color="auto" w:fill="FFFFFF"/>
        </w:rPr>
        <w:t>风机应安装在远离卧室及其它常驻生活区域的位置，</w:t>
      </w:r>
      <w:r>
        <w:rPr>
          <w:rFonts w:ascii="Helvetica" w:hAnsi="Helvetica" w:cs="Helvetica"/>
          <w:color w:val="1F2328"/>
          <w:szCs w:val="24"/>
          <w:shd w:val="clear" w:color="auto" w:fill="FFFFFF"/>
        </w:rPr>
        <w:t>否则，应</w:t>
      </w:r>
      <w:r>
        <w:rPr>
          <w:rFonts w:hint="default" w:ascii="Helvetica" w:hAnsi="Helvetica" w:eastAsia="Helvetica" w:cs="Helvetica"/>
          <w:color w:val="1F2328"/>
          <w:szCs w:val="24"/>
          <w:shd w:val="clear" w:color="auto" w:fill="FFFFFF"/>
        </w:rPr>
        <w:t>采用隔音材料进行有效包覆以降低噪音，并采取减震措施防止引发结构共振</w:t>
      </w:r>
      <w:r>
        <w:t>。</w:t>
      </w:r>
    </w:p>
    <w:p w14:paraId="38A4EAD3">
      <w:pPr>
        <w:pStyle w:val="27"/>
        <w:widowControl/>
        <w:spacing w:line="26" w:lineRule="atLeast"/>
        <w:rPr>
          <w:rFonts w:hint="default"/>
          <w:color w:val="8FAADB"/>
        </w:rPr>
      </w:pPr>
      <w:r>
        <w:rPr>
          <w:b/>
          <w:bCs/>
          <w:color w:val="8FAADB"/>
          <w:szCs w:val="24"/>
        </w:rPr>
        <w:t>【条文说明】</w:t>
      </w:r>
      <w:r>
        <w:rPr>
          <w:color w:val="8FAADB"/>
        </w:rPr>
        <w:t>本条旨在通过合理布局与有效降噪措施，确保风机运行时不对居民的生活空间产生过度干扰。</w:t>
      </w:r>
    </w:p>
    <w:p w14:paraId="29D17207">
      <w:pPr>
        <w:pStyle w:val="13"/>
        <w:widowControl/>
        <w:shd w:val="clear" w:color="auto" w:fill="FFFFFF"/>
        <w:adjustRightInd w:val="0"/>
        <w:snapToGrid w:val="0"/>
        <w:spacing w:beforeAutospacing="0" w:after="240" w:afterAutospacing="0" w:line="312" w:lineRule="auto"/>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风机应优先设置在远离卧室、书房、客厅等常驻生活区域的位置，以减少噪音直接传播到这些需要保持安静的环境。此外，考虑到空气流动和设备维护的便利性，风机安装位置还应兼顾通风系统的整体设计及建筑结构条件。若无法远离时，风机外侧应采用专业的隔音材料进行包覆，如隔音棉、隔音板或吸声材料，形成有效的隔音屏障，以吸收和阻隔风机运行时产生的空气动力噪声及机械噪声。隔音材料的选择与施工应遵循相关声学设计标准，确保降噪效果满足规定要求。同时，为避免风机运转时的振动通过建筑结构传递，造成结构共振及“二次噪声”，应采取相应的减振措施，如基础减振、管道减振、紧固件减振等。</w:t>
      </w:r>
    </w:p>
    <w:p w14:paraId="6310340F">
      <w:pPr>
        <w:pStyle w:val="27"/>
        <w:widowControl/>
        <w:rPr>
          <w:rFonts w:hint="default"/>
        </w:rPr>
      </w:pPr>
      <w:r>
        <w:rPr>
          <w:rFonts w:hint="default" w:ascii="Times New Roman" w:hAnsi="Times New Roman"/>
          <w:b/>
          <w:bCs/>
        </w:rPr>
        <w:t xml:space="preserve">4.4.6  </w:t>
      </w:r>
      <w:r>
        <w:t>设备管线穿越居住建筑套型空间楼板和墙体时，孔洞周边应采取密封隔声措施。</w:t>
      </w:r>
    </w:p>
    <w:p w14:paraId="7FAA0228">
      <w:pPr>
        <w:pStyle w:val="7"/>
        <w:widowControl/>
        <w:adjustRightInd w:val="0"/>
        <w:snapToGrid w:val="0"/>
        <w:spacing w:line="312" w:lineRule="auto"/>
        <w:rPr>
          <w:rFonts w:hint="default"/>
          <w:color w:val="8FAADB"/>
          <w:sz w:val="24"/>
          <w:szCs w:val="28"/>
        </w:rPr>
      </w:pPr>
      <w:r>
        <w:rPr>
          <w:b/>
          <w:bCs/>
          <w:color w:val="8FAADB"/>
          <w:sz w:val="24"/>
          <w:szCs w:val="24"/>
        </w:rPr>
        <w:t>【条文说明】</w:t>
      </w:r>
      <w:r>
        <w:rPr>
          <w:color w:val="8FAADB"/>
          <w:sz w:val="24"/>
          <w:szCs w:val="28"/>
        </w:rPr>
        <w:t>设备管线（如给排水管、电线电缆、空调风管等）在穿越居住建筑套型空间的楼板和墙体时，会形成贯穿孔洞。这些孔洞若未经妥善处理，将成为噪声传播的重要通道。尤其对于上下楼层之间以及相邻套型间的设备噪声，如水泵、空调机组、洗衣机等产生的振动与空气动力噪声，可通过孔洞严重影响居民的生活品质。因此，要求对设备管线穿越楼板和墙体的孔洞周边采取密封隔声措施。可采用的具体密封隔声措施如下：</w:t>
      </w:r>
    </w:p>
    <w:p w14:paraId="3821A926">
      <w:pPr>
        <w:widowControl/>
        <w:adjustRightInd w:val="0"/>
        <w:snapToGrid w:val="0"/>
        <w:spacing w:line="312" w:lineRule="auto"/>
        <w:ind w:left="660" w:leftChars="200" w:hanging="240" w:hangingChars="100"/>
        <w:rPr>
          <w:rFonts w:ascii="宋体" w:hAnsi="宋体" w:eastAsia="宋体" w:cs="宋体"/>
          <w:color w:val="8FAADB"/>
          <w:sz w:val="24"/>
          <w:szCs w:val="28"/>
        </w:rPr>
      </w:pPr>
      <w:r>
        <w:rPr>
          <w:rFonts w:hint="eastAsia" w:ascii="宋体" w:hAnsi="宋体" w:eastAsia="宋体" w:cs="宋体"/>
          <w:color w:val="8FAADB"/>
          <w:sz w:val="24"/>
          <w:szCs w:val="28"/>
          <w:lang w:bidi="ar"/>
        </w:rPr>
        <w:t>1 孔洞填充：使用隔声材料（如隔声棉、发泡剂、橡胶封堵剂等）填充孔洞内部，消除孔洞内部的空气腔体，减少噪声的空气传播。</w:t>
      </w:r>
    </w:p>
    <w:p w14:paraId="7E62F0F1">
      <w:pPr>
        <w:widowControl/>
        <w:adjustRightInd w:val="0"/>
        <w:snapToGrid w:val="0"/>
        <w:spacing w:line="312" w:lineRule="auto"/>
        <w:ind w:left="660" w:leftChars="200" w:hanging="240" w:hangingChars="100"/>
        <w:rPr>
          <w:rFonts w:ascii="宋体" w:hAnsi="宋体" w:eastAsia="宋体" w:cs="宋体"/>
          <w:color w:val="8FAADB"/>
          <w:sz w:val="24"/>
          <w:szCs w:val="28"/>
        </w:rPr>
      </w:pPr>
      <w:r>
        <w:rPr>
          <w:rFonts w:hint="eastAsia" w:ascii="宋体" w:hAnsi="宋体" w:eastAsia="宋体" w:cs="宋体"/>
          <w:color w:val="8FAADB"/>
          <w:sz w:val="24"/>
          <w:szCs w:val="28"/>
          <w:lang w:bidi="ar"/>
        </w:rPr>
        <w:t>2 周边密封：在孔洞边缘涂抹隔声密封胶或使用专用隔声密封条，确保孔洞与管线之间的缝隙得到有效密封，防止噪声沿缝隙传播。</w:t>
      </w:r>
    </w:p>
    <w:p w14:paraId="34C23B19">
      <w:pPr>
        <w:widowControl/>
        <w:adjustRightInd w:val="0"/>
        <w:snapToGrid w:val="0"/>
        <w:spacing w:line="312" w:lineRule="auto"/>
        <w:ind w:left="660" w:leftChars="200" w:hanging="240" w:hangingChars="100"/>
        <w:rPr>
          <w:rFonts w:ascii="宋体" w:hAnsi="宋体" w:eastAsia="宋体" w:cs="宋体"/>
          <w:color w:val="8FAADB"/>
          <w:sz w:val="24"/>
          <w:szCs w:val="28"/>
        </w:rPr>
      </w:pPr>
      <w:r>
        <w:rPr>
          <w:rFonts w:hint="eastAsia" w:ascii="宋体" w:hAnsi="宋体" w:eastAsia="宋体" w:cs="宋体"/>
          <w:color w:val="8FAADB"/>
          <w:sz w:val="24"/>
          <w:szCs w:val="28"/>
          <w:lang w:bidi="ar"/>
        </w:rPr>
        <w:t>3 管件处理：对于穿越孔洞的管线，如有可能，应在其穿越孔洞处增设隔声管套或包裹隔声材料，增强整体的隔声效果。</w:t>
      </w:r>
    </w:p>
    <w:p w14:paraId="1A61F724">
      <w:pPr>
        <w:pStyle w:val="27"/>
        <w:widowControl/>
        <w:rPr>
          <w:rFonts w:hint="default"/>
        </w:rPr>
      </w:pPr>
      <w:r>
        <w:rPr>
          <w:rFonts w:hint="default" w:ascii="Times New Roman" w:hAnsi="Times New Roman"/>
          <w:b/>
          <w:bCs/>
        </w:rPr>
        <w:t xml:space="preserve">4.4.7  </w:t>
      </w:r>
      <w:r>
        <w:t>与居住空间邻近且产生噪声的管道井、水泵房、风机房应采取有效隔声降噪措施，水泵﹑风机应采取减振、降噪措施。</w:t>
      </w:r>
    </w:p>
    <w:p w14:paraId="3B52D760">
      <w:pPr>
        <w:pStyle w:val="27"/>
        <w:widowControl/>
        <w:spacing w:line="26" w:lineRule="atLeast"/>
        <w:rPr>
          <w:rFonts w:hint="default"/>
          <w:color w:val="8FAADB"/>
        </w:rPr>
      </w:pPr>
      <w:r>
        <w:rPr>
          <w:b/>
          <w:bCs/>
          <w:color w:val="8FAADB"/>
          <w:szCs w:val="24"/>
        </w:rPr>
        <w:t>【条文说明】</w:t>
      </w:r>
      <w:r>
        <w:rPr>
          <w:color w:val="8FAADB"/>
        </w:rPr>
        <w:t>与居住空间邻近的管道井、水泵房、风机房等设施，以及其中的水泵、风机等设备，是建筑内部重要的噪声源。这些设施和设备在运行过程中产生的空气动力噪声、机械噪声及振动，若未经妥善处理，会直接影响相邻居住空间的声环境。因此，要求对这些设施和设备采取有效的隔声降噪与减振措施，降低其对居住空间的噪声影响。可采用的具体措施如下：</w:t>
      </w:r>
    </w:p>
    <w:p w14:paraId="741D59A9">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1 隔声降噪措施：</w:t>
      </w:r>
    </w:p>
    <w:p w14:paraId="250595CB">
      <w:pPr>
        <w:widowControl/>
        <w:adjustRightInd w:val="0"/>
        <w:snapToGrid w:val="0"/>
        <w:spacing w:line="312" w:lineRule="auto"/>
        <w:ind w:left="1124" w:leftChars="357" w:hanging="374" w:hangingChars="156"/>
        <w:rPr>
          <w:rFonts w:ascii="宋体" w:hAnsi="宋体" w:eastAsia="宋体" w:cs="宋体"/>
          <w:color w:val="8FAADB"/>
          <w:sz w:val="24"/>
          <w:szCs w:val="28"/>
        </w:rPr>
      </w:pPr>
      <w:r>
        <w:rPr>
          <w:rFonts w:hint="eastAsia" w:ascii="宋体" w:hAnsi="宋体" w:eastAsia="宋体" w:cs="宋体"/>
          <w:color w:val="8FAADB"/>
          <w:sz w:val="24"/>
          <w:szCs w:val="28"/>
          <w:lang w:bidi="ar"/>
        </w:rPr>
        <w:t>1）房间隔声：管道井、水泵房、风机房的墙体、楼板、门窗等应采用隔声性能良好的建筑材料，并确保良好的密封性，防止噪声直接传播至居住空间。</w:t>
      </w:r>
    </w:p>
    <w:p w14:paraId="625047B7">
      <w:pPr>
        <w:widowControl/>
        <w:adjustRightInd w:val="0"/>
        <w:snapToGrid w:val="0"/>
        <w:spacing w:line="312" w:lineRule="auto"/>
        <w:ind w:left="1124" w:leftChars="357" w:hanging="374" w:hangingChars="156"/>
        <w:rPr>
          <w:rFonts w:ascii="宋体" w:hAnsi="宋体" w:eastAsia="宋体" w:cs="宋体"/>
          <w:color w:val="8FAADB"/>
          <w:sz w:val="24"/>
          <w:szCs w:val="28"/>
        </w:rPr>
      </w:pPr>
      <w:r>
        <w:rPr>
          <w:rFonts w:hint="eastAsia" w:ascii="宋体" w:hAnsi="宋体" w:eastAsia="宋体" w:cs="宋体"/>
          <w:color w:val="8FAADB"/>
          <w:sz w:val="24"/>
          <w:szCs w:val="28"/>
          <w:lang w:bidi="ar"/>
        </w:rPr>
        <w:t>2）设备隔声：对水泵、风机等设备进行隔音包覆或安装在隔音罩内，减少设备运行时直接发出的噪声。</w:t>
      </w:r>
    </w:p>
    <w:p w14:paraId="3CDC0F72">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2 减振措施：</w:t>
      </w:r>
    </w:p>
    <w:p w14:paraId="61496BB1">
      <w:pPr>
        <w:widowControl/>
        <w:adjustRightInd w:val="0"/>
        <w:snapToGrid w:val="0"/>
        <w:spacing w:line="312" w:lineRule="auto"/>
        <w:ind w:left="1124" w:leftChars="357" w:hanging="374" w:hangingChars="156"/>
        <w:rPr>
          <w:rFonts w:ascii="宋体" w:hAnsi="宋体" w:eastAsia="宋体" w:cs="宋体"/>
          <w:color w:val="8FAADB"/>
          <w:sz w:val="24"/>
          <w:szCs w:val="28"/>
        </w:rPr>
      </w:pPr>
      <w:r>
        <w:rPr>
          <w:rFonts w:hint="eastAsia" w:ascii="宋体" w:hAnsi="宋体" w:eastAsia="宋体" w:cs="宋体"/>
          <w:color w:val="8FAADB"/>
          <w:sz w:val="24"/>
          <w:szCs w:val="28"/>
          <w:lang w:bidi="ar"/>
        </w:rPr>
        <w:t>1）设备减振：水泵、风机等设备应安装在减振基座或采用减振器、减振垫等，减少设备运行时产生的振动向建筑结构传递。</w:t>
      </w:r>
    </w:p>
    <w:p w14:paraId="58B558FD">
      <w:pPr>
        <w:widowControl/>
        <w:adjustRightInd w:val="0"/>
        <w:snapToGrid w:val="0"/>
        <w:spacing w:line="312" w:lineRule="auto"/>
        <w:ind w:left="1124" w:leftChars="357" w:hanging="374" w:hangingChars="156"/>
        <w:rPr>
          <w:rFonts w:ascii="宋体" w:hAnsi="宋体" w:eastAsia="宋体" w:cs="宋体"/>
          <w:color w:val="8FAADB"/>
          <w:sz w:val="24"/>
          <w:szCs w:val="28"/>
        </w:rPr>
      </w:pPr>
      <w:r>
        <w:rPr>
          <w:rFonts w:hint="eastAsia" w:ascii="宋体" w:hAnsi="宋体" w:eastAsia="宋体" w:cs="宋体"/>
          <w:color w:val="8FAADB"/>
          <w:sz w:val="24"/>
          <w:szCs w:val="28"/>
          <w:lang w:bidi="ar"/>
        </w:rPr>
        <w:t>2）管道减振：管道与设备、墙体、楼板等连接处采用柔性接头、减振吊架等，减少振动沿管道传播。</w:t>
      </w:r>
    </w:p>
    <w:p w14:paraId="4023CD22">
      <w:pPr>
        <w:pStyle w:val="5"/>
        <w:widowControl/>
        <w:jc w:val="center"/>
      </w:pPr>
      <w:bookmarkStart w:id="87" w:name="_Toc26080"/>
      <w:bookmarkStart w:id="88" w:name="_Toc9215"/>
      <w:bookmarkStart w:id="89" w:name="_Toc13126"/>
      <w:bookmarkStart w:id="90" w:name="_Toc13713"/>
      <w:bookmarkStart w:id="91" w:name="_Toc7846"/>
      <w:bookmarkStart w:id="92" w:name="_Toc11370"/>
      <w:r>
        <w:rPr>
          <w:rFonts w:ascii="Times New Roman" w:hAnsi="Times New Roman"/>
        </w:rPr>
        <w:t>Ⅱ</w:t>
      </w:r>
      <w:r>
        <w:t xml:space="preserve">  </w:t>
      </w:r>
      <w:r>
        <w:rPr>
          <w:rFonts w:hint="eastAsia" w:cs="宋体"/>
        </w:rPr>
        <w:t>光环境</w:t>
      </w:r>
      <w:bookmarkEnd w:id="87"/>
      <w:bookmarkEnd w:id="88"/>
      <w:bookmarkEnd w:id="89"/>
      <w:bookmarkEnd w:id="90"/>
      <w:bookmarkEnd w:id="91"/>
      <w:bookmarkEnd w:id="92"/>
    </w:p>
    <w:p w14:paraId="3881686B">
      <w:pPr>
        <w:pStyle w:val="27"/>
        <w:widowControl/>
        <w:rPr>
          <w:rFonts w:hint="default"/>
        </w:rPr>
      </w:pPr>
      <w:r>
        <w:rPr>
          <w:rFonts w:hint="default" w:ascii="Times New Roman" w:hAnsi="Times New Roman"/>
          <w:b/>
          <w:bCs/>
        </w:rPr>
        <w:t xml:space="preserve">4.4.8  </w:t>
      </w:r>
      <w:r>
        <w:t>超低能耗居住建筑立面设计应有利于实现天然光日间照明，遵循现行国家标准《建筑采光设计标准》GB 50033的规定。</w:t>
      </w:r>
    </w:p>
    <w:p w14:paraId="578FAD42">
      <w:pPr>
        <w:pStyle w:val="27"/>
        <w:widowControl/>
        <w:rPr>
          <w:rFonts w:hint="default"/>
        </w:rPr>
      </w:pPr>
      <w:r>
        <w:rPr>
          <w:rFonts w:hint="default" w:ascii="Times New Roman" w:hAnsi="Times New Roman"/>
          <w:b/>
          <w:bCs/>
        </w:rPr>
        <w:t xml:space="preserve">4.4.9  </w:t>
      </w:r>
      <w:r>
        <w:t>建筑设计应积极且科学地利用天然采光资源，并遵循以下原则：</w:t>
      </w:r>
    </w:p>
    <w:p w14:paraId="3DF69564">
      <w:pPr>
        <w:pStyle w:val="27"/>
        <w:widowControl/>
        <w:ind w:firstLine="482" w:firstLineChars="200"/>
        <w:rPr>
          <w:rFonts w:hint="default"/>
        </w:rPr>
      </w:pPr>
      <w:r>
        <w:rPr>
          <w:rFonts w:hint="default" w:ascii="Times New Roman" w:hAnsi="Times New Roman"/>
          <w:b/>
          <w:bCs/>
        </w:rPr>
        <w:t xml:space="preserve">1  </w:t>
      </w:r>
      <w:r>
        <w:t>合理建筑布局，优化空间进深。</w:t>
      </w:r>
    </w:p>
    <w:p w14:paraId="37CE040E">
      <w:pPr>
        <w:pStyle w:val="27"/>
        <w:widowControl/>
        <w:ind w:firstLine="482" w:firstLineChars="200"/>
        <w:rPr>
          <w:rFonts w:hint="default"/>
        </w:rPr>
      </w:pPr>
      <w:r>
        <w:rPr>
          <w:rFonts w:hint="default" w:ascii="Times New Roman" w:hAnsi="Times New Roman"/>
          <w:b/>
          <w:bCs/>
        </w:rPr>
        <w:t xml:space="preserve">2 </w:t>
      </w:r>
      <w:r>
        <w:t xml:space="preserve"> 合理应用辅助天然光系统。</w:t>
      </w:r>
    </w:p>
    <w:p w14:paraId="757E680C">
      <w:pPr>
        <w:pStyle w:val="27"/>
        <w:widowControl/>
        <w:spacing w:line="26" w:lineRule="atLeast"/>
        <w:rPr>
          <w:rFonts w:hint="default"/>
          <w:color w:val="8FAADB"/>
        </w:rPr>
      </w:pPr>
      <w:r>
        <w:rPr>
          <w:b/>
          <w:bCs/>
          <w:color w:val="8FAADB"/>
          <w:szCs w:val="24"/>
        </w:rPr>
        <w:t>【条文说明】</w:t>
      </w:r>
      <w:r>
        <w:rPr>
          <w:color w:val="8FAADB"/>
        </w:rPr>
        <w:t>本条对合理利用天然采光提出了一些原则性建议。</w:t>
      </w:r>
    </w:p>
    <w:p w14:paraId="0D6A81D5">
      <w:pPr>
        <w:pStyle w:val="27"/>
        <w:widowControl/>
        <w:ind w:firstLine="480" w:firstLineChars="200"/>
        <w:rPr>
          <w:rFonts w:hint="default"/>
          <w:color w:val="8FAADB"/>
        </w:rPr>
      </w:pPr>
      <w:r>
        <w:rPr>
          <w:color w:val="8FAADB"/>
        </w:rPr>
        <w:t>1  合理建筑布局，优化空间进深：</w:t>
      </w:r>
    </w:p>
    <w:p w14:paraId="4A038A64">
      <w:pPr>
        <w:pStyle w:val="27"/>
        <w:widowControl/>
        <w:rPr>
          <w:rFonts w:hint="default"/>
          <w:color w:val="8FAADB"/>
        </w:rPr>
      </w:pPr>
      <w:r>
        <w:rPr>
          <w:color w:val="8FAADB"/>
        </w:rPr>
        <w:t>建筑平面布局与进深设计应充分考量天然采光的效果，确保主要功能空间尤其是居住、办公、学习等长时间停留区域具备良好的直接或间接天然光照条件。合理配置房间位置、开间与进深比例，避免过深的平面布局导致中间区域采光不足。</w:t>
      </w:r>
    </w:p>
    <w:p w14:paraId="04E0F925">
      <w:pPr>
        <w:pStyle w:val="27"/>
        <w:widowControl/>
        <w:ind w:firstLine="480" w:firstLineChars="200"/>
        <w:rPr>
          <w:rFonts w:hint="default"/>
          <w:color w:val="8FAADB"/>
        </w:rPr>
      </w:pPr>
      <w:r>
        <w:rPr>
          <w:color w:val="8FAADB"/>
        </w:rPr>
        <w:t>2  合理应用辅助天然光系统：</w:t>
      </w:r>
    </w:p>
    <w:p w14:paraId="45C2B99D">
      <w:pPr>
        <w:pStyle w:val="27"/>
        <w:widowControl/>
        <w:rPr>
          <w:rFonts w:hint="default"/>
          <w:color w:val="8FAADB"/>
        </w:rPr>
      </w:pPr>
      <w:r>
        <w:rPr>
          <w:color w:val="8FAADB"/>
        </w:rPr>
        <w:t>采光中庭、采光竖井、下沉庭院、光导管等创新采光技术或手段应适时引入，以增强建筑内部特别是深处空间的自然光照水平。此类设施的设置应遵循相关设计规范，确保其有效提升室内采光系数。具体实施时，室内采光系数应严格符合《建筑环境通用规范》GB 55016-2021的相关章节或条款要求，确保满足国家规定的最低采光标准以及用户对光环境品质的需求。</w:t>
      </w:r>
    </w:p>
    <w:p w14:paraId="5A578636">
      <w:pPr>
        <w:pStyle w:val="27"/>
        <w:widowControl/>
        <w:rPr>
          <w:rFonts w:hint="default"/>
          <w:color w:val="8FAADB"/>
        </w:rPr>
      </w:pPr>
      <w:r>
        <w:rPr>
          <w:color w:val="8FAADB"/>
        </w:rPr>
        <w:t>地下层设计应优先考虑采用采光天窗、采光侧窗、下沉式广场（庭院）等手段引入地面自然光线。此类开口应结合场地条件、建筑功能及景观需求进行合理布置，确保地下空间获得适宜的自然采光同时兼顾防水、防潮及安全要求。</w:t>
      </w:r>
    </w:p>
    <w:p w14:paraId="6AC4BF13">
      <w:pPr>
        <w:pStyle w:val="5"/>
        <w:widowControl/>
        <w:jc w:val="center"/>
      </w:pPr>
      <w:bookmarkStart w:id="93" w:name="_Toc12105"/>
      <w:bookmarkStart w:id="94" w:name="_Toc3166"/>
      <w:bookmarkStart w:id="95" w:name="_Toc29806"/>
      <w:bookmarkStart w:id="96" w:name="_Toc26152"/>
      <w:bookmarkStart w:id="97" w:name="_Toc4115"/>
      <w:bookmarkStart w:id="98" w:name="_Toc3138"/>
      <w:r>
        <w:rPr>
          <w:rFonts w:ascii="Times New Roman" w:hAnsi="Times New Roman"/>
        </w:rPr>
        <w:t>Ⅲ</w:t>
      </w:r>
      <w:r>
        <w:t xml:space="preserve">  </w:t>
      </w:r>
      <w:r>
        <w:rPr>
          <w:rFonts w:hint="eastAsia" w:cs="宋体"/>
        </w:rPr>
        <w:t>风环境</w:t>
      </w:r>
      <w:bookmarkEnd w:id="93"/>
      <w:bookmarkEnd w:id="94"/>
      <w:bookmarkEnd w:id="95"/>
      <w:bookmarkEnd w:id="96"/>
      <w:bookmarkEnd w:id="97"/>
      <w:bookmarkEnd w:id="98"/>
    </w:p>
    <w:p w14:paraId="18E3269A">
      <w:pPr>
        <w:pStyle w:val="27"/>
        <w:widowControl/>
        <w:rPr>
          <w:rFonts w:hint="default"/>
        </w:rPr>
      </w:pPr>
      <w:r>
        <w:rPr>
          <w:rFonts w:hint="default" w:ascii="Times New Roman" w:hAnsi="Times New Roman"/>
          <w:b/>
          <w:bCs/>
        </w:rPr>
        <w:t xml:space="preserve">4.4.10  </w:t>
      </w:r>
      <w:r>
        <w:t>建筑的空间组织和门窗洞口设置应有利于自然通风，减少通风阻力，促进穿堂风形成，以便在过渡季和夏季利用自然通风带走室内余热。</w:t>
      </w:r>
    </w:p>
    <w:p w14:paraId="5D4CAE98">
      <w:pPr>
        <w:pStyle w:val="27"/>
        <w:widowControl/>
        <w:spacing w:line="26" w:lineRule="atLeast"/>
        <w:rPr>
          <w:rFonts w:hint="default"/>
          <w:color w:val="8FAADB"/>
        </w:rPr>
      </w:pPr>
      <w:r>
        <w:rPr>
          <w:b/>
          <w:bCs/>
          <w:color w:val="8FAADB"/>
          <w:szCs w:val="24"/>
        </w:rPr>
        <w:t>【条文说明】</w:t>
      </w:r>
      <w:r>
        <w:rPr>
          <w:color w:val="8FAADB"/>
        </w:rPr>
        <w:t>利用自然通风不仅可以在过渡季带走室内余热，起到节能作用，还可以改善室内空气质量，对防疫起到一定的作用。实践中应结合项目具体情况，灵活运用各种建筑科学和建筑设计理论，实现建筑的高效自然通风。</w:t>
      </w:r>
    </w:p>
    <w:p w14:paraId="61D2F673">
      <w:pPr>
        <w:pStyle w:val="27"/>
        <w:widowControl/>
        <w:rPr>
          <w:rFonts w:hint="default"/>
        </w:rPr>
      </w:pPr>
      <w:r>
        <w:rPr>
          <w:rFonts w:hint="default" w:ascii="Times New Roman" w:hAnsi="Times New Roman"/>
          <w:b/>
          <w:bCs/>
        </w:rPr>
        <w:t xml:space="preserve">4.4.11  </w:t>
      </w:r>
      <w:r>
        <w:t>自然通风的进排风口应具备防雨、隔声、防虫功能，并在供暖和空调季节能关闭。</w:t>
      </w:r>
    </w:p>
    <w:p w14:paraId="754595EE">
      <w:pPr>
        <w:pStyle w:val="27"/>
        <w:widowControl/>
        <w:spacing w:line="26" w:lineRule="atLeast"/>
        <w:rPr>
          <w:rFonts w:hint="default"/>
          <w:color w:val="8FAADB"/>
        </w:rPr>
      </w:pPr>
      <w:r>
        <w:rPr>
          <w:b/>
          <w:bCs/>
          <w:color w:val="8FAADB"/>
          <w:szCs w:val="24"/>
        </w:rPr>
        <w:t>【条文说明】</w:t>
      </w:r>
      <w:r>
        <w:rPr>
          <w:color w:val="8FAADB"/>
        </w:rPr>
        <w:t>本条所指的是可用于过渡季节自然通风的进排风口，因其孔口面积较大，需在保持室内空气品质的同时防止冷、热风侵入，故在空调供暖季节应能关闭。</w:t>
      </w:r>
    </w:p>
    <w:p w14:paraId="0995CAD8">
      <w:pPr>
        <w:pStyle w:val="27"/>
        <w:widowControl/>
        <w:rPr>
          <w:rFonts w:hint="default"/>
        </w:rPr>
      </w:pPr>
      <w:r>
        <w:rPr>
          <w:rFonts w:hint="default" w:ascii="Times New Roman" w:hAnsi="Times New Roman"/>
          <w:b/>
          <w:bCs/>
        </w:rPr>
        <w:t xml:space="preserve">4.4.12  </w:t>
      </w:r>
      <w:r>
        <w:t>居住建筑应分户设计通风季节的自然通风气流路线，明确自然通风的进风口和排风口位置，可采用可开启外窗作为进风口和排风口，或设置专门的自然通风进风口和排风口。</w:t>
      </w:r>
    </w:p>
    <w:p w14:paraId="52936BDA">
      <w:pPr>
        <w:pStyle w:val="27"/>
        <w:widowControl/>
        <w:spacing w:line="26" w:lineRule="atLeast"/>
        <w:rPr>
          <w:rFonts w:hint="default"/>
          <w:color w:val="8FAADB"/>
        </w:rPr>
      </w:pPr>
      <w:r>
        <w:rPr>
          <w:b/>
          <w:bCs/>
          <w:color w:val="8FAADB"/>
          <w:szCs w:val="24"/>
        </w:rPr>
        <w:t>【条文说明】</w:t>
      </w:r>
      <w:r>
        <w:rPr>
          <w:color w:val="8FAADB"/>
        </w:rPr>
        <w:t>建筑通风性能关乎室内环境健康与舒适度，是建筑节能的关键之一。通风不良常导致室内闷热，且在社会调查中“通风不畅”是居民普遍反映的问题。住宅建筑应分户设计通风季节的自然通风气流路线以满足居民需求。</w:t>
      </w:r>
    </w:p>
    <w:p w14:paraId="7C9D6A8D">
      <w:pPr>
        <w:pStyle w:val="5"/>
        <w:widowControl/>
        <w:jc w:val="center"/>
      </w:pPr>
      <w:bookmarkStart w:id="99" w:name="_Toc18366"/>
      <w:bookmarkStart w:id="100" w:name="_Toc4124"/>
      <w:bookmarkStart w:id="101" w:name="_Toc14461"/>
      <w:bookmarkStart w:id="102" w:name="_Toc28970"/>
      <w:bookmarkStart w:id="103" w:name="_Toc19629"/>
      <w:bookmarkStart w:id="104" w:name="_Toc4440"/>
      <w:r>
        <w:rPr>
          <w:rFonts w:ascii="Times New Roman" w:hAnsi="Times New Roman"/>
        </w:rPr>
        <w:t>Ⅳ</w:t>
      </w:r>
      <w:r>
        <w:t xml:space="preserve">  </w:t>
      </w:r>
      <w:r>
        <w:rPr>
          <w:rFonts w:hint="eastAsia" w:cs="宋体"/>
        </w:rPr>
        <w:t>气密性</w:t>
      </w:r>
      <w:bookmarkEnd w:id="99"/>
      <w:bookmarkEnd w:id="100"/>
      <w:bookmarkEnd w:id="101"/>
      <w:bookmarkEnd w:id="102"/>
      <w:bookmarkEnd w:id="103"/>
      <w:bookmarkEnd w:id="104"/>
    </w:p>
    <w:p w14:paraId="3E0D93B1">
      <w:pPr>
        <w:pStyle w:val="27"/>
        <w:widowControl/>
        <w:rPr>
          <w:rFonts w:hint="default"/>
        </w:rPr>
      </w:pPr>
      <w:r>
        <w:rPr>
          <w:rFonts w:hint="default" w:ascii="Times New Roman" w:hAnsi="Times New Roman"/>
          <w:b/>
          <w:bCs/>
        </w:rPr>
        <w:t xml:space="preserve">4.4.13  </w:t>
      </w:r>
      <w:r>
        <w:t>围护结构应进行建筑整体气密性专项设计，涵盖不透明围护结构气密层、透明围护结构气密性以及围护结构节点的气密性设计。</w:t>
      </w:r>
    </w:p>
    <w:p w14:paraId="29E7B981">
      <w:pPr>
        <w:pStyle w:val="27"/>
        <w:widowControl/>
        <w:spacing w:line="26" w:lineRule="atLeast"/>
        <w:rPr>
          <w:rFonts w:hint="default"/>
          <w:color w:val="8FAADB"/>
        </w:rPr>
      </w:pPr>
      <w:r>
        <w:rPr>
          <w:b/>
          <w:bCs/>
          <w:color w:val="8FAADB"/>
          <w:szCs w:val="24"/>
        </w:rPr>
        <w:t>【条文说明】</w:t>
      </w:r>
      <w:r>
        <w:rPr>
          <w:color w:val="8FAADB"/>
        </w:rPr>
        <w:t>建筑整体高气密性是超低能耗建筑的重要特征之一，为了配合实现本标准</w:t>
      </w:r>
      <w:r>
        <w:rPr>
          <w:rFonts w:hint="default" w:ascii="Times New Roman" w:hAnsi="Times New Roman"/>
          <w:b/>
          <w:bCs/>
          <w:color w:val="8FAADB"/>
        </w:rPr>
        <w:t>3.2.2</w:t>
      </w:r>
      <w:r>
        <w:rPr>
          <w:color w:val="8FAADB"/>
        </w:rPr>
        <w:t>条提出的气密性目标，需要对围护结构相关部位做专项气密性设计。</w:t>
      </w:r>
    </w:p>
    <w:p w14:paraId="39C4594A">
      <w:pPr>
        <w:pStyle w:val="27"/>
        <w:widowControl/>
        <w:rPr>
          <w:rFonts w:hint="default"/>
        </w:rPr>
      </w:pPr>
      <w:r>
        <w:rPr>
          <w:rFonts w:hint="default" w:ascii="Times New Roman" w:hAnsi="Times New Roman"/>
          <w:b/>
          <w:bCs/>
        </w:rPr>
        <w:t xml:space="preserve">4.4.14  </w:t>
      </w:r>
      <w:r>
        <w:t>建筑围护结构气密层应连续并包围整个外围护结构内侧，建筑设计施工图中应注明气密层的位置。</w:t>
      </w:r>
    </w:p>
    <w:p w14:paraId="3CA2340A">
      <w:pPr>
        <w:pStyle w:val="27"/>
        <w:widowControl/>
        <w:spacing w:line="26" w:lineRule="atLeast"/>
        <w:rPr>
          <w:rFonts w:hint="default"/>
          <w:color w:val="8FAADB"/>
        </w:rPr>
      </w:pPr>
      <w:r>
        <w:rPr>
          <w:b/>
          <w:bCs/>
          <w:color w:val="8FAADB"/>
          <w:szCs w:val="24"/>
        </w:rPr>
        <w:t>【条文说明】</w:t>
      </w:r>
      <w:r>
        <w:rPr>
          <w:color w:val="8FAADB"/>
        </w:rPr>
        <w:t>建筑围护结构气密层的连续是保证建筑整体高气密先决条件，气密层若有中断无法实现建筑整体的高气密性。为了引起施工、运维等相关人员对建筑气密层的重视，建筑施工图中需要明确表达气密层的位置。</w:t>
      </w:r>
    </w:p>
    <w:p w14:paraId="35B33A67">
      <w:pPr>
        <w:pStyle w:val="27"/>
        <w:widowControl/>
        <w:rPr>
          <w:rFonts w:hint="default"/>
        </w:rPr>
      </w:pPr>
      <w:r>
        <w:rPr>
          <w:rFonts w:hint="default" w:ascii="Times New Roman" w:hAnsi="Times New Roman"/>
          <w:b/>
          <w:bCs/>
        </w:rPr>
        <w:t xml:space="preserve">4.4.15  </w:t>
      </w:r>
      <w:r>
        <w:t>气密层设计应依托密闭的围护结构层，节点设计应选择适用的气密性材料做节点气密性处理，并应选择适用的气密性材料。</w:t>
      </w:r>
    </w:p>
    <w:p w14:paraId="37D441EF">
      <w:pPr>
        <w:pStyle w:val="27"/>
        <w:widowControl/>
        <w:spacing w:line="26" w:lineRule="atLeast"/>
        <w:rPr>
          <w:rFonts w:hint="default"/>
          <w:color w:val="8FAADB"/>
        </w:rPr>
      </w:pPr>
      <w:r>
        <w:rPr>
          <w:b/>
          <w:bCs/>
          <w:color w:val="8FAADB"/>
          <w:szCs w:val="24"/>
        </w:rPr>
        <w:t>【条文说明】</w:t>
      </w:r>
      <w:r>
        <w:rPr>
          <w:color w:val="8FAADB"/>
        </w:rPr>
        <w:t>常见的可构成气密层的材料包括一定厚度的抹灰层（普通抹灰层厚度不小于15mm）、硬质的材料板（如密度板、石材）、气密性薄膜、防水层等。孔眼薄膜、保温材料、软木纤维板、刨花板、砌块墙体等不适于用做气密层。紧实完整的混凝土、气密性薄膜、专用膨胀密封条、专用气密性处理涂料等材料可用作节点气密性处理的气密性材料，包装胶带、聚氨酯发泡、防水硅胶等材料不适合作为节点气密性处理材料。</w:t>
      </w:r>
    </w:p>
    <w:p w14:paraId="64F2305C">
      <w:pPr>
        <w:pStyle w:val="27"/>
        <w:widowControl/>
        <w:rPr>
          <w:rFonts w:hint="default"/>
        </w:rPr>
      </w:pPr>
      <w:r>
        <w:rPr>
          <w:rFonts w:hint="default" w:ascii="Times New Roman" w:hAnsi="Times New Roman"/>
          <w:b/>
          <w:bCs/>
        </w:rPr>
        <w:t xml:space="preserve">4.4.16  </w:t>
      </w:r>
      <w:r>
        <w:t>通向每户套型和其他采暖空调空间边界以外的电气接线箱（盒）、管线贯穿处、外门窗与土建接缝等易发生气密性问题的部位，应有气密性处理的节点设计。</w:t>
      </w:r>
    </w:p>
    <w:p w14:paraId="3A361EA7">
      <w:pPr>
        <w:pStyle w:val="27"/>
        <w:widowControl/>
        <w:spacing w:line="26" w:lineRule="atLeast"/>
        <w:rPr>
          <w:rFonts w:hint="default"/>
          <w:color w:val="8FAADB"/>
        </w:rPr>
      </w:pPr>
      <w:r>
        <w:rPr>
          <w:b/>
          <w:bCs/>
          <w:color w:val="8FAADB"/>
          <w:szCs w:val="24"/>
        </w:rPr>
        <w:t>【条文说明】</w:t>
      </w:r>
      <w:r>
        <w:rPr>
          <w:color w:val="8FAADB"/>
        </w:rPr>
        <w:t>由于存在材料的热胀冷缩现象，围护结构穿管、界线盒等管线管线穿越处及其与土建交接处、门窗与土建接缝处均是用常规粉刷无法满足气密性要求的部位。通向每户套型和其他采暖空调空间边界以外的上述部位均需要进行专项气密性处理的设计，以防施工单位按常规建筑理解而遗漏上述部位的节点气密性处理施工。（图4.4.16a、图4.4.16b）</w:t>
      </w:r>
    </w:p>
    <w:p w14:paraId="4942AF5B">
      <w:pPr>
        <w:pStyle w:val="27"/>
        <w:widowControl/>
        <w:jc w:val="center"/>
        <w:rPr>
          <w:rFonts w:hint="default"/>
          <w:b/>
          <w:bCs/>
          <w:color w:val="8FAADB"/>
          <w:sz w:val="21"/>
          <w:szCs w:val="21"/>
        </w:rPr>
      </w:pPr>
      <w:r>
        <w:drawing>
          <wp:inline distT="0" distB="0" distL="114300" distR="114300">
            <wp:extent cx="1539240" cy="990600"/>
            <wp:effectExtent l="0" t="0" r="0" b="0"/>
            <wp:docPr id="6" name="图片 152" descr="连通室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2" descr="连通室外"/>
                    <pic:cNvPicPr>
                      <a:picLocks noChangeAspect="1"/>
                    </pic:cNvPicPr>
                  </pic:nvPicPr>
                  <pic:blipFill>
                    <a:blip r:embed="rId43"/>
                    <a:stretch>
                      <a:fillRect/>
                    </a:stretch>
                  </pic:blipFill>
                  <pic:spPr>
                    <a:xfrm>
                      <a:off x="0" y="0"/>
                      <a:ext cx="1539240" cy="990600"/>
                    </a:xfrm>
                    <a:prstGeom prst="rect">
                      <a:avLst/>
                    </a:prstGeom>
                    <a:noFill/>
                    <a:ln>
                      <a:noFill/>
                    </a:ln>
                  </pic:spPr>
                </pic:pic>
              </a:graphicData>
            </a:graphic>
          </wp:inline>
        </w:drawing>
      </w:r>
    </w:p>
    <w:p w14:paraId="1E4E02DD">
      <w:pPr>
        <w:pStyle w:val="27"/>
        <w:widowControl/>
        <w:spacing w:before="156" w:beforeLines="50" w:after="156" w:afterLines="50"/>
        <w:jc w:val="center"/>
        <w:rPr>
          <w:rFonts w:hint="default"/>
          <w:b/>
          <w:bCs/>
          <w:color w:val="8FAADB"/>
          <w:sz w:val="21"/>
          <w:szCs w:val="21"/>
        </w:rPr>
      </w:pPr>
      <w:r>
        <w:rPr>
          <w:b/>
          <w:bCs/>
          <w:color w:val="8FAADB"/>
          <w:sz w:val="21"/>
          <w:szCs w:val="21"/>
        </w:rPr>
        <w:t>图4.4.16a 连通室外的后安装构件气密性处理示意图</w:t>
      </w:r>
    </w:p>
    <w:p w14:paraId="31D092BB">
      <w:pPr>
        <w:pStyle w:val="7"/>
        <w:widowControl/>
        <w:ind w:left="979" w:leftChars="466" w:right="840" w:rightChars="400"/>
        <w:jc w:val="center"/>
        <w:rPr>
          <w:rFonts w:hint="default"/>
          <w:color w:val="8FAADB"/>
          <w:sz w:val="18"/>
          <w:szCs w:val="18"/>
        </w:rPr>
      </w:pPr>
      <w:r>
        <w:rPr>
          <w:color w:val="8FAADB"/>
          <w:sz w:val="18"/>
          <w:szCs w:val="18"/>
        </w:rPr>
        <w:t>1-连通室内外的后安装构件，如管道、窗框等；2-防水隔汽材料；</w:t>
      </w:r>
    </w:p>
    <w:p w14:paraId="2999DD7C">
      <w:pPr>
        <w:pStyle w:val="7"/>
        <w:widowControl/>
        <w:ind w:left="979" w:leftChars="466" w:right="840" w:rightChars="400"/>
        <w:jc w:val="center"/>
        <w:rPr>
          <w:rFonts w:hint="default"/>
          <w:sz w:val="18"/>
          <w:szCs w:val="18"/>
        </w:rPr>
      </w:pPr>
      <w:r>
        <w:rPr>
          <w:color w:val="8FAADB"/>
          <w:sz w:val="18"/>
          <w:szCs w:val="18"/>
        </w:rPr>
        <w:t>3-围护结构室内气密性材料；4-外围护结构；5-保温材料填充间隙</w:t>
      </w:r>
    </w:p>
    <w:p w14:paraId="0ED2B7D0">
      <w:pPr>
        <w:pStyle w:val="27"/>
        <w:widowControl/>
        <w:jc w:val="center"/>
        <w:rPr>
          <w:rFonts w:hint="default"/>
          <w:b/>
          <w:bCs/>
          <w:color w:val="8FAADB"/>
          <w:sz w:val="21"/>
          <w:szCs w:val="21"/>
        </w:rPr>
      </w:pPr>
      <w:r>
        <w:drawing>
          <wp:inline distT="0" distB="0" distL="114300" distR="114300">
            <wp:extent cx="2011680" cy="2316480"/>
            <wp:effectExtent l="0" t="0" r="0" b="0"/>
            <wp:docPr id="1" name="图片 154" descr="电线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4" descr="电线盒"/>
                    <pic:cNvPicPr>
                      <a:picLocks noChangeAspect="1"/>
                    </pic:cNvPicPr>
                  </pic:nvPicPr>
                  <pic:blipFill>
                    <a:blip r:embed="rId44"/>
                    <a:stretch>
                      <a:fillRect/>
                    </a:stretch>
                  </pic:blipFill>
                  <pic:spPr>
                    <a:xfrm>
                      <a:off x="0" y="0"/>
                      <a:ext cx="2011680" cy="2316480"/>
                    </a:xfrm>
                    <a:prstGeom prst="rect">
                      <a:avLst/>
                    </a:prstGeom>
                    <a:noFill/>
                    <a:ln>
                      <a:noFill/>
                    </a:ln>
                  </pic:spPr>
                </pic:pic>
              </a:graphicData>
            </a:graphic>
          </wp:inline>
        </w:drawing>
      </w:r>
    </w:p>
    <w:p w14:paraId="44E27144">
      <w:pPr>
        <w:pStyle w:val="27"/>
        <w:widowControl/>
        <w:spacing w:before="156" w:beforeLines="50" w:after="156" w:afterLines="50"/>
        <w:jc w:val="center"/>
        <w:rPr>
          <w:rFonts w:hint="default"/>
          <w:b/>
          <w:bCs/>
          <w:color w:val="8FAADB"/>
          <w:sz w:val="21"/>
          <w:szCs w:val="21"/>
        </w:rPr>
      </w:pPr>
      <w:r>
        <w:rPr>
          <w:b/>
          <w:bCs/>
          <w:color w:val="8FAADB"/>
          <w:sz w:val="21"/>
          <w:szCs w:val="21"/>
        </w:rPr>
        <w:t>图4.4.16b 电气接线盒气密性处理示意图</w:t>
      </w:r>
    </w:p>
    <w:p w14:paraId="3E201B37">
      <w:pPr>
        <w:pStyle w:val="7"/>
        <w:widowControl/>
        <w:numPr>
          <w:ilvl w:val="0"/>
          <w:numId w:val="5"/>
        </w:numPr>
        <w:jc w:val="center"/>
        <w:rPr>
          <w:rFonts w:hint="default"/>
          <w:color w:val="8FAADB"/>
          <w:sz w:val="18"/>
          <w:szCs w:val="18"/>
        </w:rPr>
      </w:pPr>
      <w:r>
        <w:rPr>
          <w:color w:val="8FAADB"/>
          <w:sz w:val="18"/>
          <w:szCs w:val="18"/>
        </w:rPr>
        <w:t>电线套管；2-气密性材料封堵；3-电线；4-接线盒（箱）；</w:t>
      </w:r>
    </w:p>
    <w:p w14:paraId="70C0DAD4">
      <w:pPr>
        <w:pStyle w:val="7"/>
        <w:widowControl/>
        <w:adjustRightInd w:val="0"/>
        <w:snapToGrid w:val="0"/>
        <w:spacing w:after="156" w:afterLines="50"/>
        <w:jc w:val="center"/>
        <w:rPr>
          <w:rFonts w:hint="default"/>
          <w:sz w:val="18"/>
          <w:szCs w:val="18"/>
        </w:rPr>
      </w:pPr>
      <w:r>
        <w:rPr>
          <w:color w:val="8FAADB"/>
          <w:sz w:val="18"/>
          <w:szCs w:val="18"/>
        </w:rPr>
        <w:t>5-气密性材料充满间隙；6-围护结构室内气密性材料</w:t>
      </w:r>
    </w:p>
    <w:p w14:paraId="3197ECA7">
      <w:pPr>
        <w:pStyle w:val="27"/>
        <w:widowControl/>
        <w:rPr>
          <w:rFonts w:hint="default"/>
        </w:rPr>
      </w:pPr>
      <w:r>
        <w:rPr>
          <w:rFonts w:hint="default" w:ascii="Times New Roman" w:hAnsi="Times New Roman"/>
          <w:b/>
          <w:bCs/>
        </w:rPr>
        <w:t xml:space="preserve">4.4.17  </w:t>
      </w:r>
      <w:r>
        <w:t>外门窗应有良好的气密、水密及抗风压性能，具体要求如下：</w:t>
      </w:r>
    </w:p>
    <w:p w14:paraId="2C5EA367">
      <w:pPr>
        <w:pStyle w:val="27"/>
        <w:widowControl/>
        <w:ind w:firstLine="482" w:firstLineChars="200"/>
        <w:rPr>
          <w:rFonts w:hint="default"/>
        </w:rPr>
      </w:pPr>
      <w:r>
        <w:rPr>
          <w:rFonts w:hint="default" w:ascii="Times New Roman" w:hAnsi="Times New Roman"/>
          <w:b/>
          <w:bCs/>
        </w:rPr>
        <w:t xml:space="preserve">1  </w:t>
      </w:r>
      <w:r>
        <w:t>严寒和寒冷地区的外窗气密性能不应低于8级；</w:t>
      </w:r>
    </w:p>
    <w:p w14:paraId="45AF6D00">
      <w:pPr>
        <w:pStyle w:val="27"/>
        <w:widowControl/>
        <w:ind w:firstLine="482" w:firstLineChars="200"/>
        <w:rPr>
          <w:rFonts w:hint="default"/>
        </w:rPr>
      </w:pPr>
      <w:r>
        <w:rPr>
          <w:rFonts w:hint="default" w:ascii="Times New Roman" w:hAnsi="Times New Roman"/>
          <w:b/>
          <w:bCs/>
        </w:rPr>
        <w:t xml:space="preserve">2  </w:t>
      </w:r>
      <w:r>
        <w:t>夏热冬冷地区、夏热冬暖地区、温和地区的外窗气密性能不宜低于8级，且不应低于7级；</w:t>
      </w:r>
    </w:p>
    <w:p w14:paraId="75F576E2">
      <w:pPr>
        <w:pStyle w:val="27"/>
        <w:widowControl/>
        <w:ind w:firstLine="482" w:firstLineChars="200"/>
        <w:rPr>
          <w:rFonts w:hint="default"/>
        </w:rPr>
      </w:pPr>
      <w:r>
        <w:rPr>
          <w:rFonts w:hint="default" w:ascii="Times New Roman" w:hAnsi="Times New Roman"/>
          <w:b/>
          <w:bCs/>
        </w:rPr>
        <w:t xml:space="preserve">3  </w:t>
      </w:r>
      <w:r>
        <w:t>外门、户门的气密性能不宜低于6级；</w:t>
      </w:r>
    </w:p>
    <w:p w14:paraId="64DEACCB">
      <w:pPr>
        <w:pStyle w:val="27"/>
        <w:widowControl/>
        <w:ind w:firstLine="482" w:firstLineChars="200"/>
        <w:rPr>
          <w:rFonts w:hint="default"/>
        </w:rPr>
      </w:pPr>
      <w:r>
        <w:rPr>
          <w:rFonts w:hint="default" w:ascii="Times New Roman" w:hAnsi="Times New Roman"/>
          <w:b/>
          <w:bCs/>
        </w:rPr>
        <w:t xml:space="preserve">4 </w:t>
      </w:r>
      <w:r>
        <w:t xml:space="preserve"> 外门窗水密性等级不应低于6级；</w:t>
      </w:r>
    </w:p>
    <w:p w14:paraId="4D97C8C7">
      <w:pPr>
        <w:pStyle w:val="27"/>
        <w:widowControl/>
        <w:ind w:firstLine="482" w:firstLineChars="200"/>
        <w:rPr>
          <w:rFonts w:hint="default"/>
        </w:rPr>
      </w:pPr>
      <w:r>
        <w:rPr>
          <w:rFonts w:hint="default" w:ascii="Times New Roman" w:hAnsi="Times New Roman"/>
          <w:b/>
          <w:bCs/>
        </w:rPr>
        <w:t xml:space="preserve">5  </w:t>
      </w:r>
      <w:r>
        <w:t>外门窗的抗风压性能应不低于计算结果的1.2倍；</w:t>
      </w:r>
    </w:p>
    <w:p w14:paraId="52FE5CBF">
      <w:pPr>
        <w:pStyle w:val="27"/>
        <w:widowControl/>
        <w:ind w:firstLine="482" w:firstLineChars="200"/>
        <w:rPr>
          <w:rFonts w:hint="default"/>
        </w:rPr>
      </w:pPr>
      <w:r>
        <w:rPr>
          <w:rFonts w:hint="default" w:ascii="Times New Roman" w:hAnsi="Times New Roman"/>
          <w:b/>
          <w:bCs/>
        </w:rPr>
        <w:t xml:space="preserve">6  </w:t>
      </w:r>
      <w:r>
        <w:t>单元门、楼梯间和前室外门的气密性和水密性等级可比上述要求降低2级。</w:t>
      </w:r>
    </w:p>
    <w:p w14:paraId="0338FF28">
      <w:pPr>
        <w:pStyle w:val="27"/>
        <w:widowControl/>
        <w:spacing w:line="26" w:lineRule="atLeast"/>
        <w:rPr>
          <w:rFonts w:hint="default"/>
          <w:color w:val="8FAADB"/>
        </w:rPr>
      </w:pPr>
      <w:r>
        <w:rPr>
          <w:b/>
          <w:bCs/>
          <w:color w:val="8FAADB"/>
          <w:szCs w:val="24"/>
        </w:rPr>
        <w:t>【条文说明】</w:t>
      </w:r>
      <w:r>
        <w:rPr>
          <w:color w:val="8FAADB"/>
        </w:rPr>
        <w:t>为了配合实现本标准3.2.2条提出的气密性目标和提高生活品质，对外门窗的气密性、水密性和抗风压性能提出了具体要求。兼顾建筑工程的能耗特点和实现的可行性，对外门、单元门、楼梯间和前室外门做出了相应区别</w:t>
      </w:r>
    </w:p>
    <w:p w14:paraId="3CA146FF">
      <w:pPr>
        <w:pStyle w:val="5"/>
        <w:widowControl/>
        <w:jc w:val="center"/>
      </w:pPr>
      <w:bookmarkStart w:id="105" w:name="_Toc6407"/>
      <w:bookmarkStart w:id="106" w:name="_Toc18103"/>
      <w:bookmarkStart w:id="107" w:name="_Toc22594"/>
      <w:bookmarkStart w:id="108" w:name="_Toc22121"/>
      <w:bookmarkStart w:id="109" w:name="_Toc12258"/>
      <w:bookmarkStart w:id="110" w:name="_Toc29299"/>
      <w:r>
        <w:rPr>
          <w:rFonts w:ascii="Times New Roman" w:hAnsi="Times New Roman"/>
        </w:rPr>
        <w:t>Ⅴ</w:t>
      </w:r>
      <w:r>
        <w:t xml:space="preserve">  </w:t>
      </w:r>
      <w:r>
        <w:rPr>
          <w:rFonts w:hint="eastAsia" w:cs="宋体"/>
        </w:rPr>
        <w:t>空气质量</w:t>
      </w:r>
      <w:bookmarkEnd w:id="105"/>
      <w:bookmarkEnd w:id="106"/>
      <w:bookmarkEnd w:id="107"/>
      <w:bookmarkEnd w:id="108"/>
      <w:bookmarkEnd w:id="109"/>
      <w:bookmarkEnd w:id="110"/>
    </w:p>
    <w:p w14:paraId="122D7796">
      <w:pPr>
        <w:pStyle w:val="27"/>
        <w:widowControl/>
        <w:rPr>
          <w:rFonts w:hint="default"/>
        </w:rPr>
      </w:pPr>
      <w:r>
        <w:rPr>
          <w:rFonts w:hint="default" w:ascii="Times New Roman" w:hAnsi="Times New Roman"/>
          <w:b/>
          <w:bCs/>
        </w:rPr>
        <w:t xml:space="preserve">4.4.18  </w:t>
      </w:r>
      <w:r>
        <w:t>超低能耗居住建筑室内空气污染物浓度应符合《建筑环境通用规范》GB 55016的规定。</w:t>
      </w:r>
    </w:p>
    <w:p w14:paraId="755182E4">
      <w:pPr>
        <w:pStyle w:val="27"/>
        <w:widowControl/>
        <w:rPr>
          <w:rFonts w:hint="default"/>
        </w:rPr>
      </w:pPr>
      <w:r>
        <w:rPr>
          <w:rFonts w:hint="default" w:ascii="Times New Roman" w:hAnsi="Times New Roman"/>
          <w:b/>
          <w:bCs/>
        </w:rPr>
        <w:t xml:space="preserve">4.4.19  </w:t>
      </w:r>
      <w:r>
        <w:t>超低能耗居住建筑应配备新风除霾系统，确保主要房间细颗粒物含量符合《室内空气质量标准》GB/T 18883的规定。</w:t>
      </w:r>
    </w:p>
    <w:p w14:paraId="53175705">
      <w:pPr>
        <w:pStyle w:val="2"/>
        <w:widowControl/>
      </w:pPr>
      <w:r>
        <w:rPr>
          <w:lang w:bidi="ar"/>
        </w:rPr>
        <w:br w:type="page"/>
      </w:r>
      <w:bookmarkStart w:id="111" w:name="_Toc980"/>
      <w:bookmarkStart w:id="112" w:name="_Toc2841"/>
      <w:bookmarkStart w:id="113" w:name="_Toc29753"/>
      <w:bookmarkStart w:id="114" w:name="_Toc26066"/>
      <w:bookmarkStart w:id="115" w:name="_Toc31670"/>
      <w:bookmarkStart w:id="116" w:name="_Toc24520"/>
      <w:bookmarkStart w:id="117" w:name="_Toc19346"/>
      <w:bookmarkStart w:id="118" w:name="_Toc32174"/>
      <w:r>
        <w:rPr>
          <w:rStyle w:val="22"/>
          <w:rFonts w:ascii="Times New Roman" w:hAnsi="Times New Roman" w:cs="Times New Roman"/>
          <w:b w:val="0"/>
        </w:rPr>
        <w:t>5</w:t>
      </w:r>
      <w:r>
        <w:rPr>
          <w:rStyle w:val="22"/>
          <w:rFonts w:ascii="Calibri" w:hAnsi="Calibri" w:cs="Times New Roman"/>
          <w:b w:val="0"/>
        </w:rPr>
        <w:t xml:space="preserve"> </w:t>
      </w:r>
      <w:r>
        <w:rPr>
          <w:rStyle w:val="22"/>
          <w:rFonts w:hint="eastAsia" w:ascii="Calibri" w:hAnsi="Calibri" w:cs="Times New Roman"/>
          <w:b w:val="0"/>
        </w:rPr>
        <w:t>机电设备与系统</w:t>
      </w:r>
      <w:bookmarkEnd w:id="111"/>
      <w:bookmarkEnd w:id="112"/>
      <w:bookmarkEnd w:id="113"/>
      <w:bookmarkEnd w:id="114"/>
      <w:bookmarkEnd w:id="115"/>
      <w:bookmarkEnd w:id="116"/>
      <w:bookmarkEnd w:id="117"/>
      <w:bookmarkEnd w:id="118"/>
    </w:p>
    <w:p w14:paraId="41722DC3">
      <w:pPr>
        <w:pStyle w:val="4"/>
        <w:widowControl/>
      </w:pPr>
      <w:bookmarkStart w:id="119" w:name="_Toc23427"/>
      <w:bookmarkStart w:id="120" w:name="_Toc6615"/>
      <w:bookmarkStart w:id="121" w:name="_Toc12983"/>
      <w:bookmarkStart w:id="122" w:name="_Toc29280"/>
      <w:bookmarkStart w:id="123" w:name="_Toc30195"/>
      <w:bookmarkStart w:id="124" w:name="_Toc109"/>
      <w:bookmarkStart w:id="125" w:name="_Toc22111"/>
      <w:bookmarkStart w:id="126" w:name="_Toc24838"/>
      <w:r>
        <w:rPr>
          <w:rFonts w:ascii="Times New Roman" w:hAnsi="Times New Roman"/>
        </w:rPr>
        <w:t>5.1</w:t>
      </w:r>
      <w:r>
        <w:t xml:space="preserve"> </w:t>
      </w:r>
      <w:r>
        <w:rPr>
          <w:rFonts w:hint="eastAsia" w:cs="宋体"/>
        </w:rPr>
        <w:t>一般规定</w:t>
      </w:r>
      <w:bookmarkEnd w:id="119"/>
      <w:bookmarkEnd w:id="120"/>
      <w:bookmarkEnd w:id="121"/>
      <w:bookmarkEnd w:id="122"/>
      <w:bookmarkEnd w:id="123"/>
      <w:bookmarkEnd w:id="124"/>
      <w:bookmarkEnd w:id="125"/>
      <w:bookmarkEnd w:id="126"/>
    </w:p>
    <w:p w14:paraId="54526E9A">
      <w:pPr>
        <w:pStyle w:val="27"/>
        <w:widowControl/>
        <w:rPr>
          <w:rFonts w:hint="default"/>
        </w:rPr>
      </w:pPr>
      <w:r>
        <w:rPr>
          <w:rFonts w:hint="default" w:ascii="Times New Roman" w:hAnsi="Times New Roman"/>
          <w:b/>
          <w:bCs/>
        </w:rPr>
        <w:t xml:space="preserve">5.1.1  </w:t>
      </w:r>
      <w:r>
        <w:t>超低能耗居住建筑设计应进行供暖年耗热量、供冷年耗冷量以及总一次能源需求计算，各项指标须满足居住建筑能耗指标的规定。</w:t>
      </w:r>
    </w:p>
    <w:p w14:paraId="7969DED6">
      <w:pPr>
        <w:pStyle w:val="27"/>
        <w:widowControl/>
        <w:spacing w:line="26" w:lineRule="atLeast"/>
        <w:rPr>
          <w:rFonts w:hint="default"/>
          <w:color w:val="8FAADB"/>
        </w:rPr>
      </w:pPr>
      <w:r>
        <w:rPr>
          <w:b/>
          <w:bCs/>
          <w:color w:val="8FAADB"/>
          <w:szCs w:val="24"/>
        </w:rPr>
        <w:t>【条文说明】</w:t>
      </w:r>
      <w:r>
        <w:rPr>
          <w:color w:val="8FAADB"/>
        </w:rPr>
        <w:t>超低能耗建筑应以控制能耗值为核心，关注能耗指标、气密性指标及室内环境参数。</w:t>
      </w:r>
    </w:p>
    <w:p w14:paraId="6D96B039">
      <w:pPr>
        <w:pStyle w:val="27"/>
        <w:widowControl/>
        <w:rPr>
          <w:rFonts w:hint="default"/>
        </w:rPr>
      </w:pPr>
      <w:r>
        <w:rPr>
          <w:rFonts w:hint="default" w:ascii="Times New Roman" w:hAnsi="Times New Roman"/>
          <w:b/>
          <w:bCs/>
        </w:rPr>
        <w:t xml:space="preserve">5.1.2  </w:t>
      </w:r>
      <w:r>
        <w:t>超低能耗居住建筑应设置带高效热回收或全热（热湿）回收的新风系统。</w:t>
      </w:r>
    </w:p>
    <w:p w14:paraId="48F37DE8">
      <w:pPr>
        <w:pStyle w:val="27"/>
        <w:widowControl/>
        <w:spacing w:line="26" w:lineRule="atLeast"/>
        <w:rPr>
          <w:rFonts w:hint="default"/>
          <w:color w:val="8FAADB"/>
        </w:rPr>
      </w:pPr>
      <w:r>
        <w:rPr>
          <w:b/>
          <w:bCs/>
          <w:color w:val="8FAADB"/>
          <w:szCs w:val="24"/>
        </w:rPr>
        <w:t>【条文说明】</w:t>
      </w:r>
      <w:r>
        <w:rPr>
          <w:rFonts w:hint="default" w:ascii="Times New Roman" w:hAnsi="Times New Roman"/>
          <w:b/>
          <w:bCs/>
          <w:color w:val="8FAADB"/>
        </w:rPr>
        <w:t xml:space="preserve">1  </w:t>
      </w:r>
      <w:r>
        <w:rPr>
          <w:color w:val="8FAADB"/>
        </w:rPr>
        <w:t>超低能耗居住建筑应设置新风系统，其新风量应符合现行国家标准《民用建筑供暖通风与空气调节设计规范》GB 50736中的有关规定；</w:t>
      </w:r>
    </w:p>
    <w:p w14:paraId="40320938">
      <w:pPr>
        <w:pStyle w:val="27"/>
        <w:widowControl/>
        <w:ind w:firstLine="482" w:firstLineChars="200"/>
        <w:rPr>
          <w:rFonts w:hint="default"/>
          <w:color w:val="8FAADB"/>
        </w:rPr>
      </w:pPr>
      <w:r>
        <w:rPr>
          <w:rFonts w:hint="default" w:ascii="Times New Roman" w:hAnsi="Times New Roman"/>
          <w:b/>
          <w:bCs/>
          <w:color w:val="8FAADB"/>
        </w:rPr>
        <w:t xml:space="preserve">2  </w:t>
      </w:r>
      <w:r>
        <w:rPr>
          <w:color w:val="8FAADB"/>
        </w:rPr>
        <w:t>居住建筑新风系统应优先分户独立设置，并应按用户需求供应新风量；</w:t>
      </w:r>
    </w:p>
    <w:p w14:paraId="5A987E50">
      <w:pPr>
        <w:pStyle w:val="27"/>
        <w:widowControl/>
        <w:ind w:firstLine="482" w:firstLineChars="200"/>
        <w:rPr>
          <w:rFonts w:hint="default"/>
          <w:color w:val="8FAADB"/>
        </w:rPr>
      </w:pPr>
      <w:r>
        <w:rPr>
          <w:rFonts w:hint="default" w:ascii="Times New Roman" w:hAnsi="Times New Roman"/>
          <w:b/>
          <w:bCs/>
          <w:color w:val="8FAADB"/>
        </w:rPr>
        <w:t xml:space="preserve">3  </w:t>
      </w:r>
      <w:r>
        <w:rPr>
          <w:color w:val="8FAADB"/>
        </w:rPr>
        <w:t>新风气流应从主要活动区(送风区)流向卫生间等功能区(排风区)；</w:t>
      </w:r>
    </w:p>
    <w:p w14:paraId="27329C27">
      <w:pPr>
        <w:pStyle w:val="27"/>
        <w:widowControl/>
        <w:ind w:firstLine="482" w:firstLineChars="200"/>
        <w:rPr>
          <w:rFonts w:hint="default"/>
          <w:color w:val="8FAADB"/>
        </w:rPr>
      </w:pPr>
      <w:r>
        <w:rPr>
          <w:rFonts w:hint="default" w:ascii="Times New Roman" w:hAnsi="Times New Roman"/>
          <w:b/>
          <w:bCs/>
          <w:color w:val="8FAADB"/>
        </w:rPr>
        <w:t xml:space="preserve">4  </w:t>
      </w:r>
      <w:r>
        <w:rPr>
          <w:color w:val="8FAADB"/>
        </w:rPr>
        <w:t>当有结露风险时，连通室外的新风和排风管道，应在靠近外墙处设置保温密闭型电动风阀，并与系统联动；</w:t>
      </w:r>
    </w:p>
    <w:p w14:paraId="5B9D5CE2">
      <w:pPr>
        <w:pStyle w:val="27"/>
        <w:widowControl/>
        <w:rPr>
          <w:rFonts w:hint="default"/>
        </w:rPr>
      </w:pPr>
      <w:r>
        <w:rPr>
          <w:rFonts w:hint="default" w:ascii="Times New Roman" w:hAnsi="Times New Roman"/>
          <w:b/>
          <w:bCs/>
        </w:rPr>
        <w:t xml:space="preserve">5.1.3  </w:t>
      </w:r>
      <w:r>
        <w:t>超低能耗居住建筑设计应依据室内环境指标要求，合理设置供热供冷系统。</w:t>
      </w:r>
    </w:p>
    <w:p w14:paraId="3F012657">
      <w:pPr>
        <w:pStyle w:val="27"/>
        <w:widowControl/>
        <w:spacing w:line="26" w:lineRule="atLeast"/>
        <w:rPr>
          <w:rFonts w:hint="default"/>
          <w:color w:val="8FAADB"/>
        </w:rPr>
      </w:pPr>
      <w:r>
        <w:rPr>
          <w:b/>
          <w:bCs/>
          <w:color w:val="8FAADB"/>
          <w:szCs w:val="24"/>
        </w:rPr>
        <w:t>【条文说明】</w:t>
      </w:r>
      <w:r>
        <w:rPr>
          <w:color w:val="8FAADB"/>
        </w:rPr>
        <w:t>在进行超低能耗居住建筑设计时，当预测或评估的室内环境参数无法达到建筑设定标准，应设置供热供冷系统，旨在确保室内环境的舒适度与健康性符合超低能耗标准。</w:t>
      </w:r>
    </w:p>
    <w:p w14:paraId="2A28A216">
      <w:pPr>
        <w:pStyle w:val="27"/>
        <w:widowControl/>
        <w:rPr>
          <w:rFonts w:hint="default"/>
        </w:rPr>
      </w:pPr>
      <w:r>
        <w:rPr>
          <w:rFonts w:hint="default" w:ascii="Times New Roman" w:hAnsi="Times New Roman"/>
          <w:b/>
          <w:bCs/>
        </w:rPr>
        <w:t xml:space="preserve">5.1.4  </w:t>
      </w:r>
      <w:r>
        <w:t>超低能耗居住建筑供暖、供冷方式及设备选型，应根据能耗限值要求，结合项目的资源情况、节能目标、环保要求、能源的高效利用等综合因素，进行空调系统冷热源方案比选和性能参数优化，并符合下列规定：</w:t>
      </w:r>
    </w:p>
    <w:p w14:paraId="73DEEE98">
      <w:pPr>
        <w:pStyle w:val="27"/>
        <w:widowControl/>
        <w:ind w:firstLine="482" w:firstLineChars="200"/>
        <w:rPr>
          <w:rFonts w:hint="default"/>
        </w:rPr>
      </w:pPr>
      <w:r>
        <w:rPr>
          <w:rFonts w:hint="default" w:ascii="Times New Roman" w:hAnsi="Times New Roman"/>
          <w:b/>
          <w:bCs/>
        </w:rPr>
        <w:t xml:space="preserve">1  </w:t>
      </w:r>
      <w:r>
        <w:t>优先利用可再生能源，减少一次能源的依赖；</w:t>
      </w:r>
    </w:p>
    <w:p w14:paraId="4A743DCC">
      <w:pPr>
        <w:pStyle w:val="27"/>
        <w:widowControl/>
        <w:ind w:firstLine="482" w:firstLineChars="200"/>
        <w:rPr>
          <w:rFonts w:hint="default"/>
        </w:rPr>
      </w:pPr>
      <w:r>
        <w:rPr>
          <w:rFonts w:hint="default" w:ascii="Times New Roman" w:hAnsi="Times New Roman"/>
          <w:b/>
          <w:bCs/>
        </w:rPr>
        <w:t xml:space="preserve">2  </w:t>
      </w:r>
      <w:r>
        <w:t>优先利用废热、余热资源，</w:t>
      </w:r>
      <w:r>
        <w:rPr>
          <w:rFonts w:hint="default" w:ascii="Helvetica" w:hAnsi="Helvetica" w:eastAsia="Helvetica" w:cs="Helvetica"/>
          <w:color w:val="1F2328"/>
          <w:szCs w:val="24"/>
          <w:shd w:val="clear" w:color="auto" w:fill="FFFFFF"/>
        </w:rPr>
        <w:t>提高能源利用效率</w:t>
      </w:r>
      <w:r>
        <w:t>；</w:t>
      </w:r>
    </w:p>
    <w:p w14:paraId="68738942">
      <w:pPr>
        <w:pStyle w:val="27"/>
        <w:widowControl/>
        <w:ind w:firstLine="482" w:firstLineChars="200"/>
        <w:rPr>
          <w:rFonts w:hint="default"/>
        </w:rPr>
      </w:pPr>
      <w:r>
        <w:rPr>
          <w:rFonts w:hint="default" w:ascii="Times New Roman" w:hAnsi="Times New Roman"/>
          <w:b/>
          <w:bCs/>
        </w:rPr>
        <w:t xml:space="preserve">3  </w:t>
      </w:r>
      <w:r>
        <w:t>优先采用多能互补集成方式，并宜</w:t>
      </w:r>
      <w:r>
        <w:rPr>
          <w:rFonts w:hint="default" w:ascii="Helvetica" w:hAnsi="Helvetica" w:eastAsia="Helvetica" w:cs="Helvetica"/>
          <w:color w:val="1F2328"/>
          <w:szCs w:val="24"/>
          <w:shd w:val="clear" w:color="auto" w:fill="FFFFFF"/>
        </w:rPr>
        <w:t>同步考虑满足生活热水需求，实现能源系统的整体优化</w:t>
      </w:r>
      <w:r>
        <w:t>。</w:t>
      </w:r>
    </w:p>
    <w:p w14:paraId="33659420">
      <w:pPr>
        <w:pStyle w:val="27"/>
        <w:widowControl/>
        <w:spacing w:line="26" w:lineRule="atLeast"/>
        <w:rPr>
          <w:rFonts w:hint="default"/>
          <w:color w:val="8FAADB"/>
        </w:rPr>
      </w:pPr>
      <w:r>
        <w:rPr>
          <w:b/>
          <w:bCs/>
          <w:color w:val="8FAADB"/>
          <w:szCs w:val="24"/>
        </w:rPr>
        <w:t>【条文说明】</w:t>
      </w:r>
      <w:r>
        <w:rPr>
          <w:color w:val="8FAADB"/>
        </w:rPr>
        <w:t>鼓励应用可再生能源、废热、余热。此类能源的利用应基于项目的地理环境特征、使用模式等因素，科学评估其在总能源供应中的贡献比例，充分体现本土化、人性化、低碳化、长寿化和智慧化的能源利用原则。当采用地源热泵、空气源热泵系统为用户供暖、供冷时，其一次能源利用率应高于项目采用的常规能源一次能源利用率。</w:t>
      </w:r>
    </w:p>
    <w:p w14:paraId="5AF05FB9">
      <w:pPr>
        <w:pStyle w:val="27"/>
        <w:widowControl/>
        <w:rPr>
          <w:rFonts w:hint="default"/>
        </w:rPr>
      </w:pPr>
      <w:r>
        <w:rPr>
          <w:rFonts w:hint="default" w:ascii="Times New Roman" w:hAnsi="Times New Roman"/>
          <w:b/>
          <w:bCs/>
        </w:rPr>
        <w:t xml:space="preserve">5.1.5  </w:t>
      </w:r>
      <w:r>
        <w:t>超低能耗居住建筑应制定合理的供配电系统、智能化系统方案，在满足建筑功能要求的基础上，应做到安全、可靠、经济合理、高效节能，减少能源和资源消耗，提高能源利用效率。</w:t>
      </w:r>
    </w:p>
    <w:p w14:paraId="52951CB7">
      <w:pPr>
        <w:pStyle w:val="27"/>
        <w:widowControl/>
        <w:rPr>
          <w:rFonts w:hint="default"/>
        </w:rPr>
      </w:pPr>
      <w:r>
        <w:rPr>
          <w:rFonts w:hint="default" w:ascii="Times New Roman" w:hAnsi="Times New Roman"/>
          <w:b/>
          <w:bCs/>
        </w:rPr>
        <w:t xml:space="preserve">5.1.6  </w:t>
      </w:r>
      <w:r>
        <w:t>超低能耗居住建筑应对各类用能系统及产能系统进行分项计量。</w:t>
      </w:r>
    </w:p>
    <w:p w14:paraId="3D7B7086">
      <w:pPr>
        <w:pStyle w:val="4"/>
        <w:widowControl/>
      </w:pPr>
      <w:bookmarkStart w:id="127" w:name="_Toc25128"/>
      <w:bookmarkStart w:id="128" w:name="_Toc27280"/>
      <w:bookmarkStart w:id="129" w:name="_Toc9789"/>
      <w:bookmarkStart w:id="130" w:name="_Toc10201"/>
      <w:bookmarkStart w:id="131" w:name="_Toc13612"/>
      <w:bookmarkStart w:id="132" w:name="_Toc7367"/>
      <w:bookmarkStart w:id="133" w:name="_Toc18831"/>
      <w:bookmarkStart w:id="134" w:name="_Toc4632"/>
      <w:r>
        <w:rPr>
          <w:rFonts w:ascii="Times New Roman" w:hAnsi="Times New Roman"/>
        </w:rPr>
        <w:t>5.2</w:t>
      </w:r>
      <w:r>
        <w:t xml:space="preserve">  </w:t>
      </w:r>
      <w:r>
        <w:rPr>
          <w:rFonts w:hint="eastAsia" w:cs="宋体"/>
        </w:rPr>
        <w:t>暖通</w:t>
      </w:r>
      <w:bookmarkEnd w:id="127"/>
      <w:bookmarkEnd w:id="128"/>
      <w:r>
        <w:rPr>
          <w:rFonts w:hint="eastAsia" w:cs="宋体"/>
        </w:rPr>
        <w:t>空调</w:t>
      </w:r>
      <w:bookmarkEnd w:id="129"/>
      <w:bookmarkEnd w:id="130"/>
      <w:bookmarkEnd w:id="131"/>
      <w:bookmarkEnd w:id="132"/>
      <w:bookmarkEnd w:id="133"/>
      <w:bookmarkEnd w:id="134"/>
    </w:p>
    <w:p w14:paraId="43988891">
      <w:pPr>
        <w:pStyle w:val="27"/>
        <w:widowControl/>
        <w:rPr>
          <w:rFonts w:hint="default"/>
        </w:rPr>
      </w:pPr>
      <w:r>
        <w:rPr>
          <w:rFonts w:hint="default" w:ascii="Times New Roman" w:hAnsi="Times New Roman"/>
          <w:b/>
          <w:bCs/>
        </w:rPr>
        <w:t xml:space="preserve">5.2.1  </w:t>
      </w:r>
      <w:r>
        <w:t>超低能耗居住建筑在施工图设计阶段，应进行逐项逐时的热负荷和冷负荷计算。</w:t>
      </w:r>
    </w:p>
    <w:p w14:paraId="4DBBEBE1">
      <w:pPr>
        <w:pStyle w:val="27"/>
        <w:widowControl/>
        <w:spacing w:line="26" w:lineRule="atLeast"/>
        <w:rPr>
          <w:rFonts w:hint="default"/>
          <w:color w:val="8FAADB"/>
        </w:rPr>
      </w:pPr>
      <w:r>
        <w:rPr>
          <w:b/>
          <w:bCs/>
          <w:color w:val="8FAADB"/>
          <w:szCs w:val="24"/>
        </w:rPr>
        <w:t>【条文说明】</w:t>
      </w:r>
      <w:r>
        <w:rPr>
          <w:color w:val="8FAADB"/>
        </w:rPr>
        <w:t>超低能耗居住建筑的围护结构参数、气密性等均有了很大程度的改善，为防止有些设计人员错误地利用设计手册和设计经验的估算指标，直接作为施工图设计阶段确定空调的冷、热负荷的依据，特规定此条为强制要求。</w:t>
      </w:r>
    </w:p>
    <w:p w14:paraId="3D550256">
      <w:pPr>
        <w:pStyle w:val="27"/>
        <w:widowControl/>
        <w:rPr>
          <w:rFonts w:hint="default"/>
          <w:color w:val="8FAADB"/>
        </w:rPr>
      </w:pPr>
      <w:r>
        <w:rPr>
          <w:color w:val="8FAADB"/>
        </w:rPr>
        <w:t>需要说明的是，对于仅采用房间空气调节器和新风系统和的项目，超低能耗居住建筑也要求进行空调施工图设计，所以必需进行热负荷计算和逐项逐时的冷负荷计算。</w:t>
      </w:r>
    </w:p>
    <w:p w14:paraId="014770CB">
      <w:pPr>
        <w:pStyle w:val="27"/>
        <w:widowControl/>
        <w:rPr>
          <w:rFonts w:hint="default"/>
        </w:rPr>
      </w:pPr>
      <w:r>
        <w:rPr>
          <w:rFonts w:hint="default" w:ascii="Times New Roman" w:hAnsi="Times New Roman"/>
          <w:b/>
          <w:bCs/>
        </w:rPr>
        <w:t xml:space="preserve">5.2.2  </w:t>
      </w:r>
      <w:r>
        <w:t>空调系统冷热源系统设计应与建筑负荷匹配，空调冷热源设备应优先选用能效等级为1级的产品，并应提高系统能效。</w:t>
      </w:r>
    </w:p>
    <w:p w14:paraId="2CBEBD2A">
      <w:pPr>
        <w:pStyle w:val="27"/>
        <w:widowControl/>
        <w:spacing w:line="26" w:lineRule="atLeast"/>
        <w:rPr>
          <w:rFonts w:hint="default"/>
          <w:color w:val="8FAADB"/>
        </w:rPr>
      </w:pPr>
      <w:r>
        <w:rPr>
          <w:b/>
          <w:bCs/>
          <w:color w:val="8FAADB"/>
          <w:szCs w:val="24"/>
        </w:rPr>
        <w:t>【条文说明】</w:t>
      </w:r>
      <w:r>
        <w:rPr>
          <w:color w:val="8FAADB"/>
        </w:rPr>
        <w:t>超低能耗居住建筑应以室内环境参数及能效指标为约束性指标，空调冷热源设备的能效指标为推荐性指标，建议优先选用。</w:t>
      </w:r>
    </w:p>
    <w:p w14:paraId="2C6BCE8D">
      <w:pPr>
        <w:pStyle w:val="27"/>
        <w:widowControl/>
        <w:ind w:firstLine="482" w:firstLineChars="200"/>
        <w:rPr>
          <w:rFonts w:hint="default"/>
          <w:color w:val="8FAADB"/>
        </w:rPr>
      </w:pPr>
      <w:r>
        <w:rPr>
          <w:rFonts w:hint="default" w:ascii="Times New Roman" w:hAnsi="Times New Roman"/>
          <w:b/>
          <w:bCs/>
          <w:color w:val="8FAADB"/>
        </w:rPr>
        <w:t>1</w:t>
      </w:r>
      <w:r>
        <w:rPr>
          <w:color w:val="8FAADB"/>
        </w:rPr>
        <w:t>当采用分散式房间空气调节器作为冷热源时，其热泵型房间空气调节器的全年能源消耗效率（</w:t>
      </w:r>
      <w:r>
        <w:rPr>
          <w:rFonts w:hint="default" w:ascii="Times New Roman" w:hAnsi="Times New Roman"/>
          <w:color w:val="8FAADB"/>
        </w:rPr>
        <w:t>APF</w:t>
      </w:r>
      <w:r>
        <w:rPr>
          <w:color w:val="8FAADB"/>
        </w:rPr>
        <w:t>）和单冷式房间空气调节器的制冷季节能源消耗效率(SEER)应不低于表</w:t>
      </w:r>
      <w:r>
        <w:rPr>
          <w:rFonts w:hint="default" w:ascii="Times New Roman" w:hAnsi="Times New Roman"/>
          <w:color w:val="8FAADB"/>
        </w:rPr>
        <w:t>5.2.2-1</w:t>
      </w:r>
      <w:r>
        <w:rPr>
          <w:color w:val="8FAADB"/>
        </w:rPr>
        <w:t>的规定。</w:t>
      </w:r>
    </w:p>
    <w:p w14:paraId="3EDFB17B">
      <w:pPr>
        <w:pStyle w:val="27"/>
        <w:widowControl/>
        <w:spacing w:before="156" w:beforeLines="50" w:after="156" w:afterLines="50"/>
        <w:jc w:val="center"/>
        <w:rPr>
          <w:rFonts w:hint="default"/>
          <w:b/>
          <w:bCs/>
          <w:color w:val="8FAADB"/>
          <w:sz w:val="21"/>
          <w:szCs w:val="21"/>
        </w:rPr>
      </w:pPr>
      <w:r>
        <w:rPr>
          <w:b/>
          <w:bCs/>
          <w:color w:val="8FAADB"/>
          <w:sz w:val="21"/>
          <w:szCs w:val="21"/>
        </w:rPr>
        <w:t>表5.2.2-1分散式房间空气调节器1级能效指标</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14:paraId="79B70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12" w:space="0"/>
              <w:left w:val="single" w:color="auto" w:sz="12" w:space="0"/>
              <w:bottom w:val="single" w:color="auto" w:sz="4" w:space="0"/>
              <w:right w:val="single" w:color="auto" w:sz="4" w:space="0"/>
            </w:tcBorders>
            <w:shd w:val="clear" w:color="auto" w:fill="auto"/>
          </w:tcPr>
          <w:p w14:paraId="26A88AFF">
            <w:pPr>
              <w:pStyle w:val="27"/>
              <w:widowControl/>
              <w:jc w:val="center"/>
              <w:rPr>
                <w:rFonts w:hint="default" w:ascii="Times New Roman" w:hAnsi="Times New Roman"/>
                <w:color w:val="8FAADB"/>
                <w:sz w:val="21"/>
                <w:szCs w:val="21"/>
                <w:lang w:eastAsia="en-US"/>
              </w:rPr>
            </w:pPr>
            <w:r>
              <w:rPr>
                <w:rFonts w:ascii="Times New Roman" w:hAnsi="Times New Roman"/>
                <w:color w:val="8FAADB"/>
                <w:sz w:val="21"/>
                <w:szCs w:val="21"/>
                <w:lang w:eastAsia="en-US"/>
              </w:rPr>
              <w:t>额定制冷量（</w:t>
            </w:r>
            <w:r>
              <w:rPr>
                <w:rFonts w:hint="default" w:ascii="Times New Roman" w:hAnsi="Times New Roman"/>
                <w:color w:val="8FAADB"/>
                <w:sz w:val="21"/>
                <w:szCs w:val="21"/>
                <w:lang w:eastAsia="en-US"/>
              </w:rPr>
              <w:t>CC</w:t>
            </w:r>
            <w:r>
              <w:rPr>
                <w:rFonts w:ascii="Times New Roman" w:hAnsi="Times New Roman"/>
                <w:color w:val="8FAADB"/>
                <w:sz w:val="21"/>
                <w:szCs w:val="21"/>
                <w:lang w:eastAsia="en-US"/>
              </w:rPr>
              <w:t>）</w:t>
            </w:r>
          </w:p>
          <w:p w14:paraId="2AE92990">
            <w:pPr>
              <w:pStyle w:val="27"/>
              <w:widowControl/>
              <w:jc w:val="center"/>
              <w:rPr>
                <w:rFonts w:hint="default" w:ascii="Times New Roman" w:hAnsi="Times New Roman"/>
                <w:color w:val="8FAADB"/>
                <w:sz w:val="21"/>
                <w:szCs w:val="21"/>
                <w:lang w:eastAsia="en-US"/>
              </w:rPr>
            </w:pPr>
            <w:r>
              <w:rPr>
                <w:rFonts w:hint="default" w:ascii="Times New Roman" w:hAnsi="Times New Roman"/>
                <w:color w:val="8FAADB"/>
                <w:sz w:val="21"/>
                <w:szCs w:val="21"/>
                <w:lang w:eastAsia="en-US"/>
              </w:rPr>
              <w:t>W</w:t>
            </w:r>
          </w:p>
        </w:tc>
        <w:tc>
          <w:tcPr>
            <w:tcW w:w="2765" w:type="dxa"/>
            <w:tcBorders>
              <w:top w:val="single" w:color="auto" w:sz="12" w:space="0"/>
              <w:left w:val="single" w:color="auto" w:sz="4" w:space="0"/>
              <w:bottom w:val="single" w:color="auto" w:sz="4" w:space="0"/>
              <w:right w:val="single" w:color="auto" w:sz="4" w:space="0"/>
            </w:tcBorders>
            <w:shd w:val="clear" w:color="auto" w:fill="auto"/>
          </w:tcPr>
          <w:p w14:paraId="4DEC3362">
            <w:pPr>
              <w:pStyle w:val="27"/>
              <w:widowControl/>
              <w:jc w:val="center"/>
              <w:rPr>
                <w:rFonts w:hint="default" w:ascii="Times New Roman" w:hAnsi="Times New Roman"/>
                <w:color w:val="8FAADB"/>
                <w:sz w:val="21"/>
                <w:szCs w:val="21"/>
              </w:rPr>
            </w:pPr>
            <w:r>
              <w:rPr>
                <w:rFonts w:ascii="Times New Roman" w:hAnsi="Times New Roman"/>
                <w:color w:val="8FAADB"/>
                <w:sz w:val="21"/>
                <w:szCs w:val="21"/>
              </w:rPr>
              <w:t>热泵型房间空气调节器</w:t>
            </w:r>
          </w:p>
          <w:p w14:paraId="797C07AC">
            <w:pPr>
              <w:pStyle w:val="27"/>
              <w:widowControl/>
              <w:jc w:val="center"/>
              <w:rPr>
                <w:rFonts w:hint="default" w:ascii="Times New Roman" w:hAnsi="Times New Roman"/>
                <w:color w:val="8FAADB"/>
                <w:sz w:val="21"/>
                <w:szCs w:val="21"/>
              </w:rPr>
            </w:pPr>
            <w:r>
              <w:rPr>
                <w:rFonts w:ascii="Times New Roman" w:hAnsi="Times New Roman"/>
                <w:color w:val="8FAADB"/>
                <w:sz w:val="21"/>
                <w:szCs w:val="21"/>
              </w:rPr>
              <w:t>全年能源消耗效率</w:t>
            </w:r>
            <w:r>
              <w:rPr>
                <w:rFonts w:hint="default" w:ascii="Times New Roman" w:hAnsi="Times New Roman"/>
                <w:color w:val="8FAADB"/>
                <w:sz w:val="21"/>
                <w:szCs w:val="21"/>
              </w:rPr>
              <w:t>(APF) (W.h)/(W.h)</w:t>
            </w:r>
          </w:p>
        </w:tc>
        <w:tc>
          <w:tcPr>
            <w:tcW w:w="2766" w:type="dxa"/>
            <w:tcBorders>
              <w:top w:val="single" w:color="auto" w:sz="12" w:space="0"/>
              <w:left w:val="single" w:color="auto" w:sz="4" w:space="0"/>
              <w:bottom w:val="single" w:color="auto" w:sz="4" w:space="0"/>
              <w:right w:val="single" w:color="auto" w:sz="12" w:space="0"/>
            </w:tcBorders>
            <w:shd w:val="clear" w:color="auto" w:fill="auto"/>
          </w:tcPr>
          <w:p w14:paraId="263F3FDB">
            <w:pPr>
              <w:pStyle w:val="27"/>
              <w:widowControl/>
              <w:jc w:val="center"/>
              <w:rPr>
                <w:rFonts w:hint="default" w:ascii="Times New Roman" w:hAnsi="Times New Roman"/>
                <w:color w:val="8FAADB"/>
                <w:sz w:val="21"/>
                <w:szCs w:val="21"/>
              </w:rPr>
            </w:pPr>
            <w:r>
              <w:rPr>
                <w:rFonts w:ascii="Times New Roman" w:hAnsi="Times New Roman"/>
                <w:color w:val="8FAADB"/>
                <w:sz w:val="21"/>
                <w:szCs w:val="21"/>
              </w:rPr>
              <w:t>单冷型房间空气调节器</w:t>
            </w:r>
          </w:p>
          <w:p w14:paraId="63817D76">
            <w:pPr>
              <w:pStyle w:val="27"/>
              <w:widowControl/>
              <w:jc w:val="center"/>
              <w:rPr>
                <w:rFonts w:hint="default" w:ascii="Times New Roman" w:hAnsi="Times New Roman"/>
                <w:color w:val="8FAADB"/>
                <w:sz w:val="21"/>
                <w:szCs w:val="21"/>
              </w:rPr>
            </w:pPr>
            <w:r>
              <w:rPr>
                <w:rFonts w:ascii="Times New Roman" w:hAnsi="Times New Roman"/>
                <w:color w:val="8FAADB"/>
                <w:sz w:val="21"/>
                <w:szCs w:val="21"/>
              </w:rPr>
              <w:t>制冷季节能源消耗效率</w:t>
            </w:r>
            <w:r>
              <w:rPr>
                <w:rFonts w:hint="default" w:ascii="Times New Roman" w:hAnsi="Times New Roman"/>
                <w:color w:val="8FAADB"/>
                <w:sz w:val="21"/>
                <w:szCs w:val="21"/>
              </w:rPr>
              <w:t>(SEER) (W.h)/(W.h)</w:t>
            </w:r>
          </w:p>
        </w:tc>
      </w:tr>
      <w:tr w14:paraId="5435E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12" w:space="0"/>
              <w:bottom w:val="single" w:color="auto" w:sz="4" w:space="0"/>
              <w:right w:val="single" w:color="auto" w:sz="4" w:space="0"/>
            </w:tcBorders>
            <w:shd w:val="clear" w:color="auto" w:fill="auto"/>
          </w:tcPr>
          <w:p w14:paraId="7E9F2DAB">
            <w:pPr>
              <w:pStyle w:val="27"/>
              <w:widowControl/>
              <w:jc w:val="center"/>
              <w:rPr>
                <w:rFonts w:hint="default"/>
                <w:color w:val="8FAADB"/>
                <w:sz w:val="21"/>
                <w:szCs w:val="21"/>
                <w:lang w:eastAsia="en-US"/>
              </w:rPr>
            </w:pPr>
            <w:r>
              <w:rPr>
                <w:color w:val="8FAADB"/>
                <w:sz w:val="21"/>
                <w:szCs w:val="21"/>
                <w:lang w:eastAsia="en-US"/>
              </w:rPr>
              <w:t>CC≤4 500</w:t>
            </w:r>
          </w:p>
        </w:tc>
        <w:tc>
          <w:tcPr>
            <w:tcW w:w="2765" w:type="dxa"/>
            <w:tcBorders>
              <w:top w:val="single" w:color="auto" w:sz="4" w:space="0"/>
              <w:left w:val="single" w:color="auto" w:sz="4" w:space="0"/>
              <w:bottom w:val="single" w:color="auto" w:sz="4" w:space="0"/>
              <w:right w:val="single" w:color="auto" w:sz="4" w:space="0"/>
            </w:tcBorders>
            <w:shd w:val="clear" w:color="auto" w:fill="auto"/>
          </w:tcPr>
          <w:p w14:paraId="3BA7E5D8">
            <w:pPr>
              <w:pStyle w:val="27"/>
              <w:widowControl/>
              <w:jc w:val="center"/>
              <w:rPr>
                <w:rFonts w:hint="default"/>
                <w:color w:val="8FAADB"/>
                <w:sz w:val="21"/>
                <w:szCs w:val="21"/>
                <w:lang w:eastAsia="en-US"/>
              </w:rPr>
            </w:pPr>
            <w:r>
              <w:rPr>
                <w:color w:val="8FAADB"/>
                <w:sz w:val="21"/>
                <w:szCs w:val="21"/>
                <w:lang w:eastAsia="en-US"/>
              </w:rPr>
              <w:t>5.00</w:t>
            </w:r>
          </w:p>
        </w:tc>
        <w:tc>
          <w:tcPr>
            <w:tcW w:w="2766" w:type="dxa"/>
            <w:tcBorders>
              <w:top w:val="single" w:color="auto" w:sz="4" w:space="0"/>
              <w:left w:val="single" w:color="auto" w:sz="4" w:space="0"/>
              <w:bottom w:val="single" w:color="auto" w:sz="4" w:space="0"/>
              <w:right w:val="single" w:color="auto" w:sz="12" w:space="0"/>
            </w:tcBorders>
            <w:shd w:val="clear" w:color="auto" w:fill="auto"/>
          </w:tcPr>
          <w:p w14:paraId="33295886">
            <w:pPr>
              <w:pStyle w:val="27"/>
              <w:widowControl/>
              <w:jc w:val="center"/>
              <w:rPr>
                <w:rFonts w:hint="default"/>
                <w:color w:val="8FAADB"/>
                <w:sz w:val="21"/>
                <w:szCs w:val="21"/>
                <w:lang w:eastAsia="en-US"/>
              </w:rPr>
            </w:pPr>
            <w:r>
              <w:rPr>
                <w:color w:val="8FAADB"/>
                <w:sz w:val="21"/>
                <w:szCs w:val="21"/>
                <w:lang w:eastAsia="en-US"/>
              </w:rPr>
              <w:t>5.80</w:t>
            </w:r>
          </w:p>
        </w:tc>
      </w:tr>
      <w:tr w14:paraId="6D3FE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12" w:space="0"/>
              <w:bottom w:val="single" w:color="auto" w:sz="4" w:space="0"/>
              <w:right w:val="single" w:color="auto" w:sz="4" w:space="0"/>
            </w:tcBorders>
            <w:shd w:val="clear" w:color="auto" w:fill="auto"/>
          </w:tcPr>
          <w:p w14:paraId="336BE765">
            <w:pPr>
              <w:pStyle w:val="27"/>
              <w:widowControl/>
              <w:jc w:val="center"/>
              <w:rPr>
                <w:rFonts w:hint="default"/>
                <w:color w:val="8FAADB"/>
                <w:sz w:val="21"/>
                <w:szCs w:val="21"/>
                <w:lang w:eastAsia="en-US"/>
              </w:rPr>
            </w:pPr>
            <w:r>
              <w:rPr>
                <w:color w:val="8FAADB"/>
                <w:sz w:val="21"/>
                <w:szCs w:val="21"/>
                <w:lang w:eastAsia="en-US"/>
              </w:rPr>
              <w:t>4 500&lt;CC≤7 100</w:t>
            </w:r>
          </w:p>
        </w:tc>
        <w:tc>
          <w:tcPr>
            <w:tcW w:w="2765" w:type="dxa"/>
            <w:tcBorders>
              <w:top w:val="single" w:color="auto" w:sz="4" w:space="0"/>
              <w:left w:val="single" w:color="auto" w:sz="4" w:space="0"/>
              <w:bottom w:val="single" w:color="auto" w:sz="4" w:space="0"/>
              <w:right w:val="single" w:color="auto" w:sz="4" w:space="0"/>
            </w:tcBorders>
            <w:shd w:val="clear" w:color="auto" w:fill="auto"/>
          </w:tcPr>
          <w:p w14:paraId="4D98D4B9">
            <w:pPr>
              <w:pStyle w:val="27"/>
              <w:widowControl/>
              <w:jc w:val="center"/>
              <w:rPr>
                <w:rFonts w:hint="default"/>
                <w:color w:val="8FAADB"/>
                <w:sz w:val="21"/>
                <w:szCs w:val="21"/>
                <w:lang w:eastAsia="en-US"/>
              </w:rPr>
            </w:pPr>
            <w:r>
              <w:rPr>
                <w:color w:val="8FAADB"/>
                <w:sz w:val="21"/>
                <w:szCs w:val="21"/>
                <w:lang w:eastAsia="en-US"/>
              </w:rPr>
              <w:t>4. 50</w:t>
            </w:r>
          </w:p>
        </w:tc>
        <w:tc>
          <w:tcPr>
            <w:tcW w:w="2766" w:type="dxa"/>
            <w:tcBorders>
              <w:top w:val="single" w:color="auto" w:sz="4" w:space="0"/>
              <w:left w:val="single" w:color="auto" w:sz="4" w:space="0"/>
              <w:bottom w:val="single" w:color="auto" w:sz="4" w:space="0"/>
              <w:right w:val="single" w:color="auto" w:sz="12" w:space="0"/>
            </w:tcBorders>
            <w:shd w:val="clear" w:color="auto" w:fill="auto"/>
          </w:tcPr>
          <w:p w14:paraId="7B259E89">
            <w:pPr>
              <w:pStyle w:val="27"/>
              <w:widowControl/>
              <w:jc w:val="center"/>
              <w:rPr>
                <w:rFonts w:hint="default"/>
                <w:color w:val="8FAADB"/>
                <w:sz w:val="21"/>
                <w:szCs w:val="21"/>
                <w:lang w:eastAsia="en-US"/>
              </w:rPr>
            </w:pPr>
            <w:r>
              <w:rPr>
                <w:color w:val="8FAADB"/>
                <w:sz w:val="21"/>
                <w:szCs w:val="21"/>
                <w:lang w:eastAsia="en-US"/>
              </w:rPr>
              <w:t>5.50</w:t>
            </w:r>
          </w:p>
        </w:tc>
      </w:tr>
      <w:tr w14:paraId="6D0EC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12" w:space="0"/>
              <w:bottom w:val="single" w:color="auto" w:sz="12" w:space="0"/>
              <w:right w:val="single" w:color="auto" w:sz="4" w:space="0"/>
            </w:tcBorders>
            <w:shd w:val="clear" w:color="auto" w:fill="auto"/>
          </w:tcPr>
          <w:p w14:paraId="48515E83">
            <w:pPr>
              <w:pStyle w:val="27"/>
              <w:widowControl/>
              <w:jc w:val="center"/>
              <w:rPr>
                <w:rFonts w:hint="default"/>
                <w:color w:val="8FAADB"/>
                <w:sz w:val="21"/>
                <w:szCs w:val="21"/>
                <w:lang w:eastAsia="en-US"/>
              </w:rPr>
            </w:pPr>
            <w:r>
              <w:rPr>
                <w:color w:val="8FAADB"/>
                <w:sz w:val="21"/>
                <w:szCs w:val="21"/>
                <w:lang w:eastAsia="en-US"/>
              </w:rPr>
              <w:t>7 100&lt;CC≤14 000</w:t>
            </w:r>
          </w:p>
        </w:tc>
        <w:tc>
          <w:tcPr>
            <w:tcW w:w="2765" w:type="dxa"/>
            <w:tcBorders>
              <w:top w:val="single" w:color="auto" w:sz="4" w:space="0"/>
              <w:left w:val="single" w:color="auto" w:sz="4" w:space="0"/>
              <w:bottom w:val="single" w:color="auto" w:sz="12" w:space="0"/>
              <w:right w:val="single" w:color="auto" w:sz="4" w:space="0"/>
            </w:tcBorders>
            <w:shd w:val="clear" w:color="auto" w:fill="auto"/>
          </w:tcPr>
          <w:p w14:paraId="74A3A2ED">
            <w:pPr>
              <w:pStyle w:val="27"/>
              <w:widowControl/>
              <w:jc w:val="center"/>
              <w:rPr>
                <w:rFonts w:hint="default"/>
                <w:color w:val="8FAADB"/>
                <w:sz w:val="21"/>
                <w:szCs w:val="21"/>
                <w:lang w:eastAsia="en-US"/>
              </w:rPr>
            </w:pPr>
            <w:r>
              <w:rPr>
                <w:color w:val="8FAADB"/>
                <w:sz w:val="21"/>
                <w:szCs w:val="21"/>
                <w:lang w:eastAsia="en-US"/>
              </w:rPr>
              <w:t>4.20</w:t>
            </w:r>
          </w:p>
        </w:tc>
        <w:tc>
          <w:tcPr>
            <w:tcW w:w="2766" w:type="dxa"/>
            <w:tcBorders>
              <w:top w:val="single" w:color="auto" w:sz="4" w:space="0"/>
              <w:left w:val="single" w:color="auto" w:sz="4" w:space="0"/>
              <w:bottom w:val="single" w:color="auto" w:sz="12" w:space="0"/>
              <w:right w:val="single" w:color="auto" w:sz="12" w:space="0"/>
            </w:tcBorders>
            <w:shd w:val="clear" w:color="auto" w:fill="auto"/>
          </w:tcPr>
          <w:p w14:paraId="44AE480C">
            <w:pPr>
              <w:pStyle w:val="27"/>
              <w:widowControl/>
              <w:jc w:val="center"/>
              <w:rPr>
                <w:rFonts w:hint="default"/>
                <w:color w:val="8FAADB"/>
                <w:sz w:val="21"/>
                <w:szCs w:val="21"/>
                <w:lang w:eastAsia="en-US"/>
              </w:rPr>
            </w:pPr>
            <w:r>
              <w:rPr>
                <w:color w:val="8FAADB"/>
                <w:sz w:val="21"/>
                <w:szCs w:val="21"/>
                <w:lang w:eastAsia="en-US"/>
              </w:rPr>
              <w:t>5.20</w:t>
            </w:r>
          </w:p>
        </w:tc>
      </w:tr>
    </w:tbl>
    <w:p w14:paraId="6B23568B">
      <w:pPr>
        <w:pStyle w:val="27"/>
        <w:widowControl/>
        <w:ind w:firstLine="482" w:firstLineChars="200"/>
        <w:rPr>
          <w:rFonts w:hint="default"/>
          <w:color w:val="8FAADB"/>
        </w:rPr>
      </w:pPr>
      <w:bookmarkStart w:id="135" w:name="bookmark58"/>
      <w:bookmarkStart w:id="136" w:name="bookmark59"/>
      <w:bookmarkStart w:id="137" w:name="bookmark57"/>
      <w:r>
        <w:rPr>
          <w:rFonts w:hint="default" w:ascii="Times New Roman" w:hAnsi="Times New Roman"/>
          <w:b/>
          <w:bCs/>
          <w:color w:val="8FAADB"/>
        </w:rPr>
        <w:t>2</w:t>
      </w:r>
      <w:r>
        <w:rPr>
          <w:color w:val="8FAADB"/>
        </w:rPr>
        <w:t xml:space="preserve">当采用单元式空调机组作为冷热源时，单元式空调机组能效等级指标 </w:t>
      </w:r>
      <w:r>
        <w:rPr>
          <w:rFonts w:hint="default" w:ascii="Times New Roman" w:hAnsi="Times New Roman"/>
          <w:color w:val="8FAADB"/>
        </w:rPr>
        <w:t>SEER</w:t>
      </w:r>
      <w:r>
        <w:rPr>
          <w:rFonts w:ascii="Times New Roman" w:hAnsi="Times New Roman"/>
          <w:color w:val="8FAADB"/>
        </w:rPr>
        <w:t>、</w:t>
      </w:r>
      <w:r>
        <w:rPr>
          <w:rFonts w:hint="default" w:ascii="Times New Roman" w:hAnsi="Times New Roman"/>
          <w:color w:val="8FAADB"/>
        </w:rPr>
        <w:t>APF</w:t>
      </w:r>
      <w:r>
        <w:rPr>
          <w:rFonts w:ascii="Times New Roman" w:hAnsi="Times New Roman"/>
          <w:color w:val="8FAADB"/>
        </w:rPr>
        <w:t>、</w:t>
      </w:r>
      <w:r>
        <w:rPr>
          <w:rFonts w:hint="default" w:ascii="Times New Roman" w:hAnsi="Times New Roman"/>
          <w:color w:val="8FAADB"/>
        </w:rPr>
        <w:t>IPLV</w:t>
      </w:r>
      <w:r>
        <w:rPr>
          <w:color w:val="8FAADB"/>
        </w:rPr>
        <w:t>应不低于表</w:t>
      </w:r>
      <w:r>
        <w:rPr>
          <w:rFonts w:hint="default" w:ascii="Times New Roman" w:hAnsi="Times New Roman"/>
          <w:color w:val="8FAADB"/>
        </w:rPr>
        <w:t>5.2.2-2</w:t>
      </w:r>
      <w:r>
        <w:rPr>
          <w:color w:val="8FAADB"/>
        </w:rPr>
        <w:t>的规定。</w:t>
      </w:r>
    </w:p>
    <w:p w14:paraId="45BC02D0">
      <w:pPr>
        <w:pStyle w:val="7"/>
        <w:widowControl/>
        <w:rPr>
          <w:rFonts w:hint="default"/>
          <w:color w:val="8FAADB"/>
        </w:rPr>
      </w:pPr>
    </w:p>
    <w:p w14:paraId="58C4CA31">
      <w:pPr>
        <w:pStyle w:val="7"/>
        <w:widowControl/>
        <w:rPr>
          <w:rFonts w:hint="default"/>
          <w:color w:val="8FAADB"/>
        </w:rPr>
      </w:pPr>
    </w:p>
    <w:p w14:paraId="108D9178">
      <w:pPr>
        <w:pStyle w:val="7"/>
        <w:widowControl/>
        <w:rPr>
          <w:rFonts w:hint="default"/>
          <w:color w:val="8FAADB"/>
        </w:rPr>
      </w:pPr>
    </w:p>
    <w:p w14:paraId="22127001">
      <w:pPr>
        <w:pStyle w:val="27"/>
        <w:widowControl/>
        <w:spacing w:before="156" w:beforeLines="50" w:after="156" w:afterLines="50"/>
        <w:jc w:val="center"/>
        <w:rPr>
          <w:rFonts w:hint="default"/>
          <w:b/>
          <w:bCs/>
          <w:color w:val="8FAADB"/>
          <w:sz w:val="21"/>
          <w:szCs w:val="21"/>
        </w:rPr>
      </w:pPr>
      <w:r>
        <w:rPr>
          <w:b/>
          <w:bCs/>
          <w:color w:val="8FAADB"/>
          <w:sz w:val="21"/>
          <w:szCs w:val="21"/>
        </w:rPr>
        <w:t>表</w:t>
      </w:r>
      <w:r>
        <w:rPr>
          <w:rFonts w:hint="default" w:ascii="Times New Roman" w:hAnsi="Times New Roman"/>
          <w:b/>
          <w:bCs/>
          <w:color w:val="8FAADB"/>
          <w:sz w:val="21"/>
          <w:szCs w:val="21"/>
        </w:rPr>
        <w:t xml:space="preserve">5.2.2-2 </w:t>
      </w:r>
      <w:r>
        <w:rPr>
          <w:b/>
          <w:bCs/>
          <w:color w:val="8FAADB"/>
          <w:sz w:val="21"/>
          <w:szCs w:val="21"/>
        </w:rPr>
        <w:t>单元式空调机组1级能效等级指标</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14:paraId="4475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48" w:type="dxa"/>
            <w:gridSpan w:val="2"/>
            <w:tcBorders>
              <w:top w:val="single" w:color="auto" w:sz="12" w:space="0"/>
              <w:left w:val="single" w:color="auto" w:sz="12" w:space="0"/>
              <w:bottom w:val="single" w:color="auto" w:sz="4" w:space="0"/>
              <w:right w:val="single" w:color="auto" w:sz="4" w:space="0"/>
            </w:tcBorders>
            <w:shd w:val="clear" w:color="auto" w:fill="auto"/>
          </w:tcPr>
          <w:p w14:paraId="385F8DD0">
            <w:pPr>
              <w:pStyle w:val="27"/>
              <w:widowControl/>
              <w:jc w:val="center"/>
              <w:rPr>
                <w:rFonts w:hint="default"/>
                <w:color w:val="8FAADB"/>
                <w:sz w:val="21"/>
                <w:szCs w:val="21"/>
              </w:rPr>
            </w:pPr>
            <w:r>
              <w:rPr>
                <w:color w:val="8FAADB"/>
                <w:sz w:val="21"/>
                <w:szCs w:val="21"/>
              </w:rPr>
              <w:t>类型</w:t>
            </w:r>
          </w:p>
        </w:tc>
        <w:tc>
          <w:tcPr>
            <w:tcW w:w="2074" w:type="dxa"/>
            <w:tcBorders>
              <w:top w:val="single" w:color="auto" w:sz="12" w:space="0"/>
              <w:left w:val="single" w:color="auto" w:sz="4" w:space="0"/>
              <w:bottom w:val="single" w:color="auto" w:sz="4" w:space="0"/>
              <w:right w:val="single" w:color="auto" w:sz="4" w:space="0"/>
            </w:tcBorders>
            <w:shd w:val="clear" w:color="auto" w:fill="auto"/>
          </w:tcPr>
          <w:p w14:paraId="44D027EC">
            <w:pPr>
              <w:pStyle w:val="27"/>
              <w:widowControl/>
              <w:jc w:val="center"/>
              <w:rPr>
                <w:rFonts w:hint="default"/>
                <w:color w:val="8FAADB"/>
                <w:sz w:val="21"/>
                <w:szCs w:val="21"/>
              </w:rPr>
            </w:pPr>
            <w:r>
              <w:rPr>
                <w:color w:val="8FAADB"/>
                <w:sz w:val="21"/>
                <w:szCs w:val="21"/>
              </w:rPr>
              <w:t>额定制冷量（</w:t>
            </w:r>
            <w:r>
              <w:rPr>
                <w:rFonts w:hint="default" w:ascii="Times New Roman" w:hAnsi="Times New Roman"/>
                <w:color w:val="8FAADB"/>
                <w:sz w:val="21"/>
                <w:szCs w:val="21"/>
              </w:rPr>
              <w:t>CC</w:t>
            </w:r>
            <w:r>
              <w:rPr>
                <w:color w:val="8FAADB"/>
                <w:sz w:val="21"/>
                <w:szCs w:val="21"/>
              </w:rPr>
              <w:t>）</w:t>
            </w:r>
          </w:p>
          <w:p w14:paraId="00986DE4">
            <w:pPr>
              <w:pStyle w:val="27"/>
              <w:widowControl/>
              <w:jc w:val="center"/>
              <w:rPr>
                <w:rFonts w:hint="default"/>
                <w:color w:val="8FAADB"/>
                <w:sz w:val="21"/>
                <w:szCs w:val="21"/>
              </w:rPr>
            </w:pPr>
            <w:r>
              <w:rPr>
                <w:color w:val="8FAADB"/>
                <w:sz w:val="21"/>
                <w:szCs w:val="21"/>
              </w:rPr>
              <w:t>W</w:t>
            </w:r>
          </w:p>
        </w:tc>
        <w:tc>
          <w:tcPr>
            <w:tcW w:w="2074" w:type="dxa"/>
            <w:tcBorders>
              <w:top w:val="single" w:color="auto" w:sz="12" w:space="0"/>
              <w:left w:val="single" w:color="auto" w:sz="4" w:space="0"/>
              <w:bottom w:val="single" w:color="auto" w:sz="4" w:space="0"/>
              <w:right w:val="single" w:color="auto" w:sz="12" w:space="0"/>
            </w:tcBorders>
            <w:shd w:val="clear" w:color="auto" w:fill="auto"/>
          </w:tcPr>
          <w:p w14:paraId="72BC7F8B">
            <w:pPr>
              <w:pStyle w:val="27"/>
              <w:widowControl/>
              <w:jc w:val="center"/>
              <w:rPr>
                <w:rFonts w:hint="default"/>
                <w:color w:val="8FAADB"/>
                <w:sz w:val="21"/>
                <w:szCs w:val="21"/>
              </w:rPr>
            </w:pPr>
            <w:r>
              <w:rPr>
                <w:color w:val="8FAADB"/>
                <w:sz w:val="21"/>
                <w:szCs w:val="21"/>
              </w:rPr>
              <w:t>能效指标</w:t>
            </w:r>
          </w:p>
        </w:tc>
      </w:tr>
      <w:tr w14:paraId="5F779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4" w:type="dxa"/>
            <w:vMerge w:val="restart"/>
            <w:tcBorders>
              <w:top w:val="single" w:color="auto" w:sz="4" w:space="0"/>
              <w:left w:val="single" w:color="auto" w:sz="12" w:space="0"/>
              <w:bottom w:val="single" w:color="auto" w:sz="4" w:space="0"/>
              <w:right w:val="single" w:color="auto" w:sz="4" w:space="0"/>
            </w:tcBorders>
            <w:shd w:val="clear" w:color="auto" w:fill="auto"/>
          </w:tcPr>
          <w:p w14:paraId="7B565AA0">
            <w:pPr>
              <w:pStyle w:val="27"/>
              <w:widowControl/>
              <w:jc w:val="center"/>
              <w:rPr>
                <w:rFonts w:hint="default"/>
                <w:color w:val="8FAADB"/>
                <w:sz w:val="21"/>
                <w:szCs w:val="21"/>
              </w:rPr>
            </w:pPr>
            <w:r>
              <w:rPr>
                <w:color w:val="8FAADB"/>
                <w:sz w:val="21"/>
                <w:szCs w:val="21"/>
              </w:rPr>
              <w:t>风冷式</w:t>
            </w:r>
          </w:p>
          <w:p w14:paraId="3ADFA283">
            <w:pPr>
              <w:pStyle w:val="27"/>
              <w:widowControl/>
              <w:jc w:val="center"/>
              <w:rPr>
                <w:rFonts w:hint="default"/>
                <w:color w:val="8FAADB"/>
                <w:sz w:val="21"/>
                <w:szCs w:val="21"/>
              </w:rPr>
            </w:pPr>
            <w:r>
              <w:rPr>
                <w:color w:val="8FAADB"/>
                <w:sz w:val="21"/>
                <w:szCs w:val="21"/>
              </w:rPr>
              <w:t>单元式空调机</w:t>
            </w:r>
          </w:p>
        </w:tc>
        <w:tc>
          <w:tcPr>
            <w:tcW w:w="2074" w:type="dxa"/>
            <w:vMerge w:val="restart"/>
            <w:tcBorders>
              <w:top w:val="single" w:color="auto" w:sz="4" w:space="0"/>
              <w:left w:val="single" w:color="auto" w:sz="4" w:space="0"/>
              <w:bottom w:val="single" w:color="auto" w:sz="4" w:space="0"/>
              <w:right w:val="single" w:color="auto" w:sz="4" w:space="0"/>
            </w:tcBorders>
            <w:shd w:val="clear" w:color="auto" w:fill="auto"/>
          </w:tcPr>
          <w:p w14:paraId="306A5521">
            <w:pPr>
              <w:pStyle w:val="27"/>
              <w:widowControl/>
              <w:jc w:val="center"/>
              <w:rPr>
                <w:rFonts w:hint="default"/>
                <w:color w:val="8FAADB"/>
                <w:sz w:val="21"/>
                <w:szCs w:val="21"/>
              </w:rPr>
            </w:pPr>
            <w:r>
              <w:rPr>
                <w:color w:val="8FAADB"/>
                <w:sz w:val="21"/>
                <w:szCs w:val="21"/>
              </w:rPr>
              <w:t>单冷型</w:t>
            </w:r>
            <w:r>
              <w:rPr>
                <w:rFonts w:hint="default" w:ascii="Times New Roman" w:hAnsi="Times New Roman"/>
                <w:color w:val="8FAADB"/>
                <w:sz w:val="21"/>
                <w:szCs w:val="21"/>
              </w:rPr>
              <w:t>(SEER)</w:t>
            </w:r>
            <w:r>
              <w:rPr>
                <w:color w:val="8FAADB"/>
                <w:sz w:val="21"/>
                <w:szCs w:val="21"/>
              </w:rPr>
              <w:t xml:space="preserve"> </w:t>
            </w:r>
            <w:r>
              <w:rPr>
                <w:rFonts w:hint="default" w:ascii="Times New Roman" w:hAnsi="Times New Roman"/>
                <w:color w:val="8FAADB"/>
                <w:sz w:val="21"/>
                <w:szCs w:val="21"/>
              </w:rPr>
              <w:t>(W.h)/(W.h)</w:t>
            </w:r>
          </w:p>
        </w:tc>
        <w:tc>
          <w:tcPr>
            <w:tcW w:w="2074" w:type="dxa"/>
            <w:tcBorders>
              <w:top w:val="single" w:color="auto" w:sz="4" w:space="0"/>
              <w:left w:val="single" w:color="auto" w:sz="4" w:space="0"/>
              <w:bottom w:val="single" w:color="auto" w:sz="4" w:space="0"/>
              <w:right w:val="single" w:color="auto" w:sz="4" w:space="0"/>
            </w:tcBorders>
            <w:shd w:val="clear" w:color="auto" w:fill="auto"/>
          </w:tcPr>
          <w:p w14:paraId="7A50AF26">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7 100&lt;CC≤14 000</w:t>
            </w:r>
          </w:p>
        </w:tc>
        <w:tc>
          <w:tcPr>
            <w:tcW w:w="2074" w:type="dxa"/>
            <w:tcBorders>
              <w:top w:val="single" w:color="auto" w:sz="4" w:space="0"/>
              <w:left w:val="single" w:color="auto" w:sz="4" w:space="0"/>
              <w:bottom w:val="single" w:color="auto" w:sz="4" w:space="0"/>
              <w:right w:val="single" w:color="auto" w:sz="12" w:space="0"/>
            </w:tcBorders>
            <w:shd w:val="clear" w:color="auto" w:fill="auto"/>
          </w:tcPr>
          <w:p w14:paraId="045C2EAF">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4.5</w:t>
            </w:r>
          </w:p>
        </w:tc>
      </w:tr>
      <w:tr w14:paraId="052FF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4" w:type="dxa"/>
            <w:vMerge w:val="continue"/>
            <w:tcBorders>
              <w:top w:val="single" w:color="auto" w:sz="4" w:space="0"/>
              <w:left w:val="single" w:color="auto" w:sz="12" w:space="0"/>
              <w:bottom w:val="single" w:color="auto" w:sz="4" w:space="0"/>
              <w:right w:val="single" w:color="auto" w:sz="4" w:space="0"/>
            </w:tcBorders>
            <w:shd w:val="clear" w:color="auto" w:fill="auto"/>
          </w:tcPr>
          <w:p w14:paraId="09C2D1E7">
            <w:pPr>
              <w:rPr>
                <w:rFonts w:ascii="Times New Roman" w:hAnsi="Times New Roman" w:cs="Times New Roman"/>
                <w:sz w:val="20"/>
                <w:szCs w:val="20"/>
              </w:rPr>
            </w:pPr>
          </w:p>
        </w:tc>
        <w:tc>
          <w:tcPr>
            <w:tcW w:w="2074" w:type="dxa"/>
            <w:vMerge w:val="continue"/>
            <w:tcBorders>
              <w:top w:val="single" w:color="auto" w:sz="4" w:space="0"/>
              <w:left w:val="single" w:color="auto" w:sz="4" w:space="0"/>
              <w:bottom w:val="single" w:color="auto" w:sz="4" w:space="0"/>
              <w:right w:val="single" w:color="auto" w:sz="4" w:space="0"/>
            </w:tcBorders>
            <w:shd w:val="clear" w:color="auto" w:fill="auto"/>
          </w:tcPr>
          <w:p w14:paraId="11FB321C">
            <w:pPr>
              <w:rPr>
                <w:rFonts w:ascii="Times New Roman" w:hAnsi="Times New Roman" w:cs="Times New Roman"/>
                <w:sz w:val="20"/>
                <w:szCs w:val="20"/>
              </w:rPr>
            </w:pPr>
          </w:p>
        </w:tc>
        <w:tc>
          <w:tcPr>
            <w:tcW w:w="2074" w:type="dxa"/>
            <w:tcBorders>
              <w:top w:val="single" w:color="auto" w:sz="4" w:space="0"/>
              <w:left w:val="single" w:color="auto" w:sz="4" w:space="0"/>
              <w:bottom w:val="single" w:color="auto" w:sz="4" w:space="0"/>
              <w:right w:val="single" w:color="auto" w:sz="4" w:space="0"/>
            </w:tcBorders>
            <w:shd w:val="clear" w:color="auto" w:fill="auto"/>
          </w:tcPr>
          <w:p w14:paraId="6CBE0F9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w:t>
            </w:r>
            <w:r>
              <w:rPr>
                <w:rFonts w:ascii="Times New Roman" w:hAnsi="Times New Roman"/>
                <w:color w:val="8FAADB"/>
                <w:sz w:val="21"/>
                <w:szCs w:val="21"/>
              </w:rPr>
              <w:t>＞</w:t>
            </w:r>
            <w:r>
              <w:rPr>
                <w:rFonts w:hint="default" w:ascii="Times New Roman" w:hAnsi="Times New Roman"/>
                <w:color w:val="8FAADB"/>
                <w:sz w:val="21"/>
                <w:szCs w:val="21"/>
              </w:rPr>
              <w:t>14 000</w:t>
            </w:r>
          </w:p>
        </w:tc>
        <w:tc>
          <w:tcPr>
            <w:tcW w:w="2074" w:type="dxa"/>
            <w:tcBorders>
              <w:top w:val="single" w:color="auto" w:sz="4" w:space="0"/>
              <w:left w:val="single" w:color="auto" w:sz="4" w:space="0"/>
              <w:bottom w:val="single" w:color="auto" w:sz="4" w:space="0"/>
              <w:right w:val="single" w:color="auto" w:sz="12" w:space="0"/>
            </w:tcBorders>
            <w:shd w:val="clear" w:color="auto" w:fill="auto"/>
          </w:tcPr>
          <w:p w14:paraId="5268451B">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3.6</w:t>
            </w:r>
          </w:p>
        </w:tc>
      </w:tr>
      <w:tr w14:paraId="1C348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4" w:type="dxa"/>
            <w:vMerge w:val="continue"/>
            <w:tcBorders>
              <w:top w:val="single" w:color="auto" w:sz="4" w:space="0"/>
              <w:left w:val="single" w:color="auto" w:sz="12" w:space="0"/>
              <w:bottom w:val="single" w:color="auto" w:sz="4" w:space="0"/>
              <w:right w:val="single" w:color="auto" w:sz="4" w:space="0"/>
            </w:tcBorders>
            <w:shd w:val="clear" w:color="auto" w:fill="auto"/>
          </w:tcPr>
          <w:p w14:paraId="1CA5C983">
            <w:pPr>
              <w:rPr>
                <w:rFonts w:ascii="Times New Roman" w:hAnsi="Times New Roman" w:cs="Times New Roman"/>
                <w:sz w:val="20"/>
                <w:szCs w:val="20"/>
              </w:rPr>
            </w:pPr>
          </w:p>
        </w:tc>
        <w:tc>
          <w:tcPr>
            <w:tcW w:w="2074" w:type="dxa"/>
            <w:vMerge w:val="restart"/>
            <w:tcBorders>
              <w:top w:val="single" w:color="auto" w:sz="4" w:space="0"/>
              <w:left w:val="single" w:color="auto" w:sz="4" w:space="0"/>
              <w:bottom w:val="single" w:color="auto" w:sz="4" w:space="0"/>
              <w:right w:val="single" w:color="auto" w:sz="4" w:space="0"/>
            </w:tcBorders>
            <w:shd w:val="clear" w:color="auto" w:fill="auto"/>
          </w:tcPr>
          <w:p w14:paraId="1F3071BF">
            <w:pPr>
              <w:pStyle w:val="27"/>
              <w:widowControl/>
              <w:jc w:val="center"/>
              <w:rPr>
                <w:rFonts w:hint="default"/>
                <w:color w:val="8FAADB"/>
                <w:sz w:val="21"/>
                <w:szCs w:val="21"/>
              </w:rPr>
            </w:pPr>
            <w:r>
              <w:rPr>
                <w:color w:val="8FAADB"/>
                <w:sz w:val="21"/>
                <w:szCs w:val="21"/>
              </w:rPr>
              <w:t>热泵型</w:t>
            </w:r>
          </w:p>
          <w:p w14:paraId="208866FC">
            <w:pPr>
              <w:pStyle w:val="27"/>
              <w:widowControl/>
              <w:jc w:val="center"/>
              <w:rPr>
                <w:rFonts w:hint="default"/>
                <w:color w:val="8FAADB"/>
                <w:sz w:val="21"/>
                <w:szCs w:val="21"/>
              </w:rPr>
            </w:pPr>
            <w:r>
              <w:rPr>
                <w:rFonts w:hint="default" w:ascii="Times New Roman" w:hAnsi="Times New Roman"/>
                <w:color w:val="8FAADB"/>
                <w:sz w:val="21"/>
                <w:szCs w:val="21"/>
              </w:rPr>
              <w:t>(APF) (W.h)/(W.h)</w:t>
            </w:r>
          </w:p>
        </w:tc>
        <w:tc>
          <w:tcPr>
            <w:tcW w:w="2074" w:type="dxa"/>
            <w:tcBorders>
              <w:top w:val="single" w:color="auto" w:sz="4" w:space="0"/>
              <w:left w:val="single" w:color="auto" w:sz="4" w:space="0"/>
              <w:bottom w:val="single" w:color="auto" w:sz="4" w:space="0"/>
              <w:right w:val="single" w:color="auto" w:sz="4" w:space="0"/>
            </w:tcBorders>
            <w:shd w:val="clear" w:color="auto" w:fill="auto"/>
          </w:tcPr>
          <w:p w14:paraId="2BE386AC">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7 100&lt;CC≤14 000</w:t>
            </w:r>
          </w:p>
        </w:tc>
        <w:tc>
          <w:tcPr>
            <w:tcW w:w="2074" w:type="dxa"/>
            <w:tcBorders>
              <w:top w:val="single" w:color="auto" w:sz="4" w:space="0"/>
              <w:left w:val="single" w:color="auto" w:sz="4" w:space="0"/>
              <w:bottom w:val="single" w:color="auto" w:sz="4" w:space="0"/>
              <w:right w:val="single" w:color="auto" w:sz="12" w:space="0"/>
            </w:tcBorders>
            <w:shd w:val="clear" w:color="auto" w:fill="auto"/>
          </w:tcPr>
          <w:p w14:paraId="52B24601">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3.5</w:t>
            </w:r>
          </w:p>
        </w:tc>
      </w:tr>
      <w:tr w14:paraId="15FFC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74" w:type="dxa"/>
            <w:vMerge w:val="continue"/>
            <w:tcBorders>
              <w:top w:val="single" w:color="auto" w:sz="4" w:space="0"/>
              <w:left w:val="single" w:color="auto" w:sz="12" w:space="0"/>
              <w:bottom w:val="single" w:color="auto" w:sz="4" w:space="0"/>
              <w:right w:val="single" w:color="auto" w:sz="4" w:space="0"/>
            </w:tcBorders>
            <w:shd w:val="clear" w:color="auto" w:fill="auto"/>
          </w:tcPr>
          <w:p w14:paraId="260C692E">
            <w:pPr>
              <w:rPr>
                <w:rFonts w:ascii="Times New Roman" w:hAnsi="Times New Roman" w:cs="Times New Roman"/>
                <w:sz w:val="20"/>
                <w:szCs w:val="20"/>
              </w:rPr>
            </w:pPr>
          </w:p>
        </w:tc>
        <w:tc>
          <w:tcPr>
            <w:tcW w:w="2074" w:type="dxa"/>
            <w:vMerge w:val="continue"/>
            <w:tcBorders>
              <w:top w:val="single" w:color="auto" w:sz="4" w:space="0"/>
              <w:left w:val="single" w:color="auto" w:sz="4" w:space="0"/>
              <w:bottom w:val="single" w:color="auto" w:sz="4" w:space="0"/>
              <w:right w:val="single" w:color="auto" w:sz="4" w:space="0"/>
            </w:tcBorders>
            <w:shd w:val="clear" w:color="auto" w:fill="auto"/>
          </w:tcPr>
          <w:p w14:paraId="452BD4B7">
            <w:pPr>
              <w:rPr>
                <w:rFonts w:ascii="Times New Roman" w:hAnsi="Times New Roman" w:cs="Times New Roman"/>
                <w:sz w:val="20"/>
                <w:szCs w:val="20"/>
              </w:rPr>
            </w:pPr>
          </w:p>
        </w:tc>
        <w:tc>
          <w:tcPr>
            <w:tcW w:w="2074" w:type="dxa"/>
            <w:tcBorders>
              <w:top w:val="single" w:color="auto" w:sz="4" w:space="0"/>
              <w:left w:val="single" w:color="auto" w:sz="4" w:space="0"/>
              <w:bottom w:val="single" w:color="auto" w:sz="4" w:space="0"/>
              <w:right w:val="single" w:color="auto" w:sz="4" w:space="0"/>
            </w:tcBorders>
            <w:shd w:val="clear" w:color="auto" w:fill="auto"/>
          </w:tcPr>
          <w:p w14:paraId="3D8C4380">
            <w:pPr>
              <w:pStyle w:val="27"/>
              <w:widowControl/>
              <w:jc w:val="center"/>
              <w:rPr>
                <w:rFonts w:hint="default"/>
                <w:color w:val="8FAADB"/>
                <w:sz w:val="21"/>
                <w:szCs w:val="21"/>
              </w:rPr>
            </w:pPr>
            <w:r>
              <w:rPr>
                <w:color w:val="8FAADB"/>
                <w:sz w:val="21"/>
                <w:szCs w:val="21"/>
              </w:rPr>
              <w:t>CC＞14 000</w:t>
            </w:r>
          </w:p>
        </w:tc>
        <w:tc>
          <w:tcPr>
            <w:tcW w:w="2074" w:type="dxa"/>
            <w:tcBorders>
              <w:top w:val="single" w:color="auto" w:sz="4" w:space="0"/>
              <w:left w:val="single" w:color="auto" w:sz="4" w:space="0"/>
              <w:bottom w:val="single" w:color="auto" w:sz="4" w:space="0"/>
              <w:right w:val="single" w:color="auto" w:sz="12" w:space="0"/>
            </w:tcBorders>
            <w:shd w:val="clear" w:color="auto" w:fill="auto"/>
          </w:tcPr>
          <w:p w14:paraId="4906693B">
            <w:pPr>
              <w:pStyle w:val="27"/>
              <w:widowControl/>
              <w:jc w:val="center"/>
              <w:rPr>
                <w:rFonts w:hint="default"/>
                <w:color w:val="8FAADB"/>
                <w:sz w:val="21"/>
                <w:szCs w:val="21"/>
              </w:rPr>
            </w:pPr>
            <w:r>
              <w:rPr>
                <w:color w:val="8FAADB"/>
                <w:sz w:val="21"/>
                <w:szCs w:val="21"/>
              </w:rPr>
              <w:t>3.4</w:t>
            </w:r>
          </w:p>
        </w:tc>
      </w:tr>
      <w:tr w14:paraId="4DCF1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48" w:type="dxa"/>
            <w:gridSpan w:val="2"/>
            <w:vMerge w:val="restart"/>
            <w:tcBorders>
              <w:top w:val="single" w:color="auto" w:sz="4" w:space="0"/>
              <w:left w:val="single" w:color="auto" w:sz="12" w:space="0"/>
              <w:bottom w:val="single" w:color="auto" w:sz="12" w:space="0"/>
              <w:right w:val="single" w:color="auto" w:sz="4" w:space="0"/>
            </w:tcBorders>
            <w:shd w:val="clear" w:color="auto" w:fill="auto"/>
          </w:tcPr>
          <w:p w14:paraId="11703CC1">
            <w:pPr>
              <w:pStyle w:val="27"/>
              <w:widowControl/>
              <w:jc w:val="center"/>
              <w:rPr>
                <w:rFonts w:hint="default"/>
                <w:color w:val="8FAADB"/>
                <w:sz w:val="21"/>
                <w:szCs w:val="21"/>
              </w:rPr>
            </w:pPr>
            <w:r>
              <w:rPr>
                <w:color w:val="8FAADB"/>
                <w:sz w:val="21"/>
                <w:szCs w:val="21"/>
              </w:rPr>
              <w:t>水冷式单元式空调机</w:t>
            </w:r>
          </w:p>
          <w:p w14:paraId="19D76B11">
            <w:pPr>
              <w:pStyle w:val="27"/>
              <w:widowControl/>
              <w:jc w:val="center"/>
              <w:rPr>
                <w:rFonts w:hint="default"/>
                <w:color w:val="8FAADB"/>
                <w:sz w:val="21"/>
                <w:szCs w:val="21"/>
              </w:rPr>
            </w:pPr>
            <w:r>
              <w:rPr>
                <w:rFonts w:hint="default" w:ascii="Times New Roman" w:hAnsi="Times New Roman"/>
                <w:color w:val="8FAADB"/>
                <w:sz w:val="21"/>
                <w:szCs w:val="21"/>
              </w:rPr>
              <w:t>(IPLV) (W)/(W)</w:t>
            </w:r>
          </w:p>
        </w:tc>
        <w:tc>
          <w:tcPr>
            <w:tcW w:w="2074" w:type="dxa"/>
            <w:tcBorders>
              <w:top w:val="single" w:color="auto" w:sz="4" w:space="0"/>
              <w:left w:val="single" w:color="auto" w:sz="4" w:space="0"/>
              <w:bottom w:val="single" w:color="auto" w:sz="4" w:space="0"/>
              <w:right w:val="single" w:color="auto" w:sz="4" w:space="0"/>
            </w:tcBorders>
            <w:shd w:val="clear" w:color="auto" w:fill="auto"/>
          </w:tcPr>
          <w:p w14:paraId="7833326E">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7 100&lt;CC≤14 000</w:t>
            </w:r>
          </w:p>
        </w:tc>
        <w:tc>
          <w:tcPr>
            <w:tcW w:w="2074" w:type="dxa"/>
            <w:tcBorders>
              <w:top w:val="single" w:color="auto" w:sz="4" w:space="0"/>
              <w:left w:val="single" w:color="auto" w:sz="4" w:space="0"/>
              <w:bottom w:val="single" w:color="auto" w:sz="4" w:space="0"/>
              <w:right w:val="single" w:color="auto" w:sz="12" w:space="0"/>
            </w:tcBorders>
            <w:shd w:val="clear" w:color="auto" w:fill="auto"/>
          </w:tcPr>
          <w:p w14:paraId="5F229C3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4.0</w:t>
            </w:r>
          </w:p>
        </w:tc>
      </w:tr>
      <w:tr w14:paraId="6D238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48" w:type="dxa"/>
            <w:gridSpan w:val="2"/>
            <w:vMerge w:val="continue"/>
            <w:tcBorders>
              <w:top w:val="single" w:color="auto" w:sz="4" w:space="0"/>
              <w:left w:val="single" w:color="auto" w:sz="12" w:space="0"/>
              <w:bottom w:val="single" w:color="auto" w:sz="12" w:space="0"/>
              <w:right w:val="single" w:color="auto" w:sz="4" w:space="0"/>
            </w:tcBorders>
            <w:shd w:val="clear" w:color="auto" w:fill="auto"/>
          </w:tcPr>
          <w:p w14:paraId="1D7CC223">
            <w:pPr>
              <w:rPr>
                <w:rFonts w:ascii="Times New Roman" w:hAnsi="Times New Roman" w:cs="Times New Roman"/>
                <w:sz w:val="20"/>
                <w:szCs w:val="20"/>
              </w:rPr>
            </w:pPr>
          </w:p>
        </w:tc>
        <w:tc>
          <w:tcPr>
            <w:tcW w:w="2074" w:type="dxa"/>
            <w:tcBorders>
              <w:top w:val="single" w:color="auto" w:sz="4" w:space="0"/>
              <w:left w:val="single" w:color="auto" w:sz="4" w:space="0"/>
              <w:bottom w:val="single" w:color="auto" w:sz="12" w:space="0"/>
              <w:right w:val="single" w:color="auto" w:sz="4" w:space="0"/>
            </w:tcBorders>
            <w:shd w:val="clear" w:color="auto" w:fill="auto"/>
          </w:tcPr>
          <w:p w14:paraId="5630733C">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w:t>
            </w:r>
            <w:r>
              <w:rPr>
                <w:rFonts w:ascii="Times New Roman" w:hAnsi="Times New Roman"/>
                <w:color w:val="8FAADB"/>
                <w:sz w:val="21"/>
                <w:szCs w:val="21"/>
              </w:rPr>
              <w:t>＞</w:t>
            </w:r>
            <w:r>
              <w:rPr>
                <w:rFonts w:hint="default" w:ascii="Times New Roman" w:hAnsi="Times New Roman"/>
                <w:color w:val="8FAADB"/>
                <w:sz w:val="21"/>
                <w:szCs w:val="21"/>
              </w:rPr>
              <w:t>14 000</w:t>
            </w:r>
          </w:p>
        </w:tc>
        <w:tc>
          <w:tcPr>
            <w:tcW w:w="2074" w:type="dxa"/>
            <w:tcBorders>
              <w:top w:val="single" w:color="auto" w:sz="4" w:space="0"/>
              <w:left w:val="single" w:color="auto" w:sz="4" w:space="0"/>
              <w:bottom w:val="single" w:color="auto" w:sz="12" w:space="0"/>
              <w:right w:val="single" w:color="auto" w:sz="12" w:space="0"/>
            </w:tcBorders>
            <w:shd w:val="clear" w:color="auto" w:fill="auto"/>
          </w:tcPr>
          <w:p w14:paraId="1BC1995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4.5</w:t>
            </w:r>
          </w:p>
        </w:tc>
      </w:tr>
    </w:tbl>
    <w:p w14:paraId="080E139F">
      <w:pPr>
        <w:pStyle w:val="27"/>
        <w:widowControl/>
        <w:rPr>
          <w:rFonts w:hint="default"/>
          <w:color w:val="8FAADB"/>
        </w:rPr>
      </w:pPr>
      <w:r>
        <w:rPr>
          <w:b/>
          <w:bCs/>
          <w:color w:val="8FAADB"/>
        </w:rPr>
        <w:t>3</w:t>
      </w:r>
      <w:r>
        <w:rPr>
          <w:color w:val="8FAADB"/>
        </w:rPr>
        <w:t>当采用风管送风式空调机作为冷热源时，其热泵型风管送风式空调机的全年能源消耗效率（</w:t>
      </w:r>
      <w:r>
        <w:rPr>
          <w:rFonts w:hint="default" w:ascii="Times New Roman" w:hAnsi="Times New Roman"/>
          <w:color w:val="8FAADB"/>
        </w:rPr>
        <w:t>APF</w:t>
      </w:r>
      <w:r>
        <w:rPr>
          <w:color w:val="8FAADB"/>
        </w:rPr>
        <w:t>）和单冷式风管送风式空调机的制冷季节能源消耗效率(SEER)应不低于表</w:t>
      </w:r>
      <w:r>
        <w:rPr>
          <w:rFonts w:hint="default" w:ascii="Times New Roman" w:hAnsi="Times New Roman"/>
          <w:color w:val="8FAADB"/>
        </w:rPr>
        <w:t>5.2.2-3</w:t>
      </w:r>
      <w:r>
        <w:rPr>
          <w:color w:val="8FAADB"/>
        </w:rPr>
        <w:t>的规定。</w:t>
      </w:r>
    </w:p>
    <w:p w14:paraId="1F136E8A">
      <w:pPr>
        <w:pStyle w:val="27"/>
        <w:widowControl/>
        <w:spacing w:before="156" w:beforeLines="50" w:after="156" w:afterLines="50"/>
        <w:jc w:val="center"/>
        <w:rPr>
          <w:rFonts w:hint="default"/>
          <w:b/>
          <w:bCs/>
          <w:color w:val="8FAADB"/>
          <w:sz w:val="21"/>
          <w:szCs w:val="21"/>
        </w:rPr>
      </w:pPr>
      <w:r>
        <w:rPr>
          <w:b/>
          <w:bCs/>
          <w:color w:val="8FAADB"/>
          <w:sz w:val="21"/>
          <w:szCs w:val="21"/>
        </w:rPr>
        <w:t>表5.2.2-3风管送风式空调机1级能效指标</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14:paraId="754BB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765" w:type="dxa"/>
            <w:tcBorders>
              <w:top w:val="single" w:color="auto" w:sz="12" w:space="0"/>
              <w:left w:val="single" w:color="auto" w:sz="12" w:space="0"/>
              <w:bottom w:val="single" w:color="auto" w:sz="4" w:space="0"/>
              <w:right w:val="single" w:color="auto" w:sz="4" w:space="0"/>
            </w:tcBorders>
            <w:shd w:val="clear" w:color="auto" w:fill="auto"/>
          </w:tcPr>
          <w:p w14:paraId="47846B51">
            <w:pPr>
              <w:pStyle w:val="27"/>
              <w:widowControl/>
              <w:jc w:val="center"/>
              <w:rPr>
                <w:rFonts w:hint="default"/>
                <w:color w:val="8FAADB"/>
                <w:sz w:val="21"/>
                <w:szCs w:val="21"/>
              </w:rPr>
            </w:pPr>
            <w:r>
              <w:rPr>
                <w:color w:val="8FAADB"/>
                <w:sz w:val="21"/>
                <w:szCs w:val="21"/>
              </w:rPr>
              <w:t>额定制冷量（</w:t>
            </w:r>
            <w:r>
              <w:rPr>
                <w:rFonts w:hint="default" w:ascii="Times New Roman" w:hAnsi="Times New Roman"/>
                <w:color w:val="8FAADB"/>
                <w:sz w:val="21"/>
                <w:szCs w:val="21"/>
              </w:rPr>
              <w:t>CC</w:t>
            </w:r>
            <w:r>
              <w:rPr>
                <w:color w:val="8FAADB"/>
                <w:sz w:val="21"/>
                <w:szCs w:val="21"/>
              </w:rPr>
              <w:t>）</w:t>
            </w:r>
          </w:p>
          <w:p w14:paraId="3E15CB55">
            <w:pPr>
              <w:pStyle w:val="27"/>
              <w:widowControl/>
              <w:jc w:val="center"/>
              <w:rPr>
                <w:rFonts w:hint="default"/>
                <w:color w:val="8FAADB"/>
                <w:sz w:val="21"/>
                <w:szCs w:val="21"/>
              </w:rPr>
            </w:pPr>
            <w:r>
              <w:rPr>
                <w:color w:val="8FAADB"/>
                <w:sz w:val="21"/>
                <w:szCs w:val="21"/>
              </w:rPr>
              <w:t>W</w:t>
            </w:r>
          </w:p>
        </w:tc>
        <w:tc>
          <w:tcPr>
            <w:tcW w:w="2765" w:type="dxa"/>
            <w:tcBorders>
              <w:top w:val="single" w:color="auto" w:sz="12" w:space="0"/>
              <w:left w:val="single" w:color="auto" w:sz="4" w:space="0"/>
              <w:bottom w:val="single" w:color="auto" w:sz="4" w:space="0"/>
              <w:right w:val="single" w:color="auto" w:sz="4" w:space="0"/>
            </w:tcBorders>
            <w:shd w:val="clear" w:color="auto" w:fill="auto"/>
          </w:tcPr>
          <w:p w14:paraId="65264B9A">
            <w:pPr>
              <w:pStyle w:val="27"/>
              <w:widowControl/>
              <w:jc w:val="center"/>
              <w:rPr>
                <w:rFonts w:hint="default"/>
                <w:color w:val="8FAADB"/>
                <w:sz w:val="21"/>
                <w:szCs w:val="21"/>
              </w:rPr>
            </w:pPr>
            <w:r>
              <w:rPr>
                <w:color w:val="8FAADB"/>
                <w:sz w:val="21"/>
                <w:szCs w:val="21"/>
              </w:rPr>
              <w:t>热泵型风管送风式空调机</w:t>
            </w:r>
          </w:p>
          <w:p w14:paraId="092F36FA">
            <w:pPr>
              <w:pStyle w:val="27"/>
              <w:widowControl/>
              <w:jc w:val="center"/>
              <w:rPr>
                <w:rFonts w:hint="default"/>
                <w:color w:val="8FAADB"/>
                <w:sz w:val="21"/>
                <w:szCs w:val="21"/>
              </w:rPr>
            </w:pPr>
            <w:r>
              <w:rPr>
                <w:color w:val="8FAADB"/>
                <w:sz w:val="21"/>
                <w:szCs w:val="21"/>
              </w:rPr>
              <w:t>全年能源消耗效率(APF) (W.h)/(W.h)</w:t>
            </w:r>
          </w:p>
        </w:tc>
        <w:tc>
          <w:tcPr>
            <w:tcW w:w="2766" w:type="dxa"/>
            <w:tcBorders>
              <w:top w:val="single" w:color="auto" w:sz="12" w:space="0"/>
              <w:left w:val="single" w:color="auto" w:sz="4" w:space="0"/>
              <w:bottom w:val="single" w:color="auto" w:sz="4" w:space="0"/>
              <w:right w:val="single" w:color="auto" w:sz="12" w:space="0"/>
            </w:tcBorders>
            <w:shd w:val="clear" w:color="auto" w:fill="auto"/>
          </w:tcPr>
          <w:p w14:paraId="735CDB1A">
            <w:pPr>
              <w:pStyle w:val="27"/>
              <w:widowControl/>
              <w:jc w:val="center"/>
              <w:rPr>
                <w:rFonts w:hint="default"/>
                <w:color w:val="8FAADB"/>
                <w:sz w:val="21"/>
                <w:szCs w:val="21"/>
              </w:rPr>
            </w:pPr>
            <w:r>
              <w:rPr>
                <w:color w:val="8FAADB"/>
                <w:sz w:val="21"/>
                <w:szCs w:val="21"/>
              </w:rPr>
              <w:t>单冷型风管送风式空调机</w:t>
            </w:r>
          </w:p>
          <w:p w14:paraId="4C4E5CD2">
            <w:pPr>
              <w:pStyle w:val="27"/>
              <w:widowControl/>
              <w:jc w:val="center"/>
              <w:rPr>
                <w:rFonts w:hint="default"/>
                <w:color w:val="8FAADB"/>
                <w:sz w:val="21"/>
                <w:szCs w:val="21"/>
              </w:rPr>
            </w:pPr>
            <w:r>
              <w:rPr>
                <w:color w:val="8FAADB"/>
                <w:sz w:val="21"/>
                <w:szCs w:val="21"/>
              </w:rPr>
              <w:t>制冷季节能源消耗效率(SEER) (W.h)/(W.h)</w:t>
            </w:r>
          </w:p>
        </w:tc>
      </w:tr>
      <w:tr w14:paraId="26187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12" w:space="0"/>
              <w:bottom w:val="single" w:color="auto" w:sz="4" w:space="0"/>
              <w:right w:val="single" w:color="auto" w:sz="4" w:space="0"/>
            </w:tcBorders>
            <w:shd w:val="clear" w:color="auto" w:fill="auto"/>
          </w:tcPr>
          <w:p w14:paraId="75F207D9">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CC≤7 100</w:t>
            </w:r>
          </w:p>
        </w:tc>
        <w:tc>
          <w:tcPr>
            <w:tcW w:w="2765" w:type="dxa"/>
            <w:tcBorders>
              <w:top w:val="single" w:color="auto" w:sz="4" w:space="0"/>
              <w:left w:val="single" w:color="auto" w:sz="4" w:space="0"/>
              <w:bottom w:val="single" w:color="auto" w:sz="4" w:space="0"/>
              <w:right w:val="single" w:color="auto" w:sz="4" w:space="0"/>
            </w:tcBorders>
            <w:shd w:val="clear" w:color="auto" w:fill="auto"/>
          </w:tcPr>
          <w:p w14:paraId="6123FC40">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3.80</w:t>
            </w:r>
          </w:p>
        </w:tc>
        <w:tc>
          <w:tcPr>
            <w:tcW w:w="2766" w:type="dxa"/>
            <w:tcBorders>
              <w:top w:val="single" w:color="auto" w:sz="4" w:space="0"/>
              <w:left w:val="single" w:color="auto" w:sz="4" w:space="0"/>
              <w:bottom w:val="single" w:color="auto" w:sz="4" w:space="0"/>
              <w:right w:val="single" w:color="auto" w:sz="12" w:space="0"/>
            </w:tcBorders>
            <w:shd w:val="clear" w:color="auto" w:fill="auto"/>
          </w:tcPr>
          <w:p w14:paraId="3C911D29">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4.20</w:t>
            </w:r>
          </w:p>
        </w:tc>
      </w:tr>
      <w:tr w14:paraId="510D0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12" w:space="0"/>
              <w:bottom w:val="single" w:color="auto" w:sz="4" w:space="0"/>
              <w:right w:val="single" w:color="auto" w:sz="4" w:space="0"/>
            </w:tcBorders>
            <w:shd w:val="clear" w:color="auto" w:fill="auto"/>
          </w:tcPr>
          <w:p w14:paraId="13674824">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7 100&lt;CC≤14 000</w:t>
            </w:r>
          </w:p>
        </w:tc>
        <w:tc>
          <w:tcPr>
            <w:tcW w:w="2765" w:type="dxa"/>
            <w:tcBorders>
              <w:top w:val="single" w:color="auto" w:sz="4" w:space="0"/>
              <w:left w:val="single" w:color="auto" w:sz="4" w:space="0"/>
              <w:bottom w:val="single" w:color="auto" w:sz="4" w:space="0"/>
              <w:right w:val="single" w:color="auto" w:sz="4" w:space="0"/>
            </w:tcBorders>
            <w:shd w:val="clear" w:color="auto" w:fill="auto"/>
          </w:tcPr>
          <w:p w14:paraId="7C473BD4">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3.60</w:t>
            </w:r>
          </w:p>
        </w:tc>
        <w:tc>
          <w:tcPr>
            <w:tcW w:w="2766" w:type="dxa"/>
            <w:tcBorders>
              <w:top w:val="single" w:color="auto" w:sz="4" w:space="0"/>
              <w:left w:val="single" w:color="auto" w:sz="4" w:space="0"/>
              <w:bottom w:val="single" w:color="auto" w:sz="4" w:space="0"/>
              <w:right w:val="single" w:color="auto" w:sz="12" w:space="0"/>
            </w:tcBorders>
            <w:shd w:val="clear" w:color="auto" w:fill="auto"/>
          </w:tcPr>
          <w:p w14:paraId="53CF4168">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4.00</w:t>
            </w:r>
          </w:p>
        </w:tc>
      </w:tr>
      <w:tr w14:paraId="218A2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12" w:space="0"/>
              <w:bottom w:val="single" w:color="auto" w:sz="4" w:space="0"/>
              <w:right w:val="single" w:color="auto" w:sz="4" w:space="0"/>
            </w:tcBorders>
            <w:shd w:val="clear" w:color="auto" w:fill="auto"/>
          </w:tcPr>
          <w:p w14:paraId="7B459177">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14 00&lt;CC≤28 000</w:t>
            </w:r>
          </w:p>
        </w:tc>
        <w:tc>
          <w:tcPr>
            <w:tcW w:w="2765" w:type="dxa"/>
            <w:tcBorders>
              <w:top w:val="single" w:color="auto" w:sz="4" w:space="0"/>
              <w:left w:val="single" w:color="auto" w:sz="4" w:space="0"/>
              <w:bottom w:val="single" w:color="auto" w:sz="4" w:space="0"/>
              <w:right w:val="single" w:color="auto" w:sz="4" w:space="0"/>
            </w:tcBorders>
            <w:shd w:val="clear" w:color="auto" w:fill="auto"/>
          </w:tcPr>
          <w:p w14:paraId="36EA8E46">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3.40</w:t>
            </w:r>
          </w:p>
        </w:tc>
        <w:tc>
          <w:tcPr>
            <w:tcW w:w="2766" w:type="dxa"/>
            <w:tcBorders>
              <w:top w:val="single" w:color="auto" w:sz="4" w:space="0"/>
              <w:left w:val="single" w:color="auto" w:sz="4" w:space="0"/>
              <w:bottom w:val="single" w:color="auto" w:sz="4" w:space="0"/>
              <w:right w:val="single" w:color="auto" w:sz="12" w:space="0"/>
            </w:tcBorders>
            <w:shd w:val="clear" w:color="auto" w:fill="auto"/>
          </w:tcPr>
          <w:p w14:paraId="5F60D9A3">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3.80</w:t>
            </w:r>
          </w:p>
        </w:tc>
      </w:tr>
      <w:tr w14:paraId="0993D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12" w:space="0"/>
              <w:bottom w:val="single" w:color="auto" w:sz="12" w:space="0"/>
              <w:right w:val="single" w:color="auto" w:sz="4" w:space="0"/>
            </w:tcBorders>
            <w:shd w:val="clear" w:color="auto" w:fill="auto"/>
          </w:tcPr>
          <w:p w14:paraId="4B8569B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w:t>
            </w:r>
            <w:r>
              <w:rPr>
                <w:rFonts w:ascii="Times New Roman" w:hAnsi="Times New Roman"/>
                <w:color w:val="8FAADB"/>
                <w:sz w:val="21"/>
                <w:szCs w:val="21"/>
              </w:rPr>
              <w:t>＞</w:t>
            </w:r>
            <w:r>
              <w:rPr>
                <w:rFonts w:hint="default" w:ascii="Times New Roman" w:hAnsi="Times New Roman"/>
                <w:color w:val="8FAADB"/>
                <w:sz w:val="21"/>
                <w:szCs w:val="21"/>
              </w:rPr>
              <w:t>28 000</w:t>
            </w:r>
          </w:p>
        </w:tc>
        <w:tc>
          <w:tcPr>
            <w:tcW w:w="2765" w:type="dxa"/>
            <w:tcBorders>
              <w:top w:val="single" w:color="auto" w:sz="4" w:space="0"/>
              <w:left w:val="single" w:color="auto" w:sz="4" w:space="0"/>
              <w:bottom w:val="single" w:color="auto" w:sz="12" w:space="0"/>
              <w:right w:val="single" w:color="auto" w:sz="4" w:space="0"/>
            </w:tcBorders>
            <w:shd w:val="clear" w:color="auto" w:fill="auto"/>
          </w:tcPr>
          <w:p w14:paraId="5834B0D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3.00</w:t>
            </w:r>
          </w:p>
        </w:tc>
        <w:tc>
          <w:tcPr>
            <w:tcW w:w="2766" w:type="dxa"/>
            <w:tcBorders>
              <w:top w:val="single" w:color="auto" w:sz="4" w:space="0"/>
              <w:left w:val="single" w:color="auto" w:sz="4" w:space="0"/>
              <w:bottom w:val="single" w:color="auto" w:sz="12" w:space="0"/>
              <w:right w:val="single" w:color="auto" w:sz="12" w:space="0"/>
            </w:tcBorders>
            <w:shd w:val="clear" w:color="auto" w:fill="auto"/>
          </w:tcPr>
          <w:p w14:paraId="78705C5A">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3.20</w:t>
            </w:r>
          </w:p>
        </w:tc>
      </w:tr>
      <w:bookmarkEnd w:id="135"/>
      <w:bookmarkEnd w:id="136"/>
      <w:bookmarkEnd w:id="137"/>
    </w:tbl>
    <w:p w14:paraId="06AE9B85">
      <w:pPr>
        <w:pStyle w:val="27"/>
        <w:widowControl/>
        <w:rPr>
          <w:rFonts w:hint="default" w:ascii="Times New Roman" w:hAnsi="Times New Roman"/>
          <w:color w:val="8FAADB"/>
        </w:rPr>
      </w:pPr>
      <w:r>
        <w:rPr>
          <w:rFonts w:hint="default" w:ascii="Times New Roman" w:hAnsi="Times New Roman"/>
          <w:b/>
          <w:bCs/>
          <w:color w:val="8FAADB"/>
        </w:rPr>
        <w:t>4</w:t>
      </w:r>
      <w:r>
        <w:rPr>
          <w:rFonts w:ascii="Times New Roman" w:hAnsi="Times New Roman"/>
          <w:color w:val="8FAADB"/>
        </w:rPr>
        <w:t>当采用风冷式多联式空调（热泵）机组时，在名义制冷工况和规定条件下的全年能源消耗效率</w:t>
      </w:r>
      <w:r>
        <w:rPr>
          <w:rFonts w:hint="default" w:ascii="Times New Roman" w:hAnsi="Times New Roman"/>
          <w:color w:val="8FAADB"/>
        </w:rPr>
        <w:t>(APF)</w:t>
      </w:r>
      <w:r>
        <w:rPr>
          <w:rFonts w:ascii="Times New Roman" w:hAnsi="Times New Roman"/>
          <w:color w:val="8FAADB"/>
        </w:rPr>
        <w:t>和单冷型多联机组制冷季节能源消耗效率</w:t>
      </w:r>
      <w:r>
        <w:rPr>
          <w:rFonts w:hint="default" w:ascii="Times New Roman" w:hAnsi="Times New Roman"/>
          <w:color w:val="8FAADB"/>
        </w:rPr>
        <w:t>(SEER)</w:t>
      </w:r>
      <w:r>
        <w:rPr>
          <w:rFonts w:ascii="Times New Roman" w:hAnsi="Times New Roman"/>
          <w:color w:val="8FAADB"/>
        </w:rPr>
        <w:t>应不低于表</w:t>
      </w:r>
      <w:r>
        <w:rPr>
          <w:rFonts w:hint="default" w:ascii="Times New Roman" w:hAnsi="Times New Roman"/>
          <w:color w:val="8FAADB"/>
        </w:rPr>
        <w:t>5.2.2-4</w:t>
      </w:r>
      <w:r>
        <w:rPr>
          <w:rFonts w:ascii="Times New Roman" w:hAnsi="Times New Roman"/>
          <w:color w:val="8FAADB"/>
        </w:rPr>
        <w:t>的规定。</w:t>
      </w:r>
    </w:p>
    <w:p w14:paraId="7390F536">
      <w:pPr>
        <w:pStyle w:val="27"/>
        <w:widowControl/>
        <w:spacing w:before="156" w:beforeLines="50" w:after="156" w:afterLines="50"/>
        <w:jc w:val="center"/>
        <w:rPr>
          <w:rFonts w:hint="default"/>
          <w:b/>
          <w:bCs/>
          <w:color w:val="8FAADB"/>
          <w:sz w:val="21"/>
          <w:szCs w:val="21"/>
        </w:rPr>
      </w:pPr>
      <w:r>
        <w:rPr>
          <w:b/>
          <w:bCs/>
          <w:color w:val="8FAADB"/>
          <w:sz w:val="21"/>
          <w:szCs w:val="21"/>
        </w:rPr>
        <w:t>表5.2.2-4风冷式多联式空调机组能1级能效指标</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14:paraId="0CA5B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12" w:space="0"/>
              <w:left w:val="single" w:color="auto" w:sz="12" w:space="0"/>
              <w:bottom w:val="single" w:color="auto" w:sz="4" w:space="0"/>
              <w:right w:val="single" w:color="auto" w:sz="4" w:space="0"/>
            </w:tcBorders>
            <w:shd w:val="clear" w:color="auto" w:fill="auto"/>
          </w:tcPr>
          <w:p w14:paraId="1B1C05CA">
            <w:pPr>
              <w:pStyle w:val="27"/>
              <w:widowControl/>
              <w:jc w:val="center"/>
              <w:rPr>
                <w:rFonts w:hint="default"/>
                <w:color w:val="8FAADB"/>
                <w:sz w:val="21"/>
                <w:szCs w:val="21"/>
              </w:rPr>
            </w:pPr>
            <w:r>
              <w:rPr>
                <w:color w:val="8FAADB"/>
                <w:sz w:val="21"/>
                <w:szCs w:val="21"/>
              </w:rPr>
              <w:t>额定制冷量</w:t>
            </w:r>
            <w:r>
              <w:rPr>
                <w:rFonts w:ascii="Times New Roman" w:hAnsi="Times New Roman"/>
                <w:color w:val="8FAADB"/>
                <w:sz w:val="21"/>
                <w:szCs w:val="21"/>
              </w:rPr>
              <w:t>（</w:t>
            </w:r>
            <w:r>
              <w:rPr>
                <w:rFonts w:hint="default" w:ascii="Times New Roman" w:hAnsi="Times New Roman"/>
                <w:color w:val="8FAADB"/>
                <w:sz w:val="21"/>
                <w:szCs w:val="21"/>
              </w:rPr>
              <w:t>CC</w:t>
            </w:r>
            <w:r>
              <w:rPr>
                <w:rFonts w:ascii="Times New Roman" w:hAnsi="Times New Roman"/>
                <w:color w:val="8FAADB"/>
                <w:sz w:val="21"/>
                <w:szCs w:val="21"/>
              </w:rPr>
              <w:t>）</w:t>
            </w:r>
          </w:p>
          <w:p w14:paraId="1D16E2E3">
            <w:pPr>
              <w:pStyle w:val="27"/>
              <w:widowControl/>
              <w:jc w:val="center"/>
              <w:rPr>
                <w:rFonts w:hint="default"/>
                <w:color w:val="8FAADB"/>
                <w:sz w:val="21"/>
                <w:szCs w:val="21"/>
              </w:rPr>
            </w:pPr>
            <w:r>
              <w:rPr>
                <w:rFonts w:hint="default" w:ascii="Times New Roman" w:hAnsi="Times New Roman"/>
                <w:color w:val="8FAADB"/>
                <w:sz w:val="21"/>
                <w:szCs w:val="21"/>
              </w:rPr>
              <w:t>W</w:t>
            </w:r>
          </w:p>
        </w:tc>
        <w:tc>
          <w:tcPr>
            <w:tcW w:w="2765" w:type="dxa"/>
            <w:tcBorders>
              <w:top w:val="single" w:color="auto" w:sz="12" w:space="0"/>
              <w:left w:val="single" w:color="auto" w:sz="4" w:space="0"/>
              <w:bottom w:val="single" w:color="auto" w:sz="4" w:space="0"/>
              <w:right w:val="single" w:color="auto" w:sz="4" w:space="0"/>
            </w:tcBorders>
            <w:shd w:val="clear" w:color="auto" w:fill="auto"/>
          </w:tcPr>
          <w:p w14:paraId="120AE367">
            <w:pPr>
              <w:pStyle w:val="27"/>
              <w:widowControl/>
              <w:jc w:val="center"/>
              <w:rPr>
                <w:rFonts w:hint="default"/>
                <w:color w:val="8FAADB"/>
                <w:sz w:val="21"/>
                <w:szCs w:val="21"/>
              </w:rPr>
            </w:pPr>
            <w:r>
              <w:rPr>
                <w:color w:val="8FAADB"/>
                <w:sz w:val="21"/>
                <w:szCs w:val="21"/>
              </w:rPr>
              <w:t>风冷式热泵型多联机组</w:t>
            </w:r>
          </w:p>
          <w:p w14:paraId="46C29E17">
            <w:pPr>
              <w:pStyle w:val="27"/>
              <w:widowControl/>
              <w:jc w:val="center"/>
              <w:rPr>
                <w:rFonts w:hint="default"/>
                <w:color w:val="8FAADB"/>
                <w:sz w:val="21"/>
                <w:szCs w:val="21"/>
              </w:rPr>
            </w:pPr>
            <w:r>
              <w:rPr>
                <w:color w:val="8FAADB"/>
                <w:sz w:val="21"/>
                <w:szCs w:val="21"/>
              </w:rPr>
              <w:t>全年能源消耗效率</w:t>
            </w:r>
            <w:r>
              <w:rPr>
                <w:rFonts w:hint="default" w:ascii="Times New Roman" w:hAnsi="Times New Roman"/>
                <w:color w:val="8FAADB"/>
                <w:sz w:val="21"/>
                <w:szCs w:val="21"/>
              </w:rPr>
              <w:t>(APF) (W.h)/(W.h)</w:t>
            </w:r>
          </w:p>
        </w:tc>
        <w:tc>
          <w:tcPr>
            <w:tcW w:w="2766" w:type="dxa"/>
            <w:tcBorders>
              <w:top w:val="single" w:color="auto" w:sz="12" w:space="0"/>
              <w:left w:val="single" w:color="auto" w:sz="4" w:space="0"/>
              <w:bottom w:val="single" w:color="auto" w:sz="4" w:space="0"/>
              <w:right w:val="single" w:color="auto" w:sz="12" w:space="0"/>
            </w:tcBorders>
            <w:shd w:val="clear" w:color="auto" w:fill="auto"/>
          </w:tcPr>
          <w:p w14:paraId="3337B09F">
            <w:pPr>
              <w:pStyle w:val="27"/>
              <w:widowControl/>
              <w:jc w:val="center"/>
              <w:rPr>
                <w:rFonts w:hint="default"/>
                <w:color w:val="8FAADB"/>
                <w:sz w:val="21"/>
                <w:szCs w:val="21"/>
              </w:rPr>
            </w:pPr>
            <w:r>
              <w:rPr>
                <w:color w:val="8FAADB"/>
                <w:sz w:val="21"/>
                <w:szCs w:val="21"/>
              </w:rPr>
              <w:t>风冷式单冷型多联机组</w:t>
            </w:r>
          </w:p>
          <w:p w14:paraId="7A7F9C8C">
            <w:pPr>
              <w:pStyle w:val="27"/>
              <w:widowControl/>
              <w:jc w:val="center"/>
              <w:rPr>
                <w:rFonts w:hint="default"/>
                <w:color w:val="8FAADB"/>
                <w:sz w:val="21"/>
                <w:szCs w:val="21"/>
              </w:rPr>
            </w:pPr>
            <w:r>
              <w:rPr>
                <w:color w:val="8FAADB"/>
                <w:sz w:val="21"/>
                <w:szCs w:val="21"/>
              </w:rPr>
              <w:t>制冷季节能源消耗效率</w:t>
            </w:r>
            <w:r>
              <w:rPr>
                <w:rFonts w:hint="default" w:ascii="Times New Roman" w:hAnsi="Times New Roman"/>
                <w:color w:val="8FAADB"/>
                <w:sz w:val="21"/>
                <w:szCs w:val="21"/>
              </w:rPr>
              <w:t>(SEER)</w:t>
            </w:r>
          </w:p>
        </w:tc>
      </w:tr>
      <w:tr w14:paraId="40524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12" w:space="0"/>
              <w:bottom w:val="single" w:color="auto" w:sz="4" w:space="0"/>
              <w:right w:val="single" w:color="auto" w:sz="4" w:space="0"/>
            </w:tcBorders>
            <w:shd w:val="clear" w:color="auto" w:fill="auto"/>
          </w:tcPr>
          <w:p w14:paraId="4B6E3251">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CC≤14000</w:t>
            </w:r>
          </w:p>
        </w:tc>
        <w:tc>
          <w:tcPr>
            <w:tcW w:w="2765" w:type="dxa"/>
            <w:tcBorders>
              <w:top w:val="single" w:color="auto" w:sz="4" w:space="0"/>
              <w:left w:val="single" w:color="auto" w:sz="4" w:space="0"/>
              <w:bottom w:val="single" w:color="auto" w:sz="4" w:space="0"/>
              <w:right w:val="single" w:color="auto" w:sz="4" w:space="0"/>
            </w:tcBorders>
            <w:shd w:val="clear" w:color="auto" w:fill="auto"/>
          </w:tcPr>
          <w:p w14:paraId="5D8D3CC5">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5.2</w:t>
            </w:r>
          </w:p>
        </w:tc>
        <w:tc>
          <w:tcPr>
            <w:tcW w:w="2766" w:type="dxa"/>
            <w:tcBorders>
              <w:top w:val="single" w:color="auto" w:sz="4" w:space="0"/>
              <w:left w:val="single" w:color="auto" w:sz="4" w:space="0"/>
              <w:bottom w:val="single" w:color="auto" w:sz="4" w:space="0"/>
              <w:right w:val="single" w:color="auto" w:sz="12" w:space="0"/>
            </w:tcBorders>
            <w:shd w:val="clear" w:color="auto" w:fill="auto"/>
          </w:tcPr>
          <w:p w14:paraId="0E612843">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5.5</w:t>
            </w:r>
          </w:p>
        </w:tc>
      </w:tr>
      <w:tr w14:paraId="111A8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12" w:space="0"/>
              <w:bottom w:val="single" w:color="auto" w:sz="4" w:space="0"/>
              <w:right w:val="single" w:color="auto" w:sz="4" w:space="0"/>
            </w:tcBorders>
            <w:shd w:val="clear" w:color="auto" w:fill="auto"/>
          </w:tcPr>
          <w:p w14:paraId="30360A20">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14 000&lt;CC≤28 000</w:t>
            </w:r>
          </w:p>
        </w:tc>
        <w:tc>
          <w:tcPr>
            <w:tcW w:w="2765" w:type="dxa"/>
            <w:tcBorders>
              <w:top w:val="single" w:color="auto" w:sz="4" w:space="0"/>
              <w:left w:val="single" w:color="auto" w:sz="4" w:space="0"/>
              <w:bottom w:val="single" w:color="auto" w:sz="4" w:space="0"/>
              <w:right w:val="single" w:color="auto" w:sz="4" w:space="0"/>
            </w:tcBorders>
            <w:shd w:val="clear" w:color="auto" w:fill="auto"/>
          </w:tcPr>
          <w:p w14:paraId="242F2C1E">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4.8</w:t>
            </w:r>
          </w:p>
        </w:tc>
        <w:tc>
          <w:tcPr>
            <w:tcW w:w="2766" w:type="dxa"/>
            <w:tcBorders>
              <w:top w:val="single" w:color="auto" w:sz="4" w:space="0"/>
              <w:left w:val="single" w:color="auto" w:sz="4" w:space="0"/>
              <w:bottom w:val="single" w:color="auto" w:sz="4" w:space="0"/>
              <w:right w:val="single" w:color="auto" w:sz="12" w:space="0"/>
            </w:tcBorders>
            <w:shd w:val="clear" w:color="auto" w:fill="auto"/>
          </w:tcPr>
          <w:p w14:paraId="40BC411B">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5.1</w:t>
            </w:r>
          </w:p>
        </w:tc>
      </w:tr>
      <w:tr w14:paraId="16BEB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12" w:space="0"/>
              <w:bottom w:val="single" w:color="auto" w:sz="4" w:space="0"/>
              <w:right w:val="single" w:color="auto" w:sz="4" w:space="0"/>
            </w:tcBorders>
            <w:shd w:val="clear" w:color="auto" w:fill="auto"/>
          </w:tcPr>
          <w:p w14:paraId="42353EEA">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28 000&lt;CC≤50 000</w:t>
            </w:r>
          </w:p>
        </w:tc>
        <w:tc>
          <w:tcPr>
            <w:tcW w:w="2765" w:type="dxa"/>
            <w:tcBorders>
              <w:top w:val="single" w:color="auto" w:sz="4" w:space="0"/>
              <w:left w:val="single" w:color="auto" w:sz="4" w:space="0"/>
              <w:bottom w:val="single" w:color="auto" w:sz="4" w:space="0"/>
              <w:right w:val="single" w:color="auto" w:sz="4" w:space="0"/>
            </w:tcBorders>
            <w:shd w:val="clear" w:color="auto" w:fill="auto"/>
          </w:tcPr>
          <w:p w14:paraId="0FBB762C">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4.5</w:t>
            </w:r>
          </w:p>
        </w:tc>
        <w:tc>
          <w:tcPr>
            <w:tcW w:w="2766" w:type="dxa"/>
            <w:tcBorders>
              <w:top w:val="single" w:color="auto" w:sz="4" w:space="0"/>
              <w:left w:val="single" w:color="auto" w:sz="4" w:space="0"/>
              <w:bottom w:val="single" w:color="auto" w:sz="4" w:space="0"/>
              <w:right w:val="single" w:color="auto" w:sz="12" w:space="0"/>
            </w:tcBorders>
            <w:shd w:val="clear" w:color="auto" w:fill="auto"/>
          </w:tcPr>
          <w:p w14:paraId="25B11D53">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4.9</w:t>
            </w:r>
          </w:p>
        </w:tc>
      </w:tr>
      <w:tr w14:paraId="304FA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12" w:space="0"/>
              <w:bottom w:val="single" w:color="auto" w:sz="4" w:space="0"/>
              <w:right w:val="single" w:color="auto" w:sz="4" w:space="0"/>
            </w:tcBorders>
            <w:shd w:val="clear" w:color="auto" w:fill="auto"/>
          </w:tcPr>
          <w:p w14:paraId="2E05363C">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50 000&lt;CC≤68 000</w:t>
            </w:r>
          </w:p>
        </w:tc>
        <w:tc>
          <w:tcPr>
            <w:tcW w:w="2765" w:type="dxa"/>
            <w:tcBorders>
              <w:top w:val="single" w:color="auto" w:sz="4" w:space="0"/>
              <w:left w:val="single" w:color="auto" w:sz="4" w:space="0"/>
              <w:bottom w:val="single" w:color="auto" w:sz="4" w:space="0"/>
              <w:right w:val="single" w:color="auto" w:sz="4" w:space="0"/>
            </w:tcBorders>
            <w:shd w:val="clear" w:color="auto" w:fill="auto"/>
          </w:tcPr>
          <w:p w14:paraId="18FE7A0F">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4.2</w:t>
            </w:r>
          </w:p>
        </w:tc>
        <w:tc>
          <w:tcPr>
            <w:tcW w:w="2766" w:type="dxa"/>
            <w:tcBorders>
              <w:top w:val="single" w:color="auto" w:sz="4" w:space="0"/>
              <w:left w:val="single" w:color="auto" w:sz="4" w:space="0"/>
              <w:bottom w:val="single" w:color="auto" w:sz="4" w:space="0"/>
              <w:right w:val="single" w:color="auto" w:sz="12" w:space="0"/>
            </w:tcBorders>
            <w:shd w:val="clear" w:color="auto" w:fill="auto"/>
          </w:tcPr>
          <w:p w14:paraId="759D5841">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4.8</w:t>
            </w:r>
          </w:p>
        </w:tc>
      </w:tr>
      <w:tr w14:paraId="3BBDF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65" w:type="dxa"/>
            <w:tcBorders>
              <w:top w:val="single" w:color="auto" w:sz="4" w:space="0"/>
              <w:left w:val="single" w:color="auto" w:sz="12" w:space="0"/>
              <w:bottom w:val="single" w:color="auto" w:sz="12" w:space="0"/>
              <w:right w:val="single" w:color="auto" w:sz="4" w:space="0"/>
            </w:tcBorders>
            <w:shd w:val="clear" w:color="auto" w:fill="auto"/>
          </w:tcPr>
          <w:p w14:paraId="7AFC5BBE">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w:t>
            </w:r>
            <w:r>
              <w:rPr>
                <w:rFonts w:ascii="Times New Roman" w:hAnsi="Times New Roman"/>
                <w:color w:val="8FAADB"/>
                <w:sz w:val="21"/>
                <w:szCs w:val="21"/>
              </w:rPr>
              <w:t>＞</w:t>
            </w:r>
            <w:r>
              <w:rPr>
                <w:rFonts w:hint="default" w:ascii="Times New Roman" w:hAnsi="Times New Roman"/>
                <w:color w:val="8FAADB"/>
                <w:sz w:val="21"/>
                <w:szCs w:val="21"/>
              </w:rPr>
              <w:t>68 000</w:t>
            </w:r>
          </w:p>
        </w:tc>
        <w:tc>
          <w:tcPr>
            <w:tcW w:w="2765" w:type="dxa"/>
            <w:tcBorders>
              <w:top w:val="single" w:color="auto" w:sz="4" w:space="0"/>
              <w:left w:val="single" w:color="auto" w:sz="4" w:space="0"/>
              <w:bottom w:val="single" w:color="auto" w:sz="12" w:space="0"/>
              <w:right w:val="single" w:color="auto" w:sz="4" w:space="0"/>
            </w:tcBorders>
            <w:shd w:val="clear" w:color="auto" w:fill="auto"/>
          </w:tcPr>
          <w:p w14:paraId="3E58908B">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4.0</w:t>
            </w:r>
          </w:p>
        </w:tc>
        <w:tc>
          <w:tcPr>
            <w:tcW w:w="2766" w:type="dxa"/>
            <w:tcBorders>
              <w:top w:val="single" w:color="auto" w:sz="4" w:space="0"/>
              <w:left w:val="single" w:color="auto" w:sz="4" w:space="0"/>
              <w:bottom w:val="single" w:color="auto" w:sz="12" w:space="0"/>
              <w:right w:val="single" w:color="auto" w:sz="12" w:space="0"/>
            </w:tcBorders>
            <w:shd w:val="clear" w:color="auto" w:fill="auto"/>
          </w:tcPr>
          <w:p w14:paraId="66ADFC89">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4.7</w:t>
            </w:r>
          </w:p>
        </w:tc>
      </w:tr>
    </w:tbl>
    <w:p w14:paraId="02C6CF07">
      <w:pPr>
        <w:pStyle w:val="27"/>
        <w:widowControl/>
        <w:rPr>
          <w:rFonts w:hint="default" w:ascii="Times New Roman" w:hAnsi="Times New Roman"/>
          <w:color w:val="8FAADB"/>
        </w:rPr>
      </w:pPr>
      <w:r>
        <w:rPr>
          <w:rFonts w:hint="default" w:ascii="Times New Roman" w:hAnsi="Times New Roman"/>
          <w:b/>
          <w:bCs/>
          <w:color w:val="8FAADB"/>
        </w:rPr>
        <w:t>5</w:t>
      </w:r>
      <w:r>
        <w:rPr>
          <w:rFonts w:ascii="Times New Roman" w:hAnsi="Times New Roman"/>
          <w:color w:val="8FAADB"/>
        </w:rPr>
        <w:t>当采用水冷式多联式空调（热泵）机组时，水冷式多联机根据产品的实测</w:t>
      </w:r>
      <w:r>
        <w:rPr>
          <w:rFonts w:hint="default" w:ascii="Times New Roman" w:hAnsi="Times New Roman"/>
          <w:color w:val="8FAADB"/>
        </w:rPr>
        <w:t xml:space="preserve"> IPLV(C)</w:t>
      </w:r>
      <w:r>
        <w:rPr>
          <w:rFonts w:ascii="Times New Roman" w:hAnsi="Times New Roman"/>
          <w:color w:val="8FAADB"/>
        </w:rPr>
        <w:t>、</w:t>
      </w:r>
      <w:r>
        <w:rPr>
          <w:rFonts w:hint="default" w:ascii="Times New Roman" w:hAnsi="Times New Roman"/>
          <w:color w:val="8FAADB"/>
        </w:rPr>
        <w:t>EER</w:t>
      </w:r>
      <w:r>
        <w:rPr>
          <w:rFonts w:ascii="Times New Roman" w:hAnsi="Times New Roman"/>
          <w:color w:val="8FAADB"/>
        </w:rPr>
        <w:t>不应低于表</w:t>
      </w:r>
      <w:r>
        <w:rPr>
          <w:rFonts w:hint="default" w:ascii="Times New Roman" w:hAnsi="Times New Roman"/>
          <w:color w:val="8FAADB"/>
        </w:rPr>
        <w:t>5.2.2-5</w:t>
      </w:r>
      <w:r>
        <w:rPr>
          <w:rFonts w:ascii="Times New Roman" w:hAnsi="Times New Roman"/>
          <w:color w:val="8FAADB"/>
        </w:rPr>
        <w:t>的规定。</w:t>
      </w:r>
    </w:p>
    <w:p w14:paraId="2000DE6A">
      <w:pPr>
        <w:pStyle w:val="27"/>
        <w:widowControl/>
        <w:spacing w:before="156" w:beforeLines="50" w:after="156" w:afterLines="50"/>
        <w:jc w:val="center"/>
        <w:rPr>
          <w:rFonts w:hint="default" w:ascii="Times New Roman" w:hAnsi="Times New Roman"/>
          <w:b/>
          <w:bCs/>
          <w:color w:val="8FAADB"/>
          <w:sz w:val="21"/>
          <w:szCs w:val="21"/>
        </w:rPr>
      </w:pPr>
      <w:r>
        <w:rPr>
          <w:rFonts w:ascii="Times New Roman" w:hAnsi="Times New Roman"/>
          <w:b/>
          <w:bCs/>
          <w:color w:val="8FAADB"/>
          <w:sz w:val="21"/>
          <w:szCs w:val="21"/>
        </w:rPr>
        <w:t>表</w:t>
      </w:r>
      <w:r>
        <w:rPr>
          <w:rFonts w:hint="default" w:ascii="Times New Roman" w:hAnsi="Times New Roman"/>
          <w:b/>
          <w:bCs/>
          <w:color w:val="8FAADB"/>
          <w:sz w:val="21"/>
          <w:szCs w:val="21"/>
        </w:rPr>
        <w:t>5.2.2-5</w:t>
      </w:r>
      <w:r>
        <w:rPr>
          <w:rFonts w:ascii="Times New Roman" w:hAnsi="Times New Roman"/>
          <w:b/>
          <w:bCs/>
          <w:color w:val="8FAADB"/>
          <w:sz w:val="21"/>
          <w:szCs w:val="21"/>
        </w:rPr>
        <w:t>水冷式多联式空调机组</w:t>
      </w:r>
      <w:r>
        <w:rPr>
          <w:rFonts w:hint="default" w:ascii="Times New Roman" w:hAnsi="Times New Roman"/>
          <w:b/>
          <w:bCs/>
          <w:color w:val="8FAADB"/>
          <w:sz w:val="21"/>
          <w:szCs w:val="21"/>
        </w:rPr>
        <w:t>1</w:t>
      </w:r>
      <w:r>
        <w:rPr>
          <w:rFonts w:ascii="Times New Roman" w:hAnsi="Times New Roman"/>
          <w:b/>
          <w:bCs/>
          <w:color w:val="8FAADB"/>
          <w:sz w:val="21"/>
          <w:szCs w:val="21"/>
        </w:rPr>
        <w:t>级能效指标</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1947"/>
        <w:gridCol w:w="2168"/>
        <w:gridCol w:w="2073"/>
      </w:tblGrid>
      <w:tr w14:paraId="0A8FA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8" w:type="dxa"/>
            <w:tcBorders>
              <w:top w:val="single" w:color="auto" w:sz="12" w:space="0"/>
              <w:left w:val="single" w:color="auto" w:sz="12" w:space="0"/>
              <w:bottom w:val="single" w:color="auto" w:sz="4" w:space="0"/>
              <w:right w:val="single" w:color="auto" w:sz="4" w:space="0"/>
            </w:tcBorders>
            <w:shd w:val="clear" w:color="auto" w:fill="auto"/>
          </w:tcPr>
          <w:p w14:paraId="5C615C0E">
            <w:pPr>
              <w:pStyle w:val="27"/>
              <w:widowControl/>
              <w:jc w:val="center"/>
              <w:rPr>
                <w:rFonts w:hint="default" w:ascii="Times New Roman" w:hAnsi="Times New Roman"/>
                <w:color w:val="8FAADB"/>
                <w:sz w:val="21"/>
                <w:szCs w:val="21"/>
              </w:rPr>
            </w:pPr>
            <w:r>
              <w:rPr>
                <w:rFonts w:ascii="Times New Roman" w:hAnsi="Times New Roman"/>
                <w:b/>
                <w:bCs/>
                <w:color w:val="8FAADB"/>
                <w:sz w:val="21"/>
                <w:szCs w:val="21"/>
              </w:rPr>
              <w:t>指标</w:t>
            </w:r>
          </w:p>
        </w:tc>
        <w:tc>
          <w:tcPr>
            <w:tcW w:w="1947" w:type="dxa"/>
            <w:tcBorders>
              <w:top w:val="single" w:color="auto" w:sz="12" w:space="0"/>
              <w:left w:val="single" w:color="auto" w:sz="4" w:space="0"/>
              <w:bottom w:val="single" w:color="auto" w:sz="4" w:space="0"/>
              <w:right w:val="single" w:color="auto" w:sz="4" w:space="0"/>
            </w:tcBorders>
            <w:shd w:val="clear" w:color="auto" w:fill="auto"/>
          </w:tcPr>
          <w:p w14:paraId="1E1563DF">
            <w:pPr>
              <w:pStyle w:val="27"/>
              <w:widowControl/>
              <w:jc w:val="center"/>
              <w:rPr>
                <w:rFonts w:hint="default" w:ascii="Times New Roman" w:hAnsi="Times New Roman"/>
                <w:color w:val="8FAADB"/>
                <w:sz w:val="21"/>
                <w:szCs w:val="21"/>
              </w:rPr>
            </w:pPr>
            <w:r>
              <w:rPr>
                <w:rFonts w:ascii="Times New Roman" w:hAnsi="Times New Roman"/>
                <w:b/>
                <w:bCs/>
                <w:color w:val="8FAADB"/>
                <w:sz w:val="21"/>
                <w:szCs w:val="21"/>
              </w:rPr>
              <w:t>类型</w:t>
            </w:r>
          </w:p>
        </w:tc>
        <w:tc>
          <w:tcPr>
            <w:tcW w:w="2168" w:type="dxa"/>
            <w:tcBorders>
              <w:top w:val="single" w:color="auto" w:sz="12" w:space="0"/>
              <w:left w:val="single" w:color="auto" w:sz="4" w:space="0"/>
              <w:bottom w:val="single" w:color="auto" w:sz="4" w:space="0"/>
              <w:right w:val="single" w:color="auto" w:sz="4" w:space="0"/>
            </w:tcBorders>
            <w:shd w:val="clear" w:color="auto" w:fill="auto"/>
          </w:tcPr>
          <w:p w14:paraId="35A5333C">
            <w:pPr>
              <w:pStyle w:val="27"/>
              <w:widowControl/>
              <w:jc w:val="center"/>
              <w:rPr>
                <w:rFonts w:hint="default" w:ascii="Times New Roman" w:hAnsi="Times New Roman"/>
                <w:b/>
                <w:bCs/>
                <w:color w:val="8FAADB"/>
                <w:sz w:val="21"/>
                <w:szCs w:val="21"/>
              </w:rPr>
            </w:pPr>
            <w:r>
              <w:rPr>
                <w:rFonts w:ascii="Times New Roman" w:hAnsi="Times New Roman"/>
                <w:b/>
                <w:bCs/>
                <w:color w:val="8FAADB"/>
                <w:sz w:val="21"/>
                <w:szCs w:val="21"/>
              </w:rPr>
              <w:t>额定制冷量（</w:t>
            </w:r>
            <w:r>
              <w:rPr>
                <w:rFonts w:hint="default" w:ascii="Times New Roman" w:hAnsi="Times New Roman"/>
                <w:b/>
                <w:bCs/>
                <w:color w:val="8FAADB"/>
                <w:sz w:val="21"/>
                <w:szCs w:val="21"/>
              </w:rPr>
              <w:t>CC</w:t>
            </w:r>
            <w:r>
              <w:rPr>
                <w:rFonts w:ascii="Times New Roman" w:hAnsi="Times New Roman"/>
                <w:b/>
                <w:bCs/>
                <w:color w:val="8FAADB"/>
                <w:sz w:val="21"/>
                <w:szCs w:val="21"/>
              </w:rPr>
              <w:t>）</w:t>
            </w:r>
          </w:p>
          <w:p w14:paraId="1DAB5ABE">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W</w:t>
            </w:r>
          </w:p>
        </w:tc>
        <w:tc>
          <w:tcPr>
            <w:tcW w:w="2073" w:type="dxa"/>
            <w:tcBorders>
              <w:top w:val="single" w:color="auto" w:sz="12" w:space="0"/>
              <w:left w:val="single" w:color="auto" w:sz="4" w:space="0"/>
              <w:bottom w:val="single" w:color="auto" w:sz="4" w:space="0"/>
              <w:right w:val="single" w:color="auto" w:sz="12" w:space="0"/>
            </w:tcBorders>
            <w:shd w:val="clear" w:color="auto" w:fill="auto"/>
          </w:tcPr>
          <w:p w14:paraId="51C4EB9C">
            <w:pPr>
              <w:pStyle w:val="27"/>
              <w:widowControl/>
              <w:jc w:val="center"/>
              <w:rPr>
                <w:rFonts w:hint="default" w:ascii="Times New Roman" w:hAnsi="Times New Roman"/>
                <w:color w:val="8FAADB"/>
                <w:sz w:val="21"/>
                <w:szCs w:val="21"/>
              </w:rPr>
            </w:pPr>
            <w:r>
              <w:rPr>
                <w:rFonts w:ascii="Times New Roman" w:hAnsi="Times New Roman"/>
                <w:b/>
                <w:bCs/>
                <w:color w:val="8FAADB"/>
                <w:sz w:val="21"/>
                <w:szCs w:val="21"/>
              </w:rPr>
              <w:t>能效值</w:t>
            </w:r>
          </w:p>
        </w:tc>
      </w:tr>
      <w:tr w14:paraId="58841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8" w:type="dxa"/>
            <w:vMerge w:val="restart"/>
            <w:tcBorders>
              <w:top w:val="single" w:color="auto" w:sz="4" w:space="0"/>
              <w:left w:val="single" w:color="auto" w:sz="12" w:space="0"/>
              <w:bottom w:val="single" w:color="auto" w:sz="4" w:space="0"/>
              <w:right w:val="single" w:color="auto" w:sz="4" w:space="0"/>
            </w:tcBorders>
            <w:shd w:val="clear" w:color="auto" w:fill="auto"/>
          </w:tcPr>
          <w:p w14:paraId="454E223D">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IPLV(C)/(W/W)</w:t>
            </w:r>
          </w:p>
        </w:tc>
        <w:tc>
          <w:tcPr>
            <w:tcW w:w="1947" w:type="dxa"/>
            <w:vMerge w:val="restart"/>
            <w:tcBorders>
              <w:top w:val="single" w:color="auto" w:sz="4" w:space="0"/>
              <w:left w:val="single" w:color="auto" w:sz="4" w:space="0"/>
              <w:bottom w:val="single" w:color="auto" w:sz="4" w:space="0"/>
              <w:right w:val="single" w:color="auto" w:sz="4" w:space="0"/>
            </w:tcBorders>
            <w:shd w:val="clear" w:color="auto" w:fill="auto"/>
          </w:tcPr>
          <w:p w14:paraId="61846795">
            <w:pPr>
              <w:pStyle w:val="27"/>
              <w:widowControl/>
              <w:jc w:val="center"/>
              <w:rPr>
                <w:rFonts w:hint="default" w:ascii="Times New Roman" w:hAnsi="Times New Roman"/>
                <w:color w:val="8FAADB"/>
                <w:sz w:val="21"/>
                <w:szCs w:val="21"/>
              </w:rPr>
            </w:pPr>
            <w:r>
              <w:rPr>
                <w:rFonts w:ascii="Times New Roman" w:hAnsi="Times New Roman"/>
                <w:color w:val="8FAADB"/>
                <w:sz w:val="21"/>
                <w:szCs w:val="21"/>
              </w:rPr>
              <w:t>水环式</w:t>
            </w:r>
          </w:p>
        </w:tc>
        <w:tc>
          <w:tcPr>
            <w:tcW w:w="2168" w:type="dxa"/>
            <w:tcBorders>
              <w:top w:val="single" w:color="auto" w:sz="4" w:space="0"/>
              <w:left w:val="single" w:color="auto" w:sz="4" w:space="0"/>
              <w:bottom w:val="single" w:color="auto" w:sz="4" w:space="0"/>
              <w:right w:val="single" w:color="auto" w:sz="4" w:space="0"/>
            </w:tcBorders>
            <w:shd w:val="clear" w:color="auto" w:fill="auto"/>
          </w:tcPr>
          <w:p w14:paraId="2F86AEC6">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CC≤28 000</w:t>
            </w:r>
          </w:p>
        </w:tc>
        <w:tc>
          <w:tcPr>
            <w:tcW w:w="2073" w:type="dxa"/>
            <w:tcBorders>
              <w:top w:val="single" w:color="auto" w:sz="4" w:space="0"/>
              <w:left w:val="single" w:color="auto" w:sz="4" w:space="0"/>
              <w:bottom w:val="single" w:color="auto" w:sz="4" w:space="0"/>
              <w:right w:val="single" w:color="auto" w:sz="12" w:space="0"/>
            </w:tcBorders>
            <w:shd w:val="clear" w:color="auto" w:fill="auto"/>
          </w:tcPr>
          <w:p w14:paraId="5CEBAE21">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7.0</w:t>
            </w:r>
          </w:p>
        </w:tc>
      </w:tr>
      <w:tr w14:paraId="5003B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8" w:type="dxa"/>
            <w:vMerge w:val="continue"/>
            <w:tcBorders>
              <w:top w:val="single" w:color="auto" w:sz="4" w:space="0"/>
              <w:left w:val="single" w:color="auto" w:sz="12" w:space="0"/>
              <w:bottom w:val="single" w:color="auto" w:sz="4" w:space="0"/>
              <w:right w:val="single" w:color="auto" w:sz="4" w:space="0"/>
            </w:tcBorders>
            <w:shd w:val="clear" w:color="auto" w:fill="auto"/>
          </w:tcPr>
          <w:p w14:paraId="5F772373">
            <w:pPr>
              <w:rPr>
                <w:rFonts w:ascii="Times New Roman" w:hAnsi="Times New Roman" w:cs="Times New Roman"/>
                <w:sz w:val="20"/>
                <w:szCs w:val="20"/>
              </w:rPr>
            </w:pPr>
          </w:p>
        </w:tc>
        <w:tc>
          <w:tcPr>
            <w:tcW w:w="1947" w:type="dxa"/>
            <w:vMerge w:val="continue"/>
            <w:tcBorders>
              <w:top w:val="single" w:color="auto" w:sz="4" w:space="0"/>
              <w:left w:val="single" w:color="auto" w:sz="4" w:space="0"/>
              <w:bottom w:val="single" w:color="auto" w:sz="4" w:space="0"/>
              <w:right w:val="single" w:color="auto" w:sz="4" w:space="0"/>
            </w:tcBorders>
            <w:shd w:val="clear" w:color="auto" w:fill="auto"/>
          </w:tcPr>
          <w:p w14:paraId="7897C98B">
            <w:pPr>
              <w:rPr>
                <w:rFonts w:ascii="Times New Roman" w:hAnsi="Times New Roman" w:cs="Times New Roman"/>
                <w:sz w:val="20"/>
                <w:szCs w:val="20"/>
              </w:rPr>
            </w:pPr>
          </w:p>
        </w:tc>
        <w:tc>
          <w:tcPr>
            <w:tcW w:w="2168" w:type="dxa"/>
            <w:tcBorders>
              <w:top w:val="single" w:color="auto" w:sz="4" w:space="0"/>
              <w:left w:val="single" w:color="auto" w:sz="4" w:space="0"/>
              <w:bottom w:val="single" w:color="auto" w:sz="4" w:space="0"/>
              <w:right w:val="single" w:color="auto" w:sz="4" w:space="0"/>
            </w:tcBorders>
            <w:shd w:val="clear" w:color="auto" w:fill="auto"/>
          </w:tcPr>
          <w:p w14:paraId="721BC05F">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w:t>
            </w:r>
            <w:r>
              <w:rPr>
                <w:rFonts w:ascii="Times New Roman" w:hAnsi="Times New Roman"/>
                <w:color w:val="8FAADB"/>
                <w:sz w:val="21"/>
                <w:szCs w:val="21"/>
              </w:rPr>
              <w:t>＞</w:t>
            </w:r>
            <w:r>
              <w:rPr>
                <w:rFonts w:hint="default" w:ascii="Times New Roman" w:hAnsi="Times New Roman"/>
                <w:color w:val="8FAADB"/>
                <w:sz w:val="21"/>
                <w:szCs w:val="21"/>
              </w:rPr>
              <w:t>28 000</w:t>
            </w:r>
          </w:p>
        </w:tc>
        <w:tc>
          <w:tcPr>
            <w:tcW w:w="2073" w:type="dxa"/>
            <w:tcBorders>
              <w:top w:val="single" w:color="auto" w:sz="4" w:space="0"/>
              <w:left w:val="single" w:color="auto" w:sz="4" w:space="0"/>
              <w:bottom w:val="single" w:color="auto" w:sz="4" w:space="0"/>
              <w:right w:val="single" w:color="auto" w:sz="12" w:space="0"/>
            </w:tcBorders>
            <w:shd w:val="clear" w:color="auto" w:fill="auto"/>
          </w:tcPr>
          <w:p w14:paraId="2DAFE57D">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6.8</w:t>
            </w:r>
          </w:p>
        </w:tc>
      </w:tr>
      <w:tr w14:paraId="7BAFF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8" w:type="dxa"/>
            <w:vMerge w:val="restart"/>
            <w:tcBorders>
              <w:top w:val="single" w:color="auto" w:sz="4" w:space="0"/>
              <w:left w:val="single" w:color="auto" w:sz="12" w:space="0"/>
              <w:bottom w:val="single" w:color="auto" w:sz="12" w:space="0"/>
              <w:right w:val="single" w:color="auto" w:sz="4" w:space="0"/>
            </w:tcBorders>
            <w:shd w:val="clear" w:color="auto" w:fill="auto"/>
          </w:tcPr>
          <w:p w14:paraId="38DCB953">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EER/(W/W)</w:t>
            </w:r>
          </w:p>
        </w:tc>
        <w:tc>
          <w:tcPr>
            <w:tcW w:w="1947" w:type="dxa"/>
            <w:tcBorders>
              <w:top w:val="single" w:color="auto" w:sz="4" w:space="0"/>
              <w:left w:val="single" w:color="auto" w:sz="4" w:space="0"/>
              <w:bottom w:val="single" w:color="auto" w:sz="4" w:space="0"/>
              <w:right w:val="single" w:color="auto" w:sz="4" w:space="0"/>
            </w:tcBorders>
            <w:shd w:val="clear" w:color="auto" w:fill="auto"/>
          </w:tcPr>
          <w:p w14:paraId="06BE6E36">
            <w:pPr>
              <w:pStyle w:val="27"/>
              <w:widowControl/>
              <w:jc w:val="center"/>
              <w:rPr>
                <w:rFonts w:hint="default" w:ascii="Times New Roman" w:hAnsi="Times New Roman"/>
                <w:color w:val="8FAADB"/>
                <w:sz w:val="21"/>
                <w:szCs w:val="21"/>
              </w:rPr>
            </w:pPr>
            <w:r>
              <w:rPr>
                <w:rFonts w:ascii="Times New Roman" w:hAnsi="Times New Roman"/>
                <w:color w:val="8FAADB"/>
                <w:sz w:val="21"/>
                <w:szCs w:val="21"/>
              </w:rPr>
              <w:t>地埋管式</w:t>
            </w:r>
          </w:p>
        </w:tc>
        <w:tc>
          <w:tcPr>
            <w:tcW w:w="2168" w:type="dxa"/>
            <w:tcBorders>
              <w:top w:val="single" w:color="auto" w:sz="4" w:space="0"/>
              <w:left w:val="single" w:color="auto" w:sz="4" w:space="0"/>
              <w:bottom w:val="single" w:color="auto" w:sz="4" w:space="0"/>
              <w:right w:val="single" w:color="auto" w:sz="4" w:space="0"/>
            </w:tcBorders>
            <w:shd w:val="clear" w:color="auto" w:fill="auto"/>
          </w:tcPr>
          <w:p w14:paraId="5296C4EA">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w:t>
            </w:r>
          </w:p>
        </w:tc>
        <w:tc>
          <w:tcPr>
            <w:tcW w:w="2073" w:type="dxa"/>
            <w:tcBorders>
              <w:top w:val="single" w:color="auto" w:sz="4" w:space="0"/>
              <w:left w:val="single" w:color="auto" w:sz="4" w:space="0"/>
              <w:bottom w:val="single" w:color="auto" w:sz="4" w:space="0"/>
              <w:right w:val="single" w:color="auto" w:sz="12" w:space="0"/>
            </w:tcBorders>
            <w:shd w:val="clear" w:color="auto" w:fill="auto"/>
          </w:tcPr>
          <w:p w14:paraId="7D0D20CB">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4.6</w:t>
            </w:r>
          </w:p>
        </w:tc>
      </w:tr>
      <w:tr w14:paraId="0155E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8" w:type="dxa"/>
            <w:vMerge w:val="continue"/>
            <w:tcBorders>
              <w:top w:val="single" w:color="auto" w:sz="4" w:space="0"/>
              <w:left w:val="single" w:color="auto" w:sz="12" w:space="0"/>
              <w:bottom w:val="single" w:color="auto" w:sz="12" w:space="0"/>
              <w:right w:val="single" w:color="auto" w:sz="4" w:space="0"/>
            </w:tcBorders>
            <w:shd w:val="clear" w:color="auto" w:fill="auto"/>
          </w:tcPr>
          <w:p w14:paraId="28F5BB69">
            <w:pPr>
              <w:rPr>
                <w:rFonts w:ascii="Times New Roman" w:hAnsi="Times New Roman" w:cs="Times New Roman"/>
                <w:sz w:val="20"/>
                <w:szCs w:val="20"/>
              </w:rPr>
            </w:pPr>
          </w:p>
        </w:tc>
        <w:tc>
          <w:tcPr>
            <w:tcW w:w="1947" w:type="dxa"/>
            <w:tcBorders>
              <w:top w:val="single" w:color="auto" w:sz="4" w:space="0"/>
              <w:left w:val="single" w:color="auto" w:sz="4" w:space="0"/>
              <w:bottom w:val="single" w:color="auto" w:sz="12" w:space="0"/>
              <w:right w:val="single" w:color="auto" w:sz="4" w:space="0"/>
            </w:tcBorders>
            <w:shd w:val="clear" w:color="auto" w:fill="auto"/>
          </w:tcPr>
          <w:p w14:paraId="7623832F">
            <w:pPr>
              <w:pStyle w:val="27"/>
              <w:widowControl/>
              <w:jc w:val="center"/>
              <w:rPr>
                <w:rFonts w:hint="default" w:ascii="Times New Roman" w:hAnsi="Times New Roman"/>
                <w:color w:val="8FAADB"/>
                <w:sz w:val="21"/>
                <w:szCs w:val="21"/>
              </w:rPr>
            </w:pPr>
            <w:r>
              <w:rPr>
                <w:rFonts w:ascii="Times New Roman" w:hAnsi="Times New Roman"/>
                <w:color w:val="8FAADB"/>
                <w:sz w:val="21"/>
                <w:szCs w:val="21"/>
              </w:rPr>
              <w:t>地下水式</w:t>
            </w:r>
          </w:p>
        </w:tc>
        <w:tc>
          <w:tcPr>
            <w:tcW w:w="2168" w:type="dxa"/>
            <w:tcBorders>
              <w:top w:val="single" w:color="auto" w:sz="4" w:space="0"/>
              <w:left w:val="single" w:color="auto" w:sz="4" w:space="0"/>
              <w:bottom w:val="single" w:color="auto" w:sz="12" w:space="0"/>
              <w:right w:val="single" w:color="auto" w:sz="4" w:space="0"/>
            </w:tcBorders>
            <w:shd w:val="clear" w:color="auto" w:fill="auto"/>
          </w:tcPr>
          <w:p w14:paraId="4B6C8C5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w:t>
            </w:r>
          </w:p>
        </w:tc>
        <w:tc>
          <w:tcPr>
            <w:tcW w:w="2073" w:type="dxa"/>
            <w:tcBorders>
              <w:top w:val="single" w:color="auto" w:sz="4" w:space="0"/>
              <w:left w:val="single" w:color="auto" w:sz="4" w:space="0"/>
              <w:bottom w:val="single" w:color="auto" w:sz="12" w:space="0"/>
              <w:right w:val="single" w:color="auto" w:sz="12" w:space="0"/>
            </w:tcBorders>
            <w:shd w:val="clear" w:color="auto" w:fill="auto"/>
          </w:tcPr>
          <w:p w14:paraId="1E50158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5.0</w:t>
            </w:r>
          </w:p>
        </w:tc>
      </w:tr>
    </w:tbl>
    <w:p w14:paraId="58CDE75B">
      <w:pPr>
        <w:pStyle w:val="27"/>
        <w:widowControl/>
        <w:rPr>
          <w:rFonts w:hint="default"/>
          <w:color w:val="8FAADB"/>
        </w:rPr>
      </w:pPr>
      <w:r>
        <w:rPr>
          <w:rFonts w:hint="default" w:ascii="Times New Roman" w:hAnsi="Times New Roman"/>
          <w:b/>
          <w:bCs/>
          <w:color w:val="8FAADB"/>
        </w:rPr>
        <w:t>6</w:t>
      </w:r>
      <w:r>
        <w:rPr>
          <w:color w:val="8FAADB"/>
        </w:rPr>
        <w:t>当采用低温多联机供暖时，低温多联机根据产品的能效等级实测HSPF、实测</w:t>
      </w:r>
      <w:r>
        <w:rPr>
          <w:rFonts w:hint="default" w:ascii="Times New Roman" w:hAnsi="Times New Roman"/>
          <w:color w:val="8FAADB"/>
        </w:rPr>
        <w:t>COP-12℃</w:t>
      </w:r>
      <w:r>
        <w:rPr>
          <w:rFonts w:ascii="Times New Roman" w:hAnsi="Times New Roman"/>
          <w:color w:val="8FAADB"/>
        </w:rPr>
        <w:t>、</w:t>
      </w:r>
      <w:r>
        <w:rPr>
          <w:color w:val="8FAADB"/>
        </w:rPr>
        <w:t xml:space="preserve">实测 </w:t>
      </w:r>
      <w:r>
        <w:rPr>
          <w:rFonts w:hint="default" w:ascii="Times New Roman" w:hAnsi="Times New Roman"/>
          <w:color w:val="8FAADB"/>
        </w:rPr>
        <w:t>COP-20℃</w:t>
      </w:r>
      <w:r>
        <w:rPr>
          <w:color w:val="8FAADB"/>
        </w:rPr>
        <w:t>应不低于表</w:t>
      </w:r>
      <w:r>
        <w:rPr>
          <w:rFonts w:hint="default" w:ascii="Times New Roman" w:hAnsi="Times New Roman"/>
          <w:color w:val="8FAADB"/>
        </w:rPr>
        <w:t>5.2.2-6</w:t>
      </w:r>
      <w:r>
        <w:rPr>
          <w:color w:val="8FAADB"/>
        </w:rPr>
        <w:t>的规定。</w:t>
      </w:r>
    </w:p>
    <w:p w14:paraId="6E317CF3">
      <w:pPr>
        <w:pStyle w:val="27"/>
        <w:widowControl/>
        <w:spacing w:before="156" w:beforeLines="50" w:after="156" w:afterLines="50"/>
        <w:jc w:val="center"/>
        <w:rPr>
          <w:rFonts w:hint="default"/>
          <w:b/>
          <w:bCs/>
          <w:color w:val="8FAADB"/>
          <w:sz w:val="21"/>
          <w:szCs w:val="21"/>
        </w:rPr>
      </w:pPr>
      <w:r>
        <w:rPr>
          <w:b/>
          <w:bCs/>
          <w:color w:val="8FAADB"/>
          <w:sz w:val="21"/>
          <w:szCs w:val="21"/>
        </w:rPr>
        <w:t>表5.2.2-6低温多联机1级能效指标</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1947"/>
        <w:gridCol w:w="4162"/>
      </w:tblGrid>
      <w:tr w14:paraId="0A609EFF">
        <w:tblPrEx>
          <w:tblCellMar>
            <w:top w:w="0" w:type="dxa"/>
            <w:left w:w="108" w:type="dxa"/>
            <w:bottom w:w="0" w:type="dxa"/>
            <w:right w:w="108" w:type="dxa"/>
          </w:tblCellMar>
        </w:tblPrEx>
        <w:tc>
          <w:tcPr>
            <w:tcW w:w="2108" w:type="dxa"/>
            <w:tcBorders>
              <w:top w:val="single" w:color="auto" w:sz="12" w:space="0"/>
              <w:left w:val="single" w:color="auto" w:sz="12" w:space="0"/>
              <w:bottom w:val="single" w:color="auto" w:sz="4" w:space="0"/>
              <w:right w:val="single" w:color="auto" w:sz="4" w:space="0"/>
            </w:tcBorders>
            <w:shd w:val="clear" w:color="auto" w:fill="auto"/>
          </w:tcPr>
          <w:p w14:paraId="7B937B59">
            <w:pPr>
              <w:pStyle w:val="27"/>
              <w:widowControl/>
              <w:jc w:val="center"/>
              <w:rPr>
                <w:rFonts w:hint="default"/>
                <w:color w:val="8FAADB"/>
                <w:sz w:val="21"/>
                <w:szCs w:val="21"/>
              </w:rPr>
            </w:pPr>
            <w:r>
              <w:rPr>
                <w:color w:val="8FAADB"/>
                <w:sz w:val="21"/>
                <w:szCs w:val="21"/>
              </w:rPr>
              <w:t>指标</w:t>
            </w:r>
          </w:p>
        </w:tc>
        <w:tc>
          <w:tcPr>
            <w:tcW w:w="1947" w:type="dxa"/>
            <w:tcBorders>
              <w:top w:val="single" w:color="auto" w:sz="12" w:space="0"/>
              <w:left w:val="single" w:color="auto" w:sz="4" w:space="0"/>
              <w:bottom w:val="single" w:color="auto" w:sz="4" w:space="0"/>
              <w:right w:val="single" w:color="auto" w:sz="4" w:space="0"/>
            </w:tcBorders>
            <w:shd w:val="clear" w:color="auto" w:fill="auto"/>
          </w:tcPr>
          <w:p w14:paraId="63EFF5F3">
            <w:pPr>
              <w:pStyle w:val="27"/>
              <w:widowControl/>
              <w:jc w:val="center"/>
              <w:rPr>
                <w:rFonts w:hint="default"/>
                <w:color w:val="8FAADB"/>
                <w:sz w:val="21"/>
                <w:szCs w:val="21"/>
              </w:rPr>
            </w:pPr>
            <w:r>
              <w:rPr>
                <w:color w:val="8FAADB"/>
                <w:sz w:val="21"/>
                <w:szCs w:val="21"/>
              </w:rPr>
              <w:t>名义制热量（HC）</w:t>
            </w:r>
          </w:p>
          <w:p w14:paraId="07BB456B">
            <w:pPr>
              <w:pStyle w:val="27"/>
              <w:widowControl/>
              <w:jc w:val="center"/>
              <w:rPr>
                <w:rFonts w:hint="default"/>
                <w:color w:val="8FAADB"/>
                <w:sz w:val="21"/>
                <w:szCs w:val="21"/>
              </w:rPr>
            </w:pPr>
            <w:r>
              <w:rPr>
                <w:rFonts w:hint="default" w:ascii="Times New Roman" w:hAnsi="Times New Roman"/>
                <w:color w:val="8FAADB"/>
                <w:sz w:val="21"/>
                <w:szCs w:val="21"/>
              </w:rPr>
              <w:t>W</w:t>
            </w:r>
          </w:p>
        </w:tc>
        <w:tc>
          <w:tcPr>
            <w:tcW w:w="4162" w:type="dxa"/>
            <w:tcBorders>
              <w:top w:val="single" w:color="auto" w:sz="12" w:space="0"/>
              <w:left w:val="single" w:color="auto" w:sz="4" w:space="0"/>
              <w:bottom w:val="single" w:color="auto" w:sz="4" w:space="0"/>
              <w:right w:val="single" w:color="auto" w:sz="12" w:space="0"/>
            </w:tcBorders>
            <w:shd w:val="clear" w:color="auto" w:fill="auto"/>
          </w:tcPr>
          <w:p w14:paraId="3662E10E">
            <w:pPr>
              <w:pStyle w:val="27"/>
              <w:widowControl/>
              <w:jc w:val="center"/>
              <w:rPr>
                <w:rFonts w:hint="default"/>
                <w:color w:val="8FAADB"/>
                <w:sz w:val="21"/>
                <w:szCs w:val="21"/>
              </w:rPr>
            </w:pPr>
            <w:r>
              <w:rPr>
                <w:color w:val="8FAADB"/>
                <w:sz w:val="21"/>
                <w:szCs w:val="21"/>
              </w:rPr>
              <w:t>能效值</w:t>
            </w:r>
          </w:p>
        </w:tc>
      </w:tr>
      <w:tr w14:paraId="522E2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8" w:type="dxa"/>
            <w:vMerge w:val="restart"/>
            <w:tcBorders>
              <w:top w:val="single" w:color="auto" w:sz="4" w:space="0"/>
              <w:left w:val="single" w:color="auto" w:sz="12" w:space="0"/>
              <w:bottom w:val="single" w:color="auto" w:sz="12" w:space="0"/>
              <w:right w:val="single" w:color="auto" w:sz="4" w:space="0"/>
            </w:tcBorders>
            <w:shd w:val="clear" w:color="auto" w:fill="auto"/>
          </w:tcPr>
          <w:p w14:paraId="37C045FF">
            <w:pPr>
              <w:pStyle w:val="27"/>
              <w:widowControl/>
              <w:jc w:val="center"/>
              <w:rPr>
                <w:rFonts w:hint="default"/>
                <w:color w:val="8FAADB"/>
                <w:sz w:val="21"/>
                <w:szCs w:val="21"/>
              </w:rPr>
            </w:pPr>
            <w:r>
              <w:rPr>
                <w:rFonts w:hint="default" w:ascii="Times New Roman" w:hAnsi="Times New Roman"/>
                <w:color w:val="8FAADB"/>
                <w:sz w:val="21"/>
                <w:szCs w:val="21"/>
              </w:rPr>
              <w:t>HSPF/(W.h/W.h)</w:t>
            </w:r>
          </w:p>
        </w:tc>
        <w:tc>
          <w:tcPr>
            <w:tcW w:w="1947" w:type="dxa"/>
            <w:tcBorders>
              <w:top w:val="single" w:color="auto" w:sz="4" w:space="0"/>
              <w:left w:val="single" w:color="auto" w:sz="4" w:space="0"/>
              <w:bottom w:val="single" w:color="auto" w:sz="4" w:space="0"/>
              <w:right w:val="single" w:color="auto" w:sz="4" w:space="0"/>
            </w:tcBorders>
            <w:shd w:val="clear" w:color="auto" w:fill="auto"/>
          </w:tcPr>
          <w:p w14:paraId="664A2BAA">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HC≤18 000</w:t>
            </w:r>
          </w:p>
        </w:tc>
        <w:tc>
          <w:tcPr>
            <w:tcW w:w="4162" w:type="dxa"/>
            <w:tcBorders>
              <w:top w:val="single" w:color="auto" w:sz="4" w:space="0"/>
              <w:left w:val="single" w:color="auto" w:sz="4" w:space="0"/>
              <w:bottom w:val="single" w:color="auto" w:sz="4" w:space="0"/>
              <w:right w:val="single" w:color="auto" w:sz="12" w:space="0"/>
            </w:tcBorders>
            <w:shd w:val="clear" w:color="auto" w:fill="auto"/>
          </w:tcPr>
          <w:p w14:paraId="467A0567">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3.40</w:t>
            </w:r>
          </w:p>
        </w:tc>
      </w:tr>
      <w:tr w14:paraId="63AB8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08" w:type="dxa"/>
            <w:vMerge w:val="continue"/>
            <w:tcBorders>
              <w:top w:val="single" w:color="auto" w:sz="4" w:space="0"/>
              <w:left w:val="single" w:color="auto" w:sz="12" w:space="0"/>
              <w:bottom w:val="single" w:color="auto" w:sz="12" w:space="0"/>
              <w:right w:val="single" w:color="auto" w:sz="4" w:space="0"/>
            </w:tcBorders>
            <w:shd w:val="clear" w:color="auto" w:fill="auto"/>
          </w:tcPr>
          <w:p w14:paraId="4FDFCE8F">
            <w:pPr>
              <w:rPr>
                <w:rFonts w:ascii="Times New Roman" w:hAnsi="Times New Roman" w:cs="Times New Roman"/>
                <w:sz w:val="20"/>
                <w:szCs w:val="20"/>
              </w:rPr>
            </w:pPr>
          </w:p>
        </w:tc>
        <w:tc>
          <w:tcPr>
            <w:tcW w:w="1947" w:type="dxa"/>
            <w:tcBorders>
              <w:top w:val="single" w:color="auto" w:sz="4" w:space="0"/>
              <w:left w:val="single" w:color="auto" w:sz="4" w:space="0"/>
              <w:bottom w:val="single" w:color="auto" w:sz="12" w:space="0"/>
              <w:right w:val="single" w:color="auto" w:sz="4" w:space="0"/>
            </w:tcBorders>
            <w:shd w:val="clear" w:color="auto" w:fill="auto"/>
          </w:tcPr>
          <w:p w14:paraId="5804237B">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HC</w:t>
            </w:r>
            <w:r>
              <w:rPr>
                <w:rFonts w:ascii="Times New Roman" w:hAnsi="Times New Roman"/>
                <w:color w:val="8FAADB"/>
                <w:sz w:val="21"/>
                <w:szCs w:val="21"/>
              </w:rPr>
              <w:t>＞</w:t>
            </w:r>
            <w:r>
              <w:rPr>
                <w:rFonts w:hint="default" w:ascii="Times New Roman" w:hAnsi="Times New Roman"/>
                <w:color w:val="8FAADB"/>
                <w:sz w:val="21"/>
                <w:szCs w:val="21"/>
              </w:rPr>
              <w:t>18 000</w:t>
            </w:r>
          </w:p>
        </w:tc>
        <w:tc>
          <w:tcPr>
            <w:tcW w:w="4162" w:type="dxa"/>
            <w:tcBorders>
              <w:top w:val="single" w:color="auto" w:sz="4" w:space="0"/>
              <w:left w:val="single" w:color="auto" w:sz="4" w:space="0"/>
              <w:bottom w:val="single" w:color="auto" w:sz="12" w:space="0"/>
              <w:right w:val="single" w:color="auto" w:sz="12" w:space="0"/>
            </w:tcBorders>
            <w:shd w:val="clear" w:color="auto" w:fill="auto"/>
          </w:tcPr>
          <w:p w14:paraId="31D2163A">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3.20</w:t>
            </w:r>
          </w:p>
        </w:tc>
      </w:tr>
    </w:tbl>
    <w:p w14:paraId="45AD6FF5">
      <w:pPr>
        <w:pStyle w:val="27"/>
        <w:widowControl/>
        <w:rPr>
          <w:rFonts w:hint="default"/>
          <w:color w:val="8FAADB"/>
        </w:rPr>
      </w:pPr>
      <w:r>
        <w:rPr>
          <w:rFonts w:hint="default" w:ascii="Times New Roman" w:hAnsi="Times New Roman"/>
          <w:b/>
          <w:bCs/>
          <w:color w:val="8FAADB"/>
        </w:rPr>
        <w:t>7</w:t>
      </w:r>
      <w:r>
        <w:rPr>
          <w:color w:val="8FAADB"/>
        </w:rPr>
        <w:t>电机驱动的蒸汽压缩循环冷水(热泵)机组的制冷性能系数(</w:t>
      </w:r>
      <w:r>
        <w:rPr>
          <w:rFonts w:hint="default" w:ascii="Times New Roman" w:hAnsi="Times New Roman"/>
          <w:color w:val="8FAADB"/>
        </w:rPr>
        <w:t>COP</w:t>
      </w:r>
      <w:r>
        <w:rPr>
          <w:color w:val="8FAADB"/>
        </w:rPr>
        <w:t>)及综合部分负荷性能系数(</w:t>
      </w:r>
      <w:r>
        <w:rPr>
          <w:rFonts w:hint="default" w:ascii="Times New Roman" w:hAnsi="Times New Roman"/>
          <w:color w:val="8FAADB"/>
        </w:rPr>
        <w:t>IPLV</w:t>
      </w:r>
      <w:r>
        <w:rPr>
          <w:color w:val="8FAADB"/>
        </w:rPr>
        <w:t>)应不低于表</w:t>
      </w:r>
      <w:r>
        <w:rPr>
          <w:rFonts w:hint="default" w:ascii="Times New Roman" w:hAnsi="Times New Roman"/>
          <w:color w:val="8FAADB"/>
        </w:rPr>
        <w:t>5.2.2-7</w:t>
      </w:r>
      <w:r>
        <w:rPr>
          <w:color w:val="8FAADB"/>
        </w:rPr>
        <w:t>的规定。</w:t>
      </w:r>
    </w:p>
    <w:p w14:paraId="29ACD6A8">
      <w:pPr>
        <w:pStyle w:val="27"/>
        <w:widowControl/>
        <w:jc w:val="center"/>
        <w:rPr>
          <w:rFonts w:hint="default"/>
          <w:b/>
          <w:bCs/>
          <w:color w:val="8FAADB"/>
          <w:sz w:val="21"/>
          <w:szCs w:val="21"/>
        </w:rPr>
      </w:pPr>
      <w:r>
        <w:rPr>
          <w:b/>
          <w:bCs/>
          <w:color w:val="8FAADB"/>
          <w:sz w:val="21"/>
          <w:szCs w:val="21"/>
        </w:rPr>
        <w:t>5.2.2-7冷水机组的性能系数(COP)和综合部分性能系数（IPLV）1级能效指标</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2215"/>
        <w:gridCol w:w="2135"/>
        <w:gridCol w:w="2104"/>
      </w:tblGrid>
      <w:tr w14:paraId="17C8A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tcBorders>
              <w:top w:val="single" w:color="auto" w:sz="12" w:space="0"/>
              <w:left w:val="single" w:color="auto" w:sz="12" w:space="0"/>
              <w:bottom w:val="single" w:color="auto" w:sz="4" w:space="0"/>
              <w:right w:val="single" w:color="auto" w:sz="4" w:space="0"/>
            </w:tcBorders>
            <w:shd w:val="clear" w:color="auto" w:fill="auto"/>
          </w:tcPr>
          <w:p w14:paraId="66B3BDE6">
            <w:pPr>
              <w:pStyle w:val="27"/>
              <w:widowControl/>
              <w:jc w:val="center"/>
              <w:rPr>
                <w:rFonts w:hint="default"/>
                <w:color w:val="8FAADB"/>
                <w:sz w:val="21"/>
                <w:szCs w:val="21"/>
              </w:rPr>
            </w:pPr>
            <w:r>
              <w:rPr>
                <w:color w:val="8FAADB"/>
                <w:sz w:val="21"/>
                <w:szCs w:val="21"/>
              </w:rPr>
              <w:t>类型</w:t>
            </w:r>
          </w:p>
        </w:tc>
        <w:tc>
          <w:tcPr>
            <w:tcW w:w="2215" w:type="dxa"/>
            <w:tcBorders>
              <w:top w:val="single" w:color="auto" w:sz="12" w:space="0"/>
              <w:left w:val="single" w:color="auto" w:sz="4" w:space="0"/>
              <w:bottom w:val="single" w:color="auto" w:sz="4" w:space="0"/>
              <w:right w:val="single" w:color="auto" w:sz="4" w:space="0"/>
            </w:tcBorders>
            <w:shd w:val="clear" w:color="auto" w:fill="auto"/>
          </w:tcPr>
          <w:p w14:paraId="18891CB7">
            <w:pPr>
              <w:pStyle w:val="27"/>
              <w:widowControl/>
              <w:jc w:val="center"/>
              <w:rPr>
                <w:rFonts w:hint="default" w:ascii="Times New Roman" w:hAnsi="Times New Roman"/>
                <w:color w:val="8FAADB"/>
                <w:sz w:val="21"/>
                <w:szCs w:val="21"/>
              </w:rPr>
            </w:pPr>
            <w:r>
              <w:rPr>
                <w:color w:val="8FAADB"/>
                <w:sz w:val="21"/>
                <w:szCs w:val="21"/>
              </w:rPr>
              <w:t>额定制冷量</w:t>
            </w:r>
            <w:r>
              <w:rPr>
                <w:rFonts w:ascii="Times New Roman" w:hAnsi="Times New Roman"/>
                <w:color w:val="8FAADB"/>
                <w:sz w:val="21"/>
                <w:szCs w:val="21"/>
              </w:rPr>
              <w:t>（</w:t>
            </w:r>
            <w:r>
              <w:rPr>
                <w:rFonts w:hint="default" w:ascii="Times New Roman" w:hAnsi="Times New Roman"/>
                <w:color w:val="8FAADB"/>
                <w:sz w:val="21"/>
                <w:szCs w:val="21"/>
              </w:rPr>
              <w:t>CC</w:t>
            </w:r>
            <w:r>
              <w:rPr>
                <w:rFonts w:ascii="Times New Roman" w:hAnsi="Times New Roman"/>
                <w:color w:val="8FAADB"/>
                <w:sz w:val="21"/>
                <w:szCs w:val="21"/>
              </w:rPr>
              <w:t>）</w:t>
            </w:r>
          </w:p>
          <w:p w14:paraId="5F1F4B21">
            <w:pPr>
              <w:pStyle w:val="27"/>
              <w:widowControl/>
              <w:jc w:val="center"/>
              <w:rPr>
                <w:rFonts w:hint="default"/>
                <w:color w:val="8FAADB"/>
                <w:sz w:val="21"/>
                <w:szCs w:val="21"/>
              </w:rPr>
            </w:pPr>
            <w:r>
              <w:rPr>
                <w:rFonts w:hint="default" w:ascii="Times New Roman" w:hAnsi="Times New Roman"/>
                <w:color w:val="8FAADB"/>
                <w:sz w:val="21"/>
                <w:szCs w:val="21"/>
              </w:rPr>
              <w:t>kW</w:t>
            </w:r>
          </w:p>
        </w:tc>
        <w:tc>
          <w:tcPr>
            <w:tcW w:w="2135" w:type="dxa"/>
            <w:tcBorders>
              <w:top w:val="single" w:color="auto" w:sz="12" w:space="0"/>
              <w:left w:val="single" w:color="auto" w:sz="4" w:space="0"/>
              <w:bottom w:val="single" w:color="auto" w:sz="4" w:space="0"/>
              <w:right w:val="single" w:color="auto" w:sz="4" w:space="0"/>
            </w:tcBorders>
            <w:shd w:val="clear" w:color="auto" w:fill="auto"/>
          </w:tcPr>
          <w:p w14:paraId="4E922919">
            <w:pPr>
              <w:pStyle w:val="27"/>
              <w:widowControl/>
              <w:jc w:val="center"/>
              <w:rPr>
                <w:rFonts w:hint="default"/>
                <w:color w:val="8FAADB"/>
                <w:sz w:val="21"/>
                <w:szCs w:val="21"/>
              </w:rPr>
            </w:pPr>
            <w:r>
              <w:rPr>
                <w:color w:val="8FAADB"/>
                <w:sz w:val="21"/>
                <w:szCs w:val="21"/>
              </w:rPr>
              <w:t>综合部分负荷性能系数</w:t>
            </w:r>
            <w:r>
              <w:rPr>
                <w:rFonts w:hint="default" w:ascii="Times New Roman" w:hAnsi="Times New Roman"/>
                <w:color w:val="8FAADB"/>
                <w:sz w:val="21"/>
                <w:szCs w:val="21"/>
              </w:rPr>
              <w:t>(IPLV),W/W</w:t>
            </w:r>
          </w:p>
        </w:tc>
        <w:tc>
          <w:tcPr>
            <w:tcW w:w="2104" w:type="dxa"/>
            <w:tcBorders>
              <w:top w:val="single" w:color="auto" w:sz="12" w:space="0"/>
              <w:left w:val="single" w:color="auto" w:sz="4" w:space="0"/>
              <w:bottom w:val="single" w:color="auto" w:sz="4" w:space="0"/>
              <w:right w:val="single" w:color="auto" w:sz="12" w:space="0"/>
            </w:tcBorders>
            <w:shd w:val="clear" w:color="auto" w:fill="auto"/>
          </w:tcPr>
          <w:p w14:paraId="583F8470">
            <w:pPr>
              <w:pStyle w:val="27"/>
              <w:widowControl/>
              <w:jc w:val="center"/>
              <w:rPr>
                <w:rFonts w:hint="default"/>
                <w:color w:val="8FAADB"/>
                <w:sz w:val="21"/>
                <w:szCs w:val="21"/>
              </w:rPr>
            </w:pPr>
            <w:r>
              <w:rPr>
                <w:color w:val="8FAADB"/>
                <w:sz w:val="21"/>
                <w:szCs w:val="21"/>
              </w:rPr>
              <w:t>冷水机组的性能系数</w:t>
            </w:r>
            <w:r>
              <w:rPr>
                <w:rFonts w:ascii="Times New Roman" w:hAnsi="Times New Roman"/>
                <w:color w:val="8FAADB"/>
                <w:sz w:val="21"/>
                <w:szCs w:val="21"/>
              </w:rPr>
              <w:t>（</w:t>
            </w:r>
            <w:r>
              <w:rPr>
                <w:rFonts w:hint="default" w:ascii="Times New Roman" w:hAnsi="Times New Roman"/>
                <w:color w:val="8FAADB"/>
                <w:sz w:val="21"/>
                <w:szCs w:val="21"/>
              </w:rPr>
              <w:t>COP</w:t>
            </w:r>
            <w:r>
              <w:rPr>
                <w:rFonts w:ascii="Times New Roman" w:hAnsi="Times New Roman"/>
                <w:color w:val="8FAADB"/>
                <w:sz w:val="21"/>
                <w:szCs w:val="21"/>
              </w:rPr>
              <w:t>）</w:t>
            </w:r>
            <w:r>
              <w:rPr>
                <w:rFonts w:hint="default" w:ascii="Times New Roman" w:hAnsi="Times New Roman"/>
                <w:color w:val="8FAADB"/>
                <w:sz w:val="21"/>
                <w:szCs w:val="21"/>
              </w:rPr>
              <w:t>,W/W</w:t>
            </w:r>
          </w:p>
        </w:tc>
      </w:tr>
      <w:tr w14:paraId="2FFF6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vMerge w:val="restart"/>
            <w:tcBorders>
              <w:top w:val="single" w:color="auto" w:sz="4" w:space="0"/>
              <w:left w:val="single" w:color="auto" w:sz="12" w:space="0"/>
              <w:bottom w:val="single" w:color="auto" w:sz="4" w:space="0"/>
              <w:right w:val="single" w:color="auto" w:sz="4" w:space="0"/>
            </w:tcBorders>
            <w:shd w:val="clear" w:color="auto" w:fill="auto"/>
          </w:tcPr>
          <w:p w14:paraId="08A7A3A9">
            <w:pPr>
              <w:pStyle w:val="27"/>
              <w:widowControl/>
              <w:jc w:val="center"/>
              <w:rPr>
                <w:rFonts w:hint="default"/>
                <w:color w:val="8FAADB"/>
                <w:sz w:val="21"/>
                <w:szCs w:val="21"/>
              </w:rPr>
            </w:pPr>
            <w:r>
              <w:rPr>
                <w:color w:val="8FAADB"/>
                <w:sz w:val="21"/>
                <w:szCs w:val="21"/>
              </w:rPr>
              <w:t>风冷式或蒸发冷却式</w:t>
            </w:r>
          </w:p>
        </w:tc>
        <w:tc>
          <w:tcPr>
            <w:tcW w:w="2215" w:type="dxa"/>
            <w:tcBorders>
              <w:top w:val="single" w:color="auto" w:sz="4" w:space="0"/>
              <w:left w:val="single" w:color="auto" w:sz="4" w:space="0"/>
              <w:bottom w:val="single" w:color="auto" w:sz="4" w:space="0"/>
              <w:right w:val="single" w:color="auto" w:sz="4" w:space="0"/>
            </w:tcBorders>
            <w:shd w:val="clear" w:color="auto" w:fill="auto"/>
          </w:tcPr>
          <w:p w14:paraId="223E52DA">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CC≤50</w:t>
            </w:r>
          </w:p>
        </w:tc>
        <w:tc>
          <w:tcPr>
            <w:tcW w:w="2135" w:type="dxa"/>
            <w:tcBorders>
              <w:top w:val="single" w:color="auto" w:sz="4" w:space="0"/>
              <w:left w:val="single" w:color="auto" w:sz="4" w:space="0"/>
              <w:bottom w:val="single" w:color="auto" w:sz="4" w:space="0"/>
              <w:right w:val="single" w:color="auto" w:sz="4" w:space="0"/>
            </w:tcBorders>
            <w:shd w:val="clear" w:color="auto" w:fill="auto"/>
          </w:tcPr>
          <w:p w14:paraId="4BFD4179">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3.80</w:t>
            </w:r>
          </w:p>
        </w:tc>
        <w:tc>
          <w:tcPr>
            <w:tcW w:w="2104" w:type="dxa"/>
            <w:tcBorders>
              <w:top w:val="single" w:color="auto" w:sz="4" w:space="0"/>
              <w:left w:val="single" w:color="auto" w:sz="4" w:space="0"/>
              <w:bottom w:val="single" w:color="auto" w:sz="4" w:space="0"/>
              <w:right w:val="single" w:color="auto" w:sz="12" w:space="0"/>
            </w:tcBorders>
            <w:shd w:val="clear" w:color="auto" w:fill="auto"/>
          </w:tcPr>
          <w:p w14:paraId="4DC59559">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3.2</w:t>
            </w:r>
          </w:p>
        </w:tc>
      </w:tr>
      <w:tr w14:paraId="01130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vMerge w:val="continue"/>
            <w:tcBorders>
              <w:top w:val="single" w:color="auto" w:sz="4" w:space="0"/>
              <w:left w:val="single" w:color="auto" w:sz="12" w:space="0"/>
              <w:bottom w:val="single" w:color="auto" w:sz="4" w:space="0"/>
              <w:right w:val="single" w:color="auto" w:sz="4" w:space="0"/>
            </w:tcBorders>
            <w:shd w:val="clear" w:color="auto" w:fill="auto"/>
          </w:tcPr>
          <w:p w14:paraId="73551A13">
            <w:pPr>
              <w:rPr>
                <w:rFonts w:ascii="Times New Roman" w:hAnsi="Times New Roman" w:cs="Times New Roman"/>
                <w:sz w:val="20"/>
                <w:szCs w:val="20"/>
              </w:rPr>
            </w:pPr>
          </w:p>
        </w:tc>
        <w:tc>
          <w:tcPr>
            <w:tcW w:w="2215" w:type="dxa"/>
            <w:tcBorders>
              <w:top w:val="single" w:color="auto" w:sz="4" w:space="0"/>
              <w:left w:val="single" w:color="auto" w:sz="4" w:space="0"/>
              <w:bottom w:val="single" w:color="auto" w:sz="4" w:space="0"/>
              <w:right w:val="single" w:color="auto" w:sz="4" w:space="0"/>
            </w:tcBorders>
            <w:shd w:val="clear" w:color="auto" w:fill="auto"/>
          </w:tcPr>
          <w:p w14:paraId="22D62E4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w:t>
            </w:r>
            <w:r>
              <w:rPr>
                <w:rFonts w:ascii="Times New Roman" w:hAnsi="Times New Roman"/>
                <w:color w:val="8FAADB"/>
                <w:sz w:val="21"/>
                <w:szCs w:val="21"/>
              </w:rPr>
              <w:t>＞</w:t>
            </w:r>
            <w:r>
              <w:rPr>
                <w:rFonts w:hint="default" w:ascii="Times New Roman" w:hAnsi="Times New Roman"/>
                <w:color w:val="8FAADB"/>
                <w:sz w:val="21"/>
                <w:szCs w:val="21"/>
              </w:rPr>
              <w:t>50</w:t>
            </w:r>
          </w:p>
        </w:tc>
        <w:tc>
          <w:tcPr>
            <w:tcW w:w="2135" w:type="dxa"/>
            <w:tcBorders>
              <w:top w:val="single" w:color="auto" w:sz="4" w:space="0"/>
              <w:left w:val="single" w:color="auto" w:sz="4" w:space="0"/>
              <w:bottom w:val="single" w:color="auto" w:sz="4" w:space="0"/>
              <w:right w:val="single" w:color="auto" w:sz="4" w:space="0"/>
            </w:tcBorders>
            <w:shd w:val="clear" w:color="auto" w:fill="auto"/>
          </w:tcPr>
          <w:p w14:paraId="0DB96E6D">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4.00</w:t>
            </w:r>
          </w:p>
        </w:tc>
        <w:tc>
          <w:tcPr>
            <w:tcW w:w="2104" w:type="dxa"/>
            <w:tcBorders>
              <w:top w:val="single" w:color="auto" w:sz="4" w:space="0"/>
              <w:left w:val="single" w:color="auto" w:sz="4" w:space="0"/>
              <w:bottom w:val="single" w:color="auto" w:sz="4" w:space="0"/>
              <w:right w:val="single" w:color="auto" w:sz="12" w:space="0"/>
            </w:tcBorders>
            <w:shd w:val="clear" w:color="auto" w:fill="auto"/>
          </w:tcPr>
          <w:p w14:paraId="1DCDF3E9">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3.4</w:t>
            </w:r>
          </w:p>
        </w:tc>
      </w:tr>
      <w:tr w14:paraId="6210D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vMerge w:val="restart"/>
            <w:tcBorders>
              <w:top w:val="single" w:color="auto" w:sz="4" w:space="0"/>
              <w:left w:val="single" w:color="auto" w:sz="12" w:space="0"/>
              <w:bottom w:val="single" w:color="auto" w:sz="12" w:space="0"/>
              <w:right w:val="single" w:color="auto" w:sz="4" w:space="0"/>
            </w:tcBorders>
            <w:shd w:val="clear" w:color="auto" w:fill="auto"/>
          </w:tcPr>
          <w:p w14:paraId="51143815">
            <w:pPr>
              <w:pStyle w:val="27"/>
              <w:widowControl/>
              <w:jc w:val="center"/>
              <w:rPr>
                <w:rFonts w:hint="default"/>
                <w:color w:val="8FAADB"/>
                <w:sz w:val="21"/>
                <w:szCs w:val="21"/>
              </w:rPr>
            </w:pPr>
            <w:r>
              <w:rPr>
                <w:color w:val="8FAADB"/>
                <w:sz w:val="21"/>
                <w:szCs w:val="21"/>
              </w:rPr>
              <w:t>水冷式</w:t>
            </w:r>
          </w:p>
        </w:tc>
        <w:tc>
          <w:tcPr>
            <w:tcW w:w="2215" w:type="dxa"/>
            <w:tcBorders>
              <w:top w:val="single" w:color="auto" w:sz="4" w:space="0"/>
              <w:left w:val="single" w:color="auto" w:sz="4" w:space="0"/>
              <w:bottom w:val="single" w:color="auto" w:sz="4" w:space="0"/>
              <w:right w:val="single" w:color="auto" w:sz="4" w:space="0"/>
            </w:tcBorders>
            <w:shd w:val="clear" w:color="auto" w:fill="auto"/>
          </w:tcPr>
          <w:p w14:paraId="0FB860C3">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CC≤528</w:t>
            </w:r>
          </w:p>
        </w:tc>
        <w:tc>
          <w:tcPr>
            <w:tcW w:w="2135" w:type="dxa"/>
            <w:tcBorders>
              <w:top w:val="single" w:color="auto" w:sz="4" w:space="0"/>
              <w:left w:val="single" w:color="auto" w:sz="4" w:space="0"/>
              <w:bottom w:val="single" w:color="auto" w:sz="4" w:space="0"/>
              <w:right w:val="single" w:color="auto" w:sz="4" w:space="0"/>
            </w:tcBorders>
            <w:shd w:val="clear" w:color="auto" w:fill="auto"/>
          </w:tcPr>
          <w:p w14:paraId="2F64E3B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7.20</w:t>
            </w:r>
          </w:p>
        </w:tc>
        <w:tc>
          <w:tcPr>
            <w:tcW w:w="2104" w:type="dxa"/>
            <w:tcBorders>
              <w:top w:val="single" w:color="auto" w:sz="4" w:space="0"/>
              <w:left w:val="single" w:color="auto" w:sz="4" w:space="0"/>
              <w:bottom w:val="single" w:color="auto" w:sz="4" w:space="0"/>
              <w:right w:val="single" w:color="auto" w:sz="12" w:space="0"/>
            </w:tcBorders>
            <w:shd w:val="clear" w:color="auto" w:fill="auto"/>
          </w:tcPr>
          <w:p w14:paraId="4C7FE8BF">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5.6</w:t>
            </w:r>
          </w:p>
        </w:tc>
      </w:tr>
      <w:tr w14:paraId="74DCA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vMerge w:val="continue"/>
            <w:tcBorders>
              <w:top w:val="single" w:color="auto" w:sz="4" w:space="0"/>
              <w:left w:val="single" w:color="auto" w:sz="12" w:space="0"/>
              <w:bottom w:val="single" w:color="auto" w:sz="12" w:space="0"/>
              <w:right w:val="single" w:color="auto" w:sz="4" w:space="0"/>
            </w:tcBorders>
            <w:shd w:val="clear" w:color="auto" w:fill="auto"/>
          </w:tcPr>
          <w:p w14:paraId="3A894072">
            <w:pPr>
              <w:rPr>
                <w:rFonts w:ascii="Times New Roman" w:hAnsi="Times New Roman" w:cs="Times New Roman"/>
                <w:sz w:val="20"/>
                <w:szCs w:val="20"/>
              </w:rPr>
            </w:pPr>
          </w:p>
        </w:tc>
        <w:tc>
          <w:tcPr>
            <w:tcW w:w="2215" w:type="dxa"/>
            <w:tcBorders>
              <w:top w:val="single" w:color="auto" w:sz="4" w:space="0"/>
              <w:left w:val="single" w:color="auto" w:sz="4" w:space="0"/>
              <w:bottom w:val="single" w:color="auto" w:sz="4" w:space="0"/>
              <w:right w:val="single" w:color="auto" w:sz="4" w:space="0"/>
            </w:tcBorders>
            <w:shd w:val="clear" w:color="auto" w:fill="auto"/>
          </w:tcPr>
          <w:p w14:paraId="3E7A2EF4">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528&lt;CC≤1163</w:t>
            </w:r>
          </w:p>
        </w:tc>
        <w:tc>
          <w:tcPr>
            <w:tcW w:w="2135" w:type="dxa"/>
            <w:tcBorders>
              <w:top w:val="single" w:color="auto" w:sz="4" w:space="0"/>
              <w:left w:val="single" w:color="auto" w:sz="4" w:space="0"/>
              <w:bottom w:val="single" w:color="auto" w:sz="4" w:space="0"/>
              <w:right w:val="single" w:color="auto" w:sz="4" w:space="0"/>
            </w:tcBorders>
            <w:shd w:val="clear" w:color="auto" w:fill="auto"/>
          </w:tcPr>
          <w:p w14:paraId="706822CD">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7.50</w:t>
            </w:r>
          </w:p>
        </w:tc>
        <w:tc>
          <w:tcPr>
            <w:tcW w:w="2104" w:type="dxa"/>
            <w:tcBorders>
              <w:top w:val="single" w:color="auto" w:sz="4" w:space="0"/>
              <w:left w:val="single" w:color="auto" w:sz="4" w:space="0"/>
              <w:bottom w:val="single" w:color="auto" w:sz="4" w:space="0"/>
              <w:right w:val="single" w:color="auto" w:sz="12" w:space="0"/>
            </w:tcBorders>
            <w:shd w:val="clear" w:color="auto" w:fill="auto"/>
          </w:tcPr>
          <w:p w14:paraId="660BFC58">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6.0</w:t>
            </w:r>
          </w:p>
        </w:tc>
      </w:tr>
      <w:tr w14:paraId="044D0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2" w:type="dxa"/>
            <w:vMerge w:val="continue"/>
            <w:tcBorders>
              <w:top w:val="single" w:color="auto" w:sz="4" w:space="0"/>
              <w:left w:val="single" w:color="auto" w:sz="12" w:space="0"/>
              <w:bottom w:val="single" w:color="auto" w:sz="12" w:space="0"/>
              <w:right w:val="single" w:color="auto" w:sz="4" w:space="0"/>
            </w:tcBorders>
            <w:shd w:val="clear" w:color="auto" w:fill="auto"/>
          </w:tcPr>
          <w:p w14:paraId="51378C28">
            <w:pPr>
              <w:rPr>
                <w:rFonts w:ascii="Times New Roman" w:hAnsi="Times New Roman" w:cs="Times New Roman"/>
                <w:sz w:val="20"/>
                <w:szCs w:val="20"/>
              </w:rPr>
            </w:pPr>
          </w:p>
        </w:tc>
        <w:tc>
          <w:tcPr>
            <w:tcW w:w="2215" w:type="dxa"/>
            <w:tcBorders>
              <w:top w:val="single" w:color="auto" w:sz="4" w:space="0"/>
              <w:left w:val="single" w:color="auto" w:sz="4" w:space="0"/>
              <w:bottom w:val="single" w:color="auto" w:sz="12" w:space="0"/>
              <w:right w:val="single" w:color="auto" w:sz="4" w:space="0"/>
            </w:tcBorders>
            <w:shd w:val="clear" w:color="auto" w:fill="auto"/>
          </w:tcPr>
          <w:p w14:paraId="5B08CE72">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CC</w:t>
            </w:r>
            <w:r>
              <w:rPr>
                <w:rFonts w:ascii="Times New Roman" w:hAnsi="Times New Roman"/>
                <w:color w:val="8FAADB"/>
                <w:sz w:val="21"/>
                <w:szCs w:val="21"/>
              </w:rPr>
              <w:t>＞</w:t>
            </w:r>
            <w:r>
              <w:rPr>
                <w:rFonts w:hint="default" w:ascii="Times New Roman" w:hAnsi="Times New Roman"/>
                <w:color w:val="8FAADB"/>
                <w:sz w:val="21"/>
                <w:szCs w:val="21"/>
              </w:rPr>
              <w:t>1163</w:t>
            </w:r>
          </w:p>
        </w:tc>
        <w:tc>
          <w:tcPr>
            <w:tcW w:w="2135" w:type="dxa"/>
            <w:tcBorders>
              <w:top w:val="single" w:color="auto" w:sz="4" w:space="0"/>
              <w:left w:val="single" w:color="auto" w:sz="4" w:space="0"/>
              <w:bottom w:val="single" w:color="auto" w:sz="12" w:space="0"/>
              <w:right w:val="single" w:color="auto" w:sz="4" w:space="0"/>
            </w:tcBorders>
            <w:shd w:val="clear" w:color="auto" w:fill="auto"/>
          </w:tcPr>
          <w:p w14:paraId="7BE4C52D">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8.10</w:t>
            </w:r>
          </w:p>
        </w:tc>
        <w:tc>
          <w:tcPr>
            <w:tcW w:w="2104" w:type="dxa"/>
            <w:tcBorders>
              <w:top w:val="single" w:color="auto" w:sz="4" w:space="0"/>
              <w:left w:val="single" w:color="auto" w:sz="4" w:space="0"/>
              <w:bottom w:val="single" w:color="auto" w:sz="12" w:space="0"/>
              <w:right w:val="single" w:color="auto" w:sz="12" w:space="0"/>
            </w:tcBorders>
            <w:shd w:val="clear" w:color="auto" w:fill="auto"/>
          </w:tcPr>
          <w:p w14:paraId="126D406B">
            <w:pPr>
              <w:pStyle w:val="27"/>
              <w:widowControl/>
              <w:jc w:val="center"/>
              <w:rPr>
                <w:rFonts w:hint="default" w:ascii="Times New Roman" w:hAnsi="Times New Roman"/>
                <w:color w:val="8FAADB"/>
                <w:sz w:val="21"/>
                <w:szCs w:val="21"/>
              </w:rPr>
            </w:pPr>
            <w:r>
              <w:rPr>
                <w:rFonts w:hint="default" w:ascii="Times New Roman" w:hAnsi="Times New Roman"/>
                <w:color w:val="8FAADB"/>
                <w:sz w:val="21"/>
                <w:szCs w:val="21"/>
              </w:rPr>
              <w:t>6.3</w:t>
            </w:r>
          </w:p>
        </w:tc>
      </w:tr>
    </w:tbl>
    <w:p w14:paraId="19096D8A">
      <w:pPr>
        <w:pStyle w:val="27"/>
        <w:widowControl/>
        <w:rPr>
          <w:rFonts w:hint="default"/>
        </w:rPr>
      </w:pPr>
      <w:r>
        <w:rPr>
          <w:rFonts w:hint="default" w:ascii="Times New Roman" w:hAnsi="Times New Roman"/>
          <w:b/>
          <w:bCs/>
        </w:rPr>
        <w:t xml:space="preserve">5.2.3  </w:t>
      </w:r>
      <w:r>
        <w:t>当户内设置分散供暖系统时，供暖系统应优先采用空气源热泵系统；</w:t>
      </w:r>
    </w:p>
    <w:p w14:paraId="19BC124A">
      <w:pPr>
        <w:pStyle w:val="27"/>
        <w:widowControl/>
        <w:rPr>
          <w:rFonts w:hint="default"/>
          <w:color w:val="8FAADB"/>
        </w:rPr>
      </w:pPr>
      <w:r>
        <w:rPr>
          <w:b/>
          <w:bCs/>
          <w:color w:val="8FAADB"/>
          <w:szCs w:val="24"/>
        </w:rPr>
        <w:t>【条文说明】</w:t>
      </w:r>
      <w:r>
        <w:rPr>
          <w:color w:val="8FAADB"/>
        </w:rPr>
        <w:t>当户内设置分散供暖系统时，供暖热源应优先采用空气源热泵，且空气源热泵机组应满足下列规定:</w:t>
      </w:r>
    </w:p>
    <w:p w14:paraId="5F165B7A">
      <w:pPr>
        <w:pStyle w:val="27"/>
        <w:widowControl/>
        <w:ind w:firstLine="482" w:firstLineChars="200"/>
        <w:rPr>
          <w:rFonts w:hint="default"/>
          <w:color w:val="8FAADB"/>
        </w:rPr>
      </w:pPr>
      <w:r>
        <w:rPr>
          <w:rFonts w:hint="default" w:ascii="Times New Roman" w:hAnsi="Times New Roman"/>
          <w:b/>
          <w:bCs/>
          <w:color w:val="8FAADB"/>
        </w:rPr>
        <w:t>1</w:t>
      </w:r>
      <w:r>
        <w:rPr>
          <w:color w:val="8FAADB"/>
        </w:rPr>
        <w:t xml:space="preserve">  当采用空气源热泵作为供暖热源时，机组性能系数</w:t>
      </w:r>
      <w:r>
        <w:rPr>
          <w:rFonts w:hint="default" w:ascii="Times New Roman" w:hAnsi="Times New Roman"/>
          <w:color w:val="8FAADB"/>
        </w:rPr>
        <w:t>COP</w:t>
      </w:r>
      <w:r>
        <w:rPr>
          <w:color w:val="8FAADB"/>
        </w:rPr>
        <w:t>应优先选用能效等级为1级的产品。</w:t>
      </w:r>
    </w:p>
    <w:p w14:paraId="77C032CE">
      <w:pPr>
        <w:pStyle w:val="27"/>
        <w:widowControl/>
        <w:ind w:firstLine="482" w:firstLineChars="200"/>
        <w:rPr>
          <w:rFonts w:hint="default"/>
          <w:color w:val="8FAADB"/>
        </w:rPr>
      </w:pPr>
      <w:r>
        <w:rPr>
          <w:rFonts w:hint="default" w:ascii="Times New Roman" w:hAnsi="Times New Roman"/>
          <w:b/>
          <w:bCs/>
          <w:color w:val="8FAADB"/>
        </w:rPr>
        <w:t>2</w:t>
      </w:r>
      <w:r>
        <w:rPr>
          <w:color w:val="8FAADB"/>
        </w:rPr>
        <w:t xml:space="preserve">  当室外温度低于空气源热泵机组平衡点温度时，应设置辅助热源，且空气源热泵应采取防冻措施。</w:t>
      </w:r>
    </w:p>
    <w:p w14:paraId="236A00B9">
      <w:pPr>
        <w:pStyle w:val="27"/>
        <w:widowControl/>
        <w:ind w:firstLine="482" w:firstLineChars="200"/>
        <w:rPr>
          <w:rFonts w:hint="default"/>
          <w:color w:val="8FAADB"/>
        </w:rPr>
      </w:pPr>
      <w:r>
        <w:rPr>
          <w:rFonts w:hint="default" w:ascii="Times New Roman" w:hAnsi="Times New Roman"/>
          <w:b/>
          <w:bCs/>
          <w:color w:val="8FAADB"/>
        </w:rPr>
        <w:t>3</w:t>
      </w:r>
      <w:r>
        <w:rPr>
          <w:color w:val="8FAADB"/>
        </w:rPr>
        <w:t xml:space="preserve">  空气源热泵机组在连续制热运行中，融霜所需时间总和不应超过一个连续制热周期的</w:t>
      </w:r>
      <w:r>
        <w:rPr>
          <w:rFonts w:hint="default" w:ascii="Times New Roman" w:hAnsi="Times New Roman"/>
          <w:color w:val="8FAADB"/>
        </w:rPr>
        <w:t>20%</w:t>
      </w:r>
      <w:r>
        <w:rPr>
          <w:color w:val="8FAADB"/>
        </w:rPr>
        <w:t>。</w:t>
      </w:r>
    </w:p>
    <w:p w14:paraId="34AA84A9">
      <w:pPr>
        <w:pStyle w:val="27"/>
        <w:widowControl/>
        <w:rPr>
          <w:rFonts w:hint="default"/>
        </w:rPr>
      </w:pPr>
      <w:r>
        <w:rPr>
          <w:rFonts w:hint="default" w:ascii="Times New Roman" w:hAnsi="Times New Roman"/>
          <w:b/>
          <w:bCs/>
        </w:rPr>
        <w:t xml:space="preserve">5.2.4  </w:t>
      </w:r>
      <w:r>
        <w:t>超低能耗居住建筑的新风热回收机组的设计应符合下列规定：</w:t>
      </w:r>
    </w:p>
    <w:p w14:paraId="0CB01DDE">
      <w:pPr>
        <w:pStyle w:val="27"/>
        <w:widowControl/>
        <w:ind w:firstLine="482" w:firstLineChars="200"/>
        <w:rPr>
          <w:rFonts w:hint="default"/>
        </w:rPr>
      </w:pPr>
      <w:r>
        <w:rPr>
          <w:rFonts w:hint="default" w:ascii="Times New Roman" w:hAnsi="Times New Roman"/>
          <w:b/>
          <w:bCs/>
        </w:rPr>
        <w:t xml:space="preserve">1  </w:t>
      </w:r>
      <w:r>
        <w:t>新风热回收置类型应结合全年运行的合理性、可靠性、节能性和经济性等综合考虑确定，设计时应采用高效热回收装置，其交换效率应满足下表要求:</w:t>
      </w:r>
    </w:p>
    <w:p w14:paraId="5B767249">
      <w:pPr>
        <w:pStyle w:val="27"/>
        <w:widowControl/>
        <w:spacing w:before="156" w:beforeLines="50" w:after="156" w:afterLines="50"/>
        <w:jc w:val="center"/>
        <w:rPr>
          <w:rFonts w:hint="default"/>
          <w:b/>
          <w:bCs/>
          <w:sz w:val="21"/>
          <w:szCs w:val="21"/>
        </w:rPr>
      </w:pPr>
      <w:r>
        <w:rPr>
          <w:rFonts w:ascii="Times New Roman" w:hAnsi="Times New Roman"/>
          <w:b/>
          <w:bCs/>
          <w:sz w:val="21"/>
          <w:szCs w:val="21"/>
        </w:rPr>
        <w:t>表</w:t>
      </w:r>
      <w:r>
        <w:rPr>
          <w:rFonts w:hint="default" w:ascii="Times New Roman" w:hAnsi="Times New Roman"/>
          <w:b/>
          <w:bCs/>
          <w:sz w:val="21"/>
          <w:szCs w:val="21"/>
        </w:rPr>
        <w:t>5.2.</w:t>
      </w:r>
      <w:r>
        <w:rPr>
          <w:rFonts w:ascii="Times New Roman" w:hAnsi="Times New Roman"/>
          <w:b/>
          <w:bCs/>
          <w:sz w:val="21"/>
          <w:szCs w:val="21"/>
        </w:rPr>
        <w:t>4</w:t>
      </w:r>
      <w:r>
        <w:rPr>
          <w:rFonts w:hint="default" w:ascii="Times New Roman" w:hAnsi="Times New Roman"/>
          <w:b/>
          <w:bCs/>
          <w:sz w:val="21"/>
          <w:szCs w:val="21"/>
        </w:rPr>
        <w:t xml:space="preserve"> </w:t>
      </w:r>
      <w:r>
        <w:rPr>
          <w:b/>
          <w:bCs/>
          <w:sz w:val="21"/>
          <w:szCs w:val="21"/>
        </w:rPr>
        <w:t>热回收装置交换效率要求</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4B8B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6A0B53E7">
            <w:pPr>
              <w:pStyle w:val="27"/>
              <w:widowControl/>
              <w:jc w:val="center"/>
              <w:rPr>
                <w:rFonts w:hint="default"/>
                <w:b/>
                <w:bCs/>
                <w:sz w:val="21"/>
                <w:szCs w:val="21"/>
              </w:rPr>
            </w:pPr>
            <w:r>
              <w:rPr>
                <w:sz w:val="21"/>
                <w:szCs w:val="21"/>
              </w:rPr>
              <w:t>类型</w:t>
            </w:r>
          </w:p>
        </w:tc>
        <w:tc>
          <w:tcPr>
            <w:tcW w:w="5682"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4F9EA8A6">
            <w:pPr>
              <w:pStyle w:val="27"/>
              <w:widowControl/>
              <w:jc w:val="center"/>
              <w:rPr>
                <w:rFonts w:hint="default"/>
                <w:b/>
                <w:bCs/>
                <w:sz w:val="21"/>
                <w:szCs w:val="21"/>
              </w:rPr>
            </w:pPr>
            <w:r>
              <w:rPr>
                <w:sz w:val="21"/>
                <w:szCs w:val="21"/>
              </w:rPr>
              <w:t>交换效率</w:t>
            </w:r>
            <w:r>
              <w:rPr>
                <w:rFonts w:ascii="Times New Roman" w:hAnsi="Times New Roman"/>
                <w:sz w:val="21"/>
                <w:szCs w:val="21"/>
              </w:rPr>
              <w:t>（</w:t>
            </w:r>
            <w:r>
              <w:rPr>
                <w:rFonts w:hint="default" w:ascii="Times New Roman" w:hAnsi="Times New Roman"/>
                <w:sz w:val="21"/>
                <w:szCs w:val="21"/>
              </w:rPr>
              <w:t>%</w:t>
            </w:r>
            <w:r>
              <w:rPr>
                <w:rFonts w:ascii="Times New Roman" w:hAnsi="Times New Roman"/>
                <w:sz w:val="21"/>
                <w:szCs w:val="21"/>
              </w:rPr>
              <w:t>）</w:t>
            </w:r>
          </w:p>
        </w:tc>
      </w:tr>
      <w:tr w14:paraId="0E61E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0DA106C4">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758D4027">
            <w:pPr>
              <w:pStyle w:val="27"/>
              <w:widowControl/>
              <w:jc w:val="center"/>
              <w:rPr>
                <w:rFonts w:hint="default"/>
                <w:sz w:val="21"/>
                <w:szCs w:val="21"/>
              </w:rPr>
            </w:pPr>
            <w:r>
              <w:rPr>
                <w:sz w:val="21"/>
                <w:szCs w:val="21"/>
              </w:rPr>
              <w:t>制冷</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46E305CA">
            <w:pPr>
              <w:pStyle w:val="27"/>
              <w:widowControl/>
              <w:jc w:val="center"/>
              <w:rPr>
                <w:rFonts w:hint="default"/>
                <w:sz w:val="21"/>
                <w:szCs w:val="21"/>
              </w:rPr>
            </w:pPr>
            <w:r>
              <w:rPr>
                <w:sz w:val="21"/>
                <w:szCs w:val="21"/>
              </w:rPr>
              <w:t>制热</w:t>
            </w:r>
          </w:p>
        </w:tc>
      </w:tr>
      <w:tr w14:paraId="56A14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12" w:space="0"/>
              <w:bottom w:val="single" w:color="auto" w:sz="4" w:space="0"/>
              <w:right w:val="single" w:color="auto" w:sz="4" w:space="0"/>
            </w:tcBorders>
            <w:shd w:val="clear" w:color="auto" w:fill="auto"/>
            <w:vAlign w:val="center"/>
          </w:tcPr>
          <w:p w14:paraId="5CCE1D73">
            <w:pPr>
              <w:pStyle w:val="27"/>
              <w:widowControl/>
              <w:jc w:val="center"/>
              <w:rPr>
                <w:rFonts w:hint="default"/>
                <w:sz w:val="21"/>
                <w:szCs w:val="21"/>
              </w:rPr>
            </w:pPr>
            <w:r>
              <w:rPr>
                <w:sz w:val="21"/>
                <w:szCs w:val="21"/>
              </w:rPr>
              <w:t>焓效率</w:t>
            </w: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6A4CA50F">
            <w:pPr>
              <w:pStyle w:val="27"/>
              <w:widowControl/>
              <w:jc w:val="center"/>
              <w:rPr>
                <w:rFonts w:hint="default" w:ascii="Times New Roman" w:hAnsi="Times New Roman"/>
                <w:sz w:val="21"/>
                <w:szCs w:val="21"/>
              </w:rPr>
            </w:pPr>
            <w:r>
              <w:rPr>
                <w:rFonts w:ascii="Times New Roman" w:hAnsi="Times New Roman"/>
                <w:sz w:val="21"/>
                <w:szCs w:val="21"/>
              </w:rPr>
              <w:t>＞</w:t>
            </w:r>
            <w:r>
              <w:rPr>
                <w:rFonts w:hint="default" w:ascii="Times New Roman" w:hAnsi="Times New Roman"/>
                <w:sz w:val="21"/>
                <w:szCs w:val="21"/>
              </w:rPr>
              <w:t>65%</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196519F3">
            <w:pPr>
              <w:pStyle w:val="27"/>
              <w:widowControl/>
              <w:jc w:val="center"/>
              <w:rPr>
                <w:rFonts w:hint="default" w:ascii="Times New Roman" w:hAnsi="Times New Roman"/>
                <w:sz w:val="21"/>
                <w:szCs w:val="21"/>
              </w:rPr>
            </w:pPr>
            <w:r>
              <w:rPr>
                <w:rFonts w:ascii="Times New Roman" w:hAnsi="Times New Roman"/>
                <w:sz w:val="21"/>
                <w:szCs w:val="21"/>
              </w:rPr>
              <w:t>＞</w:t>
            </w:r>
            <w:r>
              <w:rPr>
                <w:rFonts w:hint="default" w:ascii="Times New Roman" w:hAnsi="Times New Roman"/>
                <w:sz w:val="21"/>
                <w:szCs w:val="21"/>
              </w:rPr>
              <w:t>70%</w:t>
            </w:r>
          </w:p>
        </w:tc>
      </w:tr>
      <w:tr w14:paraId="773D7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12" w:space="0"/>
              <w:bottom w:val="single" w:color="auto" w:sz="12" w:space="0"/>
              <w:right w:val="single" w:color="auto" w:sz="4" w:space="0"/>
            </w:tcBorders>
            <w:shd w:val="clear" w:color="auto" w:fill="auto"/>
            <w:vAlign w:val="center"/>
          </w:tcPr>
          <w:p w14:paraId="0574B621">
            <w:pPr>
              <w:pStyle w:val="27"/>
              <w:widowControl/>
              <w:jc w:val="center"/>
              <w:rPr>
                <w:rFonts w:hint="default"/>
                <w:sz w:val="21"/>
                <w:szCs w:val="21"/>
              </w:rPr>
            </w:pPr>
            <w:r>
              <w:rPr>
                <w:sz w:val="21"/>
                <w:szCs w:val="21"/>
              </w:rPr>
              <w:t>温度效率</w:t>
            </w:r>
          </w:p>
        </w:tc>
        <w:tc>
          <w:tcPr>
            <w:tcW w:w="2841" w:type="dxa"/>
            <w:tcBorders>
              <w:top w:val="single" w:color="auto" w:sz="4" w:space="0"/>
              <w:left w:val="single" w:color="auto" w:sz="4" w:space="0"/>
              <w:bottom w:val="single" w:color="auto" w:sz="12" w:space="0"/>
              <w:right w:val="single" w:color="auto" w:sz="4" w:space="0"/>
            </w:tcBorders>
            <w:shd w:val="clear" w:color="auto" w:fill="auto"/>
            <w:vAlign w:val="center"/>
          </w:tcPr>
          <w:p w14:paraId="697BB96C">
            <w:pPr>
              <w:pStyle w:val="27"/>
              <w:widowControl/>
              <w:jc w:val="center"/>
              <w:rPr>
                <w:rFonts w:hint="default" w:ascii="Times New Roman" w:hAnsi="Times New Roman"/>
                <w:sz w:val="21"/>
                <w:szCs w:val="21"/>
              </w:rPr>
            </w:pPr>
            <w:r>
              <w:rPr>
                <w:rFonts w:ascii="Times New Roman" w:hAnsi="Times New Roman"/>
                <w:sz w:val="21"/>
                <w:szCs w:val="21"/>
              </w:rPr>
              <w:t>＞</w:t>
            </w:r>
            <w:r>
              <w:rPr>
                <w:rFonts w:hint="default" w:ascii="Times New Roman" w:hAnsi="Times New Roman"/>
                <w:sz w:val="21"/>
                <w:szCs w:val="21"/>
              </w:rPr>
              <w:t>70%</w:t>
            </w:r>
          </w:p>
        </w:tc>
        <w:tc>
          <w:tcPr>
            <w:tcW w:w="2841" w:type="dxa"/>
            <w:tcBorders>
              <w:top w:val="single" w:color="auto" w:sz="4" w:space="0"/>
              <w:left w:val="single" w:color="auto" w:sz="4" w:space="0"/>
              <w:bottom w:val="single" w:color="auto" w:sz="12" w:space="0"/>
              <w:right w:val="single" w:color="auto" w:sz="12" w:space="0"/>
            </w:tcBorders>
            <w:shd w:val="clear" w:color="auto" w:fill="auto"/>
            <w:vAlign w:val="center"/>
          </w:tcPr>
          <w:p w14:paraId="4A854F3B">
            <w:pPr>
              <w:pStyle w:val="27"/>
              <w:widowControl/>
              <w:jc w:val="center"/>
              <w:rPr>
                <w:rFonts w:hint="default" w:ascii="Times New Roman" w:hAnsi="Times New Roman"/>
                <w:sz w:val="21"/>
                <w:szCs w:val="21"/>
              </w:rPr>
            </w:pPr>
            <w:r>
              <w:rPr>
                <w:rFonts w:ascii="Times New Roman" w:hAnsi="Times New Roman"/>
                <w:sz w:val="21"/>
                <w:szCs w:val="21"/>
              </w:rPr>
              <w:t>＞</w:t>
            </w:r>
            <w:r>
              <w:rPr>
                <w:rFonts w:hint="default" w:ascii="Times New Roman" w:hAnsi="Times New Roman"/>
                <w:sz w:val="21"/>
                <w:szCs w:val="21"/>
              </w:rPr>
              <w:t>75%</w:t>
            </w:r>
          </w:p>
        </w:tc>
      </w:tr>
    </w:tbl>
    <w:p w14:paraId="0B7009C2">
      <w:pPr>
        <w:pStyle w:val="27"/>
        <w:widowControl/>
        <w:ind w:firstLine="482" w:firstLineChars="200"/>
        <w:rPr>
          <w:rFonts w:hint="default"/>
        </w:rPr>
      </w:pPr>
      <w:r>
        <w:rPr>
          <w:rFonts w:hint="default" w:ascii="Times New Roman" w:hAnsi="Times New Roman"/>
          <w:b/>
          <w:bCs/>
        </w:rPr>
        <w:t xml:space="preserve">2  </w:t>
      </w:r>
      <w:r>
        <w:t>新风热回收系统应设置低阻高效的空气净化装置。新风滤网不应低于F7级，并宜增设G4级初滤网。回风滤网不低于</w:t>
      </w:r>
      <w:r>
        <w:rPr>
          <w:rFonts w:hint="default" w:ascii="Times New Roman" w:hAnsi="Times New Roman"/>
        </w:rPr>
        <w:t>G4</w:t>
      </w:r>
      <w:r>
        <w:t>级。新风机的安装设计应便于维修级滤网更换，以及对管道，特别是新风入口的清洁。</w:t>
      </w:r>
    </w:p>
    <w:p w14:paraId="6433088D">
      <w:pPr>
        <w:pStyle w:val="27"/>
        <w:widowControl/>
        <w:ind w:firstLine="482" w:firstLineChars="200"/>
        <w:rPr>
          <w:rFonts w:hint="default"/>
        </w:rPr>
      </w:pPr>
      <w:r>
        <w:rPr>
          <w:rFonts w:hint="default" w:ascii="Times New Roman" w:hAnsi="Times New Roman"/>
          <w:b/>
          <w:bCs/>
        </w:rPr>
        <w:t xml:space="preserve">3  </w:t>
      </w:r>
      <w:r>
        <w:t>应具备旁通功能，在过渡季或室内外焓差（温差）较小时，新风可经旁通管直接进入室内或空气处理装置；</w:t>
      </w:r>
    </w:p>
    <w:p w14:paraId="14DC0874">
      <w:pPr>
        <w:pStyle w:val="27"/>
        <w:widowControl/>
        <w:ind w:firstLine="482" w:firstLineChars="200"/>
        <w:rPr>
          <w:rFonts w:hint="default"/>
        </w:rPr>
      </w:pPr>
      <w:r>
        <w:rPr>
          <w:rFonts w:hint="default" w:ascii="Times New Roman" w:hAnsi="Times New Roman"/>
          <w:b/>
          <w:bCs/>
        </w:rPr>
        <w:t xml:space="preserve">4  </w:t>
      </w:r>
      <w:r>
        <w:t>严寒和寒冷地区新风热回收系统应采取防冻及防结霜措施；</w:t>
      </w:r>
    </w:p>
    <w:p w14:paraId="583D0DF3">
      <w:pPr>
        <w:pStyle w:val="27"/>
        <w:widowControl/>
        <w:ind w:firstLine="482" w:firstLineChars="200"/>
        <w:rPr>
          <w:rFonts w:hint="default"/>
        </w:rPr>
      </w:pPr>
      <w:r>
        <w:rPr>
          <w:rFonts w:hint="default" w:ascii="Times New Roman" w:hAnsi="Times New Roman"/>
          <w:b/>
          <w:bCs/>
        </w:rPr>
        <w:t xml:space="preserve">5  </w:t>
      </w:r>
      <w:r>
        <w:t>应提供触摸屏、移动端操作软件等便捷的人机界面。</w:t>
      </w:r>
    </w:p>
    <w:p w14:paraId="394D0BE1">
      <w:pPr>
        <w:pStyle w:val="27"/>
        <w:widowControl/>
        <w:ind w:firstLine="482" w:firstLineChars="200"/>
        <w:rPr>
          <w:rFonts w:hint="default"/>
        </w:rPr>
      </w:pPr>
      <w:r>
        <w:rPr>
          <w:rFonts w:hint="default" w:ascii="Times New Roman" w:hAnsi="Times New Roman"/>
          <w:b/>
          <w:bCs/>
        </w:rPr>
        <w:t xml:space="preserve">6  </w:t>
      </w:r>
      <w:r>
        <w:t>新风热回收机组单位风量风机耗功率不应</w:t>
      </w:r>
      <w:r>
        <w:rPr>
          <w:rFonts w:ascii="Times New Roman" w:hAnsi="Times New Roman"/>
        </w:rPr>
        <w:t>大于</w:t>
      </w:r>
      <w:r>
        <w:rPr>
          <w:rFonts w:hint="default" w:ascii="Times New Roman" w:hAnsi="Times New Roman"/>
        </w:rPr>
        <w:t>0.45 W/(m</w:t>
      </w:r>
      <w:r>
        <w:rPr>
          <w:rFonts w:hint="default" w:ascii="Times New Roman" w:hAnsi="Times New Roman"/>
          <w:vertAlign w:val="superscript"/>
        </w:rPr>
        <w:t>3</w:t>
      </w:r>
      <w:r>
        <w:rPr>
          <w:rFonts w:hint="default" w:ascii="Times New Roman" w:hAnsi="Times New Roman"/>
        </w:rPr>
        <w:t>/h)</w:t>
      </w:r>
      <w:r>
        <w:t>。</w:t>
      </w:r>
    </w:p>
    <w:p w14:paraId="5BCD8017">
      <w:pPr>
        <w:pStyle w:val="27"/>
        <w:widowControl/>
        <w:spacing w:line="26" w:lineRule="atLeast"/>
        <w:rPr>
          <w:rFonts w:hint="default"/>
          <w:color w:val="8FAADB"/>
        </w:rPr>
      </w:pPr>
      <w:r>
        <w:rPr>
          <w:b/>
          <w:bCs/>
          <w:color w:val="8FAADB"/>
          <w:szCs w:val="24"/>
        </w:rPr>
        <w:t>【条文说明】</w:t>
      </w:r>
      <w:r>
        <w:rPr>
          <w:color w:val="8FAADB"/>
        </w:rPr>
        <w:t>热回收装置的类型应根据地区气候特点，结合工程的具体情况进行选择确定:</w:t>
      </w:r>
    </w:p>
    <w:p w14:paraId="75B7EBE3">
      <w:pPr>
        <w:pStyle w:val="27"/>
        <w:widowControl/>
        <w:ind w:firstLine="482" w:firstLineChars="200"/>
        <w:rPr>
          <w:rFonts w:hint="default"/>
          <w:color w:val="8FAADB"/>
        </w:rPr>
      </w:pPr>
      <w:r>
        <w:rPr>
          <w:rFonts w:hint="default" w:ascii="Times New Roman" w:hAnsi="Times New Roman"/>
          <w:b/>
          <w:bCs/>
          <w:color w:val="8FAADB"/>
        </w:rPr>
        <w:t xml:space="preserve">1  </w:t>
      </w:r>
      <w:r>
        <w:rPr>
          <w:color w:val="8FAADB"/>
        </w:rPr>
        <w:t>夏热冬冷地区、夏热冬暖地区夏季室外空气相对湿度大，选用全热回收装置与显热回收相比，具有更好的节能效果；严寒和寒冷地区，全热回收装置同显热回收装置节能效果相当，显热回收具有更好的经济性，但全热回收装置利于降低结霜的风险，应根据具体项目情况综合考虑。</w:t>
      </w:r>
    </w:p>
    <w:p w14:paraId="2BE15522">
      <w:pPr>
        <w:pStyle w:val="27"/>
        <w:widowControl/>
        <w:ind w:firstLine="482" w:firstLineChars="200"/>
        <w:rPr>
          <w:rFonts w:hint="default"/>
          <w:color w:val="8FAADB"/>
        </w:rPr>
      </w:pPr>
      <w:r>
        <w:rPr>
          <w:rFonts w:hint="default" w:ascii="Times New Roman" w:hAnsi="Times New Roman"/>
          <w:b/>
          <w:bCs/>
          <w:color w:val="8EAADB"/>
        </w:rPr>
        <w:t xml:space="preserve">2  </w:t>
      </w:r>
      <w:r>
        <w:rPr>
          <w:color w:val="8FAADB"/>
        </w:rPr>
        <w:t>超低能耗建筑应采用高效新风热回收系统，通过回收利用排风中的能量降低供暖、制冷需求，实现超低能耗目标。</w:t>
      </w:r>
    </w:p>
    <w:p w14:paraId="7E8BC1F4">
      <w:pPr>
        <w:pStyle w:val="27"/>
        <w:widowControl/>
        <w:ind w:firstLine="482" w:firstLineChars="200"/>
        <w:rPr>
          <w:rFonts w:hint="default"/>
          <w:color w:val="8FAADB"/>
        </w:rPr>
      </w:pPr>
      <w:r>
        <w:rPr>
          <w:rFonts w:hint="default" w:ascii="Times New Roman" w:hAnsi="Times New Roman"/>
          <w:b/>
          <w:bCs/>
          <w:color w:val="8EAADB"/>
        </w:rPr>
        <w:t xml:space="preserve">3  </w:t>
      </w:r>
      <w:r>
        <w:rPr>
          <w:color w:val="8FAADB"/>
        </w:rPr>
        <w:t>新风热回收机组应设置低阻高效的空气净化装置，过滤设备的效率、阻力和容尘量性能应符合现行国家标准《空气过滤器</w:t>
      </w:r>
      <w:r>
        <w:rPr>
          <w:rFonts w:ascii="Times New Roman" w:hAnsi="Times New Roman"/>
          <w:color w:val="8FAADB"/>
        </w:rPr>
        <w:t>》</w:t>
      </w:r>
      <w:r>
        <w:rPr>
          <w:rFonts w:hint="default" w:ascii="Times New Roman" w:hAnsi="Times New Roman"/>
          <w:color w:val="8FAADB"/>
        </w:rPr>
        <w:t>GB/T 14295</w:t>
      </w:r>
      <w:r>
        <w:rPr>
          <w:color w:val="8FAADB"/>
        </w:rPr>
        <w:t>的要求，且过效率不应低于高中效等级。</w:t>
      </w:r>
    </w:p>
    <w:p w14:paraId="529CAE37">
      <w:pPr>
        <w:pStyle w:val="27"/>
        <w:widowControl/>
        <w:ind w:firstLine="482" w:firstLineChars="200"/>
        <w:rPr>
          <w:rFonts w:hint="default"/>
          <w:color w:val="8FAADB"/>
        </w:rPr>
      </w:pPr>
      <w:r>
        <w:rPr>
          <w:rFonts w:hint="default" w:ascii="Times New Roman" w:hAnsi="Times New Roman"/>
          <w:b/>
          <w:bCs/>
          <w:color w:val="8EAADB"/>
        </w:rPr>
        <w:t xml:space="preserve">4  </w:t>
      </w:r>
      <w:r>
        <w:rPr>
          <w:color w:val="8FAADB"/>
        </w:rPr>
        <w:t>新风热回收机组应设置新风旁通管，当室外温湿度适宜时，新风可经旁通管直接进入室内，不经过热回收装置，以降低通风能耗。</w:t>
      </w:r>
    </w:p>
    <w:p w14:paraId="5FD4687E">
      <w:pPr>
        <w:pStyle w:val="27"/>
        <w:widowControl/>
        <w:ind w:firstLine="482" w:firstLineChars="200"/>
        <w:rPr>
          <w:rFonts w:hint="default"/>
          <w:color w:val="8FAADB"/>
        </w:rPr>
      </w:pPr>
      <w:r>
        <w:rPr>
          <w:rFonts w:hint="default" w:ascii="Times New Roman" w:hAnsi="Times New Roman"/>
          <w:b/>
          <w:bCs/>
          <w:color w:val="8EAADB"/>
        </w:rPr>
        <w:t xml:space="preserve">5  </w:t>
      </w:r>
      <w:r>
        <w:rPr>
          <w:color w:val="8FAADB"/>
        </w:rPr>
        <w:t>新风热回风机组的控制器应具备自动运行控制功能，可进行风量调节控制和旁通控制运行，控制面板上应能三档风速选择、室内PM2.5和CO</w:t>
      </w:r>
      <w:r>
        <w:rPr>
          <w:color w:val="8FAADB"/>
          <w:vertAlign w:val="subscript"/>
        </w:rPr>
        <w:t>2</w:t>
      </w:r>
      <w:r>
        <w:rPr>
          <w:color w:val="8FAADB"/>
        </w:rPr>
        <w:t>浓度显示、滤网更换提醒，同时预留智能家居接口等。</w:t>
      </w:r>
    </w:p>
    <w:p w14:paraId="72B994EB">
      <w:pPr>
        <w:pStyle w:val="27"/>
        <w:widowControl/>
        <w:rPr>
          <w:rFonts w:hint="default"/>
        </w:rPr>
      </w:pPr>
      <w:r>
        <w:rPr>
          <w:rFonts w:hint="default" w:ascii="Times New Roman" w:hAnsi="Times New Roman"/>
          <w:b/>
          <w:bCs/>
        </w:rPr>
        <w:t xml:space="preserve">5.2.5  </w:t>
      </w:r>
      <w:r>
        <w:t>带热（湿）回收的机械通风系统宜设绕行热交换器的旁通管道，避免不必要或不利的热交换，例如夏季夜间通风。</w:t>
      </w:r>
    </w:p>
    <w:p w14:paraId="5492F1D5">
      <w:pPr>
        <w:pStyle w:val="27"/>
        <w:widowControl/>
        <w:rPr>
          <w:rFonts w:hint="default"/>
        </w:rPr>
      </w:pPr>
      <w:r>
        <w:rPr>
          <w:rFonts w:hint="default" w:ascii="Times New Roman" w:hAnsi="Times New Roman"/>
          <w:b/>
          <w:bCs/>
        </w:rPr>
        <w:t xml:space="preserve">5.2.6  </w:t>
      </w:r>
      <w:r>
        <w:t>卫生间应设置机械排风系统或预留机械排风系统开口,且应留有必要的进风面积。</w:t>
      </w:r>
    </w:p>
    <w:p w14:paraId="245458F7">
      <w:pPr>
        <w:pStyle w:val="27"/>
        <w:widowControl/>
        <w:spacing w:line="26" w:lineRule="atLeast"/>
        <w:rPr>
          <w:rFonts w:hint="default"/>
          <w:color w:val="8FAADB"/>
        </w:rPr>
      </w:pPr>
      <w:r>
        <w:rPr>
          <w:b/>
          <w:bCs/>
          <w:color w:val="8FAADB"/>
          <w:szCs w:val="24"/>
        </w:rPr>
        <w:t>【条文说明】</w:t>
      </w:r>
      <w:r>
        <w:rPr>
          <w:color w:val="8FAADB"/>
        </w:rPr>
        <w:t>卫生间设置机械排风系统，可减少空调季节自然通风时冷风渗透的空调能耗，其补风系统宜采用内门与地面间净空应预</w:t>
      </w:r>
      <w:r>
        <w:rPr>
          <w:rFonts w:ascii="Times New Roman" w:hAnsi="Times New Roman"/>
          <w:color w:val="8FAADB"/>
        </w:rPr>
        <w:t>留</w:t>
      </w:r>
      <w:r>
        <w:rPr>
          <w:rFonts w:hint="default" w:ascii="Times New Roman" w:hAnsi="Times New Roman"/>
          <w:color w:val="8FAADB"/>
        </w:rPr>
        <w:t>20mm-25mm</w:t>
      </w:r>
      <w:r>
        <w:rPr>
          <w:color w:val="8FAADB"/>
        </w:rPr>
        <w:t>的缝隙。</w:t>
      </w:r>
    </w:p>
    <w:p w14:paraId="52E5B460">
      <w:pPr>
        <w:pStyle w:val="27"/>
        <w:widowControl/>
        <w:rPr>
          <w:rFonts w:hint="default"/>
        </w:rPr>
      </w:pPr>
      <w:r>
        <w:rPr>
          <w:rFonts w:hint="default" w:ascii="Times New Roman" w:hAnsi="Times New Roman"/>
          <w:b/>
          <w:bCs/>
        </w:rPr>
        <w:t xml:space="preserve">5.2.7  </w:t>
      </w:r>
      <w:r>
        <w:t>当厨房设有独立的排油烟补风系统时，补风应从室外直接引入。补风管道应有保温措施，并应在补风管入口处设保温密闭性电动风阀，且电动风阀应与油烟机联动。厨房应设与其他空间隔离的气密门，在启动排油烟机时封闭。</w:t>
      </w:r>
    </w:p>
    <w:p w14:paraId="5145AD00">
      <w:pPr>
        <w:pStyle w:val="27"/>
        <w:widowControl/>
        <w:spacing w:line="26" w:lineRule="atLeast"/>
        <w:rPr>
          <w:rFonts w:hint="default"/>
        </w:rPr>
      </w:pPr>
      <w:r>
        <w:rPr>
          <w:b/>
          <w:bCs/>
          <w:color w:val="8FAADB"/>
          <w:szCs w:val="24"/>
        </w:rPr>
        <w:t>【条文说明】</w:t>
      </w:r>
      <w:r>
        <w:rPr>
          <w:color w:val="8FAADB"/>
        </w:rPr>
        <w:t>厨房通风直接关系到厨房室内环境，其油烟大、通风量大，宜设置独立的补风系统，应尽可能降低厨房通风造成的冷热负荷；当设置独立的补风系统时，补风应从室外直接引入，补风口尽可能设置在灶台附近，缩短补风距离，且管道引入口处应设保温密闭型电动风阀，电动风阀应与排油烟机联动。</w:t>
      </w:r>
    </w:p>
    <w:p w14:paraId="790AC8F1">
      <w:pPr>
        <w:pStyle w:val="4"/>
        <w:widowControl/>
      </w:pPr>
      <w:bookmarkStart w:id="138" w:name="_Toc17813"/>
      <w:bookmarkStart w:id="139" w:name="_Toc18571"/>
      <w:bookmarkStart w:id="140" w:name="_Toc11373"/>
      <w:bookmarkStart w:id="141" w:name="_Toc12628"/>
      <w:bookmarkStart w:id="142" w:name="_Toc14720"/>
      <w:bookmarkStart w:id="143" w:name="_Toc28863"/>
      <w:bookmarkStart w:id="144" w:name="_Toc729"/>
      <w:r>
        <w:rPr>
          <w:rFonts w:ascii="Times New Roman" w:hAnsi="Times New Roman"/>
        </w:rPr>
        <w:t>5.3</w:t>
      </w:r>
      <w:r>
        <w:t xml:space="preserve">  </w:t>
      </w:r>
      <w:r>
        <w:rPr>
          <w:rFonts w:hint="eastAsia" w:cs="宋体"/>
        </w:rPr>
        <w:t>给水排水</w:t>
      </w:r>
      <w:bookmarkEnd w:id="138"/>
      <w:bookmarkEnd w:id="139"/>
      <w:bookmarkEnd w:id="140"/>
      <w:bookmarkEnd w:id="141"/>
      <w:bookmarkEnd w:id="142"/>
      <w:bookmarkEnd w:id="143"/>
      <w:bookmarkEnd w:id="144"/>
    </w:p>
    <w:p w14:paraId="2DCBADA1">
      <w:pPr>
        <w:pStyle w:val="27"/>
        <w:widowControl/>
        <w:rPr>
          <w:rFonts w:hint="default"/>
        </w:rPr>
      </w:pPr>
      <w:r>
        <w:rPr>
          <w:rFonts w:hint="default" w:ascii="Times New Roman" w:hAnsi="Times New Roman"/>
          <w:b/>
          <w:bCs/>
        </w:rPr>
        <w:t xml:space="preserve">5.3.1  </w:t>
      </w:r>
      <w:r>
        <w:t>生活热水系统应在满足水量、水质、水温、水压等使用要求的条件下，节约用水，节约能源。</w:t>
      </w:r>
    </w:p>
    <w:p w14:paraId="79D0B880">
      <w:pPr>
        <w:pStyle w:val="27"/>
        <w:widowControl/>
        <w:rPr>
          <w:rFonts w:hint="default"/>
        </w:rPr>
      </w:pPr>
      <w:r>
        <w:rPr>
          <w:rFonts w:hint="default" w:ascii="Times New Roman" w:hAnsi="Times New Roman"/>
          <w:b/>
          <w:bCs/>
        </w:rPr>
        <w:t xml:space="preserve">5.3.2  </w:t>
      </w:r>
      <w:r>
        <w:t>生活热水平均日节水用水定额应满足《民用建筑节水设计标准》</w:t>
      </w:r>
      <w:r>
        <w:rPr>
          <w:rFonts w:hint="default" w:ascii="Times New Roman" w:hAnsi="Times New Roman"/>
        </w:rPr>
        <w:t>GB50555</w:t>
      </w:r>
      <w:r>
        <w:t>规定确定，并应根据水温、卫生器具设置标准当地气候条件、生活习惯况综合确定。</w:t>
      </w:r>
    </w:p>
    <w:p w14:paraId="5742FD7C">
      <w:pPr>
        <w:pStyle w:val="27"/>
        <w:widowControl/>
        <w:spacing w:line="26" w:lineRule="atLeast"/>
        <w:rPr>
          <w:rFonts w:hint="default"/>
          <w:color w:val="8FAADB"/>
        </w:rPr>
      </w:pPr>
      <w:r>
        <w:rPr>
          <w:b/>
          <w:bCs/>
          <w:color w:val="8FAADB"/>
          <w:szCs w:val="24"/>
        </w:rPr>
        <w:t>【条文说明】</w:t>
      </w:r>
      <w:r>
        <w:rPr>
          <w:color w:val="8FAADB"/>
        </w:rPr>
        <w:t>居住建筑节水用水定额应根据是设置热水供应系统类型（局部、集中）、卫生设备完善程度等不同情况综合考虑。</w:t>
      </w:r>
    </w:p>
    <w:p w14:paraId="400368F8">
      <w:pPr>
        <w:pStyle w:val="27"/>
        <w:widowControl/>
        <w:rPr>
          <w:rFonts w:hint="default"/>
        </w:rPr>
      </w:pPr>
      <w:r>
        <w:rPr>
          <w:rFonts w:hint="default" w:ascii="Times New Roman" w:hAnsi="Times New Roman"/>
          <w:b/>
          <w:bCs/>
        </w:rPr>
        <w:t xml:space="preserve">5.3.3  </w:t>
      </w:r>
      <w:r>
        <w:t>热水用水器具应采用节水型卫生器具。</w:t>
      </w:r>
    </w:p>
    <w:p w14:paraId="5DDED3A6">
      <w:pPr>
        <w:pStyle w:val="27"/>
        <w:widowControl/>
        <w:spacing w:line="26" w:lineRule="atLeast"/>
        <w:rPr>
          <w:rFonts w:hint="default"/>
          <w:color w:val="8FAADB"/>
        </w:rPr>
      </w:pPr>
      <w:r>
        <w:rPr>
          <w:b/>
          <w:bCs/>
          <w:color w:val="8FAADB"/>
          <w:szCs w:val="24"/>
        </w:rPr>
        <w:t>【条文说明】</w:t>
      </w:r>
      <w:r>
        <w:rPr>
          <w:color w:val="8FAADB"/>
        </w:rPr>
        <w:t>根据相关城市节约用水管理中心提供的数据分析，使用节水器具可比不使用节水器具者减少水量约</w:t>
      </w:r>
      <w:r>
        <w:rPr>
          <w:rFonts w:hint="default" w:ascii="Times New Roman" w:hAnsi="Times New Roman"/>
          <w:color w:val="8FAADB"/>
        </w:rPr>
        <w:t>10~20%</w:t>
      </w:r>
      <w:r>
        <w:rPr>
          <w:color w:val="8FAADB"/>
        </w:rPr>
        <w:t>，在节水同时也节约了能耗。</w:t>
      </w:r>
    </w:p>
    <w:p w14:paraId="486A742D">
      <w:pPr>
        <w:pStyle w:val="27"/>
        <w:widowControl/>
        <w:rPr>
          <w:rFonts w:hint="default"/>
        </w:rPr>
      </w:pPr>
      <w:r>
        <w:rPr>
          <w:rFonts w:hint="default" w:ascii="Times New Roman" w:hAnsi="Times New Roman"/>
          <w:b/>
          <w:bCs/>
        </w:rPr>
        <w:t xml:space="preserve">5.3.4  </w:t>
      </w:r>
      <w:r>
        <w:t>热水供应系统宜安装加热能耗、被加热水量和供水设备能耗的计量装置，每户应设置热水计量装置。</w:t>
      </w:r>
    </w:p>
    <w:p w14:paraId="36F7B944">
      <w:pPr>
        <w:pStyle w:val="27"/>
        <w:widowControl/>
        <w:rPr>
          <w:rFonts w:hint="default"/>
        </w:rPr>
      </w:pPr>
      <w:r>
        <w:rPr>
          <w:rFonts w:hint="default" w:ascii="Times New Roman" w:hAnsi="Times New Roman"/>
          <w:b/>
          <w:bCs/>
        </w:rPr>
        <w:t xml:space="preserve">5.3.5  </w:t>
      </w:r>
      <w:r>
        <w:t>普通住宅建筑的生活热水系统宜分散设置。</w:t>
      </w:r>
    </w:p>
    <w:p w14:paraId="588B3427">
      <w:pPr>
        <w:pStyle w:val="27"/>
        <w:widowControl/>
        <w:spacing w:line="26" w:lineRule="atLeast"/>
        <w:rPr>
          <w:rFonts w:hint="default"/>
          <w:color w:val="8FAADB"/>
        </w:rPr>
      </w:pPr>
      <w:r>
        <w:rPr>
          <w:b/>
          <w:bCs/>
          <w:color w:val="8FAADB"/>
          <w:szCs w:val="24"/>
        </w:rPr>
        <w:t>【条文说明】</w:t>
      </w:r>
      <w:r>
        <w:rPr>
          <w:color w:val="8FAADB"/>
        </w:rPr>
        <w:t>对于普通住宅，一般只在晚上洗浴使用热水，如设集中热水供应系统，则存在一次投资大、管网多热损失大、能耗大、维修管理工作量大、使用成本高等缺点。</w:t>
      </w:r>
    </w:p>
    <w:p w14:paraId="6F5C9CD3">
      <w:pPr>
        <w:pStyle w:val="27"/>
        <w:widowControl/>
        <w:rPr>
          <w:rFonts w:hint="default"/>
        </w:rPr>
      </w:pPr>
      <w:r>
        <w:rPr>
          <w:rFonts w:hint="default" w:ascii="Times New Roman" w:hAnsi="Times New Roman"/>
          <w:b/>
          <w:bCs/>
        </w:rPr>
        <w:t xml:space="preserve">5.3.6  </w:t>
      </w:r>
      <w:r>
        <w:t>居住建筑采用户式电热水器作为生活热水热源时，其能效指标应不低于国家标准《储水式电热水器能效限定值及能效等级》</w:t>
      </w:r>
      <w:r>
        <w:rPr>
          <w:rFonts w:hint="default" w:ascii="Times New Roman" w:hAnsi="Times New Roman"/>
        </w:rPr>
        <w:t>GB 21519-2008</w:t>
      </w:r>
      <w:r>
        <w:t>规定的</w:t>
      </w:r>
      <w:r>
        <w:rPr>
          <w:rFonts w:hint="default" w:ascii="Times New Roman" w:hAnsi="Times New Roman"/>
        </w:rPr>
        <w:t>2</w:t>
      </w:r>
      <w:r>
        <w:t>级（节能评价值值）能效要求。</w:t>
      </w:r>
    </w:p>
    <w:p w14:paraId="4EF930A1">
      <w:pPr>
        <w:pStyle w:val="4"/>
        <w:widowControl/>
      </w:pPr>
      <w:bookmarkStart w:id="145" w:name="_Toc5070"/>
      <w:bookmarkStart w:id="146" w:name="_Toc23050"/>
      <w:bookmarkStart w:id="147" w:name="_Toc12708"/>
      <w:bookmarkStart w:id="148" w:name="_Toc7756"/>
      <w:bookmarkStart w:id="149" w:name="_Toc19222"/>
      <w:bookmarkStart w:id="150" w:name="_Toc354"/>
      <w:r>
        <w:rPr>
          <w:rFonts w:ascii="Times New Roman" w:hAnsi="Times New Roman"/>
        </w:rPr>
        <w:t>5.4</w:t>
      </w:r>
      <w:r>
        <w:t xml:space="preserve">  </w:t>
      </w:r>
      <w:r>
        <w:rPr>
          <w:rFonts w:hint="eastAsia" w:cs="宋体"/>
        </w:rPr>
        <w:t>建筑电气</w:t>
      </w:r>
      <w:bookmarkEnd w:id="145"/>
      <w:bookmarkEnd w:id="146"/>
      <w:bookmarkEnd w:id="147"/>
      <w:bookmarkEnd w:id="148"/>
      <w:bookmarkEnd w:id="149"/>
      <w:bookmarkEnd w:id="150"/>
      <w:bookmarkStart w:id="151" w:name="_Toc14342"/>
    </w:p>
    <w:p w14:paraId="48CB7292">
      <w:pPr>
        <w:pStyle w:val="27"/>
        <w:widowControl/>
        <w:rPr>
          <w:rFonts w:hint="default"/>
        </w:rPr>
      </w:pPr>
      <w:r>
        <w:rPr>
          <w:rFonts w:hint="default" w:ascii="Times New Roman" w:hAnsi="Times New Roman"/>
          <w:b/>
          <w:bCs/>
        </w:rPr>
        <w:t xml:space="preserve">5.4.1  </w:t>
      </w:r>
      <w:r>
        <w:t>照明设计应符合以下规定:</w:t>
      </w:r>
    </w:p>
    <w:p w14:paraId="3FF71BF6">
      <w:pPr>
        <w:pStyle w:val="27"/>
        <w:widowControl/>
        <w:ind w:firstLine="482" w:firstLineChars="200"/>
        <w:rPr>
          <w:rFonts w:hint="default"/>
        </w:rPr>
      </w:pPr>
      <w:r>
        <w:rPr>
          <w:rFonts w:hint="default" w:ascii="Times New Roman" w:hAnsi="Times New Roman"/>
          <w:b/>
          <w:bCs/>
        </w:rPr>
        <w:t xml:space="preserve">1  </w:t>
      </w:r>
      <w:r>
        <w:t>照明功率密度值（</w:t>
      </w:r>
      <w:r>
        <w:rPr>
          <w:rFonts w:hint="default" w:ascii="Times New Roman" w:hAnsi="Times New Roman"/>
        </w:rPr>
        <w:t>LPD</w:t>
      </w:r>
      <w:r>
        <w:t>）应满足以下要求：建筑物内主要功能房间或场所不高于现行国家标准《建筑照明设计标准》</w:t>
      </w:r>
      <w:r>
        <w:rPr>
          <w:rFonts w:hint="default" w:ascii="Times New Roman" w:hAnsi="Times New Roman"/>
        </w:rPr>
        <w:t>GB 50034</w:t>
      </w:r>
      <w:r>
        <w:t>中规定的目标值以及《建筑节能与可再生能源利用通用规范》</w:t>
      </w:r>
      <w:r>
        <w:rPr>
          <w:rFonts w:hint="default" w:ascii="Times New Roman" w:hAnsi="Times New Roman"/>
        </w:rPr>
        <w:t>GB 55015</w:t>
      </w:r>
      <w:r>
        <w:t>中规定的限值；建筑夜景照明不高于现行行业标准《城市夜景照明设计规范》</w:t>
      </w:r>
      <w:r>
        <w:rPr>
          <w:rFonts w:hint="default" w:ascii="Times New Roman" w:hAnsi="Times New Roman"/>
        </w:rPr>
        <w:t>JGJ/T 163</w:t>
      </w:r>
      <w:r>
        <w:t>所规定的限值要求。</w:t>
      </w:r>
    </w:p>
    <w:p w14:paraId="05F88CCE">
      <w:pPr>
        <w:pStyle w:val="27"/>
        <w:widowControl/>
        <w:ind w:firstLine="482" w:firstLineChars="200"/>
        <w:rPr>
          <w:rFonts w:hint="default"/>
        </w:rPr>
      </w:pPr>
      <w:r>
        <w:rPr>
          <w:rFonts w:hint="default" w:ascii="Times New Roman" w:hAnsi="Times New Roman"/>
          <w:b/>
          <w:bCs/>
        </w:rPr>
        <w:t xml:space="preserve">2  </w:t>
      </w:r>
      <w:r>
        <w:t>光源与镇流器的能效不低于相应能效标准的节能评价值；一般情况下，应优先选择LED光源；照明光源的色容差、色温及闪变指数等指标应满足国家现行有关标准要求。</w:t>
      </w:r>
    </w:p>
    <w:p w14:paraId="2B3E658C">
      <w:pPr>
        <w:pStyle w:val="27"/>
        <w:widowControl/>
        <w:ind w:firstLine="482" w:firstLineChars="200"/>
        <w:rPr>
          <w:rFonts w:hint="default"/>
        </w:rPr>
      </w:pPr>
      <w:r>
        <w:rPr>
          <w:rFonts w:hint="default" w:ascii="Times New Roman" w:hAnsi="Times New Roman"/>
          <w:b/>
          <w:bCs/>
        </w:rPr>
        <w:t xml:space="preserve">3  </w:t>
      </w:r>
      <w:r>
        <w:t>充分利用自然光；对地下车库、建筑顶层内区等需要日间照明的空间，宜采用自然光导光系统，且宜具备照度调节功能。</w:t>
      </w:r>
    </w:p>
    <w:p w14:paraId="13CA73DE">
      <w:pPr>
        <w:pStyle w:val="27"/>
        <w:widowControl/>
        <w:ind w:firstLine="482" w:firstLineChars="200"/>
        <w:rPr>
          <w:rFonts w:hint="default"/>
        </w:rPr>
      </w:pPr>
      <w:r>
        <w:rPr>
          <w:rFonts w:hint="default" w:ascii="Times New Roman" w:hAnsi="Times New Roman"/>
          <w:b/>
          <w:bCs/>
        </w:rPr>
        <w:t xml:space="preserve">4  </w:t>
      </w:r>
      <w:r>
        <w:t>户内照明宜采用智能照明控制系统；公共区域应采用感应控制、定时控制等节能措施。</w:t>
      </w:r>
    </w:p>
    <w:p w14:paraId="58CBD47A">
      <w:pPr>
        <w:pStyle w:val="27"/>
        <w:widowControl/>
        <w:ind w:firstLine="482" w:firstLineChars="200"/>
        <w:rPr>
          <w:rFonts w:hint="default"/>
        </w:rPr>
      </w:pPr>
      <w:r>
        <w:rPr>
          <w:rFonts w:hint="default" w:ascii="Times New Roman" w:hAnsi="Times New Roman"/>
          <w:b/>
          <w:bCs/>
        </w:rPr>
        <w:t xml:space="preserve">5  </w:t>
      </w:r>
      <w:r>
        <w:t>室外照明应采用定时控制或照度控制方式，光源宜采用太阳能路灯或风光互补路灯。</w:t>
      </w:r>
    </w:p>
    <w:p w14:paraId="1EA33B71">
      <w:pPr>
        <w:pStyle w:val="27"/>
        <w:widowControl/>
        <w:spacing w:line="26" w:lineRule="atLeast"/>
        <w:rPr>
          <w:rFonts w:hint="default"/>
          <w:color w:val="8FAADB"/>
        </w:rPr>
      </w:pPr>
      <w:r>
        <w:rPr>
          <w:b/>
          <w:bCs/>
          <w:color w:val="8FAADB"/>
          <w:szCs w:val="24"/>
        </w:rPr>
        <w:t>【条文说明】</w:t>
      </w:r>
      <w:r>
        <w:rPr>
          <w:color w:val="8FAADB"/>
        </w:rPr>
        <w:t>本条对照明设计作了相应的规定：</w:t>
      </w:r>
    </w:p>
    <w:p w14:paraId="772C1FD6">
      <w:pPr>
        <w:pStyle w:val="27"/>
        <w:widowControl/>
        <w:ind w:firstLine="482" w:firstLineChars="200"/>
        <w:rPr>
          <w:rFonts w:hint="default"/>
          <w:color w:val="8FAADB"/>
        </w:rPr>
      </w:pPr>
      <w:r>
        <w:rPr>
          <w:rFonts w:hint="default" w:ascii="Times New Roman" w:hAnsi="Times New Roman"/>
          <w:b/>
          <w:bCs/>
          <w:color w:val="8FAADB"/>
        </w:rPr>
        <w:t xml:space="preserve">1  </w:t>
      </w:r>
      <w:r>
        <w:rPr>
          <w:color w:val="8FAADB"/>
        </w:rPr>
        <w:t>在照明设计时，应严格控制LPD，满足相关规范要求。</w:t>
      </w:r>
    </w:p>
    <w:p w14:paraId="72CE4103">
      <w:pPr>
        <w:pStyle w:val="27"/>
        <w:widowControl/>
        <w:ind w:firstLine="482" w:firstLineChars="200"/>
        <w:rPr>
          <w:rFonts w:hint="default"/>
          <w:color w:val="8FAADB"/>
        </w:rPr>
      </w:pPr>
      <w:r>
        <w:rPr>
          <w:rFonts w:hint="default" w:ascii="Times New Roman" w:hAnsi="Times New Roman"/>
          <w:b/>
          <w:bCs/>
          <w:color w:val="8EAADB"/>
        </w:rPr>
        <w:t xml:space="preserve">2  </w:t>
      </w:r>
      <w:r>
        <w:rPr>
          <w:color w:val="8FAADB"/>
        </w:rPr>
        <w:t>LED照明光源是发光效率最高的照明光源之一，应优先选用；照明光源的有关技术参数应满足相关标准要求，以保障视觉健康。</w:t>
      </w:r>
    </w:p>
    <w:p w14:paraId="6DA0FC0F">
      <w:pPr>
        <w:pStyle w:val="27"/>
        <w:widowControl/>
        <w:ind w:firstLine="482" w:firstLineChars="200"/>
        <w:rPr>
          <w:rFonts w:hint="default"/>
          <w:color w:val="8FAADB"/>
        </w:rPr>
      </w:pPr>
      <w:r>
        <w:rPr>
          <w:rFonts w:hint="default" w:ascii="Times New Roman" w:hAnsi="Times New Roman"/>
          <w:b/>
          <w:bCs/>
          <w:color w:val="8EAADB"/>
        </w:rPr>
        <w:t xml:space="preserve">3  </w:t>
      </w:r>
      <w:r>
        <w:rPr>
          <w:color w:val="8FAADB"/>
        </w:rPr>
        <w:t>采用光导管系统，可改善室内空间的采光，减少人工照明的使用，降低照明能耗。</w:t>
      </w:r>
    </w:p>
    <w:p w14:paraId="53F2C1E9">
      <w:pPr>
        <w:pStyle w:val="27"/>
        <w:widowControl/>
        <w:ind w:firstLine="482" w:firstLineChars="200"/>
        <w:rPr>
          <w:rFonts w:hint="default"/>
          <w:color w:val="8FAADB"/>
        </w:rPr>
      </w:pPr>
      <w:r>
        <w:rPr>
          <w:rFonts w:hint="default" w:ascii="Times New Roman" w:hAnsi="Times New Roman"/>
          <w:b/>
          <w:bCs/>
          <w:color w:val="8EAADB"/>
        </w:rPr>
        <w:t xml:space="preserve">4  </w:t>
      </w:r>
      <w:r>
        <w:rPr>
          <w:color w:val="8FAADB"/>
        </w:rPr>
        <w:t>户内照明有条件时可采用家居智能照明控制或纳入智能家居控制系统；居住建筑的公共区域如入户大堂、电梯厅、楼梯间及地下车库等场所，可采用就地感应控制，包括红外、雷达、声波等探测器的自动控制装置，通过自动开关或调光实现节能控制。</w:t>
      </w:r>
    </w:p>
    <w:p w14:paraId="2305E83B">
      <w:pPr>
        <w:pStyle w:val="27"/>
        <w:widowControl/>
        <w:ind w:firstLine="482" w:firstLineChars="200"/>
        <w:rPr>
          <w:rFonts w:hint="default"/>
          <w:color w:val="8FAADB"/>
        </w:rPr>
      </w:pPr>
      <w:r>
        <w:rPr>
          <w:rFonts w:hint="default" w:ascii="Times New Roman" w:hAnsi="Times New Roman"/>
          <w:b/>
          <w:bCs/>
          <w:color w:val="8EAADB"/>
        </w:rPr>
        <w:t xml:space="preserve">5  </w:t>
      </w:r>
      <w:r>
        <w:rPr>
          <w:color w:val="8FAADB"/>
        </w:rPr>
        <w:t>室外道路照明和景观照明应根据季节、天气和时间段进行自动控制，有条件时可进行调光控制。</w:t>
      </w:r>
    </w:p>
    <w:p w14:paraId="34AAD815">
      <w:pPr>
        <w:pStyle w:val="27"/>
        <w:widowControl/>
        <w:rPr>
          <w:rFonts w:hint="default"/>
        </w:rPr>
      </w:pPr>
      <w:r>
        <w:rPr>
          <w:rFonts w:hint="default" w:ascii="Times New Roman" w:hAnsi="Times New Roman"/>
          <w:b/>
          <w:bCs/>
        </w:rPr>
        <w:t xml:space="preserve">5.4.2  </w:t>
      </w:r>
      <w:r>
        <w:t>垂直电梯应采用变频调速或能量反馈等节能措施，当设有两台及以上电梯集中排列时，应具备群控功能。</w:t>
      </w:r>
    </w:p>
    <w:p w14:paraId="19305D65">
      <w:pPr>
        <w:pStyle w:val="27"/>
        <w:widowControl/>
        <w:spacing w:line="26" w:lineRule="atLeast"/>
        <w:rPr>
          <w:rFonts w:hint="default"/>
          <w:color w:val="8FAADB"/>
        </w:rPr>
      </w:pPr>
      <w:r>
        <w:rPr>
          <w:b/>
          <w:bCs/>
          <w:color w:val="8FAADB"/>
          <w:szCs w:val="24"/>
        </w:rPr>
        <w:t>【条文说明】</w:t>
      </w:r>
      <w:r>
        <w:rPr>
          <w:color w:val="8FAADB"/>
        </w:rPr>
        <w:t>电梯能耗是建筑能耗的重要组成部分。垂直电梯应采用变频调速拖动方式；有条件时可采用能源回馈技术，将运动中负载上的机械能再生为电能；当两台及以上电梯集中设置时，应具备群控功能，优化减少轿厢行程；当电梯无外部召唤时，且电梯轿厢内一段时间无预设指令时，应自动关闭轿厢照明及风扇，降低轿厢待机能耗。</w:t>
      </w:r>
    </w:p>
    <w:p w14:paraId="6F7BB545">
      <w:pPr>
        <w:pStyle w:val="27"/>
        <w:widowControl/>
        <w:rPr>
          <w:rFonts w:hint="default"/>
        </w:rPr>
      </w:pPr>
      <w:r>
        <w:rPr>
          <w:rFonts w:hint="default" w:ascii="Times New Roman" w:hAnsi="Times New Roman"/>
          <w:b/>
          <w:bCs/>
        </w:rPr>
        <w:t xml:space="preserve">5.4.3  </w:t>
      </w:r>
      <w:r>
        <w:t>居住建筑宜设置室内环境监测系统，并应符合下列规定:</w:t>
      </w:r>
    </w:p>
    <w:p w14:paraId="77E60024">
      <w:pPr>
        <w:pStyle w:val="27"/>
        <w:widowControl/>
        <w:ind w:firstLine="482" w:firstLineChars="200"/>
        <w:rPr>
          <w:rFonts w:hint="default"/>
        </w:rPr>
      </w:pPr>
      <w:r>
        <w:rPr>
          <w:rFonts w:hint="default" w:ascii="Times New Roman" w:hAnsi="Times New Roman"/>
          <w:b/>
          <w:bCs/>
        </w:rPr>
        <w:t xml:space="preserve">1  </w:t>
      </w:r>
      <w:r>
        <w:t>应能够对室内二氧化碳、</w:t>
      </w:r>
      <w:r>
        <w:rPr>
          <w:rFonts w:hint="default" w:ascii="Times New Roman" w:hAnsi="Times New Roman"/>
        </w:rPr>
        <w:t>PM2.5</w:t>
      </w:r>
      <w:r>
        <w:rPr>
          <w:rFonts w:ascii="Times New Roman" w:hAnsi="Times New Roman"/>
        </w:rPr>
        <w:t>、</w:t>
      </w:r>
      <w:r>
        <w:rPr>
          <w:rFonts w:hint="default" w:ascii="Times New Roman" w:hAnsi="Times New Roman"/>
        </w:rPr>
        <w:t>PM10</w:t>
      </w:r>
      <w:r>
        <w:t>等环境关键参数进行监测和记录，新风系统应根据以上参数的变化，实现相应设备的启停和风量调节。</w:t>
      </w:r>
    </w:p>
    <w:p w14:paraId="4DA04A75">
      <w:pPr>
        <w:pStyle w:val="27"/>
        <w:widowControl/>
        <w:ind w:firstLine="482" w:firstLineChars="200"/>
        <w:rPr>
          <w:rFonts w:hint="default"/>
        </w:rPr>
      </w:pPr>
      <w:r>
        <w:rPr>
          <w:rFonts w:hint="default" w:ascii="Times New Roman" w:hAnsi="Times New Roman"/>
          <w:b/>
          <w:bCs/>
        </w:rPr>
        <w:t xml:space="preserve">2  </w:t>
      </w:r>
      <w:r>
        <w:t>空调系统应能够根据室内温度实现自动启停。</w:t>
      </w:r>
    </w:p>
    <w:p w14:paraId="19553B34">
      <w:pPr>
        <w:pStyle w:val="27"/>
        <w:widowControl/>
        <w:ind w:firstLine="482" w:firstLineChars="200"/>
        <w:rPr>
          <w:rFonts w:hint="default"/>
        </w:rPr>
      </w:pPr>
      <w:r>
        <w:rPr>
          <w:rFonts w:hint="default" w:ascii="Times New Roman" w:hAnsi="Times New Roman"/>
          <w:b/>
          <w:bCs/>
        </w:rPr>
        <w:t xml:space="preserve">3  </w:t>
      </w:r>
      <w:r>
        <w:t>地下车库应设置与排风设备联动的一氧化碳浓度监测装置。</w:t>
      </w:r>
    </w:p>
    <w:p w14:paraId="75CD056A">
      <w:pPr>
        <w:pStyle w:val="27"/>
        <w:widowControl/>
        <w:spacing w:line="26" w:lineRule="atLeast"/>
        <w:rPr>
          <w:rFonts w:hint="default"/>
          <w:color w:val="8FAADB"/>
        </w:rPr>
      </w:pPr>
      <w:r>
        <w:rPr>
          <w:b/>
          <w:bCs/>
          <w:color w:val="8FAADB"/>
          <w:szCs w:val="24"/>
        </w:rPr>
        <w:t>【条文说明】</w:t>
      </w:r>
      <w:r>
        <w:rPr>
          <w:color w:val="8FAADB"/>
        </w:rPr>
        <w:t>建筑的低能耗必须在保障建筑的基本功能和舒适健康的室内环境的前提下实现，因此宜设置室内环境监测系统，对温度、湿度、二氧化碳、PM2.5及一氧化碳等关键室内环境指标进行监测和记录，并联动各相关设备自动启停。系统应对室内主要功能空间进行监测，监测数据应能上传到管理平台。</w:t>
      </w:r>
    </w:p>
    <w:p w14:paraId="5555B74E">
      <w:pPr>
        <w:pStyle w:val="27"/>
        <w:widowControl/>
        <w:rPr>
          <w:rFonts w:hint="default"/>
        </w:rPr>
      </w:pPr>
      <w:r>
        <w:rPr>
          <w:rFonts w:hint="default" w:ascii="Times New Roman" w:hAnsi="Times New Roman"/>
          <w:b/>
          <w:bCs/>
        </w:rPr>
        <w:t xml:space="preserve">5.4.4  </w:t>
      </w:r>
      <w:r>
        <w:t>居住建筑宜对能耗进行分类分项计量,并应符合下列规定：</w:t>
      </w:r>
    </w:p>
    <w:p w14:paraId="546618A8">
      <w:pPr>
        <w:pStyle w:val="27"/>
        <w:widowControl/>
        <w:ind w:firstLine="482" w:firstLineChars="200"/>
        <w:rPr>
          <w:rFonts w:hint="default"/>
        </w:rPr>
      </w:pPr>
      <w:r>
        <w:rPr>
          <w:rFonts w:hint="default" w:ascii="Times New Roman" w:hAnsi="Times New Roman"/>
          <w:b/>
          <w:bCs/>
        </w:rPr>
        <w:t xml:space="preserve">1  </w:t>
      </w:r>
      <w:r>
        <w:t>对公共部位使用的主要用能系统进行分类计量，并对照明、电梯、风机、水泵等设备用电进行分项计量。</w:t>
      </w:r>
    </w:p>
    <w:p w14:paraId="6BCCBF64">
      <w:pPr>
        <w:pStyle w:val="27"/>
        <w:widowControl/>
        <w:ind w:firstLine="482" w:firstLineChars="200"/>
        <w:rPr>
          <w:rFonts w:hint="default"/>
        </w:rPr>
      </w:pPr>
      <w:r>
        <w:rPr>
          <w:rFonts w:hint="default" w:ascii="Times New Roman" w:hAnsi="Times New Roman"/>
          <w:b/>
          <w:bCs/>
        </w:rPr>
        <w:t xml:space="preserve">2  </w:t>
      </w:r>
      <w:r>
        <w:t>对典型户的供暖、空调、照明、生活热水等能耗进行分项分类计量。 电能计量宜采用具有分时段计费、数据远传功能的智能电表。</w:t>
      </w:r>
    </w:p>
    <w:p w14:paraId="28D761C8">
      <w:pPr>
        <w:pStyle w:val="27"/>
        <w:widowControl/>
        <w:ind w:firstLine="482" w:firstLineChars="200"/>
        <w:rPr>
          <w:rFonts w:hint="default"/>
        </w:rPr>
      </w:pPr>
      <w:r>
        <w:rPr>
          <w:rFonts w:hint="default" w:ascii="Times New Roman" w:hAnsi="Times New Roman"/>
          <w:b/>
          <w:bCs/>
        </w:rPr>
        <w:t xml:space="preserve">3  </w:t>
      </w:r>
      <w:r>
        <w:t>当采用可再生能源时，应对其发电量及供冷热量进行单独计量。</w:t>
      </w:r>
    </w:p>
    <w:p w14:paraId="69CEF245">
      <w:pPr>
        <w:pStyle w:val="27"/>
        <w:widowControl/>
        <w:spacing w:line="26" w:lineRule="atLeast"/>
        <w:rPr>
          <w:rFonts w:hint="default"/>
          <w:color w:val="8FAADB"/>
        </w:rPr>
      </w:pPr>
      <w:r>
        <w:rPr>
          <w:b/>
          <w:bCs/>
          <w:color w:val="8FAADB"/>
          <w:szCs w:val="24"/>
        </w:rPr>
        <w:t>【条文说明】</w:t>
      </w:r>
      <w:r>
        <w:rPr>
          <w:color w:val="8FAADB"/>
        </w:rPr>
        <w:t>为实现建筑的超低能耗目标，需分析建筑各项能耗是否合理，并监测关键用能设备的能耗和效率，以便发现问题并加以改进。故而应设置能耗监测系统，对建筑分类分项能耗进行监测和记录。</w:t>
      </w:r>
    </w:p>
    <w:p w14:paraId="43313F3F">
      <w:pPr>
        <w:pStyle w:val="27"/>
        <w:widowControl/>
        <w:rPr>
          <w:rFonts w:hint="default"/>
          <w:color w:val="8FAADB"/>
        </w:rPr>
      </w:pPr>
      <w:r>
        <w:rPr>
          <w:color w:val="8FAADB"/>
        </w:rPr>
        <w:t>典型户型宜选择顶层、低层、典型层的不同朝向用户，宜设置照明、空调、厨卫、插座等分项能耗进行计量。建议计量户数不少于同类型总户数的2%，且不少于5户。</w:t>
      </w:r>
    </w:p>
    <w:p w14:paraId="5354293B">
      <w:pPr>
        <w:pStyle w:val="27"/>
        <w:widowControl/>
        <w:rPr>
          <w:rFonts w:hint="default"/>
        </w:rPr>
      </w:pPr>
      <w:r>
        <w:rPr>
          <w:rFonts w:hint="default" w:ascii="Times New Roman" w:hAnsi="Times New Roman"/>
          <w:b/>
          <w:bCs/>
        </w:rPr>
        <w:t xml:space="preserve">5.4.5  </w:t>
      </w:r>
      <w:r>
        <w:t>宜设置太阳能光伏发电系统，并优先利用其能源的供给。</w:t>
      </w:r>
    </w:p>
    <w:p w14:paraId="5EBE9200">
      <w:pPr>
        <w:pStyle w:val="27"/>
        <w:widowControl/>
        <w:spacing w:line="26" w:lineRule="atLeast"/>
        <w:rPr>
          <w:rFonts w:hint="default"/>
        </w:rPr>
      </w:pPr>
      <w:r>
        <w:rPr>
          <w:rFonts w:cs="宋体"/>
          <w:lang w:bidi="ar"/>
        </w:rPr>
        <w:br w:type="page"/>
      </w:r>
    </w:p>
    <w:bookmarkEnd w:id="151"/>
    <w:p w14:paraId="4FF3F479">
      <w:pPr>
        <w:pStyle w:val="2"/>
        <w:widowControl/>
        <w:rPr>
          <w:rFonts w:ascii="Calibri" w:hAnsi="Calibri"/>
          <w:b w:val="0"/>
        </w:rPr>
      </w:pPr>
      <w:bookmarkStart w:id="152" w:name="_Toc27009"/>
      <w:bookmarkStart w:id="153" w:name="_Toc5614"/>
      <w:bookmarkStart w:id="154" w:name="_Toc24954"/>
      <w:bookmarkStart w:id="155" w:name="_Toc13012"/>
      <w:bookmarkStart w:id="156" w:name="_Toc15264"/>
      <w:bookmarkStart w:id="157" w:name="_Toc16650"/>
      <w:bookmarkStart w:id="158" w:name="_Toc31430"/>
      <w:bookmarkStart w:id="159" w:name="_Toc19229"/>
      <w:r>
        <w:rPr>
          <w:rStyle w:val="22"/>
          <w:rFonts w:ascii="Times New Roman" w:hAnsi="Times New Roman" w:cs="Times New Roman"/>
          <w:b w:val="0"/>
        </w:rPr>
        <w:t>6</w:t>
      </w:r>
      <w:r>
        <w:rPr>
          <w:rStyle w:val="22"/>
          <w:rFonts w:ascii="Calibri" w:hAnsi="Calibri" w:cs="Times New Roman"/>
          <w:b w:val="0"/>
        </w:rPr>
        <w:t xml:space="preserve">  </w:t>
      </w:r>
      <w:r>
        <w:rPr>
          <w:rStyle w:val="22"/>
          <w:rFonts w:hint="eastAsia" w:ascii="Calibri" w:hAnsi="Calibri" w:cs="Times New Roman"/>
          <w:b w:val="0"/>
        </w:rPr>
        <w:t>可再生能源综合应用</w:t>
      </w:r>
      <w:bookmarkEnd w:id="152"/>
      <w:bookmarkEnd w:id="153"/>
      <w:bookmarkEnd w:id="154"/>
      <w:bookmarkEnd w:id="155"/>
      <w:bookmarkEnd w:id="156"/>
      <w:bookmarkEnd w:id="157"/>
      <w:bookmarkEnd w:id="158"/>
    </w:p>
    <w:bookmarkEnd w:id="159"/>
    <w:p w14:paraId="5CF6A411">
      <w:pPr>
        <w:pStyle w:val="4"/>
        <w:widowControl/>
      </w:pPr>
      <w:bookmarkStart w:id="160" w:name="_Toc4943"/>
      <w:bookmarkStart w:id="161" w:name="_Toc1475"/>
      <w:bookmarkStart w:id="162" w:name="_Toc24795"/>
      <w:bookmarkStart w:id="163" w:name="_Toc21030"/>
      <w:bookmarkStart w:id="164" w:name="_Toc20859"/>
      <w:bookmarkStart w:id="165" w:name="_Toc1912"/>
      <w:bookmarkStart w:id="166" w:name="_Toc7748"/>
      <w:bookmarkStart w:id="167" w:name="_Toc28225"/>
      <w:r>
        <w:rPr>
          <w:rFonts w:ascii="Times New Roman" w:hAnsi="Times New Roman"/>
        </w:rPr>
        <w:t>6.1</w:t>
      </w:r>
      <w:r>
        <w:t xml:space="preserve">  </w:t>
      </w:r>
      <w:r>
        <w:rPr>
          <w:rFonts w:hint="eastAsia" w:cs="宋体"/>
        </w:rPr>
        <w:t>一般规定</w:t>
      </w:r>
      <w:bookmarkEnd w:id="160"/>
      <w:bookmarkEnd w:id="161"/>
      <w:bookmarkEnd w:id="162"/>
      <w:bookmarkEnd w:id="163"/>
      <w:bookmarkEnd w:id="164"/>
      <w:bookmarkEnd w:id="165"/>
      <w:bookmarkEnd w:id="166"/>
      <w:bookmarkEnd w:id="167"/>
    </w:p>
    <w:p w14:paraId="7D00FF68">
      <w:pPr>
        <w:pStyle w:val="27"/>
        <w:widowControl/>
        <w:rPr>
          <w:rFonts w:hint="default"/>
        </w:rPr>
      </w:pPr>
      <w:r>
        <w:rPr>
          <w:rFonts w:hint="default" w:ascii="Times New Roman" w:hAnsi="Times New Roman"/>
          <w:b/>
          <w:bCs/>
        </w:rPr>
        <w:t xml:space="preserve">6.1.1  </w:t>
      </w:r>
      <w:r>
        <w:t>可再生能源的利用应根据当地气候、地理、场地、建筑类型、经济、技术水平、能效目标等因素合理选择。</w:t>
      </w:r>
    </w:p>
    <w:p w14:paraId="2A5333D1">
      <w:pPr>
        <w:pStyle w:val="27"/>
        <w:widowControl/>
        <w:spacing w:line="26" w:lineRule="atLeast"/>
        <w:rPr>
          <w:rFonts w:hint="default"/>
          <w:color w:val="8FAADB"/>
        </w:rPr>
      </w:pPr>
      <w:r>
        <w:rPr>
          <w:b/>
          <w:bCs/>
          <w:color w:val="8FAADB"/>
          <w:szCs w:val="24"/>
        </w:rPr>
        <w:t>【条文说明】</w:t>
      </w:r>
      <w:r>
        <w:rPr>
          <w:color w:val="8FAADB"/>
        </w:rPr>
        <w:t>在制定超低能耗居住建筑可再生能源利用方案时，需要全面考虑气候、地理、场地、建筑类型、经济、技术水平和能效目标等多种因素，以制定出既能满足建筑能源需求，又能实现高效、经济、可持续利用可再生能源的综合性解决方案。</w:t>
      </w:r>
    </w:p>
    <w:p w14:paraId="54F7964B">
      <w:pPr>
        <w:pStyle w:val="27"/>
        <w:widowControl/>
        <w:rPr>
          <w:rFonts w:hint="default"/>
        </w:rPr>
      </w:pPr>
      <w:r>
        <w:rPr>
          <w:rFonts w:hint="default" w:ascii="Times New Roman" w:hAnsi="Times New Roman"/>
          <w:b/>
          <w:bCs/>
        </w:rPr>
        <w:t xml:space="preserve">6.1.2  </w:t>
      </w:r>
      <w:r>
        <w:t>当有多种可再生能源供给条件时，应根据系统能效对比情况对可再生能源的利用进行优化组合，选择利用一种或多种可再生能源。</w:t>
      </w:r>
    </w:p>
    <w:p w14:paraId="394D8C05">
      <w:pPr>
        <w:pStyle w:val="27"/>
        <w:widowControl/>
        <w:spacing w:line="26" w:lineRule="atLeast"/>
        <w:rPr>
          <w:rFonts w:hint="default"/>
          <w:color w:val="8FAADB"/>
        </w:rPr>
      </w:pPr>
      <w:r>
        <w:rPr>
          <w:b/>
          <w:bCs/>
          <w:color w:val="8FAADB"/>
          <w:szCs w:val="24"/>
        </w:rPr>
        <w:t>【条文说明】</w:t>
      </w:r>
      <w:r>
        <w:rPr>
          <w:color w:val="8FAADB"/>
        </w:rPr>
        <w:t>在面对多种可再生能源供给条件时，需要以系统能效对比为基础，进行深入的综合分析与优化配置，选择最适宜的可再生能源组合模式，以期在保证建筑能源供应安全、稳定的同时，最大限度地提升能源利用效率，降低能源成本，助力实现超低能耗建筑的能效目标与可持续发展。</w:t>
      </w:r>
    </w:p>
    <w:p w14:paraId="6F016E4F">
      <w:pPr>
        <w:pStyle w:val="4"/>
        <w:widowControl/>
      </w:pPr>
      <w:bookmarkStart w:id="168" w:name="_Toc21996"/>
      <w:bookmarkStart w:id="169" w:name="_Toc11616"/>
      <w:bookmarkStart w:id="170" w:name="_Toc29525"/>
      <w:bookmarkStart w:id="171" w:name="_Toc6812"/>
      <w:bookmarkStart w:id="172" w:name="_Toc626"/>
      <w:bookmarkStart w:id="173" w:name="_Toc29074"/>
      <w:bookmarkStart w:id="174" w:name="_Toc3464"/>
      <w:bookmarkStart w:id="175" w:name="_Toc32062"/>
      <w:r>
        <w:rPr>
          <w:rFonts w:ascii="Times New Roman" w:hAnsi="Times New Roman"/>
        </w:rPr>
        <w:t>6.2</w:t>
      </w:r>
      <w:r>
        <w:t xml:space="preserve">  </w:t>
      </w:r>
      <w:r>
        <w:rPr>
          <w:rFonts w:hint="eastAsia" w:cs="宋体"/>
        </w:rPr>
        <w:t>太阳能</w:t>
      </w:r>
      <w:bookmarkEnd w:id="168"/>
      <w:bookmarkEnd w:id="169"/>
      <w:r>
        <w:rPr>
          <w:rFonts w:hint="eastAsia" w:cs="宋体"/>
        </w:rPr>
        <w:t>系统</w:t>
      </w:r>
      <w:bookmarkEnd w:id="170"/>
      <w:bookmarkEnd w:id="171"/>
      <w:bookmarkEnd w:id="172"/>
      <w:bookmarkEnd w:id="173"/>
      <w:bookmarkEnd w:id="174"/>
      <w:bookmarkEnd w:id="175"/>
    </w:p>
    <w:p w14:paraId="24F1CC61">
      <w:pPr>
        <w:pStyle w:val="27"/>
        <w:widowControl/>
        <w:rPr>
          <w:rFonts w:hint="default"/>
        </w:rPr>
      </w:pPr>
      <w:r>
        <w:rPr>
          <w:rFonts w:hint="default" w:ascii="Times New Roman" w:hAnsi="Times New Roman"/>
          <w:b/>
          <w:bCs/>
        </w:rPr>
        <w:t xml:space="preserve">6.2.1  </w:t>
      </w:r>
      <w:r>
        <w:t>低、多层居住建筑和高层居住建筑的顶部六层可优先采用太阳能热水系统，并应符合现行国家标准《建筑给水排水设计标准》GB50015的相关规定。</w:t>
      </w:r>
    </w:p>
    <w:p w14:paraId="6B3A6C7E">
      <w:pPr>
        <w:pStyle w:val="27"/>
        <w:widowControl/>
        <w:spacing w:line="26" w:lineRule="atLeast"/>
        <w:rPr>
          <w:rFonts w:hint="default"/>
        </w:rPr>
      </w:pPr>
      <w:r>
        <w:rPr>
          <w:b/>
          <w:bCs/>
          <w:color w:val="8FAADB"/>
          <w:szCs w:val="24"/>
        </w:rPr>
        <w:t>【条文说明】</w:t>
      </w:r>
      <w:r>
        <w:rPr>
          <w:color w:val="8FAADB"/>
        </w:rPr>
        <w:t>在现有技术水平下，太阳能热水系统的能源转化率明显高于光伏发电系统，然而，考虑到太阳能热水系统的的集热装置若距离用水点果园，可能为使用带来不便，本条建议低、多层居住建筑和高层居住建筑的顶部六层可优先采用太阳能热水系统。同时，此类系统的设计应符合现行国家标准《建筑给水排水设计标准》GB50015的相关规定，以确保系统的安全性、可靠性和功能性，保障用户使用体验与建筑整体能效。</w:t>
      </w:r>
    </w:p>
    <w:p w14:paraId="3B611403">
      <w:pPr>
        <w:pStyle w:val="27"/>
        <w:widowControl/>
        <w:rPr>
          <w:rFonts w:hint="default"/>
        </w:rPr>
      </w:pPr>
      <w:r>
        <w:rPr>
          <w:rFonts w:hint="default" w:ascii="Times New Roman" w:hAnsi="Times New Roman"/>
          <w:b/>
          <w:bCs/>
        </w:rPr>
        <w:t xml:space="preserve">6.2.2  </w:t>
      </w:r>
      <w:r>
        <w:t>太阳能热水系统的太阳能保证率宜按照大于50%设计；</w:t>
      </w:r>
    </w:p>
    <w:p w14:paraId="164982D8">
      <w:pPr>
        <w:pStyle w:val="27"/>
        <w:widowControl/>
        <w:spacing w:line="26" w:lineRule="atLeast"/>
        <w:rPr>
          <w:rFonts w:hint="default"/>
        </w:rPr>
      </w:pPr>
      <w:r>
        <w:rPr>
          <w:b/>
          <w:bCs/>
          <w:color w:val="8FAADB"/>
          <w:szCs w:val="24"/>
        </w:rPr>
        <w:t>【条文说明】</w:t>
      </w:r>
      <w:r>
        <w:rPr>
          <w:color w:val="8FAADB"/>
        </w:rPr>
        <w:t>本条建议太阳能热水系统的太阳能保证率设计为大于50%。这一数值设定可为进行太阳能热水系统设计时提供了明确的性能指标参考，有助于设计时在系统规模、集热器类型、储热容量、辅助能源配备等方面做出科学合理的决策，确保系统设计既能满足用户热水需求，又能实现较高的太阳能利用率和良好的节能效果。通过设定高于50%的太阳能保证率，旨在确保太阳能热水系统能够在大部分时间里有效利用太阳能资源，减少对辅助能源（如电、燃气等）的依赖，从而显著降低建筑热水供应的能耗，符合超低能耗建筑的节能目标。</w:t>
      </w:r>
    </w:p>
    <w:p w14:paraId="1D2D6473">
      <w:pPr>
        <w:pStyle w:val="27"/>
        <w:widowControl/>
        <w:rPr>
          <w:rFonts w:hint="default"/>
        </w:rPr>
      </w:pPr>
      <w:r>
        <w:rPr>
          <w:rFonts w:hint="default" w:ascii="Times New Roman" w:hAnsi="Times New Roman"/>
          <w:b/>
          <w:bCs/>
        </w:rPr>
        <w:t xml:space="preserve">6.2.3  </w:t>
      </w:r>
      <w:r>
        <w:t>太阳能热水系统的辅助热源宜采用空气源热泵；</w:t>
      </w:r>
    </w:p>
    <w:p w14:paraId="71734A4B">
      <w:pPr>
        <w:pStyle w:val="27"/>
        <w:widowControl/>
        <w:spacing w:line="26" w:lineRule="atLeast"/>
        <w:rPr>
          <w:rFonts w:hint="default"/>
          <w:color w:val="8FAADB"/>
        </w:rPr>
      </w:pPr>
      <w:r>
        <w:rPr>
          <w:b/>
          <w:bCs/>
          <w:color w:val="8FAADB"/>
          <w:szCs w:val="24"/>
        </w:rPr>
        <w:t>【条文说明】</w:t>
      </w:r>
      <w:r>
        <w:rPr>
          <w:color w:val="8FAADB"/>
        </w:rPr>
        <w:t>空气源热泵是一种高效、环保的热能转换设备，利用少量电能驱动压缩机，从空气中吸取大量热量，用于加热热水。相较于传统电加热、燃气锅炉等辅助热源，空气源热泵具有更高的能效比，运行成本更低，且无燃烧过程，减少了温室气体排放。本条规定旨在为设计人员在选择太阳能热水系统辅助热源时提供明确的推荐方向，有助于他们在兼顾系统性能、运行成本、环保性能等方面做出最优选择，确保辅助热源与太阳能热水系统高效协同，共同实现超低能耗建筑的节能目标。</w:t>
      </w:r>
    </w:p>
    <w:p w14:paraId="6EF61A20">
      <w:pPr>
        <w:pStyle w:val="27"/>
        <w:widowControl/>
        <w:rPr>
          <w:rFonts w:hint="default"/>
        </w:rPr>
      </w:pPr>
      <w:r>
        <w:rPr>
          <w:rFonts w:hint="default" w:ascii="Times New Roman" w:hAnsi="Times New Roman"/>
          <w:b/>
          <w:bCs/>
        </w:rPr>
        <w:t xml:space="preserve">6.2.4  </w:t>
      </w:r>
      <w:r>
        <w:t>太阳能与建筑的结合应考虑建筑的美观，宜与建筑有机结合。</w:t>
      </w:r>
    </w:p>
    <w:p w14:paraId="725539A1">
      <w:pPr>
        <w:pStyle w:val="27"/>
        <w:widowControl/>
        <w:spacing w:line="26" w:lineRule="atLeast"/>
        <w:rPr>
          <w:rFonts w:hint="default"/>
          <w:color w:val="8FAADB"/>
        </w:rPr>
      </w:pPr>
      <w:r>
        <w:rPr>
          <w:b/>
          <w:bCs/>
          <w:color w:val="8FAADB"/>
          <w:szCs w:val="24"/>
        </w:rPr>
        <w:t>【条文说明】</w:t>
      </w:r>
      <w:r>
        <w:rPr>
          <w:color w:val="8FAADB"/>
        </w:rPr>
        <w:t>本条规定为设计人员在进行太阳能系统与建筑融合设计时提供了美学与功能结合的指导原则，有助于他们在兼顾建筑美观与太阳能利用效率的同时，创造出既有科技感又不失艺术美感的绿色建筑，提升超低能耗居住建筑的品质与形象。</w:t>
      </w:r>
    </w:p>
    <w:p w14:paraId="4A90C701">
      <w:pPr>
        <w:pStyle w:val="7"/>
        <w:widowControl/>
        <w:spacing w:line="312" w:lineRule="auto"/>
        <w:ind w:firstLine="480" w:firstLineChars="200"/>
        <w:rPr>
          <w:rFonts w:hint="default"/>
          <w:color w:val="8FAADB"/>
          <w:sz w:val="24"/>
          <w:szCs w:val="28"/>
        </w:rPr>
      </w:pPr>
      <w:r>
        <w:rPr>
          <w:color w:val="8FAADB"/>
          <w:sz w:val="24"/>
          <w:szCs w:val="28"/>
        </w:rPr>
        <w:t>太阳能系统作为建筑的一部分，其形态、色彩、材质等应与建筑整体风格协调统一，避免因太阳能设备的安装而破坏建筑原有的美感。本条强调在设计太阳能系统时应充分考虑建筑的美观性，确保太阳能设施与建筑外观和谐共生。</w:t>
      </w:r>
    </w:p>
    <w:p w14:paraId="2F2F5266">
      <w:pPr>
        <w:pStyle w:val="7"/>
        <w:widowControl/>
        <w:spacing w:line="312" w:lineRule="auto"/>
        <w:ind w:firstLine="480" w:firstLineChars="200"/>
        <w:rPr>
          <w:rFonts w:hint="default"/>
          <w:color w:val="8FAADB"/>
          <w:sz w:val="24"/>
          <w:szCs w:val="28"/>
        </w:rPr>
      </w:pPr>
      <w:r>
        <w:rPr>
          <w:color w:val="8FAADB"/>
          <w:sz w:val="24"/>
          <w:szCs w:val="28"/>
        </w:rPr>
        <w:t>太阳能系统与建筑的结合不应仅仅是简单的附着或堆砌，而应寻求与建筑结构、功能、环境等方面的深度融合，如利用建筑立面、屋面、阳台等空间安装太阳能集热器、光伏板等设备，或者将太阳能设施与建筑构件（如窗户、遮阳、绿化等）一体化设计，使太阳能设施成为建筑造型与功能的有机组成部分。</w:t>
      </w:r>
    </w:p>
    <w:p w14:paraId="4578CF26">
      <w:pPr>
        <w:pStyle w:val="27"/>
        <w:widowControl/>
        <w:rPr>
          <w:rFonts w:hint="default"/>
        </w:rPr>
      </w:pPr>
      <w:r>
        <w:rPr>
          <w:rFonts w:hint="default" w:ascii="Times New Roman" w:hAnsi="Times New Roman"/>
          <w:b/>
          <w:bCs/>
        </w:rPr>
        <w:t xml:space="preserve">6.2.5  </w:t>
      </w:r>
      <w:r>
        <w:t>太阳能系统设施不得降低建筑本身和相邻建筑或场地的日照标准。</w:t>
      </w:r>
    </w:p>
    <w:p w14:paraId="46AFB235">
      <w:pPr>
        <w:pStyle w:val="27"/>
        <w:widowControl/>
        <w:spacing w:line="26" w:lineRule="atLeast"/>
        <w:rPr>
          <w:rFonts w:hint="default"/>
          <w:color w:val="8FAADB"/>
        </w:rPr>
      </w:pPr>
      <w:r>
        <w:rPr>
          <w:b/>
          <w:bCs/>
          <w:color w:val="8FAADB"/>
          <w:szCs w:val="24"/>
        </w:rPr>
        <w:t>【条文说明】</w:t>
      </w:r>
      <w:r>
        <w:rPr>
          <w:color w:val="8FAADB"/>
        </w:rPr>
        <w:t>本条强调在设计太阳能系统设施时，应确保其不会导致建筑本身和相邻建筑或相关有日照标准规定的场地的日照标准下降。如住宅、医院、学校、养老院等对日照有特殊需求的建筑，或如公园、广场、绿地等公共活动空间等敏感场地。在进行日照分析时，应将太阳能设施考虑在内。</w:t>
      </w:r>
    </w:p>
    <w:p w14:paraId="5D546714">
      <w:pPr>
        <w:pStyle w:val="27"/>
        <w:widowControl/>
        <w:rPr>
          <w:rFonts w:hint="default"/>
        </w:rPr>
      </w:pPr>
      <w:r>
        <w:rPr>
          <w:rFonts w:hint="default" w:ascii="Times New Roman" w:hAnsi="Times New Roman"/>
          <w:b/>
          <w:bCs/>
        </w:rPr>
        <w:t xml:space="preserve">6.2.6  </w:t>
      </w:r>
      <w:r>
        <w:t>太阳能热水系统集热部件、光伏组件应能获得充分的日照。严寒、寒冷地区宜有冬至日5h以上有效日照时数；其他地区宜有冬至日4h以上有效日照时数。太阳能集热部件在夏季制冷工况时全天不应有少于6h的日照时数。有效日照时间的确定应符合所在地区的规定，所采用的日照分析软件应具有分析太阳能集热、光伏部件接受有效日照时数的性能。</w:t>
      </w:r>
    </w:p>
    <w:p w14:paraId="0A036394">
      <w:pPr>
        <w:pStyle w:val="27"/>
        <w:widowControl/>
        <w:spacing w:line="26" w:lineRule="atLeast"/>
        <w:rPr>
          <w:rFonts w:hint="default"/>
          <w:color w:val="8FAADB"/>
        </w:rPr>
      </w:pPr>
      <w:r>
        <w:rPr>
          <w:b/>
          <w:bCs/>
          <w:color w:val="8FAADB"/>
          <w:szCs w:val="24"/>
        </w:rPr>
        <w:t>【条文说明】</w:t>
      </w:r>
      <w:r>
        <w:rPr>
          <w:color w:val="8FAADB"/>
        </w:rPr>
        <w:t>本条规定旨在为超低能耗居住建筑太阳能热水系统集热部件、光伏组件的日照要求提供明确的标准和指导，确保太阳能设施在各种气候条件下都能获得充分的日照，实现高效利用太阳能资源。为此，本条在参考了《民用建筑太阳能热水系统应用技术标准》GB 50364-2018、《太阳能光伏发电系统与建筑损体化技术规程》CECS418：2015、《民用建筑太阳能空调工程技术规范》GB50787-2012等标准的基础上，根据不同气候区的特点，给出了不同的有效日照时数标准。严寒、寒冷地区要求冬至日有5小时以上的有效日照时数，其他地区则要求冬至日有4小时以上的有效日照时数。这一标准旨在确保在一年中日照条件最差的冬至日，太阳能设施仍能获得足够的日照，以维持系统的正常运行和基本能源产出。此外，特别针对太阳能集热部件在夏季制冷工况时，提出全天不应有少于6小时的日照时数。这是因为夏季制冷工况下，太阳能集热部件通常用于驱动热泵空调系统，充足的日照时数对于保证空调系统的制冷效果和能源效率至关重要。</w:t>
      </w:r>
    </w:p>
    <w:p w14:paraId="3F0FDB2A">
      <w:pPr>
        <w:pStyle w:val="13"/>
        <w:widowControl/>
        <w:shd w:val="clear" w:color="auto" w:fill="FFFFFF"/>
        <w:adjustRightInd w:val="0"/>
        <w:snapToGrid w:val="0"/>
        <w:spacing w:beforeAutospacing="0" w:afterAutospacing="0" w:line="312" w:lineRule="auto"/>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为确保有效日照时间的计算准确性和可信度，本条还强调了有效日照时间的确定应符合所在地区的相关规定，以及所采用的日照分析软件应具有分析太阳能集热、光伏部件接受有效日照时数的性能。这意味着在进行日照分析时，应使用具有相关功能的专业软件，为太阳能系统的设计、安装和运行提供科学依据。</w:t>
      </w:r>
    </w:p>
    <w:p w14:paraId="5E57AF26">
      <w:pPr>
        <w:pStyle w:val="27"/>
        <w:widowControl/>
        <w:rPr>
          <w:rFonts w:hint="default"/>
        </w:rPr>
      </w:pPr>
      <w:r>
        <w:rPr>
          <w:rFonts w:hint="default" w:ascii="Times New Roman" w:hAnsi="Times New Roman"/>
          <w:b/>
          <w:bCs/>
        </w:rPr>
        <w:t xml:space="preserve">6.2.7  </w:t>
      </w:r>
      <w:r>
        <w:t>太阳能光伏系统宜采用高效，易于维护的组件，提高太阳能利用效率。</w:t>
      </w:r>
    </w:p>
    <w:p w14:paraId="64E73D4A">
      <w:pPr>
        <w:pStyle w:val="27"/>
        <w:widowControl/>
        <w:spacing w:line="26" w:lineRule="atLeast"/>
        <w:rPr>
          <w:rFonts w:hint="default"/>
          <w:color w:val="8FAADB"/>
        </w:rPr>
      </w:pPr>
      <w:r>
        <w:rPr>
          <w:b/>
          <w:bCs/>
          <w:color w:val="8FAADB"/>
          <w:szCs w:val="24"/>
        </w:rPr>
        <w:t>【条文说明】</w:t>
      </w:r>
      <w:r>
        <w:rPr>
          <w:color w:val="8FAADB"/>
        </w:rPr>
        <w:t>通过选择高效、易于维护的组件，可以有效提高太阳能光伏系统的整体性能，降低维护成本，从而提高太阳能资源的利用效率，为超低能耗居住建筑提供更多的清洁能源，降低建筑的能源消耗和碳排放。</w:t>
      </w:r>
    </w:p>
    <w:p w14:paraId="16271CB9">
      <w:pPr>
        <w:pStyle w:val="4"/>
        <w:widowControl/>
      </w:pPr>
      <w:bookmarkStart w:id="176" w:name="_Toc1142"/>
      <w:bookmarkStart w:id="177" w:name="_Toc22014"/>
      <w:bookmarkStart w:id="178" w:name="_Toc24761"/>
      <w:bookmarkStart w:id="179" w:name="_Toc5840"/>
      <w:bookmarkStart w:id="180" w:name="_Toc15535"/>
      <w:bookmarkStart w:id="181" w:name="_Toc11264"/>
      <w:bookmarkStart w:id="182" w:name="_Toc22264"/>
      <w:r>
        <w:rPr>
          <w:rFonts w:ascii="Times New Roman" w:hAnsi="Times New Roman"/>
        </w:rPr>
        <w:t>6.3</w:t>
      </w:r>
      <w:r>
        <w:t xml:space="preserve">  </w:t>
      </w:r>
      <w:r>
        <w:rPr>
          <w:rFonts w:hint="eastAsia" w:cs="宋体"/>
        </w:rPr>
        <w:t>空气源热泵系统</w:t>
      </w:r>
      <w:bookmarkEnd w:id="176"/>
      <w:bookmarkEnd w:id="177"/>
      <w:bookmarkEnd w:id="178"/>
      <w:bookmarkEnd w:id="179"/>
      <w:bookmarkEnd w:id="180"/>
      <w:bookmarkEnd w:id="181"/>
      <w:bookmarkEnd w:id="182"/>
    </w:p>
    <w:p w14:paraId="75859AB4">
      <w:pPr>
        <w:pStyle w:val="27"/>
        <w:widowControl/>
        <w:rPr>
          <w:rFonts w:hint="default"/>
        </w:rPr>
      </w:pPr>
      <w:r>
        <w:rPr>
          <w:rFonts w:hint="default" w:ascii="Times New Roman" w:hAnsi="Times New Roman"/>
          <w:b/>
          <w:bCs/>
        </w:rPr>
        <w:t xml:space="preserve">6.3.1  </w:t>
      </w:r>
      <w:r>
        <w:t>空气源热泵系统设计宜结合当地能源条件，以技术可行、经济合理性为原则，与太阳能、工业余热、燃气锅炉等组成复合式能源供热，并优先与太阳能等可再生能源进行耦合应用。</w:t>
      </w:r>
    </w:p>
    <w:p w14:paraId="218CDFC2">
      <w:pPr>
        <w:pStyle w:val="27"/>
        <w:widowControl/>
        <w:spacing w:line="26" w:lineRule="atLeast"/>
        <w:rPr>
          <w:rFonts w:hint="default"/>
          <w:color w:val="8FAADB"/>
        </w:rPr>
      </w:pPr>
      <w:r>
        <w:rPr>
          <w:b/>
          <w:bCs/>
          <w:color w:val="8FAADB"/>
          <w:szCs w:val="24"/>
        </w:rPr>
        <w:t>【条文说明】</w:t>
      </w:r>
      <w:r>
        <w:rPr>
          <w:color w:val="8FAADB"/>
        </w:rPr>
        <w:t>本条规定旨在引导设计人员在设计超低能耗居住建筑空气源热泵系统时，充分考虑当地能源条件，遵循技术可行与经济合理性原则，积极推广复合式能源供热，并优先与可再生能源耦合应用，以实现能源的高效、清洁、经济利用，助力超低能耗建筑的节能目标。</w:t>
      </w:r>
    </w:p>
    <w:p w14:paraId="3470CC66">
      <w:pPr>
        <w:pStyle w:val="7"/>
        <w:widowControl/>
        <w:adjustRightInd w:val="0"/>
        <w:snapToGrid w:val="0"/>
        <w:spacing w:line="312" w:lineRule="auto"/>
        <w:ind w:firstLine="480" w:firstLineChars="200"/>
        <w:rPr>
          <w:rFonts w:hint="default"/>
          <w:color w:val="8FAADB"/>
          <w:sz w:val="24"/>
          <w:szCs w:val="28"/>
        </w:rPr>
      </w:pPr>
      <w:r>
        <w:rPr>
          <w:color w:val="8FAADB"/>
          <w:sz w:val="24"/>
          <w:szCs w:val="28"/>
        </w:rPr>
        <w:t>空气源热泵系统的规划设计应充分考虑当地的能源资源状况，包括可再生能源（如太阳能、地热能、生物质能等）、常规能源（如电力、燃气、燃煤等）以及工业余热、废热等潜在热源。根据当地能源资源的丰富程度、价格、供应稳定性等因素，合理选择和配置空气源热泵系统与其他能源系统的组合方式。</w:t>
      </w:r>
    </w:p>
    <w:p w14:paraId="665E445D">
      <w:pPr>
        <w:pStyle w:val="7"/>
        <w:widowControl/>
        <w:adjustRightInd w:val="0"/>
        <w:snapToGrid w:val="0"/>
        <w:spacing w:line="312" w:lineRule="auto"/>
        <w:ind w:firstLine="480" w:firstLineChars="200"/>
        <w:rPr>
          <w:rFonts w:hint="default"/>
          <w:color w:val="8FAADB"/>
          <w:sz w:val="24"/>
          <w:szCs w:val="28"/>
        </w:rPr>
      </w:pPr>
      <w:r>
        <w:rPr>
          <w:color w:val="8FAADB"/>
          <w:sz w:val="24"/>
          <w:szCs w:val="28"/>
        </w:rPr>
        <w:t>空气源热泵系统的设计应确保技术上的可行性，即系统应具备稳定的性能、良好的能效、较低的故障率以及适应当地气候条件的能力。同时，设计应遵循经济合理性原则，通过优化系统配置、合理选择设备、精确计算运行成本等方式，确保系统的全生命周期内经济效益最优</w:t>
      </w:r>
    </w:p>
    <w:p w14:paraId="49717F6C">
      <w:pPr>
        <w:pStyle w:val="7"/>
        <w:widowControl/>
        <w:adjustRightInd w:val="0"/>
        <w:snapToGrid w:val="0"/>
        <w:spacing w:line="312" w:lineRule="auto"/>
        <w:ind w:firstLine="480" w:firstLineChars="200"/>
        <w:rPr>
          <w:rFonts w:hint="default"/>
          <w:color w:val="8FAADB"/>
          <w:sz w:val="24"/>
          <w:szCs w:val="28"/>
        </w:rPr>
      </w:pPr>
      <w:r>
        <w:rPr>
          <w:color w:val="8FAADB"/>
          <w:sz w:val="24"/>
          <w:szCs w:val="28"/>
        </w:rPr>
        <w:t>鼓励空气源热泵系统与其他能源系统（如太阳能、工业余热、燃气锅炉等）组成复合式能源供热系统，以实现能源的多元化、互补性利用。复合式能源供热系统可以根据不同能源资源的特性、季节变化、负荷需求等因素，灵活调整各能源系统的运行模式和负荷分配，提高能源利用效率，降低能源成本，增强供热系统的稳定性和可靠性。</w:t>
      </w:r>
    </w:p>
    <w:p w14:paraId="223231B2">
      <w:pPr>
        <w:pStyle w:val="7"/>
        <w:widowControl/>
        <w:adjustRightInd w:val="0"/>
        <w:snapToGrid w:val="0"/>
        <w:spacing w:line="312" w:lineRule="auto"/>
        <w:ind w:firstLine="480" w:firstLineChars="200"/>
        <w:rPr>
          <w:rFonts w:hint="default"/>
          <w:color w:val="8FAADB"/>
          <w:sz w:val="24"/>
          <w:szCs w:val="28"/>
        </w:rPr>
      </w:pPr>
      <w:r>
        <w:rPr>
          <w:color w:val="8FAADB"/>
          <w:sz w:val="24"/>
          <w:szCs w:val="28"/>
        </w:rPr>
        <w:t>在设计空气源热泵系统时，应优先考虑与太阳能等可再生能源进行耦合应用，以充分发挥可再生能源的环保、低碳优势，降低建筑的能源消耗和碳排放。空气源热泵与太阳能的耦合方式可以多样化，如太阳能集热器与热泵系统的联合供热、太阳能光伏与热泵系统的电力供应等，具体应根据实际情况选择最适宜的耦合方式。</w:t>
      </w:r>
    </w:p>
    <w:p w14:paraId="7AA93CDF">
      <w:pPr>
        <w:pStyle w:val="27"/>
        <w:widowControl/>
        <w:rPr>
          <w:rFonts w:hint="default"/>
        </w:rPr>
      </w:pPr>
      <w:r>
        <w:rPr>
          <w:rFonts w:hint="default" w:ascii="Times New Roman" w:hAnsi="Times New Roman"/>
          <w:b/>
          <w:bCs/>
        </w:rPr>
        <w:t xml:space="preserve">6.3.2  </w:t>
      </w:r>
      <w:r>
        <w:t>空气源热泵机组应具有适应室内环境参数变化的变频调节功能和可靠的融霜控制。</w:t>
      </w:r>
    </w:p>
    <w:p w14:paraId="49913497">
      <w:pPr>
        <w:pStyle w:val="27"/>
        <w:widowControl/>
        <w:spacing w:line="26" w:lineRule="atLeast"/>
        <w:rPr>
          <w:rFonts w:hint="default"/>
          <w:color w:val="8FAADB"/>
        </w:rPr>
      </w:pPr>
      <w:r>
        <w:rPr>
          <w:b/>
          <w:bCs/>
          <w:color w:val="8FAADB"/>
          <w:szCs w:val="24"/>
        </w:rPr>
        <w:t>【条文说明】</w:t>
      </w:r>
      <w:r>
        <w:rPr>
          <w:color w:val="8FAADB"/>
        </w:rPr>
        <w:t>空气源热泵机组应具备变频调节功能，即根据室内环境参数（如温度、湿度、</w:t>
      </w:r>
      <w:r>
        <w:rPr>
          <w:rFonts w:hint="default" w:ascii="Times New Roman" w:hAnsi="Times New Roman"/>
          <w:color w:val="8FAADB"/>
        </w:rPr>
        <w:t>CO</w:t>
      </w:r>
      <w:r>
        <w:rPr>
          <w:rFonts w:hint="default" w:ascii="Times New Roman" w:hAnsi="Times New Roman"/>
          <w:color w:val="8FAADB"/>
          <w:vertAlign w:val="subscript"/>
        </w:rPr>
        <w:t>2</w:t>
      </w:r>
      <w:r>
        <w:rPr>
          <w:color w:val="8FAADB"/>
        </w:rPr>
        <w:t>浓度等）的变化，实时调整机组运行频率，实现精准、高效的制热或制冷。变频调节功能能够使机组在不同工况下保持最佳能效，降低能耗，同时提升室内环境的舒适度和健康性。</w:t>
      </w:r>
    </w:p>
    <w:p w14:paraId="629B6F2D">
      <w:pPr>
        <w:pStyle w:val="7"/>
        <w:widowControl/>
        <w:adjustRightInd w:val="0"/>
        <w:snapToGrid w:val="0"/>
        <w:spacing w:line="312" w:lineRule="auto"/>
        <w:ind w:firstLine="480" w:firstLineChars="200"/>
        <w:rPr>
          <w:rFonts w:hint="default"/>
          <w:color w:val="8FAADB"/>
          <w:sz w:val="24"/>
          <w:szCs w:val="28"/>
        </w:rPr>
      </w:pPr>
      <w:r>
        <w:rPr>
          <w:color w:val="8FAADB"/>
          <w:sz w:val="24"/>
          <w:szCs w:val="28"/>
        </w:rPr>
        <w:t>空气源热泵机组在低温环境下运行时，蒸发器表面易结霜，影响换热效率。因此，机组应具备可靠的融霜控制功能，能够在结霜严重时自动启动融霜程序，快速、彻底地清除蒸发器表面的霜层，恢复机组的正常换热性能。融霜控制的可靠性直接影响到机组在冬季低温条件下的运行效果和能效，是确保空气源热泵系统稳定、高效运行的关键环节。</w:t>
      </w:r>
    </w:p>
    <w:p w14:paraId="000507E3">
      <w:pPr>
        <w:pStyle w:val="7"/>
        <w:widowControl/>
        <w:adjustRightInd w:val="0"/>
        <w:snapToGrid w:val="0"/>
        <w:spacing w:line="312" w:lineRule="auto"/>
        <w:ind w:firstLine="480" w:firstLineChars="200"/>
        <w:rPr>
          <w:rFonts w:hint="default"/>
          <w:color w:val="8FAADB"/>
          <w:sz w:val="24"/>
          <w:szCs w:val="28"/>
        </w:rPr>
      </w:pPr>
      <w:r>
        <w:rPr>
          <w:color w:val="8FAADB"/>
          <w:sz w:val="24"/>
          <w:szCs w:val="28"/>
        </w:rPr>
        <w:t>本条规定旨在引导设计人员在选择超低能耗居住建筑空气源热泵机组时，应关注其是否具备适应室内环境参数变化的变频调节功能和可靠的融霜控制，以确保机组在不同工况下均能高效、稳定运行，提供舒适的室内环境，同时降低能源消耗，助力实现超低能耗建筑的节能目标。</w:t>
      </w:r>
    </w:p>
    <w:p w14:paraId="5C0C5093">
      <w:pPr>
        <w:pStyle w:val="27"/>
        <w:widowControl/>
        <w:rPr>
          <w:rFonts w:hint="default"/>
        </w:rPr>
      </w:pPr>
      <w:r>
        <w:rPr>
          <w:rFonts w:hint="default" w:ascii="Times New Roman" w:hAnsi="Times New Roman"/>
          <w:b/>
          <w:bCs/>
        </w:rPr>
        <w:t xml:space="preserve">6.3.3  </w:t>
      </w:r>
      <w:r>
        <w:t>采用空气源热泵热水机组制备生活热水时，在名义制热工况和规定条件下，性能系数(</w:t>
      </w:r>
      <w:r>
        <w:rPr>
          <w:rFonts w:hint="default" w:ascii="Times New Roman" w:hAnsi="Times New Roman"/>
        </w:rPr>
        <w:t>COP</w:t>
      </w:r>
      <w:r>
        <w:t>)不应低于表</w:t>
      </w:r>
      <w:r>
        <w:rPr>
          <w:rFonts w:hint="default" w:ascii="Times New Roman" w:hAnsi="Times New Roman"/>
          <w:b/>
          <w:bCs/>
        </w:rPr>
        <w:t>6.3.3</w:t>
      </w:r>
      <w:r>
        <w:t>的规定，并应有保证水质的有效措施。</w:t>
      </w:r>
    </w:p>
    <w:p w14:paraId="5F7C11AF">
      <w:pPr>
        <w:pStyle w:val="27"/>
        <w:widowControl/>
        <w:jc w:val="center"/>
        <w:rPr>
          <w:rFonts w:hint="default"/>
          <w:b/>
          <w:bCs/>
          <w:sz w:val="21"/>
          <w:szCs w:val="21"/>
        </w:rPr>
      </w:pPr>
      <w:r>
        <w:rPr>
          <w:b/>
          <w:bCs/>
          <w:sz w:val="21"/>
          <w:szCs w:val="21"/>
        </w:rPr>
        <w:t>表6.3.3  热泵热水机组性能系数</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665"/>
        <w:gridCol w:w="1743"/>
        <w:gridCol w:w="1705"/>
        <w:gridCol w:w="1705"/>
      </w:tblGrid>
      <w:tr w14:paraId="3D9AA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12" w:space="0"/>
              <w:left w:val="single" w:color="auto" w:sz="12" w:space="0"/>
              <w:bottom w:val="single" w:color="auto" w:sz="4" w:space="0"/>
              <w:right w:val="single" w:color="auto" w:sz="4" w:space="0"/>
            </w:tcBorders>
            <w:shd w:val="clear" w:color="auto" w:fill="auto"/>
            <w:vAlign w:val="center"/>
          </w:tcPr>
          <w:p w14:paraId="35BF5F0F">
            <w:pPr>
              <w:pStyle w:val="27"/>
              <w:widowControl/>
              <w:jc w:val="center"/>
              <w:rPr>
                <w:rFonts w:hint="default"/>
                <w:sz w:val="21"/>
                <w:szCs w:val="21"/>
              </w:rPr>
            </w:pPr>
            <w:r>
              <w:rPr>
                <w:sz w:val="21"/>
                <w:szCs w:val="21"/>
              </w:rPr>
              <w:t>制热量（kW）</w:t>
            </w:r>
          </w:p>
        </w:tc>
        <w:tc>
          <w:tcPr>
            <w:tcW w:w="3408"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09AE9F4A">
            <w:pPr>
              <w:pStyle w:val="27"/>
              <w:widowControl/>
              <w:jc w:val="center"/>
              <w:rPr>
                <w:rFonts w:hint="default"/>
                <w:sz w:val="21"/>
                <w:szCs w:val="21"/>
              </w:rPr>
            </w:pPr>
            <w:r>
              <w:rPr>
                <w:sz w:val="21"/>
                <w:szCs w:val="21"/>
              </w:rPr>
              <w:t>热水机型式</w:t>
            </w:r>
          </w:p>
        </w:tc>
        <w:tc>
          <w:tcPr>
            <w:tcW w:w="1705" w:type="dxa"/>
            <w:tcBorders>
              <w:top w:val="single" w:color="auto" w:sz="12" w:space="0"/>
              <w:left w:val="single" w:color="auto" w:sz="4" w:space="0"/>
              <w:bottom w:val="single" w:color="auto" w:sz="4" w:space="0"/>
              <w:right w:val="single" w:color="auto" w:sz="4" w:space="0"/>
            </w:tcBorders>
            <w:shd w:val="clear" w:color="auto" w:fill="auto"/>
            <w:vAlign w:val="center"/>
          </w:tcPr>
          <w:p w14:paraId="0B218F63">
            <w:pPr>
              <w:pStyle w:val="27"/>
              <w:widowControl/>
              <w:jc w:val="center"/>
              <w:rPr>
                <w:rFonts w:hint="default"/>
                <w:sz w:val="21"/>
                <w:szCs w:val="21"/>
              </w:rPr>
            </w:pPr>
            <w:r>
              <w:rPr>
                <w:sz w:val="21"/>
                <w:szCs w:val="21"/>
              </w:rPr>
              <w:t>普通型</w:t>
            </w:r>
          </w:p>
        </w:tc>
        <w:tc>
          <w:tcPr>
            <w:tcW w:w="1705" w:type="dxa"/>
            <w:tcBorders>
              <w:top w:val="single" w:color="auto" w:sz="12" w:space="0"/>
              <w:left w:val="single" w:color="auto" w:sz="4" w:space="0"/>
              <w:bottom w:val="single" w:color="auto" w:sz="4" w:space="0"/>
              <w:right w:val="single" w:color="auto" w:sz="12" w:space="0"/>
            </w:tcBorders>
            <w:shd w:val="clear" w:color="auto" w:fill="auto"/>
            <w:vAlign w:val="center"/>
          </w:tcPr>
          <w:p w14:paraId="2186709B">
            <w:pPr>
              <w:pStyle w:val="27"/>
              <w:widowControl/>
              <w:jc w:val="center"/>
              <w:rPr>
                <w:rFonts w:hint="default"/>
                <w:sz w:val="21"/>
                <w:szCs w:val="21"/>
              </w:rPr>
            </w:pPr>
            <w:r>
              <w:rPr>
                <w:sz w:val="21"/>
                <w:szCs w:val="21"/>
              </w:rPr>
              <w:t>低温型</w:t>
            </w:r>
          </w:p>
        </w:tc>
      </w:tr>
      <w:tr w14:paraId="4F843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702553DE">
            <w:pPr>
              <w:pStyle w:val="27"/>
              <w:widowControl/>
              <w:jc w:val="center"/>
              <w:rPr>
                <w:rFonts w:hint="default"/>
                <w:sz w:val="21"/>
                <w:szCs w:val="21"/>
              </w:rPr>
            </w:pPr>
            <w:r>
              <w:rPr>
                <w:sz w:val="21"/>
                <w:szCs w:val="21"/>
              </w:rPr>
              <w:t>H&lt;10</w:t>
            </w:r>
          </w:p>
        </w:tc>
        <w:tc>
          <w:tcPr>
            <w:tcW w:w="3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0F71C5">
            <w:pPr>
              <w:pStyle w:val="27"/>
              <w:widowControl/>
              <w:jc w:val="center"/>
              <w:rPr>
                <w:rFonts w:hint="default"/>
                <w:sz w:val="21"/>
                <w:szCs w:val="21"/>
              </w:rPr>
            </w:pPr>
            <w:r>
              <w:rPr>
                <w:sz w:val="21"/>
                <w:szCs w:val="21"/>
              </w:rPr>
              <w:t>一次加热式、循环加热式</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628C71CC">
            <w:pPr>
              <w:pStyle w:val="27"/>
              <w:widowControl/>
              <w:jc w:val="center"/>
              <w:rPr>
                <w:rFonts w:hint="default"/>
                <w:sz w:val="21"/>
                <w:szCs w:val="21"/>
              </w:rPr>
            </w:pPr>
            <w:r>
              <w:rPr>
                <w:sz w:val="21"/>
                <w:szCs w:val="21"/>
              </w:rPr>
              <w:t>4.40</w:t>
            </w:r>
          </w:p>
        </w:tc>
        <w:tc>
          <w:tcPr>
            <w:tcW w:w="1705" w:type="dxa"/>
            <w:tcBorders>
              <w:top w:val="single" w:color="auto" w:sz="4" w:space="0"/>
              <w:left w:val="single" w:color="auto" w:sz="4" w:space="0"/>
              <w:bottom w:val="single" w:color="auto" w:sz="4" w:space="0"/>
              <w:right w:val="single" w:color="auto" w:sz="12" w:space="0"/>
            </w:tcBorders>
            <w:shd w:val="clear" w:color="auto" w:fill="auto"/>
            <w:vAlign w:val="center"/>
          </w:tcPr>
          <w:p w14:paraId="40F69A24">
            <w:pPr>
              <w:pStyle w:val="27"/>
              <w:widowControl/>
              <w:jc w:val="center"/>
              <w:rPr>
                <w:rFonts w:hint="default"/>
                <w:sz w:val="21"/>
                <w:szCs w:val="21"/>
              </w:rPr>
            </w:pPr>
            <w:r>
              <w:rPr>
                <w:sz w:val="21"/>
                <w:szCs w:val="21"/>
              </w:rPr>
              <w:t>3.60</w:t>
            </w:r>
          </w:p>
        </w:tc>
      </w:tr>
      <w:tr w14:paraId="3D578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1ECB283C">
            <w:pPr>
              <w:rPr>
                <w:rFonts w:ascii="Times New Roman" w:hAnsi="Times New Roman" w:cs="Times New Roman"/>
                <w:sz w:val="20"/>
                <w:szCs w:val="20"/>
              </w:rPr>
            </w:pPr>
          </w:p>
        </w:tc>
        <w:tc>
          <w:tcPr>
            <w:tcW w:w="3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D33A2B">
            <w:pPr>
              <w:pStyle w:val="27"/>
              <w:widowControl/>
              <w:jc w:val="center"/>
              <w:rPr>
                <w:rFonts w:hint="default"/>
                <w:sz w:val="21"/>
                <w:szCs w:val="21"/>
              </w:rPr>
            </w:pPr>
            <w:r>
              <w:rPr>
                <w:sz w:val="21"/>
                <w:szCs w:val="21"/>
              </w:rPr>
              <w:t>静态加热式</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2C6B828D">
            <w:pPr>
              <w:pStyle w:val="27"/>
              <w:widowControl/>
              <w:jc w:val="center"/>
              <w:rPr>
                <w:rFonts w:hint="default"/>
                <w:sz w:val="21"/>
                <w:szCs w:val="21"/>
              </w:rPr>
            </w:pPr>
            <w:r>
              <w:rPr>
                <w:sz w:val="21"/>
                <w:szCs w:val="21"/>
              </w:rPr>
              <w:t>4.40</w:t>
            </w:r>
          </w:p>
        </w:tc>
        <w:tc>
          <w:tcPr>
            <w:tcW w:w="1705" w:type="dxa"/>
            <w:tcBorders>
              <w:top w:val="single" w:color="auto" w:sz="4" w:space="0"/>
              <w:left w:val="single" w:color="auto" w:sz="4" w:space="0"/>
              <w:bottom w:val="single" w:color="auto" w:sz="4" w:space="0"/>
              <w:right w:val="single" w:color="auto" w:sz="12" w:space="0"/>
            </w:tcBorders>
            <w:shd w:val="clear" w:color="auto" w:fill="auto"/>
            <w:vAlign w:val="center"/>
          </w:tcPr>
          <w:p w14:paraId="337C29AC">
            <w:pPr>
              <w:pStyle w:val="27"/>
              <w:widowControl/>
              <w:jc w:val="center"/>
              <w:rPr>
                <w:rFonts w:hint="default"/>
                <w:sz w:val="21"/>
                <w:szCs w:val="21"/>
              </w:rPr>
            </w:pPr>
            <w:r>
              <w:rPr>
                <w:sz w:val="21"/>
                <w:szCs w:val="21"/>
              </w:rPr>
              <w:t>-</w:t>
            </w:r>
          </w:p>
        </w:tc>
      </w:tr>
      <w:tr w14:paraId="5B0F1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vMerge w:val="restart"/>
            <w:tcBorders>
              <w:top w:val="single" w:color="auto" w:sz="4" w:space="0"/>
              <w:left w:val="single" w:color="auto" w:sz="12" w:space="0"/>
              <w:bottom w:val="single" w:color="auto" w:sz="12" w:space="0"/>
              <w:right w:val="single" w:color="auto" w:sz="4" w:space="0"/>
            </w:tcBorders>
            <w:shd w:val="clear" w:color="auto" w:fill="auto"/>
            <w:vAlign w:val="center"/>
          </w:tcPr>
          <w:p w14:paraId="62A8270E">
            <w:pPr>
              <w:pStyle w:val="27"/>
              <w:widowControl/>
              <w:jc w:val="center"/>
              <w:rPr>
                <w:rFonts w:hint="default"/>
                <w:sz w:val="21"/>
                <w:szCs w:val="21"/>
              </w:rPr>
            </w:pPr>
            <w:r>
              <w:rPr>
                <w:sz w:val="21"/>
                <w:szCs w:val="21"/>
              </w:rPr>
              <w:t>H≥10</w:t>
            </w:r>
          </w:p>
        </w:tc>
        <w:tc>
          <w:tcPr>
            <w:tcW w:w="34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EF2617">
            <w:pPr>
              <w:pStyle w:val="27"/>
              <w:widowControl/>
              <w:jc w:val="center"/>
              <w:rPr>
                <w:rFonts w:hint="default"/>
                <w:sz w:val="21"/>
                <w:szCs w:val="21"/>
              </w:rPr>
            </w:pPr>
            <w:r>
              <w:rPr>
                <w:sz w:val="21"/>
                <w:szCs w:val="21"/>
              </w:rPr>
              <w:t>一次加热式</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5C9530AC">
            <w:pPr>
              <w:pStyle w:val="27"/>
              <w:widowControl/>
              <w:jc w:val="center"/>
              <w:rPr>
                <w:rFonts w:hint="default"/>
                <w:sz w:val="21"/>
                <w:szCs w:val="21"/>
              </w:rPr>
            </w:pPr>
            <w:r>
              <w:rPr>
                <w:sz w:val="21"/>
                <w:szCs w:val="21"/>
              </w:rPr>
              <w:t>4.40</w:t>
            </w:r>
          </w:p>
        </w:tc>
        <w:tc>
          <w:tcPr>
            <w:tcW w:w="1705" w:type="dxa"/>
            <w:tcBorders>
              <w:top w:val="single" w:color="auto" w:sz="4" w:space="0"/>
              <w:left w:val="single" w:color="auto" w:sz="4" w:space="0"/>
              <w:bottom w:val="single" w:color="auto" w:sz="4" w:space="0"/>
              <w:right w:val="single" w:color="auto" w:sz="12" w:space="0"/>
            </w:tcBorders>
            <w:shd w:val="clear" w:color="auto" w:fill="auto"/>
            <w:vAlign w:val="center"/>
          </w:tcPr>
          <w:p w14:paraId="62791B09">
            <w:pPr>
              <w:pStyle w:val="27"/>
              <w:widowControl/>
              <w:jc w:val="center"/>
              <w:rPr>
                <w:rFonts w:hint="default"/>
                <w:sz w:val="21"/>
                <w:szCs w:val="21"/>
              </w:rPr>
            </w:pPr>
            <w:r>
              <w:rPr>
                <w:sz w:val="21"/>
                <w:szCs w:val="21"/>
              </w:rPr>
              <w:t>3.70</w:t>
            </w:r>
          </w:p>
        </w:tc>
      </w:tr>
      <w:tr w14:paraId="2F760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vMerge w:val="continue"/>
            <w:tcBorders>
              <w:top w:val="single" w:color="auto" w:sz="4" w:space="0"/>
              <w:left w:val="single" w:color="auto" w:sz="12" w:space="0"/>
              <w:bottom w:val="single" w:color="auto" w:sz="12" w:space="0"/>
              <w:right w:val="single" w:color="auto" w:sz="4" w:space="0"/>
            </w:tcBorders>
            <w:shd w:val="clear" w:color="auto" w:fill="auto"/>
            <w:vAlign w:val="center"/>
          </w:tcPr>
          <w:p w14:paraId="6E31CB67">
            <w:pPr>
              <w:rPr>
                <w:rFonts w:ascii="Times New Roman" w:hAnsi="Times New Roman" w:cs="Times New Roman"/>
                <w:sz w:val="20"/>
                <w:szCs w:val="20"/>
              </w:rPr>
            </w:pPr>
          </w:p>
        </w:tc>
        <w:tc>
          <w:tcPr>
            <w:tcW w:w="1665" w:type="dxa"/>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07553238">
            <w:pPr>
              <w:pStyle w:val="27"/>
              <w:widowControl/>
              <w:jc w:val="center"/>
              <w:rPr>
                <w:rFonts w:hint="default"/>
                <w:sz w:val="21"/>
                <w:szCs w:val="21"/>
              </w:rPr>
            </w:pPr>
            <w:r>
              <w:rPr>
                <w:sz w:val="21"/>
                <w:szCs w:val="21"/>
              </w:rPr>
              <w:t>循环加热式</w:t>
            </w: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14:paraId="6A74554C">
            <w:pPr>
              <w:pStyle w:val="27"/>
              <w:widowControl/>
              <w:jc w:val="center"/>
              <w:rPr>
                <w:rFonts w:hint="default"/>
                <w:sz w:val="21"/>
                <w:szCs w:val="21"/>
              </w:rPr>
            </w:pPr>
            <w:r>
              <w:rPr>
                <w:sz w:val="21"/>
                <w:szCs w:val="21"/>
              </w:rPr>
              <w:t>不提供水泵</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0BF94557">
            <w:pPr>
              <w:pStyle w:val="27"/>
              <w:widowControl/>
              <w:jc w:val="center"/>
              <w:rPr>
                <w:rFonts w:hint="default"/>
                <w:sz w:val="21"/>
                <w:szCs w:val="21"/>
              </w:rPr>
            </w:pPr>
            <w:r>
              <w:rPr>
                <w:sz w:val="21"/>
                <w:szCs w:val="21"/>
              </w:rPr>
              <w:t>4.40</w:t>
            </w:r>
          </w:p>
        </w:tc>
        <w:tc>
          <w:tcPr>
            <w:tcW w:w="1705" w:type="dxa"/>
            <w:tcBorders>
              <w:top w:val="single" w:color="auto" w:sz="4" w:space="0"/>
              <w:left w:val="single" w:color="auto" w:sz="4" w:space="0"/>
              <w:bottom w:val="single" w:color="auto" w:sz="4" w:space="0"/>
              <w:right w:val="single" w:color="auto" w:sz="12" w:space="0"/>
            </w:tcBorders>
            <w:shd w:val="clear" w:color="auto" w:fill="auto"/>
            <w:vAlign w:val="center"/>
          </w:tcPr>
          <w:p w14:paraId="74E5D053">
            <w:pPr>
              <w:pStyle w:val="27"/>
              <w:widowControl/>
              <w:jc w:val="center"/>
              <w:rPr>
                <w:rFonts w:hint="default"/>
                <w:sz w:val="21"/>
                <w:szCs w:val="21"/>
              </w:rPr>
            </w:pPr>
            <w:r>
              <w:rPr>
                <w:sz w:val="21"/>
                <w:szCs w:val="21"/>
              </w:rPr>
              <w:t>3.70</w:t>
            </w:r>
          </w:p>
        </w:tc>
      </w:tr>
      <w:tr w14:paraId="0EB8D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04" w:type="dxa"/>
            <w:vMerge w:val="continue"/>
            <w:tcBorders>
              <w:top w:val="single" w:color="auto" w:sz="4" w:space="0"/>
              <w:left w:val="single" w:color="auto" w:sz="12" w:space="0"/>
              <w:bottom w:val="single" w:color="auto" w:sz="12" w:space="0"/>
              <w:right w:val="single" w:color="auto" w:sz="4" w:space="0"/>
            </w:tcBorders>
            <w:shd w:val="clear" w:color="auto" w:fill="auto"/>
            <w:vAlign w:val="center"/>
          </w:tcPr>
          <w:p w14:paraId="5E544515">
            <w:pPr>
              <w:rPr>
                <w:rFonts w:ascii="Times New Roman" w:hAnsi="Times New Roman" w:cs="Times New Roman"/>
                <w:sz w:val="20"/>
                <w:szCs w:val="20"/>
              </w:rPr>
            </w:pPr>
          </w:p>
        </w:tc>
        <w:tc>
          <w:tcPr>
            <w:tcW w:w="1665"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61EB1017">
            <w:pPr>
              <w:rPr>
                <w:rFonts w:ascii="Times New Roman" w:hAnsi="Times New Roman" w:cs="Times New Roman"/>
                <w:sz w:val="20"/>
                <w:szCs w:val="20"/>
              </w:rPr>
            </w:pPr>
          </w:p>
        </w:tc>
        <w:tc>
          <w:tcPr>
            <w:tcW w:w="1743" w:type="dxa"/>
            <w:tcBorders>
              <w:top w:val="single" w:color="auto" w:sz="4" w:space="0"/>
              <w:left w:val="single" w:color="auto" w:sz="4" w:space="0"/>
              <w:bottom w:val="single" w:color="auto" w:sz="12" w:space="0"/>
              <w:right w:val="single" w:color="auto" w:sz="4" w:space="0"/>
            </w:tcBorders>
            <w:shd w:val="clear" w:color="auto" w:fill="auto"/>
            <w:vAlign w:val="center"/>
          </w:tcPr>
          <w:p w14:paraId="11D53DEA">
            <w:pPr>
              <w:pStyle w:val="27"/>
              <w:widowControl/>
              <w:jc w:val="center"/>
              <w:rPr>
                <w:rFonts w:hint="default"/>
                <w:sz w:val="21"/>
                <w:szCs w:val="21"/>
              </w:rPr>
            </w:pPr>
            <w:r>
              <w:rPr>
                <w:sz w:val="21"/>
                <w:szCs w:val="21"/>
              </w:rPr>
              <w:t>提供水泵</w:t>
            </w:r>
          </w:p>
        </w:tc>
        <w:tc>
          <w:tcPr>
            <w:tcW w:w="1705" w:type="dxa"/>
            <w:tcBorders>
              <w:top w:val="single" w:color="auto" w:sz="4" w:space="0"/>
              <w:left w:val="single" w:color="auto" w:sz="4" w:space="0"/>
              <w:bottom w:val="single" w:color="auto" w:sz="12" w:space="0"/>
              <w:right w:val="single" w:color="auto" w:sz="4" w:space="0"/>
            </w:tcBorders>
            <w:shd w:val="clear" w:color="auto" w:fill="auto"/>
            <w:vAlign w:val="center"/>
          </w:tcPr>
          <w:p w14:paraId="3CB501A4">
            <w:pPr>
              <w:pStyle w:val="27"/>
              <w:widowControl/>
              <w:jc w:val="center"/>
              <w:rPr>
                <w:rFonts w:hint="default"/>
                <w:sz w:val="21"/>
                <w:szCs w:val="21"/>
              </w:rPr>
            </w:pPr>
            <w:r>
              <w:rPr>
                <w:sz w:val="21"/>
                <w:szCs w:val="21"/>
              </w:rPr>
              <w:t>4.30</w:t>
            </w:r>
          </w:p>
        </w:tc>
        <w:tc>
          <w:tcPr>
            <w:tcW w:w="1705" w:type="dxa"/>
            <w:tcBorders>
              <w:top w:val="single" w:color="auto" w:sz="4" w:space="0"/>
              <w:left w:val="single" w:color="auto" w:sz="4" w:space="0"/>
              <w:bottom w:val="single" w:color="auto" w:sz="12" w:space="0"/>
              <w:right w:val="single" w:color="auto" w:sz="12" w:space="0"/>
            </w:tcBorders>
            <w:shd w:val="clear" w:color="auto" w:fill="auto"/>
            <w:vAlign w:val="center"/>
          </w:tcPr>
          <w:p w14:paraId="070CBCEF">
            <w:pPr>
              <w:pStyle w:val="27"/>
              <w:widowControl/>
              <w:jc w:val="center"/>
              <w:rPr>
                <w:rFonts w:hint="default"/>
                <w:sz w:val="21"/>
                <w:szCs w:val="21"/>
              </w:rPr>
            </w:pPr>
            <w:r>
              <w:rPr>
                <w:sz w:val="21"/>
                <w:szCs w:val="21"/>
              </w:rPr>
              <w:t>3.60</w:t>
            </w:r>
          </w:p>
        </w:tc>
      </w:tr>
    </w:tbl>
    <w:p w14:paraId="63A30590">
      <w:pPr>
        <w:pStyle w:val="27"/>
        <w:widowControl/>
        <w:spacing w:line="26" w:lineRule="atLeast"/>
        <w:rPr>
          <w:rFonts w:hint="default"/>
          <w:color w:val="8FAADB"/>
        </w:rPr>
      </w:pPr>
      <w:r>
        <w:rPr>
          <w:b/>
          <w:bCs/>
          <w:color w:val="8FAADB"/>
          <w:szCs w:val="24"/>
        </w:rPr>
        <w:t>【条文说明】</w:t>
      </w:r>
      <w:r>
        <w:rPr>
          <w:color w:val="8FAADB"/>
        </w:rPr>
        <w:t>本条规定旨在确保所选用的热泵热水机组具有较高的能效水平，降低制备生活热水的能耗，符合超低能耗建筑的节能目标。同时，空气源热泵热水机组在制备生活热水过程中，应采取有效措施保证水质符合相关卫生标准，确保用户使用的热水安全、健康。这些措施可能包括但不限于水质处理设备（如软化、过滤、消毒等）、水质监测与控制系统、定期清洗与维护等。</w:t>
      </w:r>
    </w:p>
    <w:p w14:paraId="00196332">
      <w:pPr>
        <w:pStyle w:val="27"/>
        <w:widowControl/>
        <w:rPr>
          <w:rFonts w:hint="default"/>
        </w:rPr>
      </w:pPr>
      <w:r>
        <w:rPr>
          <w:rFonts w:hint="default" w:ascii="Times New Roman" w:hAnsi="Times New Roman"/>
          <w:b/>
          <w:bCs/>
        </w:rPr>
        <w:t xml:space="preserve">6.3.4  </w:t>
      </w:r>
      <w:r>
        <w:t>采用</w:t>
      </w:r>
      <w:r>
        <w:rPr>
          <w:rFonts w:hint="default" w:ascii="Times New Roman" w:hAnsi="Times New Roman"/>
        </w:rPr>
        <w:t>CO</w:t>
      </w:r>
      <w:r>
        <w:rPr>
          <w:rFonts w:hint="default" w:ascii="Times New Roman" w:hAnsi="Times New Roman"/>
          <w:vertAlign w:val="superscript"/>
        </w:rPr>
        <w:t>2</w:t>
      </w:r>
      <w:r>
        <w:t>工质的低温型空气源热泵热水可不设置辅助热源。</w:t>
      </w:r>
    </w:p>
    <w:p w14:paraId="68FF2EA2">
      <w:pPr>
        <w:pStyle w:val="27"/>
        <w:widowControl/>
        <w:spacing w:line="26" w:lineRule="atLeast"/>
        <w:rPr>
          <w:rFonts w:hint="default"/>
          <w:color w:val="8FAADB"/>
        </w:rPr>
      </w:pPr>
      <w:r>
        <w:rPr>
          <w:b/>
          <w:bCs/>
          <w:color w:val="8FAADB"/>
          <w:szCs w:val="24"/>
        </w:rPr>
        <w:t>【条文说明】</w:t>
      </w:r>
      <w:r>
        <w:rPr>
          <w:color w:val="8FAADB"/>
        </w:rPr>
        <w:t>本条规定旨在引导设计人员在选择超低能耗居住建筑空气源热泵热水系统时，优先考虑采用</w:t>
      </w:r>
      <w:r>
        <w:rPr>
          <w:rFonts w:hint="default" w:ascii="Times New Roman" w:hAnsi="Times New Roman"/>
          <w:color w:val="8FAADB"/>
        </w:rPr>
        <w:t>CO</w:t>
      </w:r>
      <w:r>
        <w:rPr>
          <w:rFonts w:hint="default" w:ascii="Times New Roman" w:hAnsi="Times New Roman"/>
          <w:color w:val="8FAADB"/>
          <w:vertAlign w:val="subscript"/>
        </w:rPr>
        <w:t>2</w:t>
      </w:r>
      <w:r>
        <w:rPr>
          <w:color w:val="8FAADB"/>
        </w:rPr>
        <w:t>工质的低温型产品。</w:t>
      </w:r>
      <w:r>
        <w:rPr>
          <w:rFonts w:hint="default" w:ascii="Times New Roman" w:hAnsi="Times New Roman"/>
          <w:color w:val="8FAADB"/>
        </w:rPr>
        <w:t>CO</w:t>
      </w:r>
      <w:r>
        <w:rPr>
          <w:rFonts w:hint="default" w:ascii="Times New Roman" w:hAnsi="Times New Roman"/>
          <w:color w:val="8FAADB"/>
          <w:vertAlign w:val="subscript"/>
        </w:rPr>
        <w:t>2</w:t>
      </w:r>
      <w:r>
        <w:rPr>
          <w:color w:val="8FAADB"/>
        </w:rPr>
        <w:t>工质（二氧化碳）是一种环保、无毒、无害的天然制冷剂，具有优异的低温性能。低温型空气源热泵热水系统采用</w:t>
      </w:r>
      <w:r>
        <w:rPr>
          <w:rFonts w:hint="default" w:ascii="Times New Roman" w:hAnsi="Times New Roman"/>
          <w:color w:val="8FAADB"/>
        </w:rPr>
        <w:t>CO</w:t>
      </w:r>
      <w:r>
        <w:rPr>
          <w:rFonts w:hint="default" w:ascii="Times New Roman" w:hAnsi="Times New Roman"/>
          <w:color w:val="8FAADB"/>
          <w:vertAlign w:val="subscript"/>
        </w:rPr>
        <w:t>2</w:t>
      </w:r>
      <w:r>
        <w:rPr>
          <w:color w:val="8FAADB"/>
        </w:rPr>
        <w:t>作为工质，能够在极低的环境温度下高效提取空气中的热量，用于制备生活热水。与传统空气源热泵相比，</w:t>
      </w:r>
      <w:r>
        <w:rPr>
          <w:rFonts w:hint="default" w:ascii="Times New Roman" w:hAnsi="Times New Roman"/>
          <w:color w:val="8FAADB"/>
        </w:rPr>
        <w:t>CO</w:t>
      </w:r>
      <w:r>
        <w:rPr>
          <w:rFonts w:hint="default" w:ascii="Times New Roman" w:hAnsi="Times New Roman"/>
          <w:color w:val="8FAADB"/>
          <w:vertAlign w:val="subscript"/>
        </w:rPr>
        <w:t>2</w:t>
      </w:r>
      <w:r>
        <w:rPr>
          <w:color w:val="8FAADB"/>
        </w:rPr>
        <w:t>工质的低温型热泵在低温环境下仍能保持较高的能效，且具有良好的环保性能。</w:t>
      </w:r>
    </w:p>
    <w:p w14:paraId="20ACE2E8">
      <w:pPr>
        <w:pStyle w:val="13"/>
        <w:widowControl/>
        <w:shd w:val="clear" w:color="auto" w:fill="FFFFFF"/>
        <w:spacing w:beforeAutospacing="0" w:afterAutospacing="0" w:line="312" w:lineRule="auto"/>
        <w:ind w:firstLine="480" w:firstLineChars="200"/>
        <w:rPr>
          <w:rFonts w:ascii="宋体" w:hAnsi="宋体" w:cs="宋体"/>
          <w:color w:val="8FAADB"/>
          <w:kern w:val="2"/>
          <w:szCs w:val="28"/>
          <w:shd w:val="clear" w:color="auto" w:fill="FFFFFF"/>
        </w:rPr>
      </w:pPr>
      <w:r>
        <w:rPr>
          <w:rFonts w:hint="eastAsia" w:ascii="宋体" w:hAnsi="宋体" w:cs="宋体"/>
          <w:color w:val="8FAADB"/>
          <w:kern w:val="2"/>
          <w:szCs w:val="28"/>
          <w:shd w:val="clear" w:color="auto" w:fill="FFFFFF"/>
        </w:rPr>
        <w:t>传统空气源热泵热水系统在环境温度较低时，可能需要设置辅助热源（如电加热器、燃气热水器等）以保证热水供应。而采用</w:t>
      </w:r>
      <w:r>
        <w:rPr>
          <w:rFonts w:ascii="Times New Roman" w:hAnsi="Times New Roman"/>
          <w:color w:val="8FAADB"/>
          <w:kern w:val="2"/>
          <w:szCs w:val="28"/>
          <w:shd w:val="clear" w:color="auto" w:fill="FFFFFF"/>
        </w:rPr>
        <w:t>CO</w:t>
      </w:r>
      <w:r>
        <w:rPr>
          <w:rFonts w:ascii="Times New Roman" w:hAnsi="Times New Roman"/>
          <w:color w:val="8FAADB"/>
          <w:kern w:val="2"/>
          <w:szCs w:val="28"/>
          <w:shd w:val="clear" w:color="auto" w:fill="FFFFFF"/>
          <w:vertAlign w:val="subscript"/>
        </w:rPr>
        <w:t>2</w:t>
      </w:r>
      <w:r>
        <w:rPr>
          <w:rFonts w:hint="eastAsia" w:ascii="宋体" w:hAnsi="宋体" w:cs="宋体"/>
          <w:color w:val="8FAADB"/>
          <w:kern w:val="2"/>
          <w:szCs w:val="28"/>
          <w:shd w:val="clear" w:color="auto" w:fill="FFFFFF"/>
        </w:rPr>
        <w:t>工质的低温型空气源热泵热水系统即使在冬季低温条件下，也能依靠自身高效提取空气中的热量，满足生活热水需求，无需额外的能源输入。这不仅降低了系统的运行成本，也简化了系统结构，提高了系统的稳定性和可靠性。因此，本条规定采用</w:t>
      </w:r>
      <w:r>
        <w:rPr>
          <w:rFonts w:ascii="Times New Roman" w:hAnsi="Times New Roman"/>
          <w:color w:val="8FAADB"/>
          <w:kern w:val="2"/>
          <w:szCs w:val="28"/>
          <w:shd w:val="clear" w:color="auto" w:fill="FFFFFF"/>
        </w:rPr>
        <w:t>CO</w:t>
      </w:r>
      <w:r>
        <w:rPr>
          <w:rFonts w:ascii="Times New Roman" w:hAnsi="Times New Roman"/>
          <w:color w:val="8FAADB"/>
          <w:kern w:val="2"/>
          <w:szCs w:val="28"/>
          <w:shd w:val="clear" w:color="auto" w:fill="FFFFFF"/>
          <w:vertAlign w:val="subscript"/>
        </w:rPr>
        <w:t>2</w:t>
      </w:r>
      <w:r>
        <w:rPr>
          <w:rFonts w:hint="eastAsia" w:ascii="宋体" w:hAnsi="宋体" w:cs="宋体"/>
          <w:color w:val="8FAADB"/>
          <w:kern w:val="2"/>
          <w:szCs w:val="28"/>
          <w:shd w:val="clear" w:color="auto" w:fill="FFFFFF"/>
        </w:rPr>
        <w:t>工质的低温型空气源热泵热水系统可不设置辅助热源。</w:t>
      </w:r>
    </w:p>
    <w:p w14:paraId="2389AE88">
      <w:pPr>
        <w:pStyle w:val="27"/>
        <w:widowControl/>
        <w:rPr>
          <w:rFonts w:hint="default"/>
        </w:rPr>
      </w:pPr>
      <w:r>
        <w:rPr>
          <w:rFonts w:hint="default" w:ascii="Times New Roman" w:hAnsi="Times New Roman"/>
          <w:b/>
          <w:bCs/>
        </w:rPr>
        <w:t xml:space="preserve">6.3.5  </w:t>
      </w:r>
      <w:r>
        <w:t>当采用空气源热泵作为集中热水供应的热源时，宜采用梯级贮热热水机组。</w:t>
      </w:r>
    </w:p>
    <w:p w14:paraId="73F95F7C">
      <w:pPr>
        <w:pStyle w:val="27"/>
        <w:widowControl/>
        <w:spacing w:line="26" w:lineRule="atLeast"/>
        <w:rPr>
          <w:rFonts w:hint="default"/>
          <w:color w:val="8FAADB"/>
        </w:rPr>
      </w:pPr>
      <w:r>
        <w:rPr>
          <w:b/>
          <w:bCs/>
          <w:color w:val="8FAADB"/>
          <w:szCs w:val="24"/>
        </w:rPr>
        <w:t>【条文说明】</w:t>
      </w:r>
      <w:r>
        <w:rPr>
          <w:color w:val="8FAADB"/>
        </w:rPr>
        <w:t>本条规定建议在采用空气源热泵作为集中热水供应热源时，优先考虑采用梯级贮热热水机组。这是因为梯级贮热热水机组能够更好地匹配空气源热泵的出水温度特性，充分利用热泵的低品位热量，提高系统整体能效。同时，梯级贮热热水机组能够实现热水的分级储存和按需供应，满足不同用户、不同时间段的热水需求，提高热水供应的舒适性和经济性。</w:t>
      </w:r>
    </w:p>
    <w:p w14:paraId="40D10E36">
      <w:pPr>
        <w:pStyle w:val="27"/>
        <w:widowControl/>
        <w:rPr>
          <w:rFonts w:hint="default"/>
        </w:rPr>
      </w:pPr>
      <w:r>
        <w:rPr>
          <w:rFonts w:hint="default" w:ascii="Times New Roman" w:hAnsi="Times New Roman"/>
          <w:b/>
          <w:bCs/>
        </w:rPr>
        <w:t xml:space="preserve">6.3.6  </w:t>
      </w:r>
      <w:r>
        <w:t>对同时有供冷、供暖需求的建筑，宜选用热回收式空气源热泵机组。</w:t>
      </w:r>
    </w:p>
    <w:p w14:paraId="2F1AF254">
      <w:pPr>
        <w:pStyle w:val="27"/>
        <w:widowControl/>
        <w:spacing w:line="26" w:lineRule="atLeast"/>
        <w:rPr>
          <w:rFonts w:hint="default"/>
        </w:rPr>
      </w:pPr>
      <w:r>
        <w:rPr>
          <w:b/>
          <w:bCs/>
          <w:color w:val="8FAADB"/>
          <w:szCs w:val="24"/>
        </w:rPr>
        <w:t>【条文说明】</w:t>
      </w:r>
      <w:r>
        <w:rPr>
          <w:color w:val="8FAADB"/>
        </w:rPr>
        <w:t>本条规定建议在设计同时有供冷、供暖需求的建筑时，优先考虑选用热回收式空气源热泵机组。这是因为热回收式空气源热泵机组能够实现冷热源的集成供应，简化系统结构，降低初投资和运行成本。同时，通过废热回收，可以大幅提高系统的能源利用效率，减少能源消耗，降低建筑的碳排放，符合超低能耗建筑的节能、环保要求。</w:t>
      </w:r>
    </w:p>
    <w:p w14:paraId="37CF49A5">
      <w:pPr>
        <w:pStyle w:val="27"/>
        <w:widowControl/>
        <w:rPr>
          <w:rFonts w:hint="default"/>
        </w:rPr>
      </w:pPr>
      <w:r>
        <w:rPr>
          <w:rFonts w:hint="default" w:ascii="Times New Roman" w:hAnsi="Times New Roman"/>
          <w:b/>
          <w:bCs/>
        </w:rPr>
        <w:t xml:space="preserve">6.3.7  </w:t>
      </w:r>
      <w:r>
        <w:t>空气源热泵热水系统宜每套系统独立设置一台循环泵。</w:t>
      </w:r>
    </w:p>
    <w:p w14:paraId="26492392">
      <w:pPr>
        <w:pStyle w:val="27"/>
        <w:widowControl/>
        <w:spacing w:line="26" w:lineRule="atLeast"/>
        <w:rPr>
          <w:rFonts w:hint="default"/>
          <w:color w:val="8FAADB"/>
        </w:rPr>
      </w:pPr>
      <w:r>
        <w:rPr>
          <w:b/>
          <w:bCs/>
          <w:color w:val="8FAADB"/>
          <w:szCs w:val="24"/>
        </w:rPr>
        <w:t>【条文说明】</w:t>
      </w:r>
      <w:r>
        <w:rPr>
          <w:color w:val="8FAADB"/>
        </w:rPr>
        <w:t>本条规定建议在设计空气源热泵热水系统时，每套空气源热泵热水系统宜独立配置一台循环泵。这种配置方式的优点在于：</w:t>
      </w:r>
    </w:p>
    <w:p w14:paraId="5EE66FB4">
      <w:pPr>
        <w:pStyle w:val="13"/>
        <w:widowControl/>
        <w:adjustRightInd w:val="0"/>
        <w:snapToGrid w:val="0"/>
        <w:spacing w:beforeAutospacing="0" w:afterAutospacing="0" w:line="312" w:lineRule="auto"/>
        <w:ind w:firstLine="482" w:firstLineChars="200"/>
        <w:rPr>
          <w:rFonts w:ascii="宋体" w:hAnsi="宋体" w:cs="宋体"/>
          <w:color w:val="8FAADB"/>
          <w:kern w:val="2"/>
          <w:szCs w:val="28"/>
        </w:rPr>
      </w:pPr>
      <w:r>
        <w:rPr>
          <w:rFonts w:ascii="Times New Roman" w:hAnsi="Times New Roman"/>
          <w:b/>
          <w:bCs/>
          <w:color w:val="8FAADB"/>
          <w:kern w:val="2"/>
          <w:szCs w:val="28"/>
        </w:rPr>
        <w:t>1</w:t>
      </w:r>
      <w:r>
        <w:rPr>
          <w:rFonts w:hint="eastAsia" w:ascii="宋体" w:hAnsi="宋体" w:cs="宋体"/>
          <w:color w:val="8FAADB"/>
          <w:kern w:val="2"/>
          <w:szCs w:val="28"/>
        </w:rPr>
        <w:t xml:space="preserve">  便于控制：每套热泵热水系统独立配备循环泵，可以独立控制其运行状态，根据热水需求灵活调整循环流量，提高系统运行的灵活性和适应性。</w:t>
      </w:r>
    </w:p>
    <w:p w14:paraId="49583A29">
      <w:pPr>
        <w:pStyle w:val="13"/>
        <w:widowControl/>
        <w:adjustRightInd w:val="0"/>
        <w:snapToGrid w:val="0"/>
        <w:spacing w:beforeAutospacing="0" w:afterAutospacing="0" w:line="312" w:lineRule="auto"/>
        <w:ind w:firstLine="480" w:firstLineChars="200"/>
        <w:rPr>
          <w:rFonts w:ascii="宋体" w:hAnsi="宋体" w:cs="宋体"/>
          <w:color w:val="8FAADB"/>
          <w:kern w:val="2"/>
          <w:szCs w:val="28"/>
        </w:rPr>
      </w:pPr>
      <w:r>
        <w:rPr>
          <w:rFonts w:hint="eastAsia" w:ascii="宋体" w:hAnsi="宋体" w:cs="宋体"/>
          <w:color w:val="8FAADB"/>
          <w:kern w:val="2"/>
          <w:szCs w:val="28"/>
        </w:rPr>
        <w:t>2  故障隔离：当某套热泵热水系统或循环泵出现故障时，不会影响到其他热泵热水系统的正常运行，提高了系统的可靠性和安全性。</w:t>
      </w:r>
    </w:p>
    <w:p w14:paraId="58BC14B4">
      <w:pPr>
        <w:pStyle w:val="13"/>
        <w:widowControl/>
        <w:adjustRightInd w:val="0"/>
        <w:snapToGrid w:val="0"/>
        <w:spacing w:beforeAutospacing="0" w:afterAutospacing="0" w:line="312" w:lineRule="auto"/>
        <w:ind w:firstLine="480" w:firstLineChars="200"/>
        <w:rPr>
          <w:rFonts w:ascii="宋体" w:hAnsi="宋体" w:cs="宋体"/>
          <w:color w:val="8FAADB"/>
          <w:kern w:val="2"/>
          <w:szCs w:val="28"/>
        </w:rPr>
      </w:pPr>
      <w:r>
        <w:rPr>
          <w:rFonts w:hint="eastAsia" w:ascii="宋体" w:hAnsi="宋体" w:cs="宋体"/>
          <w:color w:val="8FAADB"/>
          <w:kern w:val="2"/>
          <w:szCs w:val="28"/>
        </w:rPr>
        <w:t>3  独立配置循环泵可以避免因循环流量过大或过小导致的热泵主机能效降低，提高系统的整体能效。</w:t>
      </w:r>
    </w:p>
    <w:p w14:paraId="4273271D">
      <w:pPr>
        <w:pStyle w:val="13"/>
        <w:widowControl/>
        <w:adjustRightInd w:val="0"/>
        <w:snapToGrid w:val="0"/>
        <w:spacing w:beforeAutospacing="0" w:afterAutospacing="0" w:line="312" w:lineRule="auto"/>
        <w:ind w:firstLine="480" w:firstLineChars="200"/>
        <w:rPr>
          <w:rFonts w:ascii="宋体" w:hAnsi="宋体" w:cs="宋体"/>
          <w:color w:val="8FAADB"/>
          <w:kern w:val="2"/>
          <w:szCs w:val="28"/>
        </w:rPr>
      </w:pPr>
      <w:r>
        <w:rPr>
          <w:rFonts w:hint="eastAsia" w:ascii="宋体" w:hAnsi="宋体" w:cs="宋体"/>
          <w:color w:val="8FAADB"/>
          <w:kern w:val="2"/>
          <w:szCs w:val="28"/>
        </w:rPr>
        <w:t>4  维护方便：独立配置的循环泵便于维修保养，不会因一台循环泵故障而导致整个系统停运，降低维护成本。</w:t>
      </w:r>
    </w:p>
    <w:p w14:paraId="56B068B0">
      <w:pPr>
        <w:pStyle w:val="27"/>
        <w:widowControl/>
        <w:rPr>
          <w:rFonts w:hint="default"/>
        </w:rPr>
      </w:pPr>
      <w:r>
        <w:rPr>
          <w:rFonts w:hint="default" w:ascii="Times New Roman" w:hAnsi="Times New Roman"/>
          <w:b/>
          <w:bCs/>
        </w:rPr>
        <w:t xml:space="preserve">6.3.8  </w:t>
      </w:r>
      <w:r>
        <w:t>空气源热泵系统应采取隔声、消声及减振等降低噪声、震动的措施，并应符合下列规定：</w:t>
      </w:r>
    </w:p>
    <w:p w14:paraId="48AD0A05">
      <w:pPr>
        <w:pStyle w:val="27"/>
        <w:widowControl/>
        <w:ind w:firstLine="482" w:firstLineChars="200"/>
        <w:rPr>
          <w:rFonts w:hint="default"/>
        </w:rPr>
      </w:pPr>
      <w:r>
        <w:rPr>
          <w:rFonts w:hint="default" w:ascii="Times New Roman" w:hAnsi="Times New Roman"/>
          <w:b/>
          <w:bCs/>
        </w:rPr>
        <w:t xml:space="preserve">1  </w:t>
      </w:r>
      <w:r>
        <w:t>室外机组应选择远离卧室、起居室外窗卧室、起居室（厅）可开启窗扇的距离不应小于</w:t>
      </w:r>
      <w:r>
        <w:rPr>
          <w:rFonts w:hint="default" w:ascii="Times New Roman" w:hAnsi="Times New Roman"/>
        </w:rPr>
        <w:t>2m</w:t>
      </w:r>
      <w:r>
        <w:t>，难以满足时可采取增设隔墙、隔断等隔声措施；</w:t>
      </w:r>
    </w:p>
    <w:p w14:paraId="316632BD">
      <w:pPr>
        <w:pStyle w:val="27"/>
        <w:widowControl/>
        <w:ind w:firstLine="482" w:firstLineChars="200"/>
        <w:rPr>
          <w:rFonts w:hint="default"/>
        </w:rPr>
      </w:pPr>
      <w:r>
        <w:rPr>
          <w:rFonts w:hint="default" w:ascii="Times New Roman" w:hAnsi="Times New Roman"/>
          <w:b/>
          <w:bCs/>
        </w:rPr>
        <w:t xml:space="preserve">2  </w:t>
      </w:r>
      <w:r>
        <w:t>与室外机组相邻房间的室内噪声控制值应满足</w:t>
      </w:r>
      <w:r>
        <w:rPr>
          <w:rFonts w:hint="default" w:ascii="Times New Roman" w:hAnsi="Times New Roman"/>
        </w:rPr>
        <w:t>GB55016-2021</w:t>
      </w:r>
      <w:r>
        <w:t>《建筑环境通用规范》第</w:t>
      </w:r>
      <w:r>
        <w:rPr>
          <w:rFonts w:hint="default" w:ascii="Times New Roman" w:hAnsi="Times New Roman"/>
          <w:b/>
          <w:bCs/>
        </w:rPr>
        <w:t>2.1.4</w:t>
      </w:r>
      <w:r>
        <w:t>条要求。</w:t>
      </w:r>
    </w:p>
    <w:p w14:paraId="38B55D18">
      <w:pPr>
        <w:pStyle w:val="27"/>
        <w:widowControl/>
        <w:spacing w:line="26" w:lineRule="atLeast"/>
        <w:rPr>
          <w:rFonts w:hint="default"/>
          <w:color w:val="8FAADB"/>
        </w:rPr>
      </w:pPr>
      <w:r>
        <w:rPr>
          <w:b/>
          <w:bCs/>
          <w:color w:val="8FAADB"/>
          <w:szCs w:val="24"/>
        </w:rPr>
        <w:t>【条文说明】</w:t>
      </w:r>
      <w:r>
        <w:rPr>
          <w:color w:val="8FAADB"/>
        </w:rPr>
        <w:t>本条规定旨在引导设计人员在设计超低能耗居住建筑空气源热泵系统时，充分考虑噪声、振动控制，采取隔声、消声及减振等措施，合理布置室外机组，确保与室外机组相邻房间的室内噪声控制值符合国家规范要求，以营造安静、舒适的居住环境，符合超低能耗建筑的舒适性要求。</w:t>
      </w:r>
    </w:p>
    <w:p w14:paraId="20C132CB">
      <w:pPr>
        <w:pStyle w:val="27"/>
        <w:widowControl/>
        <w:rPr>
          <w:rFonts w:hint="default"/>
        </w:rPr>
      </w:pPr>
      <w:r>
        <w:rPr>
          <w:rFonts w:hint="default" w:ascii="Times New Roman" w:hAnsi="Times New Roman"/>
          <w:b/>
          <w:bCs/>
        </w:rPr>
        <w:t xml:space="preserve">6.3.9  </w:t>
      </w:r>
      <w:r>
        <w:t>空气源热泵室外机设置应确保进风与排风通畅，排风与进风无明显气流短路。</w:t>
      </w:r>
    </w:p>
    <w:p w14:paraId="2EC65DC1">
      <w:pPr>
        <w:pStyle w:val="27"/>
        <w:widowControl/>
        <w:spacing w:line="26" w:lineRule="atLeast"/>
        <w:rPr>
          <w:rFonts w:hint="default"/>
          <w:color w:val="8FAADB"/>
        </w:rPr>
      </w:pPr>
      <w:r>
        <w:rPr>
          <w:b/>
          <w:bCs/>
          <w:color w:val="8FAADB"/>
          <w:szCs w:val="24"/>
        </w:rPr>
        <w:t>【条文说明】</w:t>
      </w:r>
      <w:r>
        <w:rPr>
          <w:color w:val="8FAADB"/>
        </w:rPr>
        <w:t>本条规定要求在设置室外机时，应确保进风口与排风口无遮挡物，通风路径无障碍，空气流动顺畅，避免因进风不足或排风受阻导致热泵系统性能下降、能耗增加或故障发生。</w:t>
      </w:r>
    </w:p>
    <w:p w14:paraId="0B077DF2">
      <w:pPr>
        <w:pStyle w:val="7"/>
        <w:widowControl/>
        <w:adjustRightInd w:val="0"/>
        <w:snapToGrid w:val="0"/>
        <w:spacing w:line="312" w:lineRule="auto"/>
        <w:ind w:firstLine="480" w:firstLineChars="200"/>
        <w:rPr>
          <w:rFonts w:hint="default"/>
          <w:color w:val="8FAADB"/>
          <w:sz w:val="24"/>
          <w:szCs w:val="28"/>
        </w:rPr>
      </w:pPr>
      <w:r>
        <w:rPr>
          <w:color w:val="8FAADB"/>
          <w:sz w:val="24"/>
          <w:szCs w:val="28"/>
        </w:rPr>
        <w:t>本条规定要求室外机的排风与进风之间应无明显气流短路现象，即排风应能有效散开，与进风形成足够的距离或角度差，防止排出的热空气直接回流至进风口。实现这一点需要合理规划室外机的安装位置、朝向，或者利用建筑物结构、绿化带等自然或人工障碍物来引导气流走向，确保气流的有效循环。</w:t>
      </w:r>
    </w:p>
    <w:p w14:paraId="397775AC">
      <w:pPr>
        <w:pStyle w:val="4"/>
        <w:widowControl/>
      </w:pPr>
      <w:bookmarkStart w:id="183" w:name="_Toc28073"/>
      <w:bookmarkStart w:id="184" w:name="_Toc3628"/>
      <w:bookmarkStart w:id="185" w:name="_Toc31996"/>
      <w:bookmarkStart w:id="186" w:name="_Toc30944"/>
      <w:bookmarkStart w:id="187" w:name="_Toc21478"/>
      <w:bookmarkStart w:id="188" w:name="_Toc15280"/>
      <w:bookmarkStart w:id="189" w:name="_Toc30827"/>
      <w:bookmarkStart w:id="190" w:name="_Toc18262"/>
      <w:r>
        <w:rPr>
          <w:rFonts w:ascii="Times New Roman" w:hAnsi="Times New Roman"/>
        </w:rPr>
        <w:t>6.4</w:t>
      </w:r>
      <w:r>
        <w:t xml:space="preserve">  </w:t>
      </w:r>
      <w:r>
        <w:rPr>
          <w:rFonts w:hint="eastAsia" w:cs="宋体"/>
        </w:rPr>
        <w:t>地源热泵系统</w:t>
      </w:r>
      <w:bookmarkEnd w:id="183"/>
      <w:bookmarkEnd w:id="184"/>
      <w:bookmarkEnd w:id="185"/>
      <w:bookmarkEnd w:id="186"/>
      <w:bookmarkEnd w:id="187"/>
      <w:bookmarkEnd w:id="188"/>
      <w:bookmarkEnd w:id="189"/>
      <w:bookmarkEnd w:id="190"/>
    </w:p>
    <w:p w14:paraId="36EA0946">
      <w:pPr>
        <w:pStyle w:val="27"/>
        <w:widowControl/>
        <w:rPr>
          <w:rFonts w:hint="default"/>
        </w:rPr>
      </w:pPr>
      <w:r>
        <w:rPr>
          <w:rFonts w:hint="default" w:ascii="Times New Roman" w:hAnsi="Times New Roman"/>
          <w:b/>
          <w:bCs/>
        </w:rPr>
        <w:t xml:space="preserve">6.4.1  </w:t>
      </w:r>
      <w:r>
        <w:t>应通过工程场地状况调查和资源勘查，确定地源热泵系统可行性与经济性。</w:t>
      </w:r>
    </w:p>
    <w:p w14:paraId="4B728856">
      <w:pPr>
        <w:pStyle w:val="27"/>
        <w:widowControl/>
        <w:spacing w:line="26" w:lineRule="atLeast"/>
        <w:rPr>
          <w:rFonts w:hint="default"/>
          <w:color w:val="8FAADB"/>
        </w:rPr>
      </w:pPr>
      <w:r>
        <w:rPr>
          <w:b/>
          <w:bCs/>
          <w:color w:val="8FAADB"/>
          <w:szCs w:val="24"/>
        </w:rPr>
        <w:t>【条文说明】</w:t>
      </w:r>
      <w:r>
        <w:rPr>
          <w:color w:val="8FAADB"/>
        </w:rPr>
        <w:t>本条规定要求在设计和实施超低能耗居住建筑的地源热泵系统前，必须进行全面深入的工程场地状况调查和资源勘查，以科学、客观地评估系统的可行性与经济性，为决策者提供有力依据，确保项目的成功实施和长期效益，符合超低能耗建筑的节能、环保与经济效益兼顾的原则。遵守此规定，有助于避免盲目投资，确保地源热泵系统的高效、稳定、经济运行，实现节能减排与舒适生活的双重目标。</w:t>
      </w:r>
    </w:p>
    <w:p w14:paraId="03E53725">
      <w:pPr>
        <w:pStyle w:val="27"/>
        <w:widowControl/>
        <w:rPr>
          <w:rFonts w:hint="default"/>
        </w:rPr>
      </w:pPr>
      <w:r>
        <w:rPr>
          <w:rFonts w:hint="default" w:ascii="Times New Roman" w:hAnsi="Times New Roman"/>
          <w:b/>
          <w:bCs/>
        </w:rPr>
        <w:t xml:space="preserve">6.4.2  </w:t>
      </w:r>
      <w:r>
        <w:t>地源热泵系统配置应进行全年动态负荷计算，最小计算周期宜为1年。根据建筑负荷特点，可与其他空调冷热源组成复合式冷热源系统。</w:t>
      </w:r>
    </w:p>
    <w:p w14:paraId="0B812923">
      <w:pPr>
        <w:pStyle w:val="27"/>
        <w:widowControl/>
        <w:spacing w:line="26" w:lineRule="atLeast"/>
        <w:rPr>
          <w:rFonts w:hint="default"/>
          <w:color w:val="8FAADB"/>
        </w:rPr>
      </w:pPr>
      <w:r>
        <w:rPr>
          <w:b/>
          <w:bCs/>
          <w:color w:val="8FAADB"/>
          <w:szCs w:val="24"/>
        </w:rPr>
        <w:t>【条文说明】</w:t>
      </w:r>
      <w:r>
        <w:rPr>
          <w:color w:val="8FAADB"/>
        </w:rPr>
        <w:t>地源热泵系统的配置应基于全年动态负荷计算，以反映建筑全年不同季节、不同时段的实际冷热需求。动态负荷计算能准确模拟建筑在不同气象条件、使用模式下的冷热负荷变化，为地源热泵系统的容量选择、运行策略设定、冷热源配比等提供科学依据，确保系统既能满足建筑冷热需求，又能实现高效、节能运行。选择1年为计算周期，是因为地源热泵系统作为长期运行的冷热源设备，其性能评价、经济性分析等应以年度为单位进行。1年的计算周期能全面覆盖四季气候变化，更准确地反映建筑全年冷热负荷的波动情况，有利于优化地源热泵系统的配置与运行。</w:t>
      </w:r>
    </w:p>
    <w:p w14:paraId="7513DB02">
      <w:pPr>
        <w:pStyle w:val="7"/>
        <w:widowControl/>
        <w:adjustRightInd w:val="0"/>
        <w:snapToGrid w:val="0"/>
        <w:spacing w:line="312" w:lineRule="auto"/>
        <w:ind w:firstLine="480" w:firstLineChars="200"/>
        <w:rPr>
          <w:rFonts w:hint="default"/>
          <w:color w:val="8FAADB"/>
          <w:sz w:val="24"/>
          <w:szCs w:val="28"/>
        </w:rPr>
      </w:pPr>
      <w:r>
        <w:rPr>
          <w:color w:val="8FAADB"/>
          <w:sz w:val="24"/>
          <w:szCs w:val="28"/>
        </w:rPr>
        <w:t>考虑到建筑负荷特点的多样性，如负荷波动大、冷热需求不均衡、极端天气应对等，本条规定允许地源热泵系统与其他空调冷热源（如空气源热泵、燃气锅炉、电加热等）组成复合式冷热源系统。复合式冷热源系统可根据不同冷热源的性能特点、运行成本、环境影响等因素，灵活调配各冷热源的使用比例，以适应建筑负荷变化，提高系统的整体能效，降低运行成本，增强系统的可靠性和适应性。</w:t>
      </w:r>
    </w:p>
    <w:p w14:paraId="15C5DDE1">
      <w:pPr>
        <w:pStyle w:val="27"/>
        <w:widowControl/>
        <w:rPr>
          <w:rFonts w:hint="default"/>
        </w:rPr>
      </w:pPr>
      <w:r>
        <w:rPr>
          <w:rFonts w:hint="default" w:ascii="Times New Roman" w:hAnsi="Times New Roman"/>
          <w:b/>
          <w:bCs/>
        </w:rPr>
        <w:t xml:space="preserve">6.4.3  </w:t>
      </w:r>
      <w:r>
        <w:t>地源热泵系统在建筑节能应用中，其降低能耗的效果应不低于同条件下的太阳能热水系统。</w:t>
      </w:r>
    </w:p>
    <w:p w14:paraId="62DDC7D8">
      <w:pPr>
        <w:pStyle w:val="27"/>
        <w:widowControl/>
        <w:spacing w:line="26" w:lineRule="atLeast"/>
        <w:rPr>
          <w:rFonts w:hint="default"/>
        </w:rPr>
      </w:pPr>
      <w:r>
        <w:rPr>
          <w:b/>
          <w:bCs/>
          <w:color w:val="8FAADB"/>
          <w:szCs w:val="24"/>
        </w:rPr>
        <w:t>【条文说明】</w:t>
      </w:r>
      <w:r>
        <w:rPr>
          <w:color w:val="8FAADB"/>
        </w:rPr>
        <w:t>本条款旨在防止因地源热泵系统实施难度大（高投资、严场地要求、复杂施工、专业运维）而节能效果却不显著，导致经济、工期、运维等方面得不偿失。此举确保地源热泵系统在面对诸多挑战时，其节能优势依然突出，成为合理且有效的建筑节能选择。</w:t>
      </w:r>
    </w:p>
    <w:p w14:paraId="714891C4">
      <w:pPr>
        <w:pStyle w:val="27"/>
        <w:widowControl/>
        <w:rPr>
          <w:rFonts w:hint="default"/>
        </w:rPr>
      </w:pPr>
      <w:r>
        <w:rPr>
          <w:rFonts w:hint="default" w:ascii="Times New Roman" w:hAnsi="Times New Roman"/>
          <w:b/>
          <w:bCs/>
        </w:rPr>
        <w:t xml:space="preserve">6.4.4  </w:t>
      </w:r>
      <w:r>
        <w:t>居住建筑地埋管地源热泵系统配置时，宜采用每户拥有独立主机及水泵的分散式系统，换热侧（包括埋管或者地表水换热盘管）可集中布置。</w:t>
      </w:r>
    </w:p>
    <w:p w14:paraId="080D066A">
      <w:pPr>
        <w:pStyle w:val="27"/>
        <w:widowControl/>
        <w:spacing w:line="26" w:lineRule="atLeast"/>
        <w:rPr>
          <w:rFonts w:hint="default"/>
          <w:color w:val="8FAADB"/>
        </w:rPr>
      </w:pPr>
      <w:r>
        <w:rPr>
          <w:b/>
          <w:bCs/>
          <w:color w:val="8FAADB"/>
          <w:szCs w:val="24"/>
        </w:rPr>
        <w:t>【条文说明】</w:t>
      </w:r>
      <w:r>
        <w:rPr>
          <w:color w:val="8FAADB"/>
        </w:rPr>
        <w:t>本条建议居住建筑地埋管地源热泵系统采用每户拥有独立主机及水泵的分散式设计，主要是基于其对居住建筑使用特性的适应性。此种配置方式有利于分散管理和居民自主调节，契合居住建筑内各住户个性化用能需求与管理习惯。同时，建议换热侧（包括埋管或地表水换热盘管）集中布局，以实现系统整体能效优化。此建议旨在指导居住建筑地源热泵系统设计时兼顾用户便利性与系统效能。</w:t>
      </w:r>
    </w:p>
    <w:p w14:paraId="76BBCDDF">
      <w:pPr>
        <w:pStyle w:val="27"/>
        <w:widowControl/>
        <w:rPr>
          <w:rFonts w:hint="default"/>
        </w:rPr>
      </w:pPr>
      <w:r>
        <w:rPr>
          <w:rFonts w:hint="default" w:ascii="Times New Roman" w:hAnsi="Times New Roman"/>
          <w:b/>
          <w:bCs/>
        </w:rPr>
        <w:t xml:space="preserve">6.4.5  </w:t>
      </w:r>
      <w:r>
        <w:t>地下水地源热泵系统应配置可靠的回灌设施，确保所有抽取的地下水均回灌至同一含水层，并应采取有效措施防止回灌过程中对地下水资源造成污染。</w:t>
      </w:r>
    </w:p>
    <w:p w14:paraId="1DD5DB26">
      <w:pPr>
        <w:pStyle w:val="27"/>
        <w:widowControl/>
        <w:spacing w:line="26" w:lineRule="atLeast"/>
        <w:rPr>
          <w:rFonts w:hint="default"/>
          <w:color w:val="8FAADB"/>
        </w:rPr>
      </w:pPr>
      <w:r>
        <w:rPr>
          <w:b/>
          <w:bCs/>
          <w:color w:val="8FAADB"/>
          <w:szCs w:val="24"/>
        </w:rPr>
        <w:t>【条文说明】</w:t>
      </w:r>
      <w:r>
        <w:rPr>
          <w:color w:val="8FAADB"/>
        </w:rPr>
        <w:t>本条款要求地下水地源热泵系统在设计阶段须配置可靠的回灌设施，确保抽取地下水全量回灌至同一含水层，且须有防止回灌污染地下水资源的措施。旨在从设计层面确保系统运行中有效保护地下水资源，防止环境破坏。</w:t>
      </w:r>
    </w:p>
    <w:p w14:paraId="30451374">
      <w:pPr>
        <w:pStyle w:val="27"/>
        <w:widowControl/>
        <w:rPr>
          <w:rFonts w:hint="default"/>
        </w:rPr>
      </w:pPr>
      <w:r>
        <w:rPr>
          <w:rFonts w:hint="default" w:ascii="Times New Roman" w:hAnsi="Times New Roman"/>
          <w:b/>
          <w:bCs/>
        </w:rPr>
        <w:t xml:space="preserve">6.4.6  </w:t>
      </w:r>
      <w:r>
        <w:t>地源热泵系统应配备完备的监测系统，对以下关键运行参数进行实时监控：</w:t>
      </w:r>
    </w:p>
    <w:p w14:paraId="65080A07">
      <w:pPr>
        <w:pStyle w:val="27"/>
        <w:widowControl/>
        <w:ind w:firstLine="482" w:firstLineChars="200"/>
        <w:rPr>
          <w:rFonts w:hint="default"/>
        </w:rPr>
      </w:pPr>
      <w:r>
        <w:rPr>
          <w:rFonts w:hint="default" w:ascii="Times New Roman" w:hAnsi="Times New Roman"/>
          <w:b/>
          <w:bCs/>
        </w:rPr>
        <w:t xml:space="preserve">1  </w:t>
      </w:r>
      <w:r>
        <w:rPr>
          <w:rFonts w:hint="default" w:ascii="Helvetica" w:hAnsi="Helvetica" w:eastAsia="Helvetica" w:cs="Helvetica"/>
          <w:color w:val="1F2328"/>
          <w:szCs w:val="24"/>
          <w:shd w:val="clear" w:color="auto" w:fill="FFFFFF"/>
        </w:rPr>
        <w:t>具有代表性的室内空间温度</w:t>
      </w:r>
      <w:r>
        <w:t>；</w:t>
      </w:r>
    </w:p>
    <w:p w14:paraId="007593ED">
      <w:pPr>
        <w:pStyle w:val="27"/>
        <w:widowControl/>
        <w:ind w:firstLine="482" w:firstLineChars="200"/>
        <w:rPr>
          <w:rFonts w:hint="default"/>
        </w:rPr>
      </w:pPr>
      <w:r>
        <w:rPr>
          <w:rFonts w:hint="default" w:ascii="Times New Roman" w:hAnsi="Times New Roman"/>
          <w:b/>
          <w:bCs/>
        </w:rPr>
        <w:t xml:space="preserve">2  </w:t>
      </w:r>
      <w:r>
        <w:rPr>
          <w:rFonts w:hint="default" w:ascii="Helvetica" w:hAnsi="Helvetica" w:eastAsia="Helvetica" w:cs="Helvetica"/>
          <w:color w:val="1F2328"/>
          <w:szCs w:val="24"/>
          <w:shd w:val="clear" w:color="auto" w:fill="FFFFFF"/>
        </w:rPr>
        <w:t>地源侧进/出水的温度与流量</w:t>
      </w:r>
      <w:r>
        <w:t>；</w:t>
      </w:r>
    </w:p>
    <w:p w14:paraId="39B8955C">
      <w:pPr>
        <w:pStyle w:val="27"/>
        <w:widowControl/>
        <w:ind w:firstLine="482" w:firstLineChars="200"/>
        <w:rPr>
          <w:rFonts w:hint="default"/>
        </w:rPr>
      </w:pPr>
      <w:r>
        <w:rPr>
          <w:rFonts w:hint="default" w:ascii="Times New Roman" w:hAnsi="Times New Roman"/>
          <w:b/>
          <w:bCs/>
        </w:rPr>
        <w:t xml:space="preserve">3  </w:t>
      </w:r>
      <w:r>
        <w:rPr>
          <w:rFonts w:hint="default" w:ascii="Helvetica" w:hAnsi="Helvetica" w:eastAsia="Helvetica" w:cs="Helvetica"/>
          <w:color w:val="1F2328"/>
          <w:szCs w:val="24"/>
          <w:shd w:val="clear" w:color="auto" w:fill="FFFFFF"/>
        </w:rPr>
        <w:t>用户侧进/出水的温度与流量</w:t>
      </w:r>
      <w:r>
        <w:t>；</w:t>
      </w:r>
    </w:p>
    <w:p w14:paraId="7946AEFB">
      <w:pPr>
        <w:pStyle w:val="27"/>
        <w:widowControl/>
        <w:ind w:firstLine="482" w:firstLineChars="200"/>
        <w:rPr>
          <w:rFonts w:hint="default"/>
        </w:rPr>
      </w:pPr>
      <w:r>
        <w:rPr>
          <w:rFonts w:hint="default" w:ascii="Times New Roman" w:hAnsi="Times New Roman"/>
          <w:b/>
          <w:bCs/>
        </w:rPr>
        <w:t xml:space="preserve">4  </w:t>
      </w:r>
      <w:r>
        <w:rPr>
          <w:rFonts w:hint="default" w:ascii="Helvetica" w:hAnsi="Helvetica" w:eastAsia="Helvetica" w:cs="Helvetica"/>
          <w:color w:val="1F2328"/>
          <w:szCs w:val="24"/>
          <w:shd w:val="clear" w:color="auto" w:fill="FFFFFF"/>
        </w:rPr>
        <w:t>系统总体电能消耗</w:t>
      </w:r>
      <w:r>
        <w:t>；</w:t>
      </w:r>
    </w:p>
    <w:p w14:paraId="27B3C035">
      <w:pPr>
        <w:pStyle w:val="27"/>
        <w:widowControl/>
        <w:ind w:firstLine="482" w:firstLineChars="200"/>
        <w:rPr>
          <w:rFonts w:hint="default"/>
        </w:rPr>
      </w:pPr>
      <w:r>
        <w:rPr>
          <w:rFonts w:hint="default" w:ascii="Times New Roman" w:hAnsi="Times New Roman"/>
          <w:b/>
          <w:bCs/>
        </w:rPr>
        <w:t xml:space="preserve">5  </w:t>
      </w:r>
      <w:r>
        <w:rPr>
          <w:rFonts w:hint="default" w:ascii="Helvetica" w:hAnsi="Helvetica" w:eastAsia="Helvetica" w:cs="Helvetica"/>
          <w:color w:val="1F2328"/>
          <w:szCs w:val="24"/>
          <w:shd w:val="clear" w:color="auto" w:fill="FFFFFF"/>
        </w:rPr>
        <w:t>相关地下环境变量</w:t>
      </w:r>
      <w:r>
        <w:t>。</w:t>
      </w:r>
    </w:p>
    <w:p w14:paraId="35E16FD2">
      <w:pPr>
        <w:pStyle w:val="27"/>
        <w:widowControl/>
        <w:spacing w:line="26" w:lineRule="atLeast"/>
        <w:rPr>
          <w:rFonts w:hint="default"/>
          <w:color w:val="8FAADB"/>
        </w:rPr>
      </w:pPr>
      <w:r>
        <w:rPr>
          <w:b/>
          <w:bCs/>
          <w:color w:val="8FAADB"/>
          <w:szCs w:val="24"/>
        </w:rPr>
        <w:t>【条文说明】</w:t>
      </w:r>
      <w:r>
        <w:rPr>
          <w:color w:val="8FAADB"/>
        </w:rPr>
        <w:t>本条款规定地源热泵系统需配置监控系统，对室内温度、地源/用户侧进出水温/流、系统耗电及地下环境参数等关键数据进行实时监测。此举旨在确保系统运行数据的全面获取与分析，为运行优化、故障诊断及能效评估提供准确依据，实现系统高效、稳定、安全运行。</w:t>
      </w:r>
    </w:p>
    <w:p w14:paraId="248B9878">
      <w:pPr>
        <w:pStyle w:val="2"/>
        <w:widowControl/>
        <w:rPr>
          <w:rFonts w:ascii="Calibri" w:hAnsi="Calibri"/>
          <w:b w:val="0"/>
        </w:rPr>
      </w:pPr>
      <w:r>
        <w:rPr>
          <w:lang w:bidi="ar"/>
        </w:rPr>
        <w:br w:type="page"/>
      </w:r>
      <w:bookmarkStart w:id="191" w:name="_Toc21724"/>
      <w:bookmarkStart w:id="192" w:name="_Toc29135"/>
      <w:bookmarkStart w:id="193" w:name="_Toc531"/>
      <w:bookmarkStart w:id="194" w:name="_Toc16481"/>
      <w:bookmarkStart w:id="195" w:name="_Toc29223"/>
      <w:bookmarkStart w:id="196" w:name="_Toc16564"/>
      <w:bookmarkStart w:id="197" w:name="_Toc3242"/>
      <w:bookmarkStart w:id="198" w:name="_Toc25174"/>
      <w:r>
        <w:rPr>
          <w:rStyle w:val="22"/>
          <w:rFonts w:ascii="Times New Roman" w:hAnsi="Times New Roman" w:cs="Times New Roman"/>
          <w:b w:val="0"/>
        </w:rPr>
        <w:t>7</w:t>
      </w:r>
      <w:r>
        <w:rPr>
          <w:rStyle w:val="22"/>
          <w:rFonts w:ascii="Calibri" w:hAnsi="Calibri" w:cs="Times New Roman"/>
          <w:b w:val="0"/>
        </w:rPr>
        <w:t xml:space="preserve">  </w:t>
      </w:r>
      <w:r>
        <w:rPr>
          <w:rStyle w:val="22"/>
          <w:rFonts w:hint="eastAsia" w:ascii="Calibri" w:hAnsi="Calibri" w:cs="Times New Roman"/>
          <w:b w:val="0"/>
        </w:rPr>
        <w:t>建筑能耗综合值计算</w:t>
      </w:r>
      <w:bookmarkEnd w:id="191"/>
      <w:bookmarkEnd w:id="192"/>
      <w:bookmarkEnd w:id="193"/>
      <w:bookmarkEnd w:id="194"/>
      <w:bookmarkEnd w:id="195"/>
      <w:bookmarkEnd w:id="196"/>
      <w:bookmarkEnd w:id="197"/>
    </w:p>
    <w:bookmarkEnd w:id="198"/>
    <w:p w14:paraId="1A64EA85">
      <w:pPr>
        <w:pStyle w:val="4"/>
        <w:widowControl/>
      </w:pPr>
      <w:bookmarkStart w:id="199" w:name="_Toc28390"/>
      <w:bookmarkStart w:id="200" w:name="_Toc30655"/>
      <w:bookmarkStart w:id="201" w:name="_Toc10224"/>
      <w:bookmarkStart w:id="202" w:name="_Toc17393"/>
      <w:bookmarkStart w:id="203" w:name="_Toc17804"/>
      <w:bookmarkStart w:id="204" w:name="_Toc12590"/>
      <w:bookmarkStart w:id="205" w:name="_Toc31222"/>
      <w:r>
        <w:rPr>
          <w:rFonts w:ascii="Times New Roman" w:hAnsi="Times New Roman"/>
        </w:rPr>
        <w:t>7.1</w:t>
      </w:r>
      <w:r>
        <w:t xml:space="preserve">  </w:t>
      </w:r>
      <w:r>
        <w:rPr>
          <w:rFonts w:hint="eastAsia" w:cs="宋体"/>
        </w:rPr>
        <w:t>一般规定</w:t>
      </w:r>
      <w:bookmarkEnd w:id="199"/>
      <w:bookmarkEnd w:id="200"/>
      <w:bookmarkEnd w:id="201"/>
      <w:bookmarkEnd w:id="202"/>
      <w:bookmarkEnd w:id="203"/>
      <w:bookmarkEnd w:id="204"/>
      <w:bookmarkEnd w:id="205"/>
    </w:p>
    <w:p w14:paraId="2C85A943">
      <w:pPr>
        <w:pStyle w:val="27"/>
        <w:widowControl/>
        <w:rPr>
          <w:rFonts w:hint="default"/>
        </w:rPr>
      </w:pPr>
      <w:r>
        <w:rPr>
          <w:rFonts w:hint="default" w:ascii="Times New Roman" w:hAnsi="Times New Roman"/>
          <w:b/>
          <w:bCs/>
        </w:rPr>
        <w:t xml:space="preserve">7.1.1  </w:t>
      </w:r>
      <w:r>
        <w:t>能效指标计算软件应具备下列功能</w:t>
      </w:r>
    </w:p>
    <w:p w14:paraId="1EBB4AFB">
      <w:pPr>
        <w:pStyle w:val="27"/>
        <w:widowControl/>
        <w:ind w:firstLine="482" w:firstLineChars="200"/>
        <w:rPr>
          <w:rFonts w:hint="default"/>
        </w:rPr>
      </w:pPr>
      <w:r>
        <w:rPr>
          <w:rFonts w:hint="default" w:ascii="Times New Roman" w:hAnsi="Times New Roman"/>
          <w:b/>
          <w:bCs/>
        </w:rPr>
        <w:t xml:space="preserve">1  </w:t>
      </w:r>
      <w:r>
        <w:t>计算围护结构（包括热桥部位）传热、太阳辐射得热、建筑内部得热、通风热损失四部分形成的负荷，计算中应能考虑建筑热惰性对负荷的影响；</w:t>
      </w:r>
    </w:p>
    <w:p w14:paraId="12383848">
      <w:pPr>
        <w:pStyle w:val="27"/>
        <w:widowControl/>
        <w:ind w:firstLine="482" w:firstLineChars="200"/>
        <w:rPr>
          <w:rFonts w:hint="default"/>
        </w:rPr>
      </w:pPr>
      <w:r>
        <w:rPr>
          <w:rFonts w:hint="default" w:ascii="Times New Roman" w:hAnsi="Times New Roman"/>
          <w:b/>
          <w:bCs/>
        </w:rPr>
        <w:t xml:space="preserve">2  </w:t>
      </w:r>
      <w:r>
        <w:t>支持至少10个建筑分区的能耗计算：</w:t>
      </w:r>
    </w:p>
    <w:p w14:paraId="11D3E55F">
      <w:pPr>
        <w:pStyle w:val="27"/>
        <w:widowControl/>
        <w:ind w:firstLine="482" w:firstLineChars="200"/>
        <w:rPr>
          <w:rFonts w:hint="default"/>
        </w:rPr>
      </w:pPr>
      <w:r>
        <w:rPr>
          <w:rFonts w:hint="default" w:ascii="Times New Roman" w:hAnsi="Times New Roman"/>
          <w:b/>
          <w:bCs/>
        </w:rPr>
        <w:t xml:space="preserve">3  </w:t>
      </w:r>
      <w:r>
        <w:t>计算建筑供暖、通风、空调、照明、生活热水、电梯系统的能耗，以及可再生能源系统的利用量及发电量：</w:t>
      </w:r>
    </w:p>
    <w:p w14:paraId="09131E5E">
      <w:pPr>
        <w:pStyle w:val="27"/>
        <w:widowControl/>
        <w:ind w:firstLine="482" w:firstLineChars="200"/>
        <w:rPr>
          <w:rFonts w:hint="default"/>
        </w:rPr>
      </w:pPr>
      <w:r>
        <w:rPr>
          <w:rFonts w:hint="default" w:ascii="Times New Roman" w:hAnsi="Times New Roman"/>
          <w:b/>
          <w:bCs/>
        </w:rPr>
        <w:t xml:space="preserve">4  </w:t>
      </w:r>
      <w:r>
        <w:t>提供月平均或逐时的动态计算模式；</w:t>
      </w:r>
    </w:p>
    <w:p w14:paraId="3D80C01C">
      <w:pPr>
        <w:pStyle w:val="27"/>
        <w:widowControl/>
        <w:ind w:firstLine="482" w:firstLineChars="200"/>
        <w:rPr>
          <w:rFonts w:hint="default"/>
        </w:rPr>
      </w:pPr>
      <w:r>
        <w:rPr>
          <w:rFonts w:hint="default" w:ascii="Times New Roman" w:hAnsi="Times New Roman"/>
          <w:b/>
          <w:bCs/>
        </w:rPr>
        <w:t xml:space="preserve">5  </w:t>
      </w:r>
      <w:r>
        <w:t>考虑新风热回收与气密性对能耗的影响。</w:t>
      </w:r>
    </w:p>
    <w:p w14:paraId="0F56C259">
      <w:pPr>
        <w:pStyle w:val="27"/>
        <w:widowControl/>
        <w:spacing w:line="26" w:lineRule="atLeast"/>
        <w:rPr>
          <w:rFonts w:hint="default"/>
          <w:color w:val="8FAADB"/>
        </w:rPr>
      </w:pPr>
      <w:r>
        <w:rPr>
          <w:b/>
          <w:bCs/>
          <w:color w:val="8FAADB"/>
          <w:szCs w:val="24"/>
        </w:rPr>
        <w:t>【条文说明】</w:t>
      </w:r>
      <w:r>
        <w:rPr>
          <w:color w:val="8FAADB"/>
        </w:rPr>
        <w:t>《建筑能效-供暖和供冷需求、室内温度、潜热和显热负荷计算》(《Energy performance of buildings-Energy needs for heating and cooling,internal temperatures and sensible and latent heat loads》)ISO52016-1:2017中提供了国际公认的能耗计算方法，包括逐时和逐月计算。鉴于月平均计算法可能对建筑冷负荷估计产生较大误差，忽视逐时温度变化影响，本条文推荐采用月平均或逐时计算两种方法，以适应不同项目需求与精度要求。</w:t>
      </w:r>
    </w:p>
    <w:p w14:paraId="0E6A9173">
      <w:pPr>
        <w:pStyle w:val="27"/>
        <w:widowControl/>
        <w:rPr>
          <w:rFonts w:hint="default"/>
        </w:rPr>
      </w:pPr>
      <w:r>
        <w:rPr>
          <w:rFonts w:hint="default" w:ascii="Times New Roman" w:hAnsi="Times New Roman"/>
          <w:b/>
          <w:bCs/>
        </w:rPr>
        <w:t xml:space="preserve">7.1.2  </w:t>
      </w:r>
      <w:r>
        <w:t>能效计算应与设计工况保持一致。</w:t>
      </w:r>
    </w:p>
    <w:p w14:paraId="295A9656">
      <w:pPr>
        <w:pStyle w:val="27"/>
        <w:widowControl/>
        <w:spacing w:line="26" w:lineRule="atLeast"/>
        <w:rPr>
          <w:rFonts w:hint="default"/>
          <w:color w:val="8FAADB"/>
        </w:rPr>
      </w:pPr>
      <w:r>
        <w:rPr>
          <w:b/>
          <w:bCs/>
          <w:color w:val="8FAADB"/>
          <w:szCs w:val="24"/>
        </w:rPr>
        <w:t>【条文说明】</w:t>
      </w:r>
      <w:r>
        <w:rPr>
          <w:color w:val="8FAADB"/>
        </w:rPr>
        <w:t>本条款强调能效计算过程中应严格遵循设计工况设定，确保计算条件与实际设计方案保持一致。此举旨在确保计算结果真实反映设计阶段预期的建筑能耗水平，为设计优化、设备选型及运行策略制定提供可靠依据，避免因计算条件偏离设计工况导致的能效评估偏差。</w:t>
      </w:r>
    </w:p>
    <w:p w14:paraId="13462581">
      <w:pPr>
        <w:pStyle w:val="4"/>
        <w:widowControl/>
      </w:pPr>
      <w:bookmarkStart w:id="206" w:name="_Toc12650"/>
      <w:bookmarkStart w:id="207" w:name="_Toc19322"/>
      <w:bookmarkStart w:id="208" w:name="_Toc4340"/>
      <w:bookmarkStart w:id="209" w:name="_Toc23057"/>
      <w:bookmarkStart w:id="210" w:name="_Toc27716"/>
      <w:bookmarkStart w:id="211" w:name="_Toc4361"/>
      <w:r>
        <w:rPr>
          <w:rFonts w:ascii="Times New Roman" w:hAnsi="Times New Roman"/>
        </w:rPr>
        <w:t>7.2</w:t>
      </w:r>
      <w:r>
        <w:t xml:space="preserve">  </w:t>
      </w:r>
      <w:r>
        <w:rPr>
          <w:rFonts w:hint="eastAsia" w:cs="宋体"/>
        </w:rPr>
        <w:t>能效指标计算要求</w:t>
      </w:r>
      <w:bookmarkEnd w:id="206"/>
      <w:bookmarkEnd w:id="207"/>
      <w:bookmarkEnd w:id="208"/>
      <w:bookmarkEnd w:id="209"/>
      <w:bookmarkEnd w:id="210"/>
      <w:bookmarkEnd w:id="211"/>
    </w:p>
    <w:p w14:paraId="05198B8D">
      <w:pPr>
        <w:pStyle w:val="27"/>
        <w:widowControl/>
        <w:rPr>
          <w:rFonts w:hint="default"/>
        </w:rPr>
      </w:pPr>
      <w:r>
        <w:rPr>
          <w:rFonts w:hint="default" w:ascii="Times New Roman" w:hAnsi="Times New Roman"/>
          <w:b/>
          <w:bCs/>
        </w:rPr>
        <w:t xml:space="preserve">7.2.1  </w:t>
      </w:r>
      <w:r>
        <w:t>能效指标的计算应符合下列规定；</w:t>
      </w:r>
    </w:p>
    <w:p w14:paraId="400B50DA">
      <w:pPr>
        <w:pStyle w:val="27"/>
        <w:widowControl/>
        <w:ind w:firstLine="482" w:firstLineChars="200"/>
        <w:rPr>
          <w:rFonts w:hint="default"/>
        </w:rPr>
      </w:pPr>
      <w:r>
        <w:rPr>
          <w:rFonts w:hint="default" w:ascii="Times New Roman" w:hAnsi="Times New Roman"/>
          <w:b/>
          <w:bCs/>
        </w:rPr>
        <w:t xml:space="preserve">1  </w:t>
      </w:r>
      <w:r>
        <w:t>气象参数选取应符合现行行业标准《建筑节能气象参数标准》JGJ/T346。</w:t>
      </w:r>
    </w:p>
    <w:p w14:paraId="0D29909E">
      <w:pPr>
        <w:pStyle w:val="27"/>
        <w:widowControl/>
        <w:ind w:firstLine="482" w:firstLineChars="200"/>
        <w:rPr>
          <w:rFonts w:hint="default"/>
        </w:rPr>
      </w:pPr>
      <w:r>
        <w:rPr>
          <w:rFonts w:hint="default" w:ascii="Times New Roman" w:hAnsi="Times New Roman"/>
          <w:b/>
          <w:bCs/>
        </w:rPr>
        <w:t xml:space="preserve">2  </w:t>
      </w:r>
      <w:r>
        <w:t>计算供暖年耗热量和供冷年耗冷量时，应包括围护结构的热损失及新风处理热（冷）需求，且</w:t>
      </w:r>
      <w:r>
        <w:rPr>
          <w:rFonts w:hint="default" w:ascii="Helvetica" w:hAnsi="Helvetica" w:eastAsia="Helvetica" w:cs="Helvetica"/>
          <w:color w:val="1F2328"/>
          <w:szCs w:val="24"/>
          <w:shd w:val="clear" w:color="auto" w:fill="FFFFFF"/>
        </w:rPr>
        <w:t>新风处理需求应扣除排风中回收的热（冷）量</w:t>
      </w:r>
      <w:r>
        <w:t>。</w:t>
      </w:r>
    </w:p>
    <w:p w14:paraId="0E9DB393">
      <w:pPr>
        <w:pStyle w:val="27"/>
        <w:widowControl/>
        <w:ind w:firstLine="482" w:firstLineChars="200"/>
        <w:rPr>
          <w:rFonts w:hint="default"/>
        </w:rPr>
      </w:pPr>
      <w:r>
        <w:rPr>
          <w:rFonts w:hint="default" w:ascii="Times New Roman" w:hAnsi="Times New Roman"/>
          <w:b/>
          <w:bCs/>
        </w:rPr>
        <w:t xml:space="preserve">3  </w:t>
      </w:r>
      <w:r>
        <w:t>当室外相对湿度≤80%时，若室外温度≤28℃、室内平均风速在0.3m/s~0.5m/s，或室外温度≤26℃、室内平均风速＜0.3m/s时，当经计算验证，自然通风能满足表3.2.1规定的室内环境参数时，则不计算供冷需求；若风扇降温可满足，仅计风扇电耗；</w:t>
      </w:r>
    </w:p>
    <w:p w14:paraId="52FECE64">
      <w:pPr>
        <w:pStyle w:val="27"/>
        <w:widowControl/>
        <w:ind w:firstLine="482" w:firstLineChars="200"/>
        <w:rPr>
          <w:rFonts w:hint="default"/>
        </w:rPr>
      </w:pPr>
      <w:r>
        <w:rPr>
          <w:rFonts w:hint="default" w:ascii="Times New Roman" w:hAnsi="Times New Roman"/>
          <w:b/>
          <w:bCs/>
        </w:rPr>
        <w:t xml:space="preserve">4  </w:t>
      </w:r>
      <w:r>
        <w:t>计算供暖通风空调系统能耗时应能考虑部分负荷及间歇使用的影响；</w:t>
      </w:r>
    </w:p>
    <w:p w14:paraId="1440B0D1">
      <w:pPr>
        <w:pStyle w:val="27"/>
        <w:widowControl/>
        <w:ind w:firstLine="482" w:firstLineChars="200"/>
        <w:rPr>
          <w:rFonts w:hint="default"/>
        </w:rPr>
      </w:pPr>
      <w:r>
        <w:rPr>
          <w:rFonts w:hint="default" w:ascii="Times New Roman" w:hAnsi="Times New Roman"/>
          <w:b/>
          <w:bCs/>
        </w:rPr>
        <w:t xml:space="preserve">5  </w:t>
      </w:r>
      <w:r>
        <w:t>照明能耗的计算应计入天然采光及自动控制效应；</w:t>
      </w:r>
    </w:p>
    <w:p w14:paraId="10CBF747">
      <w:pPr>
        <w:pStyle w:val="27"/>
        <w:widowControl/>
        <w:ind w:firstLine="482" w:firstLineChars="200"/>
        <w:rPr>
          <w:rFonts w:hint="default"/>
        </w:rPr>
      </w:pPr>
      <w:r>
        <w:rPr>
          <w:rFonts w:hint="default" w:ascii="Times New Roman" w:hAnsi="Times New Roman"/>
          <w:b/>
          <w:bCs/>
        </w:rPr>
        <w:t xml:space="preserve">6  </w:t>
      </w:r>
      <w:r>
        <w:t>应计算可再生能源利用量。</w:t>
      </w:r>
    </w:p>
    <w:p w14:paraId="7BDA1EDA">
      <w:pPr>
        <w:pStyle w:val="27"/>
        <w:widowControl/>
        <w:spacing w:line="26" w:lineRule="atLeast"/>
        <w:rPr>
          <w:rFonts w:hint="default"/>
          <w:color w:val="8FAADB"/>
        </w:rPr>
      </w:pPr>
      <w:r>
        <w:rPr>
          <w:b/>
          <w:bCs/>
          <w:color w:val="8FAADB"/>
          <w:szCs w:val="24"/>
        </w:rPr>
        <w:t>【条文说明】</w:t>
      </w:r>
      <w:r>
        <w:rPr>
          <w:color w:val="8FAADB"/>
        </w:rPr>
        <w:t>夏热冬暖地区对自然通风和风扇通风环境下的热舒适研究表明，自然通风和风扇通风环境下人员的热舒适区会比空调环境下更加放宽，因此本标准提出适用于夏热冬暖地区的空调、风扇与通风三种环境保障模式。在不同的室外条件下采取不同的方式，消除室内余热余湿、保障室内环境舒适的同时可有效降低建筑能耗。</w:t>
      </w:r>
    </w:p>
    <w:p w14:paraId="79DE9D02">
      <w:pPr>
        <w:pStyle w:val="27"/>
        <w:widowControl/>
        <w:ind w:firstLine="480" w:firstLineChars="200"/>
        <w:rPr>
          <w:rFonts w:hint="default" w:ascii="Times New Roman" w:hAnsi="Times New Roman"/>
          <w:color w:val="8FAADB"/>
        </w:rPr>
      </w:pPr>
      <w:r>
        <w:rPr>
          <w:rFonts w:ascii="Times New Roman" w:hAnsi="Times New Roman"/>
          <w:color w:val="8FAADB"/>
        </w:rPr>
        <w:t>空调环境是在夏季与过渡季采用空调系统调节形成的室内环境，根据国内外有关研究结果，当人体衣着适宜、保暖量充分且处于安静状态时，室内温度</w:t>
      </w:r>
      <w:r>
        <w:rPr>
          <w:rFonts w:hint="default" w:ascii="Times New Roman" w:hAnsi="Times New Roman"/>
          <w:color w:val="8FAADB"/>
        </w:rPr>
        <w:t>20℃</w:t>
      </w:r>
      <w:r>
        <w:rPr>
          <w:rFonts w:ascii="Times New Roman" w:hAnsi="Times New Roman"/>
          <w:color w:val="8FAADB"/>
        </w:rPr>
        <w:t>比较舒适，</w:t>
      </w:r>
      <w:r>
        <w:rPr>
          <w:rFonts w:hint="default" w:ascii="Times New Roman" w:hAnsi="Times New Roman"/>
          <w:color w:val="8FAADB"/>
        </w:rPr>
        <w:t>18℃</w:t>
      </w:r>
      <w:r>
        <w:rPr>
          <w:rFonts w:ascii="Times New Roman" w:hAnsi="Times New Roman"/>
          <w:color w:val="8FAADB"/>
        </w:rPr>
        <w:t>无冷感，</w:t>
      </w:r>
      <w:r>
        <w:rPr>
          <w:rFonts w:hint="default" w:ascii="Times New Roman" w:hAnsi="Times New Roman"/>
          <w:color w:val="8FAADB"/>
        </w:rPr>
        <w:t>15℃</w:t>
      </w:r>
      <w:r>
        <w:rPr>
          <w:rFonts w:ascii="Times New Roman" w:hAnsi="Times New Roman"/>
          <w:color w:val="8FAADB"/>
        </w:rPr>
        <w:t>时产生明显冷感的温度界限。热舒适环境（</w:t>
      </w:r>
      <w:r>
        <w:rPr>
          <w:rFonts w:hint="default" w:ascii="Times New Roman" w:hAnsi="Times New Roman"/>
          <w:color w:val="8FAADB"/>
        </w:rPr>
        <w:t>-1≤PMV≤1</w:t>
      </w:r>
      <w:r>
        <w:rPr>
          <w:rFonts w:ascii="Times New Roman" w:hAnsi="Times New Roman"/>
          <w:color w:val="8FAADB"/>
        </w:rPr>
        <w:t>）对应的温度范围为</w:t>
      </w:r>
      <w:r>
        <w:rPr>
          <w:rFonts w:hint="default" w:ascii="Times New Roman" w:hAnsi="Times New Roman"/>
          <w:color w:val="8FAADB"/>
        </w:rPr>
        <w:t>18~28.4℃</w:t>
      </w:r>
      <w:r>
        <w:rPr>
          <w:rFonts w:ascii="Times New Roman" w:hAnsi="Times New Roman"/>
          <w:color w:val="8FAADB"/>
        </w:rPr>
        <w:t>。在保证室内舒适度的条件下尽量节能，将夏季室内环境参数，空调温度上限值为</w:t>
      </w:r>
      <w:r>
        <w:rPr>
          <w:rFonts w:hint="default" w:ascii="Times New Roman" w:hAnsi="Times New Roman"/>
          <w:color w:val="8FAADB"/>
        </w:rPr>
        <w:t>26℃</w:t>
      </w:r>
      <w:r>
        <w:rPr>
          <w:rFonts w:ascii="Times New Roman" w:hAnsi="Times New Roman"/>
          <w:color w:val="8FAADB"/>
        </w:rPr>
        <w:t>，相对湿度上限值为</w:t>
      </w:r>
      <w:r>
        <w:rPr>
          <w:rFonts w:hint="default" w:ascii="Times New Roman" w:hAnsi="Times New Roman"/>
          <w:color w:val="8FAADB"/>
        </w:rPr>
        <w:t>60%</w:t>
      </w:r>
      <w:r>
        <w:rPr>
          <w:rFonts w:ascii="Times New Roman" w:hAnsi="Times New Roman"/>
          <w:color w:val="8FAADB"/>
        </w:rPr>
        <w:t>。</w:t>
      </w:r>
    </w:p>
    <w:p w14:paraId="6C3A53D4">
      <w:pPr>
        <w:pStyle w:val="27"/>
        <w:widowControl/>
        <w:ind w:firstLine="480" w:firstLineChars="200"/>
        <w:rPr>
          <w:rFonts w:hint="default" w:ascii="Times New Roman" w:hAnsi="Times New Roman"/>
          <w:color w:val="8FAADB"/>
        </w:rPr>
      </w:pPr>
      <w:r>
        <w:rPr>
          <w:rFonts w:ascii="Times New Roman" w:hAnsi="Times New Roman"/>
          <w:color w:val="8FAADB"/>
        </w:rPr>
        <w:t>风扇环境是在风扇开启的情况下形成的室内环境，在风扇环境下，较高的风速会加强皮肤表面对流换热，降低人体热感，因此风扇环境下的室内控制温度可提高至</w:t>
      </w:r>
      <w:r>
        <w:rPr>
          <w:rFonts w:hint="default" w:ascii="Times New Roman" w:hAnsi="Times New Roman"/>
          <w:color w:val="8FAADB"/>
        </w:rPr>
        <w:t>29℃</w:t>
      </w:r>
      <w:r>
        <w:rPr>
          <w:rFonts w:ascii="Times New Roman" w:hAnsi="Times New Roman"/>
          <w:color w:val="8FAADB"/>
        </w:rPr>
        <w:t>，相对湿度不高于</w:t>
      </w:r>
      <w:r>
        <w:rPr>
          <w:rFonts w:hint="default" w:ascii="Times New Roman" w:hAnsi="Times New Roman"/>
          <w:color w:val="8FAADB"/>
        </w:rPr>
        <w:t>80%</w:t>
      </w:r>
      <w:r>
        <w:rPr>
          <w:rFonts w:ascii="Times New Roman" w:hAnsi="Times New Roman"/>
          <w:color w:val="8FAADB"/>
        </w:rPr>
        <w:t>，人员活动区风速控制在</w:t>
      </w:r>
      <w:r>
        <w:rPr>
          <w:rFonts w:hint="default" w:ascii="Times New Roman" w:hAnsi="Times New Roman"/>
          <w:color w:val="8FAADB"/>
        </w:rPr>
        <w:t>0.3m/s</w:t>
      </w:r>
      <w:r>
        <w:rPr>
          <w:rFonts w:ascii="Times New Roman" w:hAnsi="Times New Roman"/>
          <w:color w:val="8FAADB"/>
        </w:rPr>
        <w:t>以下，可维持室内人员热舒适性。</w:t>
      </w:r>
    </w:p>
    <w:p w14:paraId="14AEE0D5">
      <w:pPr>
        <w:pStyle w:val="27"/>
        <w:widowControl/>
        <w:ind w:firstLine="480" w:firstLineChars="200"/>
        <w:rPr>
          <w:rFonts w:hint="default" w:ascii="Times New Roman" w:hAnsi="Times New Roman"/>
          <w:color w:val="8FAADB"/>
        </w:rPr>
      </w:pPr>
      <w:r>
        <w:rPr>
          <w:rFonts w:ascii="Times New Roman" w:hAnsi="Times New Roman"/>
          <w:color w:val="8FAADB"/>
        </w:rPr>
        <w:t>通风环境是指利用自然或机械的手段将室内空气和外界空气进行交换所形成的室内环境。在通风环境下，由于通风风速不同，提出两种舒适性指标要求，当风速小于</w:t>
      </w:r>
      <w:r>
        <w:rPr>
          <w:rFonts w:hint="default" w:ascii="Times New Roman" w:hAnsi="Times New Roman"/>
          <w:color w:val="8FAADB"/>
        </w:rPr>
        <w:t>0.30m/s</w:t>
      </w:r>
      <w:r>
        <w:rPr>
          <w:rFonts w:ascii="Times New Roman" w:hAnsi="Times New Roman"/>
          <w:color w:val="8FAADB"/>
        </w:rPr>
        <w:t>时，室内环境温度应不高于</w:t>
      </w:r>
      <w:r>
        <w:rPr>
          <w:rFonts w:hint="default" w:ascii="Times New Roman" w:hAnsi="Times New Roman"/>
          <w:color w:val="8FAADB"/>
        </w:rPr>
        <w:t>26℃</w:t>
      </w:r>
      <w:r>
        <w:rPr>
          <w:rFonts w:ascii="Times New Roman" w:hAnsi="Times New Roman"/>
          <w:color w:val="8FAADB"/>
        </w:rPr>
        <w:t>，相对湿度不高于</w:t>
      </w:r>
      <w:r>
        <w:rPr>
          <w:rFonts w:hint="default" w:ascii="Times New Roman" w:hAnsi="Times New Roman"/>
          <w:color w:val="8FAADB"/>
        </w:rPr>
        <w:t>80%</w:t>
      </w:r>
      <w:r>
        <w:rPr>
          <w:rFonts w:ascii="Times New Roman" w:hAnsi="Times New Roman"/>
          <w:color w:val="8FAADB"/>
        </w:rPr>
        <w:t>；当风速在</w:t>
      </w:r>
      <w:r>
        <w:rPr>
          <w:rFonts w:hint="default" w:ascii="Times New Roman" w:hAnsi="Times New Roman"/>
          <w:color w:val="8FAADB"/>
        </w:rPr>
        <w:t>0.3~0.5m/s</w:t>
      </w:r>
      <w:r>
        <w:rPr>
          <w:rFonts w:ascii="Times New Roman" w:hAnsi="Times New Roman"/>
          <w:color w:val="8FAADB"/>
        </w:rPr>
        <w:t>时，室内环境温度应不高于</w:t>
      </w:r>
      <w:r>
        <w:rPr>
          <w:rFonts w:hint="default" w:ascii="Times New Roman" w:hAnsi="Times New Roman"/>
          <w:color w:val="8FAADB"/>
        </w:rPr>
        <w:t>28℃</w:t>
      </w:r>
      <w:r>
        <w:rPr>
          <w:rFonts w:ascii="Times New Roman" w:hAnsi="Times New Roman"/>
          <w:color w:val="8FAADB"/>
        </w:rPr>
        <w:t>，相对湿度不高于</w:t>
      </w:r>
      <w:r>
        <w:rPr>
          <w:rFonts w:hint="default" w:ascii="Times New Roman" w:hAnsi="Times New Roman"/>
          <w:color w:val="8FAADB"/>
        </w:rPr>
        <w:t>80%</w:t>
      </w:r>
      <w:r>
        <w:rPr>
          <w:rFonts w:ascii="Times New Roman" w:hAnsi="Times New Roman"/>
          <w:color w:val="8FAADB"/>
        </w:rPr>
        <w:t>。</w:t>
      </w:r>
    </w:p>
    <w:p w14:paraId="13F405C0">
      <w:pPr>
        <w:pStyle w:val="27"/>
        <w:widowControl/>
        <w:rPr>
          <w:rFonts w:hint="default"/>
        </w:rPr>
      </w:pPr>
      <w:r>
        <w:rPr>
          <w:rFonts w:hint="default" w:ascii="Times New Roman" w:hAnsi="Times New Roman"/>
          <w:b/>
          <w:bCs/>
        </w:rPr>
        <w:t xml:space="preserve">7.2.2  </w:t>
      </w:r>
      <w:r>
        <w:t>设计建筑能效指标计算参数设置应符合下列规定：</w:t>
      </w:r>
    </w:p>
    <w:p w14:paraId="138D5D56">
      <w:pPr>
        <w:pStyle w:val="27"/>
        <w:widowControl/>
        <w:ind w:firstLine="482" w:firstLineChars="200"/>
        <w:rPr>
          <w:rFonts w:hint="default"/>
        </w:rPr>
      </w:pPr>
      <w:r>
        <w:rPr>
          <w:rFonts w:hint="default" w:ascii="Times New Roman" w:hAnsi="Times New Roman"/>
          <w:b/>
          <w:bCs/>
        </w:rPr>
        <w:t>1</w:t>
      </w:r>
      <w:r>
        <w:t xml:space="preserve">  建筑的形状、大小、朝向、内部空间布局、使用功能、建筑构造尺寸、建筑围护结构传热系数、材料做法、外窗（含透光幕墙）太阳得热系数、窗墙面积比、屋面开窗面积等参数应与建筑设计文件一致。</w:t>
      </w:r>
    </w:p>
    <w:p w14:paraId="314263C4">
      <w:pPr>
        <w:pStyle w:val="27"/>
        <w:widowControl/>
        <w:ind w:firstLine="482" w:firstLineChars="200"/>
        <w:rPr>
          <w:rFonts w:hint="default"/>
        </w:rPr>
      </w:pPr>
      <w:r>
        <w:rPr>
          <w:rFonts w:hint="default" w:ascii="Times New Roman" w:hAnsi="Times New Roman"/>
          <w:b/>
          <w:bCs/>
        </w:rPr>
        <w:t>2</w:t>
      </w:r>
      <w:r>
        <w:t xml:space="preserve">  除设计文件中明确标识为非供暖/供冷区外，其余区域均视作设有供暖与供冷设施。供暖与供冷系统日运行时间参见表</w:t>
      </w:r>
      <w:r>
        <w:rPr>
          <w:rFonts w:hint="default" w:ascii="Times New Roman" w:hAnsi="Times New Roman"/>
        </w:rPr>
        <w:t>7.2.2-1</w:t>
      </w:r>
      <w:r>
        <w:t>。</w:t>
      </w:r>
    </w:p>
    <w:p w14:paraId="5AFA2088">
      <w:pPr>
        <w:pStyle w:val="27"/>
        <w:widowControl/>
        <w:ind w:firstLine="482" w:firstLineChars="200"/>
        <w:rPr>
          <w:rFonts w:hint="default"/>
        </w:rPr>
      </w:pPr>
      <w:r>
        <w:rPr>
          <w:rFonts w:hint="default" w:ascii="Times New Roman" w:hAnsi="Times New Roman"/>
          <w:b/>
          <w:bCs/>
        </w:rPr>
        <w:t>3</w:t>
      </w:r>
      <w:r>
        <w:t xml:space="preserve">  采用活动遮阳装置的建筑，其供暖季、供冷季和过渡季的遮阳系数按表</w:t>
      </w:r>
      <w:r>
        <w:rPr>
          <w:rFonts w:hint="default" w:ascii="Times New Roman" w:hAnsi="Times New Roman"/>
        </w:rPr>
        <w:t>7.2.2-2</w:t>
      </w:r>
      <w:r>
        <w:t>设定。</w:t>
      </w:r>
    </w:p>
    <w:p w14:paraId="48BEE270">
      <w:pPr>
        <w:pStyle w:val="27"/>
        <w:widowControl/>
        <w:ind w:firstLine="482" w:firstLineChars="200"/>
        <w:rPr>
          <w:rFonts w:hint="default"/>
        </w:rPr>
      </w:pPr>
      <w:r>
        <w:rPr>
          <w:rFonts w:hint="default" w:ascii="Times New Roman" w:hAnsi="Times New Roman"/>
          <w:b/>
          <w:bCs/>
        </w:rPr>
        <w:t>4</w:t>
      </w:r>
      <w:r>
        <w:t xml:space="preserve">  居住建筑房间人员密度、设备功率密度、照明功率密度按表</w:t>
      </w:r>
      <w:r>
        <w:rPr>
          <w:rFonts w:hint="default" w:ascii="Times New Roman" w:hAnsi="Times New Roman"/>
        </w:rPr>
        <w:t>7.2.2-3</w:t>
      </w:r>
      <w:r>
        <w:t>设定；人员在室率、照明使用时间、设备使用率按表</w:t>
      </w:r>
      <w:r>
        <w:rPr>
          <w:rFonts w:hint="default" w:ascii="Times New Roman" w:hAnsi="Times New Roman"/>
        </w:rPr>
        <w:t>7.2.2-4</w:t>
      </w:r>
      <w:r>
        <w:rPr>
          <w:rFonts w:ascii="Times New Roman" w:hAnsi="Times New Roman"/>
        </w:rPr>
        <w:t>至表</w:t>
      </w:r>
      <w:r>
        <w:rPr>
          <w:rFonts w:hint="default" w:ascii="Times New Roman" w:hAnsi="Times New Roman"/>
        </w:rPr>
        <w:t>7.2.2-6</w:t>
      </w:r>
      <w:r>
        <w:rPr>
          <w:rFonts w:ascii="Times New Roman" w:hAnsi="Times New Roman"/>
        </w:rPr>
        <w:t>设定，新风开启率与人员在室率保持一致。</w:t>
      </w:r>
    </w:p>
    <w:p w14:paraId="5E01C524">
      <w:pPr>
        <w:pStyle w:val="27"/>
        <w:widowControl/>
        <w:ind w:firstLine="482" w:firstLineChars="200"/>
        <w:rPr>
          <w:rFonts w:hint="default"/>
        </w:rPr>
      </w:pPr>
      <w:r>
        <w:rPr>
          <w:b/>
          <w:bCs/>
        </w:rPr>
        <w:t>5</w:t>
      </w:r>
      <w:r>
        <w:t xml:space="preserve">  照明系统的照明功率密度值应与建筑设计文件一致。</w:t>
      </w:r>
    </w:p>
    <w:p w14:paraId="04F4E9D9">
      <w:pPr>
        <w:pStyle w:val="27"/>
        <w:widowControl/>
        <w:ind w:firstLine="482" w:firstLineChars="200"/>
        <w:rPr>
          <w:rFonts w:hint="default"/>
        </w:rPr>
      </w:pPr>
      <w:r>
        <w:rPr>
          <w:b/>
          <w:bCs/>
        </w:rPr>
        <w:t>6</w:t>
      </w:r>
      <w:r>
        <w:t xml:space="preserve">  供暖、通风、空调、生活热水、电梯系统的系统形式、能效参数应与设计文件一致，生活热水系统的用水量应与设计文件一致，并应符合现行国家标准《民用建筑节水设计标准》</w:t>
      </w:r>
      <w:r>
        <w:rPr>
          <w:rFonts w:hint="default" w:ascii="Times New Roman" w:hAnsi="Times New Roman"/>
        </w:rPr>
        <w:t>GB 50555</w:t>
      </w:r>
      <w:r>
        <w:t>的规定。</w:t>
      </w:r>
    </w:p>
    <w:p w14:paraId="42BBCF4C">
      <w:pPr>
        <w:pStyle w:val="27"/>
        <w:widowControl/>
        <w:ind w:firstLine="482" w:firstLineChars="200"/>
        <w:rPr>
          <w:rFonts w:hint="default"/>
        </w:rPr>
      </w:pPr>
      <w:r>
        <w:rPr>
          <w:b/>
          <w:bCs/>
        </w:rPr>
        <w:t>7</w:t>
      </w:r>
      <w:r>
        <w:t xml:space="preserve">  可再生能源系统形式及效率应与设计文件一致。</w:t>
      </w:r>
    </w:p>
    <w:p w14:paraId="3A0C698E">
      <w:pPr>
        <w:pStyle w:val="27"/>
        <w:widowControl/>
        <w:spacing w:before="156" w:beforeLines="50"/>
        <w:jc w:val="center"/>
        <w:rPr>
          <w:rFonts w:hint="default"/>
          <w:b/>
          <w:bCs/>
          <w:sz w:val="21"/>
          <w:szCs w:val="21"/>
        </w:rPr>
      </w:pPr>
      <w:r>
        <w:rPr>
          <w:b/>
          <w:bCs/>
          <w:sz w:val="21"/>
          <w:szCs w:val="21"/>
        </w:rPr>
        <w:t>表7.2.2-1 供暖空调系统的日运行时间</w:t>
      </w:r>
    </w:p>
    <w:tbl>
      <w:tblPr>
        <w:tblStyle w:val="14"/>
        <w:tblW w:w="8504"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2888"/>
        <w:gridCol w:w="1654"/>
        <w:gridCol w:w="2226"/>
      </w:tblGrid>
      <w:tr w14:paraId="13A1733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630" w:type="dxa"/>
            <w:gridSpan w:val="2"/>
            <w:tcBorders>
              <w:top w:val="single" w:color="000000" w:sz="12" w:space="0"/>
              <w:left w:val="single" w:color="000000" w:sz="12" w:space="0"/>
              <w:bottom w:val="single" w:color="auto" w:sz="4" w:space="0"/>
              <w:right w:val="single" w:color="auto" w:sz="4" w:space="0"/>
            </w:tcBorders>
            <w:shd w:val="clear" w:color="auto" w:fill="auto"/>
            <w:noWrap/>
            <w:vAlign w:val="center"/>
          </w:tcPr>
          <w:p w14:paraId="093A495A">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类别</w:t>
            </w:r>
          </w:p>
        </w:tc>
        <w:tc>
          <w:tcPr>
            <w:tcW w:w="3045" w:type="dxa"/>
            <w:gridSpan w:val="2"/>
            <w:tcBorders>
              <w:top w:val="single" w:color="000000" w:sz="12" w:space="0"/>
              <w:left w:val="single" w:color="auto" w:sz="4" w:space="0"/>
              <w:bottom w:val="single" w:color="auto" w:sz="4" w:space="0"/>
              <w:right w:val="single" w:color="000000" w:sz="12" w:space="0"/>
            </w:tcBorders>
            <w:shd w:val="clear" w:color="auto" w:fill="auto"/>
            <w:noWrap/>
            <w:vAlign w:val="center"/>
          </w:tcPr>
          <w:p w14:paraId="1C1CB03A">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系统工作时间</w:t>
            </w:r>
          </w:p>
        </w:tc>
      </w:tr>
      <w:tr w14:paraId="3256EF5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restart"/>
            <w:tcBorders>
              <w:top w:val="single" w:color="auto" w:sz="4" w:space="0"/>
              <w:left w:val="single" w:color="000000" w:sz="12" w:space="0"/>
              <w:bottom w:val="single" w:color="auto" w:sz="4" w:space="0"/>
              <w:right w:val="single" w:color="auto" w:sz="4" w:space="0"/>
            </w:tcBorders>
            <w:shd w:val="clear" w:color="auto" w:fill="auto"/>
            <w:noWrap/>
            <w:vAlign w:val="center"/>
          </w:tcPr>
          <w:p w14:paraId="33CCFBA3">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住宅建筑</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9DE7813">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卧室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6B16544">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工作日</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1E86BEEB">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0:00-24:00</w:t>
            </w:r>
          </w:p>
        </w:tc>
      </w:tr>
      <w:tr w14:paraId="75390FC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4C290917">
            <w:pPr>
              <w:rPr>
                <w:rFonts w:ascii="Times New Roman" w:hAnsi="Times New Roman" w:cs="Times New Roman"/>
                <w:sz w:val="20"/>
                <w:szCs w:val="20"/>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D4E9670">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AEE33C9">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周末</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0F456B7B">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0:00-24:00</w:t>
            </w:r>
          </w:p>
        </w:tc>
      </w:tr>
      <w:tr w14:paraId="1C0B6AE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291EDA59">
            <w:pPr>
              <w:rPr>
                <w:rFonts w:ascii="Times New Roman" w:hAnsi="Times New Roman" w:cs="Times New Roman"/>
                <w:sz w:val="20"/>
                <w:szCs w:val="20"/>
              </w:rPr>
            </w:pP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FAB63D2">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起居室、餐厅、书房</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D2140D1">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工作日</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4FC03704">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0:00-24:00</w:t>
            </w:r>
          </w:p>
        </w:tc>
      </w:tr>
      <w:tr w14:paraId="00F061A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7D11AABC">
            <w:pPr>
              <w:rPr>
                <w:rFonts w:ascii="Times New Roman" w:hAnsi="Times New Roman" w:cs="Times New Roman"/>
                <w:sz w:val="20"/>
                <w:szCs w:val="20"/>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9CFE7AF">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7F7E1F1">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周末</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6BA3AB52">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0:00-24:00</w:t>
            </w:r>
          </w:p>
        </w:tc>
      </w:tr>
      <w:tr w14:paraId="125F68E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restart"/>
            <w:tcBorders>
              <w:top w:val="single" w:color="auto" w:sz="4" w:space="0"/>
              <w:left w:val="single" w:color="000000" w:sz="12" w:space="0"/>
              <w:bottom w:val="single" w:color="000000" w:sz="12" w:space="0"/>
              <w:right w:val="single" w:color="auto" w:sz="4" w:space="0"/>
            </w:tcBorders>
            <w:shd w:val="clear" w:color="auto" w:fill="auto"/>
            <w:noWrap/>
            <w:vAlign w:val="center"/>
          </w:tcPr>
          <w:p w14:paraId="20DEF6B2">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非住宅建筑</w:t>
            </w:r>
          </w:p>
        </w:tc>
        <w:tc>
          <w:tcPr>
            <w:tcW w:w="0" w:type="auto"/>
            <w:vMerge w:val="restart"/>
            <w:tcBorders>
              <w:top w:val="single" w:color="auto" w:sz="4" w:space="0"/>
              <w:left w:val="single" w:color="auto" w:sz="4" w:space="0"/>
              <w:bottom w:val="single" w:color="000000" w:sz="12" w:space="0"/>
              <w:right w:val="single" w:color="auto" w:sz="4" w:space="0"/>
            </w:tcBorders>
            <w:shd w:val="clear" w:color="auto" w:fill="auto"/>
            <w:noWrap/>
            <w:vAlign w:val="center"/>
          </w:tcPr>
          <w:p w14:paraId="24AAD8E4">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居室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94F7A15">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工作日</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090B5242">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0:00-24:00</w:t>
            </w:r>
          </w:p>
        </w:tc>
      </w:tr>
      <w:tr w14:paraId="1B9E3D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continue"/>
            <w:tcBorders>
              <w:top w:val="single" w:color="auto" w:sz="4" w:space="0"/>
              <w:left w:val="single" w:color="000000" w:sz="12" w:space="0"/>
              <w:bottom w:val="single" w:color="000000" w:sz="12" w:space="0"/>
              <w:right w:val="single" w:color="auto" w:sz="4" w:space="0"/>
            </w:tcBorders>
            <w:shd w:val="clear" w:color="auto" w:fill="auto"/>
            <w:noWrap/>
            <w:vAlign w:val="center"/>
          </w:tcPr>
          <w:p w14:paraId="71470402">
            <w:pPr>
              <w:rPr>
                <w:rFonts w:ascii="Times New Roman" w:hAnsi="Times New Roman" w:cs="Times New Roman"/>
                <w:sz w:val="20"/>
                <w:szCs w:val="20"/>
              </w:rPr>
            </w:pPr>
          </w:p>
        </w:tc>
        <w:tc>
          <w:tcPr>
            <w:tcW w:w="0" w:type="auto"/>
            <w:vMerge w:val="continue"/>
            <w:tcBorders>
              <w:top w:val="single" w:color="auto" w:sz="4" w:space="0"/>
              <w:left w:val="single" w:color="auto" w:sz="4" w:space="0"/>
              <w:bottom w:val="single" w:color="000000" w:sz="12" w:space="0"/>
              <w:right w:val="single" w:color="auto" w:sz="4" w:space="0"/>
            </w:tcBorders>
            <w:shd w:val="clear" w:color="auto" w:fill="auto"/>
            <w:noWrap/>
            <w:vAlign w:val="center"/>
          </w:tcPr>
          <w:p w14:paraId="4C71A821">
            <w:pPr>
              <w:rPr>
                <w:rFonts w:ascii="Times New Roman" w:hAnsi="Times New Roman" w:cs="Times New Roman"/>
                <w:sz w:val="20"/>
                <w:szCs w:val="20"/>
              </w:rPr>
            </w:pP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3F4BC6F1">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周末</w:t>
            </w:r>
          </w:p>
        </w:tc>
        <w:tc>
          <w:tcPr>
            <w:tcW w:w="0" w:type="auto"/>
            <w:tcBorders>
              <w:top w:val="single" w:color="auto" w:sz="4" w:space="0"/>
              <w:left w:val="single" w:color="auto" w:sz="4" w:space="0"/>
              <w:bottom w:val="single" w:color="000000" w:sz="12" w:space="0"/>
              <w:right w:val="single" w:color="000000" w:sz="12" w:space="0"/>
            </w:tcBorders>
            <w:shd w:val="clear" w:color="auto" w:fill="auto"/>
            <w:noWrap/>
            <w:vAlign w:val="center"/>
          </w:tcPr>
          <w:p w14:paraId="591BD3EE">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0:00-24:00</w:t>
            </w:r>
          </w:p>
        </w:tc>
      </w:tr>
    </w:tbl>
    <w:p w14:paraId="209C1BDE">
      <w:pPr>
        <w:pStyle w:val="27"/>
        <w:widowControl/>
        <w:spacing w:before="156" w:beforeLines="50"/>
        <w:jc w:val="center"/>
        <w:rPr>
          <w:rFonts w:hint="default" w:ascii="Times New Roman" w:hAnsi="Times New Roman"/>
          <w:b/>
          <w:bCs/>
          <w:sz w:val="21"/>
          <w:szCs w:val="21"/>
        </w:rPr>
      </w:pPr>
      <w:r>
        <w:rPr>
          <w:rFonts w:ascii="Times New Roman" w:hAnsi="Times New Roman"/>
          <w:b/>
          <w:bCs/>
          <w:sz w:val="21"/>
          <w:szCs w:val="21"/>
        </w:rPr>
        <w:t>表</w:t>
      </w:r>
      <w:r>
        <w:rPr>
          <w:rFonts w:hint="default" w:ascii="Times New Roman" w:hAnsi="Times New Roman"/>
          <w:b/>
          <w:bCs/>
          <w:sz w:val="21"/>
          <w:szCs w:val="21"/>
        </w:rPr>
        <w:t>7.2.2-2</w:t>
      </w:r>
      <w:r>
        <w:rPr>
          <w:rFonts w:ascii="Times New Roman" w:hAnsi="Times New Roman"/>
          <w:b/>
          <w:bCs/>
          <w:sz w:val="21"/>
          <w:szCs w:val="21"/>
        </w:rPr>
        <w:t>活动遮阳装置遮阳系数</w:t>
      </w:r>
      <w:r>
        <w:rPr>
          <w:rFonts w:hint="default" w:ascii="Times New Roman" w:hAnsi="Times New Roman"/>
          <w:b/>
          <w:bCs/>
          <w:sz w:val="21"/>
          <w:szCs w:val="21"/>
        </w:rPr>
        <w:t>SC</w:t>
      </w:r>
      <w:r>
        <w:rPr>
          <w:rFonts w:ascii="Times New Roman" w:hAnsi="Times New Roman"/>
          <w:b/>
          <w:bCs/>
          <w:sz w:val="21"/>
          <w:szCs w:val="21"/>
        </w:rPr>
        <w:t>的取值</w:t>
      </w:r>
    </w:p>
    <w:tbl>
      <w:tblPr>
        <w:tblStyle w:val="14"/>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2032"/>
        <w:gridCol w:w="2033"/>
        <w:gridCol w:w="2146"/>
        <w:gridCol w:w="2293"/>
      </w:tblGrid>
      <w:tr w14:paraId="29BF7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2012" w:type="dxa"/>
            <w:tcBorders>
              <w:top w:val="single" w:color="auto" w:sz="12" w:space="0"/>
              <w:left w:val="single" w:color="auto" w:sz="12" w:space="0"/>
              <w:bottom w:val="single" w:color="auto" w:sz="4" w:space="0"/>
              <w:right w:val="single" w:color="auto" w:sz="4" w:space="0"/>
            </w:tcBorders>
            <w:shd w:val="clear" w:color="auto" w:fill="auto"/>
            <w:vAlign w:val="center"/>
          </w:tcPr>
          <w:p w14:paraId="1FE5D750">
            <w:pPr>
              <w:pStyle w:val="27"/>
              <w:widowControl/>
              <w:jc w:val="center"/>
              <w:rPr>
                <w:rFonts w:hint="default" w:ascii="Times New Roman" w:hAnsi="Times New Roman"/>
                <w:sz w:val="21"/>
                <w:szCs w:val="21"/>
              </w:rPr>
            </w:pPr>
            <w:r>
              <w:rPr>
                <w:rFonts w:ascii="Times New Roman" w:hAnsi="Times New Roman"/>
                <w:sz w:val="21"/>
                <w:szCs w:val="21"/>
              </w:rPr>
              <w:t>活动遮阳形式</w:t>
            </w:r>
          </w:p>
        </w:tc>
        <w:tc>
          <w:tcPr>
            <w:tcW w:w="2012" w:type="dxa"/>
            <w:tcBorders>
              <w:top w:val="single" w:color="auto" w:sz="12" w:space="0"/>
              <w:left w:val="single" w:color="auto" w:sz="4" w:space="0"/>
              <w:bottom w:val="single" w:color="auto" w:sz="4" w:space="0"/>
              <w:right w:val="single" w:color="auto" w:sz="4" w:space="0"/>
            </w:tcBorders>
            <w:shd w:val="clear" w:color="auto" w:fill="auto"/>
            <w:vAlign w:val="center"/>
          </w:tcPr>
          <w:p w14:paraId="4F81CC5D">
            <w:pPr>
              <w:pStyle w:val="27"/>
              <w:widowControl/>
              <w:jc w:val="center"/>
              <w:rPr>
                <w:rFonts w:hint="default" w:ascii="Times New Roman" w:hAnsi="Times New Roman"/>
                <w:sz w:val="21"/>
                <w:szCs w:val="21"/>
              </w:rPr>
            </w:pPr>
            <w:r>
              <w:rPr>
                <w:rFonts w:ascii="Times New Roman" w:hAnsi="Times New Roman"/>
                <w:sz w:val="21"/>
                <w:szCs w:val="21"/>
              </w:rPr>
              <w:t>控制方式</w:t>
            </w:r>
          </w:p>
        </w:tc>
        <w:tc>
          <w:tcPr>
            <w:tcW w:w="2124" w:type="dxa"/>
            <w:tcBorders>
              <w:top w:val="single" w:color="auto" w:sz="12" w:space="0"/>
              <w:left w:val="single" w:color="auto" w:sz="4" w:space="0"/>
              <w:bottom w:val="single" w:color="auto" w:sz="4" w:space="0"/>
              <w:right w:val="single" w:color="auto" w:sz="4" w:space="0"/>
            </w:tcBorders>
            <w:shd w:val="clear" w:color="auto" w:fill="auto"/>
            <w:vAlign w:val="center"/>
          </w:tcPr>
          <w:p w14:paraId="4189DD62">
            <w:pPr>
              <w:pStyle w:val="27"/>
              <w:widowControl/>
              <w:jc w:val="center"/>
              <w:rPr>
                <w:rFonts w:hint="default" w:ascii="Times New Roman" w:hAnsi="Times New Roman"/>
                <w:sz w:val="21"/>
                <w:szCs w:val="21"/>
              </w:rPr>
            </w:pPr>
            <w:r>
              <w:rPr>
                <w:rFonts w:ascii="Times New Roman" w:hAnsi="Times New Roman"/>
                <w:sz w:val="21"/>
                <w:szCs w:val="21"/>
              </w:rPr>
              <w:t>供暖季</w:t>
            </w:r>
            <w:r>
              <w:rPr>
                <w:rFonts w:hint="default" w:ascii="Times New Roman" w:hAnsi="Times New Roman"/>
                <w:sz w:val="21"/>
                <w:szCs w:val="21"/>
              </w:rPr>
              <w:t>/</w:t>
            </w:r>
            <w:r>
              <w:rPr>
                <w:rFonts w:ascii="Times New Roman" w:hAnsi="Times New Roman"/>
                <w:sz w:val="21"/>
                <w:szCs w:val="21"/>
              </w:rPr>
              <w:t>过渡季</w:t>
            </w:r>
          </w:p>
        </w:tc>
        <w:tc>
          <w:tcPr>
            <w:tcW w:w="2270" w:type="dxa"/>
            <w:tcBorders>
              <w:top w:val="single" w:color="auto" w:sz="12" w:space="0"/>
              <w:left w:val="single" w:color="auto" w:sz="4" w:space="0"/>
              <w:bottom w:val="single" w:color="auto" w:sz="4" w:space="0"/>
              <w:right w:val="single" w:color="auto" w:sz="12" w:space="0"/>
            </w:tcBorders>
            <w:shd w:val="clear" w:color="auto" w:fill="auto"/>
            <w:vAlign w:val="center"/>
          </w:tcPr>
          <w:p w14:paraId="60FECB05">
            <w:pPr>
              <w:pStyle w:val="27"/>
              <w:widowControl/>
              <w:jc w:val="center"/>
              <w:rPr>
                <w:rFonts w:hint="default" w:ascii="Times New Roman" w:hAnsi="Times New Roman"/>
                <w:sz w:val="21"/>
                <w:szCs w:val="21"/>
              </w:rPr>
            </w:pPr>
            <w:r>
              <w:rPr>
                <w:rFonts w:ascii="Times New Roman" w:hAnsi="Times New Roman"/>
                <w:sz w:val="21"/>
                <w:szCs w:val="21"/>
              </w:rPr>
              <w:t>供冷季</w:t>
            </w:r>
          </w:p>
        </w:tc>
      </w:tr>
      <w:tr w14:paraId="77601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2012"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3159416C">
            <w:pPr>
              <w:pStyle w:val="27"/>
              <w:widowControl/>
              <w:jc w:val="center"/>
              <w:rPr>
                <w:rFonts w:hint="default" w:ascii="Times New Roman" w:hAnsi="Times New Roman"/>
                <w:sz w:val="21"/>
                <w:szCs w:val="21"/>
              </w:rPr>
            </w:pPr>
            <w:r>
              <w:rPr>
                <w:rFonts w:ascii="Times New Roman" w:hAnsi="Times New Roman"/>
                <w:sz w:val="21"/>
                <w:szCs w:val="21"/>
              </w:rPr>
              <w:t>外置活动遮阳</w:t>
            </w:r>
          </w:p>
        </w:tc>
        <w:tc>
          <w:tcPr>
            <w:tcW w:w="2012" w:type="dxa"/>
            <w:tcBorders>
              <w:top w:val="single" w:color="auto" w:sz="4" w:space="0"/>
              <w:left w:val="single" w:color="auto" w:sz="4" w:space="0"/>
              <w:bottom w:val="single" w:color="auto" w:sz="4" w:space="0"/>
              <w:right w:val="single" w:color="auto" w:sz="4" w:space="0"/>
            </w:tcBorders>
            <w:shd w:val="clear" w:color="auto" w:fill="auto"/>
            <w:vAlign w:val="center"/>
          </w:tcPr>
          <w:p w14:paraId="482F9BBC">
            <w:pPr>
              <w:pStyle w:val="27"/>
              <w:widowControl/>
              <w:jc w:val="center"/>
              <w:rPr>
                <w:rFonts w:hint="default" w:ascii="Times New Roman" w:hAnsi="Times New Roman"/>
                <w:sz w:val="21"/>
                <w:szCs w:val="21"/>
              </w:rPr>
            </w:pPr>
            <w:r>
              <w:rPr>
                <w:rFonts w:ascii="Times New Roman" w:hAnsi="Times New Roman"/>
                <w:sz w:val="21"/>
                <w:szCs w:val="21"/>
              </w:rPr>
              <w:t>手动控制</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14:paraId="65764A6B">
            <w:pPr>
              <w:pStyle w:val="27"/>
              <w:widowControl/>
              <w:jc w:val="center"/>
              <w:rPr>
                <w:rFonts w:hint="default" w:ascii="Times New Roman" w:hAnsi="Times New Roman"/>
                <w:sz w:val="21"/>
                <w:szCs w:val="21"/>
              </w:rPr>
            </w:pPr>
            <w:r>
              <w:rPr>
                <w:rFonts w:hint="default" w:ascii="Times New Roman" w:hAnsi="Times New Roman"/>
                <w:sz w:val="21"/>
                <w:szCs w:val="21"/>
              </w:rPr>
              <w:t>0.80</w:t>
            </w:r>
          </w:p>
        </w:tc>
        <w:tc>
          <w:tcPr>
            <w:tcW w:w="2270" w:type="dxa"/>
            <w:tcBorders>
              <w:top w:val="single" w:color="auto" w:sz="4" w:space="0"/>
              <w:left w:val="single" w:color="auto" w:sz="4" w:space="0"/>
              <w:bottom w:val="single" w:color="auto" w:sz="4" w:space="0"/>
              <w:right w:val="single" w:color="auto" w:sz="12" w:space="0"/>
            </w:tcBorders>
            <w:shd w:val="clear" w:color="auto" w:fill="auto"/>
            <w:vAlign w:val="center"/>
          </w:tcPr>
          <w:p w14:paraId="0611E3E2">
            <w:pPr>
              <w:pStyle w:val="27"/>
              <w:widowControl/>
              <w:jc w:val="center"/>
              <w:rPr>
                <w:rFonts w:hint="default" w:ascii="Times New Roman" w:hAnsi="Times New Roman"/>
                <w:sz w:val="21"/>
                <w:szCs w:val="21"/>
              </w:rPr>
            </w:pPr>
            <w:r>
              <w:rPr>
                <w:rFonts w:hint="default" w:ascii="Times New Roman" w:hAnsi="Times New Roman"/>
                <w:sz w:val="21"/>
                <w:szCs w:val="21"/>
              </w:rPr>
              <w:t>0.40</w:t>
            </w:r>
          </w:p>
        </w:tc>
      </w:tr>
      <w:tr w14:paraId="72F5A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2012"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3C38704A">
            <w:pPr>
              <w:rPr>
                <w:rFonts w:ascii="Times New Roman" w:hAnsi="Times New Roman" w:cs="Times New Roman"/>
                <w:sz w:val="20"/>
                <w:szCs w:val="20"/>
              </w:rPr>
            </w:pPr>
          </w:p>
        </w:tc>
        <w:tc>
          <w:tcPr>
            <w:tcW w:w="2012" w:type="dxa"/>
            <w:tcBorders>
              <w:top w:val="single" w:color="auto" w:sz="4" w:space="0"/>
              <w:left w:val="single" w:color="auto" w:sz="4" w:space="0"/>
              <w:bottom w:val="single" w:color="auto" w:sz="4" w:space="0"/>
              <w:right w:val="single" w:color="auto" w:sz="4" w:space="0"/>
            </w:tcBorders>
            <w:shd w:val="clear" w:color="auto" w:fill="auto"/>
            <w:vAlign w:val="center"/>
          </w:tcPr>
          <w:p w14:paraId="5C389794">
            <w:pPr>
              <w:pStyle w:val="27"/>
              <w:widowControl/>
              <w:jc w:val="center"/>
              <w:rPr>
                <w:rFonts w:hint="default" w:ascii="Times New Roman" w:hAnsi="Times New Roman"/>
                <w:sz w:val="21"/>
                <w:szCs w:val="21"/>
              </w:rPr>
            </w:pPr>
            <w:r>
              <w:rPr>
                <w:rFonts w:ascii="Times New Roman" w:hAnsi="Times New Roman"/>
                <w:sz w:val="21"/>
                <w:szCs w:val="21"/>
              </w:rPr>
              <w:t>自动控制</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14:paraId="021BFAA9">
            <w:pPr>
              <w:pStyle w:val="27"/>
              <w:widowControl/>
              <w:jc w:val="center"/>
              <w:rPr>
                <w:rFonts w:hint="default" w:ascii="Times New Roman" w:hAnsi="Times New Roman"/>
                <w:sz w:val="21"/>
                <w:szCs w:val="21"/>
              </w:rPr>
            </w:pPr>
            <w:r>
              <w:rPr>
                <w:rFonts w:hint="default" w:ascii="Times New Roman" w:hAnsi="Times New Roman"/>
                <w:sz w:val="21"/>
                <w:szCs w:val="21"/>
              </w:rPr>
              <w:t>0.80</w:t>
            </w:r>
          </w:p>
        </w:tc>
        <w:tc>
          <w:tcPr>
            <w:tcW w:w="2270" w:type="dxa"/>
            <w:tcBorders>
              <w:top w:val="single" w:color="auto" w:sz="4" w:space="0"/>
              <w:left w:val="single" w:color="auto" w:sz="4" w:space="0"/>
              <w:bottom w:val="single" w:color="auto" w:sz="4" w:space="0"/>
              <w:right w:val="single" w:color="auto" w:sz="12" w:space="0"/>
            </w:tcBorders>
            <w:shd w:val="clear" w:color="auto" w:fill="auto"/>
            <w:vAlign w:val="center"/>
          </w:tcPr>
          <w:p w14:paraId="066BDC78">
            <w:pPr>
              <w:pStyle w:val="27"/>
              <w:widowControl/>
              <w:jc w:val="center"/>
              <w:rPr>
                <w:rFonts w:hint="default" w:ascii="Times New Roman" w:hAnsi="Times New Roman"/>
                <w:sz w:val="21"/>
                <w:szCs w:val="21"/>
              </w:rPr>
            </w:pPr>
            <w:r>
              <w:rPr>
                <w:rFonts w:hint="default" w:ascii="Times New Roman" w:hAnsi="Times New Roman"/>
                <w:sz w:val="21"/>
                <w:szCs w:val="21"/>
              </w:rPr>
              <w:t>0.35</w:t>
            </w:r>
          </w:p>
        </w:tc>
      </w:tr>
      <w:tr w14:paraId="07B99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2012" w:type="dxa"/>
            <w:vMerge w:val="restart"/>
            <w:tcBorders>
              <w:top w:val="single" w:color="auto" w:sz="4" w:space="0"/>
              <w:left w:val="single" w:color="auto" w:sz="12" w:space="0"/>
              <w:bottom w:val="single" w:color="auto" w:sz="12" w:space="0"/>
              <w:right w:val="single" w:color="auto" w:sz="4" w:space="0"/>
            </w:tcBorders>
            <w:shd w:val="clear" w:color="auto" w:fill="auto"/>
            <w:vAlign w:val="center"/>
          </w:tcPr>
          <w:p w14:paraId="563368B5">
            <w:pPr>
              <w:pStyle w:val="27"/>
              <w:widowControl/>
              <w:jc w:val="center"/>
              <w:rPr>
                <w:rFonts w:hint="default" w:ascii="Times New Roman" w:hAnsi="Times New Roman"/>
                <w:sz w:val="21"/>
                <w:szCs w:val="21"/>
              </w:rPr>
            </w:pPr>
            <w:r>
              <w:rPr>
                <w:rFonts w:ascii="Times New Roman" w:hAnsi="Times New Roman"/>
                <w:sz w:val="21"/>
                <w:szCs w:val="21"/>
              </w:rPr>
              <w:t>中置活动遮阳</w:t>
            </w:r>
          </w:p>
        </w:tc>
        <w:tc>
          <w:tcPr>
            <w:tcW w:w="2012" w:type="dxa"/>
            <w:tcBorders>
              <w:top w:val="single" w:color="auto" w:sz="4" w:space="0"/>
              <w:left w:val="single" w:color="auto" w:sz="4" w:space="0"/>
              <w:bottom w:val="single" w:color="auto" w:sz="4" w:space="0"/>
              <w:right w:val="single" w:color="auto" w:sz="4" w:space="0"/>
            </w:tcBorders>
            <w:shd w:val="clear" w:color="auto" w:fill="auto"/>
            <w:vAlign w:val="center"/>
          </w:tcPr>
          <w:p w14:paraId="0D44D620">
            <w:pPr>
              <w:pStyle w:val="27"/>
              <w:widowControl/>
              <w:jc w:val="center"/>
              <w:rPr>
                <w:rFonts w:hint="default" w:ascii="Times New Roman" w:hAnsi="Times New Roman"/>
                <w:sz w:val="21"/>
                <w:szCs w:val="21"/>
              </w:rPr>
            </w:pPr>
            <w:r>
              <w:rPr>
                <w:rFonts w:ascii="Times New Roman" w:hAnsi="Times New Roman"/>
                <w:sz w:val="21"/>
                <w:szCs w:val="21"/>
              </w:rPr>
              <w:t>手动控制</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14:paraId="24D75275">
            <w:pPr>
              <w:pStyle w:val="27"/>
              <w:widowControl/>
              <w:jc w:val="center"/>
              <w:rPr>
                <w:rFonts w:hint="default" w:ascii="Times New Roman" w:hAnsi="Times New Roman"/>
                <w:sz w:val="21"/>
                <w:szCs w:val="21"/>
              </w:rPr>
            </w:pPr>
            <w:r>
              <w:rPr>
                <w:rFonts w:hint="default" w:ascii="Times New Roman" w:hAnsi="Times New Roman"/>
                <w:sz w:val="21"/>
                <w:szCs w:val="21"/>
              </w:rPr>
              <w:t>0.80</w:t>
            </w:r>
          </w:p>
        </w:tc>
        <w:tc>
          <w:tcPr>
            <w:tcW w:w="2270" w:type="dxa"/>
            <w:tcBorders>
              <w:top w:val="single" w:color="auto" w:sz="4" w:space="0"/>
              <w:left w:val="single" w:color="auto" w:sz="4" w:space="0"/>
              <w:bottom w:val="single" w:color="auto" w:sz="4" w:space="0"/>
              <w:right w:val="single" w:color="auto" w:sz="12" w:space="0"/>
            </w:tcBorders>
            <w:shd w:val="clear" w:color="auto" w:fill="auto"/>
            <w:vAlign w:val="center"/>
          </w:tcPr>
          <w:p w14:paraId="73831B42">
            <w:pPr>
              <w:pStyle w:val="27"/>
              <w:widowControl/>
              <w:jc w:val="center"/>
              <w:rPr>
                <w:rFonts w:hint="default" w:ascii="Times New Roman" w:hAnsi="Times New Roman"/>
                <w:sz w:val="21"/>
                <w:szCs w:val="21"/>
              </w:rPr>
            </w:pPr>
            <w:r>
              <w:rPr>
                <w:rFonts w:hint="default" w:ascii="Times New Roman" w:hAnsi="Times New Roman"/>
                <w:sz w:val="21"/>
                <w:szCs w:val="21"/>
              </w:rPr>
              <w:t>0.50</w:t>
            </w:r>
          </w:p>
        </w:tc>
      </w:tr>
      <w:tr w14:paraId="7CB53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jc w:val="center"/>
        </w:trPr>
        <w:tc>
          <w:tcPr>
            <w:tcW w:w="2012" w:type="dxa"/>
            <w:vMerge w:val="continue"/>
            <w:tcBorders>
              <w:top w:val="single" w:color="auto" w:sz="4" w:space="0"/>
              <w:left w:val="single" w:color="auto" w:sz="12" w:space="0"/>
              <w:bottom w:val="single" w:color="auto" w:sz="12" w:space="0"/>
              <w:right w:val="single" w:color="auto" w:sz="4" w:space="0"/>
            </w:tcBorders>
            <w:shd w:val="clear" w:color="auto" w:fill="auto"/>
            <w:vAlign w:val="center"/>
          </w:tcPr>
          <w:p w14:paraId="7681070B">
            <w:pPr>
              <w:rPr>
                <w:rFonts w:ascii="Times New Roman" w:hAnsi="Times New Roman" w:cs="Times New Roman"/>
                <w:sz w:val="20"/>
                <w:szCs w:val="20"/>
              </w:rPr>
            </w:pPr>
          </w:p>
        </w:tc>
        <w:tc>
          <w:tcPr>
            <w:tcW w:w="2012" w:type="dxa"/>
            <w:tcBorders>
              <w:top w:val="single" w:color="auto" w:sz="4" w:space="0"/>
              <w:left w:val="single" w:color="auto" w:sz="4" w:space="0"/>
              <w:bottom w:val="single" w:color="auto" w:sz="12" w:space="0"/>
              <w:right w:val="single" w:color="auto" w:sz="4" w:space="0"/>
            </w:tcBorders>
            <w:shd w:val="clear" w:color="auto" w:fill="auto"/>
            <w:vAlign w:val="center"/>
          </w:tcPr>
          <w:p w14:paraId="4EF82AD4">
            <w:pPr>
              <w:pStyle w:val="27"/>
              <w:widowControl/>
              <w:jc w:val="center"/>
              <w:rPr>
                <w:rFonts w:hint="default" w:ascii="Times New Roman" w:hAnsi="Times New Roman"/>
                <w:sz w:val="21"/>
                <w:szCs w:val="21"/>
              </w:rPr>
            </w:pPr>
            <w:r>
              <w:rPr>
                <w:rFonts w:ascii="Times New Roman" w:hAnsi="Times New Roman"/>
                <w:sz w:val="21"/>
                <w:szCs w:val="21"/>
              </w:rPr>
              <w:t>自动控制</w:t>
            </w:r>
          </w:p>
        </w:tc>
        <w:tc>
          <w:tcPr>
            <w:tcW w:w="2124" w:type="dxa"/>
            <w:tcBorders>
              <w:top w:val="single" w:color="auto" w:sz="4" w:space="0"/>
              <w:left w:val="single" w:color="auto" w:sz="4" w:space="0"/>
              <w:bottom w:val="single" w:color="auto" w:sz="12" w:space="0"/>
              <w:right w:val="single" w:color="auto" w:sz="4" w:space="0"/>
            </w:tcBorders>
            <w:shd w:val="clear" w:color="auto" w:fill="auto"/>
            <w:vAlign w:val="center"/>
          </w:tcPr>
          <w:p w14:paraId="218FEE58">
            <w:pPr>
              <w:pStyle w:val="27"/>
              <w:widowControl/>
              <w:jc w:val="center"/>
              <w:rPr>
                <w:rFonts w:hint="default" w:ascii="Times New Roman" w:hAnsi="Times New Roman"/>
                <w:sz w:val="21"/>
                <w:szCs w:val="21"/>
              </w:rPr>
            </w:pPr>
            <w:r>
              <w:rPr>
                <w:rFonts w:hint="default" w:ascii="Times New Roman" w:hAnsi="Times New Roman"/>
                <w:sz w:val="21"/>
                <w:szCs w:val="21"/>
              </w:rPr>
              <w:t>0.80</w:t>
            </w:r>
          </w:p>
        </w:tc>
        <w:tc>
          <w:tcPr>
            <w:tcW w:w="2270" w:type="dxa"/>
            <w:tcBorders>
              <w:top w:val="single" w:color="auto" w:sz="4" w:space="0"/>
              <w:left w:val="single" w:color="auto" w:sz="4" w:space="0"/>
              <w:bottom w:val="single" w:color="auto" w:sz="12" w:space="0"/>
              <w:right w:val="single" w:color="auto" w:sz="12" w:space="0"/>
            </w:tcBorders>
            <w:shd w:val="clear" w:color="auto" w:fill="auto"/>
            <w:vAlign w:val="center"/>
          </w:tcPr>
          <w:p w14:paraId="29B76BF4">
            <w:pPr>
              <w:pStyle w:val="27"/>
              <w:widowControl/>
              <w:jc w:val="center"/>
              <w:rPr>
                <w:rFonts w:hint="default" w:ascii="Times New Roman" w:hAnsi="Times New Roman"/>
                <w:sz w:val="21"/>
                <w:szCs w:val="21"/>
              </w:rPr>
            </w:pPr>
            <w:r>
              <w:rPr>
                <w:rFonts w:hint="default" w:ascii="Times New Roman" w:hAnsi="Times New Roman"/>
                <w:sz w:val="21"/>
                <w:szCs w:val="21"/>
              </w:rPr>
              <w:t>0.45</w:t>
            </w:r>
          </w:p>
        </w:tc>
      </w:tr>
    </w:tbl>
    <w:p w14:paraId="4FD11C60">
      <w:pPr>
        <w:pStyle w:val="27"/>
        <w:widowControl/>
        <w:spacing w:before="156" w:beforeLines="50"/>
        <w:jc w:val="center"/>
        <w:rPr>
          <w:rFonts w:hint="default"/>
          <w:b/>
          <w:bCs/>
          <w:sz w:val="21"/>
          <w:szCs w:val="21"/>
        </w:rPr>
      </w:pPr>
      <w:r>
        <w:rPr>
          <w:b/>
          <w:bCs/>
          <w:sz w:val="21"/>
          <w:szCs w:val="21"/>
        </w:rPr>
        <w:t>表</w:t>
      </w:r>
      <w:r>
        <w:rPr>
          <w:rFonts w:hint="default" w:ascii="Times New Roman" w:hAnsi="Times New Roman"/>
          <w:b/>
          <w:bCs/>
          <w:sz w:val="21"/>
          <w:szCs w:val="21"/>
        </w:rPr>
        <w:t xml:space="preserve">7.2.2-3 </w:t>
      </w:r>
      <w:r>
        <w:rPr>
          <w:b/>
          <w:bCs/>
          <w:sz w:val="21"/>
          <w:szCs w:val="21"/>
        </w:rPr>
        <w:t>房间人员密度、设备功率密度、照明功率密度</w:t>
      </w:r>
    </w:p>
    <w:tbl>
      <w:tblPr>
        <w:tblStyle w:val="14"/>
        <w:tblW w:w="6804"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110"/>
        <w:gridCol w:w="1492"/>
        <w:gridCol w:w="1492"/>
        <w:gridCol w:w="1615"/>
      </w:tblGrid>
      <w:tr w14:paraId="7599E87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tcBorders>
              <w:top w:val="single" w:color="000000" w:sz="12" w:space="0"/>
              <w:left w:val="single" w:color="000000" w:sz="12" w:space="0"/>
              <w:bottom w:val="single" w:color="auto" w:sz="4" w:space="0"/>
              <w:right w:val="single" w:color="auto" w:sz="4" w:space="0"/>
            </w:tcBorders>
            <w:shd w:val="clear" w:color="auto" w:fill="auto"/>
            <w:noWrap/>
            <w:vAlign w:val="center"/>
          </w:tcPr>
          <w:p w14:paraId="243A6CE9">
            <w:pPr>
              <w:pStyle w:val="27"/>
              <w:widowControl/>
              <w:jc w:val="center"/>
              <w:rPr>
                <w:rFonts w:hint="default" w:ascii="Times New Roman" w:hAnsi="Times New Roman"/>
                <w:sz w:val="21"/>
                <w:szCs w:val="21"/>
              </w:rPr>
            </w:pPr>
            <w:r>
              <w:rPr>
                <w:rFonts w:ascii="Times New Roman" w:hAnsi="Times New Roman"/>
                <w:sz w:val="21"/>
                <w:szCs w:val="21"/>
              </w:rPr>
              <w:t>建筑类型</w:t>
            </w:r>
          </w:p>
        </w:tc>
        <w:tc>
          <w:tcPr>
            <w:tcW w:w="1373" w:type="dxa"/>
            <w:tcBorders>
              <w:top w:val="single" w:color="000000" w:sz="12" w:space="0"/>
              <w:left w:val="single" w:color="auto" w:sz="4" w:space="0"/>
              <w:bottom w:val="single" w:color="auto" w:sz="4" w:space="0"/>
              <w:right w:val="single" w:color="auto" w:sz="4" w:space="0"/>
            </w:tcBorders>
            <w:shd w:val="clear" w:color="auto" w:fill="auto"/>
            <w:noWrap/>
            <w:vAlign w:val="center"/>
          </w:tcPr>
          <w:p w14:paraId="7070FEE8">
            <w:pPr>
              <w:pStyle w:val="27"/>
              <w:widowControl/>
              <w:jc w:val="center"/>
              <w:rPr>
                <w:rFonts w:hint="default" w:ascii="Times New Roman" w:hAnsi="Times New Roman"/>
                <w:sz w:val="21"/>
                <w:szCs w:val="21"/>
              </w:rPr>
            </w:pPr>
            <w:r>
              <w:rPr>
                <w:rFonts w:ascii="Times New Roman" w:hAnsi="Times New Roman"/>
                <w:sz w:val="21"/>
                <w:szCs w:val="21"/>
              </w:rPr>
              <w:t>房间类型</w:t>
            </w:r>
          </w:p>
        </w:tc>
        <w:tc>
          <w:tcPr>
            <w:tcW w:w="1871" w:type="dxa"/>
            <w:tcBorders>
              <w:top w:val="single" w:color="000000" w:sz="12" w:space="0"/>
              <w:left w:val="single" w:color="auto" w:sz="4" w:space="0"/>
              <w:bottom w:val="single" w:color="auto" w:sz="4" w:space="0"/>
              <w:right w:val="single" w:color="auto" w:sz="4" w:space="0"/>
            </w:tcBorders>
            <w:shd w:val="clear" w:color="auto" w:fill="auto"/>
            <w:noWrap/>
            <w:vAlign w:val="center"/>
          </w:tcPr>
          <w:p w14:paraId="39F0096F">
            <w:pPr>
              <w:pStyle w:val="27"/>
              <w:widowControl/>
              <w:jc w:val="center"/>
              <w:rPr>
                <w:rFonts w:hint="default" w:ascii="Times New Roman" w:hAnsi="Times New Roman"/>
                <w:sz w:val="21"/>
                <w:szCs w:val="21"/>
              </w:rPr>
            </w:pPr>
            <w:r>
              <w:rPr>
                <w:rFonts w:ascii="Times New Roman" w:hAnsi="Times New Roman"/>
                <w:sz w:val="21"/>
                <w:szCs w:val="21"/>
              </w:rPr>
              <w:t>人均占地面积（㎡）</w:t>
            </w:r>
          </w:p>
        </w:tc>
        <w:tc>
          <w:tcPr>
            <w:tcW w:w="1871" w:type="dxa"/>
            <w:tcBorders>
              <w:top w:val="single" w:color="000000" w:sz="12" w:space="0"/>
              <w:left w:val="single" w:color="auto" w:sz="4" w:space="0"/>
              <w:bottom w:val="single" w:color="auto" w:sz="4" w:space="0"/>
              <w:right w:val="single" w:color="auto" w:sz="4" w:space="0"/>
            </w:tcBorders>
            <w:shd w:val="clear" w:color="auto" w:fill="auto"/>
            <w:noWrap/>
            <w:vAlign w:val="center"/>
          </w:tcPr>
          <w:p w14:paraId="48A6CA9B">
            <w:pPr>
              <w:pStyle w:val="27"/>
              <w:widowControl/>
              <w:jc w:val="center"/>
              <w:rPr>
                <w:rFonts w:hint="default" w:ascii="Times New Roman" w:hAnsi="Times New Roman"/>
                <w:sz w:val="21"/>
                <w:szCs w:val="21"/>
              </w:rPr>
            </w:pPr>
            <w:r>
              <w:rPr>
                <w:rFonts w:ascii="Times New Roman" w:hAnsi="Times New Roman"/>
                <w:sz w:val="21"/>
                <w:szCs w:val="21"/>
              </w:rPr>
              <w:t>设备功率密度</w:t>
            </w:r>
          </w:p>
          <w:p w14:paraId="41B769A3">
            <w:pPr>
              <w:pStyle w:val="27"/>
              <w:widowControl/>
              <w:jc w:val="center"/>
              <w:rPr>
                <w:rFonts w:hint="default" w:ascii="Times New Roman" w:hAnsi="Times New Roman"/>
                <w:sz w:val="21"/>
                <w:szCs w:val="21"/>
              </w:rPr>
            </w:pPr>
            <w:r>
              <w:rPr>
                <w:rFonts w:hint="default" w:ascii="Times New Roman" w:hAnsi="Times New Roman"/>
                <w:sz w:val="21"/>
                <w:szCs w:val="21"/>
              </w:rPr>
              <w:t>(W/</w:t>
            </w:r>
            <w:r>
              <w:rPr>
                <w:rFonts w:ascii="Times New Roman" w:hAnsi="Times New Roman"/>
                <w:sz w:val="21"/>
                <w:szCs w:val="21"/>
              </w:rPr>
              <w:t>㎡</w:t>
            </w:r>
            <w:r>
              <w:rPr>
                <w:rFonts w:hint="default" w:ascii="Times New Roman" w:hAnsi="Times New Roman"/>
                <w:sz w:val="21"/>
                <w:szCs w:val="21"/>
              </w:rPr>
              <w:t>)</w:t>
            </w:r>
          </w:p>
        </w:tc>
        <w:tc>
          <w:tcPr>
            <w:tcW w:w="2031" w:type="dxa"/>
            <w:tcBorders>
              <w:top w:val="single" w:color="000000" w:sz="12" w:space="0"/>
              <w:left w:val="single" w:color="auto" w:sz="4" w:space="0"/>
              <w:bottom w:val="single" w:color="auto" w:sz="4" w:space="0"/>
              <w:right w:val="single" w:color="000000" w:sz="12" w:space="0"/>
            </w:tcBorders>
            <w:shd w:val="clear" w:color="auto" w:fill="auto"/>
            <w:noWrap/>
            <w:vAlign w:val="center"/>
          </w:tcPr>
          <w:p w14:paraId="345C5713">
            <w:pPr>
              <w:pStyle w:val="27"/>
              <w:widowControl/>
              <w:jc w:val="center"/>
              <w:rPr>
                <w:rFonts w:hint="default" w:ascii="Times New Roman" w:hAnsi="Times New Roman"/>
                <w:sz w:val="21"/>
                <w:szCs w:val="21"/>
              </w:rPr>
            </w:pPr>
            <w:r>
              <w:rPr>
                <w:rFonts w:ascii="Times New Roman" w:hAnsi="Times New Roman"/>
                <w:sz w:val="21"/>
                <w:szCs w:val="21"/>
              </w:rPr>
              <w:t>照明功率密度值</w:t>
            </w:r>
          </w:p>
          <w:p w14:paraId="55854AF8">
            <w:pPr>
              <w:pStyle w:val="27"/>
              <w:widowControl/>
              <w:jc w:val="center"/>
              <w:rPr>
                <w:rFonts w:hint="default" w:ascii="Times New Roman" w:hAnsi="Times New Roman"/>
                <w:sz w:val="21"/>
                <w:szCs w:val="21"/>
              </w:rPr>
            </w:pPr>
            <w:r>
              <w:rPr>
                <w:rFonts w:hint="default" w:ascii="Times New Roman" w:hAnsi="Times New Roman"/>
                <w:sz w:val="21"/>
                <w:szCs w:val="21"/>
              </w:rPr>
              <w:t>(W/</w:t>
            </w:r>
            <w:r>
              <w:rPr>
                <w:rFonts w:ascii="Times New Roman" w:hAnsi="Times New Roman"/>
                <w:sz w:val="21"/>
                <w:szCs w:val="21"/>
              </w:rPr>
              <w:t>㎡</w:t>
            </w:r>
            <w:r>
              <w:rPr>
                <w:rFonts w:hint="default" w:ascii="Times New Roman" w:hAnsi="Times New Roman"/>
                <w:sz w:val="21"/>
                <w:szCs w:val="21"/>
              </w:rPr>
              <w:t>)</w:t>
            </w:r>
          </w:p>
        </w:tc>
      </w:tr>
      <w:tr w14:paraId="749931D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vMerge w:val="restart"/>
            <w:tcBorders>
              <w:top w:val="single" w:color="auto" w:sz="4" w:space="0"/>
              <w:left w:val="single" w:color="000000" w:sz="12" w:space="0"/>
              <w:bottom w:val="single" w:color="auto" w:sz="4" w:space="0"/>
              <w:right w:val="single" w:color="auto" w:sz="4" w:space="0"/>
            </w:tcBorders>
            <w:shd w:val="clear" w:color="auto" w:fill="auto"/>
            <w:noWrap/>
            <w:vAlign w:val="center"/>
          </w:tcPr>
          <w:p w14:paraId="2C788F1A">
            <w:pPr>
              <w:pStyle w:val="27"/>
              <w:widowControl/>
              <w:jc w:val="center"/>
              <w:rPr>
                <w:rFonts w:hint="default" w:ascii="Times New Roman" w:hAnsi="Times New Roman"/>
                <w:sz w:val="21"/>
                <w:szCs w:val="21"/>
              </w:rPr>
            </w:pPr>
            <w:r>
              <w:rPr>
                <w:rFonts w:ascii="Times New Roman" w:hAnsi="Times New Roman"/>
                <w:sz w:val="21"/>
                <w:szCs w:val="21"/>
              </w:rPr>
              <w:t>住宅建筑</w:t>
            </w:r>
          </w:p>
        </w:tc>
        <w:tc>
          <w:tcPr>
            <w:tcW w:w="1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1698CF">
            <w:pPr>
              <w:pStyle w:val="27"/>
              <w:widowControl/>
              <w:jc w:val="center"/>
              <w:rPr>
                <w:rFonts w:hint="default" w:ascii="Times New Roman" w:hAnsi="Times New Roman"/>
                <w:sz w:val="21"/>
                <w:szCs w:val="21"/>
              </w:rPr>
            </w:pPr>
            <w:r>
              <w:rPr>
                <w:rFonts w:ascii="Times New Roman" w:hAnsi="Times New Roman"/>
                <w:sz w:val="21"/>
                <w:szCs w:val="21"/>
              </w:rPr>
              <w:t>起居室</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F1182B">
            <w:pPr>
              <w:pStyle w:val="27"/>
              <w:widowControl/>
              <w:jc w:val="center"/>
              <w:rPr>
                <w:rFonts w:hint="default" w:ascii="Times New Roman" w:hAnsi="Times New Roman"/>
                <w:sz w:val="21"/>
                <w:szCs w:val="21"/>
              </w:rPr>
            </w:pPr>
            <w:r>
              <w:rPr>
                <w:rFonts w:hint="default" w:ascii="Times New Roman" w:hAnsi="Times New Roman"/>
                <w:sz w:val="21"/>
                <w:szCs w:val="21"/>
              </w:rPr>
              <w:t>32</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38CA5E">
            <w:pPr>
              <w:pStyle w:val="27"/>
              <w:widowControl/>
              <w:jc w:val="center"/>
              <w:rPr>
                <w:rFonts w:hint="default" w:ascii="Times New Roman" w:hAnsi="Times New Roman"/>
                <w:sz w:val="21"/>
                <w:szCs w:val="21"/>
              </w:rPr>
            </w:pPr>
            <w:r>
              <w:rPr>
                <w:rFonts w:hint="default" w:ascii="Times New Roman" w:hAnsi="Times New Roman"/>
                <w:sz w:val="21"/>
                <w:szCs w:val="21"/>
              </w:rPr>
              <w:t>5</w:t>
            </w:r>
          </w:p>
        </w:tc>
        <w:tc>
          <w:tcPr>
            <w:tcW w:w="2031" w:type="dxa"/>
            <w:tcBorders>
              <w:top w:val="single" w:color="auto" w:sz="4" w:space="0"/>
              <w:left w:val="single" w:color="auto" w:sz="4" w:space="0"/>
              <w:bottom w:val="single" w:color="auto" w:sz="4" w:space="0"/>
              <w:right w:val="single" w:color="000000" w:sz="12" w:space="0"/>
            </w:tcBorders>
            <w:shd w:val="clear" w:color="auto" w:fill="auto"/>
            <w:noWrap/>
            <w:vAlign w:val="center"/>
          </w:tcPr>
          <w:p w14:paraId="56B83A16">
            <w:pPr>
              <w:pStyle w:val="27"/>
              <w:widowControl/>
              <w:jc w:val="center"/>
              <w:rPr>
                <w:rFonts w:hint="default" w:ascii="Times New Roman" w:hAnsi="Times New Roman"/>
                <w:sz w:val="21"/>
                <w:szCs w:val="21"/>
              </w:rPr>
            </w:pPr>
            <w:r>
              <w:rPr>
                <w:rFonts w:hint="default" w:ascii="Times New Roman" w:hAnsi="Times New Roman"/>
                <w:sz w:val="21"/>
                <w:szCs w:val="21"/>
              </w:rPr>
              <w:t>6</w:t>
            </w:r>
          </w:p>
        </w:tc>
      </w:tr>
      <w:tr w14:paraId="60952E6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3419C266">
            <w:pPr>
              <w:rPr>
                <w:rFonts w:ascii="Times New Roman" w:hAnsi="Times New Roman" w:cs="Times New Roman"/>
                <w:sz w:val="20"/>
                <w:szCs w:val="20"/>
              </w:rPr>
            </w:pPr>
          </w:p>
        </w:tc>
        <w:tc>
          <w:tcPr>
            <w:tcW w:w="1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438D02">
            <w:pPr>
              <w:pStyle w:val="27"/>
              <w:widowControl/>
              <w:jc w:val="center"/>
              <w:rPr>
                <w:rFonts w:hint="default" w:ascii="Times New Roman" w:hAnsi="Times New Roman"/>
                <w:sz w:val="21"/>
                <w:szCs w:val="21"/>
              </w:rPr>
            </w:pPr>
            <w:r>
              <w:rPr>
                <w:rFonts w:ascii="Times New Roman" w:hAnsi="Times New Roman"/>
                <w:sz w:val="21"/>
                <w:szCs w:val="21"/>
              </w:rPr>
              <w:t>卧室</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856A48">
            <w:pPr>
              <w:pStyle w:val="27"/>
              <w:widowControl/>
              <w:jc w:val="center"/>
              <w:rPr>
                <w:rFonts w:hint="default" w:ascii="Times New Roman" w:hAnsi="Times New Roman"/>
                <w:sz w:val="21"/>
                <w:szCs w:val="21"/>
              </w:rPr>
            </w:pPr>
            <w:r>
              <w:rPr>
                <w:rFonts w:hint="default" w:ascii="Times New Roman" w:hAnsi="Times New Roman"/>
                <w:sz w:val="21"/>
                <w:szCs w:val="21"/>
              </w:rPr>
              <w:t>82</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4B1CDB">
            <w:pPr>
              <w:pStyle w:val="27"/>
              <w:widowControl/>
              <w:jc w:val="center"/>
              <w:rPr>
                <w:rFonts w:hint="default" w:ascii="Times New Roman" w:hAnsi="Times New Roman"/>
                <w:sz w:val="21"/>
                <w:szCs w:val="21"/>
              </w:rPr>
            </w:pPr>
            <w:r>
              <w:rPr>
                <w:rFonts w:hint="default" w:ascii="Times New Roman" w:hAnsi="Times New Roman"/>
                <w:sz w:val="21"/>
                <w:szCs w:val="21"/>
              </w:rPr>
              <w:t>6</w:t>
            </w:r>
          </w:p>
        </w:tc>
        <w:tc>
          <w:tcPr>
            <w:tcW w:w="2031" w:type="dxa"/>
            <w:tcBorders>
              <w:top w:val="single" w:color="auto" w:sz="4" w:space="0"/>
              <w:left w:val="single" w:color="auto" w:sz="4" w:space="0"/>
              <w:bottom w:val="single" w:color="auto" w:sz="4" w:space="0"/>
              <w:right w:val="single" w:color="000000" w:sz="12" w:space="0"/>
            </w:tcBorders>
            <w:shd w:val="clear" w:color="auto" w:fill="auto"/>
            <w:noWrap/>
            <w:vAlign w:val="center"/>
          </w:tcPr>
          <w:p w14:paraId="429EC916">
            <w:pPr>
              <w:pStyle w:val="27"/>
              <w:widowControl/>
              <w:jc w:val="center"/>
              <w:rPr>
                <w:rFonts w:hint="default" w:ascii="Times New Roman" w:hAnsi="Times New Roman"/>
                <w:sz w:val="21"/>
                <w:szCs w:val="21"/>
              </w:rPr>
            </w:pPr>
            <w:r>
              <w:rPr>
                <w:rFonts w:hint="default" w:ascii="Times New Roman" w:hAnsi="Times New Roman"/>
                <w:sz w:val="21"/>
                <w:szCs w:val="21"/>
              </w:rPr>
              <w:t>6</w:t>
            </w:r>
          </w:p>
        </w:tc>
      </w:tr>
      <w:tr w14:paraId="5DBE4E9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5622F8D8">
            <w:pPr>
              <w:rPr>
                <w:rFonts w:ascii="Times New Roman" w:hAnsi="Times New Roman" w:cs="Times New Roman"/>
                <w:sz w:val="20"/>
                <w:szCs w:val="20"/>
              </w:rPr>
            </w:pPr>
          </w:p>
        </w:tc>
        <w:tc>
          <w:tcPr>
            <w:tcW w:w="1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B149DE">
            <w:pPr>
              <w:pStyle w:val="27"/>
              <w:widowControl/>
              <w:jc w:val="center"/>
              <w:rPr>
                <w:rFonts w:hint="default" w:ascii="Times New Roman" w:hAnsi="Times New Roman"/>
                <w:sz w:val="21"/>
                <w:szCs w:val="21"/>
              </w:rPr>
            </w:pPr>
            <w:r>
              <w:rPr>
                <w:rFonts w:ascii="Times New Roman" w:hAnsi="Times New Roman"/>
                <w:sz w:val="21"/>
                <w:szCs w:val="21"/>
              </w:rPr>
              <w:t>餐厅</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6B837F">
            <w:pPr>
              <w:pStyle w:val="27"/>
              <w:widowControl/>
              <w:jc w:val="center"/>
              <w:rPr>
                <w:rFonts w:hint="default" w:ascii="Times New Roman" w:hAnsi="Times New Roman"/>
                <w:sz w:val="21"/>
                <w:szCs w:val="21"/>
              </w:rPr>
            </w:pPr>
            <w:r>
              <w:rPr>
                <w:rFonts w:hint="default" w:ascii="Times New Roman" w:hAnsi="Times New Roman"/>
                <w:sz w:val="21"/>
                <w:szCs w:val="21"/>
              </w:rPr>
              <w:t>82</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A05B4D">
            <w:pPr>
              <w:pStyle w:val="27"/>
              <w:widowControl/>
              <w:jc w:val="center"/>
              <w:rPr>
                <w:rFonts w:hint="default" w:ascii="Times New Roman" w:hAnsi="Times New Roman"/>
                <w:sz w:val="21"/>
                <w:szCs w:val="21"/>
              </w:rPr>
            </w:pPr>
            <w:r>
              <w:rPr>
                <w:rFonts w:hint="default" w:ascii="Times New Roman" w:hAnsi="Times New Roman"/>
                <w:sz w:val="21"/>
                <w:szCs w:val="21"/>
              </w:rPr>
              <w:t>5</w:t>
            </w:r>
          </w:p>
        </w:tc>
        <w:tc>
          <w:tcPr>
            <w:tcW w:w="2031" w:type="dxa"/>
            <w:tcBorders>
              <w:top w:val="single" w:color="auto" w:sz="4" w:space="0"/>
              <w:left w:val="single" w:color="auto" w:sz="4" w:space="0"/>
              <w:bottom w:val="single" w:color="auto" w:sz="4" w:space="0"/>
              <w:right w:val="single" w:color="000000" w:sz="12" w:space="0"/>
            </w:tcBorders>
            <w:shd w:val="clear" w:color="auto" w:fill="auto"/>
            <w:noWrap/>
            <w:vAlign w:val="center"/>
          </w:tcPr>
          <w:p w14:paraId="17DB93B5">
            <w:pPr>
              <w:pStyle w:val="27"/>
              <w:widowControl/>
              <w:jc w:val="center"/>
              <w:rPr>
                <w:rFonts w:hint="default" w:ascii="Times New Roman" w:hAnsi="Times New Roman"/>
                <w:sz w:val="21"/>
                <w:szCs w:val="21"/>
              </w:rPr>
            </w:pPr>
            <w:r>
              <w:rPr>
                <w:rFonts w:hint="default" w:ascii="Times New Roman" w:hAnsi="Times New Roman"/>
                <w:sz w:val="21"/>
                <w:szCs w:val="21"/>
              </w:rPr>
              <w:t>6</w:t>
            </w:r>
          </w:p>
        </w:tc>
      </w:tr>
      <w:tr w14:paraId="6D69D20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68DA97ED">
            <w:pPr>
              <w:rPr>
                <w:rFonts w:ascii="Times New Roman" w:hAnsi="Times New Roman" w:cs="Times New Roman"/>
                <w:sz w:val="20"/>
                <w:szCs w:val="20"/>
              </w:rPr>
            </w:pPr>
          </w:p>
        </w:tc>
        <w:tc>
          <w:tcPr>
            <w:tcW w:w="1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035676">
            <w:pPr>
              <w:pStyle w:val="27"/>
              <w:widowControl/>
              <w:jc w:val="center"/>
              <w:rPr>
                <w:rFonts w:hint="default" w:ascii="Times New Roman" w:hAnsi="Times New Roman"/>
                <w:sz w:val="21"/>
                <w:szCs w:val="21"/>
              </w:rPr>
            </w:pPr>
            <w:r>
              <w:rPr>
                <w:rFonts w:ascii="Times New Roman" w:hAnsi="Times New Roman"/>
                <w:sz w:val="21"/>
                <w:szCs w:val="21"/>
              </w:rPr>
              <w:t>厨房</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18ADE9">
            <w:pPr>
              <w:pStyle w:val="27"/>
              <w:widowControl/>
              <w:jc w:val="center"/>
              <w:rPr>
                <w:rFonts w:hint="default" w:ascii="Times New Roman" w:hAnsi="Times New Roman"/>
                <w:sz w:val="21"/>
                <w:szCs w:val="21"/>
              </w:rPr>
            </w:pPr>
            <w:r>
              <w:rPr>
                <w:rFonts w:hint="default" w:ascii="Times New Roman" w:hAnsi="Times New Roman"/>
                <w:sz w:val="21"/>
                <w:szCs w:val="21"/>
              </w:rPr>
              <w:t>3</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D46A3C">
            <w:pPr>
              <w:pStyle w:val="27"/>
              <w:widowControl/>
              <w:jc w:val="center"/>
              <w:rPr>
                <w:rFonts w:hint="default" w:ascii="Times New Roman" w:hAnsi="Times New Roman"/>
                <w:sz w:val="21"/>
                <w:szCs w:val="21"/>
              </w:rPr>
            </w:pPr>
            <w:r>
              <w:rPr>
                <w:rFonts w:hint="default" w:ascii="Times New Roman" w:hAnsi="Times New Roman"/>
                <w:sz w:val="21"/>
                <w:szCs w:val="21"/>
              </w:rPr>
              <w:t>24</w:t>
            </w:r>
          </w:p>
        </w:tc>
        <w:tc>
          <w:tcPr>
            <w:tcW w:w="2031" w:type="dxa"/>
            <w:tcBorders>
              <w:top w:val="single" w:color="auto" w:sz="4" w:space="0"/>
              <w:left w:val="single" w:color="auto" w:sz="4" w:space="0"/>
              <w:bottom w:val="single" w:color="auto" w:sz="4" w:space="0"/>
              <w:right w:val="single" w:color="000000" w:sz="12" w:space="0"/>
            </w:tcBorders>
            <w:shd w:val="clear" w:color="auto" w:fill="auto"/>
            <w:noWrap/>
            <w:vAlign w:val="center"/>
          </w:tcPr>
          <w:p w14:paraId="54FC482D">
            <w:pPr>
              <w:pStyle w:val="27"/>
              <w:widowControl/>
              <w:jc w:val="center"/>
              <w:rPr>
                <w:rFonts w:hint="default" w:ascii="Times New Roman" w:hAnsi="Times New Roman"/>
                <w:sz w:val="21"/>
                <w:szCs w:val="21"/>
              </w:rPr>
            </w:pPr>
            <w:r>
              <w:rPr>
                <w:rFonts w:hint="default" w:ascii="Times New Roman" w:hAnsi="Times New Roman"/>
                <w:sz w:val="21"/>
                <w:szCs w:val="21"/>
              </w:rPr>
              <w:t>6</w:t>
            </w:r>
          </w:p>
        </w:tc>
      </w:tr>
      <w:tr w14:paraId="4D8871B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0FAAE455">
            <w:pPr>
              <w:rPr>
                <w:rFonts w:ascii="Times New Roman" w:hAnsi="Times New Roman" w:cs="Times New Roman"/>
                <w:sz w:val="20"/>
                <w:szCs w:val="20"/>
              </w:rPr>
            </w:pPr>
          </w:p>
        </w:tc>
        <w:tc>
          <w:tcPr>
            <w:tcW w:w="1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06548A">
            <w:pPr>
              <w:pStyle w:val="27"/>
              <w:widowControl/>
              <w:jc w:val="center"/>
              <w:rPr>
                <w:rFonts w:hint="default" w:ascii="Times New Roman" w:hAnsi="Times New Roman"/>
                <w:sz w:val="21"/>
                <w:szCs w:val="21"/>
              </w:rPr>
            </w:pPr>
            <w:r>
              <w:rPr>
                <w:rFonts w:ascii="Times New Roman" w:hAnsi="Times New Roman"/>
                <w:sz w:val="21"/>
                <w:szCs w:val="21"/>
              </w:rPr>
              <w:t>洗手间</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E60CCC">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85BFB5">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2031" w:type="dxa"/>
            <w:tcBorders>
              <w:top w:val="single" w:color="auto" w:sz="4" w:space="0"/>
              <w:left w:val="single" w:color="auto" w:sz="4" w:space="0"/>
              <w:bottom w:val="single" w:color="auto" w:sz="4" w:space="0"/>
              <w:right w:val="single" w:color="000000" w:sz="12" w:space="0"/>
            </w:tcBorders>
            <w:shd w:val="clear" w:color="auto" w:fill="auto"/>
            <w:noWrap/>
            <w:vAlign w:val="center"/>
          </w:tcPr>
          <w:p w14:paraId="7118552C">
            <w:pPr>
              <w:pStyle w:val="27"/>
              <w:widowControl/>
              <w:jc w:val="center"/>
              <w:rPr>
                <w:rFonts w:hint="default" w:ascii="Times New Roman" w:hAnsi="Times New Roman"/>
                <w:sz w:val="21"/>
                <w:szCs w:val="21"/>
              </w:rPr>
            </w:pPr>
            <w:r>
              <w:rPr>
                <w:rFonts w:hint="default" w:ascii="Times New Roman" w:hAnsi="Times New Roman"/>
                <w:sz w:val="21"/>
                <w:szCs w:val="21"/>
              </w:rPr>
              <w:t>6</w:t>
            </w:r>
          </w:p>
        </w:tc>
      </w:tr>
      <w:tr w14:paraId="0AD9117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067E851F">
            <w:pPr>
              <w:rPr>
                <w:rFonts w:ascii="Times New Roman" w:hAnsi="Times New Roman" w:cs="Times New Roman"/>
                <w:sz w:val="20"/>
                <w:szCs w:val="20"/>
              </w:rPr>
            </w:pPr>
          </w:p>
        </w:tc>
        <w:tc>
          <w:tcPr>
            <w:tcW w:w="1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C5A65E">
            <w:pPr>
              <w:pStyle w:val="27"/>
              <w:widowControl/>
              <w:jc w:val="center"/>
              <w:rPr>
                <w:rFonts w:hint="default" w:ascii="Times New Roman" w:hAnsi="Times New Roman"/>
                <w:sz w:val="21"/>
                <w:szCs w:val="21"/>
              </w:rPr>
            </w:pPr>
            <w:r>
              <w:rPr>
                <w:rFonts w:ascii="Times New Roman" w:hAnsi="Times New Roman"/>
                <w:sz w:val="21"/>
                <w:szCs w:val="21"/>
              </w:rPr>
              <w:t>楼梯间</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8C2F27">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F9BE2F">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2031" w:type="dxa"/>
            <w:tcBorders>
              <w:top w:val="single" w:color="auto" w:sz="4" w:space="0"/>
              <w:left w:val="single" w:color="auto" w:sz="4" w:space="0"/>
              <w:bottom w:val="single" w:color="auto" w:sz="4" w:space="0"/>
              <w:right w:val="single" w:color="000000" w:sz="12" w:space="0"/>
            </w:tcBorders>
            <w:shd w:val="clear" w:color="auto" w:fill="auto"/>
            <w:noWrap/>
            <w:vAlign w:val="center"/>
          </w:tcPr>
          <w:p w14:paraId="2B021B2B">
            <w:pPr>
              <w:pStyle w:val="27"/>
              <w:widowControl/>
              <w:jc w:val="center"/>
              <w:rPr>
                <w:rFonts w:hint="default" w:ascii="Times New Roman" w:hAnsi="Times New Roman"/>
                <w:sz w:val="21"/>
                <w:szCs w:val="21"/>
              </w:rPr>
            </w:pPr>
            <w:r>
              <w:rPr>
                <w:rFonts w:hint="default" w:ascii="Times New Roman" w:hAnsi="Times New Roman"/>
                <w:sz w:val="21"/>
                <w:szCs w:val="21"/>
              </w:rPr>
              <w:t>0</w:t>
            </w:r>
          </w:p>
        </w:tc>
      </w:tr>
      <w:tr w14:paraId="361D4B1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4480020F">
            <w:pPr>
              <w:rPr>
                <w:rFonts w:ascii="Times New Roman" w:hAnsi="Times New Roman" w:cs="Times New Roman"/>
                <w:sz w:val="20"/>
                <w:szCs w:val="20"/>
              </w:rPr>
            </w:pPr>
          </w:p>
        </w:tc>
        <w:tc>
          <w:tcPr>
            <w:tcW w:w="1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DBCEA4">
            <w:pPr>
              <w:pStyle w:val="27"/>
              <w:widowControl/>
              <w:jc w:val="center"/>
              <w:rPr>
                <w:rFonts w:hint="default" w:ascii="Times New Roman" w:hAnsi="Times New Roman"/>
                <w:sz w:val="21"/>
                <w:szCs w:val="21"/>
              </w:rPr>
            </w:pPr>
            <w:r>
              <w:rPr>
                <w:rFonts w:ascii="Times New Roman" w:hAnsi="Times New Roman"/>
                <w:sz w:val="21"/>
                <w:szCs w:val="21"/>
              </w:rPr>
              <w:t>大堂门厅</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935792">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936EC1">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2031" w:type="dxa"/>
            <w:tcBorders>
              <w:top w:val="single" w:color="auto" w:sz="4" w:space="0"/>
              <w:left w:val="single" w:color="auto" w:sz="4" w:space="0"/>
              <w:bottom w:val="single" w:color="auto" w:sz="4" w:space="0"/>
              <w:right w:val="single" w:color="000000" w:sz="12" w:space="0"/>
            </w:tcBorders>
            <w:shd w:val="clear" w:color="auto" w:fill="auto"/>
            <w:noWrap/>
            <w:vAlign w:val="center"/>
          </w:tcPr>
          <w:p w14:paraId="5A0CBF8C">
            <w:pPr>
              <w:pStyle w:val="27"/>
              <w:widowControl/>
              <w:jc w:val="center"/>
              <w:rPr>
                <w:rFonts w:hint="default" w:ascii="Times New Roman" w:hAnsi="Times New Roman"/>
                <w:sz w:val="21"/>
                <w:szCs w:val="21"/>
              </w:rPr>
            </w:pPr>
            <w:r>
              <w:rPr>
                <w:rFonts w:hint="default" w:ascii="Times New Roman" w:hAnsi="Times New Roman"/>
                <w:sz w:val="21"/>
                <w:szCs w:val="21"/>
              </w:rPr>
              <w:t>0</w:t>
            </w:r>
          </w:p>
        </w:tc>
      </w:tr>
      <w:tr w14:paraId="4BEC50B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1CD71E35">
            <w:pPr>
              <w:rPr>
                <w:rFonts w:ascii="Times New Roman" w:hAnsi="Times New Roman" w:cs="Times New Roman"/>
                <w:sz w:val="20"/>
                <w:szCs w:val="20"/>
              </w:rPr>
            </w:pPr>
          </w:p>
        </w:tc>
        <w:tc>
          <w:tcPr>
            <w:tcW w:w="1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AE911A">
            <w:pPr>
              <w:pStyle w:val="27"/>
              <w:widowControl/>
              <w:jc w:val="center"/>
              <w:rPr>
                <w:rFonts w:hint="default" w:ascii="Times New Roman" w:hAnsi="Times New Roman"/>
                <w:sz w:val="21"/>
                <w:szCs w:val="21"/>
              </w:rPr>
            </w:pPr>
            <w:r>
              <w:rPr>
                <w:rFonts w:ascii="Times New Roman" w:hAnsi="Times New Roman"/>
                <w:sz w:val="21"/>
                <w:szCs w:val="21"/>
              </w:rPr>
              <w:t>储物间</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014E9D">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31B167">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2031" w:type="dxa"/>
            <w:tcBorders>
              <w:top w:val="single" w:color="auto" w:sz="4" w:space="0"/>
              <w:left w:val="single" w:color="auto" w:sz="4" w:space="0"/>
              <w:bottom w:val="single" w:color="auto" w:sz="4" w:space="0"/>
              <w:right w:val="single" w:color="000000" w:sz="12" w:space="0"/>
            </w:tcBorders>
            <w:shd w:val="clear" w:color="auto" w:fill="auto"/>
            <w:noWrap/>
            <w:vAlign w:val="center"/>
          </w:tcPr>
          <w:p w14:paraId="796FAA7C">
            <w:pPr>
              <w:pStyle w:val="27"/>
              <w:widowControl/>
              <w:jc w:val="center"/>
              <w:rPr>
                <w:rFonts w:hint="default" w:ascii="Times New Roman" w:hAnsi="Times New Roman"/>
                <w:sz w:val="21"/>
                <w:szCs w:val="21"/>
              </w:rPr>
            </w:pPr>
            <w:r>
              <w:rPr>
                <w:rFonts w:hint="default" w:ascii="Times New Roman" w:hAnsi="Times New Roman"/>
                <w:sz w:val="21"/>
                <w:szCs w:val="21"/>
              </w:rPr>
              <w:t>0</w:t>
            </w:r>
          </w:p>
        </w:tc>
      </w:tr>
      <w:tr w14:paraId="1CFE40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43E1EF2C">
            <w:pPr>
              <w:rPr>
                <w:rFonts w:ascii="Times New Roman" w:hAnsi="Times New Roman" w:cs="Times New Roman"/>
                <w:sz w:val="20"/>
                <w:szCs w:val="20"/>
              </w:rPr>
            </w:pPr>
          </w:p>
        </w:tc>
        <w:tc>
          <w:tcPr>
            <w:tcW w:w="1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A151A3">
            <w:pPr>
              <w:pStyle w:val="27"/>
              <w:widowControl/>
              <w:jc w:val="center"/>
              <w:rPr>
                <w:rFonts w:hint="default" w:ascii="Times New Roman" w:hAnsi="Times New Roman"/>
                <w:sz w:val="21"/>
                <w:szCs w:val="21"/>
              </w:rPr>
            </w:pPr>
            <w:r>
              <w:rPr>
                <w:rFonts w:ascii="Times New Roman" w:hAnsi="Times New Roman"/>
                <w:sz w:val="21"/>
                <w:szCs w:val="21"/>
              </w:rPr>
              <w:t>车库</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C5AE36">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18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B918D8">
            <w:pPr>
              <w:pStyle w:val="27"/>
              <w:widowControl/>
              <w:jc w:val="center"/>
              <w:rPr>
                <w:rFonts w:hint="default" w:ascii="Times New Roman" w:hAnsi="Times New Roman"/>
                <w:sz w:val="21"/>
                <w:szCs w:val="21"/>
              </w:rPr>
            </w:pPr>
            <w:r>
              <w:rPr>
                <w:rFonts w:hint="default" w:ascii="Times New Roman" w:hAnsi="Times New Roman"/>
                <w:sz w:val="21"/>
                <w:szCs w:val="21"/>
              </w:rPr>
              <w:t>0</w:t>
            </w:r>
          </w:p>
        </w:tc>
        <w:tc>
          <w:tcPr>
            <w:tcW w:w="2031" w:type="dxa"/>
            <w:tcBorders>
              <w:top w:val="single" w:color="auto" w:sz="4" w:space="0"/>
              <w:left w:val="single" w:color="auto" w:sz="4" w:space="0"/>
              <w:bottom w:val="single" w:color="auto" w:sz="4" w:space="0"/>
              <w:right w:val="single" w:color="000000" w:sz="12" w:space="0"/>
            </w:tcBorders>
            <w:shd w:val="clear" w:color="auto" w:fill="auto"/>
            <w:noWrap/>
            <w:vAlign w:val="center"/>
          </w:tcPr>
          <w:p w14:paraId="29FAFE65">
            <w:pPr>
              <w:pStyle w:val="27"/>
              <w:widowControl/>
              <w:jc w:val="center"/>
              <w:rPr>
                <w:rFonts w:hint="default" w:ascii="Times New Roman" w:hAnsi="Times New Roman"/>
                <w:sz w:val="21"/>
                <w:szCs w:val="21"/>
              </w:rPr>
            </w:pPr>
            <w:r>
              <w:rPr>
                <w:rFonts w:hint="default" w:ascii="Times New Roman" w:hAnsi="Times New Roman"/>
                <w:sz w:val="21"/>
                <w:szCs w:val="21"/>
              </w:rPr>
              <w:t>0</w:t>
            </w:r>
          </w:p>
        </w:tc>
      </w:tr>
      <w:tr w14:paraId="24C6029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354" w:type="dxa"/>
            <w:tcBorders>
              <w:top w:val="single" w:color="auto" w:sz="4" w:space="0"/>
              <w:left w:val="single" w:color="000000" w:sz="12" w:space="0"/>
              <w:bottom w:val="single" w:color="000000" w:sz="12" w:space="0"/>
              <w:right w:val="single" w:color="auto" w:sz="4" w:space="0"/>
            </w:tcBorders>
            <w:shd w:val="clear" w:color="auto" w:fill="auto"/>
            <w:noWrap/>
            <w:vAlign w:val="center"/>
          </w:tcPr>
          <w:p w14:paraId="60EF3137">
            <w:pPr>
              <w:pStyle w:val="27"/>
              <w:widowControl/>
              <w:jc w:val="center"/>
              <w:rPr>
                <w:rFonts w:hint="default" w:ascii="Times New Roman" w:hAnsi="Times New Roman"/>
                <w:sz w:val="21"/>
                <w:szCs w:val="21"/>
              </w:rPr>
            </w:pPr>
            <w:r>
              <w:rPr>
                <w:rFonts w:ascii="Times New Roman" w:hAnsi="Times New Roman"/>
                <w:sz w:val="21"/>
                <w:szCs w:val="21"/>
              </w:rPr>
              <w:t>非住宅建筑</w:t>
            </w:r>
          </w:p>
        </w:tc>
        <w:tc>
          <w:tcPr>
            <w:tcW w:w="1373" w:type="dxa"/>
            <w:tcBorders>
              <w:top w:val="single" w:color="auto" w:sz="4" w:space="0"/>
              <w:left w:val="single" w:color="auto" w:sz="4" w:space="0"/>
              <w:bottom w:val="single" w:color="000000" w:sz="12" w:space="0"/>
              <w:right w:val="single" w:color="auto" w:sz="4" w:space="0"/>
            </w:tcBorders>
            <w:shd w:val="clear" w:color="auto" w:fill="auto"/>
            <w:noWrap/>
            <w:vAlign w:val="center"/>
          </w:tcPr>
          <w:p w14:paraId="533FF527">
            <w:pPr>
              <w:pStyle w:val="27"/>
              <w:widowControl/>
              <w:jc w:val="center"/>
              <w:rPr>
                <w:rFonts w:hint="default" w:ascii="Times New Roman" w:hAnsi="Times New Roman"/>
                <w:sz w:val="21"/>
                <w:szCs w:val="21"/>
              </w:rPr>
            </w:pPr>
            <w:r>
              <w:rPr>
                <w:rFonts w:ascii="Times New Roman" w:hAnsi="Times New Roman"/>
                <w:sz w:val="21"/>
                <w:szCs w:val="21"/>
              </w:rPr>
              <w:t>居室</w:t>
            </w:r>
          </w:p>
        </w:tc>
        <w:tc>
          <w:tcPr>
            <w:tcW w:w="1871" w:type="dxa"/>
            <w:tcBorders>
              <w:top w:val="single" w:color="auto" w:sz="4" w:space="0"/>
              <w:left w:val="single" w:color="auto" w:sz="4" w:space="0"/>
              <w:bottom w:val="single" w:color="000000" w:sz="12" w:space="0"/>
              <w:right w:val="single" w:color="auto" w:sz="4" w:space="0"/>
            </w:tcBorders>
            <w:shd w:val="clear" w:color="auto" w:fill="auto"/>
            <w:noWrap/>
            <w:vAlign w:val="center"/>
          </w:tcPr>
          <w:p w14:paraId="57ACC1C4">
            <w:pPr>
              <w:pStyle w:val="27"/>
              <w:widowControl/>
              <w:jc w:val="center"/>
              <w:rPr>
                <w:rFonts w:hint="default" w:ascii="Times New Roman" w:hAnsi="Times New Roman"/>
                <w:sz w:val="21"/>
                <w:szCs w:val="21"/>
              </w:rPr>
            </w:pPr>
            <w:r>
              <w:rPr>
                <w:rFonts w:hint="default" w:ascii="Times New Roman" w:hAnsi="Times New Roman"/>
                <w:sz w:val="21"/>
                <w:szCs w:val="21"/>
              </w:rPr>
              <w:t>8</w:t>
            </w:r>
          </w:p>
        </w:tc>
        <w:tc>
          <w:tcPr>
            <w:tcW w:w="1871" w:type="dxa"/>
            <w:tcBorders>
              <w:top w:val="single" w:color="auto" w:sz="4" w:space="0"/>
              <w:left w:val="single" w:color="auto" w:sz="4" w:space="0"/>
              <w:bottom w:val="single" w:color="000000" w:sz="12" w:space="0"/>
              <w:right w:val="single" w:color="auto" w:sz="4" w:space="0"/>
            </w:tcBorders>
            <w:shd w:val="clear" w:color="auto" w:fill="auto"/>
            <w:noWrap/>
            <w:vAlign w:val="center"/>
          </w:tcPr>
          <w:p w14:paraId="19926BED">
            <w:pPr>
              <w:pStyle w:val="27"/>
              <w:widowControl/>
              <w:jc w:val="center"/>
              <w:rPr>
                <w:rFonts w:hint="default" w:ascii="Times New Roman" w:hAnsi="Times New Roman"/>
                <w:sz w:val="21"/>
                <w:szCs w:val="21"/>
              </w:rPr>
            </w:pPr>
            <w:r>
              <w:rPr>
                <w:rFonts w:hint="default" w:ascii="Times New Roman" w:hAnsi="Times New Roman"/>
                <w:sz w:val="21"/>
                <w:szCs w:val="21"/>
              </w:rPr>
              <w:t>6</w:t>
            </w:r>
          </w:p>
        </w:tc>
        <w:tc>
          <w:tcPr>
            <w:tcW w:w="2031" w:type="dxa"/>
            <w:tcBorders>
              <w:top w:val="single" w:color="auto" w:sz="4" w:space="0"/>
              <w:left w:val="single" w:color="auto" w:sz="4" w:space="0"/>
              <w:bottom w:val="single" w:color="000000" w:sz="12" w:space="0"/>
              <w:right w:val="single" w:color="000000" w:sz="12" w:space="0"/>
            </w:tcBorders>
            <w:shd w:val="clear" w:color="auto" w:fill="auto"/>
            <w:noWrap/>
            <w:vAlign w:val="center"/>
          </w:tcPr>
          <w:p w14:paraId="21430FE8">
            <w:pPr>
              <w:pStyle w:val="27"/>
              <w:widowControl/>
              <w:jc w:val="center"/>
              <w:rPr>
                <w:rFonts w:hint="default" w:ascii="Times New Roman" w:hAnsi="Times New Roman"/>
                <w:sz w:val="21"/>
                <w:szCs w:val="21"/>
              </w:rPr>
            </w:pPr>
            <w:r>
              <w:rPr>
                <w:rFonts w:hint="default" w:ascii="Times New Roman" w:hAnsi="Times New Roman"/>
                <w:sz w:val="21"/>
                <w:szCs w:val="21"/>
              </w:rPr>
              <w:t>6</w:t>
            </w:r>
          </w:p>
        </w:tc>
      </w:tr>
    </w:tbl>
    <w:p w14:paraId="5B5DFD05">
      <w:pPr>
        <w:pStyle w:val="27"/>
        <w:widowControl/>
        <w:spacing w:before="156" w:beforeLines="50"/>
        <w:jc w:val="center"/>
        <w:rPr>
          <w:rFonts w:hint="default" w:ascii="Times New Roman" w:hAnsi="Times New Roman"/>
          <w:b/>
          <w:bCs/>
          <w:sz w:val="21"/>
          <w:szCs w:val="21"/>
        </w:rPr>
      </w:pPr>
      <w:r>
        <w:rPr>
          <w:rFonts w:ascii="Times New Roman" w:hAnsi="Times New Roman"/>
          <w:b/>
          <w:bCs/>
          <w:sz w:val="21"/>
          <w:szCs w:val="21"/>
        </w:rPr>
        <w:t>表</w:t>
      </w:r>
      <w:r>
        <w:rPr>
          <w:rFonts w:hint="default" w:ascii="Times New Roman" w:hAnsi="Times New Roman"/>
          <w:b/>
          <w:bCs/>
          <w:sz w:val="21"/>
          <w:szCs w:val="21"/>
        </w:rPr>
        <w:t xml:space="preserve">7.2.2-4 </w:t>
      </w:r>
      <w:r>
        <w:rPr>
          <w:rFonts w:ascii="Times New Roman" w:hAnsi="Times New Roman"/>
          <w:b/>
          <w:bCs/>
          <w:sz w:val="21"/>
          <w:szCs w:val="21"/>
        </w:rPr>
        <w:t>人员在室率</w:t>
      </w:r>
    </w:p>
    <w:tbl>
      <w:tblPr>
        <w:tblStyle w:val="14"/>
        <w:tblW w:w="8504"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614"/>
        <w:gridCol w:w="669"/>
        <w:gridCol w:w="569"/>
        <w:gridCol w:w="520"/>
        <w:gridCol w:w="570"/>
        <w:gridCol w:w="670"/>
        <w:gridCol w:w="570"/>
        <w:gridCol w:w="670"/>
        <w:gridCol w:w="670"/>
        <w:gridCol w:w="570"/>
        <w:gridCol w:w="570"/>
        <w:gridCol w:w="670"/>
        <w:gridCol w:w="670"/>
      </w:tblGrid>
      <w:tr w14:paraId="6C688C6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160" w:type="dxa"/>
            <w:gridSpan w:val="2"/>
            <w:vMerge w:val="restart"/>
            <w:tcBorders>
              <w:top w:val="single" w:color="000000" w:sz="12" w:space="0"/>
              <w:left w:val="single" w:color="000000" w:sz="12" w:space="0"/>
              <w:bottom w:val="single" w:color="auto" w:sz="4" w:space="0"/>
              <w:right w:val="single" w:color="auto" w:sz="4" w:space="0"/>
            </w:tcBorders>
            <w:shd w:val="clear" w:color="auto" w:fill="auto"/>
            <w:noWrap/>
            <w:vAlign w:val="center"/>
          </w:tcPr>
          <w:p w14:paraId="3FC0A26D">
            <w:pPr>
              <w:pStyle w:val="27"/>
              <w:widowControl/>
              <w:jc w:val="center"/>
              <w:rPr>
                <w:rFonts w:hint="default" w:ascii="Times New Roman" w:hAnsi="Times New Roman"/>
                <w:sz w:val="21"/>
                <w:szCs w:val="21"/>
              </w:rPr>
            </w:pPr>
            <w:r>
              <w:rPr>
                <w:rFonts w:ascii="Times New Roman" w:hAnsi="Times New Roman"/>
                <w:sz w:val="21"/>
                <w:szCs w:val="21"/>
              </w:rPr>
              <w:t>房间类别</w:t>
            </w:r>
          </w:p>
        </w:tc>
        <w:tc>
          <w:tcPr>
            <w:tcW w:w="12960" w:type="dxa"/>
            <w:gridSpan w:val="12"/>
            <w:tcBorders>
              <w:top w:val="single" w:color="000000" w:sz="12" w:space="0"/>
              <w:left w:val="single" w:color="auto" w:sz="4" w:space="0"/>
              <w:bottom w:val="single" w:color="auto" w:sz="4" w:space="0"/>
              <w:right w:val="single" w:color="000000" w:sz="12" w:space="0"/>
            </w:tcBorders>
            <w:shd w:val="clear" w:color="auto" w:fill="auto"/>
            <w:noWrap/>
            <w:vAlign w:val="center"/>
          </w:tcPr>
          <w:p w14:paraId="5C2401DE">
            <w:pPr>
              <w:pStyle w:val="27"/>
              <w:widowControl/>
              <w:jc w:val="center"/>
              <w:rPr>
                <w:rFonts w:hint="default" w:ascii="Times New Roman" w:hAnsi="Times New Roman"/>
                <w:sz w:val="21"/>
                <w:szCs w:val="21"/>
              </w:rPr>
            </w:pPr>
            <w:r>
              <w:rPr>
                <w:rFonts w:ascii="Times New Roman" w:hAnsi="Times New Roman"/>
                <w:sz w:val="21"/>
                <w:szCs w:val="21"/>
              </w:rPr>
              <w:t>时间（</w:t>
            </w:r>
            <w:r>
              <w:rPr>
                <w:rFonts w:hint="default" w:ascii="Times New Roman" w:hAnsi="Times New Roman"/>
                <w:sz w:val="21"/>
                <w:szCs w:val="21"/>
              </w:rPr>
              <w:t>%</w:t>
            </w:r>
            <w:r>
              <w:rPr>
                <w:rFonts w:ascii="Times New Roman" w:hAnsi="Times New Roman"/>
                <w:sz w:val="21"/>
                <w:szCs w:val="21"/>
              </w:rPr>
              <w:t>）</w:t>
            </w:r>
          </w:p>
        </w:tc>
      </w:tr>
      <w:tr w14:paraId="0F51F7B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160" w:type="dxa"/>
            <w:gridSpan w:val="2"/>
            <w:vMerge w:val="continue"/>
            <w:tcBorders>
              <w:top w:val="single" w:color="000000" w:sz="12" w:space="0"/>
              <w:left w:val="single" w:color="000000" w:sz="12" w:space="0"/>
              <w:bottom w:val="single" w:color="auto" w:sz="4" w:space="0"/>
              <w:right w:val="single" w:color="auto" w:sz="4" w:space="0"/>
            </w:tcBorders>
            <w:shd w:val="clear" w:color="auto" w:fill="auto"/>
            <w:noWrap/>
            <w:vAlign w:val="center"/>
          </w:tcPr>
          <w:p w14:paraId="01DFDEDC">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754650">
            <w:pPr>
              <w:pStyle w:val="27"/>
              <w:widowControl/>
              <w:jc w:val="center"/>
              <w:rPr>
                <w:rFonts w:hint="default" w:ascii="Times New Roman" w:hAnsi="Times New Roman"/>
                <w:sz w:val="21"/>
                <w:szCs w:val="21"/>
              </w:rPr>
            </w:pPr>
            <w:r>
              <w:rPr>
                <w:rFonts w:hint="default" w:ascii="Times New Roman" w:hAnsi="Times New Roman"/>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171ADF">
            <w:pPr>
              <w:pStyle w:val="27"/>
              <w:widowControl/>
              <w:jc w:val="center"/>
              <w:rPr>
                <w:rFonts w:hint="default" w:ascii="Times New Roman" w:hAnsi="Times New Roman"/>
                <w:sz w:val="21"/>
                <w:szCs w:val="21"/>
              </w:rPr>
            </w:pPr>
            <w:r>
              <w:rPr>
                <w:rFonts w:hint="default" w:ascii="Times New Roman" w:hAnsi="Times New Roman"/>
                <w:sz w:val="21"/>
                <w:szCs w:val="21"/>
              </w:rPr>
              <w:t>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B6EA322">
            <w:pPr>
              <w:pStyle w:val="27"/>
              <w:widowControl/>
              <w:jc w:val="center"/>
              <w:rPr>
                <w:rFonts w:hint="default" w:ascii="Times New Roman" w:hAnsi="Times New Roman"/>
                <w:sz w:val="21"/>
                <w:szCs w:val="21"/>
              </w:rPr>
            </w:pPr>
            <w:r>
              <w:rPr>
                <w:rFonts w:hint="default" w:ascii="Times New Roman" w:hAnsi="Times New Roman"/>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7540E9">
            <w:pPr>
              <w:pStyle w:val="27"/>
              <w:widowControl/>
              <w:jc w:val="center"/>
              <w:rPr>
                <w:rFonts w:hint="default" w:ascii="Times New Roman" w:hAnsi="Times New Roman"/>
                <w:sz w:val="21"/>
                <w:szCs w:val="21"/>
              </w:rPr>
            </w:pPr>
            <w:r>
              <w:rPr>
                <w:rFonts w:hint="default" w:ascii="Times New Roman" w:hAnsi="Times New Roman"/>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47D594">
            <w:pPr>
              <w:pStyle w:val="27"/>
              <w:widowControl/>
              <w:jc w:val="center"/>
              <w:rPr>
                <w:rFonts w:hint="default" w:ascii="Times New Roman" w:hAnsi="Times New Roman"/>
                <w:sz w:val="21"/>
                <w:szCs w:val="21"/>
              </w:rPr>
            </w:pPr>
            <w:r>
              <w:rPr>
                <w:rFonts w:hint="default" w:ascii="Times New Roman" w:hAnsi="Times New Roman"/>
                <w:sz w:val="21"/>
                <w:szCs w:val="21"/>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D96BAD">
            <w:pPr>
              <w:pStyle w:val="27"/>
              <w:widowControl/>
              <w:jc w:val="center"/>
              <w:rPr>
                <w:rFonts w:hint="default" w:ascii="Times New Roman" w:hAnsi="Times New Roman"/>
                <w:sz w:val="21"/>
                <w:szCs w:val="21"/>
              </w:rPr>
            </w:pPr>
            <w:r>
              <w:rPr>
                <w:rFonts w:hint="default" w:ascii="Times New Roman" w:hAnsi="Times New Roman"/>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104AEAD">
            <w:pPr>
              <w:pStyle w:val="27"/>
              <w:widowControl/>
              <w:jc w:val="center"/>
              <w:rPr>
                <w:rFonts w:hint="default" w:ascii="Times New Roman" w:hAnsi="Times New Roman"/>
                <w:sz w:val="21"/>
                <w:szCs w:val="21"/>
              </w:rPr>
            </w:pPr>
            <w:r>
              <w:rPr>
                <w:rFonts w:hint="default" w:ascii="Times New Roman" w:hAnsi="Times New Roman"/>
                <w:sz w:val="21"/>
                <w:szCs w:val="21"/>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AE1317">
            <w:pPr>
              <w:pStyle w:val="27"/>
              <w:widowControl/>
              <w:jc w:val="center"/>
              <w:rPr>
                <w:rFonts w:hint="default" w:ascii="Times New Roman" w:hAnsi="Times New Roman"/>
                <w:sz w:val="21"/>
                <w:szCs w:val="21"/>
              </w:rPr>
            </w:pPr>
            <w:r>
              <w:rPr>
                <w:rFonts w:hint="default" w:ascii="Times New Roman" w:hAnsi="Times New Roman"/>
                <w:sz w:val="21"/>
                <w:szCs w:val="21"/>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01F3717">
            <w:pPr>
              <w:pStyle w:val="27"/>
              <w:widowControl/>
              <w:jc w:val="center"/>
              <w:rPr>
                <w:rFonts w:hint="default" w:ascii="Times New Roman" w:hAnsi="Times New Roman"/>
                <w:sz w:val="21"/>
                <w:szCs w:val="21"/>
              </w:rPr>
            </w:pPr>
            <w:r>
              <w:rPr>
                <w:rFonts w:hint="default" w:ascii="Times New Roman" w:hAnsi="Times New Roman"/>
                <w:sz w:val="21"/>
                <w:szCs w:val="21"/>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91501D">
            <w:pPr>
              <w:pStyle w:val="27"/>
              <w:widowControl/>
              <w:jc w:val="center"/>
              <w:rPr>
                <w:rFonts w:hint="default" w:ascii="Times New Roman" w:hAnsi="Times New Roman"/>
                <w:sz w:val="21"/>
                <w:szCs w:val="21"/>
              </w:rPr>
            </w:pPr>
            <w:r>
              <w:rPr>
                <w:rFonts w:hint="default" w:ascii="Times New Roman" w:hAnsi="Times New Roman"/>
                <w:sz w:val="21"/>
                <w:szCs w:val="21"/>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9BB2B72">
            <w:pPr>
              <w:pStyle w:val="27"/>
              <w:widowControl/>
              <w:jc w:val="center"/>
              <w:rPr>
                <w:rFonts w:hint="default" w:ascii="Times New Roman" w:hAnsi="Times New Roman"/>
                <w:sz w:val="21"/>
                <w:szCs w:val="21"/>
              </w:rPr>
            </w:pPr>
            <w:r>
              <w:rPr>
                <w:rFonts w:hint="default" w:ascii="Times New Roman" w:hAnsi="Times New Roman"/>
                <w:sz w:val="21"/>
                <w:szCs w:val="21"/>
              </w:rPr>
              <w:t>11</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2C7E961F">
            <w:pPr>
              <w:pStyle w:val="27"/>
              <w:widowControl/>
              <w:jc w:val="center"/>
              <w:rPr>
                <w:rFonts w:hint="default" w:ascii="Times New Roman" w:hAnsi="Times New Roman"/>
                <w:sz w:val="21"/>
                <w:szCs w:val="21"/>
              </w:rPr>
            </w:pPr>
            <w:r>
              <w:rPr>
                <w:rFonts w:hint="default" w:ascii="Times New Roman" w:hAnsi="Times New Roman"/>
                <w:sz w:val="21"/>
                <w:szCs w:val="21"/>
              </w:rPr>
              <w:t>12</w:t>
            </w:r>
          </w:p>
        </w:tc>
      </w:tr>
      <w:tr w14:paraId="7729C32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restart"/>
            <w:tcBorders>
              <w:top w:val="single" w:color="auto" w:sz="4" w:space="0"/>
              <w:left w:val="single" w:color="000000" w:sz="12" w:space="0"/>
              <w:bottom w:val="single" w:color="auto" w:sz="4" w:space="0"/>
              <w:right w:val="single" w:color="auto" w:sz="4" w:space="0"/>
            </w:tcBorders>
            <w:shd w:val="clear" w:color="auto" w:fill="auto"/>
            <w:noWrap/>
            <w:vAlign w:val="center"/>
          </w:tcPr>
          <w:p w14:paraId="5698A96D">
            <w:pPr>
              <w:pStyle w:val="27"/>
              <w:widowControl/>
              <w:spacing w:line="240" w:lineRule="auto"/>
              <w:jc w:val="center"/>
              <w:rPr>
                <w:rFonts w:hint="default" w:ascii="Times New Roman" w:hAnsi="Times New Roman"/>
                <w:sz w:val="21"/>
                <w:szCs w:val="21"/>
              </w:rPr>
            </w:pPr>
            <w:r>
              <w:rPr>
                <w:rFonts w:ascii="Times New Roman" w:hAnsi="Times New Roman"/>
                <w:sz w:val="21"/>
                <w:szCs w:val="21"/>
              </w:rPr>
              <w:t>起居室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9A8B029">
            <w:pPr>
              <w:pStyle w:val="27"/>
              <w:widowControl/>
              <w:spacing w:line="240" w:lineRule="auto"/>
              <w:jc w:val="center"/>
              <w:rPr>
                <w:rFonts w:hint="default" w:ascii="Times New Roman" w:hAnsi="Times New Roman"/>
                <w:sz w:val="21"/>
                <w:szCs w:val="21"/>
              </w:rPr>
            </w:pPr>
            <w:r>
              <w:rPr>
                <w:rFonts w:ascii="Times New Roman" w:hAnsi="Times New Roman"/>
                <w:sz w:val="21"/>
                <w:szCs w:val="21"/>
              </w:rPr>
              <w:t>工作日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77AEE8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21CD45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0B8CD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125D4A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5C541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12405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F3AD82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82C00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0ED74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265210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CB19EE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252AD49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19</w:t>
            </w:r>
          </w:p>
        </w:tc>
      </w:tr>
      <w:tr w14:paraId="67045E7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1830680B">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4141C61">
            <w:pPr>
              <w:pStyle w:val="27"/>
              <w:widowControl/>
              <w:spacing w:line="240" w:lineRule="auto"/>
              <w:jc w:val="center"/>
              <w:rPr>
                <w:rFonts w:hint="default" w:ascii="Times New Roman" w:hAnsi="Times New Roman"/>
                <w:sz w:val="21"/>
                <w:szCs w:val="21"/>
              </w:rPr>
            </w:pPr>
            <w:r>
              <w:rPr>
                <w:rFonts w:ascii="Times New Roman" w:hAnsi="Times New Roman"/>
                <w:sz w:val="21"/>
                <w:szCs w:val="21"/>
              </w:rPr>
              <w:t>节假日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291796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1EC095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2E1D2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F221C6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AA81F6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C90AD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B250F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0DA0D8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8457AB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81785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DF1EAB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34</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14C5100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37</w:t>
            </w:r>
          </w:p>
        </w:tc>
      </w:tr>
      <w:tr w14:paraId="6A87A8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restart"/>
            <w:tcBorders>
              <w:top w:val="single" w:color="auto" w:sz="4" w:space="0"/>
              <w:left w:val="single" w:color="000000" w:sz="12" w:space="0"/>
              <w:bottom w:val="single" w:color="auto" w:sz="4" w:space="0"/>
              <w:right w:val="single" w:color="auto" w:sz="4" w:space="0"/>
            </w:tcBorders>
            <w:shd w:val="clear" w:color="auto" w:fill="auto"/>
            <w:noWrap/>
            <w:vAlign w:val="center"/>
          </w:tcPr>
          <w:p w14:paraId="2DA9D6F9">
            <w:pPr>
              <w:pStyle w:val="27"/>
              <w:widowControl/>
              <w:spacing w:line="240" w:lineRule="auto"/>
              <w:jc w:val="center"/>
              <w:rPr>
                <w:rFonts w:hint="default" w:ascii="Times New Roman" w:hAnsi="Times New Roman"/>
                <w:sz w:val="21"/>
                <w:szCs w:val="21"/>
              </w:rPr>
            </w:pPr>
            <w:r>
              <w:rPr>
                <w:rFonts w:ascii="Times New Roman" w:hAnsi="Times New Roman"/>
                <w:sz w:val="21"/>
                <w:szCs w:val="21"/>
              </w:rPr>
              <w:t>卧室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A8E812">
            <w:pPr>
              <w:pStyle w:val="27"/>
              <w:widowControl/>
              <w:spacing w:line="240" w:lineRule="auto"/>
              <w:jc w:val="center"/>
              <w:rPr>
                <w:rFonts w:hint="default" w:ascii="Times New Roman" w:hAnsi="Times New Roman"/>
                <w:sz w:val="21"/>
                <w:szCs w:val="21"/>
              </w:rPr>
            </w:pPr>
            <w:r>
              <w:rPr>
                <w:rFonts w:ascii="Times New Roman" w:hAnsi="Times New Roman"/>
                <w:sz w:val="21"/>
                <w:szCs w:val="21"/>
              </w:rPr>
              <w:t>工作日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5DBDDA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ED3CED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B4347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24E02B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CAEA8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93A11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E97F91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3B223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29BBF5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084B0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532AD3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15</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642B41C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r>
      <w:tr w14:paraId="3D6B5E2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71476B2A">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E7260A">
            <w:pPr>
              <w:pStyle w:val="27"/>
              <w:widowControl/>
              <w:spacing w:line="240" w:lineRule="auto"/>
              <w:jc w:val="center"/>
              <w:rPr>
                <w:rFonts w:hint="default" w:ascii="Times New Roman" w:hAnsi="Times New Roman"/>
                <w:sz w:val="21"/>
                <w:szCs w:val="21"/>
              </w:rPr>
            </w:pPr>
            <w:r>
              <w:rPr>
                <w:rFonts w:ascii="Times New Roman" w:hAnsi="Times New Roman"/>
                <w:sz w:val="21"/>
                <w:szCs w:val="21"/>
              </w:rPr>
              <w:t>节假日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DAB2A2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7D99F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88C3F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CD1D04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82F80C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16BC4A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6438A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DD129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D1E003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2FC33E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05EDAD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15</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71FE220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r>
      <w:tr w14:paraId="2B2A331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tcBorders>
              <w:top w:val="single" w:color="auto" w:sz="4" w:space="0"/>
              <w:left w:val="single" w:color="000000" w:sz="12" w:space="0"/>
              <w:bottom w:val="single" w:color="auto" w:sz="4" w:space="0"/>
              <w:right w:val="single" w:color="auto" w:sz="4" w:space="0"/>
            </w:tcBorders>
            <w:shd w:val="clear" w:color="auto" w:fill="auto"/>
            <w:noWrap/>
            <w:vAlign w:val="center"/>
          </w:tcPr>
          <w:p w14:paraId="5B08A7B5">
            <w:pPr>
              <w:pStyle w:val="27"/>
              <w:widowControl/>
              <w:spacing w:line="240" w:lineRule="auto"/>
              <w:jc w:val="center"/>
              <w:rPr>
                <w:rFonts w:hint="default" w:ascii="Times New Roman" w:hAnsi="Times New Roman"/>
                <w:sz w:val="21"/>
                <w:szCs w:val="21"/>
              </w:rPr>
            </w:pPr>
            <w:r>
              <w:rPr>
                <w:rFonts w:ascii="Times New Roman" w:hAnsi="Times New Roman"/>
                <w:sz w:val="21"/>
                <w:szCs w:val="21"/>
              </w:rPr>
              <w:t>厨房</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616AFE7">
            <w:pPr>
              <w:pStyle w:val="27"/>
              <w:widowControl/>
              <w:spacing w:line="240" w:lineRule="auto"/>
              <w:jc w:val="center"/>
              <w:rPr>
                <w:rFonts w:hint="default" w:ascii="Times New Roman" w:hAnsi="Times New Roman"/>
                <w:sz w:val="21"/>
                <w:szCs w:val="21"/>
              </w:rPr>
            </w:pPr>
            <w:r>
              <w:rPr>
                <w:rFonts w:ascii="Times New Roman" w:hAnsi="Times New Roman"/>
                <w:sz w:val="21"/>
                <w:szCs w:val="21"/>
              </w:rPr>
              <w:t>全年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67395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1075C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83610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B2F496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01FBCC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C9AC9C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7.3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93BD82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7E0E20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94C22C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9.1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DEE5E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270FA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10.1</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078F9A9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40.5</w:t>
            </w:r>
          </w:p>
        </w:tc>
      </w:tr>
      <w:tr w14:paraId="0848F49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tcBorders>
              <w:top w:val="single" w:color="auto" w:sz="4" w:space="0"/>
              <w:left w:val="single" w:color="000000" w:sz="12" w:space="0"/>
              <w:bottom w:val="single" w:color="auto" w:sz="4" w:space="0"/>
              <w:right w:val="single" w:color="auto" w:sz="4" w:space="0"/>
            </w:tcBorders>
            <w:shd w:val="clear" w:color="auto" w:fill="auto"/>
            <w:noWrap/>
            <w:vAlign w:val="center"/>
          </w:tcPr>
          <w:p w14:paraId="0CF63DCA">
            <w:pPr>
              <w:pStyle w:val="27"/>
              <w:widowControl/>
              <w:spacing w:line="240" w:lineRule="auto"/>
              <w:jc w:val="center"/>
              <w:rPr>
                <w:rFonts w:hint="default" w:ascii="Times New Roman" w:hAnsi="Times New Roman"/>
                <w:sz w:val="21"/>
                <w:szCs w:val="21"/>
              </w:rPr>
            </w:pPr>
            <w:r>
              <w:rPr>
                <w:rFonts w:ascii="Times New Roman" w:hAnsi="Times New Roman"/>
                <w:sz w:val="21"/>
                <w:szCs w:val="21"/>
              </w:rPr>
              <w:t>书房</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DAD38B6">
            <w:pPr>
              <w:pStyle w:val="27"/>
              <w:widowControl/>
              <w:spacing w:line="240" w:lineRule="auto"/>
              <w:jc w:val="center"/>
              <w:rPr>
                <w:rFonts w:hint="default" w:ascii="Times New Roman" w:hAnsi="Times New Roman"/>
                <w:sz w:val="21"/>
                <w:szCs w:val="21"/>
              </w:rPr>
            </w:pPr>
            <w:r>
              <w:rPr>
                <w:rFonts w:ascii="Times New Roman" w:hAnsi="Times New Roman"/>
                <w:sz w:val="21"/>
                <w:szCs w:val="21"/>
              </w:rPr>
              <w:t>全年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657F2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5CBB74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34252B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26D0ED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CDF942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4305E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46BDE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AEEE20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9616A4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937E45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03EB0D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7012475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11</w:t>
            </w:r>
          </w:p>
        </w:tc>
      </w:tr>
      <w:tr w14:paraId="3472769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gridSpan w:val="2"/>
            <w:vMerge w:val="restart"/>
            <w:tcBorders>
              <w:top w:val="single" w:color="auto" w:sz="4" w:space="0"/>
              <w:left w:val="single" w:color="000000" w:sz="12" w:space="0"/>
              <w:bottom w:val="single" w:color="auto" w:sz="4" w:space="0"/>
              <w:right w:val="single" w:color="auto" w:sz="4" w:space="0"/>
            </w:tcBorders>
            <w:shd w:val="clear" w:color="auto" w:fill="auto"/>
            <w:noWrap/>
            <w:vAlign w:val="center"/>
          </w:tcPr>
          <w:p w14:paraId="71DCCA21">
            <w:pPr>
              <w:pStyle w:val="27"/>
              <w:widowControl/>
              <w:spacing w:line="240" w:lineRule="auto"/>
              <w:jc w:val="center"/>
              <w:rPr>
                <w:rFonts w:hint="default" w:ascii="Times New Roman" w:hAnsi="Times New Roman"/>
                <w:sz w:val="21"/>
                <w:szCs w:val="21"/>
              </w:rPr>
            </w:pPr>
            <w:r>
              <w:rPr>
                <w:rFonts w:ascii="Times New Roman" w:hAnsi="Times New Roman"/>
                <w:sz w:val="21"/>
                <w:szCs w:val="21"/>
              </w:rPr>
              <w:t>房间类别</w:t>
            </w:r>
          </w:p>
        </w:tc>
        <w:tc>
          <w:tcPr>
            <w:tcW w:w="0" w:type="auto"/>
            <w:gridSpan w:val="12"/>
            <w:tcBorders>
              <w:top w:val="single" w:color="auto" w:sz="4" w:space="0"/>
              <w:left w:val="single" w:color="auto" w:sz="4" w:space="0"/>
              <w:bottom w:val="single" w:color="auto" w:sz="4" w:space="0"/>
              <w:right w:val="single" w:color="000000" w:sz="12" w:space="0"/>
            </w:tcBorders>
            <w:shd w:val="clear" w:color="auto" w:fill="auto"/>
            <w:noWrap/>
            <w:vAlign w:val="center"/>
          </w:tcPr>
          <w:p w14:paraId="3E433C70">
            <w:pPr>
              <w:pStyle w:val="27"/>
              <w:widowControl/>
              <w:spacing w:line="240" w:lineRule="auto"/>
              <w:jc w:val="center"/>
              <w:rPr>
                <w:rFonts w:hint="default" w:ascii="Times New Roman" w:hAnsi="Times New Roman"/>
                <w:sz w:val="21"/>
                <w:szCs w:val="21"/>
              </w:rPr>
            </w:pPr>
            <w:r>
              <w:rPr>
                <w:rFonts w:ascii="Times New Roman" w:hAnsi="Times New Roman"/>
                <w:sz w:val="21"/>
                <w:szCs w:val="21"/>
              </w:rPr>
              <w:t>时间（</w:t>
            </w:r>
            <w:r>
              <w:rPr>
                <w:rFonts w:hint="default" w:ascii="Times New Roman" w:hAnsi="Times New Roman"/>
                <w:sz w:val="21"/>
                <w:szCs w:val="21"/>
              </w:rPr>
              <w:t>%</w:t>
            </w:r>
            <w:r>
              <w:rPr>
                <w:rFonts w:ascii="Times New Roman" w:hAnsi="Times New Roman"/>
                <w:sz w:val="21"/>
                <w:szCs w:val="21"/>
              </w:rPr>
              <w:t>）</w:t>
            </w:r>
          </w:p>
        </w:tc>
      </w:tr>
      <w:tr w14:paraId="0B38D03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gridSpan w:val="2"/>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263D74C0">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B4AC1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439B22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73B7C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5DA5E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1B1941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8BDB2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64217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65B7F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94E51D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CA7B02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1CACD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4F1F9F8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24</w:t>
            </w:r>
          </w:p>
        </w:tc>
      </w:tr>
      <w:tr w14:paraId="7F78B52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restart"/>
            <w:tcBorders>
              <w:top w:val="single" w:color="auto" w:sz="4" w:space="0"/>
              <w:left w:val="single" w:color="000000" w:sz="12" w:space="0"/>
              <w:bottom w:val="single" w:color="auto" w:sz="4" w:space="0"/>
              <w:right w:val="single" w:color="auto" w:sz="4" w:space="0"/>
            </w:tcBorders>
            <w:shd w:val="clear" w:color="auto" w:fill="auto"/>
            <w:noWrap/>
            <w:vAlign w:val="center"/>
          </w:tcPr>
          <w:p w14:paraId="1D97DE31">
            <w:pPr>
              <w:pStyle w:val="27"/>
              <w:widowControl/>
              <w:spacing w:line="240" w:lineRule="auto"/>
              <w:jc w:val="center"/>
              <w:rPr>
                <w:rFonts w:hint="default" w:ascii="Times New Roman" w:hAnsi="Times New Roman"/>
                <w:sz w:val="21"/>
                <w:szCs w:val="21"/>
              </w:rPr>
            </w:pPr>
            <w:r>
              <w:rPr>
                <w:rFonts w:ascii="Times New Roman" w:hAnsi="Times New Roman"/>
                <w:sz w:val="21"/>
                <w:szCs w:val="21"/>
              </w:rPr>
              <w:t>起居室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33B0FA">
            <w:pPr>
              <w:pStyle w:val="27"/>
              <w:widowControl/>
              <w:spacing w:line="240" w:lineRule="auto"/>
              <w:jc w:val="center"/>
              <w:rPr>
                <w:rFonts w:hint="default" w:ascii="Times New Roman" w:hAnsi="Times New Roman"/>
                <w:sz w:val="21"/>
                <w:szCs w:val="21"/>
              </w:rPr>
            </w:pPr>
            <w:r>
              <w:rPr>
                <w:rFonts w:ascii="Times New Roman" w:hAnsi="Times New Roman"/>
                <w:sz w:val="21"/>
                <w:szCs w:val="21"/>
              </w:rPr>
              <w:t>工作日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81942F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C2B810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C02E92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6B83D3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5102C1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879078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623ED8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B5C92E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97BDA7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F7801E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9EF025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21</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6139BF9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15</w:t>
            </w:r>
          </w:p>
        </w:tc>
      </w:tr>
      <w:tr w14:paraId="39E8CF1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54CBD365">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A79A555">
            <w:pPr>
              <w:pStyle w:val="27"/>
              <w:widowControl/>
              <w:spacing w:line="240" w:lineRule="auto"/>
              <w:jc w:val="center"/>
              <w:rPr>
                <w:rFonts w:hint="default" w:ascii="Times New Roman" w:hAnsi="Times New Roman"/>
                <w:sz w:val="21"/>
                <w:szCs w:val="21"/>
              </w:rPr>
            </w:pPr>
            <w:r>
              <w:rPr>
                <w:rFonts w:ascii="Times New Roman" w:hAnsi="Times New Roman"/>
                <w:sz w:val="21"/>
                <w:szCs w:val="21"/>
              </w:rPr>
              <w:t>节假日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7C866F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E23480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A8F322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282B99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167FA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62C843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D9C5C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185C7F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55836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F9E1DF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FF084F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392ACC3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r>
      <w:tr w14:paraId="078BDAD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restart"/>
            <w:tcBorders>
              <w:top w:val="single" w:color="auto" w:sz="4" w:space="0"/>
              <w:left w:val="single" w:color="000000" w:sz="12" w:space="0"/>
              <w:bottom w:val="single" w:color="auto" w:sz="4" w:space="0"/>
              <w:right w:val="single" w:color="auto" w:sz="4" w:space="0"/>
            </w:tcBorders>
            <w:shd w:val="clear" w:color="auto" w:fill="auto"/>
            <w:noWrap/>
            <w:vAlign w:val="center"/>
          </w:tcPr>
          <w:p w14:paraId="335E7EC7">
            <w:pPr>
              <w:pStyle w:val="27"/>
              <w:widowControl/>
              <w:spacing w:line="240" w:lineRule="auto"/>
              <w:jc w:val="center"/>
              <w:rPr>
                <w:rFonts w:hint="default" w:ascii="Times New Roman" w:hAnsi="Times New Roman"/>
                <w:sz w:val="21"/>
                <w:szCs w:val="21"/>
              </w:rPr>
            </w:pPr>
            <w:r>
              <w:rPr>
                <w:rFonts w:ascii="Times New Roman" w:hAnsi="Times New Roman"/>
                <w:sz w:val="21"/>
                <w:szCs w:val="21"/>
              </w:rPr>
              <w:t>卧室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B3259B4">
            <w:pPr>
              <w:pStyle w:val="27"/>
              <w:widowControl/>
              <w:spacing w:line="240" w:lineRule="auto"/>
              <w:jc w:val="center"/>
              <w:rPr>
                <w:rFonts w:hint="default" w:ascii="Times New Roman" w:hAnsi="Times New Roman"/>
                <w:sz w:val="21"/>
                <w:szCs w:val="21"/>
              </w:rPr>
            </w:pPr>
            <w:r>
              <w:rPr>
                <w:rFonts w:ascii="Times New Roman" w:hAnsi="Times New Roman"/>
                <w:sz w:val="21"/>
                <w:szCs w:val="21"/>
              </w:rPr>
              <w:t>工作日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5A83E2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2666B3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E2BE42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DCE82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9C379F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B2B938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1C6CFB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1AC7F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76229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19451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47B314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52</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751D7E8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57</w:t>
            </w:r>
          </w:p>
        </w:tc>
      </w:tr>
      <w:tr w14:paraId="6DF9E8C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1B56020E">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D99982B">
            <w:pPr>
              <w:pStyle w:val="27"/>
              <w:widowControl/>
              <w:spacing w:line="240" w:lineRule="auto"/>
              <w:jc w:val="center"/>
              <w:rPr>
                <w:rFonts w:hint="default" w:ascii="Times New Roman" w:hAnsi="Times New Roman"/>
                <w:sz w:val="21"/>
                <w:szCs w:val="21"/>
              </w:rPr>
            </w:pPr>
            <w:r>
              <w:rPr>
                <w:rFonts w:ascii="Times New Roman" w:hAnsi="Times New Roman"/>
                <w:sz w:val="21"/>
                <w:szCs w:val="21"/>
              </w:rPr>
              <w:t>节假日</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6F959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BCAB83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B0AFC0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F74CDF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F0EB37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08506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40217E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5AC1A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C3A58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B28DB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7F3F64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46</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653CF11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52</w:t>
            </w:r>
          </w:p>
        </w:tc>
      </w:tr>
      <w:tr w14:paraId="69B32F9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tcBorders>
              <w:top w:val="single" w:color="auto" w:sz="4" w:space="0"/>
              <w:left w:val="single" w:color="000000" w:sz="12" w:space="0"/>
              <w:bottom w:val="single" w:color="auto" w:sz="4" w:space="0"/>
              <w:right w:val="single" w:color="auto" w:sz="4" w:space="0"/>
            </w:tcBorders>
            <w:shd w:val="clear" w:color="auto" w:fill="auto"/>
            <w:noWrap/>
            <w:vAlign w:val="center"/>
          </w:tcPr>
          <w:p w14:paraId="276409F0">
            <w:pPr>
              <w:pStyle w:val="27"/>
              <w:widowControl/>
              <w:spacing w:line="240" w:lineRule="auto"/>
              <w:jc w:val="center"/>
              <w:rPr>
                <w:rFonts w:hint="default" w:ascii="Times New Roman" w:hAnsi="Times New Roman"/>
                <w:sz w:val="21"/>
                <w:szCs w:val="21"/>
              </w:rPr>
            </w:pPr>
            <w:r>
              <w:rPr>
                <w:rFonts w:ascii="Times New Roman" w:hAnsi="Times New Roman"/>
                <w:sz w:val="21"/>
                <w:szCs w:val="21"/>
              </w:rPr>
              <w:t>厨房</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DE088A">
            <w:pPr>
              <w:pStyle w:val="27"/>
              <w:widowControl/>
              <w:spacing w:line="240" w:lineRule="auto"/>
              <w:jc w:val="center"/>
              <w:rPr>
                <w:rFonts w:hint="default" w:ascii="Times New Roman" w:hAnsi="Times New Roman"/>
                <w:sz w:val="21"/>
                <w:szCs w:val="21"/>
              </w:rPr>
            </w:pPr>
            <w:r>
              <w:rPr>
                <w:rFonts w:ascii="Times New Roman" w:hAnsi="Times New Roman"/>
                <w:sz w:val="21"/>
                <w:szCs w:val="21"/>
              </w:rPr>
              <w:t>全年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7FA737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18.7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2D8F0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D5BD3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6C9ACF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FE725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20.7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974C32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7.8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6E8ED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74.3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69F33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18.8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EA4788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6B0639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7E9EA5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0.5</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23CF7B2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0.4</w:t>
            </w:r>
          </w:p>
        </w:tc>
      </w:tr>
      <w:tr w14:paraId="38CEC7F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0" w:type="auto"/>
            <w:tcBorders>
              <w:top w:val="single" w:color="auto" w:sz="4" w:space="0"/>
              <w:left w:val="single" w:color="000000" w:sz="12" w:space="0"/>
              <w:bottom w:val="single" w:color="000000" w:sz="12" w:space="0"/>
              <w:right w:val="single" w:color="auto" w:sz="4" w:space="0"/>
            </w:tcBorders>
            <w:shd w:val="clear" w:color="auto" w:fill="auto"/>
            <w:noWrap/>
            <w:vAlign w:val="center"/>
          </w:tcPr>
          <w:p w14:paraId="1A35EA89">
            <w:pPr>
              <w:pStyle w:val="27"/>
              <w:widowControl/>
              <w:spacing w:line="240" w:lineRule="auto"/>
              <w:jc w:val="center"/>
              <w:rPr>
                <w:rFonts w:hint="default" w:ascii="Times New Roman" w:hAnsi="Times New Roman"/>
                <w:sz w:val="21"/>
                <w:szCs w:val="21"/>
              </w:rPr>
            </w:pPr>
            <w:r>
              <w:rPr>
                <w:rFonts w:ascii="Times New Roman" w:hAnsi="Times New Roman"/>
                <w:sz w:val="21"/>
                <w:szCs w:val="21"/>
              </w:rPr>
              <w:t>书房</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2173371A">
            <w:pPr>
              <w:pStyle w:val="27"/>
              <w:widowControl/>
              <w:spacing w:line="240" w:lineRule="auto"/>
              <w:jc w:val="center"/>
              <w:rPr>
                <w:rFonts w:hint="default" w:ascii="Times New Roman" w:hAnsi="Times New Roman"/>
                <w:sz w:val="21"/>
                <w:szCs w:val="21"/>
              </w:rPr>
            </w:pPr>
            <w:r>
              <w:rPr>
                <w:rFonts w:ascii="Times New Roman" w:hAnsi="Times New Roman"/>
                <w:sz w:val="21"/>
                <w:szCs w:val="21"/>
              </w:rPr>
              <w:t>全年</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5C15B62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12</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47FA3B4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65C1F53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5CE8ABD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65167E0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24</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2AECA6B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21</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53C540E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45</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5156D59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48</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0B4E257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4FFFB42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1FAFDE7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12</w:t>
            </w:r>
          </w:p>
        </w:tc>
        <w:tc>
          <w:tcPr>
            <w:tcW w:w="0" w:type="auto"/>
            <w:tcBorders>
              <w:top w:val="single" w:color="auto" w:sz="4" w:space="0"/>
              <w:left w:val="single" w:color="auto" w:sz="4" w:space="0"/>
              <w:bottom w:val="single" w:color="000000" w:sz="12" w:space="0"/>
              <w:right w:val="single" w:color="000000" w:sz="12" w:space="0"/>
            </w:tcBorders>
            <w:shd w:val="clear" w:color="auto" w:fill="auto"/>
            <w:noWrap/>
            <w:vAlign w:val="center"/>
          </w:tcPr>
          <w:p w14:paraId="38F5627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9</w:t>
            </w:r>
          </w:p>
        </w:tc>
      </w:tr>
    </w:tbl>
    <w:p w14:paraId="6FDA4809">
      <w:pPr>
        <w:pStyle w:val="27"/>
        <w:widowControl/>
        <w:spacing w:before="156" w:beforeLines="50" w:after="156" w:afterLines="50"/>
        <w:jc w:val="center"/>
        <w:rPr>
          <w:rFonts w:hint="default" w:ascii="Times New Roman" w:hAnsi="Times New Roman"/>
          <w:b/>
          <w:bCs/>
          <w:sz w:val="21"/>
          <w:szCs w:val="21"/>
        </w:rPr>
      </w:pPr>
    </w:p>
    <w:p w14:paraId="240A8465">
      <w:pPr>
        <w:pStyle w:val="27"/>
        <w:widowControl/>
        <w:spacing w:before="156" w:beforeLines="50"/>
        <w:jc w:val="center"/>
        <w:rPr>
          <w:rFonts w:hint="default" w:ascii="Times New Roman" w:hAnsi="Times New Roman"/>
          <w:b/>
          <w:bCs/>
          <w:sz w:val="21"/>
          <w:szCs w:val="21"/>
        </w:rPr>
      </w:pPr>
      <w:r>
        <w:rPr>
          <w:rFonts w:ascii="Times New Roman" w:hAnsi="Times New Roman"/>
          <w:b/>
          <w:bCs/>
          <w:sz w:val="21"/>
          <w:szCs w:val="21"/>
        </w:rPr>
        <w:t>表</w:t>
      </w:r>
      <w:r>
        <w:rPr>
          <w:rFonts w:hint="default" w:ascii="Times New Roman" w:hAnsi="Times New Roman"/>
          <w:b/>
          <w:bCs/>
          <w:sz w:val="21"/>
          <w:szCs w:val="21"/>
        </w:rPr>
        <w:t xml:space="preserve">7.2.2-5 </w:t>
      </w:r>
      <w:r>
        <w:rPr>
          <w:rFonts w:ascii="Times New Roman" w:hAnsi="Times New Roman"/>
          <w:b/>
          <w:bCs/>
          <w:sz w:val="21"/>
          <w:szCs w:val="21"/>
        </w:rPr>
        <w:t>照明使用时间</w:t>
      </w:r>
    </w:p>
    <w:tbl>
      <w:tblPr>
        <w:tblStyle w:val="14"/>
        <w:tblW w:w="8504"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545"/>
        <w:gridCol w:w="561"/>
        <w:gridCol w:w="561"/>
        <w:gridCol w:w="561"/>
        <w:gridCol w:w="561"/>
        <w:gridCol w:w="561"/>
        <w:gridCol w:w="561"/>
        <w:gridCol w:w="670"/>
        <w:gridCol w:w="670"/>
        <w:gridCol w:w="670"/>
        <w:gridCol w:w="670"/>
        <w:gridCol w:w="670"/>
        <w:gridCol w:w="670"/>
      </w:tblGrid>
      <w:tr w14:paraId="7F7056A6">
        <w:trPr>
          <w:trHeight w:val="363" w:hRule="atLeast"/>
          <w:jc w:val="center"/>
        </w:trPr>
        <w:tc>
          <w:tcPr>
            <w:tcW w:w="2160" w:type="dxa"/>
            <w:gridSpan w:val="2"/>
            <w:vMerge w:val="restart"/>
            <w:tcBorders>
              <w:top w:val="single" w:color="000000" w:sz="12" w:space="0"/>
              <w:left w:val="single" w:color="000000" w:sz="12" w:space="0"/>
              <w:bottom w:val="single" w:color="auto" w:sz="4" w:space="0"/>
              <w:right w:val="single" w:color="auto" w:sz="4" w:space="0"/>
            </w:tcBorders>
            <w:shd w:val="clear" w:color="auto" w:fill="auto"/>
            <w:noWrap/>
            <w:vAlign w:val="center"/>
          </w:tcPr>
          <w:p w14:paraId="4285EBBC">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房间类别</w:t>
            </w:r>
          </w:p>
        </w:tc>
        <w:tc>
          <w:tcPr>
            <w:tcW w:w="12960" w:type="dxa"/>
            <w:gridSpan w:val="12"/>
            <w:tcBorders>
              <w:top w:val="single" w:color="000000" w:sz="12" w:space="0"/>
              <w:left w:val="single" w:color="auto" w:sz="4" w:space="0"/>
              <w:bottom w:val="single" w:color="auto" w:sz="4" w:space="0"/>
              <w:right w:val="single" w:color="000000" w:sz="12" w:space="0"/>
            </w:tcBorders>
            <w:shd w:val="clear" w:color="auto" w:fill="auto"/>
            <w:noWrap/>
            <w:vAlign w:val="center"/>
          </w:tcPr>
          <w:p w14:paraId="26B16B5B">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时间（</w:t>
            </w:r>
            <w:r>
              <w:rPr>
                <w:rFonts w:ascii="Times New Roman" w:hAnsi="Times New Roman" w:eastAsia="宋体" w:cs="Times New Roman"/>
                <w:color w:val="000000"/>
                <w:kern w:val="0"/>
                <w:szCs w:val="21"/>
                <w:lang w:bidi="ar"/>
              </w:rPr>
              <w:t>%</w:t>
            </w:r>
            <w:r>
              <w:rPr>
                <w:rFonts w:hint="eastAsia" w:ascii="Times New Roman" w:hAnsi="Times New Roman" w:eastAsia="宋体" w:cs="宋体"/>
                <w:color w:val="000000"/>
                <w:kern w:val="0"/>
                <w:szCs w:val="21"/>
                <w:lang w:bidi="ar"/>
              </w:rPr>
              <w:t>）</w:t>
            </w:r>
          </w:p>
        </w:tc>
      </w:tr>
      <w:tr w14:paraId="05E58F6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60" w:type="dxa"/>
            <w:gridSpan w:val="2"/>
            <w:vMerge w:val="continue"/>
            <w:tcBorders>
              <w:top w:val="single" w:color="000000" w:sz="12" w:space="0"/>
              <w:left w:val="single" w:color="000000" w:sz="12" w:space="0"/>
              <w:bottom w:val="single" w:color="auto" w:sz="4" w:space="0"/>
              <w:right w:val="single" w:color="auto" w:sz="4" w:space="0"/>
            </w:tcBorders>
            <w:shd w:val="clear" w:color="auto" w:fill="auto"/>
            <w:noWrap/>
            <w:vAlign w:val="center"/>
          </w:tcPr>
          <w:p w14:paraId="13B92148">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03E8E1D">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DEC8E6">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FCDFBA5">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C3BA57B">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74856E5">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3A68BB">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D0AA19">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1A4497">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C647F3">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C2E8C0">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B6805C9">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11</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20B2C969">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12</w:t>
            </w:r>
          </w:p>
        </w:tc>
      </w:tr>
      <w:tr w14:paraId="761B701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tcBorders>
              <w:top w:val="single" w:color="auto" w:sz="4" w:space="0"/>
              <w:left w:val="single" w:color="000000" w:sz="12" w:space="0"/>
              <w:bottom w:val="single" w:color="auto" w:sz="4" w:space="0"/>
              <w:right w:val="single" w:color="auto" w:sz="4" w:space="0"/>
            </w:tcBorders>
            <w:shd w:val="clear" w:color="auto" w:fill="auto"/>
            <w:noWrap/>
            <w:vAlign w:val="center"/>
          </w:tcPr>
          <w:p w14:paraId="52B9FB43">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起居室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E92BAE">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全年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33D9317">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40D43D">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E1AFDCD">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C8792EB">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1BF526">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9879FE">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B8CA7D2">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E0ECCA7">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CDE056">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D240986">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A8E420E">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4E88EDE6">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r>
      <w:tr w14:paraId="3398149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tcBorders>
              <w:top w:val="single" w:color="auto" w:sz="4" w:space="0"/>
              <w:left w:val="single" w:color="000000" w:sz="12" w:space="0"/>
              <w:bottom w:val="single" w:color="auto" w:sz="4" w:space="0"/>
              <w:right w:val="single" w:color="auto" w:sz="4" w:space="0"/>
            </w:tcBorders>
            <w:shd w:val="clear" w:color="auto" w:fill="auto"/>
            <w:noWrap/>
            <w:vAlign w:val="center"/>
          </w:tcPr>
          <w:p w14:paraId="15A7EC8A">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卧室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2A1703">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全年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7C1C6B9">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F191FA">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7A1DE1">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D91675">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73F588D">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34EF17">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C52557">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F36483B">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07DE02A">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80D9835">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C94E0ED">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6685BC5C">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r>
      <w:tr w14:paraId="4DBE44F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gridSpan w:val="2"/>
            <w:vMerge w:val="restart"/>
            <w:tcBorders>
              <w:top w:val="single" w:color="auto" w:sz="4" w:space="0"/>
              <w:left w:val="single" w:color="000000" w:sz="12" w:space="0"/>
              <w:bottom w:val="single" w:color="auto" w:sz="4" w:space="0"/>
              <w:right w:val="single" w:color="auto" w:sz="4" w:space="0"/>
            </w:tcBorders>
            <w:shd w:val="clear" w:color="auto" w:fill="auto"/>
            <w:noWrap/>
            <w:vAlign w:val="center"/>
          </w:tcPr>
          <w:p w14:paraId="6C5A2E9B">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房间类别</w:t>
            </w:r>
          </w:p>
        </w:tc>
        <w:tc>
          <w:tcPr>
            <w:tcW w:w="0" w:type="auto"/>
            <w:gridSpan w:val="12"/>
            <w:tcBorders>
              <w:top w:val="single" w:color="auto" w:sz="4" w:space="0"/>
              <w:left w:val="single" w:color="auto" w:sz="4" w:space="0"/>
              <w:bottom w:val="single" w:color="auto" w:sz="4" w:space="0"/>
              <w:right w:val="single" w:color="000000" w:sz="12" w:space="0"/>
            </w:tcBorders>
            <w:shd w:val="clear" w:color="auto" w:fill="auto"/>
            <w:noWrap/>
            <w:vAlign w:val="center"/>
          </w:tcPr>
          <w:p w14:paraId="5ABADD07">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时间（</w:t>
            </w:r>
            <w:r>
              <w:rPr>
                <w:rFonts w:ascii="Times New Roman" w:hAnsi="Times New Roman" w:eastAsia="宋体" w:cs="Times New Roman"/>
                <w:color w:val="000000"/>
                <w:kern w:val="0"/>
                <w:szCs w:val="21"/>
                <w:lang w:bidi="ar"/>
              </w:rPr>
              <w:t>%</w:t>
            </w:r>
            <w:r>
              <w:rPr>
                <w:rFonts w:hint="eastAsia" w:ascii="Times New Roman" w:hAnsi="Times New Roman" w:eastAsia="宋体" w:cs="宋体"/>
                <w:color w:val="000000"/>
                <w:kern w:val="0"/>
                <w:szCs w:val="21"/>
                <w:lang w:bidi="ar"/>
              </w:rPr>
              <w:t>）</w:t>
            </w:r>
          </w:p>
        </w:tc>
      </w:tr>
      <w:tr w14:paraId="420F342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gridSpan w:val="2"/>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17686F08">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C783B55">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B88F2E9">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DBB5FA">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AE10FCA">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727754C">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FCBD84D">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A35C6D6">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19B072">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20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92E1CE">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ED4DE3">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D1E431">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23</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662C06D6">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24</w:t>
            </w:r>
          </w:p>
        </w:tc>
      </w:tr>
      <w:tr w14:paraId="54A704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tcBorders>
              <w:top w:val="single" w:color="auto" w:sz="4" w:space="0"/>
              <w:left w:val="single" w:color="000000" w:sz="12" w:space="0"/>
              <w:bottom w:val="single" w:color="auto" w:sz="4" w:space="0"/>
              <w:right w:val="single" w:color="auto" w:sz="4" w:space="0"/>
            </w:tcBorders>
            <w:shd w:val="clear" w:color="auto" w:fill="auto"/>
            <w:noWrap/>
            <w:vAlign w:val="center"/>
          </w:tcPr>
          <w:p w14:paraId="5C51ACE3">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起居室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627B0C">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全年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1175B7F">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81DCC56">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34D7BC">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450EA2">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C4F0D55">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FBF3D5C">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A1D734">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C9A534">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7D3A863">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DEFB866">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0822A78">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100</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4CA442E4">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50</w:t>
            </w:r>
          </w:p>
        </w:tc>
      </w:tr>
      <w:tr w14:paraId="2362F91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0" w:type="auto"/>
            <w:tcBorders>
              <w:top w:val="single" w:color="auto" w:sz="4" w:space="0"/>
              <w:left w:val="single" w:color="000000" w:sz="12" w:space="0"/>
              <w:bottom w:val="single" w:color="000000" w:sz="12" w:space="0"/>
              <w:right w:val="single" w:color="auto" w:sz="4" w:space="0"/>
            </w:tcBorders>
            <w:shd w:val="clear" w:color="auto" w:fill="auto"/>
            <w:noWrap/>
            <w:vAlign w:val="center"/>
          </w:tcPr>
          <w:p w14:paraId="2653AE7C">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卧室</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73598843">
            <w:pPr>
              <w:widowControl/>
              <w:jc w:val="center"/>
              <w:textAlignment w:val="center"/>
              <w:rPr>
                <w:rFonts w:ascii="Times New Roman" w:hAnsi="Times New Roman" w:cs="Times New Roman"/>
                <w:color w:val="000000"/>
                <w:szCs w:val="21"/>
              </w:rPr>
            </w:pPr>
            <w:r>
              <w:rPr>
                <w:rFonts w:hint="eastAsia" w:ascii="Times New Roman" w:hAnsi="Times New Roman" w:eastAsia="宋体" w:cs="宋体"/>
                <w:color w:val="000000"/>
                <w:kern w:val="0"/>
                <w:szCs w:val="21"/>
                <w:lang w:bidi="ar"/>
              </w:rPr>
              <w:t>全年</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4CCD5B8A">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7D3D97DE">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3EF81E94">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4FB9E237">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292838A4">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0711AB32">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4BE158CE">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50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1F18C728">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50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149D07BA">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50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673E14E7">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100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53B4D3CF">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100</w:t>
            </w:r>
          </w:p>
        </w:tc>
        <w:tc>
          <w:tcPr>
            <w:tcW w:w="0" w:type="auto"/>
            <w:tcBorders>
              <w:top w:val="single" w:color="auto" w:sz="4" w:space="0"/>
              <w:left w:val="single" w:color="auto" w:sz="4" w:space="0"/>
              <w:bottom w:val="single" w:color="000000" w:sz="12" w:space="0"/>
              <w:right w:val="single" w:color="000000" w:sz="12" w:space="0"/>
            </w:tcBorders>
            <w:shd w:val="clear" w:color="auto" w:fill="auto"/>
            <w:noWrap/>
            <w:vAlign w:val="center"/>
          </w:tcPr>
          <w:p w14:paraId="5B2E89A2">
            <w:pPr>
              <w:widowControl/>
              <w:jc w:val="center"/>
              <w:textAlignment w:val="center"/>
              <w:rPr>
                <w:rFonts w:ascii="Times New Roman" w:hAnsi="Times New Roman" w:cs="Times New Roman"/>
                <w:color w:val="000000"/>
                <w:szCs w:val="21"/>
              </w:rPr>
            </w:pPr>
            <w:r>
              <w:rPr>
                <w:rFonts w:ascii="Times New Roman" w:hAnsi="Times New Roman" w:eastAsia="宋体" w:cs="Times New Roman"/>
                <w:color w:val="000000"/>
                <w:kern w:val="0"/>
                <w:szCs w:val="21"/>
                <w:lang w:bidi="ar"/>
              </w:rPr>
              <w:t>100</w:t>
            </w:r>
          </w:p>
        </w:tc>
      </w:tr>
    </w:tbl>
    <w:p w14:paraId="26FB077B">
      <w:pPr>
        <w:pStyle w:val="27"/>
        <w:widowControl/>
        <w:spacing w:before="156" w:beforeLines="50"/>
        <w:jc w:val="center"/>
        <w:rPr>
          <w:rFonts w:hint="default" w:ascii="Times New Roman" w:hAnsi="Times New Roman"/>
          <w:b/>
          <w:bCs/>
          <w:sz w:val="21"/>
          <w:szCs w:val="21"/>
        </w:rPr>
      </w:pPr>
      <w:r>
        <w:rPr>
          <w:rFonts w:ascii="Times New Roman" w:hAnsi="Times New Roman"/>
          <w:b/>
          <w:bCs/>
          <w:sz w:val="21"/>
          <w:szCs w:val="21"/>
        </w:rPr>
        <w:t>表</w:t>
      </w:r>
      <w:r>
        <w:rPr>
          <w:rFonts w:hint="default" w:ascii="Times New Roman" w:hAnsi="Times New Roman"/>
          <w:b/>
          <w:bCs/>
          <w:sz w:val="21"/>
          <w:szCs w:val="21"/>
        </w:rPr>
        <w:t xml:space="preserve">7.2.2-6 </w:t>
      </w:r>
      <w:r>
        <w:rPr>
          <w:rFonts w:ascii="Times New Roman" w:hAnsi="Times New Roman"/>
          <w:b/>
          <w:bCs/>
          <w:sz w:val="21"/>
          <w:szCs w:val="21"/>
        </w:rPr>
        <w:t>设备使用时间</w:t>
      </w:r>
    </w:p>
    <w:tbl>
      <w:tblPr>
        <w:tblStyle w:val="14"/>
        <w:tblW w:w="8504"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544"/>
        <w:gridCol w:w="568"/>
        <w:gridCol w:w="568"/>
        <w:gridCol w:w="569"/>
        <w:gridCol w:w="569"/>
        <w:gridCol w:w="569"/>
        <w:gridCol w:w="569"/>
        <w:gridCol w:w="569"/>
        <w:gridCol w:w="681"/>
        <w:gridCol w:w="681"/>
        <w:gridCol w:w="681"/>
        <w:gridCol w:w="681"/>
        <w:gridCol w:w="682"/>
      </w:tblGrid>
      <w:tr w14:paraId="29D5EFC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60" w:type="dxa"/>
            <w:gridSpan w:val="2"/>
            <w:vMerge w:val="restart"/>
            <w:tcBorders>
              <w:top w:val="single" w:color="000000" w:sz="12" w:space="0"/>
              <w:left w:val="single" w:color="000000" w:sz="12" w:space="0"/>
              <w:bottom w:val="single" w:color="auto" w:sz="4" w:space="0"/>
              <w:right w:val="single" w:color="auto" w:sz="4" w:space="0"/>
            </w:tcBorders>
            <w:shd w:val="clear" w:color="auto" w:fill="auto"/>
            <w:noWrap/>
            <w:vAlign w:val="center"/>
          </w:tcPr>
          <w:p w14:paraId="075AB388">
            <w:pPr>
              <w:pStyle w:val="27"/>
              <w:widowControl/>
              <w:spacing w:line="240" w:lineRule="auto"/>
              <w:rPr>
                <w:rFonts w:hint="default" w:ascii="Times New Roman" w:hAnsi="Times New Roman"/>
                <w:sz w:val="21"/>
                <w:szCs w:val="21"/>
              </w:rPr>
            </w:pPr>
            <w:r>
              <w:rPr>
                <w:rFonts w:ascii="Times New Roman" w:hAnsi="Times New Roman"/>
                <w:sz w:val="21"/>
                <w:szCs w:val="21"/>
              </w:rPr>
              <w:t>房间类别</w:t>
            </w:r>
          </w:p>
        </w:tc>
        <w:tc>
          <w:tcPr>
            <w:tcW w:w="12960" w:type="dxa"/>
            <w:gridSpan w:val="12"/>
            <w:tcBorders>
              <w:top w:val="single" w:color="000000" w:sz="12" w:space="0"/>
              <w:left w:val="single" w:color="auto" w:sz="4" w:space="0"/>
              <w:bottom w:val="single" w:color="auto" w:sz="4" w:space="0"/>
              <w:right w:val="single" w:color="000000" w:sz="12" w:space="0"/>
            </w:tcBorders>
            <w:shd w:val="clear" w:color="auto" w:fill="auto"/>
            <w:noWrap/>
            <w:vAlign w:val="center"/>
          </w:tcPr>
          <w:p w14:paraId="3DA62493">
            <w:pPr>
              <w:pStyle w:val="27"/>
              <w:widowControl/>
              <w:spacing w:line="240" w:lineRule="auto"/>
              <w:jc w:val="center"/>
              <w:rPr>
                <w:rFonts w:hint="default" w:ascii="Times New Roman" w:hAnsi="Times New Roman"/>
                <w:sz w:val="21"/>
                <w:szCs w:val="21"/>
              </w:rPr>
            </w:pPr>
            <w:r>
              <w:rPr>
                <w:rFonts w:ascii="Times New Roman" w:hAnsi="Times New Roman"/>
                <w:sz w:val="21"/>
                <w:szCs w:val="21"/>
              </w:rPr>
              <w:t>时间（</w:t>
            </w:r>
            <w:r>
              <w:rPr>
                <w:rFonts w:hint="default" w:ascii="Times New Roman" w:hAnsi="Times New Roman"/>
                <w:sz w:val="21"/>
                <w:szCs w:val="21"/>
              </w:rPr>
              <w:t>%</w:t>
            </w:r>
            <w:r>
              <w:rPr>
                <w:rFonts w:ascii="Times New Roman" w:hAnsi="Times New Roman"/>
                <w:sz w:val="21"/>
                <w:szCs w:val="21"/>
              </w:rPr>
              <w:t>）</w:t>
            </w:r>
          </w:p>
        </w:tc>
      </w:tr>
      <w:tr w14:paraId="756220E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60" w:type="dxa"/>
            <w:gridSpan w:val="2"/>
            <w:vMerge w:val="continue"/>
            <w:tcBorders>
              <w:top w:val="single" w:color="000000" w:sz="12" w:space="0"/>
              <w:left w:val="single" w:color="000000" w:sz="12" w:space="0"/>
              <w:bottom w:val="single" w:color="auto" w:sz="4" w:space="0"/>
              <w:right w:val="single" w:color="auto" w:sz="4" w:space="0"/>
            </w:tcBorders>
            <w:shd w:val="clear" w:color="auto" w:fill="auto"/>
            <w:noWrap/>
            <w:vAlign w:val="center"/>
          </w:tcPr>
          <w:p w14:paraId="0F5C46A4">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20EAE8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84A970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900E6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184733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45900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B31E1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96D4A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368618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67282F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216E81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3D19FB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11</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0BE899D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12</w:t>
            </w:r>
          </w:p>
        </w:tc>
      </w:tr>
      <w:tr w14:paraId="08474C5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Borders>
              <w:top w:val="single" w:color="auto" w:sz="4" w:space="0"/>
              <w:left w:val="single" w:color="000000" w:sz="12" w:space="0"/>
              <w:bottom w:val="single" w:color="auto" w:sz="4" w:space="0"/>
              <w:right w:val="single" w:color="auto" w:sz="4" w:space="0"/>
            </w:tcBorders>
            <w:shd w:val="clear" w:color="auto" w:fill="auto"/>
            <w:noWrap/>
            <w:vAlign w:val="center"/>
          </w:tcPr>
          <w:p w14:paraId="5094EAF3">
            <w:pPr>
              <w:pStyle w:val="27"/>
              <w:widowControl/>
              <w:spacing w:line="240" w:lineRule="auto"/>
              <w:rPr>
                <w:rFonts w:hint="default" w:ascii="Times New Roman" w:hAnsi="Times New Roman"/>
                <w:sz w:val="21"/>
                <w:szCs w:val="21"/>
              </w:rPr>
            </w:pPr>
            <w:r>
              <w:rPr>
                <w:rFonts w:ascii="Times New Roman" w:hAnsi="Times New Roman"/>
                <w:sz w:val="21"/>
                <w:szCs w:val="21"/>
              </w:rPr>
              <w:t>起居室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064C8F">
            <w:pPr>
              <w:pStyle w:val="27"/>
              <w:widowControl/>
              <w:spacing w:line="240" w:lineRule="auto"/>
              <w:rPr>
                <w:rFonts w:hint="default" w:ascii="Times New Roman" w:hAnsi="Times New Roman"/>
                <w:sz w:val="21"/>
                <w:szCs w:val="21"/>
              </w:rPr>
            </w:pPr>
            <w:r>
              <w:rPr>
                <w:rFonts w:ascii="Times New Roman" w:hAnsi="Times New Roman"/>
                <w:sz w:val="21"/>
                <w:szCs w:val="21"/>
              </w:rPr>
              <w:t>全年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8B3F37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A8F530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770FB9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71F8E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36760C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FF9AE5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A1B12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E15B01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11E9B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740706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E2494C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1C6C781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r>
      <w:tr w14:paraId="4438119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Borders>
              <w:top w:val="single" w:color="auto" w:sz="4" w:space="0"/>
              <w:left w:val="single" w:color="000000" w:sz="12" w:space="0"/>
              <w:bottom w:val="single" w:color="auto" w:sz="4" w:space="0"/>
              <w:right w:val="single" w:color="auto" w:sz="4" w:space="0"/>
            </w:tcBorders>
            <w:shd w:val="clear" w:color="auto" w:fill="auto"/>
            <w:noWrap/>
            <w:vAlign w:val="center"/>
          </w:tcPr>
          <w:p w14:paraId="324789FB">
            <w:pPr>
              <w:pStyle w:val="27"/>
              <w:widowControl/>
              <w:spacing w:line="240" w:lineRule="auto"/>
              <w:rPr>
                <w:rFonts w:hint="default" w:ascii="Times New Roman" w:hAnsi="Times New Roman"/>
                <w:sz w:val="21"/>
                <w:szCs w:val="21"/>
              </w:rPr>
            </w:pPr>
            <w:r>
              <w:rPr>
                <w:rFonts w:ascii="Times New Roman" w:hAnsi="Times New Roman"/>
                <w:sz w:val="21"/>
                <w:szCs w:val="21"/>
              </w:rPr>
              <w:t>卧室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D8531C1">
            <w:pPr>
              <w:pStyle w:val="27"/>
              <w:widowControl/>
              <w:spacing w:line="240" w:lineRule="auto"/>
              <w:rPr>
                <w:rFonts w:hint="default" w:ascii="Times New Roman" w:hAnsi="Times New Roman"/>
                <w:sz w:val="21"/>
                <w:szCs w:val="21"/>
              </w:rPr>
            </w:pPr>
            <w:r>
              <w:rPr>
                <w:rFonts w:ascii="Times New Roman" w:hAnsi="Times New Roman"/>
                <w:sz w:val="21"/>
                <w:szCs w:val="21"/>
              </w:rPr>
              <w:t>全年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9D2B59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38C70A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DCA0BE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B36C1C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EB5DA7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8B173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0783D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B5A5CB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A3075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D5D2C96">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A842EC3">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6C02D87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r>
      <w:tr w14:paraId="0EF0138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gridSpan w:val="2"/>
            <w:vMerge w:val="restart"/>
            <w:tcBorders>
              <w:top w:val="single" w:color="auto" w:sz="4" w:space="0"/>
              <w:left w:val="single" w:color="000000" w:sz="12" w:space="0"/>
              <w:bottom w:val="single" w:color="auto" w:sz="4" w:space="0"/>
              <w:right w:val="single" w:color="auto" w:sz="4" w:space="0"/>
            </w:tcBorders>
            <w:shd w:val="clear" w:color="auto" w:fill="auto"/>
            <w:noWrap/>
            <w:vAlign w:val="center"/>
          </w:tcPr>
          <w:p w14:paraId="3607DA7F">
            <w:pPr>
              <w:pStyle w:val="27"/>
              <w:widowControl/>
              <w:spacing w:line="240" w:lineRule="auto"/>
              <w:rPr>
                <w:rFonts w:hint="default" w:ascii="Times New Roman" w:hAnsi="Times New Roman"/>
                <w:sz w:val="21"/>
                <w:szCs w:val="21"/>
              </w:rPr>
            </w:pPr>
            <w:r>
              <w:rPr>
                <w:rFonts w:ascii="Times New Roman" w:hAnsi="Times New Roman"/>
                <w:sz w:val="21"/>
                <w:szCs w:val="21"/>
              </w:rPr>
              <w:t>房间类别</w:t>
            </w:r>
          </w:p>
        </w:tc>
        <w:tc>
          <w:tcPr>
            <w:tcW w:w="0" w:type="auto"/>
            <w:gridSpan w:val="12"/>
            <w:tcBorders>
              <w:top w:val="single" w:color="auto" w:sz="4" w:space="0"/>
              <w:left w:val="single" w:color="auto" w:sz="4" w:space="0"/>
              <w:bottom w:val="single" w:color="auto" w:sz="4" w:space="0"/>
              <w:right w:val="single" w:color="000000" w:sz="12" w:space="0"/>
            </w:tcBorders>
            <w:shd w:val="clear" w:color="auto" w:fill="auto"/>
            <w:noWrap/>
            <w:vAlign w:val="center"/>
          </w:tcPr>
          <w:p w14:paraId="665611A7">
            <w:pPr>
              <w:pStyle w:val="27"/>
              <w:widowControl/>
              <w:spacing w:line="240" w:lineRule="auto"/>
              <w:jc w:val="center"/>
              <w:rPr>
                <w:rFonts w:hint="default" w:ascii="Times New Roman" w:hAnsi="Times New Roman"/>
                <w:sz w:val="21"/>
                <w:szCs w:val="21"/>
              </w:rPr>
            </w:pPr>
            <w:r>
              <w:rPr>
                <w:rFonts w:ascii="Times New Roman" w:hAnsi="Times New Roman"/>
                <w:sz w:val="21"/>
                <w:szCs w:val="21"/>
              </w:rPr>
              <w:t>时间（</w:t>
            </w:r>
            <w:r>
              <w:rPr>
                <w:rFonts w:hint="default" w:ascii="Times New Roman" w:hAnsi="Times New Roman"/>
                <w:sz w:val="21"/>
                <w:szCs w:val="21"/>
              </w:rPr>
              <w:t>%</w:t>
            </w:r>
            <w:r>
              <w:rPr>
                <w:rFonts w:ascii="Times New Roman" w:hAnsi="Times New Roman"/>
                <w:sz w:val="21"/>
                <w:szCs w:val="21"/>
              </w:rPr>
              <w:t>）</w:t>
            </w:r>
          </w:p>
        </w:tc>
      </w:tr>
      <w:tr w14:paraId="09306E1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gridSpan w:val="2"/>
            <w:vMerge w:val="continue"/>
            <w:tcBorders>
              <w:top w:val="single" w:color="auto" w:sz="4" w:space="0"/>
              <w:left w:val="single" w:color="000000" w:sz="12" w:space="0"/>
              <w:bottom w:val="single" w:color="auto" w:sz="4" w:space="0"/>
              <w:right w:val="single" w:color="auto" w:sz="4" w:space="0"/>
            </w:tcBorders>
            <w:shd w:val="clear" w:color="auto" w:fill="auto"/>
            <w:noWrap/>
            <w:vAlign w:val="center"/>
          </w:tcPr>
          <w:p w14:paraId="2B28FB8E">
            <w:pPr>
              <w:rPr>
                <w:rFonts w:ascii="Times New Roman" w:hAnsi="Times New Roman" w:cs="Times New Roman"/>
                <w:sz w:val="20"/>
                <w:szCs w:val="20"/>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E47393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6A1F5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14</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B41F15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15</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BD4D6F2">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F46E62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DF8DAD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18</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EEF133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C0DA8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58D4EA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90E568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61B0D75">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76DFF7C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24</w:t>
            </w:r>
          </w:p>
        </w:tc>
      </w:tr>
      <w:tr w14:paraId="3963783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Borders>
              <w:top w:val="single" w:color="auto" w:sz="4" w:space="0"/>
              <w:left w:val="single" w:color="000000" w:sz="12" w:space="0"/>
              <w:bottom w:val="single" w:color="auto" w:sz="4" w:space="0"/>
              <w:right w:val="single" w:color="auto" w:sz="4" w:space="0"/>
            </w:tcBorders>
            <w:shd w:val="clear" w:color="auto" w:fill="auto"/>
            <w:noWrap/>
            <w:vAlign w:val="center"/>
          </w:tcPr>
          <w:p w14:paraId="21FB82FB">
            <w:pPr>
              <w:pStyle w:val="27"/>
              <w:widowControl/>
              <w:spacing w:line="240" w:lineRule="auto"/>
              <w:rPr>
                <w:rFonts w:hint="default" w:ascii="Times New Roman" w:hAnsi="Times New Roman"/>
                <w:sz w:val="21"/>
                <w:szCs w:val="21"/>
              </w:rPr>
            </w:pPr>
            <w:r>
              <w:rPr>
                <w:rFonts w:ascii="Times New Roman" w:hAnsi="Times New Roman"/>
                <w:sz w:val="21"/>
                <w:szCs w:val="21"/>
              </w:rPr>
              <w:t>起居室</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8DC93E0">
            <w:pPr>
              <w:pStyle w:val="27"/>
              <w:widowControl/>
              <w:spacing w:line="240" w:lineRule="auto"/>
              <w:rPr>
                <w:rFonts w:hint="default" w:ascii="Times New Roman" w:hAnsi="Times New Roman"/>
                <w:sz w:val="21"/>
                <w:szCs w:val="21"/>
              </w:rPr>
            </w:pPr>
            <w:r>
              <w:rPr>
                <w:rFonts w:ascii="Times New Roman" w:hAnsi="Times New Roman"/>
                <w:sz w:val="21"/>
                <w:szCs w:val="21"/>
              </w:rPr>
              <w:t>全年</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21D72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A48111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69</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C581D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912FC1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85C94F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2CB35B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8D9C9C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23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61FF9D8">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C09FAD">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FBA58E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AF1AACC">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100</w:t>
            </w:r>
          </w:p>
        </w:tc>
        <w:tc>
          <w:tcPr>
            <w:tcW w:w="0" w:type="auto"/>
            <w:tcBorders>
              <w:top w:val="single" w:color="auto" w:sz="4" w:space="0"/>
              <w:left w:val="single" w:color="auto" w:sz="4" w:space="0"/>
              <w:bottom w:val="single" w:color="auto" w:sz="4" w:space="0"/>
              <w:right w:val="single" w:color="000000" w:sz="12" w:space="0"/>
            </w:tcBorders>
            <w:shd w:val="clear" w:color="auto" w:fill="auto"/>
            <w:noWrap/>
            <w:vAlign w:val="center"/>
          </w:tcPr>
          <w:p w14:paraId="2432513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69</w:t>
            </w:r>
          </w:p>
        </w:tc>
      </w:tr>
      <w:tr w14:paraId="278C174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Borders>
              <w:top w:val="single" w:color="auto" w:sz="4" w:space="0"/>
              <w:left w:val="single" w:color="000000" w:sz="12" w:space="0"/>
              <w:bottom w:val="single" w:color="000000" w:sz="12" w:space="0"/>
              <w:right w:val="single" w:color="auto" w:sz="4" w:space="0"/>
            </w:tcBorders>
            <w:shd w:val="clear" w:color="auto" w:fill="auto"/>
            <w:noWrap/>
            <w:vAlign w:val="center"/>
          </w:tcPr>
          <w:p w14:paraId="380699E9">
            <w:pPr>
              <w:pStyle w:val="27"/>
              <w:widowControl/>
              <w:spacing w:line="240" w:lineRule="auto"/>
              <w:rPr>
                <w:rFonts w:hint="default" w:ascii="Times New Roman" w:hAnsi="Times New Roman"/>
                <w:sz w:val="21"/>
                <w:szCs w:val="21"/>
              </w:rPr>
            </w:pPr>
            <w:r>
              <w:rPr>
                <w:rFonts w:ascii="Times New Roman" w:hAnsi="Times New Roman"/>
                <w:sz w:val="21"/>
                <w:szCs w:val="21"/>
              </w:rPr>
              <w:t>卧室</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704B5CA1">
            <w:pPr>
              <w:pStyle w:val="27"/>
              <w:widowControl/>
              <w:spacing w:line="240" w:lineRule="auto"/>
              <w:rPr>
                <w:rFonts w:hint="default" w:ascii="Times New Roman" w:hAnsi="Times New Roman"/>
                <w:sz w:val="21"/>
                <w:szCs w:val="21"/>
              </w:rPr>
            </w:pPr>
            <w:r>
              <w:rPr>
                <w:rFonts w:ascii="Times New Roman" w:hAnsi="Times New Roman"/>
                <w:sz w:val="21"/>
                <w:szCs w:val="21"/>
              </w:rPr>
              <w:t>全年</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162D764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691FBAA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0148038B">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42BC966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57E3D6DF">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5AB7174E">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3D05F390">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285DA831">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70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2C0A2137">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1BA9046A">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100</w:t>
            </w:r>
          </w:p>
        </w:tc>
        <w:tc>
          <w:tcPr>
            <w:tcW w:w="0" w:type="auto"/>
            <w:tcBorders>
              <w:top w:val="single" w:color="auto" w:sz="4" w:space="0"/>
              <w:left w:val="single" w:color="auto" w:sz="4" w:space="0"/>
              <w:bottom w:val="single" w:color="000000" w:sz="12" w:space="0"/>
              <w:right w:val="single" w:color="auto" w:sz="4" w:space="0"/>
            </w:tcBorders>
            <w:shd w:val="clear" w:color="auto" w:fill="auto"/>
            <w:noWrap/>
            <w:vAlign w:val="center"/>
          </w:tcPr>
          <w:p w14:paraId="3E1B0A49">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100</w:t>
            </w:r>
          </w:p>
        </w:tc>
        <w:tc>
          <w:tcPr>
            <w:tcW w:w="0" w:type="auto"/>
            <w:tcBorders>
              <w:top w:val="single" w:color="auto" w:sz="4" w:space="0"/>
              <w:left w:val="single" w:color="auto" w:sz="4" w:space="0"/>
              <w:bottom w:val="single" w:color="000000" w:sz="12" w:space="0"/>
              <w:right w:val="single" w:color="000000" w:sz="12" w:space="0"/>
            </w:tcBorders>
            <w:shd w:val="clear" w:color="auto" w:fill="auto"/>
            <w:noWrap/>
            <w:vAlign w:val="center"/>
          </w:tcPr>
          <w:p w14:paraId="2E6659B4">
            <w:pPr>
              <w:pStyle w:val="27"/>
              <w:widowControl/>
              <w:spacing w:line="240" w:lineRule="auto"/>
              <w:jc w:val="center"/>
              <w:rPr>
                <w:rFonts w:hint="default" w:ascii="Times New Roman" w:hAnsi="Times New Roman"/>
                <w:sz w:val="21"/>
                <w:szCs w:val="21"/>
              </w:rPr>
            </w:pPr>
            <w:r>
              <w:rPr>
                <w:rFonts w:hint="default" w:ascii="Times New Roman" w:hAnsi="Times New Roman"/>
                <w:sz w:val="21"/>
                <w:szCs w:val="21"/>
              </w:rPr>
              <w:t>100</w:t>
            </w:r>
          </w:p>
        </w:tc>
      </w:tr>
    </w:tbl>
    <w:p w14:paraId="44668E55">
      <w:pPr>
        <w:pStyle w:val="27"/>
        <w:widowControl/>
        <w:rPr>
          <w:rFonts w:hint="default"/>
        </w:rPr>
      </w:pPr>
    </w:p>
    <w:p w14:paraId="2D6F36E9">
      <w:pPr>
        <w:pStyle w:val="27"/>
        <w:widowControl/>
        <w:rPr>
          <w:rFonts w:hint="default"/>
        </w:rPr>
      </w:pPr>
      <w:r>
        <w:rPr>
          <w:rFonts w:hint="default" w:ascii="Times New Roman" w:hAnsi="Times New Roman"/>
          <w:b/>
          <w:bCs/>
        </w:rPr>
        <w:t xml:space="preserve">7.2.3  </w:t>
      </w:r>
      <w:r>
        <w:t>建筑能耗综合值应按下式计算：</w:t>
      </w:r>
    </w:p>
    <w:p w14:paraId="1E9A4EEE">
      <w:pPr>
        <w:pStyle w:val="27"/>
        <w:widowControl/>
        <w:jc w:val="center"/>
        <w:rPr>
          <w:rFonts w:hint="default"/>
        </w:rPr>
      </w:pPr>
      <w:r>
        <w:rPr>
          <w:position w:val="-24"/>
        </w:rPr>
        <w:object>
          <v:shape id="_x0000_i1047" o:spt="75" type="#_x0000_t75" style="height:45pt;width:262.2pt;" o:ole="t" filled="f" o:preferrelative="t" stroked="f" coordsize="21600,21600">
            <v:path/>
            <v:fill on="f" focussize="0,0"/>
            <v:stroke on="f" joinstyle="miter"/>
            <v:imagedata r:id="rId46" o:title=""/>
            <o:lock v:ext="edit" aspectratio="t"/>
            <w10:wrap type="none"/>
            <w10:anchorlock/>
          </v:shape>
          <o:OLEObject Type="Embed" ProgID="" ShapeID="_x0000_i1047" DrawAspect="Content" ObjectID="_1468075747" r:id="rId45">
            <o:LockedField>false</o:LockedField>
          </o:OLEObject>
        </w:object>
      </w:r>
      <w:r>
        <w:t xml:space="preserve">         （7.2.3）</w:t>
      </w:r>
    </w:p>
    <w:p w14:paraId="20D2C27A">
      <w:pPr>
        <w:pStyle w:val="27"/>
        <w:widowControl/>
        <w:rPr>
          <w:rFonts w:hint="default" w:ascii="Times New Roman" w:hAnsi="Times New Roman"/>
        </w:rPr>
      </w:pPr>
      <w:r>
        <w:t xml:space="preserve">式中： </w:t>
      </w:r>
      <w:r>
        <w:rPr>
          <w:position w:val="-4"/>
        </w:rPr>
        <w:object>
          <v:shape id="_x0000_i1048" o:spt="75" type="#_x0000_t75" style="height:17.4pt;width:18.6pt;" o:ole="t" filled="f" o:preferrelative="t" stroked="f" coordsize="21600,21600">
            <v:path/>
            <v:fill on="f" focussize="0,0"/>
            <v:stroke on="f" joinstyle="miter"/>
            <v:imagedata r:id="rId48" o:title=""/>
            <o:lock v:ext="edit" aspectratio="t"/>
            <w10:wrap type="none"/>
            <w10:anchorlock/>
          </v:shape>
          <o:OLEObject Type="Embed" ProgID="" ShapeID="_x0000_i1048" DrawAspect="Content" ObjectID="_1468075748" r:id="rId47">
            <o:LockedField>false</o:LockedField>
          </o:OLEObject>
        </w:object>
      </w:r>
      <w:r>
        <w:t>———建筑能</w:t>
      </w:r>
      <w:r>
        <w:rPr>
          <w:rFonts w:ascii="Times New Roman" w:hAnsi="Times New Roman"/>
        </w:rPr>
        <w:t>耗综合值，</w:t>
      </w:r>
      <w:r>
        <w:rPr>
          <w:rFonts w:hint="default" w:ascii="Times New Roman" w:hAnsi="Times New Roman"/>
        </w:rPr>
        <w:t>kWh/</w:t>
      </w:r>
      <w:r>
        <w:rPr>
          <w:rFonts w:ascii="Times New Roman" w:hAnsi="Times New Roman"/>
        </w:rPr>
        <w:t>（㎡</w:t>
      </w:r>
      <w:r>
        <w:rPr>
          <w:rFonts w:hint="default" w:ascii="Times New Roman" w:hAnsi="Times New Roman"/>
        </w:rPr>
        <w:t>·a</w:t>
      </w:r>
      <w:r>
        <w:rPr>
          <w:rFonts w:ascii="Times New Roman" w:hAnsi="Times New Roman"/>
        </w:rPr>
        <w:t>）；</w:t>
      </w:r>
    </w:p>
    <w:p w14:paraId="507B76C5">
      <w:pPr>
        <w:pStyle w:val="27"/>
        <w:widowControl/>
        <w:ind w:left="840" w:leftChars="400"/>
        <w:rPr>
          <w:rFonts w:hint="default" w:ascii="Times New Roman" w:hAnsi="Times New Roman"/>
        </w:rPr>
      </w:pPr>
      <w:r>
        <w:rPr>
          <w:rFonts w:hint="default" w:ascii="Times New Roman" w:hAnsi="Times New Roman"/>
          <w:position w:val="-10"/>
        </w:rPr>
        <w:object>
          <v:shape id="_x0000_i1049" o:spt="75" type="#_x0000_t75" style="height:23.4pt;width:27pt;" o:ole="t" filled="f" o:preferrelative="t" stroked="f" coordsize="21600,21600">
            <v:path/>
            <v:fill on="f" focussize="0,0"/>
            <v:stroke on="f" joinstyle="miter"/>
            <v:imagedata r:id="rId50" o:title=""/>
            <o:lock v:ext="edit" aspectratio="t"/>
            <w10:wrap type="none"/>
            <w10:anchorlock/>
          </v:shape>
          <o:OLEObject Type="Embed" ProgID="" ShapeID="_x0000_i1049" DrawAspect="Content" ObjectID="_1468075749" r:id="rId49">
            <o:LockedField>false</o:LockedField>
          </o:OLEObject>
        </w:object>
      </w:r>
      <w:r>
        <w:rPr>
          <w:rFonts w:hint="default" w:ascii="Times New Roman" w:hAnsi="Times New Roman"/>
        </w:rPr>
        <w:t>——</w:t>
      </w:r>
      <w:r>
        <w:rPr>
          <w:rFonts w:ascii="Times New Roman" w:hAnsi="Times New Roman"/>
        </w:rPr>
        <w:t>不含可再生能源发电的建筑能耗综合值，</w:t>
      </w:r>
      <w:r>
        <w:rPr>
          <w:rFonts w:hint="default" w:ascii="Times New Roman" w:hAnsi="Times New Roman"/>
        </w:rPr>
        <w:t>kWh/</w:t>
      </w:r>
      <w:r>
        <w:rPr>
          <w:rFonts w:ascii="Times New Roman" w:hAnsi="Times New Roman"/>
        </w:rPr>
        <w:t>（㎡</w:t>
      </w:r>
      <w:r>
        <w:rPr>
          <w:rFonts w:hint="default" w:ascii="Times New Roman" w:hAnsi="Times New Roman"/>
        </w:rPr>
        <w:t>·a</w:t>
      </w:r>
      <w:r>
        <w:rPr>
          <w:rFonts w:ascii="Times New Roman" w:hAnsi="Times New Roman"/>
        </w:rPr>
        <w:t>）；</w:t>
      </w:r>
    </w:p>
    <w:p w14:paraId="2B88431A">
      <w:pPr>
        <w:pStyle w:val="27"/>
        <w:widowControl/>
        <w:ind w:left="840" w:leftChars="400"/>
        <w:rPr>
          <w:rFonts w:hint="default" w:ascii="Times New Roman" w:hAnsi="Times New Roman"/>
        </w:rPr>
      </w:pPr>
      <w:r>
        <w:rPr>
          <w:rFonts w:hint="default" w:ascii="Times New Roman" w:hAnsi="Times New Roman"/>
          <w:position w:val="-4"/>
        </w:rPr>
        <w:object>
          <v:shape id="_x0000_i1050" o:spt="75" type="#_x0000_t75" style="height:17.4pt;width:18.6pt;" o:ole="t" filled="f" o:preferrelative="t" stroked="f" coordsize="21600,21600">
            <v:path/>
            <v:fill on="f" focussize="0,0"/>
            <v:stroke on="f" joinstyle="miter"/>
            <v:imagedata r:id="rId52" o:title=""/>
            <o:lock v:ext="edit" aspectratio="t"/>
            <w10:wrap type="none"/>
            <w10:anchorlock/>
          </v:shape>
          <o:OLEObject Type="Embed" ProgID="" ShapeID="_x0000_i1050" DrawAspect="Content" ObjectID="_1468075750" r:id="rId51">
            <o:LockedField>false</o:LockedField>
          </o:OLEObject>
        </w:object>
      </w:r>
      <w:r>
        <w:rPr>
          <w:rFonts w:hint="default" w:ascii="Times New Roman" w:hAnsi="Times New Roman"/>
        </w:rPr>
        <w:t>———</w:t>
      </w:r>
      <w:r>
        <w:rPr>
          <w:rFonts w:ascii="Times New Roman" w:hAnsi="Times New Roman"/>
        </w:rPr>
        <w:t>住宅类建筑为套内使用面积，非住宅类为建筑面积，㎡；</w:t>
      </w:r>
    </w:p>
    <w:p w14:paraId="258306A0">
      <w:pPr>
        <w:pStyle w:val="27"/>
        <w:widowControl/>
        <w:ind w:left="840" w:leftChars="400"/>
        <w:rPr>
          <w:rFonts w:hint="default" w:ascii="Times New Roman" w:hAnsi="Times New Roman"/>
        </w:rPr>
      </w:pPr>
      <w:r>
        <w:rPr>
          <w:rFonts w:hint="default" w:ascii="Times New Roman" w:hAnsi="Times New Roman"/>
          <w:position w:val="-12"/>
        </w:rPr>
        <w:object>
          <v:shape id="_x0000_i1051" o:spt="75" type="#_x0000_t75" style="height:22.2pt;width:17.4pt;" o:ole="t" filled="f" o:preferrelative="t" stroked="f" coordsize="21600,21600">
            <v:path/>
            <v:fill on="f" focussize="0,0"/>
            <v:stroke on="f" joinstyle="miter"/>
            <v:imagedata r:id="rId54" o:title=""/>
            <o:lock v:ext="edit" aspectratio="t"/>
            <w10:wrap type="none"/>
            <w10:anchorlock/>
          </v:shape>
          <o:OLEObject Type="Embed" ProgID="" ShapeID="_x0000_i1051" DrawAspect="Content" ObjectID="_1468075751" r:id="rId53">
            <o:LockedField>false</o:LockedField>
          </o:OLEObject>
        </w:object>
      </w:r>
      <w:r>
        <w:rPr>
          <w:rFonts w:hint="default" w:ascii="Times New Roman" w:hAnsi="Times New Roman"/>
        </w:rPr>
        <w:t>———i</w:t>
      </w:r>
      <w:r>
        <w:rPr>
          <w:rFonts w:ascii="Times New Roman" w:hAnsi="Times New Roman"/>
        </w:rPr>
        <w:t>类型能源的能源换算系数，按本标准表</w:t>
      </w:r>
      <w:r>
        <w:rPr>
          <w:rFonts w:hint="default" w:ascii="Times New Roman" w:hAnsi="Times New Roman"/>
        </w:rPr>
        <w:t>7.2.9</w:t>
      </w:r>
      <w:r>
        <w:rPr>
          <w:rFonts w:ascii="Times New Roman" w:hAnsi="Times New Roman"/>
        </w:rPr>
        <w:t>选取；</w:t>
      </w:r>
    </w:p>
    <w:p w14:paraId="2EA1FB39">
      <w:pPr>
        <w:pStyle w:val="27"/>
        <w:widowControl/>
        <w:ind w:left="840" w:leftChars="400"/>
        <w:rPr>
          <w:rFonts w:hint="default" w:ascii="Times New Roman" w:hAnsi="Times New Roman"/>
        </w:rPr>
      </w:pPr>
      <w:r>
        <w:rPr>
          <w:rFonts w:hint="default" w:ascii="Times New Roman" w:hAnsi="Times New Roman"/>
          <w:position w:val="-14"/>
        </w:rPr>
        <w:object>
          <v:shape id="_x0000_i1052" o:spt="75" type="#_x0000_t75" style="height:24.6pt;width:30.6pt;" o:ole="t" filled="f" o:preferrelative="t" stroked="f" coordsize="21600,21600">
            <v:path/>
            <v:fill on="f" focussize="0,0"/>
            <v:stroke on="f" joinstyle="miter"/>
            <v:imagedata r:id="rId56" o:title=""/>
            <o:lock v:ext="edit" aspectratio="t"/>
            <w10:wrap type="none"/>
            <w10:anchorlock/>
          </v:shape>
          <o:OLEObject Type="Embed" ProgID="" ShapeID="_x0000_i1052" DrawAspect="Content" ObjectID="_1468075752" r:id="rId55">
            <o:LockedField>false</o:LockedField>
          </o:OLEObject>
        </w:object>
      </w:r>
      <w:r>
        <w:rPr>
          <w:rFonts w:hint="default" w:ascii="Times New Roman" w:hAnsi="Times New Roman"/>
        </w:rPr>
        <w:t>——</w:t>
      </w:r>
      <w:r>
        <w:rPr>
          <w:rFonts w:ascii="Times New Roman" w:hAnsi="Times New Roman"/>
        </w:rPr>
        <w:t>年本体产生的</w:t>
      </w:r>
      <w:r>
        <w:rPr>
          <w:rFonts w:hint="default" w:ascii="Times New Roman" w:hAnsi="Times New Roman"/>
        </w:rPr>
        <w:t>i</w:t>
      </w:r>
      <w:r>
        <w:rPr>
          <w:rFonts w:ascii="Times New Roman" w:hAnsi="Times New Roman"/>
        </w:rPr>
        <w:t>类型可再生能源发电量，</w:t>
      </w:r>
      <w:r>
        <w:rPr>
          <w:rFonts w:hint="default" w:ascii="Times New Roman" w:hAnsi="Times New Roman"/>
        </w:rPr>
        <w:t>kWh</w:t>
      </w:r>
      <w:r>
        <w:rPr>
          <w:rFonts w:ascii="Times New Roman" w:hAnsi="Times New Roman"/>
        </w:rPr>
        <w:t>；</w:t>
      </w:r>
    </w:p>
    <w:p w14:paraId="172F7E0B">
      <w:pPr>
        <w:pStyle w:val="27"/>
        <w:widowControl/>
        <w:ind w:left="840" w:leftChars="400"/>
        <w:rPr>
          <w:rFonts w:hint="default" w:ascii="Times New Roman" w:hAnsi="Times New Roman"/>
        </w:rPr>
      </w:pPr>
      <w:r>
        <w:rPr>
          <w:rFonts w:hint="default" w:ascii="Times New Roman" w:hAnsi="Times New Roman"/>
          <w:position w:val="-14"/>
        </w:rPr>
        <w:object>
          <v:shape id="_x0000_i1053" o:spt="75" type="#_x0000_t75" style="height:24.6pt;width:37.2pt;" o:ole="t" filled="f" o:preferrelative="t" stroked="f" coordsize="21600,21600">
            <v:path/>
            <v:fill on="f" focussize="0,0"/>
            <v:stroke on="f" joinstyle="miter"/>
            <v:imagedata r:id="rId58" o:title=""/>
            <o:lock v:ext="edit" aspectratio="t"/>
            <w10:wrap type="none"/>
            <w10:anchorlock/>
          </v:shape>
          <o:OLEObject Type="Embed" ProgID="" ShapeID="_x0000_i1053" DrawAspect="Content" ObjectID="_1468075753" r:id="rId57">
            <o:LockedField>false</o:LockedField>
          </o:OLEObject>
        </w:object>
      </w:r>
      <w:r>
        <w:rPr>
          <w:rFonts w:hint="default" w:ascii="Times New Roman" w:hAnsi="Times New Roman"/>
        </w:rPr>
        <w:t>——</w:t>
      </w:r>
      <w:r>
        <w:rPr>
          <w:rFonts w:ascii="Times New Roman" w:hAnsi="Times New Roman"/>
        </w:rPr>
        <w:t>年周边产生的</w:t>
      </w:r>
      <w:r>
        <w:rPr>
          <w:rFonts w:hint="default" w:ascii="Times New Roman" w:hAnsi="Times New Roman"/>
        </w:rPr>
        <w:t>i</w:t>
      </w:r>
      <w:r>
        <w:rPr>
          <w:rFonts w:ascii="Times New Roman" w:hAnsi="Times New Roman"/>
        </w:rPr>
        <w:t>类型可再生能源发电量，</w:t>
      </w:r>
      <w:r>
        <w:rPr>
          <w:rFonts w:hint="default" w:ascii="Times New Roman" w:hAnsi="Times New Roman"/>
        </w:rPr>
        <w:t>kWh</w:t>
      </w:r>
      <w:r>
        <w:rPr>
          <w:rFonts w:ascii="Times New Roman" w:hAnsi="Times New Roman"/>
        </w:rPr>
        <w:t>。</w:t>
      </w:r>
    </w:p>
    <w:p w14:paraId="140338A7">
      <w:pPr>
        <w:pStyle w:val="27"/>
        <w:widowControl/>
        <w:spacing w:line="26" w:lineRule="atLeast"/>
        <w:rPr>
          <w:rFonts w:hint="default"/>
          <w:color w:val="8FAADB"/>
        </w:rPr>
      </w:pPr>
      <w:r>
        <w:rPr>
          <w:b/>
          <w:bCs/>
          <w:color w:val="8FAADB"/>
          <w:szCs w:val="24"/>
        </w:rPr>
        <w:t>【条文说明】</w:t>
      </w:r>
      <w:r>
        <w:rPr>
          <w:color w:val="8FAADB"/>
        </w:rPr>
        <w:t>随着社会经济的快速发展，电梯的使用量急剧增长，其能耗强度大且受使用时间影响显著。随着电梯技术进步，特别是驱动技术革新，除了大吨位货梯，永磁同步曳引机驱动的曳引电梯已经成为新装电梯的标准配置。电梯的能耗情况不仅取决于自身配置，还与建筑结构、电梯数量与布局、建筑内客流状况及调度策略紧密相关，故其能耗计算复杂，需借助能耗仿真模型等手段精确计算。</w:t>
      </w:r>
    </w:p>
    <w:p w14:paraId="5AA10B2D">
      <w:pPr>
        <w:pStyle w:val="27"/>
        <w:widowControl/>
        <w:ind w:firstLine="480" w:firstLineChars="200"/>
        <w:rPr>
          <w:rFonts w:hint="default"/>
          <w:color w:val="8FAADB"/>
        </w:rPr>
      </w:pPr>
      <w:r>
        <w:rPr>
          <w:color w:val="8FAADB"/>
        </w:rPr>
        <w:t>电梯能耗的计算可参照国际标准</w:t>
      </w:r>
      <w:r>
        <w:rPr>
          <w:rFonts w:hint="default" w:ascii="Times New Roman" w:hAnsi="Times New Roman"/>
          <w:color w:val="8FAADB"/>
        </w:rPr>
        <w:t>ISO 25745</w:t>
      </w:r>
      <w:r>
        <w:rPr>
          <w:color w:val="8FAADB"/>
        </w:rPr>
        <w:t>中的计算方法。电梯在使用过程中，能量消耗主要体现在运行能耗和待机能耗两部分。</w:t>
      </w:r>
      <w:r>
        <w:rPr>
          <w:rFonts w:hint="default" w:ascii="Times New Roman" w:hAnsi="Times New Roman"/>
          <w:color w:val="8FAADB"/>
        </w:rPr>
        <w:t>VDI 4707 Part1</w:t>
      </w:r>
      <w:r>
        <w:rPr>
          <w:color w:val="8FAADB"/>
        </w:rPr>
        <w:t>电梯能效标准为国际通用电梯能效标识体系，该标准为自愿性质，广泛应用于我国商业电梯招标文件，并已由我国检测机构依据该标准开展测试与认证工作。标准中待机与运行时的能量需求等级见表1和表2。</w:t>
      </w:r>
    </w:p>
    <w:p w14:paraId="6F369323">
      <w:pPr>
        <w:pStyle w:val="27"/>
        <w:widowControl/>
        <w:spacing w:before="156" w:beforeLines="50"/>
        <w:jc w:val="center"/>
        <w:rPr>
          <w:rFonts w:hint="default"/>
          <w:b/>
          <w:bCs/>
          <w:color w:val="8FAADB"/>
          <w:sz w:val="21"/>
          <w:szCs w:val="21"/>
        </w:rPr>
      </w:pPr>
      <w:r>
        <w:rPr>
          <w:b/>
          <w:bCs/>
          <w:color w:val="8FAADB"/>
          <w:sz w:val="21"/>
          <w:szCs w:val="21"/>
        </w:rPr>
        <w:t>表 1 待机时的能量需求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648"/>
        <w:gridCol w:w="1161"/>
        <w:gridCol w:w="1266"/>
        <w:gridCol w:w="1266"/>
        <w:gridCol w:w="1266"/>
        <w:gridCol w:w="1371"/>
        <w:gridCol w:w="785"/>
      </w:tblGrid>
      <w:tr w14:paraId="7FA2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Borders>
              <w:top w:val="single" w:color="auto" w:sz="12" w:space="0"/>
              <w:left w:val="single" w:color="auto" w:sz="12" w:space="0"/>
              <w:bottom w:val="single" w:color="auto" w:sz="4" w:space="0"/>
              <w:right w:val="single" w:color="auto" w:sz="4" w:space="0"/>
            </w:tcBorders>
            <w:shd w:val="clear" w:color="auto" w:fill="auto"/>
            <w:vAlign w:val="center"/>
          </w:tcPr>
          <w:p w14:paraId="1BB7A518">
            <w:pPr>
              <w:pStyle w:val="27"/>
              <w:widowControl/>
              <w:jc w:val="center"/>
              <w:rPr>
                <w:rFonts w:hint="default"/>
                <w:color w:val="8FAADB"/>
                <w:sz w:val="21"/>
                <w:szCs w:val="21"/>
              </w:rPr>
            </w:pPr>
            <w:r>
              <w:rPr>
                <w:color w:val="8FAADB"/>
                <w:sz w:val="21"/>
                <w:szCs w:val="21"/>
              </w:rPr>
              <w:t>输出（w）</w:t>
            </w:r>
          </w:p>
        </w:tc>
        <w:tc>
          <w:tcPr>
            <w:tcW w:w="1065" w:type="dxa"/>
            <w:tcBorders>
              <w:top w:val="single" w:color="auto" w:sz="12" w:space="0"/>
              <w:left w:val="single" w:color="auto" w:sz="4" w:space="0"/>
              <w:bottom w:val="single" w:color="auto" w:sz="4" w:space="0"/>
              <w:right w:val="single" w:color="auto" w:sz="4" w:space="0"/>
            </w:tcBorders>
            <w:shd w:val="clear" w:color="auto" w:fill="auto"/>
            <w:vAlign w:val="center"/>
          </w:tcPr>
          <w:p w14:paraId="6F455B77">
            <w:pPr>
              <w:pStyle w:val="27"/>
              <w:widowControl/>
              <w:jc w:val="center"/>
              <w:rPr>
                <w:rFonts w:hint="default"/>
                <w:color w:val="8FAADB"/>
                <w:sz w:val="21"/>
                <w:szCs w:val="21"/>
              </w:rPr>
            </w:pPr>
            <w:r>
              <w:rPr>
                <w:color w:val="8FAADB"/>
                <w:sz w:val="21"/>
                <w:szCs w:val="21"/>
              </w:rPr>
              <w:t>≤50</w:t>
            </w:r>
          </w:p>
        </w:tc>
        <w:tc>
          <w:tcPr>
            <w:tcW w:w="1065" w:type="dxa"/>
            <w:tcBorders>
              <w:top w:val="single" w:color="auto" w:sz="12" w:space="0"/>
              <w:left w:val="single" w:color="auto" w:sz="4" w:space="0"/>
              <w:bottom w:val="single" w:color="auto" w:sz="4" w:space="0"/>
              <w:right w:val="single" w:color="auto" w:sz="4" w:space="0"/>
            </w:tcBorders>
            <w:shd w:val="clear" w:color="auto" w:fill="auto"/>
            <w:vAlign w:val="center"/>
          </w:tcPr>
          <w:p w14:paraId="52D2C496">
            <w:pPr>
              <w:pStyle w:val="27"/>
              <w:widowControl/>
              <w:jc w:val="center"/>
              <w:rPr>
                <w:rFonts w:hint="default"/>
                <w:color w:val="8FAADB"/>
                <w:sz w:val="21"/>
                <w:szCs w:val="21"/>
              </w:rPr>
            </w:pPr>
            <w:r>
              <w:rPr>
                <w:color w:val="8FAADB"/>
                <w:sz w:val="21"/>
                <w:szCs w:val="21"/>
              </w:rPr>
              <w:t>（50,100]</w:t>
            </w:r>
          </w:p>
        </w:tc>
        <w:tc>
          <w:tcPr>
            <w:tcW w:w="1065" w:type="dxa"/>
            <w:tcBorders>
              <w:top w:val="single" w:color="auto" w:sz="12" w:space="0"/>
              <w:left w:val="single" w:color="auto" w:sz="4" w:space="0"/>
              <w:bottom w:val="single" w:color="auto" w:sz="4" w:space="0"/>
              <w:right w:val="single" w:color="auto" w:sz="4" w:space="0"/>
            </w:tcBorders>
            <w:shd w:val="clear" w:color="auto" w:fill="auto"/>
            <w:vAlign w:val="center"/>
          </w:tcPr>
          <w:p w14:paraId="7ACC9F1B">
            <w:pPr>
              <w:pStyle w:val="27"/>
              <w:widowControl/>
              <w:jc w:val="center"/>
              <w:rPr>
                <w:rFonts w:hint="default"/>
                <w:color w:val="8FAADB"/>
                <w:sz w:val="21"/>
                <w:szCs w:val="21"/>
              </w:rPr>
            </w:pPr>
            <w:r>
              <w:rPr>
                <w:color w:val="8FAADB"/>
                <w:sz w:val="21"/>
                <w:szCs w:val="21"/>
              </w:rPr>
              <w:t>（100,200]</w:t>
            </w:r>
          </w:p>
        </w:tc>
        <w:tc>
          <w:tcPr>
            <w:tcW w:w="1065" w:type="dxa"/>
            <w:tcBorders>
              <w:top w:val="single" w:color="auto" w:sz="12" w:space="0"/>
              <w:left w:val="single" w:color="auto" w:sz="4" w:space="0"/>
              <w:bottom w:val="single" w:color="auto" w:sz="4" w:space="0"/>
              <w:right w:val="single" w:color="auto" w:sz="4" w:space="0"/>
            </w:tcBorders>
            <w:shd w:val="clear" w:color="auto" w:fill="auto"/>
            <w:vAlign w:val="center"/>
          </w:tcPr>
          <w:p w14:paraId="1700CF3D">
            <w:pPr>
              <w:pStyle w:val="27"/>
              <w:widowControl/>
              <w:jc w:val="center"/>
              <w:rPr>
                <w:rFonts w:hint="default"/>
                <w:color w:val="8FAADB"/>
                <w:sz w:val="21"/>
                <w:szCs w:val="21"/>
              </w:rPr>
            </w:pPr>
            <w:r>
              <w:rPr>
                <w:color w:val="8FAADB"/>
                <w:sz w:val="21"/>
                <w:szCs w:val="21"/>
              </w:rPr>
              <w:t>（200,400]</w:t>
            </w:r>
          </w:p>
        </w:tc>
        <w:tc>
          <w:tcPr>
            <w:tcW w:w="1065" w:type="dxa"/>
            <w:tcBorders>
              <w:top w:val="single" w:color="auto" w:sz="12" w:space="0"/>
              <w:left w:val="single" w:color="auto" w:sz="4" w:space="0"/>
              <w:bottom w:val="single" w:color="auto" w:sz="4" w:space="0"/>
              <w:right w:val="single" w:color="auto" w:sz="4" w:space="0"/>
            </w:tcBorders>
            <w:shd w:val="clear" w:color="auto" w:fill="auto"/>
            <w:vAlign w:val="center"/>
          </w:tcPr>
          <w:p w14:paraId="151B1787">
            <w:pPr>
              <w:pStyle w:val="27"/>
              <w:widowControl/>
              <w:jc w:val="center"/>
              <w:rPr>
                <w:rFonts w:hint="default"/>
                <w:color w:val="8FAADB"/>
                <w:sz w:val="21"/>
                <w:szCs w:val="21"/>
              </w:rPr>
            </w:pPr>
            <w:r>
              <w:rPr>
                <w:color w:val="8FAADB"/>
                <w:sz w:val="21"/>
                <w:szCs w:val="21"/>
              </w:rPr>
              <w:t>（400,800]</w:t>
            </w:r>
          </w:p>
        </w:tc>
        <w:tc>
          <w:tcPr>
            <w:tcW w:w="1066" w:type="dxa"/>
            <w:tcBorders>
              <w:top w:val="single" w:color="auto" w:sz="12" w:space="0"/>
              <w:left w:val="single" w:color="auto" w:sz="4" w:space="0"/>
              <w:bottom w:val="single" w:color="auto" w:sz="4" w:space="0"/>
              <w:right w:val="single" w:color="auto" w:sz="4" w:space="0"/>
            </w:tcBorders>
            <w:shd w:val="clear" w:color="auto" w:fill="auto"/>
            <w:vAlign w:val="center"/>
          </w:tcPr>
          <w:p w14:paraId="4B624AA4">
            <w:pPr>
              <w:pStyle w:val="27"/>
              <w:widowControl/>
              <w:jc w:val="center"/>
              <w:rPr>
                <w:rFonts w:hint="default"/>
                <w:color w:val="8FAADB"/>
                <w:sz w:val="21"/>
                <w:szCs w:val="21"/>
              </w:rPr>
            </w:pPr>
            <w:r>
              <w:rPr>
                <w:color w:val="8FAADB"/>
                <w:sz w:val="21"/>
                <w:szCs w:val="21"/>
              </w:rPr>
              <w:t>（800,1600]</w:t>
            </w:r>
          </w:p>
        </w:tc>
        <w:tc>
          <w:tcPr>
            <w:tcW w:w="1066" w:type="dxa"/>
            <w:tcBorders>
              <w:top w:val="single" w:color="auto" w:sz="12" w:space="0"/>
              <w:left w:val="single" w:color="auto" w:sz="4" w:space="0"/>
              <w:bottom w:val="single" w:color="auto" w:sz="4" w:space="0"/>
              <w:right w:val="single" w:color="auto" w:sz="12" w:space="0"/>
            </w:tcBorders>
            <w:shd w:val="clear" w:color="auto" w:fill="auto"/>
            <w:vAlign w:val="center"/>
          </w:tcPr>
          <w:p w14:paraId="14D6630D">
            <w:pPr>
              <w:pStyle w:val="27"/>
              <w:widowControl/>
              <w:jc w:val="center"/>
              <w:rPr>
                <w:rFonts w:hint="default"/>
                <w:color w:val="8FAADB"/>
                <w:sz w:val="21"/>
                <w:szCs w:val="21"/>
              </w:rPr>
            </w:pPr>
            <w:r>
              <w:rPr>
                <w:color w:val="8FAADB"/>
                <w:sz w:val="21"/>
                <w:szCs w:val="21"/>
              </w:rPr>
              <w:t>＞1600</w:t>
            </w:r>
          </w:p>
        </w:tc>
      </w:tr>
      <w:tr w14:paraId="6411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tcBorders>
              <w:top w:val="single" w:color="auto" w:sz="4" w:space="0"/>
              <w:left w:val="single" w:color="auto" w:sz="12" w:space="0"/>
              <w:bottom w:val="single" w:color="auto" w:sz="12" w:space="0"/>
              <w:right w:val="single" w:color="auto" w:sz="4" w:space="0"/>
            </w:tcBorders>
            <w:shd w:val="clear" w:color="auto" w:fill="auto"/>
            <w:vAlign w:val="center"/>
          </w:tcPr>
          <w:p w14:paraId="1EA0463E">
            <w:pPr>
              <w:pStyle w:val="27"/>
              <w:widowControl/>
              <w:jc w:val="center"/>
              <w:rPr>
                <w:rFonts w:hint="default"/>
                <w:color w:val="8FAADB"/>
                <w:sz w:val="21"/>
                <w:szCs w:val="21"/>
              </w:rPr>
            </w:pPr>
            <w:r>
              <w:rPr>
                <w:color w:val="8FAADB"/>
                <w:sz w:val="21"/>
                <w:szCs w:val="21"/>
              </w:rPr>
              <w:t>等级</w:t>
            </w:r>
          </w:p>
        </w:tc>
        <w:tc>
          <w:tcPr>
            <w:tcW w:w="1065" w:type="dxa"/>
            <w:tcBorders>
              <w:top w:val="single" w:color="auto" w:sz="4" w:space="0"/>
              <w:left w:val="single" w:color="auto" w:sz="4" w:space="0"/>
              <w:bottom w:val="single" w:color="auto" w:sz="12" w:space="0"/>
              <w:right w:val="single" w:color="auto" w:sz="4" w:space="0"/>
            </w:tcBorders>
            <w:shd w:val="clear" w:color="auto" w:fill="auto"/>
            <w:vAlign w:val="center"/>
          </w:tcPr>
          <w:p w14:paraId="05B375E5">
            <w:pPr>
              <w:pStyle w:val="27"/>
              <w:widowControl/>
              <w:jc w:val="center"/>
              <w:rPr>
                <w:rFonts w:hint="default"/>
                <w:color w:val="8FAADB"/>
                <w:sz w:val="21"/>
                <w:szCs w:val="21"/>
              </w:rPr>
            </w:pPr>
            <w:r>
              <w:rPr>
                <w:color w:val="8FAADB"/>
                <w:sz w:val="21"/>
                <w:szCs w:val="21"/>
              </w:rPr>
              <w:t>A</w:t>
            </w:r>
          </w:p>
        </w:tc>
        <w:tc>
          <w:tcPr>
            <w:tcW w:w="1065" w:type="dxa"/>
            <w:tcBorders>
              <w:top w:val="single" w:color="auto" w:sz="4" w:space="0"/>
              <w:left w:val="single" w:color="auto" w:sz="4" w:space="0"/>
              <w:bottom w:val="single" w:color="auto" w:sz="12" w:space="0"/>
              <w:right w:val="single" w:color="auto" w:sz="4" w:space="0"/>
            </w:tcBorders>
            <w:shd w:val="clear" w:color="auto" w:fill="auto"/>
            <w:vAlign w:val="center"/>
          </w:tcPr>
          <w:p w14:paraId="50BE7C9A">
            <w:pPr>
              <w:pStyle w:val="27"/>
              <w:widowControl/>
              <w:jc w:val="center"/>
              <w:rPr>
                <w:rFonts w:hint="default"/>
                <w:color w:val="8FAADB"/>
                <w:sz w:val="21"/>
                <w:szCs w:val="21"/>
              </w:rPr>
            </w:pPr>
            <w:r>
              <w:rPr>
                <w:color w:val="8FAADB"/>
                <w:sz w:val="21"/>
                <w:szCs w:val="21"/>
              </w:rPr>
              <w:t>B</w:t>
            </w:r>
          </w:p>
        </w:tc>
        <w:tc>
          <w:tcPr>
            <w:tcW w:w="1065" w:type="dxa"/>
            <w:tcBorders>
              <w:top w:val="single" w:color="auto" w:sz="4" w:space="0"/>
              <w:left w:val="single" w:color="auto" w:sz="4" w:space="0"/>
              <w:bottom w:val="single" w:color="auto" w:sz="12" w:space="0"/>
              <w:right w:val="single" w:color="auto" w:sz="4" w:space="0"/>
            </w:tcBorders>
            <w:shd w:val="clear" w:color="auto" w:fill="auto"/>
            <w:vAlign w:val="center"/>
          </w:tcPr>
          <w:p w14:paraId="36BEF271">
            <w:pPr>
              <w:pStyle w:val="27"/>
              <w:widowControl/>
              <w:jc w:val="center"/>
              <w:rPr>
                <w:rFonts w:hint="default"/>
                <w:color w:val="8FAADB"/>
                <w:sz w:val="21"/>
                <w:szCs w:val="21"/>
              </w:rPr>
            </w:pPr>
            <w:r>
              <w:rPr>
                <w:color w:val="8FAADB"/>
                <w:sz w:val="21"/>
                <w:szCs w:val="21"/>
              </w:rPr>
              <w:t>C</w:t>
            </w:r>
          </w:p>
        </w:tc>
        <w:tc>
          <w:tcPr>
            <w:tcW w:w="1065" w:type="dxa"/>
            <w:tcBorders>
              <w:top w:val="single" w:color="auto" w:sz="4" w:space="0"/>
              <w:left w:val="single" w:color="auto" w:sz="4" w:space="0"/>
              <w:bottom w:val="single" w:color="auto" w:sz="12" w:space="0"/>
              <w:right w:val="single" w:color="auto" w:sz="4" w:space="0"/>
            </w:tcBorders>
            <w:shd w:val="clear" w:color="auto" w:fill="auto"/>
            <w:vAlign w:val="center"/>
          </w:tcPr>
          <w:p w14:paraId="5667B25D">
            <w:pPr>
              <w:pStyle w:val="27"/>
              <w:widowControl/>
              <w:jc w:val="center"/>
              <w:rPr>
                <w:rFonts w:hint="default"/>
                <w:color w:val="8FAADB"/>
                <w:sz w:val="21"/>
                <w:szCs w:val="21"/>
              </w:rPr>
            </w:pPr>
            <w:r>
              <w:rPr>
                <w:color w:val="8FAADB"/>
                <w:sz w:val="21"/>
                <w:szCs w:val="21"/>
              </w:rPr>
              <w:t>D</w:t>
            </w:r>
          </w:p>
        </w:tc>
        <w:tc>
          <w:tcPr>
            <w:tcW w:w="1065" w:type="dxa"/>
            <w:tcBorders>
              <w:top w:val="single" w:color="auto" w:sz="4" w:space="0"/>
              <w:left w:val="single" w:color="auto" w:sz="4" w:space="0"/>
              <w:bottom w:val="single" w:color="auto" w:sz="12" w:space="0"/>
              <w:right w:val="single" w:color="auto" w:sz="4" w:space="0"/>
            </w:tcBorders>
            <w:shd w:val="clear" w:color="auto" w:fill="auto"/>
            <w:vAlign w:val="center"/>
          </w:tcPr>
          <w:p w14:paraId="63328767">
            <w:pPr>
              <w:pStyle w:val="27"/>
              <w:widowControl/>
              <w:jc w:val="center"/>
              <w:rPr>
                <w:rFonts w:hint="default"/>
                <w:color w:val="8FAADB"/>
                <w:sz w:val="21"/>
                <w:szCs w:val="21"/>
              </w:rPr>
            </w:pPr>
            <w:r>
              <w:rPr>
                <w:color w:val="8FAADB"/>
                <w:sz w:val="21"/>
                <w:szCs w:val="21"/>
              </w:rPr>
              <w:t>E</w:t>
            </w:r>
          </w:p>
        </w:tc>
        <w:tc>
          <w:tcPr>
            <w:tcW w:w="1066" w:type="dxa"/>
            <w:tcBorders>
              <w:top w:val="single" w:color="auto" w:sz="4" w:space="0"/>
              <w:left w:val="single" w:color="auto" w:sz="4" w:space="0"/>
              <w:bottom w:val="single" w:color="auto" w:sz="12" w:space="0"/>
              <w:right w:val="single" w:color="auto" w:sz="4" w:space="0"/>
            </w:tcBorders>
            <w:shd w:val="clear" w:color="auto" w:fill="auto"/>
            <w:vAlign w:val="center"/>
          </w:tcPr>
          <w:p w14:paraId="248170A8">
            <w:pPr>
              <w:pStyle w:val="27"/>
              <w:widowControl/>
              <w:jc w:val="center"/>
              <w:rPr>
                <w:rFonts w:hint="default"/>
                <w:color w:val="8FAADB"/>
                <w:sz w:val="21"/>
                <w:szCs w:val="21"/>
              </w:rPr>
            </w:pPr>
            <w:r>
              <w:rPr>
                <w:color w:val="8FAADB"/>
                <w:sz w:val="21"/>
                <w:szCs w:val="21"/>
              </w:rPr>
              <w:t>F</w:t>
            </w:r>
          </w:p>
        </w:tc>
        <w:tc>
          <w:tcPr>
            <w:tcW w:w="1066" w:type="dxa"/>
            <w:tcBorders>
              <w:top w:val="single" w:color="auto" w:sz="4" w:space="0"/>
              <w:left w:val="single" w:color="auto" w:sz="4" w:space="0"/>
              <w:bottom w:val="single" w:color="auto" w:sz="12" w:space="0"/>
              <w:right w:val="single" w:color="auto" w:sz="12" w:space="0"/>
            </w:tcBorders>
            <w:shd w:val="clear" w:color="auto" w:fill="auto"/>
            <w:vAlign w:val="center"/>
          </w:tcPr>
          <w:p w14:paraId="14CBA8A3">
            <w:pPr>
              <w:pStyle w:val="27"/>
              <w:widowControl/>
              <w:jc w:val="center"/>
              <w:rPr>
                <w:rFonts w:hint="default"/>
                <w:color w:val="8FAADB"/>
                <w:sz w:val="21"/>
                <w:szCs w:val="21"/>
              </w:rPr>
            </w:pPr>
            <w:r>
              <w:rPr>
                <w:color w:val="8FAADB"/>
                <w:sz w:val="21"/>
                <w:szCs w:val="21"/>
              </w:rPr>
              <w:t>G</w:t>
            </w:r>
          </w:p>
        </w:tc>
      </w:tr>
    </w:tbl>
    <w:p w14:paraId="02E82DBE">
      <w:pPr>
        <w:pStyle w:val="27"/>
        <w:widowControl/>
        <w:spacing w:before="156" w:beforeLines="50"/>
        <w:jc w:val="center"/>
        <w:rPr>
          <w:rFonts w:hint="default"/>
          <w:b/>
          <w:bCs/>
          <w:color w:val="8FAADB"/>
          <w:sz w:val="21"/>
          <w:szCs w:val="21"/>
        </w:rPr>
      </w:pPr>
      <w:r>
        <w:rPr>
          <w:b/>
          <w:bCs/>
          <w:color w:val="8FAADB"/>
          <w:sz w:val="21"/>
          <w:szCs w:val="21"/>
        </w:rPr>
        <w:t>表 2 运行时的能量需求等级</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819"/>
        <w:gridCol w:w="1041"/>
        <w:gridCol w:w="1041"/>
        <w:gridCol w:w="1041"/>
        <w:gridCol w:w="1041"/>
        <w:gridCol w:w="1041"/>
        <w:gridCol w:w="974"/>
      </w:tblGrid>
      <w:tr w14:paraId="35544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4" w:type="dxa"/>
            <w:tcBorders>
              <w:top w:val="single" w:color="auto" w:sz="12" w:space="0"/>
              <w:left w:val="single" w:color="auto" w:sz="12" w:space="0"/>
              <w:bottom w:val="single" w:color="auto" w:sz="4" w:space="0"/>
              <w:right w:val="single" w:color="auto" w:sz="4" w:space="0"/>
            </w:tcBorders>
            <w:shd w:val="clear" w:color="auto" w:fill="auto"/>
          </w:tcPr>
          <w:p w14:paraId="202F7F6F">
            <w:pPr>
              <w:pStyle w:val="27"/>
              <w:widowControl/>
              <w:jc w:val="center"/>
              <w:rPr>
                <w:rFonts w:hint="default"/>
                <w:color w:val="8FAADB"/>
                <w:sz w:val="21"/>
                <w:szCs w:val="21"/>
              </w:rPr>
            </w:pPr>
            <w:r>
              <w:rPr>
                <w:color w:val="8FAADB"/>
                <w:sz w:val="21"/>
                <w:szCs w:val="21"/>
              </w:rPr>
              <w:t>特定能量消耗 （mWh/kgm）</w:t>
            </w:r>
          </w:p>
        </w:tc>
        <w:tc>
          <w:tcPr>
            <w:tcW w:w="819" w:type="dxa"/>
            <w:tcBorders>
              <w:top w:val="single" w:color="auto" w:sz="12" w:space="0"/>
              <w:left w:val="single" w:color="auto" w:sz="4" w:space="0"/>
              <w:bottom w:val="single" w:color="auto" w:sz="4" w:space="0"/>
              <w:right w:val="single" w:color="auto" w:sz="4" w:space="0"/>
            </w:tcBorders>
            <w:shd w:val="clear" w:color="auto" w:fill="auto"/>
          </w:tcPr>
          <w:p w14:paraId="59387BA6">
            <w:pPr>
              <w:pStyle w:val="27"/>
              <w:widowControl/>
              <w:jc w:val="center"/>
              <w:rPr>
                <w:rFonts w:hint="default"/>
                <w:color w:val="8FAADB"/>
                <w:sz w:val="21"/>
                <w:szCs w:val="21"/>
              </w:rPr>
            </w:pPr>
            <w:r>
              <w:rPr>
                <w:color w:val="8FAADB"/>
                <w:sz w:val="21"/>
                <w:szCs w:val="21"/>
              </w:rPr>
              <w:t>≤0.56</w:t>
            </w:r>
          </w:p>
        </w:tc>
        <w:tc>
          <w:tcPr>
            <w:tcW w:w="1041" w:type="dxa"/>
            <w:tcBorders>
              <w:top w:val="single" w:color="auto" w:sz="12" w:space="0"/>
              <w:left w:val="single" w:color="auto" w:sz="4" w:space="0"/>
              <w:bottom w:val="single" w:color="auto" w:sz="4" w:space="0"/>
              <w:right w:val="single" w:color="auto" w:sz="4" w:space="0"/>
            </w:tcBorders>
            <w:shd w:val="clear" w:color="auto" w:fill="auto"/>
          </w:tcPr>
          <w:p w14:paraId="66EC743B">
            <w:pPr>
              <w:pStyle w:val="27"/>
              <w:widowControl/>
              <w:jc w:val="center"/>
              <w:rPr>
                <w:rFonts w:hint="default"/>
                <w:color w:val="8FAADB"/>
                <w:sz w:val="21"/>
                <w:szCs w:val="21"/>
              </w:rPr>
            </w:pPr>
            <w:r>
              <w:rPr>
                <w:color w:val="8FAADB"/>
                <w:sz w:val="21"/>
                <w:szCs w:val="21"/>
              </w:rPr>
              <w:t>（0.56,</w:t>
            </w:r>
          </w:p>
          <w:p w14:paraId="1833EEFA">
            <w:pPr>
              <w:pStyle w:val="27"/>
              <w:widowControl/>
              <w:jc w:val="center"/>
              <w:rPr>
                <w:rFonts w:hint="default"/>
                <w:color w:val="8FAADB"/>
                <w:sz w:val="21"/>
                <w:szCs w:val="21"/>
              </w:rPr>
            </w:pPr>
            <w:r>
              <w:rPr>
                <w:color w:val="8FAADB"/>
                <w:sz w:val="21"/>
                <w:szCs w:val="21"/>
              </w:rPr>
              <w:t>0.84]</w:t>
            </w:r>
          </w:p>
        </w:tc>
        <w:tc>
          <w:tcPr>
            <w:tcW w:w="1041" w:type="dxa"/>
            <w:tcBorders>
              <w:top w:val="single" w:color="auto" w:sz="12" w:space="0"/>
              <w:left w:val="single" w:color="auto" w:sz="4" w:space="0"/>
              <w:bottom w:val="single" w:color="auto" w:sz="4" w:space="0"/>
              <w:right w:val="single" w:color="auto" w:sz="4" w:space="0"/>
            </w:tcBorders>
            <w:shd w:val="clear" w:color="auto" w:fill="auto"/>
          </w:tcPr>
          <w:p w14:paraId="1B63A3BF">
            <w:pPr>
              <w:pStyle w:val="27"/>
              <w:widowControl/>
              <w:jc w:val="center"/>
              <w:rPr>
                <w:rFonts w:hint="default"/>
                <w:color w:val="8FAADB"/>
                <w:sz w:val="21"/>
                <w:szCs w:val="21"/>
              </w:rPr>
            </w:pPr>
            <w:r>
              <w:rPr>
                <w:color w:val="8FAADB"/>
                <w:sz w:val="21"/>
                <w:szCs w:val="21"/>
              </w:rPr>
              <w:t>（0.84,</w:t>
            </w:r>
          </w:p>
          <w:p w14:paraId="588D8F55">
            <w:pPr>
              <w:pStyle w:val="27"/>
              <w:widowControl/>
              <w:jc w:val="center"/>
              <w:rPr>
                <w:rFonts w:hint="default"/>
                <w:color w:val="8FAADB"/>
                <w:sz w:val="21"/>
                <w:szCs w:val="21"/>
              </w:rPr>
            </w:pPr>
            <w:r>
              <w:rPr>
                <w:color w:val="8FAADB"/>
                <w:sz w:val="21"/>
                <w:szCs w:val="21"/>
              </w:rPr>
              <w:t>1.26]</w:t>
            </w:r>
          </w:p>
        </w:tc>
        <w:tc>
          <w:tcPr>
            <w:tcW w:w="1041" w:type="dxa"/>
            <w:tcBorders>
              <w:top w:val="single" w:color="auto" w:sz="12" w:space="0"/>
              <w:left w:val="single" w:color="auto" w:sz="4" w:space="0"/>
              <w:bottom w:val="single" w:color="auto" w:sz="4" w:space="0"/>
              <w:right w:val="single" w:color="auto" w:sz="4" w:space="0"/>
            </w:tcBorders>
            <w:shd w:val="clear" w:color="auto" w:fill="auto"/>
          </w:tcPr>
          <w:p w14:paraId="49C08B84">
            <w:pPr>
              <w:pStyle w:val="27"/>
              <w:widowControl/>
              <w:jc w:val="center"/>
              <w:rPr>
                <w:rFonts w:hint="default"/>
                <w:color w:val="8FAADB"/>
                <w:sz w:val="21"/>
                <w:szCs w:val="21"/>
              </w:rPr>
            </w:pPr>
            <w:r>
              <w:rPr>
                <w:color w:val="8FAADB"/>
                <w:sz w:val="21"/>
                <w:szCs w:val="21"/>
              </w:rPr>
              <w:t>（1.26,</w:t>
            </w:r>
          </w:p>
          <w:p w14:paraId="7AB52669">
            <w:pPr>
              <w:pStyle w:val="27"/>
              <w:widowControl/>
              <w:jc w:val="center"/>
              <w:rPr>
                <w:rFonts w:hint="default"/>
                <w:color w:val="8FAADB"/>
                <w:sz w:val="21"/>
                <w:szCs w:val="21"/>
              </w:rPr>
            </w:pPr>
            <w:r>
              <w:rPr>
                <w:color w:val="8FAADB"/>
                <w:sz w:val="21"/>
                <w:szCs w:val="21"/>
              </w:rPr>
              <w:t>1.89]</w:t>
            </w:r>
          </w:p>
        </w:tc>
        <w:tc>
          <w:tcPr>
            <w:tcW w:w="1041" w:type="dxa"/>
            <w:tcBorders>
              <w:top w:val="single" w:color="auto" w:sz="12" w:space="0"/>
              <w:left w:val="single" w:color="auto" w:sz="4" w:space="0"/>
              <w:bottom w:val="single" w:color="auto" w:sz="4" w:space="0"/>
              <w:right w:val="single" w:color="auto" w:sz="4" w:space="0"/>
            </w:tcBorders>
            <w:shd w:val="clear" w:color="auto" w:fill="auto"/>
          </w:tcPr>
          <w:p w14:paraId="128F73B9">
            <w:pPr>
              <w:pStyle w:val="27"/>
              <w:widowControl/>
              <w:jc w:val="center"/>
              <w:rPr>
                <w:rFonts w:hint="default"/>
                <w:color w:val="8FAADB"/>
                <w:sz w:val="21"/>
                <w:szCs w:val="21"/>
              </w:rPr>
            </w:pPr>
            <w:r>
              <w:rPr>
                <w:color w:val="8FAADB"/>
                <w:sz w:val="21"/>
                <w:szCs w:val="21"/>
              </w:rPr>
              <w:t>（1.89,</w:t>
            </w:r>
          </w:p>
          <w:p w14:paraId="24573123">
            <w:pPr>
              <w:pStyle w:val="27"/>
              <w:widowControl/>
              <w:jc w:val="center"/>
              <w:rPr>
                <w:rFonts w:hint="default"/>
                <w:color w:val="8FAADB"/>
                <w:sz w:val="21"/>
                <w:szCs w:val="21"/>
              </w:rPr>
            </w:pPr>
            <w:r>
              <w:rPr>
                <w:color w:val="8FAADB"/>
                <w:sz w:val="21"/>
                <w:szCs w:val="21"/>
              </w:rPr>
              <w:t>2.80]</w:t>
            </w:r>
          </w:p>
        </w:tc>
        <w:tc>
          <w:tcPr>
            <w:tcW w:w="1041" w:type="dxa"/>
            <w:tcBorders>
              <w:top w:val="single" w:color="auto" w:sz="12" w:space="0"/>
              <w:left w:val="single" w:color="auto" w:sz="4" w:space="0"/>
              <w:bottom w:val="single" w:color="auto" w:sz="4" w:space="0"/>
              <w:right w:val="single" w:color="auto" w:sz="4" w:space="0"/>
            </w:tcBorders>
            <w:shd w:val="clear" w:color="auto" w:fill="auto"/>
          </w:tcPr>
          <w:p w14:paraId="4004D6A5">
            <w:pPr>
              <w:pStyle w:val="27"/>
              <w:widowControl/>
              <w:jc w:val="center"/>
              <w:rPr>
                <w:rFonts w:hint="default"/>
                <w:color w:val="8FAADB"/>
                <w:sz w:val="21"/>
                <w:szCs w:val="21"/>
              </w:rPr>
            </w:pPr>
            <w:r>
              <w:rPr>
                <w:color w:val="8FAADB"/>
                <w:sz w:val="21"/>
                <w:szCs w:val="21"/>
              </w:rPr>
              <w:t>（2.80,</w:t>
            </w:r>
          </w:p>
          <w:p w14:paraId="14AB43FF">
            <w:pPr>
              <w:pStyle w:val="27"/>
              <w:widowControl/>
              <w:jc w:val="center"/>
              <w:rPr>
                <w:rFonts w:hint="default"/>
                <w:color w:val="8FAADB"/>
                <w:sz w:val="21"/>
                <w:szCs w:val="21"/>
              </w:rPr>
            </w:pPr>
            <w:r>
              <w:rPr>
                <w:color w:val="8FAADB"/>
                <w:sz w:val="21"/>
                <w:szCs w:val="21"/>
              </w:rPr>
              <w:t>4.20]</w:t>
            </w:r>
          </w:p>
        </w:tc>
        <w:tc>
          <w:tcPr>
            <w:tcW w:w="974" w:type="dxa"/>
            <w:tcBorders>
              <w:top w:val="single" w:color="auto" w:sz="12" w:space="0"/>
              <w:left w:val="single" w:color="auto" w:sz="4" w:space="0"/>
              <w:bottom w:val="single" w:color="auto" w:sz="4" w:space="0"/>
              <w:right w:val="single" w:color="auto" w:sz="12" w:space="0"/>
            </w:tcBorders>
            <w:shd w:val="clear" w:color="auto" w:fill="auto"/>
          </w:tcPr>
          <w:p w14:paraId="095C4F21">
            <w:pPr>
              <w:pStyle w:val="27"/>
              <w:widowControl/>
              <w:jc w:val="center"/>
              <w:rPr>
                <w:rFonts w:hint="default"/>
                <w:color w:val="8FAADB"/>
                <w:sz w:val="21"/>
                <w:szCs w:val="21"/>
              </w:rPr>
            </w:pPr>
            <w:r>
              <w:rPr>
                <w:color w:val="8FAADB"/>
                <w:sz w:val="21"/>
                <w:szCs w:val="21"/>
              </w:rPr>
              <w:t>＞4.20</w:t>
            </w:r>
          </w:p>
        </w:tc>
      </w:tr>
      <w:tr w14:paraId="47174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4" w:type="dxa"/>
            <w:tcBorders>
              <w:top w:val="single" w:color="auto" w:sz="4" w:space="0"/>
              <w:left w:val="single" w:color="auto" w:sz="12" w:space="0"/>
              <w:bottom w:val="single" w:color="auto" w:sz="12" w:space="0"/>
              <w:right w:val="single" w:color="auto" w:sz="4" w:space="0"/>
            </w:tcBorders>
            <w:shd w:val="clear" w:color="auto" w:fill="auto"/>
            <w:vAlign w:val="center"/>
          </w:tcPr>
          <w:p w14:paraId="7E686F32">
            <w:pPr>
              <w:pStyle w:val="27"/>
              <w:widowControl/>
              <w:jc w:val="center"/>
              <w:rPr>
                <w:rFonts w:hint="default"/>
                <w:color w:val="8FAADB"/>
                <w:sz w:val="21"/>
                <w:szCs w:val="21"/>
              </w:rPr>
            </w:pPr>
            <w:r>
              <w:rPr>
                <w:color w:val="8FAADB"/>
                <w:sz w:val="21"/>
                <w:szCs w:val="21"/>
              </w:rPr>
              <w:t>等级</w:t>
            </w:r>
          </w:p>
        </w:tc>
        <w:tc>
          <w:tcPr>
            <w:tcW w:w="819" w:type="dxa"/>
            <w:tcBorders>
              <w:top w:val="single" w:color="auto" w:sz="4" w:space="0"/>
              <w:left w:val="single" w:color="auto" w:sz="4" w:space="0"/>
              <w:bottom w:val="single" w:color="auto" w:sz="12" w:space="0"/>
              <w:right w:val="single" w:color="auto" w:sz="4" w:space="0"/>
            </w:tcBorders>
            <w:shd w:val="clear" w:color="auto" w:fill="auto"/>
            <w:vAlign w:val="center"/>
          </w:tcPr>
          <w:p w14:paraId="077EBF16">
            <w:pPr>
              <w:pStyle w:val="27"/>
              <w:widowControl/>
              <w:jc w:val="center"/>
              <w:rPr>
                <w:rFonts w:hint="default"/>
                <w:color w:val="8FAADB"/>
                <w:sz w:val="21"/>
                <w:szCs w:val="21"/>
              </w:rPr>
            </w:pPr>
            <w:r>
              <w:rPr>
                <w:color w:val="8FAADB"/>
                <w:sz w:val="21"/>
                <w:szCs w:val="21"/>
              </w:rPr>
              <w:t>A</w:t>
            </w:r>
          </w:p>
        </w:tc>
        <w:tc>
          <w:tcPr>
            <w:tcW w:w="1041" w:type="dxa"/>
            <w:tcBorders>
              <w:top w:val="single" w:color="auto" w:sz="4" w:space="0"/>
              <w:left w:val="single" w:color="auto" w:sz="4" w:space="0"/>
              <w:bottom w:val="single" w:color="auto" w:sz="12" w:space="0"/>
              <w:right w:val="single" w:color="auto" w:sz="4" w:space="0"/>
            </w:tcBorders>
            <w:shd w:val="clear" w:color="auto" w:fill="auto"/>
            <w:vAlign w:val="center"/>
          </w:tcPr>
          <w:p w14:paraId="24757474">
            <w:pPr>
              <w:pStyle w:val="27"/>
              <w:widowControl/>
              <w:jc w:val="center"/>
              <w:rPr>
                <w:rFonts w:hint="default"/>
                <w:color w:val="8FAADB"/>
                <w:sz w:val="21"/>
                <w:szCs w:val="21"/>
              </w:rPr>
            </w:pPr>
            <w:r>
              <w:rPr>
                <w:color w:val="8FAADB"/>
                <w:sz w:val="21"/>
                <w:szCs w:val="21"/>
              </w:rPr>
              <w:t>B</w:t>
            </w:r>
          </w:p>
        </w:tc>
        <w:tc>
          <w:tcPr>
            <w:tcW w:w="1041" w:type="dxa"/>
            <w:tcBorders>
              <w:top w:val="single" w:color="auto" w:sz="4" w:space="0"/>
              <w:left w:val="single" w:color="auto" w:sz="4" w:space="0"/>
              <w:bottom w:val="single" w:color="auto" w:sz="12" w:space="0"/>
              <w:right w:val="single" w:color="auto" w:sz="4" w:space="0"/>
            </w:tcBorders>
            <w:shd w:val="clear" w:color="auto" w:fill="auto"/>
            <w:vAlign w:val="center"/>
          </w:tcPr>
          <w:p w14:paraId="4901483A">
            <w:pPr>
              <w:pStyle w:val="27"/>
              <w:widowControl/>
              <w:jc w:val="center"/>
              <w:rPr>
                <w:rFonts w:hint="default"/>
                <w:color w:val="8FAADB"/>
                <w:sz w:val="21"/>
                <w:szCs w:val="21"/>
              </w:rPr>
            </w:pPr>
            <w:r>
              <w:rPr>
                <w:color w:val="8FAADB"/>
                <w:sz w:val="21"/>
                <w:szCs w:val="21"/>
              </w:rPr>
              <w:t>C</w:t>
            </w:r>
          </w:p>
        </w:tc>
        <w:tc>
          <w:tcPr>
            <w:tcW w:w="1041" w:type="dxa"/>
            <w:tcBorders>
              <w:top w:val="single" w:color="auto" w:sz="4" w:space="0"/>
              <w:left w:val="single" w:color="auto" w:sz="4" w:space="0"/>
              <w:bottom w:val="single" w:color="auto" w:sz="12" w:space="0"/>
              <w:right w:val="single" w:color="auto" w:sz="4" w:space="0"/>
            </w:tcBorders>
            <w:shd w:val="clear" w:color="auto" w:fill="auto"/>
            <w:vAlign w:val="center"/>
          </w:tcPr>
          <w:p w14:paraId="513CBADA">
            <w:pPr>
              <w:pStyle w:val="27"/>
              <w:widowControl/>
              <w:jc w:val="center"/>
              <w:rPr>
                <w:rFonts w:hint="default"/>
                <w:color w:val="8FAADB"/>
                <w:sz w:val="21"/>
                <w:szCs w:val="21"/>
              </w:rPr>
            </w:pPr>
            <w:r>
              <w:rPr>
                <w:color w:val="8FAADB"/>
                <w:sz w:val="21"/>
                <w:szCs w:val="21"/>
              </w:rPr>
              <w:t>D</w:t>
            </w:r>
          </w:p>
        </w:tc>
        <w:tc>
          <w:tcPr>
            <w:tcW w:w="1041" w:type="dxa"/>
            <w:tcBorders>
              <w:top w:val="single" w:color="auto" w:sz="4" w:space="0"/>
              <w:left w:val="single" w:color="auto" w:sz="4" w:space="0"/>
              <w:bottom w:val="single" w:color="auto" w:sz="12" w:space="0"/>
              <w:right w:val="single" w:color="auto" w:sz="4" w:space="0"/>
            </w:tcBorders>
            <w:shd w:val="clear" w:color="auto" w:fill="auto"/>
            <w:vAlign w:val="center"/>
          </w:tcPr>
          <w:p w14:paraId="21D9189C">
            <w:pPr>
              <w:pStyle w:val="27"/>
              <w:widowControl/>
              <w:jc w:val="center"/>
              <w:rPr>
                <w:rFonts w:hint="default"/>
                <w:color w:val="8FAADB"/>
                <w:sz w:val="21"/>
                <w:szCs w:val="21"/>
              </w:rPr>
            </w:pPr>
            <w:r>
              <w:rPr>
                <w:color w:val="8FAADB"/>
                <w:sz w:val="21"/>
                <w:szCs w:val="21"/>
              </w:rPr>
              <w:t>E</w:t>
            </w:r>
          </w:p>
        </w:tc>
        <w:tc>
          <w:tcPr>
            <w:tcW w:w="1041" w:type="dxa"/>
            <w:tcBorders>
              <w:top w:val="single" w:color="auto" w:sz="4" w:space="0"/>
              <w:left w:val="single" w:color="auto" w:sz="4" w:space="0"/>
              <w:bottom w:val="single" w:color="auto" w:sz="12" w:space="0"/>
              <w:right w:val="single" w:color="auto" w:sz="4" w:space="0"/>
            </w:tcBorders>
            <w:shd w:val="clear" w:color="auto" w:fill="auto"/>
            <w:vAlign w:val="center"/>
          </w:tcPr>
          <w:p w14:paraId="2091E33A">
            <w:pPr>
              <w:pStyle w:val="27"/>
              <w:widowControl/>
              <w:jc w:val="center"/>
              <w:rPr>
                <w:rFonts w:hint="default"/>
                <w:color w:val="8FAADB"/>
                <w:sz w:val="21"/>
                <w:szCs w:val="21"/>
              </w:rPr>
            </w:pPr>
            <w:r>
              <w:rPr>
                <w:color w:val="8FAADB"/>
                <w:sz w:val="21"/>
                <w:szCs w:val="21"/>
              </w:rPr>
              <w:t>F</w:t>
            </w:r>
          </w:p>
        </w:tc>
        <w:tc>
          <w:tcPr>
            <w:tcW w:w="974" w:type="dxa"/>
            <w:tcBorders>
              <w:top w:val="single" w:color="auto" w:sz="4" w:space="0"/>
              <w:left w:val="single" w:color="auto" w:sz="4" w:space="0"/>
              <w:bottom w:val="single" w:color="auto" w:sz="12" w:space="0"/>
              <w:right w:val="single" w:color="auto" w:sz="12" w:space="0"/>
            </w:tcBorders>
            <w:shd w:val="clear" w:color="auto" w:fill="auto"/>
            <w:vAlign w:val="center"/>
          </w:tcPr>
          <w:p w14:paraId="17C6F7A6">
            <w:pPr>
              <w:pStyle w:val="27"/>
              <w:widowControl/>
              <w:jc w:val="center"/>
              <w:rPr>
                <w:rFonts w:hint="default"/>
                <w:color w:val="8FAADB"/>
                <w:sz w:val="21"/>
                <w:szCs w:val="21"/>
              </w:rPr>
            </w:pPr>
            <w:r>
              <w:rPr>
                <w:color w:val="8FAADB"/>
                <w:sz w:val="21"/>
                <w:szCs w:val="21"/>
              </w:rPr>
              <w:t>G</w:t>
            </w:r>
          </w:p>
        </w:tc>
      </w:tr>
    </w:tbl>
    <w:p w14:paraId="63A666CB">
      <w:pPr>
        <w:pStyle w:val="27"/>
        <w:widowControl/>
        <w:rPr>
          <w:rFonts w:hint="default"/>
        </w:rPr>
      </w:pPr>
    </w:p>
    <w:p w14:paraId="01C26160">
      <w:pPr>
        <w:pStyle w:val="27"/>
        <w:widowControl/>
        <w:rPr>
          <w:rFonts w:hint="default"/>
        </w:rPr>
      </w:pPr>
      <w:r>
        <w:rPr>
          <w:rFonts w:hint="default" w:ascii="Times New Roman" w:hAnsi="Times New Roman"/>
          <w:b/>
          <w:bCs/>
        </w:rPr>
        <w:t xml:space="preserve">7.2.4  </w:t>
      </w:r>
      <w:r>
        <w:t>不含可再生能源发电的建筑能耗综合值应按下式计算：</w:t>
      </w:r>
    </w:p>
    <w:p w14:paraId="191E5B5F">
      <w:pPr>
        <w:pStyle w:val="27"/>
        <w:widowControl/>
        <w:jc w:val="center"/>
        <w:rPr>
          <w:rFonts w:hint="default"/>
        </w:rPr>
      </w:pPr>
      <w:r>
        <w:rPr>
          <w:position w:val="-24"/>
        </w:rPr>
        <w:object>
          <v:shape id="_x0000_i1054" o:spt="75" type="#_x0000_t75" style="height:39.6pt;width:292.2pt;" o:ole="t" filled="f" o:preferrelative="t" stroked="f" coordsize="21600,21600">
            <v:path/>
            <v:fill on="f" focussize="0,0"/>
            <v:stroke on="f" joinstyle="miter"/>
            <v:imagedata r:id="rId60" o:title=""/>
            <o:lock v:ext="edit" aspectratio="t"/>
            <w10:wrap type="none"/>
            <w10:anchorlock/>
          </v:shape>
          <o:OLEObject Type="Embed" ProgID="" ShapeID="_x0000_i1054" DrawAspect="Content" ObjectID="_1468075754" r:id="rId59">
            <o:LockedField>false</o:LockedField>
          </o:OLEObject>
        </w:object>
      </w:r>
      <w:r>
        <w:t xml:space="preserve">      (7.2.4)</w:t>
      </w:r>
    </w:p>
    <w:p w14:paraId="3CA40788">
      <w:pPr>
        <w:pStyle w:val="27"/>
        <w:widowControl/>
        <w:rPr>
          <w:rFonts w:hint="default"/>
        </w:rPr>
      </w:pPr>
      <w:r>
        <w:t xml:space="preserve">式中： </w:t>
      </w:r>
      <w:r>
        <w:rPr>
          <w:position w:val="-10"/>
          <w:vertAlign w:val="subscript"/>
        </w:rPr>
        <w:object>
          <v:shape id="_x0000_i1055" o:spt="75" type="#_x0000_t75" style="height:23.4pt;width:21pt;" o:ole="t" filled="f" o:preferrelative="t" stroked="f" coordsize="21600,21600">
            <v:path/>
            <v:fill on="f" focussize="0,0"/>
            <v:stroke on="f" joinstyle="miter"/>
            <v:imagedata r:id="rId62" o:title=""/>
            <o:lock v:ext="edit" aspectratio="t"/>
            <w10:wrap type="none"/>
            <w10:anchorlock/>
          </v:shape>
          <o:OLEObject Type="Embed" ProgID="" ShapeID="_x0000_i1055" DrawAspect="Content" ObjectID="_1468075755" r:id="rId61">
            <o:LockedField>false</o:LockedField>
          </o:OLEObject>
        </w:object>
      </w:r>
      <w:r>
        <w:t>——年供暖系统能源消耗，kWh；</w:t>
      </w:r>
    </w:p>
    <w:p w14:paraId="7BC1C9D7">
      <w:pPr>
        <w:pStyle w:val="27"/>
        <w:widowControl/>
        <w:ind w:left="840" w:leftChars="400"/>
        <w:rPr>
          <w:rFonts w:hint="default"/>
        </w:rPr>
      </w:pPr>
      <w:r>
        <w:rPr>
          <w:position w:val="-12"/>
          <w:vertAlign w:val="subscript"/>
        </w:rPr>
        <w:object>
          <v:shape id="_x0000_i1056" o:spt="75" type="#_x0000_t75" style="height:23.4pt;width:18.6pt;" o:ole="t" filled="f" o:preferrelative="t" stroked="f" coordsize="21600,21600">
            <v:path/>
            <v:fill on="f" focussize="0,0"/>
            <v:stroke on="f" joinstyle="miter"/>
            <v:imagedata r:id="rId64" o:title=""/>
            <o:lock v:ext="edit" aspectratio="t"/>
            <w10:wrap type="none"/>
            <w10:anchorlock/>
          </v:shape>
          <o:OLEObject Type="Embed" ProgID="" ShapeID="_x0000_i1056" DrawAspect="Content" ObjectID="_1468075756" r:id="rId63">
            <o:LockedField>false</o:LockedField>
          </o:OLEObject>
        </w:object>
      </w:r>
      <w:r>
        <w:t>——年供冷系统能源消耗，kWh；</w:t>
      </w:r>
    </w:p>
    <w:p w14:paraId="54692A5A">
      <w:pPr>
        <w:pStyle w:val="27"/>
        <w:widowControl/>
        <w:ind w:left="840" w:leftChars="400"/>
        <w:rPr>
          <w:rFonts w:hint="default"/>
        </w:rPr>
      </w:pPr>
      <w:r>
        <w:rPr>
          <w:position w:val="-12"/>
          <w:vertAlign w:val="subscript"/>
        </w:rPr>
        <w:object>
          <v:shape id="_x0000_i1057" o:spt="75" type="#_x0000_t75" style="height:23.4pt;width:18.6pt;" o:ole="t" filled="f" o:preferrelative="t" stroked="f" coordsize="21600,21600">
            <v:path/>
            <v:fill on="f" focussize="0,0"/>
            <v:stroke on="f" joinstyle="miter"/>
            <v:imagedata r:id="rId66" o:title=""/>
            <o:lock v:ext="edit" aspectratio="t"/>
            <w10:wrap type="none"/>
            <w10:anchorlock/>
          </v:shape>
          <o:OLEObject Type="Embed" ProgID="" ShapeID="_x0000_i1057" DrawAspect="Content" ObjectID="_1468075757" r:id="rId65">
            <o:LockedField>false</o:LockedField>
          </o:OLEObject>
        </w:object>
      </w:r>
      <w:r>
        <w:t>——年照明系统能源消耗，kWh；</w:t>
      </w:r>
    </w:p>
    <w:p w14:paraId="618A923D">
      <w:pPr>
        <w:pStyle w:val="27"/>
        <w:widowControl/>
        <w:ind w:left="840" w:leftChars="400"/>
        <w:rPr>
          <w:rFonts w:hint="default"/>
        </w:rPr>
      </w:pPr>
      <w:r>
        <w:rPr>
          <w:position w:val="-12"/>
          <w:vertAlign w:val="subscript"/>
        </w:rPr>
        <w:object>
          <v:shape id="_x0000_i1058" o:spt="75" type="#_x0000_t75" style="height:23.4pt;width:23.4pt;" o:ole="t" filled="f" o:preferrelative="t" stroked="f" coordsize="21600,21600">
            <v:path/>
            <v:fill on="f" focussize="0,0"/>
            <v:stroke on="f" joinstyle="miter"/>
            <v:imagedata r:id="rId68" o:title=""/>
            <o:lock v:ext="edit" aspectratio="t"/>
            <w10:wrap type="none"/>
            <w10:anchorlock/>
          </v:shape>
          <o:OLEObject Type="Embed" ProgID="" ShapeID="_x0000_i1058" DrawAspect="Content" ObjectID="_1468075758" r:id="rId67">
            <o:LockedField>false</o:LockedField>
          </o:OLEObject>
        </w:object>
      </w:r>
      <w:r>
        <w:t>——年生活热水系统能源消耗，kWh；</w:t>
      </w:r>
    </w:p>
    <w:p w14:paraId="1C191C4F">
      <w:pPr>
        <w:pStyle w:val="27"/>
        <w:widowControl/>
        <w:ind w:left="840" w:leftChars="400"/>
        <w:rPr>
          <w:rFonts w:hint="default"/>
        </w:rPr>
      </w:pPr>
      <w:r>
        <w:rPr>
          <w:position w:val="-12"/>
          <w:vertAlign w:val="subscript"/>
        </w:rPr>
        <w:object>
          <v:shape id="_x0000_i1059" o:spt="75" type="#_x0000_t75" style="height:23.4pt;width:18.6pt;" o:ole="t" filled="f" o:preferrelative="t" stroked="f" coordsize="21600,21600">
            <v:path/>
            <v:fill on="f" focussize="0,0"/>
            <v:stroke on="f" joinstyle="miter"/>
            <v:imagedata r:id="rId70" o:title=""/>
            <o:lock v:ext="edit" aspectratio="t"/>
            <w10:wrap type="none"/>
            <w10:anchorlock/>
          </v:shape>
          <o:OLEObject Type="Embed" ProgID="" ShapeID="_x0000_i1059" DrawAspect="Content" ObjectID="_1468075759" r:id="rId69">
            <o:LockedField>false</o:LockedField>
          </o:OLEObject>
        </w:object>
      </w:r>
      <w:r>
        <w:t>——年电梯系统能源消耗，kWh。</w:t>
      </w:r>
    </w:p>
    <w:p w14:paraId="0A5FB6A1">
      <w:pPr>
        <w:pStyle w:val="27"/>
        <w:widowControl/>
        <w:rPr>
          <w:rFonts w:hint="default"/>
        </w:rPr>
      </w:pPr>
      <w:r>
        <w:rPr>
          <w:rFonts w:hint="default" w:ascii="Times New Roman" w:hAnsi="Times New Roman"/>
          <w:b/>
          <w:bCs/>
        </w:rPr>
        <w:t xml:space="preserve">7.2.5  </w:t>
      </w:r>
      <w:r>
        <w:t>可再生能源利用率应按下式计算：</w:t>
      </w:r>
    </w:p>
    <w:p w14:paraId="14EDED3F">
      <w:pPr>
        <w:pStyle w:val="27"/>
        <w:widowControl/>
        <w:jc w:val="center"/>
        <w:rPr>
          <w:rFonts w:hint="default"/>
        </w:rPr>
      </w:pPr>
      <w:r>
        <w:rPr>
          <w:position w:val="-30"/>
        </w:rPr>
        <w:object>
          <v:shape id="_x0000_i1060" o:spt="75" type="#_x0000_t75" style="height:40.2pt;width:266.4pt;" o:ole="t" filled="f" o:preferrelative="t" stroked="f" coordsize="21600,21600">
            <v:path/>
            <v:fill on="f" focussize="0,0"/>
            <v:stroke on="f" joinstyle="miter"/>
            <v:imagedata r:id="rId72" o:title=""/>
            <o:lock v:ext="edit" aspectratio="t"/>
            <w10:wrap type="none"/>
            <w10:anchorlock/>
          </v:shape>
          <o:OLEObject Type="Embed" ProgID="" ShapeID="_x0000_i1060" DrawAspect="Content" ObjectID="_1468075760" r:id="rId71">
            <o:LockedField>false</o:LockedField>
          </o:OLEObject>
        </w:object>
      </w:r>
      <w:r>
        <w:t xml:space="preserve">   （7.2.5）</w:t>
      </w:r>
    </w:p>
    <w:p w14:paraId="06B34A8E">
      <w:pPr>
        <w:pStyle w:val="27"/>
        <w:widowControl/>
        <w:rPr>
          <w:rFonts w:hint="default"/>
        </w:rPr>
      </w:pPr>
      <w:r>
        <w:t xml:space="preserve">式中： </w:t>
      </w:r>
      <w:r>
        <w:rPr>
          <w:position w:val="-14"/>
          <w:vertAlign w:val="subscript"/>
        </w:rPr>
        <w:object>
          <v:shape id="_x0000_i1061" o:spt="75" type="#_x0000_t75" style="height:19.8pt;width:28.8pt;" o:ole="t" filled="f" o:preferrelative="t" stroked="f" coordsize="21600,21600">
            <v:path/>
            <v:fill on="f" focussize="0,0"/>
            <v:stroke on="f" joinstyle="miter"/>
            <v:imagedata r:id="rId74" o:title=""/>
            <o:lock v:ext="edit" aspectratio="t"/>
            <w10:wrap type="none"/>
            <w10:anchorlock/>
          </v:shape>
          <o:OLEObject Type="Embed" ProgID="" ShapeID="_x0000_i1061" DrawAspect="Content" ObjectID="_1468075761" r:id="rId73">
            <o:LockedField>false</o:LockedField>
          </o:OLEObject>
        </w:object>
      </w:r>
      <w:r>
        <w:t>——可再生能源利用率，％；</w:t>
      </w:r>
    </w:p>
    <w:p w14:paraId="273FD3B3">
      <w:pPr>
        <w:pStyle w:val="27"/>
        <w:widowControl/>
        <w:ind w:left="840" w:leftChars="400"/>
        <w:rPr>
          <w:rFonts w:hint="default"/>
        </w:rPr>
      </w:pPr>
      <w:r>
        <w:rPr>
          <w:position w:val="-10"/>
          <w:vertAlign w:val="subscript"/>
        </w:rPr>
        <w:object>
          <v:shape id="_x0000_i1062" o:spt="75" type="#_x0000_t75" style="height:19.8pt;width:25.2pt;" o:ole="t" filled="f" o:preferrelative="t" stroked="f" coordsize="21600,21600">
            <v:path/>
            <v:fill on="f" focussize="0,0"/>
            <v:stroke on="f" joinstyle="miter"/>
            <v:imagedata r:id="rId76" o:title=""/>
            <o:lock v:ext="edit" aspectratio="t"/>
            <w10:wrap type="none"/>
            <w10:anchorlock/>
          </v:shape>
          <o:OLEObject Type="Embed" ProgID="" ShapeID="_x0000_i1062" DrawAspect="Content" ObjectID="_1468075762" r:id="rId75">
            <o:LockedField>false</o:LockedField>
          </o:OLEObject>
        </w:object>
      </w:r>
      <w:r>
        <w:t>——供暖系统中可再生能源利用量，kWh；</w:t>
      </w:r>
    </w:p>
    <w:p w14:paraId="56A930A6">
      <w:pPr>
        <w:pStyle w:val="27"/>
        <w:widowControl/>
        <w:ind w:left="840" w:leftChars="400"/>
        <w:rPr>
          <w:rFonts w:hint="default"/>
        </w:rPr>
      </w:pPr>
      <w:r>
        <w:rPr>
          <w:position w:val="-12"/>
          <w:vertAlign w:val="subscript"/>
        </w:rPr>
        <w:object>
          <v:shape id="_x0000_i1063" o:spt="75" type="#_x0000_t75" style="height:19.8pt;width:21.6pt;" o:ole="t" filled="f" o:preferrelative="t" stroked="f" coordsize="21600,21600">
            <v:path/>
            <v:fill on="f" focussize="0,0"/>
            <v:stroke on="f" joinstyle="miter"/>
            <v:imagedata r:id="rId78" o:title=""/>
            <o:lock v:ext="edit" aspectratio="t"/>
            <w10:wrap type="none"/>
            <w10:anchorlock/>
          </v:shape>
          <o:OLEObject Type="Embed" ProgID="" ShapeID="_x0000_i1063" DrawAspect="Content" ObjectID="_1468075763" r:id="rId77">
            <o:LockedField>false</o:LockedField>
          </o:OLEObject>
        </w:object>
      </w:r>
      <w:r>
        <w:t>——供冷系统中可再生能源利用量，kWh；</w:t>
      </w:r>
    </w:p>
    <w:p w14:paraId="33BC3A1B">
      <w:pPr>
        <w:pStyle w:val="27"/>
        <w:widowControl/>
        <w:ind w:left="840" w:leftChars="400"/>
        <w:rPr>
          <w:rFonts w:hint="default"/>
        </w:rPr>
      </w:pPr>
      <w:r>
        <w:rPr>
          <w:position w:val="-12"/>
          <w:vertAlign w:val="subscript"/>
        </w:rPr>
        <w:object>
          <v:shape id="_x0000_i1064" o:spt="75" type="#_x0000_t75" style="height:19.8pt;width:25.2pt;" o:ole="t" filled="f" o:preferrelative="t" stroked="f" coordsize="21600,21600">
            <v:path/>
            <v:fill on="f" focussize="0,0"/>
            <v:stroke on="f" joinstyle="miter"/>
            <v:imagedata r:id="rId80" o:title=""/>
            <o:lock v:ext="edit" aspectratio="t"/>
            <w10:wrap type="none"/>
            <w10:anchorlock/>
          </v:shape>
          <o:OLEObject Type="Embed" ProgID="" ShapeID="_x0000_i1064" DrawAspect="Content" ObjectID="_1468075764" r:id="rId79">
            <o:LockedField>false</o:LockedField>
          </o:OLEObject>
        </w:object>
      </w:r>
      <w:r>
        <w:t>——生活热水系统中可再生能源利用量，kWh；</w:t>
      </w:r>
    </w:p>
    <w:p w14:paraId="570DE391">
      <w:pPr>
        <w:pStyle w:val="27"/>
        <w:widowControl/>
        <w:ind w:left="840" w:leftChars="400"/>
        <w:rPr>
          <w:rFonts w:hint="default"/>
        </w:rPr>
      </w:pPr>
      <w:r>
        <w:rPr>
          <w:position w:val="-10"/>
          <w:vertAlign w:val="subscript"/>
        </w:rPr>
        <w:object>
          <v:shape id="_x0000_i1065" o:spt="75" type="#_x0000_t75" style="height:19.8pt;width:18.6pt;" o:ole="t" filled="f" o:preferrelative="t" stroked="f" coordsize="21600,21600">
            <v:path/>
            <v:fill on="f" focussize="0,0"/>
            <v:stroke on="f" joinstyle="miter"/>
            <v:imagedata r:id="rId82" o:title=""/>
            <o:lock v:ext="edit" aspectratio="t"/>
            <w10:wrap type="none"/>
            <w10:anchorlock/>
          </v:shape>
          <o:OLEObject Type="Embed" ProgID="" ShapeID="_x0000_i1065" DrawAspect="Content" ObjectID="_1468075765" r:id="rId81">
            <o:LockedField>false</o:LockedField>
          </o:OLEObject>
        </w:object>
      </w:r>
      <w:r>
        <w:t>——年供暖耗热量，kWh；</w:t>
      </w:r>
    </w:p>
    <w:p w14:paraId="4AE00FA3">
      <w:pPr>
        <w:pStyle w:val="27"/>
        <w:widowControl/>
        <w:ind w:left="840" w:leftChars="400"/>
        <w:rPr>
          <w:rFonts w:hint="default"/>
        </w:rPr>
      </w:pPr>
      <w:r>
        <w:rPr>
          <w:position w:val="-12"/>
          <w:vertAlign w:val="subscript"/>
        </w:rPr>
        <w:object>
          <v:shape id="_x0000_i1066" o:spt="75" type="#_x0000_t75" style="height:19.8pt;width:17.4pt;" o:ole="t" filled="f" o:preferrelative="t" stroked="f" coordsize="21600,21600">
            <v:path/>
            <v:fill on="f" focussize="0,0"/>
            <v:stroke on="f" joinstyle="miter"/>
            <v:imagedata r:id="rId84" o:title=""/>
            <o:lock v:ext="edit" aspectratio="t"/>
            <w10:wrap type="none"/>
            <w10:anchorlock/>
          </v:shape>
          <o:OLEObject Type="Embed" ProgID="" ShapeID="_x0000_i1066" DrawAspect="Content" ObjectID="_1468075766" r:id="rId83">
            <o:LockedField>false</o:LockedField>
          </o:OLEObject>
        </w:object>
      </w:r>
      <w:r>
        <w:t>——年供冷耗冷量，kWh；</w:t>
      </w:r>
    </w:p>
    <w:p w14:paraId="10C4B184">
      <w:pPr>
        <w:pStyle w:val="27"/>
        <w:widowControl/>
        <w:ind w:left="840" w:leftChars="400"/>
        <w:rPr>
          <w:rFonts w:hint="default"/>
        </w:rPr>
      </w:pPr>
      <w:r>
        <w:rPr>
          <w:position w:val="-12"/>
          <w:vertAlign w:val="subscript"/>
        </w:rPr>
        <w:object>
          <v:shape id="_x0000_i1067" o:spt="75" type="#_x0000_t75" style="height:19.8pt;width:19.8pt;" o:ole="t" filled="f" o:preferrelative="t" stroked="f" coordsize="21600,21600">
            <v:path/>
            <v:fill on="f" focussize="0,0"/>
            <v:stroke on="f" joinstyle="miter"/>
            <v:imagedata r:id="rId86" o:title=""/>
            <o:lock v:ext="edit" aspectratio="t"/>
            <w10:wrap type="none"/>
            <w10:anchorlock/>
          </v:shape>
          <o:OLEObject Type="Embed" ProgID="" ShapeID="_x0000_i1067" DrawAspect="Content" ObjectID="_1468075767" r:id="rId85">
            <o:LockedField>false</o:LockedField>
          </o:OLEObject>
        </w:object>
      </w:r>
      <w:r>
        <w:t>——年生活热水耗热量，kWh。</w:t>
      </w:r>
    </w:p>
    <w:p w14:paraId="64DACB80">
      <w:pPr>
        <w:pStyle w:val="27"/>
        <w:widowControl/>
        <w:rPr>
          <w:rFonts w:hint="default"/>
        </w:rPr>
      </w:pPr>
      <w:r>
        <w:rPr>
          <w:rFonts w:hint="default" w:ascii="Times New Roman" w:hAnsi="Times New Roman"/>
          <w:b/>
          <w:bCs/>
        </w:rPr>
        <w:t xml:space="preserve">7.2.6  </w:t>
      </w:r>
      <w:r>
        <w:t>供暖系统中可再生能源利用量应按下列公式计算：</w:t>
      </w:r>
    </w:p>
    <w:p w14:paraId="38BDD055">
      <w:pPr>
        <w:pStyle w:val="27"/>
        <w:widowControl/>
        <w:jc w:val="center"/>
        <w:rPr>
          <w:rFonts w:hint="default"/>
        </w:rPr>
      </w:pPr>
      <w:r>
        <w:rPr>
          <w:position w:val="-14"/>
        </w:rPr>
        <w:object>
          <v:shape id="_x0000_i1068" o:spt="75" type="#_x0000_t75" style="height:20.4pt;width:196.8pt;" o:ole="t" filled="f" o:preferrelative="t" stroked="f" coordsize="21600,21600">
            <v:path/>
            <v:fill on="f" focussize="0,0"/>
            <v:stroke on="f" joinstyle="miter"/>
            <v:imagedata r:id="rId88" o:title=""/>
            <o:lock v:ext="edit" aspectratio="t"/>
            <w10:wrap type="none"/>
            <w10:anchorlock/>
          </v:shape>
          <o:OLEObject Type="Embed" ProgID="" ShapeID="_x0000_i1068" DrawAspect="Content" ObjectID="_1468075768" r:id="rId87">
            <o:LockedField>false</o:LockedField>
          </o:OLEObject>
        </w:object>
      </w:r>
      <w:r>
        <w:t xml:space="preserve">     （7.2.6-1）</w:t>
      </w:r>
    </w:p>
    <w:p w14:paraId="64EE16C2">
      <w:pPr>
        <w:pStyle w:val="27"/>
        <w:widowControl/>
        <w:jc w:val="center"/>
        <w:rPr>
          <w:rFonts w:hint="default"/>
        </w:rPr>
      </w:pPr>
      <w:r>
        <w:rPr>
          <w:position w:val="-14"/>
        </w:rPr>
        <w:object>
          <v:shape id="_x0000_i1069" o:spt="75" type="#_x0000_t75" style="height:23.4pt;width:128.4pt;" o:ole="t" filled="f" o:preferrelative="t" stroked="f" coordsize="21600,21600">
            <v:path/>
            <v:fill on="f" focussize="0,0"/>
            <v:stroke on="f" joinstyle="miter"/>
            <v:imagedata r:id="rId90" o:title=""/>
            <o:lock v:ext="edit" aspectratio="t"/>
            <w10:wrap type="none"/>
            <w10:anchorlock/>
          </v:shape>
          <o:OLEObject Type="Embed" ProgID="" ShapeID="_x0000_i1069" DrawAspect="Content" ObjectID="_1468075769" r:id="rId89">
            <o:LockedField>false</o:LockedField>
          </o:OLEObject>
        </w:object>
      </w:r>
      <w:r>
        <w:t xml:space="preserve">                （7.2.6-2）</w:t>
      </w:r>
    </w:p>
    <w:p w14:paraId="1CEBEE11">
      <w:pPr>
        <w:pStyle w:val="27"/>
        <w:widowControl/>
        <w:jc w:val="center"/>
        <w:rPr>
          <w:rFonts w:hint="default"/>
        </w:rPr>
      </w:pPr>
      <w:r>
        <w:rPr>
          <w:position w:val="-14"/>
        </w:rPr>
        <w:object>
          <v:shape id="_x0000_i1070" o:spt="75" type="#_x0000_t75" style="height:23.4pt;width:119.4pt;" o:ole="t" filled="f" o:preferrelative="t" stroked="f" coordsize="21600,21600">
            <v:path/>
            <v:fill on="f" focussize="0,0"/>
            <v:stroke on="f" joinstyle="miter"/>
            <v:imagedata r:id="rId92" o:title=""/>
            <o:lock v:ext="edit" aspectratio="t"/>
            <w10:wrap type="none"/>
            <w10:anchorlock/>
          </v:shape>
          <o:OLEObject Type="Embed" ProgID="" ShapeID="_x0000_i1070" DrawAspect="Content" ObjectID="_1468075770" r:id="rId91">
            <o:LockedField>false</o:LockedField>
          </o:OLEObject>
        </w:object>
      </w:r>
      <w:r>
        <w:t xml:space="preserve">                  （7.2.6-3）</w:t>
      </w:r>
    </w:p>
    <w:p w14:paraId="2218B0A2">
      <w:pPr>
        <w:pStyle w:val="27"/>
        <w:widowControl/>
        <w:jc w:val="center"/>
        <w:rPr>
          <w:rFonts w:hint="default"/>
        </w:rPr>
      </w:pPr>
      <w:r>
        <w:rPr>
          <w:position w:val="-14"/>
        </w:rPr>
        <w:object>
          <v:shape id="_x0000_i1071" o:spt="75" type="#_x0000_t75" style="height:23.4pt;width:79.8pt;" o:ole="t" filled="f" o:preferrelative="t" stroked="f" coordsize="21600,21600">
            <v:path/>
            <v:fill on="f" focussize="0,0"/>
            <v:stroke on="f" joinstyle="miter"/>
            <v:imagedata r:id="rId94" o:title=""/>
            <o:lock v:ext="edit" aspectratio="t"/>
            <w10:wrap type="none"/>
            <w10:anchorlock/>
          </v:shape>
          <o:OLEObject Type="Embed" ProgID="" ShapeID="_x0000_i1071" DrawAspect="Content" ObjectID="_1468075771" r:id="rId93">
            <o:LockedField>false</o:LockedField>
          </o:OLEObject>
        </w:object>
      </w:r>
      <w:r>
        <w:t xml:space="preserve">                        （7.2.6-4）</w:t>
      </w:r>
    </w:p>
    <w:p w14:paraId="283D0202">
      <w:pPr>
        <w:pStyle w:val="27"/>
        <w:widowControl/>
        <w:jc w:val="center"/>
        <w:rPr>
          <w:rFonts w:hint="default"/>
        </w:rPr>
      </w:pPr>
      <w:r>
        <w:rPr>
          <w:position w:val="-14"/>
        </w:rPr>
        <w:object>
          <v:shape id="_x0000_i1072" o:spt="75" type="#_x0000_t75" style="height:23.4pt;width:82.2pt;" o:ole="t" filled="f" o:preferrelative="t" stroked="f" coordsize="21600,21600">
            <v:path/>
            <v:fill on="f" focussize="0,0"/>
            <v:stroke on="f" joinstyle="miter"/>
            <v:imagedata r:id="rId96" o:title=""/>
            <o:lock v:ext="edit" aspectratio="t"/>
            <w10:wrap type="none"/>
            <w10:anchorlock/>
          </v:shape>
          <o:OLEObject Type="Embed" ProgID="" ShapeID="_x0000_i1072" DrawAspect="Content" ObjectID="_1468075772" r:id="rId95">
            <o:LockedField>false</o:LockedField>
          </o:OLEObject>
        </w:object>
      </w:r>
      <w:r>
        <w:t xml:space="preserve">                        （7.2.6-5）</w:t>
      </w:r>
    </w:p>
    <w:p w14:paraId="4782C152">
      <w:pPr>
        <w:pStyle w:val="27"/>
        <w:widowControl/>
        <w:rPr>
          <w:rFonts w:hint="default"/>
        </w:rPr>
      </w:pPr>
      <w:r>
        <w:t xml:space="preserve">式中： </w:t>
      </w:r>
      <w:r>
        <w:rPr>
          <w:position w:val="-14"/>
        </w:rPr>
        <w:object>
          <v:shape id="_x0000_i1073" o:spt="75" type="#_x0000_t75" style="height:18.6pt;width:33.6pt;" o:ole="t" filled="f" o:preferrelative="t" stroked="f" coordsize="21600,21600">
            <v:path/>
            <v:fill on="f" focussize="0,0"/>
            <v:stroke on="f" joinstyle="miter"/>
            <v:imagedata r:id="rId98" o:title=""/>
            <o:lock v:ext="edit" aspectratio="t"/>
            <w10:wrap type="none"/>
            <w10:anchorlock/>
          </v:shape>
          <o:OLEObject Type="Embed" ProgID="" ShapeID="_x0000_i1073" DrawAspect="Content" ObjectID="_1468075773" r:id="rId97">
            <o:LockedField>false</o:LockedField>
          </o:OLEObject>
        </w:object>
      </w:r>
      <w:r>
        <w:t>——地源热泵供暖系统的年可再生能源利用量，kWh；</w:t>
      </w:r>
    </w:p>
    <w:p w14:paraId="7E3F4246">
      <w:pPr>
        <w:pStyle w:val="27"/>
        <w:widowControl/>
        <w:ind w:left="840" w:leftChars="400"/>
        <w:rPr>
          <w:rFonts w:hint="default"/>
        </w:rPr>
      </w:pPr>
      <w:r>
        <w:rPr>
          <w:position w:val="-14"/>
        </w:rPr>
        <w:object>
          <v:shape id="_x0000_i1074" o:spt="75" type="#_x0000_t75" style="height:18.6pt;width:31.2pt;" o:ole="t" filled="f" o:preferrelative="t" stroked="f" coordsize="21600,21600">
            <v:path/>
            <v:fill on="f" focussize="0,0"/>
            <v:stroke on="f" joinstyle="miter"/>
            <v:imagedata r:id="rId100" o:title=""/>
            <o:lock v:ext="edit" aspectratio="t"/>
            <w10:wrap type="none"/>
            <w10:anchorlock/>
          </v:shape>
          <o:OLEObject Type="Embed" ProgID="" ShapeID="_x0000_i1074" DrawAspect="Content" ObjectID="_1468075774" r:id="rId99">
            <o:LockedField>false</o:LockedField>
          </o:OLEObject>
        </w:object>
      </w:r>
      <w:r>
        <w:t>——空气源热泵供暖系统的年可再生能源利用量，kWh；</w:t>
      </w:r>
    </w:p>
    <w:p w14:paraId="5BDE6F50">
      <w:pPr>
        <w:pStyle w:val="27"/>
        <w:widowControl/>
        <w:ind w:left="840" w:leftChars="400"/>
        <w:rPr>
          <w:rFonts w:hint="default"/>
        </w:rPr>
      </w:pPr>
      <w:r>
        <w:rPr>
          <w:position w:val="-14"/>
        </w:rPr>
        <w:object>
          <v:shape id="_x0000_i1075" o:spt="75" type="#_x0000_t75" style="height:18.6pt;width:31.2pt;" o:ole="t" filled="f" o:preferrelative="t" stroked="f" coordsize="21600,21600">
            <v:path/>
            <v:fill on="f" focussize="0,0"/>
            <v:stroke on="f" joinstyle="miter"/>
            <v:imagedata r:id="rId102" o:title=""/>
            <o:lock v:ext="edit" aspectratio="t"/>
            <w10:wrap type="none"/>
            <w10:anchorlock/>
          </v:shape>
          <o:OLEObject Type="Embed" ProgID="" ShapeID="_x0000_i1075" DrawAspect="Content" ObjectID="_1468075775" r:id="rId101">
            <o:LockedField>false</o:LockedField>
          </o:OLEObject>
        </w:object>
      </w:r>
      <w:r>
        <w:t>——太阳能热水供暖系统的年可再生能源利用量，kWh；</w:t>
      </w:r>
    </w:p>
    <w:p w14:paraId="7F6141E0">
      <w:pPr>
        <w:pStyle w:val="27"/>
        <w:widowControl/>
        <w:ind w:left="840" w:leftChars="400"/>
        <w:rPr>
          <w:rFonts w:hint="default"/>
        </w:rPr>
      </w:pPr>
      <w:r>
        <w:rPr>
          <w:position w:val="-14"/>
        </w:rPr>
        <w:object>
          <v:shape id="_x0000_i1076" o:spt="75" type="#_x0000_t75" style="height:18.6pt;width:33pt;" o:ole="t" filled="f" o:preferrelative="t" stroked="f" coordsize="21600,21600">
            <v:path/>
            <v:fill on="f" focussize="0,0"/>
            <v:stroke on="f" joinstyle="miter"/>
            <v:imagedata r:id="rId104" o:title=""/>
            <o:lock v:ext="edit" aspectratio="t"/>
            <w10:wrap type="none"/>
            <w10:anchorlock/>
          </v:shape>
          <o:OLEObject Type="Embed" ProgID="" ShapeID="_x0000_i1076" DrawAspect="Content" ObjectID="_1468075776" r:id="rId103">
            <o:LockedField>false</o:LockedField>
          </o:OLEObject>
        </w:object>
      </w:r>
      <w:r>
        <w:t>——生物质供暖系统的年可再生能源利用量，kWh；</w:t>
      </w:r>
    </w:p>
    <w:p w14:paraId="51292B34">
      <w:pPr>
        <w:pStyle w:val="27"/>
        <w:widowControl/>
        <w:ind w:left="840" w:leftChars="400"/>
        <w:rPr>
          <w:rFonts w:hint="default"/>
        </w:rPr>
      </w:pPr>
      <w:r>
        <w:rPr>
          <w:position w:val="-14"/>
        </w:rPr>
        <w:object>
          <v:shape id="_x0000_i1077" o:spt="75" type="#_x0000_t75" style="height:18.6pt;width:27.6pt;" o:ole="t" filled="f" o:preferrelative="t" stroked="f" coordsize="21600,21600">
            <v:path/>
            <v:fill on="f" focussize="0,0"/>
            <v:stroke on="f" joinstyle="miter"/>
            <v:imagedata r:id="rId106" o:title=""/>
            <o:lock v:ext="edit" aspectratio="t"/>
            <w10:wrap type="none"/>
            <w10:anchorlock/>
          </v:shape>
          <o:OLEObject Type="Embed" ProgID="" ShapeID="_x0000_i1077" DrawAspect="Content" ObjectID="_1468075777" r:id="rId105">
            <o:LockedField>false</o:LockedField>
          </o:OLEObject>
        </w:object>
      </w:r>
      <w:r>
        <w:t>——地源热泵系统的年供暖供热量，kWh；</w:t>
      </w:r>
    </w:p>
    <w:p w14:paraId="336B5B68">
      <w:pPr>
        <w:pStyle w:val="27"/>
        <w:widowControl/>
        <w:ind w:left="840" w:leftChars="400"/>
        <w:rPr>
          <w:rFonts w:hint="default"/>
        </w:rPr>
      </w:pPr>
      <w:r>
        <w:rPr>
          <w:position w:val="-14"/>
        </w:rPr>
        <w:object>
          <v:shape id="_x0000_i1078" o:spt="75" type="#_x0000_t75" style="height:18.6pt;width:25.8pt;" o:ole="t" filled="f" o:preferrelative="t" stroked="f" coordsize="21600,21600">
            <v:path/>
            <v:fill on="f" focussize="0,0"/>
            <v:stroke on="f" joinstyle="miter"/>
            <v:imagedata r:id="rId108" o:title=""/>
            <o:lock v:ext="edit" aspectratio="t"/>
            <w10:wrap type="none"/>
            <w10:anchorlock/>
          </v:shape>
          <o:OLEObject Type="Embed" ProgID="" ShapeID="_x0000_i1078" DrawAspect="Content" ObjectID="_1468075778" r:id="rId107">
            <o:LockedField>false</o:LockedField>
          </o:OLEObject>
        </w:object>
      </w:r>
      <w:r>
        <w:t>——空气源热泵系统的年供暖供热量，kWh；</w:t>
      </w:r>
    </w:p>
    <w:p w14:paraId="389E85BD">
      <w:pPr>
        <w:pStyle w:val="27"/>
        <w:widowControl/>
        <w:ind w:left="884" w:leftChars="421"/>
        <w:rPr>
          <w:rFonts w:hint="default"/>
        </w:rPr>
      </w:pPr>
      <w:r>
        <w:rPr>
          <w:position w:val="-14"/>
        </w:rPr>
        <w:object>
          <v:shape id="_x0000_i1079" o:spt="75" type="#_x0000_t75" style="height:18.6pt;width:25.8pt;" o:ole="t" filled="f" o:preferrelative="t" stroked="f" coordsize="21600,21600">
            <v:path/>
            <v:fill on="f" focussize="0,0"/>
            <v:stroke on="f" joinstyle="miter"/>
            <v:imagedata r:id="rId110" o:title=""/>
            <o:lock v:ext="edit" aspectratio="t"/>
            <w10:wrap type="none"/>
            <w10:anchorlock/>
          </v:shape>
          <o:OLEObject Type="Embed" ProgID="" ShapeID="_x0000_i1079" DrawAspect="Content" ObjectID="_1468075779" r:id="rId109">
            <o:LockedField>false</o:LockedField>
          </o:OLEObject>
        </w:object>
      </w:r>
      <w:r>
        <w:t>——太阳能系统的年供暖供热量，kWh；</w:t>
      </w:r>
    </w:p>
    <w:p w14:paraId="347D7F26">
      <w:pPr>
        <w:pStyle w:val="27"/>
        <w:widowControl/>
        <w:ind w:left="840" w:leftChars="400"/>
        <w:rPr>
          <w:rFonts w:hint="default"/>
        </w:rPr>
      </w:pPr>
      <w:r>
        <w:rPr>
          <w:position w:val="-14"/>
        </w:rPr>
        <w:object>
          <v:shape id="_x0000_i1080" o:spt="75" type="#_x0000_t75" style="height:18.6pt;width:27pt;" o:ole="t" filled="f" o:preferrelative="t" stroked="f" coordsize="21600,21600">
            <v:path/>
            <v:fill on="f" focussize="0,0"/>
            <v:stroke on="f" joinstyle="miter"/>
            <v:imagedata r:id="rId112" o:title=""/>
            <o:lock v:ext="edit" aspectratio="t"/>
            <w10:wrap type="none"/>
            <w10:anchorlock/>
          </v:shape>
          <o:OLEObject Type="Embed" ProgID="" ShapeID="_x0000_i1080" DrawAspect="Content" ObjectID="_1468075780" r:id="rId111">
            <o:LockedField>false</o:LockedField>
          </o:OLEObject>
        </w:object>
      </w:r>
      <w:r>
        <w:t>——生物质供暖系统的年供暖供热量，kWh；</w:t>
      </w:r>
    </w:p>
    <w:p w14:paraId="4D83A653">
      <w:pPr>
        <w:pStyle w:val="27"/>
        <w:widowControl/>
        <w:ind w:left="840" w:leftChars="400"/>
        <w:rPr>
          <w:rFonts w:hint="default"/>
        </w:rPr>
      </w:pPr>
      <w:r>
        <w:rPr>
          <w:position w:val="-14"/>
        </w:rPr>
        <w:object>
          <v:shape id="_x0000_i1081" o:spt="75" type="#_x0000_t75" style="height:18.6pt;width:27.6pt;" o:ole="t" filled="f" o:preferrelative="t" stroked="f" coordsize="21600,21600">
            <v:path/>
            <v:fill on="f" focussize="0,0"/>
            <v:stroke on="f" joinstyle="miter"/>
            <v:imagedata r:id="rId114" o:title=""/>
            <o:lock v:ext="edit" aspectratio="t"/>
            <w10:wrap type="none"/>
            <w10:anchorlock/>
          </v:shape>
          <o:OLEObject Type="Embed" ProgID="" ShapeID="_x0000_i1081" DrawAspect="Content" ObjectID="_1468075781" r:id="rId113">
            <o:LockedField>false</o:LockedField>
          </o:OLEObject>
        </w:object>
      </w:r>
      <w:r>
        <w:t>——地源热泵机组年供暖耗电量，kWh；</w:t>
      </w:r>
    </w:p>
    <w:p w14:paraId="4E90AFF8">
      <w:pPr>
        <w:pStyle w:val="27"/>
        <w:widowControl/>
        <w:ind w:left="840" w:leftChars="400"/>
        <w:rPr>
          <w:rFonts w:hint="default"/>
        </w:rPr>
      </w:pPr>
      <w:r>
        <w:rPr>
          <w:position w:val="-14"/>
        </w:rPr>
        <w:object>
          <v:shape id="_x0000_i1082" o:spt="75" type="#_x0000_t75" style="height:18.6pt;width:25.8pt;" o:ole="t" filled="f" o:preferrelative="t" stroked="f" coordsize="21600,21600">
            <v:path/>
            <v:fill on="f" focussize="0,0"/>
            <v:stroke on="f" joinstyle="miter"/>
            <v:imagedata r:id="rId116" o:title=""/>
            <o:lock v:ext="edit" aspectratio="t"/>
            <w10:wrap type="none"/>
            <w10:anchorlock/>
          </v:shape>
          <o:OLEObject Type="Embed" ProgID="" ShapeID="_x0000_i1082" DrawAspect="Content" ObjectID="_1468075782" r:id="rId115">
            <o:LockedField>false</o:LockedField>
          </o:OLEObject>
        </w:object>
      </w:r>
      <w:r>
        <w:t>——空气源热泵机组年供暖耗电量，kWh。</w:t>
      </w:r>
    </w:p>
    <w:p w14:paraId="1FBB9390">
      <w:pPr>
        <w:pStyle w:val="27"/>
        <w:widowControl/>
        <w:rPr>
          <w:rFonts w:hint="default"/>
        </w:rPr>
      </w:pPr>
      <w:r>
        <w:rPr>
          <w:rFonts w:hint="default" w:ascii="Times New Roman" w:hAnsi="Times New Roman"/>
          <w:b/>
          <w:bCs/>
        </w:rPr>
        <w:t xml:space="preserve">7.2.7  </w:t>
      </w:r>
      <w:r>
        <w:t>生活热水系统中可再生能源利用量应按下列公式计算：</w:t>
      </w:r>
    </w:p>
    <w:p w14:paraId="7A18C650">
      <w:pPr>
        <w:pStyle w:val="27"/>
        <w:widowControl/>
        <w:jc w:val="center"/>
        <w:rPr>
          <w:rFonts w:hint="default"/>
        </w:rPr>
      </w:pPr>
      <w:r>
        <w:rPr>
          <w:position w:val="-14"/>
        </w:rPr>
        <w:object>
          <v:shape id="_x0000_i1083" o:spt="75" type="#_x0000_t75" style="height:18.6pt;width:190.2pt;" o:ole="t" filled="f" o:preferrelative="t" stroked="f" coordsize="21600,21600">
            <v:path/>
            <v:fill on="f" focussize="0,0"/>
            <v:stroke on="f" joinstyle="miter"/>
            <v:imagedata r:id="rId118" o:title=""/>
            <o:lock v:ext="edit" aspectratio="t"/>
            <w10:wrap type="none"/>
            <w10:anchorlock/>
          </v:shape>
          <o:OLEObject Type="Embed" ProgID="" ShapeID="_x0000_i1083" DrawAspect="Content" ObjectID="_1468075783" r:id="rId117">
            <o:LockedField>false</o:LockedField>
          </o:OLEObject>
        </w:object>
      </w:r>
      <w:r>
        <w:t xml:space="preserve">        （7.2.7-1）</w:t>
      </w:r>
    </w:p>
    <w:p w14:paraId="237CE473">
      <w:pPr>
        <w:pStyle w:val="27"/>
        <w:widowControl/>
        <w:jc w:val="center"/>
        <w:rPr>
          <w:rFonts w:hint="default"/>
        </w:rPr>
      </w:pPr>
      <w:r>
        <w:rPr>
          <w:position w:val="-14"/>
        </w:rPr>
        <w:object>
          <v:shape id="_x0000_i1084" o:spt="75" type="#_x0000_t75" style="height:18.6pt;width:112.2pt;" o:ole="t" filled="f" o:preferrelative="t" stroked="f" coordsize="21600,21600">
            <v:path/>
            <v:fill on="f" focussize="0,0"/>
            <v:stroke on="f" joinstyle="miter"/>
            <v:imagedata r:id="rId120" o:title=""/>
            <o:lock v:ext="edit" aspectratio="t"/>
            <w10:wrap type="none"/>
            <w10:anchorlock/>
          </v:shape>
          <o:OLEObject Type="Embed" ProgID="" ShapeID="_x0000_i1084" DrawAspect="Content" ObjectID="_1468075784" r:id="rId119">
            <o:LockedField>false</o:LockedField>
          </o:OLEObject>
        </w:object>
      </w:r>
      <w:r>
        <w:t xml:space="preserve">                     （7.2.7-2）</w:t>
      </w:r>
    </w:p>
    <w:p w14:paraId="0954CD26">
      <w:pPr>
        <w:pStyle w:val="27"/>
        <w:widowControl/>
        <w:jc w:val="center"/>
        <w:rPr>
          <w:rFonts w:hint="default"/>
        </w:rPr>
      </w:pPr>
      <w:r>
        <w:rPr>
          <w:position w:val="-14"/>
        </w:rPr>
        <w:object>
          <v:shape id="_x0000_i1085" o:spt="75" type="#_x0000_t75" style="height:18.6pt;width:105pt;" o:ole="t" filled="f" o:preferrelative="t" stroked="f" coordsize="21600,21600">
            <v:path/>
            <v:fill on="f" focussize="0,0"/>
            <v:stroke on="f" joinstyle="miter"/>
            <v:imagedata r:id="rId122" o:title=""/>
            <o:lock v:ext="edit" aspectratio="t"/>
            <w10:wrap type="none"/>
            <w10:anchorlock/>
          </v:shape>
          <o:OLEObject Type="Embed" ProgID="" ShapeID="_x0000_i1085" DrawAspect="Content" ObjectID="_1468075785" r:id="rId121">
            <o:LockedField>false</o:LockedField>
          </o:OLEObject>
        </w:object>
      </w:r>
      <w:r>
        <w:t xml:space="preserve">                      （7.2.7-3）</w:t>
      </w:r>
    </w:p>
    <w:p w14:paraId="154ED538">
      <w:pPr>
        <w:pStyle w:val="27"/>
        <w:widowControl/>
        <w:jc w:val="center"/>
        <w:rPr>
          <w:rFonts w:hint="default"/>
        </w:rPr>
      </w:pPr>
      <w:r>
        <w:rPr>
          <w:position w:val="-14"/>
        </w:rPr>
        <w:object>
          <v:shape id="_x0000_i1086" o:spt="75" type="#_x0000_t75" style="height:18.6pt;width:70.2pt;" o:ole="t" filled="f" o:preferrelative="t" stroked="f" coordsize="21600,21600">
            <v:path/>
            <v:fill on="f" focussize="0,0"/>
            <v:stroke on="f" joinstyle="miter"/>
            <v:imagedata r:id="rId124" o:title=""/>
            <o:lock v:ext="edit" aspectratio="t"/>
            <w10:wrap type="none"/>
            <w10:anchorlock/>
          </v:shape>
          <o:OLEObject Type="Embed" ProgID="" ShapeID="_x0000_i1086" DrawAspect="Content" ObjectID="_1468075786" r:id="rId123">
            <o:LockedField>false</o:LockedField>
          </o:OLEObject>
        </w:object>
      </w:r>
      <w:r>
        <w:t xml:space="preserve">                           （7.2.7-4）</w:t>
      </w:r>
    </w:p>
    <w:p w14:paraId="0C56717B">
      <w:pPr>
        <w:pStyle w:val="27"/>
        <w:widowControl/>
        <w:jc w:val="center"/>
        <w:rPr>
          <w:rFonts w:hint="default"/>
        </w:rPr>
      </w:pPr>
      <w:r>
        <w:rPr>
          <w:position w:val="-14"/>
        </w:rPr>
        <w:object>
          <v:shape id="_x0000_i1087" o:spt="75" type="#_x0000_t75" style="height:18.6pt;width:73.2pt;" o:ole="t" filled="f" o:preferrelative="t" stroked="f" coordsize="21600,21600">
            <v:path/>
            <v:fill on="f" focussize="0,0"/>
            <v:stroke on="f" joinstyle="miter"/>
            <v:imagedata r:id="rId126" o:title=""/>
            <o:lock v:ext="edit" aspectratio="t"/>
            <w10:wrap type="none"/>
            <w10:anchorlock/>
          </v:shape>
          <o:OLEObject Type="Embed" ProgID="" ShapeID="_x0000_i1087" DrawAspect="Content" ObjectID="_1468075787" r:id="rId125">
            <o:LockedField>false</o:LockedField>
          </o:OLEObject>
        </w:object>
      </w:r>
      <w:r>
        <w:t xml:space="preserve">                           （7.2.7-5）</w:t>
      </w:r>
    </w:p>
    <w:p w14:paraId="6B4C2EA2">
      <w:pPr>
        <w:pStyle w:val="27"/>
        <w:widowControl/>
        <w:rPr>
          <w:rFonts w:hint="default"/>
        </w:rPr>
      </w:pPr>
      <w:r>
        <w:t xml:space="preserve">式中： </w:t>
      </w:r>
      <w:r>
        <w:rPr>
          <w:position w:val="-14"/>
        </w:rPr>
        <w:object>
          <v:shape id="_x0000_i1088" o:spt="75" type="#_x0000_t75" style="height:18.6pt;width:34.8pt;" o:ole="t" filled="f" o:preferrelative="t" stroked="f" coordsize="21600,21600">
            <v:path/>
            <v:fill on="f" focussize="0,0"/>
            <v:stroke on="f" joinstyle="miter"/>
            <v:imagedata r:id="rId128" o:title=""/>
            <o:lock v:ext="edit" aspectratio="t"/>
            <w10:wrap type="none"/>
            <w10:anchorlock/>
          </v:shape>
          <o:OLEObject Type="Embed" ProgID="" ShapeID="_x0000_i1088" DrawAspect="Content" ObjectID="_1468075788" r:id="rId127">
            <o:LockedField>false</o:LockedField>
          </o:OLEObject>
        </w:object>
      </w:r>
      <w:r>
        <w:t>——地源热泵生活热水系统的年可再生能源利用量，kwh；</w:t>
      </w:r>
    </w:p>
    <w:p w14:paraId="64A5EA78">
      <w:pPr>
        <w:pStyle w:val="27"/>
        <w:widowControl/>
        <w:ind w:left="840" w:leftChars="400"/>
        <w:rPr>
          <w:rFonts w:hint="default"/>
        </w:rPr>
      </w:pPr>
      <w:r>
        <w:rPr>
          <w:position w:val="-14"/>
        </w:rPr>
        <w:object>
          <v:shape id="_x0000_i1089" o:spt="75" type="#_x0000_t75" style="height:18.6pt;width:33pt;" o:ole="t" filled="f" o:preferrelative="t" stroked="f" coordsize="21600,21600">
            <v:path/>
            <v:fill on="f" focussize="0,0"/>
            <v:stroke on="f" joinstyle="miter"/>
            <v:imagedata r:id="rId130" o:title=""/>
            <o:lock v:ext="edit" aspectratio="t"/>
            <w10:wrap type="none"/>
            <w10:anchorlock/>
          </v:shape>
          <o:OLEObject Type="Embed" ProgID="" ShapeID="_x0000_i1089" DrawAspect="Content" ObjectID="_1468075789" r:id="rId129">
            <o:LockedField>false</o:LockedField>
          </o:OLEObject>
        </w:object>
      </w:r>
      <w:r>
        <w:t>——空气源热泵生活热水系统的年可再生能源利用量，kwh；</w:t>
      </w:r>
    </w:p>
    <w:p w14:paraId="4C20F3E8">
      <w:pPr>
        <w:pStyle w:val="27"/>
        <w:widowControl/>
        <w:ind w:left="840" w:leftChars="400"/>
        <w:rPr>
          <w:rFonts w:hint="default"/>
        </w:rPr>
      </w:pPr>
      <w:r>
        <w:rPr>
          <w:position w:val="-14"/>
        </w:rPr>
        <w:object>
          <v:shape id="_x0000_i1090" o:spt="75" type="#_x0000_t75" style="height:18.6pt;width:33pt;" o:ole="t" filled="f" o:preferrelative="t" stroked="f" coordsize="21600,21600">
            <v:path/>
            <v:fill on="f" focussize="0,0"/>
            <v:stroke on="f" joinstyle="miter"/>
            <v:imagedata r:id="rId132" o:title=""/>
            <o:lock v:ext="edit" aspectratio="t"/>
            <w10:wrap type="none"/>
            <w10:anchorlock/>
          </v:shape>
          <o:OLEObject Type="Embed" ProgID="" ShapeID="_x0000_i1090" DrawAspect="Content" ObjectID="_1468075790" r:id="rId131">
            <o:LockedField>false</o:LockedField>
          </o:OLEObject>
        </w:object>
      </w:r>
      <w:r>
        <w:t>——太阳能生活热水系统的年可再生能源利用量，kwh；</w:t>
      </w:r>
    </w:p>
    <w:p w14:paraId="2739DDDB">
      <w:pPr>
        <w:pStyle w:val="27"/>
        <w:widowControl/>
        <w:ind w:left="840" w:leftChars="400"/>
        <w:rPr>
          <w:rFonts w:hint="default"/>
        </w:rPr>
      </w:pPr>
      <w:r>
        <w:rPr>
          <w:position w:val="-14"/>
        </w:rPr>
        <w:object>
          <v:shape id="_x0000_i1091" o:spt="75" type="#_x0000_t75" style="height:18.6pt;width:33.6pt;" o:ole="t" filled="f" o:preferrelative="t" stroked="f" coordsize="21600,21600">
            <v:path/>
            <v:fill on="f" focussize="0,0"/>
            <v:stroke on="f" joinstyle="miter"/>
            <v:imagedata r:id="rId134" o:title=""/>
            <o:lock v:ext="edit" aspectratio="t"/>
            <w10:wrap type="none"/>
            <w10:anchorlock/>
          </v:shape>
          <o:OLEObject Type="Embed" ProgID="" ShapeID="_x0000_i1091" DrawAspect="Content" ObjectID="_1468075791" r:id="rId133">
            <o:LockedField>false</o:LockedField>
          </o:OLEObject>
        </w:object>
      </w:r>
      <w:r>
        <w:t>——生物质生活热水系统的年可再生能源利用量，kWh；</w:t>
      </w:r>
    </w:p>
    <w:p w14:paraId="7200D47A">
      <w:pPr>
        <w:pStyle w:val="27"/>
        <w:widowControl/>
        <w:ind w:left="840" w:leftChars="400"/>
        <w:rPr>
          <w:rFonts w:hint="default"/>
        </w:rPr>
      </w:pPr>
      <w:r>
        <w:rPr>
          <w:position w:val="-14"/>
        </w:rPr>
        <w:object>
          <v:shape id="_x0000_i1092" o:spt="75" type="#_x0000_t75" style="height:19.8pt;width:31.2pt;" o:ole="t" filled="f" o:preferrelative="t" stroked="f" coordsize="21600,21600">
            <v:path/>
            <v:fill on="f" focussize="0,0"/>
            <v:stroke on="f" joinstyle="miter"/>
            <v:imagedata r:id="rId136" o:title=""/>
            <o:lock v:ext="edit" aspectratio="t"/>
            <w10:wrap type="none"/>
            <w10:anchorlock/>
          </v:shape>
          <o:OLEObject Type="Embed" ProgID="" ShapeID="_x0000_i1092" DrawAspect="Content" ObjectID="_1468075792" r:id="rId135">
            <o:LockedField>false</o:LockedField>
          </o:OLEObject>
        </w:object>
      </w:r>
      <w:r>
        <w:t>——地源热泵系统的年生活热水供热量，kWh；</w:t>
      </w:r>
    </w:p>
    <w:p w14:paraId="24E435D2">
      <w:pPr>
        <w:pStyle w:val="27"/>
        <w:widowControl/>
        <w:ind w:left="840" w:leftChars="400"/>
        <w:rPr>
          <w:rFonts w:hint="default"/>
        </w:rPr>
      </w:pPr>
      <w:r>
        <w:rPr>
          <w:position w:val="-14"/>
        </w:rPr>
        <w:object>
          <v:shape id="_x0000_i1093" o:spt="75" type="#_x0000_t75" style="height:19.8pt;width:27.6pt;" o:ole="t" filled="f" o:preferrelative="t" stroked="f" coordsize="21600,21600">
            <v:path/>
            <v:fill on="f" focussize="0,0"/>
            <v:stroke on="f" joinstyle="miter"/>
            <v:imagedata r:id="rId138" o:title=""/>
            <o:lock v:ext="edit" aspectratio="t"/>
            <w10:wrap type="none"/>
            <w10:anchorlock/>
          </v:shape>
          <o:OLEObject Type="Embed" ProgID="" ShapeID="_x0000_i1093" DrawAspect="Content" ObjectID="_1468075793" r:id="rId137">
            <o:LockedField>false</o:LockedField>
          </o:OLEObject>
        </w:object>
      </w:r>
      <w:r>
        <w:t>——空气源热泵系统的年生活热水供热量，kWh；</w:t>
      </w:r>
    </w:p>
    <w:p w14:paraId="61F18989">
      <w:pPr>
        <w:pStyle w:val="27"/>
        <w:widowControl/>
        <w:ind w:left="840" w:leftChars="400"/>
        <w:rPr>
          <w:rFonts w:hint="default"/>
        </w:rPr>
      </w:pPr>
      <w:r>
        <w:rPr>
          <w:position w:val="-14"/>
        </w:rPr>
        <w:object>
          <v:shape id="_x0000_i1094" o:spt="75" type="#_x0000_t75" style="height:19.8pt;width:28.8pt;" o:ole="t" filled="f" o:preferrelative="t" stroked="f" coordsize="21600,21600">
            <v:path/>
            <v:fill on="f" focussize="0,0"/>
            <v:stroke on="f" joinstyle="miter"/>
            <v:imagedata r:id="rId140" o:title=""/>
            <o:lock v:ext="edit" aspectratio="t"/>
            <w10:wrap type="none"/>
            <w10:anchorlock/>
          </v:shape>
          <o:OLEObject Type="Embed" ProgID="" ShapeID="_x0000_i1094" DrawAspect="Content" ObjectID="_1468075794" r:id="rId139">
            <o:LockedField>false</o:LockedField>
          </o:OLEObject>
        </w:object>
      </w:r>
      <w:r>
        <w:t>——太阳能系统的年生活热水供热量，kWh；</w:t>
      </w:r>
    </w:p>
    <w:p w14:paraId="0A363B38">
      <w:pPr>
        <w:pStyle w:val="27"/>
        <w:widowControl/>
        <w:ind w:left="840" w:leftChars="400"/>
        <w:rPr>
          <w:rFonts w:hint="default"/>
        </w:rPr>
      </w:pPr>
      <w:r>
        <w:rPr>
          <w:position w:val="-14"/>
        </w:rPr>
        <w:object>
          <v:shape id="_x0000_i1095" o:spt="75" type="#_x0000_t75" style="height:19.8pt;width:30.6pt;" o:ole="t" filled="f" o:preferrelative="t" stroked="f" coordsize="21600,21600">
            <v:path/>
            <v:fill on="f" focussize="0,0"/>
            <v:stroke on="f" joinstyle="miter"/>
            <v:imagedata r:id="rId142" o:title=""/>
            <o:lock v:ext="edit" aspectratio="t"/>
            <w10:wrap type="none"/>
            <w10:anchorlock/>
          </v:shape>
          <o:OLEObject Type="Embed" ProgID="" ShapeID="_x0000_i1095" DrawAspect="Content" ObjectID="_1468075795" r:id="rId141">
            <o:LockedField>false</o:LockedField>
          </o:OLEObject>
        </w:object>
      </w:r>
      <w:r>
        <w:t>——生物质生活热水系统的年生活热水供热量，kWh；</w:t>
      </w:r>
    </w:p>
    <w:p w14:paraId="5D8A7CC7">
      <w:pPr>
        <w:pStyle w:val="27"/>
        <w:widowControl/>
        <w:ind w:left="884" w:leftChars="421"/>
        <w:rPr>
          <w:rFonts w:hint="default"/>
        </w:rPr>
      </w:pPr>
      <w:r>
        <w:rPr>
          <w:position w:val="-14"/>
        </w:rPr>
        <w:object>
          <v:shape id="_x0000_i1096" o:spt="75" type="#_x0000_t75" style="height:19.8pt;width:31.2pt;" o:ole="t" filled="f" o:preferrelative="t" stroked="f" coordsize="21600,21600">
            <v:path/>
            <v:fill on="f" focussize="0,0"/>
            <v:stroke on="f" joinstyle="miter"/>
            <v:imagedata r:id="rId144" o:title=""/>
            <o:lock v:ext="edit" aspectratio="t"/>
            <w10:wrap type="none"/>
            <w10:anchorlock/>
          </v:shape>
          <o:OLEObject Type="Embed" ProgID="" ShapeID="_x0000_i1096" DrawAspect="Content" ObjectID="_1468075796" r:id="rId143">
            <o:LockedField>false</o:LockedField>
          </o:OLEObject>
        </w:object>
      </w:r>
      <w:r>
        <w:t>——地源热泵机组供生活热水年耗电量，kWh；</w:t>
      </w:r>
    </w:p>
    <w:p w14:paraId="24E1C94B">
      <w:pPr>
        <w:pStyle w:val="27"/>
        <w:widowControl/>
        <w:ind w:left="884" w:leftChars="421"/>
        <w:rPr>
          <w:rFonts w:hint="default"/>
        </w:rPr>
      </w:pPr>
      <w:r>
        <w:rPr>
          <w:position w:val="-14"/>
        </w:rPr>
        <w:object>
          <v:shape id="_x0000_i1097" o:spt="75" type="#_x0000_t75" style="height:19.8pt;width:27.6pt;" o:ole="t" filled="f" o:preferrelative="t" stroked="f" coordsize="21600,21600">
            <v:path/>
            <v:fill on="f" focussize="0,0"/>
            <v:stroke on="f" joinstyle="miter"/>
            <v:imagedata r:id="rId146" o:title=""/>
            <o:lock v:ext="edit" aspectratio="t"/>
            <w10:wrap type="none"/>
            <w10:anchorlock/>
          </v:shape>
          <o:OLEObject Type="Embed" ProgID="" ShapeID="_x0000_i1097" DrawAspect="Content" ObjectID="_1468075797" r:id="rId145">
            <o:LockedField>false</o:LockedField>
          </o:OLEObject>
        </w:object>
      </w:r>
      <w:r>
        <w:t>——空气源热泵机组供生活热水年耗电量，kWh。</w:t>
      </w:r>
    </w:p>
    <w:p w14:paraId="04F40469">
      <w:pPr>
        <w:pStyle w:val="27"/>
        <w:widowControl/>
        <w:rPr>
          <w:rFonts w:hint="default"/>
        </w:rPr>
      </w:pPr>
      <w:r>
        <w:rPr>
          <w:rFonts w:hint="default" w:ascii="Times New Roman" w:hAnsi="Times New Roman"/>
          <w:b/>
          <w:bCs/>
        </w:rPr>
        <w:t xml:space="preserve">7.2.8  </w:t>
      </w:r>
      <w:r>
        <w:t>供冷系统中可再生能源利用量应按下列公式计算：</w:t>
      </w:r>
    </w:p>
    <w:p w14:paraId="2059F289">
      <w:pPr>
        <w:pStyle w:val="27"/>
        <w:widowControl/>
        <w:jc w:val="center"/>
        <w:rPr>
          <w:rFonts w:hint="default"/>
        </w:rPr>
      </w:pPr>
      <w:r>
        <w:rPr>
          <w:position w:val="-14"/>
        </w:rPr>
        <w:object>
          <v:shape id="_x0000_i1098" o:spt="75" type="#_x0000_t75" style="height:19.8pt;width:63pt;" o:ole="t" filled="f" o:preferrelative="t" stroked="f" coordsize="21600,21600">
            <v:path/>
            <v:fill on="f" focussize="0,0"/>
            <v:stroke on="f" joinstyle="miter"/>
            <v:imagedata r:id="rId148" o:title=""/>
            <o:lock v:ext="edit" aspectratio="t"/>
            <w10:wrap type="none"/>
            <w10:anchorlock/>
          </v:shape>
          <o:OLEObject Type="Embed" ProgID="" ShapeID="_x0000_i1098" DrawAspect="Content" ObjectID="_1468075798" r:id="rId147">
            <o:LockedField>false</o:LockedField>
          </o:OLEObject>
        </w:object>
      </w:r>
      <w:r>
        <w:t xml:space="preserve">                     （7.2.8-1）</w:t>
      </w:r>
    </w:p>
    <w:p w14:paraId="35BA22B3">
      <w:pPr>
        <w:pStyle w:val="27"/>
        <w:widowControl/>
        <w:jc w:val="center"/>
        <w:rPr>
          <w:rFonts w:hint="default"/>
        </w:rPr>
      </w:pPr>
      <w:r>
        <w:rPr>
          <w:position w:val="-14"/>
        </w:rPr>
        <w:object>
          <v:shape id="_x0000_i1099" o:spt="75" type="#_x0000_t75" style="height:19.8pt;width:67.8pt;" o:ole="t" filled="f" o:preferrelative="t" stroked="f" coordsize="21600,21600">
            <v:path/>
            <v:fill on="f" focussize="0,0"/>
            <v:stroke on="f" joinstyle="miter"/>
            <v:imagedata r:id="rId150" o:title=""/>
            <o:lock v:ext="edit" aspectratio="t"/>
            <w10:wrap type="none"/>
            <w10:anchorlock/>
          </v:shape>
          <o:OLEObject Type="Embed" ProgID="" ShapeID="_x0000_i1099" DrawAspect="Content" ObjectID="_1468075799" r:id="rId149">
            <o:LockedField>false</o:LockedField>
          </o:OLEObject>
        </w:object>
      </w:r>
      <w:r>
        <w:t xml:space="preserve">                     （7.2.8-2）</w:t>
      </w:r>
    </w:p>
    <w:p w14:paraId="40D1F7F5">
      <w:pPr>
        <w:pStyle w:val="27"/>
        <w:widowControl/>
        <w:rPr>
          <w:rFonts w:hint="default"/>
        </w:rPr>
      </w:pPr>
      <w:r>
        <w:t xml:space="preserve">式中： </w:t>
      </w:r>
      <w:r>
        <w:rPr>
          <w:position w:val="-14"/>
        </w:rPr>
        <w:object>
          <v:shape id="_x0000_i1100" o:spt="75" type="#_x0000_t75" style="height:19.8pt;width:31.2pt;" o:ole="t" filled="f" o:preferrelative="t" stroked="f" coordsize="21600,21600">
            <v:path/>
            <v:fill on="f" focussize="0,0"/>
            <v:stroke on="f" joinstyle="miter"/>
            <v:imagedata r:id="rId152" o:title=""/>
            <o:lock v:ext="edit" aspectratio="t"/>
            <w10:wrap type="none"/>
            <w10:anchorlock/>
          </v:shape>
          <o:OLEObject Type="Embed" ProgID="" ShapeID="_x0000_i1100" DrawAspect="Content" ObjectID="_1468075800" r:id="rId151">
            <o:LockedField>false</o:LockedField>
          </o:OLEObject>
        </w:object>
      </w:r>
      <w:r>
        <w:t>——太阳能供冷系统的年可再生能源利用量，kWh；</w:t>
      </w:r>
    </w:p>
    <w:p w14:paraId="52223E0E">
      <w:pPr>
        <w:pStyle w:val="27"/>
        <w:widowControl/>
        <w:ind w:left="840" w:leftChars="400"/>
        <w:jc w:val="left"/>
        <w:rPr>
          <w:rFonts w:hint="default"/>
        </w:rPr>
      </w:pPr>
      <w:r>
        <w:rPr>
          <w:position w:val="-14"/>
        </w:rPr>
        <w:object>
          <v:shape id="_x0000_i1101" o:spt="75" type="#_x0000_t75" style="height:19.8pt;width:25.8pt;" o:ole="t" filled="f" o:preferrelative="t" stroked="f" coordsize="21600,21600">
            <v:path/>
            <v:fill on="f" focussize="0,0"/>
            <v:stroke on="f" joinstyle="miter"/>
            <v:imagedata r:id="rId154" o:title=""/>
            <o:lock v:ext="edit" aspectratio="t"/>
            <w10:wrap type="none"/>
            <w10:anchorlock/>
          </v:shape>
          <o:OLEObject Type="Embed" ProgID="" ShapeID="_x0000_i1101" DrawAspect="Content" ObjectID="_1468075801" r:id="rId153">
            <o:LockedField>false</o:LockedField>
          </o:OLEObject>
        </w:object>
      </w:r>
      <w:r>
        <w:t>——太阳能供冷系统的年供冷量，kWh。</w:t>
      </w:r>
    </w:p>
    <w:p w14:paraId="06B386F1">
      <w:pPr>
        <w:pStyle w:val="27"/>
        <w:widowControl/>
        <w:spacing w:line="26" w:lineRule="atLeast"/>
        <w:rPr>
          <w:rFonts w:hint="default"/>
          <w:color w:val="8FAADB"/>
        </w:rPr>
      </w:pPr>
      <w:r>
        <w:rPr>
          <w:b/>
          <w:bCs/>
          <w:color w:val="8FAADB"/>
          <w:szCs w:val="24"/>
        </w:rPr>
        <w:t>【条文说明】</w:t>
      </w:r>
      <w:r>
        <w:rPr>
          <w:color w:val="8FAADB"/>
        </w:rPr>
        <w:t>建筑中可再生能源系统形式多样，本标准规定了常用的可再生能源系统的利用量计算方法。对于未列出的其他可再生能源系统（如吸收式热泵、太阳能光电空调等），可参照7.2.5条的原则进行计算。在计算可再生能源利用率时，分子应为建筑实际利用的可再生能源量。例如，对于生物质锅炉，其可再生能源利用量应为提供给建筑的有效供热量，而非生物质锅炉消耗的生物质燃料热量；同样，太阳能供热和供冷量应指其有效供热或供冷量，而非太阳能集热器的集热量。</w:t>
      </w:r>
    </w:p>
    <w:p w14:paraId="304C7596">
      <w:pPr>
        <w:pStyle w:val="27"/>
        <w:widowControl/>
        <w:rPr>
          <w:rFonts w:hint="default"/>
          <w:color w:val="8FAADB"/>
        </w:rPr>
      </w:pPr>
      <w:r>
        <w:rPr>
          <w:color w:val="8FAADB"/>
        </w:rPr>
        <w:t>算例：某建筑A，年供暖耗热量为32kWh/(m</w:t>
      </w:r>
      <w:r>
        <w:rPr>
          <w:color w:val="8FAADB"/>
          <w:vertAlign w:val="superscript"/>
        </w:rPr>
        <w:t>2</w:t>
      </w:r>
      <w:r>
        <w:rPr>
          <w:rFonts w:hint="default" w:ascii="Arial" w:hAnsi="Arial" w:cs="Arial"/>
          <w:color w:val="8FAADB"/>
        </w:rPr>
        <w:t>·</w:t>
      </w:r>
      <w:r>
        <w:rPr>
          <w:color w:val="8FAADB"/>
        </w:rPr>
        <w:t>a)，年供冷耗冷量为10.7kWh/(m</w:t>
      </w:r>
      <w:r>
        <w:rPr>
          <w:color w:val="8FAADB"/>
          <w:vertAlign w:val="superscript"/>
        </w:rPr>
        <w:t>2</w:t>
      </w:r>
      <w:r>
        <w:rPr>
          <w:rFonts w:hint="default" w:ascii="Arial" w:hAnsi="Arial" w:cs="Arial"/>
          <w:color w:val="8FAADB"/>
        </w:rPr>
        <w:t>·</w:t>
      </w:r>
      <w:r>
        <w:rPr>
          <w:color w:val="8FAADB"/>
        </w:rPr>
        <w:t>a)，年生活热水热负荷为15.8kWh/(m</w:t>
      </w:r>
      <w:r>
        <w:rPr>
          <w:color w:val="8FAADB"/>
          <w:vertAlign w:val="superscript"/>
        </w:rPr>
        <w:t>2</w:t>
      </w:r>
      <w:r>
        <w:rPr>
          <w:rFonts w:hint="default" w:ascii="Arial" w:hAnsi="Arial" w:cs="Arial"/>
          <w:color w:val="8FAADB"/>
        </w:rPr>
        <w:t>·</w:t>
      </w:r>
      <w:r>
        <w:rPr>
          <w:color w:val="8FAADB"/>
        </w:rPr>
        <w:t>a)。供暖和供冷共用冷热源为地源热泵，地源热泵机组供暖电耗10kWh/(m</w:t>
      </w:r>
      <w:r>
        <w:rPr>
          <w:color w:val="8FAADB"/>
          <w:vertAlign w:val="superscript"/>
        </w:rPr>
        <w:t>2</w:t>
      </w:r>
      <w:r>
        <w:rPr>
          <w:rFonts w:hint="default" w:ascii="Arial" w:hAnsi="Arial" w:cs="Arial"/>
          <w:color w:val="8FAADB"/>
        </w:rPr>
        <w:t>·</w:t>
      </w:r>
      <w:r>
        <w:rPr>
          <w:color w:val="8FAADB"/>
        </w:rPr>
        <w:t>a)，供冷电耗2.7kWh/(m</w:t>
      </w:r>
      <w:r>
        <w:rPr>
          <w:color w:val="8FAADB"/>
          <w:vertAlign w:val="superscript"/>
        </w:rPr>
        <w:t>2</w:t>
      </w:r>
      <w:r>
        <w:rPr>
          <w:rFonts w:hint="default" w:ascii="Arial" w:hAnsi="Arial" w:cs="Arial"/>
          <w:color w:val="8FAADB"/>
        </w:rPr>
        <w:t>·</w:t>
      </w:r>
      <w:r>
        <w:rPr>
          <w:color w:val="8FAADB"/>
        </w:rPr>
        <w:t>a)；生活热水采用太阳能热水系统，辅助热源为生物质锅炉，太阳能热水供热量为14.0kWh/(m</w:t>
      </w:r>
      <w:r>
        <w:rPr>
          <w:color w:val="8FAADB"/>
          <w:vertAlign w:val="superscript"/>
        </w:rPr>
        <w:t>2</w:t>
      </w:r>
      <w:r>
        <w:rPr>
          <w:rFonts w:hint="default" w:ascii="Arial" w:hAnsi="Arial" w:cs="Arial"/>
          <w:color w:val="8FAADB"/>
        </w:rPr>
        <w:t>·</w:t>
      </w:r>
      <w:r>
        <w:rPr>
          <w:color w:val="8FAADB"/>
        </w:rPr>
        <w:t>a)；照明电耗为6kWh/(m</w:t>
      </w:r>
      <w:r>
        <w:rPr>
          <w:color w:val="8FAADB"/>
          <w:vertAlign w:val="superscript"/>
        </w:rPr>
        <w:t>2</w:t>
      </w:r>
      <w:r>
        <w:rPr>
          <w:rFonts w:hint="default" w:ascii="Arial" w:hAnsi="Arial" w:cs="Arial"/>
          <w:color w:val="8FAADB"/>
        </w:rPr>
        <w:t>·</w:t>
      </w:r>
      <w:r>
        <w:rPr>
          <w:color w:val="8FAADB"/>
        </w:rPr>
        <w:t>a)，电梯耗为4kWh/(m</w:t>
      </w:r>
      <w:r>
        <w:rPr>
          <w:color w:val="8FAADB"/>
          <w:vertAlign w:val="superscript"/>
        </w:rPr>
        <w:t>2</w:t>
      </w:r>
      <w:r>
        <w:rPr>
          <w:rFonts w:hint="default" w:ascii="Arial" w:hAnsi="Arial" w:cs="Arial"/>
          <w:color w:val="8FAADB"/>
        </w:rPr>
        <w:t>·</w:t>
      </w:r>
      <w:r>
        <w:rPr>
          <w:color w:val="8FAADB"/>
        </w:rPr>
        <w:t>a)。建筑本体光伏发电量为4kWh/(m</w:t>
      </w:r>
      <w:r>
        <w:rPr>
          <w:color w:val="8FAADB"/>
          <w:vertAlign w:val="superscript"/>
        </w:rPr>
        <w:t>2</w:t>
      </w:r>
      <w:r>
        <w:rPr>
          <w:rFonts w:hint="default" w:ascii="Arial" w:hAnsi="Arial" w:cs="Arial"/>
          <w:color w:val="8FAADB"/>
        </w:rPr>
        <w:t>·</w:t>
      </w:r>
      <w:r>
        <w:rPr>
          <w:color w:val="8FAADB"/>
        </w:rPr>
        <w:t>a)，计算该建筑的可再生能源利用率。</w:t>
      </w:r>
    </w:p>
    <w:p w14:paraId="0047D184">
      <w:pPr>
        <w:pStyle w:val="27"/>
        <w:widowControl/>
        <w:rPr>
          <w:rFonts w:hint="default"/>
          <w:color w:val="8FAADB"/>
        </w:rPr>
      </w:pPr>
      <w:r>
        <w:rPr>
          <w:color w:val="8FAADB"/>
        </w:rPr>
        <w:t>可再生能源利用率的计算过程：</w:t>
      </w:r>
    </w:p>
    <w:p w14:paraId="5E3D5625">
      <w:pPr>
        <w:pStyle w:val="27"/>
        <w:widowControl/>
        <w:rPr>
          <w:rFonts w:hint="default"/>
          <w:color w:val="8FAADB"/>
        </w:rPr>
      </w:pPr>
      <w:r>
        <w:rPr>
          <w:color w:val="8FAADB"/>
        </w:rPr>
        <w:t>可再生能源利用率：</w:t>
      </w:r>
      <w:r>
        <w:rPr>
          <w:color w:val="8FAADB"/>
          <w:position w:val="-30"/>
        </w:rPr>
        <w:object>
          <v:shape id="_x0000_i1102" o:spt="75" type="#_x0000_t75" style="height:39.6pt;width:265.8pt;" o:ole="t" filled="f" o:preferrelative="t" stroked="f" coordsize="21600,21600">
            <v:path/>
            <v:fill on="f" focussize="0,0"/>
            <v:stroke on="f" joinstyle="miter"/>
            <v:imagedata r:id="rId156" o:title=""/>
            <o:lock v:ext="edit" aspectratio="t"/>
            <w10:wrap type="none"/>
            <w10:anchorlock/>
          </v:shape>
          <o:OLEObject Type="Embed" ProgID="" ShapeID="_x0000_i1102" DrawAspect="Content" ObjectID="_1468075802" r:id="rId155">
            <o:LockedField>false</o:LockedField>
          </o:OLEObject>
        </w:object>
      </w:r>
    </w:p>
    <w:p w14:paraId="721EB530">
      <w:pPr>
        <w:pStyle w:val="27"/>
        <w:widowControl/>
        <w:rPr>
          <w:rFonts w:hint="default" w:ascii="Times New Roman" w:hAnsi="Times New Roman"/>
          <w:color w:val="8FAADB"/>
        </w:rPr>
      </w:pPr>
      <w:r>
        <w:rPr>
          <w:rFonts w:ascii="Times New Roman" w:hAnsi="Times New Roman"/>
          <w:color w:val="8FAADB"/>
        </w:rPr>
        <w:t>其中：</w:t>
      </w:r>
    </w:p>
    <w:p w14:paraId="1F19E24F">
      <w:pPr>
        <w:pStyle w:val="27"/>
        <w:widowControl/>
        <w:rPr>
          <w:rFonts w:hint="default" w:ascii="Times New Roman" w:hAnsi="Times New Roman"/>
          <w:color w:val="8FAADB"/>
        </w:rPr>
      </w:pPr>
      <w:r>
        <w:rPr>
          <w:rFonts w:hint="default" w:ascii="Times New Roman" w:hAnsi="Times New Roman"/>
          <w:b/>
          <w:bCs/>
          <w:color w:val="8FAADB"/>
        </w:rPr>
        <w:t>1</w:t>
      </w:r>
      <w:r>
        <w:rPr>
          <w:rFonts w:ascii="Times New Roman" w:hAnsi="Times New Roman"/>
          <w:color w:val="8FAADB"/>
        </w:rPr>
        <w:t>、供暖系统：</w:t>
      </w:r>
    </w:p>
    <w:p w14:paraId="3F0BAB85">
      <w:pPr>
        <w:pStyle w:val="27"/>
        <w:widowControl/>
        <w:rPr>
          <w:rFonts w:hint="default" w:ascii="Times New Roman" w:hAnsi="Times New Roman"/>
          <w:color w:val="8FAADB"/>
        </w:rPr>
      </w:pPr>
      <w:r>
        <w:rPr>
          <w:rFonts w:hint="default" w:ascii="Times New Roman" w:hAnsi="Times New Roman"/>
          <w:color w:val="8FAADB"/>
        </w:rPr>
        <w:t>EP</w:t>
      </w:r>
      <w:r>
        <w:rPr>
          <w:rFonts w:hint="default" w:ascii="Times New Roman" w:hAnsi="Times New Roman"/>
          <w:color w:val="8FAADB"/>
          <w:vertAlign w:val="subscript"/>
        </w:rPr>
        <w:t>h</w:t>
      </w:r>
      <w:r>
        <w:rPr>
          <w:rFonts w:hint="default" w:ascii="Times New Roman" w:hAnsi="Times New Roman"/>
          <w:color w:val="8FAADB"/>
        </w:rPr>
        <w:t>=EP</w:t>
      </w:r>
      <w:r>
        <w:rPr>
          <w:rFonts w:hint="default" w:ascii="Times New Roman" w:hAnsi="Times New Roman"/>
          <w:color w:val="8FAADB"/>
          <w:vertAlign w:val="subscript"/>
        </w:rPr>
        <w:t>h</w:t>
      </w:r>
      <w:r>
        <w:rPr>
          <w:rFonts w:ascii="Times New Roman" w:hAnsi="Times New Roman"/>
          <w:color w:val="8FAADB"/>
          <w:vertAlign w:val="subscript"/>
        </w:rPr>
        <w:t>，</w:t>
      </w:r>
      <w:r>
        <w:rPr>
          <w:rFonts w:hint="default" w:ascii="Times New Roman" w:hAnsi="Times New Roman"/>
          <w:color w:val="8FAADB"/>
          <w:vertAlign w:val="subscript"/>
        </w:rPr>
        <w:t>geo</w:t>
      </w:r>
      <w:r>
        <w:rPr>
          <w:rFonts w:hint="default" w:ascii="Times New Roman" w:hAnsi="Times New Roman"/>
          <w:color w:val="8FAADB"/>
        </w:rPr>
        <w:t>+EP</w:t>
      </w:r>
      <w:r>
        <w:rPr>
          <w:rFonts w:hint="default" w:ascii="Times New Roman" w:hAnsi="Times New Roman"/>
          <w:color w:val="8FAADB"/>
          <w:vertAlign w:val="subscript"/>
        </w:rPr>
        <w:t>h</w:t>
      </w:r>
      <w:r>
        <w:rPr>
          <w:rFonts w:ascii="Times New Roman" w:hAnsi="Times New Roman"/>
          <w:color w:val="8FAADB"/>
          <w:vertAlign w:val="subscript"/>
        </w:rPr>
        <w:t>，</w:t>
      </w:r>
      <w:r>
        <w:rPr>
          <w:rFonts w:hint="default" w:ascii="Times New Roman" w:hAnsi="Times New Roman"/>
          <w:color w:val="8FAADB"/>
          <w:vertAlign w:val="subscript"/>
        </w:rPr>
        <w:t>air</w:t>
      </w:r>
      <w:r>
        <w:rPr>
          <w:rFonts w:hint="default" w:ascii="Times New Roman" w:hAnsi="Times New Roman"/>
          <w:color w:val="8FAADB"/>
        </w:rPr>
        <w:t>+EP</w:t>
      </w:r>
      <w:r>
        <w:rPr>
          <w:rFonts w:hint="default" w:ascii="Times New Roman" w:hAnsi="Times New Roman"/>
          <w:color w:val="8FAADB"/>
          <w:vertAlign w:val="subscript"/>
        </w:rPr>
        <w:t>h</w:t>
      </w:r>
      <w:r>
        <w:rPr>
          <w:rFonts w:ascii="Times New Roman" w:hAnsi="Times New Roman"/>
          <w:color w:val="8FAADB"/>
          <w:vertAlign w:val="subscript"/>
        </w:rPr>
        <w:t>，</w:t>
      </w:r>
      <w:r>
        <w:rPr>
          <w:rFonts w:hint="default" w:ascii="Times New Roman" w:hAnsi="Times New Roman"/>
          <w:color w:val="8FAADB"/>
          <w:vertAlign w:val="subscript"/>
        </w:rPr>
        <w:t>sol</w:t>
      </w:r>
      <w:r>
        <w:rPr>
          <w:rFonts w:hint="default" w:ascii="Times New Roman" w:hAnsi="Times New Roman"/>
          <w:color w:val="8FAADB"/>
        </w:rPr>
        <w:t>+EP</w:t>
      </w:r>
      <w:r>
        <w:rPr>
          <w:rFonts w:hint="default" w:ascii="Times New Roman" w:hAnsi="Times New Roman"/>
          <w:color w:val="8FAADB"/>
          <w:vertAlign w:val="subscript"/>
        </w:rPr>
        <w:t>h,bio</w:t>
      </w:r>
      <w:r>
        <w:rPr>
          <w:rFonts w:ascii="Times New Roman" w:hAnsi="Times New Roman"/>
          <w:color w:val="8FAADB"/>
        </w:rPr>
        <w:t>；</w:t>
      </w:r>
    </w:p>
    <w:p w14:paraId="3DBFD759">
      <w:pPr>
        <w:pStyle w:val="27"/>
        <w:widowControl/>
        <w:rPr>
          <w:rFonts w:hint="default" w:ascii="Times New Roman" w:hAnsi="Times New Roman"/>
          <w:color w:val="8FAADB"/>
        </w:rPr>
      </w:pPr>
      <w:r>
        <w:rPr>
          <w:rFonts w:hint="default" w:ascii="Times New Roman" w:hAnsi="Times New Roman"/>
          <w:color w:val="8FAADB"/>
        </w:rPr>
        <w:t>Q</w:t>
      </w:r>
      <w:r>
        <w:rPr>
          <w:rFonts w:hint="default" w:ascii="Times New Roman" w:hAnsi="Times New Roman"/>
          <w:color w:val="8FAADB"/>
          <w:vertAlign w:val="subscript"/>
        </w:rPr>
        <w:t>ℎ</w:t>
      </w:r>
      <w:r>
        <w:rPr>
          <w:rFonts w:hint="default" w:ascii="Times New Roman" w:hAnsi="Times New Roman"/>
          <w:color w:val="8FAADB"/>
        </w:rPr>
        <w:t>=32kWh/(m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r>
        <w:rPr>
          <w:rFonts w:hint="default" w:ascii="Times New Roman" w:hAnsi="Times New Roman"/>
          <w:color w:val="8FAADB"/>
        </w:rPr>
        <w:t>Q</w:t>
      </w:r>
      <w:r>
        <w:rPr>
          <w:rFonts w:hint="default" w:ascii="Times New Roman" w:hAnsi="Times New Roman"/>
          <w:color w:val="8FAADB"/>
          <w:vertAlign w:val="subscript"/>
        </w:rPr>
        <w:t>ℎ,geo</w:t>
      </w:r>
      <w:r>
        <w:rPr>
          <w:rFonts w:hint="default" w:ascii="Times New Roman" w:hAnsi="Times New Roman"/>
          <w:color w:val="8FAADB"/>
        </w:rPr>
        <w:t>=32kWh/(m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r>
        <w:rPr>
          <w:rFonts w:hint="default" w:ascii="Times New Roman" w:hAnsi="Times New Roman"/>
          <w:color w:val="8FAADB"/>
        </w:rPr>
        <w:t>E</w:t>
      </w:r>
      <w:r>
        <w:rPr>
          <w:rFonts w:hint="default" w:ascii="Times New Roman" w:hAnsi="Times New Roman"/>
          <w:color w:val="8FAADB"/>
          <w:vertAlign w:val="subscript"/>
        </w:rPr>
        <w:t>ℎ</w:t>
      </w:r>
      <w:r>
        <w:rPr>
          <w:rFonts w:ascii="Times New Roman" w:hAnsi="Times New Roman"/>
          <w:color w:val="8FAADB"/>
          <w:vertAlign w:val="subscript"/>
        </w:rPr>
        <w:t>，</w:t>
      </w:r>
      <w:r>
        <w:rPr>
          <w:rFonts w:hint="default" w:ascii="Times New Roman" w:hAnsi="Times New Roman"/>
          <w:color w:val="8FAADB"/>
          <w:vertAlign w:val="subscript"/>
        </w:rPr>
        <w:t>geo</w:t>
      </w:r>
      <w:r>
        <w:rPr>
          <w:rFonts w:hint="default" w:ascii="Times New Roman" w:hAnsi="Times New Roman"/>
          <w:color w:val="8FAADB"/>
        </w:rPr>
        <w:t>=10kWh/(m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p>
    <w:p w14:paraId="03B5367F">
      <w:pPr>
        <w:pStyle w:val="27"/>
        <w:widowControl/>
        <w:rPr>
          <w:rFonts w:hint="default" w:ascii="Times New Roman" w:hAnsi="Times New Roman"/>
          <w:color w:val="8FAADB"/>
        </w:rPr>
      </w:pPr>
      <w:r>
        <w:rPr>
          <w:rFonts w:hint="default" w:ascii="Times New Roman" w:hAnsi="Times New Roman"/>
          <w:color w:val="8FAADB"/>
        </w:rPr>
        <w:t>E</w:t>
      </w:r>
      <w:r>
        <w:rPr>
          <w:rFonts w:hint="default" w:ascii="Times New Roman" w:hAnsi="Times New Roman"/>
          <w:color w:val="8FAADB"/>
          <w:vertAlign w:val="subscript"/>
        </w:rPr>
        <w:t>ℎ</w:t>
      </w:r>
      <w:r>
        <w:rPr>
          <w:rFonts w:ascii="Times New Roman" w:hAnsi="Times New Roman"/>
          <w:color w:val="8FAADB"/>
          <w:vertAlign w:val="subscript"/>
        </w:rPr>
        <w:t>，</w:t>
      </w:r>
      <w:r>
        <w:rPr>
          <w:rFonts w:hint="default" w:ascii="Times New Roman" w:hAnsi="Times New Roman"/>
          <w:color w:val="8FAADB"/>
          <w:vertAlign w:val="subscript"/>
        </w:rPr>
        <w:t>geo</w:t>
      </w:r>
      <w:r>
        <w:rPr>
          <w:rFonts w:hint="default" w:ascii="Times New Roman" w:hAnsi="Times New Roman"/>
          <w:color w:val="8FAADB"/>
        </w:rPr>
        <w:t>=Q</w:t>
      </w:r>
      <w:r>
        <w:rPr>
          <w:rFonts w:hint="default" w:ascii="Times New Roman" w:hAnsi="Times New Roman"/>
          <w:color w:val="8FAADB"/>
          <w:vertAlign w:val="subscript"/>
        </w:rPr>
        <w:t>ℎ</w:t>
      </w:r>
      <w:r>
        <w:rPr>
          <w:rFonts w:ascii="Times New Roman" w:hAnsi="Times New Roman"/>
          <w:color w:val="8FAADB"/>
          <w:vertAlign w:val="subscript"/>
        </w:rPr>
        <w:t>，</w:t>
      </w:r>
      <w:r>
        <w:rPr>
          <w:rFonts w:hint="default" w:ascii="Times New Roman" w:hAnsi="Times New Roman"/>
          <w:color w:val="8FAADB"/>
          <w:vertAlign w:val="subscript"/>
        </w:rPr>
        <w:t>geo</w:t>
      </w:r>
      <w:r>
        <w:rPr>
          <w:rFonts w:hint="default" w:ascii="Times New Roman" w:hAnsi="Times New Roman"/>
          <w:color w:val="8FAADB"/>
        </w:rPr>
        <w:t>-E</w:t>
      </w:r>
      <w:r>
        <w:rPr>
          <w:rFonts w:hint="default" w:ascii="Times New Roman" w:hAnsi="Times New Roman"/>
          <w:color w:val="8FAADB"/>
          <w:vertAlign w:val="subscript"/>
        </w:rPr>
        <w:t>ℎ</w:t>
      </w:r>
      <w:r>
        <w:rPr>
          <w:rFonts w:ascii="Times New Roman" w:hAnsi="Times New Roman"/>
          <w:color w:val="8FAADB"/>
          <w:vertAlign w:val="subscript"/>
        </w:rPr>
        <w:t>，</w:t>
      </w:r>
      <w:r>
        <w:rPr>
          <w:rFonts w:hint="default" w:ascii="Times New Roman" w:hAnsi="Times New Roman"/>
          <w:color w:val="8FAADB"/>
          <w:vertAlign w:val="subscript"/>
        </w:rPr>
        <w:t>geo</w:t>
      </w:r>
      <w:r>
        <w:rPr>
          <w:rFonts w:hint="default" w:ascii="Times New Roman" w:hAnsi="Times New Roman"/>
          <w:color w:val="8FAADB"/>
        </w:rPr>
        <w:t>=32-10=22kWh/(m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p>
    <w:p w14:paraId="59F84C59">
      <w:pPr>
        <w:pStyle w:val="27"/>
        <w:widowControl/>
        <w:rPr>
          <w:rFonts w:hint="default" w:ascii="Times New Roman" w:hAnsi="Times New Roman"/>
          <w:color w:val="8FAADB"/>
        </w:rPr>
      </w:pPr>
      <w:r>
        <w:rPr>
          <w:rFonts w:ascii="Times New Roman" w:hAnsi="Times New Roman"/>
          <w:color w:val="8FAADB"/>
        </w:rPr>
        <w:t>因为供暖热源只有地源热泵，所以，</w:t>
      </w:r>
      <w:r>
        <w:rPr>
          <w:rFonts w:hint="default" w:ascii="Times New Roman" w:hAnsi="Times New Roman"/>
          <w:color w:val="8FAADB"/>
        </w:rPr>
        <w:t>EP</w:t>
      </w:r>
      <w:r>
        <w:rPr>
          <w:rFonts w:hint="default" w:ascii="Times New Roman" w:hAnsi="Times New Roman"/>
          <w:color w:val="8FAADB"/>
          <w:vertAlign w:val="subscript"/>
        </w:rPr>
        <w:t>h</w:t>
      </w:r>
      <w:r>
        <w:rPr>
          <w:rFonts w:hint="default" w:ascii="Times New Roman" w:hAnsi="Times New Roman"/>
          <w:color w:val="8FAADB"/>
        </w:rPr>
        <w:t>=22kWh/(m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p>
    <w:p w14:paraId="2595E49A">
      <w:pPr>
        <w:pStyle w:val="27"/>
        <w:widowControl/>
        <w:rPr>
          <w:rFonts w:hint="default" w:ascii="Times New Roman" w:hAnsi="Times New Roman"/>
          <w:color w:val="8FAADB"/>
        </w:rPr>
      </w:pPr>
      <w:r>
        <w:rPr>
          <w:rFonts w:hint="default" w:ascii="Times New Roman" w:hAnsi="Times New Roman"/>
          <w:b/>
          <w:bCs/>
          <w:color w:val="8FAADB"/>
        </w:rPr>
        <w:t>2</w:t>
      </w:r>
      <w:r>
        <w:rPr>
          <w:rFonts w:ascii="Times New Roman" w:hAnsi="Times New Roman"/>
          <w:color w:val="8FAADB"/>
        </w:rPr>
        <w:t>、生活热水系统：</w:t>
      </w:r>
    </w:p>
    <w:p w14:paraId="026F9B80">
      <w:pPr>
        <w:pStyle w:val="27"/>
        <w:widowControl/>
        <w:rPr>
          <w:rFonts w:hint="default" w:ascii="Times New Roman" w:hAnsi="Times New Roman"/>
          <w:color w:val="8FAADB"/>
        </w:rPr>
      </w:pPr>
      <w:r>
        <w:rPr>
          <w:rFonts w:hint="default" w:ascii="Times New Roman" w:hAnsi="Times New Roman"/>
          <w:color w:val="8FAADB"/>
        </w:rPr>
        <w:t>EP</w:t>
      </w:r>
      <w:r>
        <w:rPr>
          <w:rFonts w:hint="default" w:ascii="Times New Roman" w:hAnsi="Times New Roman"/>
          <w:color w:val="8FAADB"/>
          <w:vertAlign w:val="subscript"/>
        </w:rPr>
        <w:t>w</w:t>
      </w:r>
      <w:r>
        <w:rPr>
          <w:rFonts w:hint="default" w:ascii="Times New Roman" w:hAnsi="Times New Roman"/>
          <w:color w:val="8FAADB"/>
        </w:rPr>
        <w:t>=EP</w:t>
      </w:r>
      <w:r>
        <w:rPr>
          <w:rFonts w:hint="default" w:ascii="Times New Roman" w:hAnsi="Times New Roman"/>
          <w:color w:val="8FAADB"/>
          <w:vertAlign w:val="subscript"/>
        </w:rPr>
        <w:t>w</w:t>
      </w:r>
      <w:r>
        <w:rPr>
          <w:rFonts w:ascii="Times New Roman" w:hAnsi="Times New Roman"/>
          <w:color w:val="8FAADB"/>
          <w:vertAlign w:val="subscript"/>
        </w:rPr>
        <w:t>，</w:t>
      </w:r>
      <w:r>
        <w:rPr>
          <w:rFonts w:hint="default" w:ascii="Times New Roman" w:hAnsi="Times New Roman"/>
          <w:color w:val="8FAADB"/>
          <w:vertAlign w:val="subscript"/>
        </w:rPr>
        <w:t>geo</w:t>
      </w:r>
      <w:r>
        <w:rPr>
          <w:rFonts w:hint="default" w:ascii="Times New Roman" w:hAnsi="Times New Roman"/>
          <w:color w:val="8FAADB"/>
        </w:rPr>
        <w:t>+EP</w:t>
      </w:r>
      <w:r>
        <w:rPr>
          <w:rFonts w:hint="default" w:ascii="Times New Roman" w:hAnsi="Times New Roman"/>
          <w:color w:val="8FAADB"/>
          <w:vertAlign w:val="subscript"/>
        </w:rPr>
        <w:t>w</w:t>
      </w:r>
      <w:r>
        <w:rPr>
          <w:rFonts w:ascii="Times New Roman" w:hAnsi="Times New Roman"/>
          <w:color w:val="8FAADB"/>
          <w:vertAlign w:val="subscript"/>
        </w:rPr>
        <w:t>，</w:t>
      </w:r>
      <w:r>
        <w:rPr>
          <w:rFonts w:hint="default" w:ascii="Times New Roman" w:hAnsi="Times New Roman"/>
          <w:color w:val="8FAADB"/>
          <w:vertAlign w:val="subscript"/>
        </w:rPr>
        <w:t>air</w:t>
      </w:r>
      <w:r>
        <w:rPr>
          <w:rFonts w:hint="default" w:ascii="Times New Roman" w:hAnsi="Times New Roman"/>
          <w:color w:val="8FAADB"/>
        </w:rPr>
        <w:t>+EP</w:t>
      </w:r>
      <w:r>
        <w:rPr>
          <w:rFonts w:hint="default" w:ascii="Times New Roman" w:hAnsi="Times New Roman"/>
          <w:color w:val="8FAADB"/>
          <w:vertAlign w:val="subscript"/>
        </w:rPr>
        <w:t>w</w:t>
      </w:r>
      <w:r>
        <w:rPr>
          <w:rFonts w:ascii="Times New Roman" w:hAnsi="Times New Roman"/>
          <w:color w:val="8FAADB"/>
          <w:vertAlign w:val="subscript"/>
        </w:rPr>
        <w:t>，</w:t>
      </w:r>
      <w:r>
        <w:rPr>
          <w:rFonts w:hint="default" w:ascii="Times New Roman" w:hAnsi="Times New Roman"/>
          <w:color w:val="8FAADB"/>
          <w:vertAlign w:val="subscript"/>
        </w:rPr>
        <w:t>sol</w:t>
      </w:r>
      <w:r>
        <w:rPr>
          <w:rFonts w:hint="default" w:ascii="Times New Roman" w:hAnsi="Times New Roman"/>
          <w:color w:val="8FAADB"/>
        </w:rPr>
        <w:t>+EP</w:t>
      </w:r>
      <w:r>
        <w:rPr>
          <w:rFonts w:hint="default" w:ascii="Times New Roman" w:hAnsi="Times New Roman"/>
          <w:color w:val="8FAADB"/>
          <w:vertAlign w:val="subscript"/>
        </w:rPr>
        <w:t>w,bio</w:t>
      </w:r>
    </w:p>
    <w:p w14:paraId="0EAD2FC8">
      <w:pPr>
        <w:pStyle w:val="27"/>
        <w:widowControl/>
        <w:rPr>
          <w:rFonts w:hint="default" w:ascii="Times New Roman" w:hAnsi="Times New Roman"/>
          <w:color w:val="8FAADB"/>
        </w:rPr>
      </w:pPr>
      <w:r>
        <w:rPr>
          <w:rFonts w:hint="default" w:ascii="Times New Roman" w:hAnsi="Times New Roman"/>
          <w:color w:val="8FAADB"/>
        </w:rPr>
        <w:t>Qw=15.8kWh/(m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p>
    <w:p w14:paraId="250EBA91">
      <w:pPr>
        <w:pStyle w:val="27"/>
        <w:widowControl/>
        <w:rPr>
          <w:rFonts w:hint="default" w:ascii="Times New Roman" w:hAnsi="Times New Roman"/>
          <w:color w:val="8FAADB"/>
        </w:rPr>
      </w:pPr>
      <w:r>
        <w:rPr>
          <w:rFonts w:hint="default" w:ascii="Times New Roman" w:hAnsi="Times New Roman"/>
          <w:color w:val="8FAADB"/>
        </w:rPr>
        <w:t>EP</w:t>
      </w:r>
      <w:r>
        <w:rPr>
          <w:rFonts w:hint="default" w:ascii="Times New Roman" w:hAnsi="Times New Roman"/>
          <w:color w:val="8FAADB"/>
          <w:vertAlign w:val="subscript"/>
        </w:rPr>
        <w:t>w</w:t>
      </w:r>
      <w:r>
        <w:rPr>
          <w:rFonts w:ascii="Times New Roman" w:hAnsi="Times New Roman"/>
          <w:color w:val="8FAADB"/>
          <w:vertAlign w:val="subscript"/>
        </w:rPr>
        <w:t>，</w:t>
      </w:r>
      <w:r>
        <w:rPr>
          <w:rFonts w:hint="default" w:ascii="Times New Roman" w:hAnsi="Times New Roman"/>
          <w:color w:val="8FAADB"/>
          <w:vertAlign w:val="subscript"/>
        </w:rPr>
        <w:t>sol</w:t>
      </w:r>
      <w:r>
        <w:rPr>
          <w:rFonts w:hint="default" w:ascii="Times New Roman" w:hAnsi="Times New Roman"/>
          <w:color w:val="8FAADB"/>
        </w:rPr>
        <w:t>=Q</w:t>
      </w:r>
      <w:r>
        <w:rPr>
          <w:rFonts w:hint="default" w:ascii="Times New Roman" w:hAnsi="Times New Roman"/>
          <w:color w:val="8FAADB"/>
          <w:vertAlign w:val="subscript"/>
        </w:rPr>
        <w:t>w</w:t>
      </w:r>
      <w:r>
        <w:rPr>
          <w:rFonts w:ascii="Times New Roman" w:hAnsi="Times New Roman"/>
          <w:color w:val="8FAADB"/>
          <w:vertAlign w:val="subscript"/>
        </w:rPr>
        <w:t>，</w:t>
      </w:r>
      <w:r>
        <w:rPr>
          <w:rFonts w:hint="default" w:ascii="Times New Roman" w:hAnsi="Times New Roman"/>
          <w:color w:val="8FAADB"/>
          <w:vertAlign w:val="subscript"/>
        </w:rPr>
        <w:t>sol</w:t>
      </w:r>
      <w:r>
        <w:rPr>
          <w:rFonts w:hint="default" w:ascii="Times New Roman" w:hAnsi="Times New Roman"/>
          <w:color w:val="8FAADB"/>
        </w:rPr>
        <w:t>=14 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p>
    <w:p w14:paraId="41180BEA">
      <w:pPr>
        <w:pStyle w:val="27"/>
        <w:widowControl/>
        <w:rPr>
          <w:rFonts w:hint="default" w:ascii="Times New Roman" w:hAnsi="Times New Roman"/>
          <w:color w:val="8FAADB"/>
        </w:rPr>
      </w:pPr>
      <w:r>
        <w:rPr>
          <w:rFonts w:hint="default" w:ascii="Times New Roman" w:hAnsi="Times New Roman"/>
          <w:color w:val="8FAADB"/>
        </w:rPr>
        <w:t>EP</w:t>
      </w:r>
      <w:r>
        <w:rPr>
          <w:rFonts w:hint="default" w:ascii="Times New Roman" w:hAnsi="Times New Roman"/>
          <w:color w:val="8FAADB"/>
          <w:vertAlign w:val="subscript"/>
        </w:rPr>
        <w:t>w,bio</w:t>
      </w:r>
      <w:r>
        <w:rPr>
          <w:rFonts w:hint="default" w:ascii="Times New Roman" w:hAnsi="Times New Roman"/>
          <w:color w:val="8FAADB"/>
        </w:rPr>
        <w:t>=Q</w:t>
      </w:r>
      <w:r>
        <w:rPr>
          <w:rFonts w:hint="default" w:ascii="Times New Roman" w:hAnsi="Times New Roman"/>
          <w:color w:val="8FAADB"/>
          <w:vertAlign w:val="subscript"/>
        </w:rPr>
        <w:t>w</w:t>
      </w:r>
      <w:r>
        <w:rPr>
          <w:rFonts w:ascii="Times New Roman" w:hAnsi="Times New Roman"/>
          <w:color w:val="8FAADB"/>
          <w:vertAlign w:val="subscript"/>
        </w:rPr>
        <w:t>，</w:t>
      </w:r>
      <w:r>
        <w:rPr>
          <w:rFonts w:hint="default" w:ascii="Times New Roman" w:hAnsi="Times New Roman"/>
          <w:color w:val="8FAADB"/>
          <w:vertAlign w:val="subscript"/>
        </w:rPr>
        <w:t>bio</w:t>
      </w:r>
      <w:r>
        <w:rPr>
          <w:rFonts w:hint="default" w:ascii="Times New Roman" w:hAnsi="Times New Roman"/>
          <w:color w:val="8FAADB"/>
        </w:rPr>
        <w:t>=15.8-14 =1.8kWh/(m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p>
    <w:p w14:paraId="528DF589">
      <w:pPr>
        <w:pStyle w:val="27"/>
        <w:widowControl/>
        <w:rPr>
          <w:rFonts w:hint="default" w:ascii="Times New Roman" w:hAnsi="Times New Roman"/>
          <w:color w:val="8FAADB"/>
        </w:rPr>
      </w:pPr>
      <w:r>
        <w:rPr>
          <w:rFonts w:ascii="Times New Roman" w:hAnsi="Times New Roman"/>
          <w:color w:val="8FAADB"/>
        </w:rPr>
        <w:t>因为生活热水热源只有太阳能和生物质锅炉，且全部是可再生能源，所以，</w:t>
      </w:r>
      <w:r>
        <w:rPr>
          <w:rFonts w:hint="default" w:ascii="Times New Roman" w:hAnsi="Times New Roman"/>
          <w:color w:val="8FAADB"/>
        </w:rPr>
        <w:t>EP</w:t>
      </w:r>
      <w:r>
        <w:rPr>
          <w:rFonts w:hint="default" w:ascii="Times New Roman" w:hAnsi="Times New Roman"/>
          <w:color w:val="8FAADB"/>
          <w:vertAlign w:val="subscript"/>
        </w:rPr>
        <w:t>w</w:t>
      </w:r>
      <w:r>
        <w:rPr>
          <w:rFonts w:hint="default" w:ascii="Times New Roman" w:hAnsi="Times New Roman"/>
          <w:color w:val="8FAADB"/>
        </w:rPr>
        <w:t>=14+1.8=15.8kWh/(m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p>
    <w:p w14:paraId="2B116755">
      <w:pPr>
        <w:pStyle w:val="27"/>
        <w:widowControl/>
        <w:rPr>
          <w:rFonts w:hint="default" w:ascii="Times New Roman" w:hAnsi="Times New Roman"/>
          <w:color w:val="8FAADB"/>
        </w:rPr>
      </w:pPr>
      <w:r>
        <w:rPr>
          <w:rFonts w:hint="default" w:ascii="Times New Roman" w:hAnsi="Times New Roman"/>
          <w:b/>
          <w:bCs/>
          <w:color w:val="8FAADB"/>
        </w:rPr>
        <w:t>3</w:t>
      </w:r>
      <w:r>
        <w:rPr>
          <w:rFonts w:ascii="Times New Roman" w:hAnsi="Times New Roman"/>
          <w:color w:val="8FAADB"/>
        </w:rPr>
        <w:t>、供冷系统：</w:t>
      </w:r>
    </w:p>
    <w:p w14:paraId="55B5E432">
      <w:pPr>
        <w:pStyle w:val="27"/>
        <w:widowControl/>
        <w:rPr>
          <w:rFonts w:hint="default" w:ascii="Times New Roman" w:hAnsi="Times New Roman"/>
          <w:color w:val="8FAADB"/>
        </w:rPr>
      </w:pPr>
      <w:r>
        <w:rPr>
          <w:rFonts w:hint="default" w:ascii="Times New Roman" w:hAnsi="Times New Roman"/>
          <w:color w:val="8FAADB"/>
        </w:rPr>
        <w:t>Qc=10.7kWh/(m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p>
    <w:p w14:paraId="3E003478">
      <w:pPr>
        <w:pStyle w:val="27"/>
        <w:widowControl/>
        <w:rPr>
          <w:rFonts w:hint="default" w:ascii="Times New Roman" w:hAnsi="Times New Roman"/>
          <w:color w:val="8FAADB"/>
        </w:rPr>
      </w:pPr>
      <w:r>
        <w:rPr>
          <w:rFonts w:ascii="Times New Roman" w:hAnsi="Times New Roman"/>
          <w:color w:val="8FAADB"/>
        </w:rPr>
        <w:t>地源热泵作为冷源时，不计入供冷的可再生能源利用量。</w:t>
      </w:r>
    </w:p>
    <w:p w14:paraId="28E9C56C">
      <w:pPr>
        <w:pStyle w:val="27"/>
        <w:widowControl/>
        <w:rPr>
          <w:rFonts w:hint="default" w:ascii="Times New Roman" w:hAnsi="Times New Roman"/>
          <w:color w:val="8FAADB"/>
        </w:rPr>
      </w:pPr>
      <w:r>
        <w:rPr>
          <w:rFonts w:hint="default" w:ascii="Times New Roman" w:hAnsi="Times New Roman"/>
          <w:b/>
          <w:bCs/>
          <w:color w:val="8FAADB"/>
        </w:rPr>
        <w:t>4</w:t>
      </w:r>
      <w:r>
        <w:rPr>
          <w:rFonts w:ascii="Times New Roman" w:hAnsi="Times New Roman"/>
          <w:color w:val="8FAADB"/>
        </w:rPr>
        <w:t>、照明、电梯及光伏系统：</w:t>
      </w:r>
    </w:p>
    <w:p w14:paraId="2B47944E">
      <w:pPr>
        <w:pStyle w:val="27"/>
        <w:widowControl/>
        <w:rPr>
          <w:rFonts w:hint="default" w:ascii="Times New Roman" w:hAnsi="Times New Roman"/>
          <w:color w:val="8FAADB"/>
        </w:rPr>
      </w:pPr>
      <w:r>
        <w:rPr>
          <w:rFonts w:hint="default" w:ascii="Times New Roman" w:hAnsi="Times New Roman"/>
          <w:color w:val="8FAADB"/>
        </w:rPr>
        <w:t>E</w:t>
      </w:r>
      <w:r>
        <w:rPr>
          <w:rFonts w:hint="default" w:ascii="Times New Roman" w:hAnsi="Times New Roman"/>
          <w:color w:val="8FAADB"/>
          <w:vertAlign w:val="subscript"/>
        </w:rPr>
        <w:t>l</w:t>
      </w:r>
      <w:r>
        <w:rPr>
          <w:rFonts w:hint="default" w:ascii="Times New Roman" w:hAnsi="Times New Roman"/>
          <w:color w:val="8FAADB"/>
        </w:rPr>
        <w:t>=6kWh/(m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r>
        <w:rPr>
          <w:rFonts w:hint="default" w:ascii="Times New Roman" w:hAnsi="Times New Roman"/>
          <w:color w:val="8FAADB"/>
        </w:rPr>
        <w:t>f</w:t>
      </w:r>
      <w:r>
        <w:rPr>
          <w:rFonts w:ascii="Times New Roman" w:hAnsi="Times New Roman"/>
          <w:color w:val="8FAADB"/>
        </w:rPr>
        <w:t>电</w:t>
      </w:r>
      <w:r>
        <w:rPr>
          <w:rFonts w:hint="default" w:ascii="Times New Roman" w:hAnsi="Times New Roman"/>
          <w:color w:val="8FAADB"/>
        </w:rPr>
        <w:t>=2.6</w:t>
      </w:r>
      <w:r>
        <w:rPr>
          <w:rFonts w:ascii="Times New Roman" w:hAnsi="Times New Roman"/>
          <w:color w:val="8FAADB"/>
        </w:rPr>
        <w:t>；</w:t>
      </w:r>
    </w:p>
    <w:p w14:paraId="74114688">
      <w:pPr>
        <w:pStyle w:val="27"/>
        <w:widowControl/>
        <w:rPr>
          <w:rFonts w:hint="default" w:ascii="Times New Roman" w:hAnsi="Times New Roman"/>
          <w:color w:val="8FAADB"/>
        </w:rPr>
      </w:pPr>
      <w:r>
        <w:rPr>
          <w:rFonts w:hint="default" w:ascii="Times New Roman" w:hAnsi="Times New Roman"/>
          <w:color w:val="8FAADB"/>
        </w:rPr>
        <w:t>E</w:t>
      </w:r>
      <w:r>
        <w:rPr>
          <w:rFonts w:hint="default" w:ascii="Times New Roman" w:hAnsi="Times New Roman"/>
          <w:color w:val="8FAADB"/>
          <w:vertAlign w:val="subscript"/>
        </w:rPr>
        <w:t>e</w:t>
      </w:r>
      <w:r>
        <w:rPr>
          <w:rFonts w:hint="default" w:ascii="Times New Roman" w:hAnsi="Times New Roman"/>
          <w:color w:val="8FAADB"/>
        </w:rPr>
        <w:t>=4kWh/(m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r>
        <w:rPr>
          <w:rFonts w:hint="default" w:ascii="Times New Roman" w:hAnsi="Times New Roman"/>
          <w:color w:val="8FAADB"/>
        </w:rPr>
        <w:t>f</w:t>
      </w:r>
      <w:r>
        <w:rPr>
          <w:rFonts w:ascii="Times New Roman" w:hAnsi="Times New Roman"/>
          <w:color w:val="8FAADB"/>
        </w:rPr>
        <w:t>电</w:t>
      </w:r>
      <w:r>
        <w:rPr>
          <w:rFonts w:hint="default" w:ascii="Times New Roman" w:hAnsi="Times New Roman"/>
          <w:color w:val="8FAADB"/>
        </w:rPr>
        <w:t>=2.6</w:t>
      </w:r>
      <w:r>
        <w:rPr>
          <w:rFonts w:ascii="Times New Roman" w:hAnsi="Times New Roman"/>
          <w:color w:val="8FAADB"/>
        </w:rPr>
        <w:t>；</w:t>
      </w:r>
    </w:p>
    <w:p w14:paraId="55CBB336">
      <w:pPr>
        <w:pStyle w:val="27"/>
        <w:widowControl/>
        <w:rPr>
          <w:rFonts w:hint="default" w:ascii="Times New Roman" w:hAnsi="Times New Roman"/>
          <w:color w:val="8FAADB"/>
        </w:rPr>
      </w:pPr>
      <w:r>
        <w:rPr>
          <w:rFonts w:hint="default" w:ascii="Times New Roman" w:hAnsi="Times New Roman"/>
          <w:color w:val="8FAADB"/>
        </w:rPr>
        <w:t>E</w:t>
      </w:r>
      <w:r>
        <w:rPr>
          <w:rFonts w:hint="default" w:ascii="Times New Roman" w:hAnsi="Times New Roman"/>
          <w:color w:val="8FAADB"/>
          <w:vertAlign w:val="subscript"/>
        </w:rPr>
        <w:t>r</w:t>
      </w:r>
      <w:r>
        <w:rPr>
          <w:rFonts w:hint="default" w:ascii="Times New Roman" w:hAnsi="Times New Roman"/>
          <w:color w:val="8FAADB"/>
        </w:rPr>
        <w:t>=4kWh/(m</w:t>
      </w:r>
      <w:r>
        <w:rPr>
          <w:rFonts w:hint="default" w:ascii="Times New Roman" w:hAnsi="Times New Roman"/>
          <w:color w:val="8FAADB"/>
          <w:vertAlign w:val="superscript"/>
        </w:rPr>
        <w:t>2</w:t>
      </w:r>
      <w:r>
        <w:rPr>
          <w:rFonts w:hint="default" w:ascii="Times New Roman" w:hAnsi="Times New Roman"/>
          <w:color w:val="8FAADB"/>
        </w:rPr>
        <w:t>·a)</w:t>
      </w:r>
      <w:r>
        <w:rPr>
          <w:rFonts w:ascii="Times New Roman" w:hAnsi="Times New Roman"/>
          <w:color w:val="8FAADB"/>
        </w:rPr>
        <w:t>，</w:t>
      </w:r>
      <w:r>
        <w:rPr>
          <w:rFonts w:hint="default" w:ascii="Times New Roman" w:hAnsi="Times New Roman"/>
          <w:color w:val="8FAADB"/>
        </w:rPr>
        <w:t>f</w:t>
      </w:r>
      <w:r>
        <w:rPr>
          <w:rFonts w:ascii="Times New Roman" w:hAnsi="Times New Roman"/>
          <w:color w:val="8FAADB"/>
        </w:rPr>
        <w:t>电</w:t>
      </w:r>
      <w:r>
        <w:rPr>
          <w:rFonts w:hint="default" w:ascii="Times New Roman" w:hAnsi="Times New Roman"/>
          <w:color w:val="8FAADB"/>
        </w:rPr>
        <w:t>=2.6</w:t>
      </w:r>
      <w:r>
        <w:rPr>
          <w:rFonts w:ascii="Times New Roman" w:hAnsi="Times New Roman"/>
          <w:color w:val="8FAADB"/>
        </w:rPr>
        <w:t>；</w:t>
      </w:r>
    </w:p>
    <w:p w14:paraId="02A6F65D">
      <w:pPr>
        <w:pStyle w:val="27"/>
        <w:widowControl/>
        <w:rPr>
          <w:rFonts w:hint="default" w:ascii="Times New Roman" w:hAnsi="Times New Roman"/>
          <w:color w:val="8FAADB"/>
        </w:rPr>
      </w:pPr>
      <w:r>
        <w:rPr>
          <w:rFonts w:hint="default" w:ascii="Times New Roman" w:hAnsi="Times New Roman"/>
          <w:b/>
          <w:bCs/>
          <w:color w:val="8FAADB"/>
        </w:rPr>
        <w:t>5</w:t>
      </w:r>
      <w:r>
        <w:rPr>
          <w:rFonts w:ascii="Times New Roman" w:hAnsi="Times New Roman"/>
          <w:color w:val="8FAADB"/>
        </w:rPr>
        <w:t>、计算可再生能源利用率为：</w:t>
      </w:r>
    </w:p>
    <w:p w14:paraId="5A45F5CC">
      <w:pPr>
        <w:pStyle w:val="27"/>
        <w:widowControl/>
        <w:jc w:val="center"/>
        <w:rPr>
          <w:rFonts w:hint="default"/>
          <w:color w:val="8FAADB"/>
        </w:rPr>
      </w:pPr>
      <w:r>
        <w:rPr>
          <w:color w:val="8FAADB"/>
          <w:position w:val="-30"/>
        </w:rPr>
        <w:object>
          <v:shape id="_x0000_i1103" o:spt="75" type="#_x0000_t75" style="height:33pt;width:283.8pt;" o:ole="t" filled="f" o:preferrelative="t" stroked="f" coordsize="21600,21600">
            <v:path/>
            <v:fill on="f" focussize="0,0"/>
            <v:stroke on="f" joinstyle="miter"/>
            <v:imagedata r:id="rId158" o:title=""/>
            <o:lock v:ext="edit" aspectratio="t"/>
            <w10:wrap type="none"/>
            <w10:anchorlock/>
          </v:shape>
          <o:OLEObject Type="Embed" ProgID="" ShapeID="_x0000_i1103" DrawAspect="Content" ObjectID="_1468075803" r:id="rId157">
            <o:LockedField>false</o:LockedField>
          </o:OLEObject>
        </w:object>
      </w:r>
    </w:p>
    <w:p w14:paraId="48F36CCD">
      <w:pPr>
        <w:pStyle w:val="27"/>
        <w:widowControl/>
        <w:rPr>
          <w:rFonts w:hint="default"/>
        </w:rPr>
      </w:pPr>
      <w:r>
        <w:rPr>
          <w:rFonts w:hint="default" w:ascii="Times New Roman" w:hAnsi="Times New Roman"/>
          <w:b/>
          <w:bCs/>
        </w:rPr>
        <w:t xml:space="preserve">7.2.9  </w:t>
      </w:r>
      <w:r>
        <w:t>能源换算系数应符合表7.2.9的规定。</w:t>
      </w:r>
    </w:p>
    <w:p w14:paraId="3DA1CF36">
      <w:pPr>
        <w:pStyle w:val="27"/>
        <w:widowControl/>
        <w:spacing w:before="156" w:beforeLines="50" w:after="156" w:afterLines="50"/>
        <w:jc w:val="center"/>
        <w:rPr>
          <w:rFonts w:hint="default"/>
          <w:b/>
          <w:bCs/>
          <w:sz w:val="21"/>
          <w:szCs w:val="21"/>
        </w:rPr>
      </w:pPr>
      <w:r>
        <w:rPr>
          <w:b/>
          <w:bCs/>
          <w:sz w:val="21"/>
          <w:szCs w:val="21"/>
        </w:rPr>
        <w:t>表7.2.9  能源换算系数</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57" w:type="dxa"/>
          <w:bottom w:w="57" w:type="dxa"/>
          <w:right w:w="57" w:type="dxa"/>
        </w:tblCellMar>
      </w:tblPr>
      <w:tblGrid>
        <w:gridCol w:w="4261"/>
        <w:gridCol w:w="2218"/>
        <w:gridCol w:w="2035"/>
      </w:tblGrid>
      <w:tr w14:paraId="4CFA0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c>
          <w:tcPr>
            <w:tcW w:w="4266" w:type="dxa"/>
            <w:tcBorders>
              <w:top w:val="single" w:color="auto" w:sz="12" w:space="0"/>
              <w:left w:val="single" w:color="auto" w:sz="12" w:space="0"/>
              <w:bottom w:val="single" w:color="auto" w:sz="4" w:space="0"/>
              <w:right w:val="single" w:color="auto" w:sz="4" w:space="0"/>
            </w:tcBorders>
            <w:shd w:val="clear" w:color="auto" w:fill="auto"/>
            <w:vAlign w:val="center"/>
          </w:tcPr>
          <w:p w14:paraId="03972330">
            <w:pPr>
              <w:pStyle w:val="27"/>
              <w:widowControl/>
              <w:jc w:val="center"/>
              <w:rPr>
                <w:rFonts w:hint="default"/>
                <w:sz w:val="21"/>
                <w:szCs w:val="21"/>
              </w:rPr>
            </w:pPr>
            <w:r>
              <w:rPr>
                <w:sz w:val="21"/>
                <w:szCs w:val="21"/>
              </w:rPr>
              <w:t>能源类型</w:t>
            </w:r>
          </w:p>
        </w:tc>
        <w:tc>
          <w:tcPr>
            <w:tcW w:w="2220" w:type="dxa"/>
            <w:tcBorders>
              <w:top w:val="single" w:color="auto" w:sz="12" w:space="0"/>
              <w:left w:val="single" w:color="auto" w:sz="4" w:space="0"/>
              <w:bottom w:val="single" w:color="auto" w:sz="4" w:space="0"/>
              <w:right w:val="single" w:color="auto" w:sz="4" w:space="0"/>
            </w:tcBorders>
            <w:shd w:val="clear" w:color="auto" w:fill="auto"/>
            <w:vAlign w:val="center"/>
          </w:tcPr>
          <w:p w14:paraId="582D9060">
            <w:pPr>
              <w:pStyle w:val="27"/>
              <w:widowControl/>
              <w:jc w:val="center"/>
              <w:rPr>
                <w:rFonts w:hint="default"/>
                <w:sz w:val="21"/>
                <w:szCs w:val="21"/>
              </w:rPr>
            </w:pPr>
            <w:r>
              <w:rPr>
                <w:sz w:val="21"/>
                <w:szCs w:val="21"/>
              </w:rPr>
              <w:t>换算单位</w:t>
            </w:r>
          </w:p>
        </w:tc>
        <w:tc>
          <w:tcPr>
            <w:tcW w:w="2036" w:type="dxa"/>
            <w:tcBorders>
              <w:top w:val="single" w:color="auto" w:sz="12" w:space="0"/>
              <w:left w:val="single" w:color="auto" w:sz="4" w:space="0"/>
              <w:bottom w:val="single" w:color="auto" w:sz="4" w:space="0"/>
              <w:right w:val="single" w:color="auto" w:sz="12" w:space="0"/>
            </w:tcBorders>
            <w:shd w:val="clear" w:color="auto" w:fill="auto"/>
            <w:vAlign w:val="center"/>
          </w:tcPr>
          <w:p w14:paraId="67088598">
            <w:pPr>
              <w:pStyle w:val="27"/>
              <w:widowControl/>
              <w:jc w:val="center"/>
              <w:rPr>
                <w:rFonts w:hint="default"/>
                <w:sz w:val="21"/>
                <w:szCs w:val="21"/>
              </w:rPr>
            </w:pPr>
            <w:r>
              <w:rPr>
                <w:sz w:val="21"/>
                <w:szCs w:val="21"/>
              </w:rPr>
              <w:t>能源换算系数</w:t>
            </w:r>
          </w:p>
        </w:tc>
      </w:tr>
      <w:tr w14:paraId="450BC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c>
          <w:tcPr>
            <w:tcW w:w="4266" w:type="dxa"/>
            <w:tcBorders>
              <w:top w:val="single" w:color="auto" w:sz="4" w:space="0"/>
              <w:left w:val="single" w:color="auto" w:sz="12" w:space="0"/>
              <w:bottom w:val="single" w:color="auto" w:sz="4" w:space="0"/>
              <w:right w:val="single" w:color="auto" w:sz="4" w:space="0"/>
            </w:tcBorders>
            <w:shd w:val="clear" w:color="auto" w:fill="auto"/>
            <w:vAlign w:val="center"/>
          </w:tcPr>
          <w:p w14:paraId="2ED5D7F2">
            <w:pPr>
              <w:pStyle w:val="27"/>
              <w:widowControl/>
              <w:jc w:val="center"/>
              <w:rPr>
                <w:rFonts w:hint="default"/>
                <w:sz w:val="21"/>
                <w:szCs w:val="21"/>
              </w:rPr>
            </w:pPr>
            <w:r>
              <w:rPr>
                <w:sz w:val="21"/>
                <w:szCs w:val="21"/>
              </w:rPr>
              <w:t>标准煤</w:t>
            </w:r>
          </w:p>
        </w:tc>
        <w:tc>
          <w:tcPr>
            <w:tcW w:w="2220" w:type="dxa"/>
            <w:tcBorders>
              <w:top w:val="single" w:color="auto" w:sz="4" w:space="0"/>
              <w:left w:val="single" w:color="auto" w:sz="4" w:space="0"/>
              <w:bottom w:val="single" w:color="auto" w:sz="4" w:space="0"/>
              <w:right w:val="single" w:color="auto" w:sz="4" w:space="0"/>
            </w:tcBorders>
            <w:shd w:val="clear" w:color="auto" w:fill="auto"/>
            <w:vAlign w:val="center"/>
          </w:tcPr>
          <w:p w14:paraId="5CCA2FE9">
            <w:pPr>
              <w:pStyle w:val="27"/>
              <w:widowControl/>
              <w:jc w:val="center"/>
              <w:rPr>
                <w:rFonts w:hint="default" w:ascii="Times New Roman" w:hAnsi="Times New Roman"/>
                <w:sz w:val="21"/>
                <w:szCs w:val="21"/>
              </w:rPr>
            </w:pPr>
            <w:r>
              <w:rPr>
                <w:rFonts w:hint="default" w:ascii="Times New Roman" w:hAnsi="Times New Roman"/>
                <w:sz w:val="21"/>
                <w:szCs w:val="21"/>
              </w:rPr>
              <w:t>kWh/kgce</w:t>
            </w:r>
            <w:r>
              <w:rPr>
                <w:rFonts w:ascii="Times New Roman" w:hAnsi="Times New Roman"/>
                <w:sz w:val="15"/>
                <w:szCs w:val="15"/>
              </w:rPr>
              <w:t>终端</w:t>
            </w:r>
          </w:p>
        </w:tc>
        <w:tc>
          <w:tcPr>
            <w:tcW w:w="2036" w:type="dxa"/>
            <w:tcBorders>
              <w:top w:val="single" w:color="auto" w:sz="4" w:space="0"/>
              <w:left w:val="single" w:color="auto" w:sz="4" w:space="0"/>
              <w:bottom w:val="single" w:color="auto" w:sz="4" w:space="0"/>
              <w:right w:val="single" w:color="auto" w:sz="12" w:space="0"/>
            </w:tcBorders>
            <w:shd w:val="clear" w:color="auto" w:fill="auto"/>
            <w:vAlign w:val="center"/>
          </w:tcPr>
          <w:p w14:paraId="539CE50B">
            <w:pPr>
              <w:pStyle w:val="27"/>
              <w:widowControl/>
              <w:jc w:val="center"/>
              <w:rPr>
                <w:rFonts w:hint="default" w:ascii="Times New Roman" w:hAnsi="Times New Roman"/>
                <w:sz w:val="21"/>
                <w:szCs w:val="21"/>
              </w:rPr>
            </w:pPr>
            <w:r>
              <w:rPr>
                <w:rFonts w:hint="default" w:ascii="Times New Roman" w:hAnsi="Times New Roman"/>
                <w:sz w:val="21"/>
                <w:szCs w:val="21"/>
              </w:rPr>
              <w:t>8.14</w:t>
            </w:r>
          </w:p>
        </w:tc>
      </w:tr>
      <w:tr w14:paraId="1666B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c>
          <w:tcPr>
            <w:tcW w:w="4266" w:type="dxa"/>
            <w:tcBorders>
              <w:top w:val="single" w:color="auto" w:sz="4" w:space="0"/>
              <w:left w:val="single" w:color="auto" w:sz="12" w:space="0"/>
              <w:bottom w:val="single" w:color="auto" w:sz="4" w:space="0"/>
              <w:right w:val="single" w:color="auto" w:sz="4" w:space="0"/>
            </w:tcBorders>
            <w:shd w:val="clear" w:color="auto" w:fill="auto"/>
            <w:vAlign w:val="center"/>
          </w:tcPr>
          <w:p w14:paraId="705D2771">
            <w:pPr>
              <w:pStyle w:val="27"/>
              <w:widowControl/>
              <w:jc w:val="center"/>
              <w:rPr>
                <w:rFonts w:hint="default"/>
                <w:sz w:val="21"/>
                <w:szCs w:val="21"/>
              </w:rPr>
            </w:pPr>
            <w:r>
              <w:rPr>
                <w:sz w:val="21"/>
                <w:szCs w:val="21"/>
              </w:rPr>
              <w:t>天然气</w:t>
            </w:r>
          </w:p>
        </w:tc>
        <w:tc>
          <w:tcPr>
            <w:tcW w:w="2220" w:type="dxa"/>
            <w:tcBorders>
              <w:top w:val="single" w:color="auto" w:sz="4" w:space="0"/>
              <w:left w:val="single" w:color="auto" w:sz="4" w:space="0"/>
              <w:bottom w:val="single" w:color="auto" w:sz="4" w:space="0"/>
              <w:right w:val="single" w:color="auto" w:sz="4" w:space="0"/>
            </w:tcBorders>
            <w:shd w:val="clear" w:color="auto" w:fill="auto"/>
            <w:vAlign w:val="center"/>
          </w:tcPr>
          <w:p w14:paraId="40BF05B9">
            <w:pPr>
              <w:pStyle w:val="27"/>
              <w:widowControl/>
              <w:jc w:val="center"/>
              <w:rPr>
                <w:rFonts w:hint="default" w:ascii="Times New Roman" w:hAnsi="Times New Roman"/>
                <w:sz w:val="21"/>
                <w:szCs w:val="21"/>
              </w:rPr>
            </w:pPr>
            <w:r>
              <w:rPr>
                <w:rFonts w:hint="default" w:ascii="Times New Roman" w:hAnsi="Times New Roman"/>
                <w:sz w:val="21"/>
                <w:szCs w:val="21"/>
              </w:rPr>
              <w:t>kWh/m³</w:t>
            </w:r>
            <w:r>
              <w:rPr>
                <w:rFonts w:ascii="Times New Roman" w:hAnsi="Times New Roman"/>
                <w:sz w:val="15"/>
                <w:szCs w:val="15"/>
              </w:rPr>
              <w:t>终端</w:t>
            </w:r>
          </w:p>
        </w:tc>
        <w:tc>
          <w:tcPr>
            <w:tcW w:w="2036" w:type="dxa"/>
            <w:tcBorders>
              <w:top w:val="single" w:color="auto" w:sz="4" w:space="0"/>
              <w:left w:val="single" w:color="auto" w:sz="4" w:space="0"/>
              <w:bottom w:val="single" w:color="auto" w:sz="4" w:space="0"/>
              <w:right w:val="single" w:color="auto" w:sz="12" w:space="0"/>
            </w:tcBorders>
            <w:shd w:val="clear" w:color="auto" w:fill="auto"/>
            <w:vAlign w:val="center"/>
          </w:tcPr>
          <w:p w14:paraId="7B4B64CB">
            <w:pPr>
              <w:pStyle w:val="27"/>
              <w:widowControl/>
              <w:jc w:val="center"/>
              <w:rPr>
                <w:rFonts w:hint="default" w:ascii="Times New Roman" w:hAnsi="Times New Roman"/>
                <w:sz w:val="21"/>
                <w:szCs w:val="21"/>
              </w:rPr>
            </w:pPr>
            <w:r>
              <w:rPr>
                <w:rFonts w:hint="default" w:ascii="Times New Roman" w:hAnsi="Times New Roman"/>
                <w:sz w:val="21"/>
                <w:szCs w:val="21"/>
              </w:rPr>
              <w:t>9.85</w:t>
            </w:r>
          </w:p>
        </w:tc>
      </w:tr>
      <w:tr w14:paraId="3FCCC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c>
          <w:tcPr>
            <w:tcW w:w="4266" w:type="dxa"/>
            <w:tcBorders>
              <w:top w:val="single" w:color="auto" w:sz="4" w:space="0"/>
              <w:left w:val="single" w:color="auto" w:sz="12" w:space="0"/>
              <w:bottom w:val="single" w:color="auto" w:sz="4" w:space="0"/>
              <w:right w:val="single" w:color="auto" w:sz="4" w:space="0"/>
            </w:tcBorders>
            <w:shd w:val="clear" w:color="auto" w:fill="auto"/>
            <w:vAlign w:val="center"/>
          </w:tcPr>
          <w:p w14:paraId="7C971933">
            <w:pPr>
              <w:pStyle w:val="27"/>
              <w:widowControl/>
              <w:jc w:val="center"/>
              <w:rPr>
                <w:rFonts w:hint="default"/>
                <w:sz w:val="21"/>
                <w:szCs w:val="21"/>
              </w:rPr>
            </w:pPr>
            <w:r>
              <w:rPr>
                <w:sz w:val="21"/>
                <w:szCs w:val="21"/>
              </w:rPr>
              <w:t>热力</w:t>
            </w:r>
          </w:p>
        </w:tc>
        <w:tc>
          <w:tcPr>
            <w:tcW w:w="2220" w:type="dxa"/>
            <w:tcBorders>
              <w:top w:val="single" w:color="auto" w:sz="4" w:space="0"/>
              <w:left w:val="single" w:color="auto" w:sz="4" w:space="0"/>
              <w:bottom w:val="single" w:color="auto" w:sz="4" w:space="0"/>
              <w:right w:val="single" w:color="auto" w:sz="4" w:space="0"/>
            </w:tcBorders>
            <w:shd w:val="clear" w:color="auto" w:fill="auto"/>
            <w:vAlign w:val="center"/>
          </w:tcPr>
          <w:p w14:paraId="4BAEB1DD">
            <w:pPr>
              <w:pStyle w:val="27"/>
              <w:widowControl/>
              <w:jc w:val="center"/>
              <w:rPr>
                <w:rFonts w:hint="default" w:ascii="Times New Roman" w:hAnsi="Times New Roman"/>
                <w:sz w:val="21"/>
                <w:szCs w:val="21"/>
              </w:rPr>
            </w:pPr>
            <w:r>
              <w:rPr>
                <w:rFonts w:hint="default" w:ascii="Times New Roman" w:hAnsi="Times New Roman"/>
                <w:sz w:val="21"/>
                <w:szCs w:val="21"/>
              </w:rPr>
              <w:t>kWh/kWh</w:t>
            </w:r>
            <w:r>
              <w:rPr>
                <w:rFonts w:ascii="Times New Roman" w:hAnsi="Times New Roman"/>
                <w:sz w:val="15"/>
                <w:szCs w:val="15"/>
              </w:rPr>
              <w:t>终端</w:t>
            </w:r>
          </w:p>
        </w:tc>
        <w:tc>
          <w:tcPr>
            <w:tcW w:w="2036" w:type="dxa"/>
            <w:tcBorders>
              <w:top w:val="single" w:color="auto" w:sz="4" w:space="0"/>
              <w:left w:val="single" w:color="auto" w:sz="4" w:space="0"/>
              <w:bottom w:val="single" w:color="auto" w:sz="4" w:space="0"/>
              <w:right w:val="single" w:color="auto" w:sz="12" w:space="0"/>
            </w:tcBorders>
            <w:shd w:val="clear" w:color="auto" w:fill="auto"/>
            <w:vAlign w:val="center"/>
          </w:tcPr>
          <w:p w14:paraId="07EA3A57">
            <w:pPr>
              <w:pStyle w:val="27"/>
              <w:widowControl/>
              <w:jc w:val="center"/>
              <w:rPr>
                <w:rFonts w:hint="default" w:ascii="Times New Roman" w:hAnsi="Times New Roman"/>
                <w:sz w:val="21"/>
                <w:szCs w:val="21"/>
              </w:rPr>
            </w:pPr>
            <w:r>
              <w:rPr>
                <w:rFonts w:hint="default" w:ascii="Times New Roman" w:hAnsi="Times New Roman"/>
                <w:sz w:val="21"/>
                <w:szCs w:val="21"/>
              </w:rPr>
              <w:t>1.22</w:t>
            </w:r>
          </w:p>
        </w:tc>
      </w:tr>
      <w:tr w14:paraId="1E3BD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c>
          <w:tcPr>
            <w:tcW w:w="4266" w:type="dxa"/>
            <w:tcBorders>
              <w:top w:val="single" w:color="auto" w:sz="4" w:space="0"/>
              <w:left w:val="single" w:color="auto" w:sz="12" w:space="0"/>
              <w:bottom w:val="single" w:color="auto" w:sz="4" w:space="0"/>
              <w:right w:val="single" w:color="auto" w:sz="4" w:space="0"/>
            </w:tcBorders>
            <w:shd w:val="clear" w:color="auto" w:fill="auto"/>
            <w:vAlign w:val="center"/>
          </w:tcPr>
          <w:p w14:paraId="2D11E2BF">
            <w:pPr>
              <w:pStyle w:val="27"/>
              <w:widowControl/>
              <w:jc w:val="center"/>
              <w:rPr>
                <w:rFonts w:hint="default"/>
                <w:sz w:val="21"/>
                <w:szCs w:val="21"/>
              </w:rPr>
            </w:pPr>
            <w:r>
              <w:rPr>
                <w:sz w:val="21"/>
                <w:szCs w:val="21"/>
              </w:rPr>
              <w:t>电力</w:t>
            </w:r>
          </w:p>
        </w:tc>
        <w:tc>
          <w:tcPr>
            <w:tcW w:w="2220" w:type="dxa"/>
            <w:tcBorders>
              <w:top w:val="single" w:color="auto" w:sz="4" w:space="0"/>
              <w:left w:val="single" w:color="auto" w:sz="4" w:space="0"/>
              <w:bottom w:val="single" w:color="auto" w:sz="4" w:space="0"/>
              <w:right w:val="single" w:color="auto" w:sz="4" w:space="0"/>
            </w:tcBorders>
            <w:shd w:val="clear" w:color="auto" w:fill="auto"/>
            <w:vAlign w:val="center"/>
          </w:tcPr>
          <w:p w14:paraId="22347807">
            <w:pPr>
              <w:pStyle w:val="27"/>
              <w:widowControl/>
              <w:jc w:val="center"/>
              <w:rPr>
                <w:rFonts w:hint="default" w:ascii="Times New Roman" w:hAnsi="Times New Roman"/>
                <w:sz w:val="21"/>
                <w:szCs w:val="21"/>
              </w:rPr>
            </w:pPr>
            <w:r>
              <w:rPr>
                <w:rFonts w:hint="default" w:ascii="Times New Roman" w:hAnsi="Times New Roman"/>
                <w:sz w:val="21"/>
                <w:szCs w:val="21"/>
              </w:rPr>
              <w:t>kWh/kWh</w:t>
            </w:r>
            <w:r>
              <w:rPr>
                <w:rFonts w:ascii="Times New Roman" w:hAnsi="Times New Roman"/>
                <w:sz w:val="15"/>
                <w:szCs w:val="15"/>
              </w:rPr>
              <w:t>终端</w:t>
            </w:r>
          </w:p>
        </w:tc>
        <w:tc>
          <w:tcPr>
            <w:tcW w:w="2036" w:type="dxa"/>
            <w:tcBorders>
              <w:top w:val="single" w:color="auto" w:sz="4" w:space="0"/>
              <w:left w:val="single" w:color="auto" w:sz="4" w:space="0"/>
              <w:bottom w:val="single" w:color="auto" w:sz="4" w:space="0"/>
              <w:right w:val="single" w:color="auto" w:sz="12" w:space="0"/>
            </w:tcBorders>
            <w:shd w:val="clear" w:color="auto" w:fill="auto"/>
            <w:vAlign w:val="center"/>
          </w:tcPr>
          <w:p w14:paraId="51ED78B0">
            <w:pPr>
              <w:pStyle w:val="27"/>
              <w:widowControl/>
              <w:jc w:val="center"/>
              <w:rPr>
                <w:rFonts w:hint="default" w:ascii="Times New Roman" w:hAnsi="Times New Roman"/>
                <w:sz w:val="21"/>
                <w:szCs w:val="21"/>
              </w:rPr>
            </w:pPr>
            <w:r>
              <w:rPr>
                <w:rFonts w:hint="default" w:ascii="Times New Roman" w:hAnsi="Times New Roman"/>
                <w:sz w:val="21"/>
                <w:szCs w:val="21"/>
              </w:rPr>
              <w:t>2.6</w:t>
            </w:r>
          </w:p>
        </w:tc>
      </w:tr>
      <w:tr w14:paraId="694A1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c>
          <w:tcPr>
            <w:tcW w:w="4266" w:type="dxa"/>
            <w:tcBorders>
              <w:top w:val="single" w:color="auto" w:sz="4" w:space="0"/>
              <w:left w:val="single" w:color="auto" w:sz="12" w:space="0"/>
              <w:bottom w:val="single" w:color="auto" w:sz="4" w:space="0"/>
              <w:right w:val="single" w:color="auto" w:sz="4" w:space="0"/>
            </w:tcBorders>
            <w:shd w:val="clear" w:color="auto" w:fill="auto"/>
            <w:vAlign w:val="center"/>
          </w:tcPr>
          <w:p w14:paraId="77D1B220">
            <w:pPr>
              <w:pStyle w:val="27"/>
              <w:widowControl/>
              <w:jc w:val="center"/>
              <w:rPr>
                <w:rFonts w:hint="default"/>
                <w:sz w:val="21"/>
                <w:szCs w:val="21"/>
              </w:rPr>
            </w:pPr>
            <w:r>
              <w:rPr>
                <w:sz w:val="21"/>
                <w:szCs w:val="21"/>
              </w:rPr>
              <w:t>生物质能</w:t>
            </w:r>
          </w:p>
        </w:tc>
        <w:tc>
          <w:tcPr>
            <w:tcW w:w="2220" w:type="dxa"/>
            <w:tcBorders>
              <w:top w:val="single" w:color="auto" w:sz="4" w:space="0"/>
              <w:left w:val="single" w:color="auto" w:sz="4" w:space="0"/>
              <w:bottom w:val="single" w:color="auto" w:sz="4" w:space="0"/>
              <w:right w:val="single" w:color="auto" w:sz="4" w:space="0"/>
            </w:tcBorders>
            <w:shd w:val="clear" w:color="auto" w:fill="auto"/>
            <w:vAlign w:val="center"/>
          </w:tcPr>
          <w:p w14:paraId="42AB741B">
            <w:pPr>
              <w:pStyle w:val="27"/>
              <w:widowControl/>
              <w:jc w:val="center"/>
              <w:rPr>
                <w:rFonts w:hint="default" w:ascii="Times New Roman" w:hAnsi="Times New Roman"/>
                <w:sz w:val="21"/>
                <w:szCs w:val="21"/>
              </w:rPr>
            </w:pPr>
            <w:r>
              <w:rPr>
                <w:rFonts w:hint="default" w:ascii="Times New Roman" w:hAnsi="Times New Roman"/>
                <w:sz w:val="21"/>
                <w:szCs w:val="21"/>
              </w:rPr>
              <w:t>kWh/kWh</w:t>
            </w:r>
            <w:r>
              <w:rPr>
                <w:rFonts w:ascii="Times New Roman" w:hAnsi="Times New Roman"/>
                <w:sz w:val="15"/>
                <w:szCs w:val="15"/>
              </w:rPr>
              <w:t>终端</w:t>
            </w:r>
          </w:p>
        </w:tc>
        <w:tc>
          <w:tcPr>
            <w:tcW w:w="2036" w:type="dxa"/>
            <w:tcBorders>
              <w:top w:val="single" w:color="auto" w:sz="4" w:space="0"/>
              <w:left w:val="single" w:color="auto" w:sz="4" w:space="0"/>
              <w:bottom w:val="single" w:color="auto" w:sz="4" w:space="0"/>
              <w:right w:val="single" w:color="auto" w:sz="12" w:space="0"/>
            </w:tcBorders>
            <w:shd w:val="clear" w:color="auto" w:fill="auto"/>
            <w:vAlign w:val="center"/>
          </w:tcPr>
          <w:p w14:paraId="4691FAA9">
            <w:pPr>
              <w:pStyle w:val="27"/>
              <w:widowControl/>
              <w:jc w:val="center"/>
              <w:rPr>
                <w:rFonts w:hint="default" w:ascii="Times New Roman" w:hAnsi="Times New Roman"/>
                <w:sz w:val="21"/>
                <w:szCs w:val="21"/>
              </w:rPr>
            </w:pPr>
            <w:r>
              <w:rPr>
                <w:rFonts w:hint="default" w:ascii="Times New Roman" w:hAnsi="Times New Roman"/>
                <w:sz w:val="21"/>
                <w:szCs w:val="21"/>
              </w:rPr>
              <w:t>0.20</w:t>
            </w:r>
          </w:p>
        </w:tc>
      </w:tr>
      <w:tr w14:paraId="16948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c>
          <w:tcPr>
            <w:tcW w:w="4266" w:type="dxa"/>
            <w:tcBorders>
              <w:top w:val="single" w:color="auto" w:sz="4" w:space="0"/>
              <w:left w:val="single" w:color="auto" w:sz="12" w:space="0"/>
              <w:bottom w:val="single" w:color="auto" w:sz="12" w:space="0"/>
              <w:right w:val="single" w:color="auto" w:sz="4" w:space="0"/>
            </w:tcBorders>
            <w:shd w:val="clear" w:color="auto" w:fill="auto"/>
            <w:vAlign w:val="center"/>
          </w:tcPr>
          <w:p w14:paraId="5974F413">
            <w:pPr>
              <w:pStyle w:val="27"/>
              <w:widowControl/>
              <w:jc w:val="center"/>
              <w:rPr>
                <w:rFonts w:hint="default"/>
                <w:sz w:val="21"/>
                <w:szCs w:val="21"/>
              </w:rPr>
            </w:pPr>
            <w:r>
              <w:rPr>
                <w:sz w:val="21"/>
                <w:szCs w:val="21"/>
              </w:rPr>
              <w:t>电力（光伏、风力等可再生能源发电）</w:t>
            </w:r>
          </w:p>
        </w:tc>
        <w:tc>
          <w:tcPr>
            <w:tcW w:w="2220" w:type="dxa"/>
            <w:tcBorders>
              <w:top w:val="single" w:color="auto" w:sz="4" w:space="0"/>
              <w:left w:val="single" w:color="auto" w:sz="4" w:space="0"/>
              <w:bottom w:val="single" w:color="auto" w:sz="12" w:space="0"/>
              <w:right w:val="single" w:color="auto" w:sz="4" w:space="0"/>
            </w:tcBorders>
            <w:shd w:val="clear" w:color="auto" w:fill="auto"/>
            <w:vAlign w:val="center"/>
          </w:tcPr>
          <w:p w14:paraId="76C47349">
            <w:pPr>
              <w:pStyle w:val="27"/>
              <w:widowControl/>
              <w:jc w:val="center"/>
              <w:rPr>
                <w:rFonts w:hint="default" w:ascii="Times New Roman" w:hAnsi="Times New Roman"/>
                <w:sz w:val="21"/>
                <w:szCs w:val="21"/>
              </w:rPr>
            </w:pPr>
            <w:r>
              <w:rPr>
                <w:rFonts w:hint="default" w:ascii="Times New Roman" w:hAnsi="Times New Roman"/>
                <w:sz w:val="21"/>
                <w:szCs w:val="21"/>
              </w:rPr>
              <w:t>kWh/kWh</w:t>
            </w:r>
            <w:r>
              <w:rPr>
                <w:rFonts w:ascii="Times New Roman" w:hAnsi="Times New Roman"/>
                <w:sz w:val="15"/>
                <w:szCs w:val="15"/>
              </w:rPr>
              <w:t>终端</w:t>
            </w:r>
          </w:p>
        </w:tc>
        <w:tc>
          <w:tcPr>
            <w:tcW w:w="2036" w:type="dxa"/>
            <w:tcBorders>
              <w:top w:val="single" w:color="auto" w:sz="4" w:space="0"/>
              <w:left w:val="single" w:color="auto" w:sz="4" w:space="0"/>
              <w:bottom w:val="single" w:color="auto" w:sz="12" w:space="0"/>
              <w:right w:val="single" w:color="auto" w:sz="12" w:space="0"/>
            </w:tcBorders>
            <w:shd w:val="clear" w:color="auto" w:fill="auto"/>
            <w:vAlign w:val="center"/>
          </w:tcPr>
          <w:p w14:paraId="6987B76B">
            <w:pPr>
              <w:pStyle w:val="27"/>
              <w:widowControl/>
              <w:jc w:val="center"/>
              <w:rPr>
                <w:rFonts w:hint="default" w:ascii="Times New Roman" w:hAnsi="Times New Roman"/>
                <w:sz w:val="21"/>
                <w:szCs w:val="21"/>
              </w:rPr>
            </w:pPr>
            <w:r>
              <w:rPr>
                <w:rFonts w:hint="default" w:ascii="Times New Roman" w:hAnsi="Times New Roman"/>
                <w:sz w:val="21"/>
                <w:szCs w:val="21"/>
              </w:rPr>
              <w:t>2.6</w:t>
            </w:r>
          </w:p>
        </w:tc>
      </w:tr>
    </w:tbl>
    <w:p w14:paraId="5AF79A6F">
      <w:pPr>
        <w:pStyle w:val="27"/>
        <w:widowControl/>
        <w:ind w:firstLine="360" w:firstLineChars="200"/>
        <w:rPr>
          <w:rFonts w:hint="default"/>
          <w:sz w:val="18"/>
          <w:szCs w:val="18"/>
        </w:rPr>
      </w:pPr>
      <w:r>
        <w:rPr>
          <w:sz w:val="18"/>
          <w:szCs w:val="18"/>
        </w:rPr>
        <w:t>注：本表数据来源为《近零能耗建筑技术标准》GB/T 51350-2019。</w:t>
      </w:r>
    </w:p>
    <w:p w14:paraId="67EC834A">
      <w:pPr>
        <w:pStyle w:val="27"/>
        <w:widowControl/>
        <w:rPr>
          <w:rFonts w:hint="default"/>
          <w:color w:val="8FAADB"/>
        </w:rPr>
      </w:pPr>
      <w:r>
        <w:rPr>
          <w:b/>
          <w:bCs/>
          <w:color w:val="8FAADB"/>
          <w:szCs w:val="24"/>
        </w:rPr>
        <w:t>【条文说明】</w:t>
      </w:r>
      <w:r>
        <w:rPr>
          <w:color w:val="8FAADB"/>
        </w:rPr>
        <w:t>国际上普遍采用一次能源作为评估能源使用对环境影响的基准，一次能源指未经加工转化、自然状态下的能源资源，包括原煤、原油、天然气、太阳能、生物质能等。例如，美国电力转换系数为3.15，德国为2.5。当前，我国尚未拥有权威部门发布的完整一次能源换算数据体系。因此，本标准采取标准煤当量作为替代方案，即将各类能源依据低位发热量及煤电机组供电煤耗换算为标准煤当量。</w:t>
      </w:r>
    </w:p>
    <w:p w14:paraId="7775AE75">
      <w:pPr>
        <w:pStyle w:val="27"/>
        <w:widowControl/>
        <w:ind w:firstLine="480" w:firstLineChars="200"/>
        <w:rPr>
          <w:rFonts w:hint="default"/>
          <w:color w:val="8FAADB"/>
        </w:rPr>
      </w:pPr>
      <w:r>
        <w:rPr>
          <w:color w:val="8FAADB"/>
        </w:rPr>
        <w:t>表</w:t>
      </w:r>
      <w:r>
        <w:rPr>
          <w:rFonts w:hint="default" w:ascii="Times New Roman" w:hAnsi="Times New Roman"/>
          <w:color w:val="8FAADB"/>
        </w:rPr>
        <w:t>7.2.9</w:t>
      </w:r>
      <w:r>
        <w:rPr>
          <w:color w:val="8FAADB"/>
        </w:rPr>
        <w:t>中数据摘自《近零能耗建筑技术标准》GB/T 51350-2019，旨在与该标准保持一致。如遇《近零能耗建筑技术标准》更新或相关公开数据有所变动，执行时应依据最新情况做出相应调整，确保数据的时效性和准确性。</w:t>
      </w:r>
    </w:p>
    <w:p w14:paraId="78B2B304">
      <w:pPr>
        <w:pStyle w:val="27"/>
        <w:widowControl/>
        <w:rPr>
          <w:rFonts w:hint="default"/>
          <w:color w:val="auto"/>
        </w:rPr>
      </w:pPr>
      <w:r>
        <w:rPr>
          <w:rFonts w:hint="default" w:ascii="Times New Roman" w:hAnsi="Times New Roman"/>
          <w:b/>
          <w:bCs/>
          <w:color w:val="auto"/>
        </w:rPr>
        <w:t>7.2.10</w:t>
      </w:r>
      <w:r>
        <w:rPr>
          <w:color w:val="auto"/>
        </w:rPr>
        <w:t xml:space="preserve">  超低能耗居住建筑能效指标的计算应以建筑套内使用面积为基准。</w:t>
      </w:r>
    </w:p>
    <w:p w14:paraId="7A8A8BAC">
      <w:pPr>
        <w:pStyle w:val="27"/>
        <w:widowControl/>
        <w:rPr>
          <w:rFonts w:hint="default"/>
          <w:color w:val="auto"/>
        </w:rPr>
      </w:pPr>
      <w:r>
        <w:rPr>
          <w:rFonts w:hint="default" w:ascii="Times New Roman" w:hAnsi="Times New Roman"/>
          <w:b/>
          <w:bCs/>
          <w:color w:val="auto"/>
        </w:rPr>
        <w:t>7.2.11</w:t>
      </w:r>
      <w:r>
        <w:rPr>
          <w:color w:val="auto"/>
        </w:rPr>
        <w:t xml:space="preserve">  建筑套内使用面积的计算应遵循下列规定：</w:t>
      </w:r>
    </w:p>
    <w:p w14:paraId="301D42FE">
      <w:pPr>
        <w:pStyle w:val="27"/>
        <w:widowControl/>
        <w:ind w:firstLine="422" w:firstLineChars="175"/>
        <w:rPr>
          <w:rFonts w:hint="default"/>
          <w:color w:val="auto"/>
        </w:rPr>
      </w:pPr>
      <w:r>
        <w:rPr>
          <w:rFonts w:hint="default" w:ascii="Times New Roman" w:hAnsi="Times New Roman"/>
          <w:b/>
          <w:bCs/>
          <w:color w:val="auto"/>
        </w:rPr>
        <w:t>1</w:t>
      </w:r>
      <w:r>
        <w:rPr>
          <w:color w:val="auto"/>
        </w:rPr>
        <w:t xml:space="preserve">  建筑套内使用面积应等于建筑套内设置供暖或空调设施的各功能空间的使用面积之和，涵盖卧室、起居室（厅）、餐厅、厨房、卫生间、过厅、过道、套内楼梯、储藏室、壁柜、设供暖或空调设施的阳台等使用面积；</w:t>
      </w:r>
    </w:p>
    <w:p w14:paraId="6D9FC756">
      <w:pPr>
        <w:pStyle w:val="27"/>
        <w:widowControl/>
        <w:ind w:firstLine="422" w:firstLineChars="175"/>
        <w:rPr>
          <w:rFonts w:hint="default"/>
          <w:color w:val="auto"/>
        </w:rPr>
      </w:pPr>
      <w:r>
        <w:rPr>
          <w:rFonts w:hint="default" w:ascii="Times New Roman" w:hAnsi="Times New Roman"/>
          <w:b/>
          <w:bCs/>
          <w:color w:val="auto"/>
        </w:rPr>
        <w:t>2</w:t>
      </w:r>
      <w:r>
        <w:rPr>
          <w:color w:val="auto"/>
        </w:rPr>
        <w:t xml:space="preserve">  各功能空间的使用面积界定为各功能空间墙体大面积常规内表完成面所围合的空间水平投影面积；</w:t>
      </w:r>
    </w:p>
    <w:p w14:paraId="25AF2FDF">
      <w:pPr>
        <w:pStyle w:val="27"/>
        <w:widowControl/>
        <w:ind w:firstLine="422" w:firstLineChars="175"/>
        <w:rPr>
          <w:rFonts w:hint="default"/>
          <w:color w:val="auto"/>
        </w:rPr>
      </w:pPr>
      <w:r>
        <w:rPr>
          <w:rFonts w:hint="default" w:ascii="Times New Roman" w:hAnsi="Times New Roman"/>
          <w:b/>
          <w:bCs/>
          <w:color w:val="auto"/>
        </w:rPr>
        <w:t>3</w:t>
      </w:r>
      <w:r>
        <w:rPr>
          <w:color w:val="auto"/>
        </w:rPr>
        <w:t xml:space="preserve">  跃层住宅中的套内楼梯应按其自然层数的使用面积总和计入套内使用面积；</w:t>
      </w:r>
    </w:p>
    <w:p w14:paraId="4CCC3AC7">
      <w:pPr>
        <w:pStyle w:val="27"/>
        <w:widowControl/>
        <w:ind w:firstLine="422" w:firstLineChars="175"/>
        <w:rPr>
          <w:rFonts w:hint="default"/>
          <w:color w:val="auto"/>
        </w:rPr>
      </w:pPr>
      <w:r>
        <w:rPr>
          <w:rFonts w:hint="default" w:ascii="Times New Roman" w:hAnsi="Times New Roman"/>
          <w:b/>
          <w:bCs/>
          <w:color w:val="auto"/>
        </w:rPr>
        <w:t>4</w:t>
      </w:r>
      <w:r>
        <w:rPr>
          <w:color w:val="auto"/>
        </w:rPr>
        <w:t xml:space="preserve">  坡屋顶内设置供暖或空调设施的空间应纳入套内使用面积计算，依据坡屋顶内屋面板下表面与楼板地面净高区间确定计算规则：</w:t>
      </w:r>
    </w:p>
    <w:p w14:paraId="51F7CA0B">
      <w:pPr>
        <w:pStyle w:val="27"/>
        <w:widowControl/>
        <w:ind w:left="540"/>
        <w:rPr>
          <w:rFonts w:hint="default" w:ascii="Times New Roman" w:hAnsi="Times New Roman"/>
          <w:color w:val="auto"/>
        </w:rPr>
      </w:pPr>
      <w:r>
        <w:rPr>
          <w:rFonts w:hint="default" w:ascii="Times New Roman" w:hAnsi="Times New Roman"/>
          <w:color w:val="auto"/>
        </w:rPr>
        <w:t>1</w:t>
      </w:r>
      <w:r>
        <w:rPr>
          <w:rFonts w:ascii="Times New Roman" w:hAnsi="Times New Roman"/>
          <w:color w:val="auto"/>
        </w:rPr>
        <w:t>）净高低于</w:t>
      </w:r>
      <w:r>
        <w:rPr>
          <w:rFonts w:hint="default" w:ascii="Times New Roman" w:hAnsi="Times New Roman"/>
          <w:color w:val="auto"/>
        </w:rPr>
        <w:t>1.2m</w:t>
      </w:r>
      <w:r>
        <w:rPr>
          <w:rFonts w:ascii="Times New Roman" w:hAnsi="Times New Roman"/>
          <w:color w:val="auto"/>
        </w:rPr>
        <w:t>：不计入套内使用面积；</w:t>
      </w:r>
    </w:p>
    <w:p w14:paraId="2A0EFB76">
      <w:pPr>
        <w:pStyle w:val="27"/>
        <w:widowControl/>
        <w:ind w:left="540"/>
        <w:rPr>
          <w:rFonts w:hint="default" w:ascii="Times New Roman" w:hAnsi="Times New Roman"/>
          <w:color w:val="auto"/>
        </w:rPr>
      </w:pPr>
      <w:r>
        <w:rPr>
          <w:rFonts w:hint="default" w:ascii="Times New Roman" w:hAnsi="Times New Roman"/>
          <w:color w:val="auto"/>
        </w:rPr>
        <w:t>2</w:t>
      </w:r>
      <w:r>
        <w:rPr>
          <w:rFonts w:ascii="Times New Roman" w:hAnsi="Times New Roman"/>
          <w:color w:val="auto"/>
        </w:rPr>
        <w:t>）净高介于</w:t>
      </w:r>
      <w:r>
        <w:rPr>
          <w:rFonts w:hint="default" w:ascii="Times New Roman" w:hAnsi="Times New Roman"/>
          <w:color w:val="auto"/>
        </w:rPr>
        <w:t>1.2m</w:t>
      </w:r>
      <w:r>
        <w:rPr>
          <w:rFonts w:ascii="Times New Roman" w:hAnsi="Times New Roman"/>
          <w:color w:val="auto"/>
        </w:rPr>
        <w:t>至</w:t>
      </w:r>
      <w:r>
        <w:rPr>
          <w:rFonts w:hint="default" w:ascii="Times New Roman" w:hAnsi="Times New Roman"/>
          <w:color w:val="auto"/>
        </w:rPr>
        <w:t>2.1m</w:t>
      </w:r>
      <w:r>
        <w:rPr>
          <w:rFonts w:ascii="Times New Roman" w:hAnsi="Times New Roman"/>
          <w:color w:val="auto"/>
        </w:rPr>
        <w:t>之间：按</w:t>
      </w:r>
      <w:r>
        <w:rPr>
          <w:rFonts w:hint="default" w:ascii="Times New Roman" w:hAnsi="Times New Roman"/>
          <w:color w:val="auto"/>
        </w:rPr>
        <w:t>1/2</w:t>
      </w:r>
      <w:r>
        <w:rPr>
          <w:rFonts w:ascii="Times New Roman" w:hAnsi="Times New Roman"/>
          <w:color w:val="auto"/>
        </w:rPr>
        <w:t>计算套内使用面积；</w:t>
      </w:r>
    </w:p>
    <w:p w14:paraId="1BD1B430">
      <w:pPr>
        <w:pStyle w:val="27"/>
        <w:widowControl/>
        <w:ind w:left="540"/>
        <w:rPr>
          <w:rFonts w:hint="default" w:ascii="Times New Roman" w:hAnsi="Times New Roman"/>
          <w:color w:val="auto"/>
        </w:rPr>
      </w:pPr>
      <w:r>
        <w:rPr>
          <w:rFonts w:hint="default" w:ascii="Times New Roman" w:hAnsi="Times New Roman"/>
          <w:color w:val="auto"/>
        </w:rPr>
        <w:t>3</w:t>
      </w:r>
      <w:r>
        <w:rPr>
          <w:rFonts w:ascii="Times New Roman" w:hAnsi="Times New Roman"/>
          <w:color w:val="auto"/>
        </w:rPr>
        <w:t>）净高超过</w:t>
      </w:r>
      <w:r>
        <w:rPr>
          <w:rFonts w:hint="default" w:ascii="Times New Roman" w:hAnsi="Times New Roman"/>
          <w:color w:val="auto"/>
        </w:rPr>
        <w:t>2.1m</w:t>
      </w:r>
      <w:r>
        <w:rPr>
          <w:rFonts w:ascii="Times New Roman" w:hAnsi="Times New Roman"/>
          <w:color w:val="auto"/>
        </w:rPr>
        <w:t>：全部计入套内使用面积。</w:t>
      </w:r>
    </w:p>
    <w:p w14:paraId="56FA5281">
      <w:pPr>
        <w:pStyle w:val="27"/>
        <w:widowControl/>
        <w:ind w:firstLine="422" w:firstLineChars="175"/>
        <w:rPr>
          <w:rFonts w:hint="default"/>
          <w:color w:val="auto"/>
        </w:rPr>
      </w:pPr>
      <w:r>
        <w:rPr>
          <w:rFonts w:hint="default" w:ascii="Times New Roman" w:hAnsi="Times New Roman"/>
          <w:b/>
          <w:bCs/>
          <w:color w:val="auto"/>
        </w:rPr>
        <w:t>5</w:t>
      </w:r>
      <w:r>
        <w:rPr>
          <w:color w:val="auto"/>
        </w:rPr>
        <w:t xml:space="preserve">  套内烟囱、通风道、管井等设施均不计入套内使用面积。</w:t>
      </w:r>
    </w:p>
    <w:p w14:paraId="5C3BFA20">
      <w:pPr>
        <w:pStyle w:val="27"/>
        <w:widowControl/>
        <w:spacing w:line="360" w:lineRule="auto"/>
        <w:rPr>
          <w:rFonts w:hint="default"/>
        </w:rPr>
      </w:pPr>
    </w:p>
    <w:p w14:paraId="03F7809C">
      <w:pPr>
        <w:pStyle w:val="2"/>
        <w:widowControl/>
      </w:pPr>
      <w:r>
        <w:rPr>
          <w:lang w:bidi="ar"/>
        </w:rPr>
        <w:br w:type="page"/>
      </w:r>
      <w:bookmarkStart w:id="212" w:name="_Toc17616"/>
      <w:bookmarkStart w:id="213" w:name="_Toc32465"/>
      <w:bookmarkStart w:id="214" w:name="_Toc21670"/>
      <w:bookmarkStart w:id="215" w:name="_Toc2838"/>
      <w:bookmarkStart w:id="216" w:name="_Toc20127"/>
      <w:bookmarkStart w:id="217" w:name="_Toc28696"/>
      <w:r>
        <w:rPr>
          <w:rStyle w:val="22"/>
          <w:rFonts w:hint="eastAsia" w:ascii="Calibri" w:hAnsi="Calibri" w:cs="Times New Roman"/>
          <w:b w:val="0"/>
        </w:rPr>
        <w:t>附录</w:t>
      </w:r>
      <w:r>
        <w:rPr>
          <w:rStyle w:val="22"/>
          <w:rFonts w:ascii="Times New Roman" w:hAnsi="Times New Roman" w:cs="Times New Roman"/>
          <w:b w:val="0"/>
        </w:rPr>
        <w:t>A</w:t>
      </w:r>
      <w:r>
        <w:rPr>
          <w:rStyle w:val="22"/>
          <w:rFonts w:ascii="Calibri" w:hAnsi="Calibri" w:cs="Times New Roman"/>
          <w:b w:val="0"/>
        </w:rPr>
        <w:t xml:space="preserve">  </w:t>
      </w:r>
      <w:r>
        <w:rPr>
          <w:rStyle w:val="22"/>
          <w:rFonts w:hint="eastAsia" w:ascii="Calibri" w:hAnsi="Calibri" w:cs="Times New Roman"/>
          <w:b w:val="0"/>
        </w:rPr>
        <w:t>典型城市年耗冷量指标</w:t>
      </w:r>
      <w:bookmarkEnd w:id="212"/>
      <w:bookmarkEnd w:id="213"/>
      <w:bookmarkEnd w:id="214"/>
      <w:bookmarkEnd w:id="215"/>
      <w:bookmarkEnd w:id="216"/>
      <w:bookmarkEnd w:id="217"/>
    </w:p>
    <w:p w14:paraId="28ABAAF8">
      <w:pPr>
        <w:pStyle w:val="27"/>
        <w:widowControl/>
        <w:spacing w:before="156" w:beforeLines="50"/>
        <w:jc w:val="center"/>
        <w:rPr>
          <w:rFonts w:hint="default"/>
          <w:b/>
          <w:bCs/>
          <w:szCs w:val="24"/>
        </w:rPr>
      </w:pPr>
      <w:r>
        <w:rPr>
          <w:b/>
          <w:bCs/>
          <w:szCs w:val="24"/>
        </w:rPr>
        <w:t>表A  典型城市年耗冷量指标</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B131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single" w:color="auto" w:sz="12" w:space="0"/>
              <w:left w:val="single" w:color="auto" w:sz="12" w:space="0"/>
              <w:bottom w:val="single" w:color="auto" w:sz="4" w:space="0"/>
              <w:right w:val="single" w:color="auto" w:sz="4" w:space="0"/>
            </w:tcBorders>
            <w:shd w:val="clear" w:color="auto" w:fill="auto"/>
            <w:vAlign w:val="center"/>
          </w:tcPr>
          <w:p w14:paraId="5CCAC1A9">
            <w:pPr>
              <w:pStyle w:val="27"/>
              <w:widowControl/>
              <w:jc w:val="center"/>
              <w:rPr>
                <w:rFonts w:hint="default"/>
                <w:sz w:val="21"/>
                <w:szCs w:val="21"/>
              </w:rPr>
            </w:pPr>
            <w:r>
              <w:rPr>
                <w:sz w:val="21"/>
                <w:szCs w:val="21"/>
              </w:rPr>
              <w:t>热工分区</w:t>
            </w:r>
          </w:p>
        </w:tc>
        <w:tc>
          <w:tcPr>
            <w:tcW w:w="2841" w:type="dxa"/>
            <w:tcBorders>
              <w:top w:val="single" w:color="auto" w:sz="12" w:space="0"/>
              <w:left w:val="single" w:color="auto" w:sz="4" w:space="0"/>
              <w:bottom w:val="single" w:color="auto" w:sz="4" w:space="0"/>
              <w:right w:val="single" w:color="auto" w:sz="4" w:space="0"/>
            </w:tcBorders>
            <w:shd w:val="clear" w:color="auto" w:fill="auto"/>
            <w:vAlign w:val="center"/>
          </w:tcPr>
          <w:p w14:paraId="69745ADE">
            <w:pPr>
              <w:pStyle w:val="27"/>
              <w:widowControl/>
              <w:jc w:val="center"/>
              <w:rPr>
                <w:rFonts w:hint="default"/>
                <w:sz w:val="21"/>
                <w:szCs w:val="21"/>
              </w:rPr>
            </w:pPr>
            <w:r>
              <w:rPr>
                <w:sz w:val="21"/>
                <w:szCs w:val="21"/>
              </w:rPr>
              <w:t>城市</w:t>
            </w:r>
          </w:p>
        </w:tc>
        <w:tc>
          <w:tcPr>
            <w:tcW w:w="2841" w:type="dxa"/>
            <w:tcBorders>
              <w:top w:val="single" w:color="auto" w:sz="12" w:space="0"/>
              <w:left w:val="single" w:color="auto" w:sz="4" w:space="0"/>
              <w:bottom w:val="single" w:color="auto" w:sz="4" w:space="0"/>
              <w:right w:val="single" w:color="auto" w:sz="12" w:space="0"/>
            </w:tcBorders>
            <w:shd w:val="clear" w:color="auto" w:fill="auto"/>
            <w:vAlign w:val="center"/>
          </w:tcPr>
          <w:p w14:paraId="2FCED4C2">
            <w:pPr>
              <w:pStyle w:val="27"/>
              <w:widowControl/>
              <w:jc w:val="center"/>
              <w:rPr>
                <w:rFonts w:hint="default" w:ascii="Times New Roman" w:hAnsi="Times New Roman"/>
                <w:sz w:val="21"/>
                <w:szCs w:val="21"/>
              </w:rPr>
            </w:pPr>
            <w:r>
              <w:rPr>
                <w:rFonts w:ascii="Times New Roman" w:hAnsi="Times New Roman"/>
                <w:sz w:val="21"/>
                <w:szCs w:val="21"/>
              </w:rPr>
              <w:t>超低能耗年耗冷量指标</w:t>
            </w:r>
          </w:p>
          <w:p w14:paraId="2CC4F5B6">
            <w:pPr>
              <w:pStyle w:val="27"/>
              <w:widowControl/>
              <w:jc w:val="center"/>
              <w:rPr>
                <w:rFonts w:hint="default" w:ascii="Times New Roman" w:hAnsi="Times New Roman"/>
                <w:sz w:val="21"/>
                <w:szCs w:val="21"/>
              </w:rPr>
            </w:pPr>
            <w:r>
              <w:rPr>
                <w:rFonts w:hint="default" w:ascii="Times New Roman" w:hAnsi="Times New Roman"/>
                <w:sz w:val="21"/>
                <w:szCs w:val="21"/>
              </w:rPr>
              <w:t>KWh/(</w:t>
            </w:r>
            <w:r>
              <w:rPr>
                <w:rFonts w:ascii="Times New Roman" w:hAnsi="Times New Roman"/>
                <w:sz w:val="21"/>
                <w:szCs w:val="21"/>
              </w:rPr>
              <w:t>㎡</w:t>
            </w:r>
            <w:r>
              <w:rPr>
                <w:rFonts w:hint="default" w:ascii="Times New Roman" w:hAnsi="Times New Roman"/>
                <w:sz w:val="21"/>
                <w:szCs w:val="21"/>
              </w:rPr>
              <w:t>·a</w:t>
            </w:r>
            <w:r>
              <w:rPr>
                <w:rFonts w:ascii="Times New Roman" w:hAnsi="Times New Roman"/>
                <w:sz w:val="21"/>
                <w:szCs w:val="21"/>
              </w:rPr>
              <w:t>）</w:t>
            </w:r>
          </w:p>
        </w:tc>
      </w:tr>
      <w:tr w14:paraId="34FAB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471DD199">
            <w:pPr>
              <w:pStyle w:val="27"/>
              <w:widowControl/>
              <w:jc w:val="center"/>
              <w:rPr>
                <w:rFonts w:hint="default"/>
                <w:sz w:val="21"/>
                <w:szCs w:val="21"/>
              </w:rPr>
            </w:pPr>
            <w:r>
              <w:rPr>
                <w:sz w:val="21"/>
                <w:szCs w:val="21"/>
              </w:rPr>
              <w:t>严寒地区</w:t>
            </w: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5DFEC3C8">
            <w:pPr>
              <w:pStyle w:val="27"/>
              <w:widowControl/>
              <w:jc w:val="center"/>
              <w:rPr>
                <w:rFonts w:hint="default"/>
                <w:sz w:val="21"/>
                <w:szCs w:val="21"/>
              </w:rPr>
            </w:pPr>
            <w:r>
              <w:rPr>
                <w:sz w:val="21"/>
                <w:szCs w:val="21"/>
              </w:rPr>
              <w:t>辽宁省沈阳市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11A9AA66">
            <w:pPr>
              <w:pStyle w:val="27"/>
              <w:widowControl/>
              <w:jc w:val="center"/>
              <w:rPr>
                <w:rFonts w:hint="default" w:ascii="Times New Roman" w:hAnsi="Times New Roman"/>
                <w:sz w:val="21"/>
                <w:szCs w:val="21"/>
              </w:rPr>
            </w:pPr>
            <w:r>
              <w:rPr>
                <w:rFonts w:hint="default" w:ascii="Times New Roman" w:hAnsi="Times New Roman"/>
                <w:sz w:val="21"/>
                <w:szCs w:val="21"/>
              </w:rPr>
              <w:t>8.85</w:t>
            </w:r>
          </w:p>
        </w:tc>
      </w:tr>
      <w:tr w14:paraId="28044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123B5B48">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0A298584">
            <w:pPr>
              <w:pStyle w:val="27"/>
              <w:widowControl/>
              <w:jc w:val="center"/>
              <w:rPr>
                <w:rFonts w:hint="default"/>
                <w:sz w:val="21"/>
                <w:szCs w:val="21"/>
              </w:rPr>
            </w:pPr>
            <w:r>
              <w:rPr>
                <w:sz w:val="21"/>
                <w:szCs w:val="21"/>
              </w:rPr>
              <w:t>黑龙江省哈尔滨市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75F3E0CE">
            <w:pPr>
              <w:pStyle w:val="27"/>
              <w:widowControl/>
              <w:jc w:val="center"/>
              <w:rPr>
                <w:rFonts w:hint="default" w:ascii="Times New Roman" w:hAnsi="Times New Roman"/>
                <w:sz w:val="21"/>
                <w:szCs w:val="21"/>
              </w:rPr>
            </w:pPr>
            <w:r>
              <w:rPr>
                <w:rFonts w:hint="default" w:ascii="Times New Roman" w:hAnsi="Times New Roman"/>
                <w:sz w:val="21"/>
                <w:szCs w:val="21"/>
              </w:rPr>
              <w:t>5.79</w:t>
            </w:r>
          </w:p>
        </w:tc>
      </w:tr>
      <w:tr w14:paraId="6E34B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470FC7A7">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436B20A4">
            <w:pPr>
              <w:pStyle w:val="27"/>
              <w:widowControl/>
              <w:jc w:val="center"/>
              <w:rPr>
                <w:rFonts w:hint="default"/>
                <w:sz w:val="21"/>
                <w:szCs w:val="21"/>
              </w:rPr>
            </w:pPr>
            <w:r>
              <w:rPr>
                <w:sz w:val="21"/>
                <w:szCs w:val="21"/>
              </w:rPr>
              <w:t>黑龙江省齐齐哈尔市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7FD01EA6">
            <w:pPr>
              <w:pStyle w:val="27"/>
              <w:widowControl/>
              <w:jc w:val="center"/>
              <w:rPr>
                <w:rFonts w:hint="default" w:ascii="Times New Roman" w:hAnsi="Times New Roman"/>
                <w:sz w:val="21"/>
                <w:szCs w:val="21"/>
              </w:rPr>
            </w:pPr>
            <w:r>
              <w:rPr>
                <w:rFonts w:hint="default" w:ascii="Times New Roman" w:hAnsi="Times New Roman"/>
                <w:sz w:val="21"/>
                <w:szCs w:val="21"/>
              </w:rPr>
              <w:t>5.84</w:t>
            </w:r>
          </w:p>
        </w:tc>
      </w:tr>
      <w:tr w14:paraId="3EB65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772F37BC">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697A2566">
            <w:pPr>
              <w:pStyle w:val="27"/>
              <w:widowControl/>
              <w:jc w:val="center"/>
              <w:rPr>
                <w:rFonts w:hint="default"/>
                <w:sz w:val="21"/>
                <w:szCs w:val="21"/>
              </w:rPr>
            </w:pPr>
            <w:r>
              <w:rPr>
                <w:sz w:val="21"/>
                <w:szCs w:val="21"/>
              </w:rPr>
              <w:t>吉林省长春市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0DF9AEDF">
            <w:pPr>
              <w:pStyle w:val="27"/>
              <w:widowControl/>
              <w:jc w:val="center"/>
              <w:rPr>
                <w:rFonts w:hint="default" w:ascii="Times New Roman" w:hAnsi="Times New Roman"/>
                <w:sz w:val="21"/>
                <w:szCs w:val="21"/>
              </w:rPr>
            </w:pPr>
            <w:r>
              <w:rPr>
                <w:rFonts w:hint="default" w:ascii="Times New Roman" w:hAnsi="Times New Roman"/>
                <w:sz w:val="21"/>
                <w:szCs w:val="21"/>
              </w:rPr>
              <w:t>4.83</w:t>
            </w:r>
          </w:p>
        </w:tc>
      </w:tr>
      <w:tr w14:paraId="107A2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74D9A54F">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5CA7D011">
            <w:pPr>
              <w:pStyle w:val="27"/>
              <w:widowControl/>
              <w:jc w:val="center"/>
              <w:rPr>
                <w:rFonts w:hint="default"/>
                <w:sz w:val="21"/>
                <w:szCs w:val="21"/>
              </w:rPr>
            </w:pPr>
            <w:r>
              <w:rPr>
                <w:sz w:val="21"/>
                <w:szCs w:val="21"/>
              </w:rPr>
              <w:t>吉林省吉林市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2CE60C7F">
            <w:pPr>
              <w:pStyle w:val="27"/>
              <w:widowControl/>
              <w:jc w:val="center"/>
              <w:rPr>
                <w:rFonts w:hint="default" w:ascii="Times New Roman" w:hAnsi="Times New Roman"/>
                <w:sz w:val="21"/>
                <w:szCs w:val="21"/>
              </w:rPr>
            </w:pPr>
            <w:r>
              <w:rPr>
                <w:rFonts w:hint="default" w:ascii="Times New Roman" w:hAnsi="Times New Roman"/>
                <w:sz w:val="21"/>
                <w:szCs w:val="21"/>
              </w:rPr>
              <w:t>7.27</w:t>
            </w:r>
          </w:p>
        </w:tc>
      </w:tr>
      <w:tr w14:paraId="617A0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3883C137">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31982682">
            <w:pPr>
              <w:pStyle w:val="27"/>
              <w:widowControl/>
              <w:jc w:val="center"/>
              <w:rPr>
                <w:rFonts w:hint="default"/>
                <w:sz w:val="21"/>
                <w:szCs w:val="21"/>
              </w:rPr>
            </w:pPr>
            <w:r>
              <w:rPr>
                <w:sz w:val="21"/>
                <w:szCs w:val="21"/>
              </w:rPr>
              <w:t>内蒙古呼和浩特市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350A26AA">
            <w:pPr>
              <w:pStyle w:val="27"/>
              <w:widowControl/>
              <w:jc w:val="center"/>
              <w:rPr>
                <w:rFonts w:hint="default" w:ascii="Times New Roman" w:hAnsi="Times New Roman"/>
                <w:sz w:val="21"/>
                <w:szCs w:val="21"/>
              </w:rPr>
            </w:pPr>
            <w:r>
              <w:rPr>
                <w:rFonts w:hint="default" w:ascii="Times New Roman" w:hAnsi="Times New Roman"/>
                <w:sz w:val="21"/>
                <w:szCs w:val="21"/>
              </w:rPr>
              <w:t>4.49</w:t>
            </w:r>
          </w:p>
        </w:tc>
      </w:tr>
      <w:tr w14:paraId="23397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22907CFA">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1C173CAB">
            <w:pPr>
              <w:pStyle w:val="27"/>
              <w:widowControl/>
              <w:jc w:val="center"/>
              <w:rPr>
                <w:rFonts w:hint="default"/>
                <w:sz w:val="21"/>
                <w:szCs w:val="21"/>
              </w:rPr>
            </w:pPr>
            <w:r>
              <w:rPr>
                <w:sz w:val="21"/>
                <w:szCs w:val="21"/>
              </w:rPr>
              <w:t>内蒙古赤峰市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427F284A">
            <w:pPr>
              <w:pStyle w:val="27"/>
              <w:widowControl/>
              <w:jc w:val="center"/>
              <w:rPr>
                <w:rFonts w:hint="default" w:ascii="Times New Roman" w:hAnsi="Times New Roman"/>
                <w:sz w:val="21"/>
                <w:szCs w:val="21"/>
              </w:rPr>
            </w:pPr>
            <w:r>
              <w:rPr>
                <w:rFonts w:hint="default" w:ascii="Times New Roman" w:hAnsi="Times New Roman"/>
                <w:sz w:val="21"/>
                <w:szCs w:val="21"/>
              </w:rPr>
              <w:t>5.70</w:t>
            </w:r>
          </w:p>
        </w:tc>
      </w:tr>
      <w:tr w14:paraId="6994E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6E074C51">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2907B91C">
            <w:pPr>
              <w:pStyle w:val="27"/>
              <w:widowControl/>
              <w:jc w:val="center"/>
              <w:rPr>
                <w:rFonts w:hint="default"/>
                <w:sz w:val="21"/>
                <w:szCs w:val="21"/>
              </w:rPr>
            </w:pPr>
            <w:r>
              <w:rPr>
                <w:sz w:val="21"/>
                <w:szCs w:val="21"/>
              </w:rPr>
              <w:t>青海省西宁市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2855406A">
            <w:pPr>
              <w:pStyle w:val="27"/>
              <w:widowControl/>
              <w:jc w:val="center"/>
              <w:rPr>
                <w:rFonts w:hint="default" w:ascii="Times New Roman" w:hAnsi="Times New Roman"/>
                <w:sz w:val="21"/>
                <w:szCs w:val="21"/>
              </w:rPr>
            </w:pPr>
            <w:r>
              <w:rPr>
                <w:rFonts w:hint="default" w:ascii="Times New Roman" w:hAnsi="Times New Roman"/>
                <w:sz w:val="21"/>
                <w:szCs w:val="21"/>
              </w:rPr>
              <w:t>3.50</w:t>
            </w:r>
          </w:p>
        </w:tc>
      </w:tr>
      <w:tr w14:paraId="7FDF4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0FCD801B">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59B85709">
            <w:pPr>
              <w:pStyle w:val="27"/>
              <w:widowControl/>
              <w:jc w:val="center"/>
              <w:rPr>
                <w:rFonts w:hint="default"/>
                <w:sz w:val="21"/>
                <w:szCs w:val="21"/>
              </w:rPr>
            </w:pPr>
            <w:r>
              <w:rPr>
                <w:sz w:val="21"/>
                <w:szCs w:val="21"/>
              </w:rPr>
              <w:t>山西省大同市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0FEFDC33">
            <w:pPr>
              <w:pStyle w:val="27"/>
              <w:widowControl/>
              <w:jc w:val="center"/>
              <w:rPr>
                <w:rFonts w:hint="default" w:ascii="Times New Roman" w:hAnsi="Times New Roman"/>
                <w:sz w:val="21"/>
                <w:szCs w:val="21"/>
              </w:rPr>
            </w:pPr>
            <w:r>
              <w:rPr>
                <w:rFonts w:hint="default" w:ascii="Times New Roman" w:hAnsi="Times New Roman"/>
                <w:sz w:val="21"/>
                <w:szCs w:val="21"/>
              </w:rPr>
              <w:t>7.85</w:t>
            </w:r>
          </w:p>
        </w:tc>
      </w:tr>
      <w:tr w14:paraId="0621E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32E1D04E">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1C010858">
            <w:pPr>
              <w:pStyle w:val="27"/>
              <w:widowControl/>
              <w:jc w:val="center"/>
              <w:rPr>
                <w:rFonts w:hint="default"/>
                <w:sz w:val="21"/>
                <w:szCs w:val="21"/>
              </w:rPr>
            </w:pPr>
            <w:r>
              <w:rPr>
                <w:sz w:val="21"/>
                <w:szCs w:val="21"/>
              </w:rPr>
              <w:t>新疆乌鲁木齐市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6EA9E0CC">
            <w:pPr>
              <w:pStyle w:val="27"/>
              <w:widowControl/>
              <w:jc w:val="center"/>
              <w:rPr>
                <w:rFonts w:hint="default" w:ascii="Times New Roman" w:hAnsi="Times New Roman"/>
                <w:sz w:val="21"/>
                <w:szCs w:val="21"/>
              </w:rPr>
            </w:pPr>
            <w:r>
              <w:rPr>
                <w:rFonts w:hint="default" w:ascii="Times New Roman" w:hAnsi="Times New Roman"/>
                <w:sz w:val="21"/>
                <w:szCs w:val="21"/>
              </w:rPr>
              <w:t>5.78</w:t>
            </w:r>
          </w:p>
        </w:tc>
      </w:tr>
      <w:tr w14:paraId="5895D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5CCA564B">
            <w:pPr>
              <w:pStyle w:val="27"/>
              <w:widowControl/>
              <w:jc w:val="center"/>
              <w:rPr>
                <w:rFonts w:hint="default"/>
                <w:sz w:val="21"/>
                <w:szCs w:val="21"/>
              </w:rPr>
            </w:pPr>
            <w:r>
              <w:rPr>
                <w:sz w:val="21"/>
                <w:szCs w:val="21"/>
              </w:rPr>
              <w:t>寒冷地区</w:t>
            </w: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595D6E7C">
            <w:pPr>
              <w:pStyle w:val="27"/>
              <w:widowControl/>
              <w:jc w:val="center"/>
              <w:rPr>
                <w:rFonts w:hint="default"/>
                <w:sz w:val="21"/>
                <w:szCs w:val="21"/>
              </w:rPr>
            </w:pPr>
            <w:r>
              <w:rPr>
                <w:sz w:val="21"/>
                <w:szCs w:val="21"/>
              </w:rPr>
              <w:t>北京市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706472D2">
            <w:pPr>
              <w:pStyle w:val="27"/>
              <w:widowControl/>
              <w:jc w:val="center"/>
              <w:rPr>
                <w:rFonts w:hint="default" w:ascii="Times New Roman" w:hAnsi="Times New Roman"/>
                <w:sz w:val="21"/>
                <w:szCs w:val="21"/>
              </w:rPr>
            </w:pPr>
            <w:r>
              <w:rPr>
                <w:rFonts w:hint="default" w:ascii="Times New Roman" w:hAnsi="Times New Roman"/>
                <w:sz w:val="21"/>
                <w:szCs w:val="21"/>
              </w:rPr>
              <w:t>18</w:t>
            </w:r>
          </w:p>
        </w:tc>
      </w:tr>
      <w:tr w14:paraId="73FAA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06A949C5">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277FD1C0">
            <w:pPr>
              <w:pStyle w:val="27"/>
              <w:widowControl/>
              <w:jc w:val="center"/>
              <w:rPr>
                <w:rFonts w:hint="default"/>
                <w:sz w:val="21"/>
                <w:szCs w:val="21"/>
              </w:rPr>
            </w:pPr>
            <w:r>
              <w:rPr>
                <w:sz w:val="21"/>
                <w:szCs w:val="21"/>
              </w:rPr>
              <w:t>天津市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6D9E7BA7">
            <w:pPr>
              <w:pStyle w:val="27"/>
              <w:widowControl/>
              <w:jc w:val="center"/>
              <w:rPr>
                <w:rFonts w:hint="default" w:ascii="Times New Roman" w:hAnsi="Times New Roman"/>
                <w:sz w:val="21"/>
                <w:szCs w:val="21"/>
              </w:rPr>
            </w:pPr>
            <w:r>
              <w:rPr>
                <w:rFonts w:hint="default" w:ascii="Times New Roman" w:hAnsi="Times New Roman"/>
                <w:sz w:val="21"/>
                <w:szCs w:val="21"/>
              </w:rPr>
              <w:t>20.79</w:t>
            </w:r>
          </w:p>
        </w:tc>
      </w:tr>
      <w:tr w14:paraId="32073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729BEF24">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633224CC">
            <w:pPr>
              <w:pStyle w:val="27"/>
              <w:widowControl/>
              <w:jc w:val="center"/>
              <w:rPr>
                <w:rFonts w:hint="default"/>
                <w:sz w:val="21"/>
                <w:szCs w:val="21"/>
              </w:rPr>
            </w:pPr>
            <w:r>
              <w:rPr>
                <w:sz w:val="21"/>
                <w:szCs w:val="21"/>
              </w:rPr>
              <w:t>河北省石家庄市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15BA9588">
            <w:pPr>
              <w:pStyle w:val="27"/>
              <w:widowControl/>
              <w:jc w:val="center"/>
              <w:rPr>
                <w:rFonts w:hint="default" w:ascii="Times New Roman" w:hAnsi="Times New Roman"/>
                <w:sz w:val="21"/>
                <w:szCs w:val="21"/>
              </w:rPr>
            </w:pPr>
            <w:r>
              <w:rPr>
                <w:rFonts w:hint="default" w:ascii="Times New Roman" w:hAnsi="Times New Roman"/>
                <w:sz w:val="21"/>
                <w:szCs w:val="21"/>
              </w:rPr>
              <w:t>17.51</w:t>
            </w:r>
          </w:p>
        </w:tc>
      </w:tr>
      <w:tr w14:paraId="0E302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5A3D8A2D">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05EACDBF">
            <w:pPr>
              <w:pStyle w:val="27"/>
              <w:widowControl/>
              <w:jc w:val="center"/>
              <w:rPr>
                <w:rFonts w:hint="default"/>
                <w:sz w:val="21"/>
                <w:szCs w:val="21"/>
              </w:rPr>
            </w:pPr>
            <w:r>
              <w:rPr>
                <w:sz w:val="21"/>
                <w:szCs w:val="21"/>
              </w:rPr>
              <w:t>河北省张家口市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1BE3D35C">
            <w:pPr>
              <w:pStyle w:val="27"/>
              <w:widowControl/>
              <w:jc w:val="center"/>
              <w:rPr>
                <w:rFonts w:hint="default" w:ascii="Times New Roman" w:hAnsi="Times New Roman"/>
                <w:sz w:val="21"/>
                <w:szCs w:val="21"/>
              </w:rPr>
            </w:pPr>
            <w:r>
              <w:rPr>
                <w:rFonts w:hint="default" w:ascii="Times New Roman" w:hAnsi="Times New Roman"/>
                <w:sz w:val="21"/>
                <w:szCs w:val="21"/>
              </w:rPr>
              <w:t>6.01</w:t>
            </w:r>
          </w:p>
        </w:tc>
      </w:tr>
      <w:tr w14:paraId="6E1E1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67962375">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05DB3332">
            <w:pPr>
              <w:pStyle w:val="27"/>
              <w:widowControl/>
              <w:jc w:val="center"/>
              <w:rPr>
                <w:rFonts w:hint="default"/>
                <w:sz w:val="21"/>
                <w:szCs w:val="21"/>
              </w:rPr>
            </w:pPr>
            <w:r>
              <w:rPr>
                <w:sz w:val="21"/>
                <w:szCs w:val="21"/>
              </w:rPr>
              <w:t>山东省济南市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4547CA06">
            <w:pPr>
              <w:pStyle w:val="27"/>
              <w:widowControl/>
              <w:jc w:val="center"/>
              <w:rPr>
                <w:rFonts w:hint="default" w:ascii="Times New Roman" w:hAnsi="Times New Roman"/>
                <w:sz w:val="21"/>
                <w:szCs w:val="21"/>
              </w:rPr>
            </w:pPr>
            <w:r>
              <w:rPr>
                <w:rFonts w:hint="default" w:ascii="Times New Roman" w:hAnsi="Times New Roman"/>
                <w:sz w:val="21"/>
                <w:szCs w:val="21"/>
              </w:rPr>
              <w:t>18.39</w:t>
            </w:r>
          </w:p>
        </w:tc>
      </w:tr>
      <w:tr w14:paraId="5AC56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14A19047">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1528A5EC">
            <w:pPr>
              <w:pStyle w:val="27"/>
              <w:widowControl/>
              <w:jc w:val="center"/>
              <w:rPr>
                <w:rFonts w:hint="default"/>
                <w:sz w:val="21"/>
                <w:szCs w:val="21"/>
              </w:rPr>
            </w:pPr>
            <w:r>
              <w:rPr>
                <w:sz w:val="21"/>
                <w:szCs w:val="21"/>
              </w:rPr>
              <w:t>河南省郑州市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53721611">
            <w:pPr>
              <w:pStyle w:val="27"/>
              <w:widowControl/>
              <w:jc w:val="center"/>
              <w:rPr>
                <w:rFonts w:hint="default" w:ascii="Times New Roman" w:hAnsi="Times New Roman"/>
                <w:sz w:val="21"/>
                <w:szCs w:val="21"/>
              </w:rPr>
            </w:pPr>
            <w:r>
              <w:rPr>
                <w:rFonts w:hint="default" w:ascii="Times New Roman" w:hAnsi="Times New Roman"/>
                <w:sz w:val="21"/>
                <w:szCs w:val="21"/>
              </w:rPr>
              <w:t>22.45</w:t>
            </w:r>
          </w:p>
        </w:tc>
      </w:tr>
      <w:tr w14:paraId="0016E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6127C44C">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4DA27C63">
            <w:pPr>
              <w:pStyle w:val="27"/>
              <w:widowControl/>
              <w:jc w:val="center"/>
              <w:rPr>
                <w:rFonts w:hint="default"/>
                <w:sz w:val="21"/>
                <w:szCs w:val="21"/>
              </w:rPr>
            </w:pPr>
            <w:r>
              <w:rPr>
                <w:sz w:val="21"/>
                <w:szCs w:val="21"/>
              </w:rPr>
              <w:t>河南省洛阳市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6D8AC791">
            <w:pPr>
              <w:pStyle w:val="27"/>
              <w:widowControl/>
              <w:jc w:val="center"/>
              <w:rPr>
                <w:rFonts w:hint="default" w:ascii="Times New Roman" w:hAnsi="Times New Roman"/>
                <w:sz w:val="21"/>
                <w:szCs w:val="21"/>
              </w:rPr>
            </w:pPr>
            <w:r>
              <w:rPr>
                <w:rFonts w:hint="default" w:ascii="Times New Roman" w:hAnsi="Times New Roman"/>
                <w:sz w:val="21"/>
                <w:szCs w:val="21"/>
              </w:rPr>
              <w:t>17.27</w:t>
            </w:r>
          </w:p>
        </w:tc>
      </w:tr>
      <w:tr w14:paraId="08CA5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0A4A0887">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5535E654">
            <w:pPr>
              <w:pStyle w:val="27"/>
              <w:widowControl/>
              <w:jc w:val="center"/>
              <w:rPr>
                <w:rFonts w:hint="default"/>
                <w:sz w:val="21"/>
                <w:szCs w:val="21"/>
              </w:rPr>
            </w:pPr>
            <w:r>
              <w:rPr>
                <w:sz w:val="21"/>
                <w:szCs w:val="21"/>
              </w:rPr>
              <w:t>陕西省西安市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0FD2105C">
            <w:pPr>
              <w:pStyle w:val="27"/>
              <w:widowControl/>
              <w:jc w:val="center"/>
              <w:rPr>
                <w:rFonts w:hint="default" w:ascii="Times New Roman" w:hAnsi="Times New Roman"/>
                <w:sz w:val="21"/>
                <w:szCs w:val="21"/>
              </w:rPr>
            </w:pPr>
            <w:r>
              <w:rPr>
                <w:rFonts w:hint="default" w:ascii="Times New Roman" w:hAnsi="Times New Roman"/>
                <w:sz w:val="21"/>
                <w:szCs w:val="21"/>
              </w:rPr>
              <w:t>19.63</w:t>
            </w:r>
          </w:p>
        </w:tc>
      </w:tr>
      <w:tr w14:paraId="26B95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54F79996">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39CBF59F">
            <w:pPr>
              <w:pStyle w:val="27"/>
              <w:widowControl/>
              <w:jc w:val="center"/>
              <w:rPr>
                <w:rFonts w:hint="default"/>
                <w:sz w:val="21"/>
                <w:szCs w:val="21"/>
              </w:rPr>
            </w:pPr>
            <w:r>
              <w:rPr>
                <w:sz w:val="21"/>
                <w:szCs w:val="21"/>
              </w:rPr>
              <w:t>陕西省榆林市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609A9E57">
            <w:pPr>
              <w:pStyle w:val="27"/>
              <w:widowControl/>
              <w:jc w:val="center"/>
              <w:rPr>
                <w:rFonts w:hint="default" w:ascii="Times New Roman" w:hAnsi="Times New Roman"/>
                <w:sz w:val="21"/>
                <w:szCs w:val="21"/>
              </w:rPr>
            </w:pPr>
            <w:r>
              <w:rPr>
                <w:rFonts w:hint="default" w:ascii="Times New Roman" w:hAnsi="Times New Roman"/>
                <w:sz w:val="21"/>
                <w:szCs w:val="21"/>
              </w:rPr>
              <w:t>6.89</w:t>
            </w:r>
          </w:p>
        </w:tc>
      </w:tr>
      <w:tr w14:paraId="4CC5F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2F659384">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66D8F89B">
            <w:pPr>
              <w:pStyle w:val="27"/>
              <w:widowControl/>
              <w:jc w:val="center"/>
              <w:rPr>
                <w:rFonts w:hint="default"/>
                <w:sz w:val="21"/>
                <w:szCs w:val="21"/>
              </w:rPr>
            </w:pPr>
            <w:r>
              <w:rPr>
                <w:sz w:val="21"/>
                <w:szCs w:val="21"/>
              </w:rPr>
              <w:t>辽宁省大连市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2CC6415B">
            <w:pPr>
              <w:pStyle w:val="27"/>
              <w:widowControl/>
              <w:jc w:val="center"/>
              <w:rPr>
                <w:rFonts w:hint="default" w:ascii="Times New Roman" w:hAnsi="Times New Roman"/>
                <w:sz w:val="21"/>
                <w:szCs w:val="21"/>
              </w:rPr>
            </w:pPr>
            <w:r>
              <w:rPr>
                <w:rFonts w:hint="default" w:ascii="Times New Roman" w:hAnsi="Times New Roman"/>
                <w:sz w:val="21"/>
                <w:szCs w:val="21"/>
              </w:rPr>
              <w:t>12.01</w:t>
            </w:r>
          </w:p>
        </w:tc>
      </w:tr>
      <w:tr w14:paraId="0A1EB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623653C4">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593871B9">
            <w:pPr>
              <w:pStyle w:val="27"/>
              <w:widowControl/>
              <w:jc w:val="center"/>
              <w:rPr>
                <w:rFonts w:hint="default"/>
                <w:sz w:val="21"/>
                <w:szCs w:val="21"/>
              </w:rPr>
            </w:pPr>
            <w:r>
              <w:rPr>
                <w:sz w:val="21"/>
                <w:szCs w:val="21"/>
              </w:rPr>
              <w:t>甘肃省兰州市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656FB925">
            <w:pPr>
              <w:pStyle w:val="27"/>
              <w:widowControl/>
              <w:jc w:val="center"/>
              <w:rPr>
                <w:rFonts w:hint="default" w:ascii="Times New Roman" w:hAnsi="Times New Roman"/>
                <w:sz w:val="21"/>
                <w:szCs w:val="21"/>
              </w:rPr>
            </w:pPr>
            <w:r>
              <w:rPr>
                <w:rFonts w:hint="default" w:ascii="Times New Roman" w:hAnsi="Times New Roman"/>
                <w:sz w:val="21"/>
                <w:szCs w:val="21"/>
              </w:rPr>
              <w:t>5.57</w:t>
            </w:r>
          </w:p>
        </w:tc>
      </w:tr>
      <w:tr w14:paraId="51357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56BAA3AB">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5125AFC3">
            <w:pPr>
              <w:pStyle w:val="27"/>
              <w:widowControl/>
              <w:jc w:val="center"/>
              <w:rPr>
                <w:rFonts w:hint="default"/>
                <w:sz w:val="21"/>
                <w:szCs w:val="21"/>
              </w:rPr>
            </w:pPr>
            <w:r>
              <w:rPr>
                <w:sz w:val="21"/>
                <w:szCs w:val="21"/>
              </w:rPr>
              <w:t>山东省济南市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2DD4A11C">
            <w:pPr>
              <w:pStyle w:val="27"/>
              <w:widowControl/>
              <w:jc w:val="center"/>
              <w:rPr>
                <w:rFonts w:hint="default" w:ascii="Times New Roman" w:hAnsi="Times New Roman"/>
                <w:sz w:val="21"/>
                <w:szCs w:val="21"/>
              </w:rPr>
            </w:pPr>
            <w:r>
              <w:rPr>
                <w:rFonts w:hint="default" w:ascii="Times New Roman" w:hAnsi="Times New Roman"/>
                <w:sz w:val="21"/>
                <w:szCs w:val="21"/>
              </w:rPr>
              <w:t>18.39</w:t>
            </w:r>
          </w:p>
        </w:tc>
      </w:tr>
      <w:tr w14:paraId="7ECB2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0C26DD2A">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49FF4BA1">
            <w:pPr>
              <w:pStyle w:val="27"/>
              <w:widowControl/>
              <w:jc w:val="center"/>
              <w:rPr>
                <w:rFonts w:hint="default"/>
                <w:sz w:val="21"/>
                <w:szCs w:val="21"/>
              </w:rPr>
            </w:pPr>
            <w:r>
              <w:rPr>
                <w:sz w:val="21"/>
                <w:szCs w:val="21"/>
              </w:rPr>
              <w:t>山东省青岛市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6205423E">
            <w:pPr>
              <w:pStyle w:val="27"/>
              <w:widowControl/>
              <w:jc w:val="center"/>
              <w:rPr>
                <w:rFonts w:hint="default" w:ascii="Times New Roman" w:hAnsi="Times New Roman"/>
                <w:sz w:val="21"/>
                <w:szCs w:val="21"/>
              </w:rPr>
            </w:pPr>
            <w:r>
              <w:rPr>
                <w:rFonts w:hint="default" w:ascii="Times New Roman" w:hAnsi="Times New Roman"/>
                <w:sz w:val="21"/>
                <w:szCs w:val="21"/>
              </w:rPr>
              <w:t>14.44</w:t>
            </w:r>
          </w:p>
        </w:tc>
      </w:tr>
      <w:tr w14:paraId="64ECD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53A8CCD1">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0DC64260">
            <w:pPr>
              <w:pStyle w:val="27"/>
              <w:widowControl/>
              <w:jc w:val="center"/>
              <w:rPr>
                <w:rFonts w:hint="default"/>
                <w:sz w:val="21"/>
                <w:szCs w:val="21"/>
              </w:rPr>
            </w:pPr>
            <w:r>
              <w:rPr>
                <w:sz w:val="21"/>
                <w:szCs w:val="21"/>
              </w:rPr>
              <w:t>山西省太原市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09ED0531">
            <w:pPr>
              <w:pStyle w:val="27"/>
              <w:widowControl/>
              <w:jc w:val="center"/>
              <w:rPr>
                <w:rFonts w:hint="default" w:ascii="Times New Roman" w:hAnsi="Times New Roman"/>
                <w:sz w:val="21"/>
                <w:szCs w:val="21"/>
              </w:rPr>
            </w:pPr>
            <w:r>
              <w:rPr>
                <w:rFonts w:hint="default" w:ascii="Times New Roman" w:hAnsi="Times New Roman"/>
                <w:sz w:val="21"/>
                <w:szCs w:val="21"/>
              </w:rPr>
              <w:t>7.85</w:t>
            </w:r>
          </w:p>
        </w:tc>
      </w:tr>
      <w:tr w14:paraId="79801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6C3333D4">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03582F26">
            <w:pPr>
              <w:pStyle w:val="27"/>
              <w:widowControl/>
              <w:jc w:val="center"/>
              <w:rPr>
                <w:rFonts w:hint="default"/>
                <w:sz w:val="21"/>
                <w:szCs w:val="21"/>
              </w:rPr>
            </w:pPr>
            <w:r>
              <w:rPr>
                <w:sz w:val="21"/>
                <w:szCs w:val="21"/>
              </w:rPr>
              <w:t>宁夏银川市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69158444">
            <w:pPr>
              <w:pStyle w:val="27"/>
              <w:widowControl/>
              <w:jc w:val="center"/>
              <w:rPr>
                <w:rFonts w:hint="default" w:ascii="Times New Roman" w:hAnsi="Times New Roman"/>
                <w:sz w:val="21"/>
                <w:szCs w:val="21"/>
              </w:rPr>
            </w:pPr>
            <w:r>
              <w:rPr>
                <w:rFonts w:hint="default" w:ascii="Times New Roman" w:hAnsi="Times New Roman"/>
                <w:sz w:val="21"/>
                <w:szCs w:val="21"/>
              </w:rPr>
              <w:t>4.58</w:t>
            </w:r>
          </w:p>
        </w:tc>
      </w:tr>
      <w:tr w14:paraId="21B16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433753E9">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3C9AF586">
            <w:pPr>
              <w:pStyle w:val="27"/>
              <w:widowControl/>
              <w:jc w:val="center"/>
              <w:rPr>
                <w:rFonts w:hint="default"/>
                <w:sz w:val="21"/>
                <w:szCs w:val="21"/>
              </w:rPr>
            </w:pPr>
            <w:r>
              <w:rPr>
                <w:sz w:val="21"/>
                <w:szCs w:val="21"/>
              </w:rPr>
              <w:t>新疆和田</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1FC9F464">
            <w:pPr>
              <w:pStyle w:val="27"/>
              <w:widowControl/>
              <w:jc w:val="center"/>
              <w:rPr>
                <w:rFonts w:hint="default" w:ascii="Times New Roman" w:hAnsi="Times New Roman"/>
                <w:sz w:val="21"/>
                <w:szCs w:val="21"/>
              </w:rPr>
            </w:pPr>
            <w:r>
              <w:rPr>
                <w:rFonts w:hint="default" w:ascii="Times New Roman" w:hAnsi="Times New Roman"/>
                <w:sz w:val="21"/>
                <w:szCs w:val="21"/>
              </w:rPr>
              <w:t>8.55</w:t>
            </w:r>
          </w:p>
        </w:tc>
      </w:tr>
      <w:tr w14:paraId="0A915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2E52B032">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353E2E61">
            <w:pPr>
              <w:pStyle w:val="27"/>
              <w:widowControl/>
              <w:jc w:val="center"/>
              <w:rPr>
                <w:rFonts w:hint="default"/>
                <w:sz w:val="21"/>
                <w:szCs w:val="21"/>
              </w:rPr>
            </w:pPr>
            <w:r>
              <w:rPr>
                <w:sz w:val="21"/>
                <w:szCs w:val="21"/>
              </w:rPr>
              <w:t>西藏拉萨</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2D860C44">
            <w:pPr>
              <w:pStyle w:val="27"/>
              <w:widowControl/>
              <w:jc w:val="center"/>
              <w:rPr>
                <w:rFonts w:hint="default" w:ascii="Times New Roman" w:hAnsi="Times New Roman"/>
                <w:sz w:val="21"/>
                <w:szCs w:val="21"/>
              </w:rPr>
            </w:pPr>
            <w:r>
              <w:rPr>
                <w:rFonts w:hint="default" w:ascii="Times New Roman" w:hAnsi="Times New Roman"/>
                <w:sz w:val="21"/>
                <w:szCs w:val="21"/>
              </w:rPr>
              <w:t>3.50</w:t>
            </w:r>
          </w:p>
        </w:tc>
      </w:tr>
      <w:tr w14:paraId="40352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14:paraId="05854647">
            <w:pPr>
              <w:pStyle w:val="27"/>
              <w:widowControl/>
              <w:jc w:val="center"/>
              <w:rPr>
                <w:rFonts w:hint="default"/>
                <w:sz w:val="21"/>
                <w:szCs w:val="21"/>
              </w:rPr>
            </w:pPr>
            <w:r>
              <w:rPr>
                <w:sz w:val="21"/>
                <w:szCs w:val="21"/>
              </w:rPr>
              <w:t>夏热冬冷地区</w:t>
            </w: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64E5C651">
            <w:pPr>
              <w:pStyle w:val="27"/>
              <w:widowControl/>
              <w:jc w:val="center"/>
              <w:rPr>
                <w:rFonts w:hint="default"/>
                <w:sz w:val="21"/>
                <w:szCs w:val="21"/>
              </w:rPr>
            </w:pPr>
            <w:r>
              <w:rPr>
                <w:sz w:val="21"/>
                <w:szCs w:val="21"/>
              </w:rPr>
              <w:t>上海市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5DF5F7ED">
            <w:pPr>
              <w:pStyle w:val="27"/>
              <w:widowControl/>
              <w:jc w:val="center"/>
              <w:rPr>
                <w:rFonts w:hint="default" w:ascii="Times New Roman" w:hAnsi="Times New Roman"/>
                <w:sz w:val="21"/>
                <w:szCs w:val="21"/>
              </w:rPr>
            </w:pPr>
            <w:r>
              <w:rPr>
                <w:rFonts w:hint="default" w:ascii="Times New Roman" w:hAnsi="Times New Roman"/>
                <w:sz w:val="21"/>
                <w:szCs w:val="21"/>
              </w:rPr>
              <w:t>36.12</w:t>
            </w:r>
          </w:p>
        </w:tc>
      </w:tr>
      <w:tr w14:paraId="6A86D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52D360C9">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1234E633">
            <w:pPr>
              <w:pStyle w:val="27"/>
              <w:widowControl/>
              <w:jc w:val="center"/>
              <w:rPr>
                <w:rFonts w:hint="default"/>
                <w:sz w:val="21"/>
                <w:szCs w:val="21"/>
              </w:rPr>
            </w:pPr>
            <w:r>
              <w:rPr>
                <w:sz w:val="21"/>
                <w:szCs w:val="21"/>
              </w:rPr>
              <w:t>浙江省杭州市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126FEA94">
            <w:pPr>
              <w:pStyle w:val="27"/>
              <w:widowControl/>
              <w:jc w:val="center"/>
              <w:rPr>
                <w:rFonts w:hint="default" w:ascii="Times New Roman" w:hAnsi="Times New Roman"/>
                <w:sz w:val="21"/>
                <w:szCs w:val="21"/>
              </w:rPr>
            </w:pPr>
            <w:r>
              <w:rPr>
                <w:rFonts w:hint="default" w:ascii="Times New Roman" w:hAnsi="Times New Roman"/>
                <w:sz w:val="21"/>
                <w:szCs w:val="21"/>
              </w:rPr>
              <w:t>26.56</w:t>
            </w:r>
          </w:p>
        </w:tc>
      </w:tr>
      <w:tr w14:paraId="71E89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53051BFD">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060F9DFE">
            <w:pPr>
              <w:pStyle w:val="27"/>
              <w:widowControl/>
              <w:jc w:val="center"/>
              <w:rPr>
                <w:rFonts w:hint="default"/>
                <w:sz w:val="21"/>
                <w:szCs w:val="21"/>
              </w:rPr>
            </w:pPr>
            <w:r>
              <w:rPr>
                <w:sz w:val="21"/>
                <w:szCs w:val="21"/>
              </w:rPr>
              <w:t>浙江省宁波市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202CCE06">
            <w:pPr>
              <w:pStyle w:val="27"/>
              <w:widowControl/>
              <w:jc w:val="center"/>
              <w:rPr>
                <w:rFonts w:hint="default" w:ascii="Times New Roman" w:hAnsi="Times New Roman"/>
                <w:sz w:val="21"/>
                <w:szCs w:val="21"/>
              </w:rPr>
            </w:pPr>
            <w:r>
              <w:rPr>
                <w:rFonts w:hint="default" w:ascii="Times New Roman" w:hAnsi="Times New Roman"/>
                <w:sz w:val="21"/>
                <w:szCs w:val="21"/>
              </w:rPr>
              <w:t>28.01</w:t>
            </w:r>
          </w:p>
        </w:tc>
      </w:tr>
      <w:tr w14:paraId="2309D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021817C5">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71548EF2">
            <w:pPr>
              <w:pStyle w:val="27"/>
              <w:widowControl/>
              <w:jc w:val="center"/>
              <w:rPr>
                <w:rFonts w:hint="default"/>
                <w:sz w:val="21"/>
                <w:szCs w:val="21"/>
              </w:rPr>
            </w:pPr>
            <w:r>
              <w:rPr>
                <w:sz w:val="21"/>
                <w:szCs w:val="21"/>
              </w:rPr>
              <w:t>安徽省合肥市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53FCC477">
            <w:pPr>
              <w:pStyle w:val="27"/>
              <w:widowControl/>
              <w:jc w:val="center"/>
              <w:rPr>
                <w:rFonts w:hint="default" w:ascii="Times New Roman" w:hAnsi="Times New Roman"/>
                <w:sz w:val="21"/>
                <w:szCs w:val="21"/>
              </w:rPr>
            </w:pPr>
            <w:r>
              <w:rPr>
                <w:rFonts w:hint="default" w:ascii="Times New Roman" w:hAnsi="Times New Roman"/>
                <w:sz w:val="21"/>
                <w:szCs w:val="21"/>
              </w:rPr>
              <w:t>34.27</w:t>
            </w:r>
          </w:p>
        </w:tc>
      </w:tr>
      <w:tr w14:paraId="6B158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4CBDC232">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26CFC9EA">
            <w:pPr>
              <w:pStyle w:val="27"/>
              <w:widowControl/>
              <w:jc w:val="center"/>
              <w:rPr>
                <w:rFonts w:hint="default"/>
                <w:sz w:val="21"/>
                <w:szCs w:val="21"/>
              </w:rPr>
            </w:pPr>
            <w:r>
              <w:rPr>
                <w:sz w:val="21"/>
                <w:szCs w:val="21"/>
              </w:rPr>
              <w:t>安徽省马鞍山市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0C81D001">
            <w:pPr>
              <w:pStyle w:val="27"/>
              <w:widowControl/>
              <w:jc w:val="center"/>
              <w:rPr>
                <w:rFonts w:hint="default" w:ascii="Times New Roman" w:hAnsi="Times New Roman"/>
                <w:sz w:val="21"/>
                <w:szCs w:val="21"/>
              </w:rPr>
            </w:pPr>
            <w:r>
              <w:rPr>
                <w:rFonts w:hint="default" w:ascii="Times New Roman" w:hAnsi="Times New Roman"/>
                <w:sz w:val="21"/>
                <w:szCs w:val="21"/>
              </w:rPr>
              <w:t>34.27</w:t>
            </w:r>
          </w:p>
        </w:tc>
      </w:tr>
      <w:tr w14:paraId="4A834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32EE47B9">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7A424CA9">
            <w:pPr>
              <w:pStyle w:val="27"/>
              <w:widowControl/>
              <w:jc w:val="center"/>
              <w:rPr>
                <w:rFonts w:hint="default"/>
                <w:sz w:val="21"/>
                <w:szCs w:val="21"/>
              </w:rPr>
            </w:pPr>
            <w:r>
              <w:rPr>
                <w:sz w:val="21"/>
                <w:szCs w:val="21"/>
              </w:rPr>
              <w:t>江苏省南京市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5C83E209">
            <w:pPr>
              <w:pStyle w:val="27"/>
              <w:widowControl/>
              <w:jc w:val="center"/>
              <w:rPr>
                <w:rFonts w:hint="default" w:ascii="Times New Roman" w:hAnsi="Times New Roman"/>
                <w:sz w:val="21"/>
                <w:szCs w:val="21"/>
              </w:rPr>
            </w:pPr>
            <w:r>
              <w:rPr>
                <w:rFonts w:hint="default" w:ascii="Times New Roman" w:hAnsi="Times New Roman"/>
                <w:sz w:val="21"/>
                <w:szCs w:val="21"/>
              </w:rPr>
              <w:t>26.14</w:t>
            </w:r>
          </w:p>
        </w:tc>
      </w:tr>
      <w:tr w14:paraId="77678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29B38289">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66A390AB">
            <w:pPr>
              <w:pStyle w:val="27"/>
              <w:widowControl/>
              <w:jc w:val="center"/>
              <w:rPr>
                <w:rFonts w:hint="default"/>
                <w:sz w:val="21"/>
                <w:szCs w:val="21"/>
              </w:rPr>
            </w:pPr>
            <w:r>
              <w:rPr>
                <w:sz w:val="21"/>
                <w:szCs w:val="21"/>
              </w:rPr>
              <w:t>江苏省连云港市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2BF1D43A">
            <w:pPr>
              <w:pStyle w:val="27"/>
              <w:widowControl/>
              <w:jc w:val="center"/>
              <w:rPr>
                <w:rFonts w:hint="default" w:ascii="Times New Roman" w:hAnsi="Times New Roman"/>
                <w:sz w:val="21"/>
                <w:szCs w:val="21"/>
              </w:rPr>
            </w:pPr>
            <w:r>
              <w:rPr>
                <w:rFonts w:hint="default" w:ascii="Times New Roman" w:hAnsi="Times New Roman"/>
                <w:sz w:val="21"/>
                <w:szCs w:val="21"/>
              </w:rPr>
              <w:t>19.39</w:t>
            </w:r>
          </w:p>
        </w:tc>
      </w:tr>
      <w:tr w14:paraId="72FF3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58FF680B">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59474955">
            <w:pPr>
              <w:pStyle w:val="27"/>
              <w:widowControl/>
              <w:jc w:val="center"/>
              <w:rPr>
                <w:rFonts w:hint="default"/>
                <w:sz w:val="21"/>
                <w:szCs w:val="21"/>
              </w:rPr>
            </w:pPr>
            <w:r>
              <w:rPr>
                <w:sz w:val="21"/>
                <w:szCs w:val="21"/>
              </w:rPr>
              <w:t>湖北省武汉市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1ED52BD4">
            <w:pPr>
              <w:pStyle w:val="27"/>
              <w:widowControl/>
              <w:jc w:val="center"/>
              <w:rPr>
                <w:rFonts w:hint="default" w:ascii="Times New Roman" w:hAnsi="Times New Roman"/>
                <w:sz w:val="21"/>
                <w:szCs w:val="21"/>
              </w:rPr>
            </w:pPr>
            <w:r>
              <w:rPr>
                <w:rFonts w:hint="default" w:ascii="Times New Roman" w:hAnsi="Times New Roman"/>
                <w:sz w:val="21"/>
                <w:szCs w:val="21"/>
              </w:rPr>
              <w:t>38.57</w:t>
            </w:r>
          </w:p>
        </w:tc>
      </w:tr>
      <w:tr w14:paraId="45F3E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440916D6">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2BBDE1CA">
            <w:pPr>
              <w:pStyle w:val="27"/>
              <w:widowControl/>
              <w:jc w:val="center"/>
              <w:rPr>
                <w:rFonts w:hint="default"/>
                <w:sz w:val="21"/>
                <w:szCs w:val="21"/>
              </w:rPr>
            </w:pPr>
            <w:r>
              <w:rPr>
                <w:sz w:val="21"/>
                <w:szCs w:val="21"/>
              </w:rPr>
              <w:t>湖北省宜昌市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2E8BD841">
            <w:pPr>
              <w:pStyle w:val="27"/>
              <w:widowControl/>
              <w:jc w:val="center"/>
              <w:rPr>
                <w:rFonts w:hint="default" w:ascii="Times New Roman" w:hAnsi="Times New Roman"/>
                <w:sz w:val="21"/>
                <w:szCs w:val="21"/>
              </w:rPr>
            </w:pPr>
            <w:r>
              <w:rPr>
                <w:rFonts w:hint="default" w:ascii="Times New Roman" w:hAnsi="Times New Roman"/>
                <w:sz w:val="21"/>
                <w:szCs w:val="21"/>
              </w:rPr>
              <w:t>28.61</w:t>
            </w:r>
          </w:p>
        </w:tc>
      </w:tr>
      <w:tr w14:paraId="5522D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3A2D9E6C">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032375F9">
            <w:pPr>
              <w:pStyle w:val="27"/>
              <w:widowControl/>
              <w:jc w:val="center"/>
              <w:rPr>
                <w:rFonts w:hint="default"/>
                <w:sz w:val="21"/>
                <w:szCs w:val="21"/>
              </w:rPr>
            </w:pPr>
            <w:r>
              <w:rPr>
                <w:sz w:val="21"/>
                <w:szCs w:val="21"/>
              </w:rPr>
              <w:t>湖南省长沙市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027171AE">
            <w:pPr>
              <w:pStyle w:val="27"/>
              <w:widowControl/>
              <w:jc w:val="center"/>
              <w:rPr>
                <w:rFonts w:hint="default" w:ascii="Times New Roman" w:hAnsi="Times New Roman"/>
                <w:sz w:val="21"/>
                <w:szCs w:val="21"/>
              </w:rPr>
            </w:pPr>
            <w:r>
              <w:rPr>
                <w:rFonts w:hint="default" w:ascii="Times New Roman" w:hAnsi="Times New Roman"/>
                <w:sz w:val="21"/>
                <w:szCs w:val="21"/>
              </w:rPr>
              <w:t>36.08</w:t>
            </w:r>
          </w:p>
        </w:tc>
      </w:tr>
      <w:tr w14:paraId="507E9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34BB28A0">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0B125274">
            <w:pPr>
              <w:pStyle w:val="27"/>
              <w:widowControl/>
              <w:jc w:val="center"/>
              <w:rPr>
                <w:rFonts w:hint="default"/>
                <w:sz w:val="21"/>
                <w:szCs w:val="21"/>
              </w:rPr>
            </w:pPr>
            <w:r>
              <w:rPr>
                <w:sz w:val="21"/>
                <w:szCs w:val="21"/>
              </w:rPr>
              <w:t>湖南省郴州市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58F1D4D3">
            <w:pPr>
              <w:pStyle w:val="27"/>
              <w:widowControl/>
              <w:jc w:val="center"/>
              <w:rPr>
                <w:rFonts w:hint="default" w:ascii="Times New Roman" w:hAnsi="Times New Roman"/>
                <w:sz w:val="21"/>
                <w:szCs w:val="21"/>
              </w:rPr>
            </w:pPr>
            <w:r>
              <w:rPr>
                <w:rFonts w:hint="default" w:ascii="Times New Roman" w:hAnsi="Times New Roman"/>
                <w:sz w:val="21"/>
                <w:szCs w:val="21"/>
              </w:rPr>
              <w:t>40.85</w:t>
            </w:r>
          </w:p>
        </w:tc>
      </w:tr>
      <w:tr w14:paraId="375E5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231B35AD">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65E6EC7C">
            <w:pPr>
              <w:pStyle w:val="27"/>
              <w:widowControl/>
              <w:jc w:val="center"/>
              <w:rPr>
                <w:rFonts w:hint="default"/>
                <w:sz w:val="21"/>
                <w:szCs w:val="21"/>
              </w:rPr>
            </w:pPr>
            <w:r>
              <w:rPr>
                <w:sz w:val="21"/>
                <w:szCs w:val="21"/>
              </w:rPr>
              <w:t>四川省成都市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670B4B8D">
            <w:pPr>
              <w:pStyle w:val="27"/>
              <w:widowControl/>
              <w:jc w:val="center"/>
              <w:rPr>
                <w:rFonts w:hint="default" w:ascii="Times New Roman" w:hAnsi="Times New Roman"/>
                <w:sz w:val="21"/>
                <w:szCs w:val="21"/>
              </w:rPr>
            </w:pPr>
            <w:r>
              <w:rPr>
                <w:rFonts w:hint="default" w:ascii="Times New Roman" w:hAnsi="Times New Roman"/>
                <w:sz w:val="21"/>
                <w:szCs w:val="21"/>
              </w:rPr>
              <w:t>21.87</w:t>
            </w:r>
          </w:p>
        </w:tc>
      </w:tr>
      <w:tr w14:paraId="0DA55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3A8C286F">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2DF80271">
            <w:pPr>
              <w:pStyle w:val="27"/>
              <w:widowControl/>
              <w:jc w:val="center"/>
              <w:rPr>
                <w:rFonts w:hint="default"/>
                <w:sz w:val="21"/>
                <w:szCs w:val="21"/>
              </w:rPr>
            </w:pPr>
            <w:r>
              <w:rPr>
                <w:sz w:val="21"/>
                <w:szCs w:val="21"/>
              </w:rPr>
              <w:t>重庆市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1E8273E8">
            <w:pPr>
              <w:pStyle w:val="27"/>
              <w:widowControl/>
              <w:jc w:val="center"/>
              <w:rPr>
                <w:rFonts w:hint="default" w:ascii="Times New Roman" w:hAnsi="Times New Roman"/>
                <w:sz w:val="21"/>
                <w:szCs w:val="21"/>
              </w:rPr>
            </w:pPr>
            <w:r>
              <w:rPr>
                <w:rFonts w:hint="default" w:ascii="Times New Roman" w:hAnsi="Times New Roman"/>
                <w:sz w:val="21"/>
                <w:szCs w:val="21"/>
              </w:rPr>
              <w:t>32.23</w:t>
            </w:r>
          </w:p>
        </w:tc>
      </w:tr>
      <w:tr w14:paraId="3F624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1A08EBC2">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63494180">
            <w:pPr>
              <w:pStyle w:val="27"/>
              <w:widowControl/>
              <w:jc w:val="center"/>
              <w:rPr>
                <w:rFonts w:hint="default"/>
                <w:sz w:val="21"/>
                <w:szCs w:val="21"/>
              </w:rPr>
            </w:pPr>
            <w:r>
              <w:rPr>
                <w:sz w:val="21"/>
                <w:szCs w:val="21"/>
              </w:rPr>
              <w:t>江西省南昌市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0C62A50B">
            <w:pPr>
              <w:pStyle w:val="27"/>
              <w:widowControl/>
              <w:jc w:val="center"/>
              <w:rPr>
                <w:rFonts w:hint="default" w:ascii="Times New Roman" w:hAnsi="Times New Roman"/>
                <w:sz w:val="21"/>
                <w:szCs w:val="21"/>
              </w:rPr>
            </w:pPr>
            <w:r>
              <w:rPr>
                <w:rFonts w:hint="default" w:ascii="Times New Roman" w:hAnsi="Times New Roman"/>
                <w:sz w:val="21"/>
                <w:szCs w:val="21"/>
              </w:rPr>
              <w:t>39.19</w:t>
            </w:r>
          </w:p>
        </w:tc>
      </w:tr>
      <w:tr w14:paraId="1CA3D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14:paraId="3928F19F">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72CA2D7C">
            <w:pPr>
              <w:pStyle w:val="27"/>
              <w:widowControl/>
              <w:jc w:val="center"/>
              <w:rPr>
                <w:rFonts w:hint="default"/>
                <w:sz w:val="21"/>
                <w:szCs w:val="21"/>
              </w:rPr>
            </w:pPr>
            <w:r>
              <w:rPr>
                <w:sz w:val="21"/>
                <w:szCs w:val="21"/>
              </w:rPr>
              <w:t>江西省赣州市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513FEE40">
            <w:pPr>
              <w:pStyle w:val="27"/>
              <w:widowControl/>
              <w:jc w:val="center"/>
              <w:rPr>
                <w:rFonts w:hint="default" w:ascii="Times New Roman" w:hAnsi="Times New Roman"/>
                <w:sz w:val="21"/>
                <w:szCs w:val="21"/>
              </w:rPr>
            </w:pPr>
            <w:r>
              <w:rPr>
                <w:rFonts w:hint="default" w:ascii="Times New Roman" w:hAnsi="Times New Roman"/>
                <w:sz w:val="21"/>
                <w:szCs w:val="21"/>
              </w:rPr>
              <w:t>38.94</w:t>
            </w:r>
          </w:p>
        </w:tc>
      </w:tr>
      <w:tr w14:paraId="3EA35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restart"/>
            <w:tcBorders>
              <w:top w:val="single" w:color="auto" w:sz="4" w:space="0"/>
              <w:left w:val="single" w:color="auto" w:sz="12" w:space="0"/>
              <w:bottom w:val="single" w:color="auto" w:sz="12" w:space="0"/>
              <w:right w:val="single" w:color="auto" w:sz="4" w:space="0"/>
            </w:tcBorders>
            <w:shd w:val="clear" w:color="auto" w:fill="auto"/>
            <w:vAlign w:val="center"/>
          </w:tcPr>
          <w:p w14:paraId="55AEBCFE">
            <w:pPr>
              <w:pStyle w:val="27"/>
              <w:widowControl/>
              <w:jc w:val="center"/>
              <w:rPr>
                <w:rFonts w:hint="default"/>
                <w:sz w:val="21"/>
                <w:szCs w:val="21"/>
              </w:rPr>
            </w:pPr>
            <w:r>
              <w:rPr>
                <w:sz w:val="21"/>
                <w:szCs w:val="21"/>
              </w:rPr>
              <w:t>温和地区</w:t>
            </w: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2B954CBE">
            <w:pPr>
              <w:pStyle w:val="27"/>
              <w:widowControl/>
              <w:jc w:val="center"/>
              <w:rPr>
                <w:rFonts w:hint="default"/>
                <w:sz w:val="21"/>
                <w:szCs w:val="21"/>
              </w:rPr>
            </w:pPr>
            <w:r>
              <w:rPr>
                <w:sz w:val="21"/>
                <w:szCs w:val="21"/>
              </w:rPr>
              <w:t>云南省昆明市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19ADE127">
            <w:pPr>
              <w:pStyle w:val="27"/>
              <w:widowControl/>
              <w:jc w:val="center"/>
              <w:rPr>
                <w:rFonts w:hint="default" w:ascii="Times New Roman" w:hAnsi="Times New Roman"/>
                <w:sz w:val="21"/>
                <w:szCs w:val="21"/>
              </w:rPr>
            </w:pPr>
            <w:r>
              <w:rPr>
                <w:rFonts w:hint="default" w:ascii="Times New Roman" w:hAnsi="Times New Roman"/>
                <w:sz w:val="21"/>
                <w:szCs w:val="21"/>
              </w:rPr>
              <w:t>3.64</w:t>
            </w:r>
          </w:p>
        </w:tc>
      </w:tr>
      <w:tr w14:paraId="14E88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12" w:space="0"/>
              <w:right w:val="single" w:color="auto" w:sz="4" w:space="0"/>
            </w:tcBorders>
            <w:shd w:val="clear" w:color="auto" w:fill="auto"/>
            <w:vAlign w:val="center"/>
          </w:tcPr>
          <w:p w14:paraId="1C4B8F68">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19C938D0">
            <w:pPr>
              <w:pStyle w:val="27"/>
              <w:widowControl/>
              <w:jc w:val="center"/>
              <w:rPr>
                <w:rFonts w:hint="default"/>
                <w:sz w:val="21"/>
                <w:szCs w:val="21"/>
              </w:rPr>
            </w:pPr>
            <w:r>
              <w:rPr>
                <w:sz w:val="21"/>
                <w:szCs w:val="21"/>
              </w:rPr>
              <w:t>云南省丽江市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57954799">
            <w:pPr>
              <w:pStyle w:val="27"/>
              <w:widowControl/>
              <w:jc w:val="center"/>
              <w:rPr>
                <w:rFonts w:hint="default" w:ascii="Times New Roman" w:hAnsi="Times New Roman"/>
                <w:sz w:val="21"/>
                <w:szCs w:val="21"/>
              </w:rPr>
            </w:pPr>
            <w:r>
              <w:rPr>
                <w:rFonts w:hint="default" w:ascii="Times New Roman" w:hAnsi="Times New Roman"/>
                <w:sz w:val="21"/>
                <w:szCs w:val="21"/>
              </w:rPr>
              <w:t>3.51</w:t>
            </w:r>
          </w:p>
        </w:tc>
      </w:tr>
      <w:tr w14:paraId="79FF0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12" w:space="0"/>
              <w:right w:val="single" w:color="auto" w:sz="4" w:space="0"/>
            </w:tcBorders>
            <w:shd w:val="clear" w:color="auto" w:fill="auto"/>
            <w:vAlign w:val="center"/>
          </w:tcPr>
          <w:p w14:paraId="38DE8F90">
            <w:pPr>
              <w:rPr>
                <w:rFonts w:ascii="Times New Roman" w:hAnsi="Times New Roman" w:cs="Times New Roman"/>
                <w:sz w:val="20"/>
                <w:szCs w:val="20"/>
              </w:rPr>
            </w:pPr>
          </w:p>
        </w:tc>
        <w:tc>
          <w:tcPr>
            <w:tcW w:w="2841" w:type="dxa"/>
            <w:tcBorders>
              <w:top w:val="single" w:color="auto" w:sz="4" w:space="0"/>
              <w:left w:val="single" w:color="auto" w:sz="4" w:space="0"/>
              <w:bottom w:val="single" w:color="auto" w:sz="4" w:space="0"/>
              <w:right w:val="single" w:color="auto" w:sz="4" w:space="0"/>
            </w:tcBorders>
            <w:shd w:val="clear" w:color="auto" w:fill="auto"/>
            <w:vAlign w:val="center"/>
          </w:tcPr>
          <w:p w14:paraId="4D365B9B">
            <w:pPr>
              <w:pStyle w:val="27"/>
              <w:widowControl/>
              <w:jc w:val="center"/>
              <w:rPr>
                <w:rFonts w:hint="default"/>
                <w:sz w:val="21"/>
                <w:szCs w:val="21"/>
              </w:rPr>
            </w:pPr>
            <w:r>
              <w:rPr>
                <w:sz w:val="21"/>
                <w:szCs w:val="21"/>
              </w:rPr>
              <w:t>贵州省贵阳市</w:t>
            </w:r>
          </w:p>
        </w:tc>
        <w:tc>
          <w:tcPr>
            <w:tcW w:w="2841" w:type="dxa"/>
            <w:tcBorders>
              <w:top w:val="single" w:color="auto" w:sz="4" w:space="0"/>
              <w:left w:val="single" w:color="auto" w:sz="4" w:space="0"/>
              <w:bottom w:val="single" w:color="auto" w:sz="4" w:space="0"/>
              <w:right w:val="single" w:color="auto" w:sz="12" w:space="0"/>
            </w:tcBorders>
            <w:shd w:val="clear" w:color="auto" w:fill="auto"/>
            <w:vAlign w:val="center"/>
          </w:tcPr>
          <w:p w14:paraId="39653069">
            <w:pPr>
              <w:pStyle w:val="27"/>
              <w:widowControl/>
              <w:jc w:val="center"/>
              <w:rPr>
                <w:rFonts w:hint="default" w:ascii="Times New Roman" w:hAnsi="Times New Roman"/>
                <w:sz w:val="21"/>
                <w:szCs w:val="21"/>
              </w:rPr>
            </w:pPr>
            <w:r>
              <w:rPr>
                <w:rFonts w:hint="default" w:ascii="Times New Roman" w:hAnsi="Times New Roman"/>
                <w:sz w:val="21"/>
                <w:szCs w:val="21"/>
              </w:rPr>
              <w:t>7.53</w:t>
            </w:r>
          </w:p>
        </w:tc>
      </w:tr>
      <w:tr w14:paraId="3AE27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tcBorders>
              <w:top w:val="single" w:color="auto" w:sz="4" w:space="0"/>
              <w:left w:val="single" w:color="auto" w:sz="12" w:space="0"/>
              <w:bottom w:val="single" w:color="auto" w:sz="12" w:space="0"/>
              <w:right w:val="single" w:color="auto" w:sz="4" w:space="0"/>
            </w:tcBorders>
            <w:shd w:val="clear" w:color="auto" w:fill="auto"/>
            <w:vAlign w:val="center"/>
          </w:tcPr>
          <w:p w14:paraId="47396A5B">
            <w:pPr>
              <w:rPr>
                <w:rFonts w:ascii="Times New Roman" w:hAnsi="Times New Roman" w:cs="Times New Roman"/>
                <w:sz w:val="20"/>
                <w:szCs w:val="20"/>
              </w:rPr>
            </w:pPr>
          </w:p>
        </w:tc>
        <w:tc>
          <w:tcPr>
            <w:tcW w:w="2841" w:type="dxa"/>
            <w:tcBorders>
              <w:top w:val="single" w:color="auto" w:sz="4" w:space="0"/>
              <w:left w:val="single" w:color="auto" w:sz="4" w:space="0"/>
              <w:bottom w:val="single" w:color="auto" w:sz="12" w:space="0"/>
              <w:right w:val="single" w:color="auto" w:sz="4" w:space="0"/>
            </w:tcBorders>
            <w:shd w:val="clear" w:color="auto" w:fill="auto"/>
            <w:vAlign w:val="center"/>
          </w:tcPr>
          <w:p w14:paraId="00B20F63">
            <w:pPr>
              <w:pStyle w:val="27"/>
              <w:widowControl/>
              <w:jc w:val="center"/>
              <w:rPr>
                <w:rFonts w:hint="default"/>
                <w:sz w:val="21"/>
                <w:szCs w:val="21"/>
              </w:rPr>
            </w:pPr>
            <w:r>
              <w:rPr>
                <w:sz w:val="21"/>
                <w:szCs w:val="21"/>
              </w:rPr>
              <w:t>四川省攀枝花市</w:t>
            </w:r>
          </w:p>
        </w:tc>
        <w:tc>
          <w:tcPr>
            <w:tcW w:w="2841" w:type="dxa"/>
            <w:tcBorders>
              <w:top w:val="single" w:color="auto" w:sz="4" w:space="0"/>
              <w:left w:val="single" w:color="auto" w:sz="4" w:space="0"/>
              <w:bottom w:val="single" w:color="auto" w:sz="12" w:space="0"/>
              <w:right w:val="single" w:color="auto" w:sz="12" w:space="0"/>
            </w:tcBorders>
            <w:shd w:val="clear" w:color="auto" w:fill="auto"/>
            <w:vAlign w:val="center"/>
          </w:tcPr>
          <w:p w14:paraId="4A04F2C6">
            <w:pPr>
              <w:pStyle w:val="27"/>
              <w:widowControl/>
              <w:jc w:val="center"/>
              <w:rPr>
                <w:rFonts w:hint="default" w:ascii="Times New Roman" w:hAnsi="Times New Roman"/>
                <w:sz w:val="21"/>
                <w:szCs w:val="21"/>
              </w:rPr>
            </w:pPr>
            <w:r>
              <w:rPr>
                <w:rFonts w:hint="default" w:ascii="Times New Roman" w:hAnsi="Times New Roman"/>
                <w:sz w:val="21"/>
                <w:szCs w:val="21"/>
              </w:rPr>
              <w:t>6.21</w:t>
            </w:r>
          </w:p>
        </w:tc>
      </w:tr>
    </w:tbl>
    <w:p w14:paraId="1DF1DE2B">
      <w:pPr>
        <w:pStyle w:val="27"/>
        <w:widowControl/>
        <w:rPr>
          <w:rFonts w:hint="default"/>
        </w:rPr>
      </w:pPr>
    </w:p>
    <w:p w14:paraId="62E4D3DD">
      <w:pPr>
        <w:pStyle w:val="27"/>
        <w:widowControl/>
        <w:spacing w:line="360" w:lineRule="auto"/>
        <w:rPr>
          <w:rFonts w:hint="default"/>
        </w:rPr>
      </w:pPr>
    </w:p>
    <w:p w14:paraId="7FA0A09F">
      <w:pPr>
        <w:pStyle w:val="2"/>
        <w:widowControl/>
        <w:rPr>
          <w:rFonts w:ascii="Calibri" w:hAnsi="Calibri"/>
          <w:b w:val="0"/>
        </w:rPr>
      </w:pPr>
      <w:r>
        <w:rPr>
          <w:lang w:bidi="ar"/>
        </w:rPr>
        <w:br w:type="page"/>
      </w:r>
      <w:bookmarkStart w:id="218" w:name="_Toc15580"/>
      <w:bookmarkStart w:id="219" w:name="_Toc315"/>
      <w:bookmarkStart w:id="220" w:name="_Toc22873"/>
      <w:bookmarkStart w:id="221" w:name="_Toc17382"/>
      <w:bookmarkStart w:id="222" w:name="_Toc4843"/>
      <w:bookmarkStart w:id="223" w:name="_Toc338"/>
      <w:bookmarkStart w:id="224" w:name="_Toc23012"/>
      <w:r>
        <w:rPr>
          <w:rStyle w:val="22"/>
          <w:rFonts w:hint="eastAsia" w:ascii="Calibri" w:hAnsi="Calibri" w:cs="Times New Roman"/>
          <w:b w:val="0"/>
        </w:rPr>
        <w:t>附录</w:t>
      </w:r>
      <w:r>
        <w:rPr>
          <w:rStyle w:val="22"/>
          <w:rFonts w:ascii="Times New Roman" w:hAnsi="Times New Roman" w:cs="Times New Roman"/>
          <w:b w:val="0"/>
        </w:rPr>
        <w:t>B</w:t>
      </w:r>
      <w:r>
        <w:rPr>
          <w:rStyle w:val="22"/>
          <w:rFonts w:ascii="Calibri" w:hAnsi="Calibri" w:cs="Times New Roman"/>
          <w:b w:val="0"/>
        </w:rPr>
        <w:t xml:space="preserve">  </w:t>
      </w:r>
      <w:r>
        <w:rPr>
          <w:rStyle w:val="22"/>
          <w:rFonts w:hint="eastAsia" w:ascii="Calibri" w:hAnsi="Calibri" w:cs="Times New Roman"/>
          <w:b w:val="0"/>
        </w:rPr>
        <w:t>保温材料修正系数调整要求</w:t>
      </w:r>
      <w:bookmarkEnd w:id="218"/>
      <w:bookmarkEnd w:id="219"/>
      <w:bookmarkEnd w:id="220"/>
      <w:bookmarkEnd w:id="221"/>
      <w:bookmarkEnd w:id="222"/>
      <w:bookmarkEnd w:id="223"/>
    </w:p>
    <w:bookmarkEnd w:id="224"/>
    <w:p w14:paraId="503EDDB6">
      <w:pPr>
        <w:pStyle w:val="7"/>
        <w:widowControl/>
        <w:spacing w:line="312" w:lineRule="auto"/>
        <w:rPr>
          <w:rFonts w:hint="default"/>
          <w:sz w:val="24"/>
          <w:szCs w:val="24"/>
        </w:rPr>
      </w:pPr>
      <w:r>
        <w:rPr>
          <w:rFonts w:hint="default" w:ascii="Times New Roman" w:hAnsi="Times New Roman"/>
          <w:b/>
          <w:bCs/>
          <w:sz w:val="24"/>
          <w:szCs w:val="24"/>
        </w:rPr>
        <w:t>B.0.1</w:t>
      </w:r>
      <w:r>
        <w:rPr>
          <w:rFonts w:hint="default" w:ascii="Times New Roman" w:hAnsi="Times New Roman"/>
          <w:sz w:val="24"/>
          <w:szCs w:val="24"/>
        </w:rPr>
        <w:t xml:space="preserve">  </w:t>
      </w:r>
      <w:r>
        <w:rPr>
          <w:sz w:val="24"/>
          <w:szCs w:val="24"/>
        </w:rPr>
        <w:t>单幢建筑的总热桥面积占比不得超过参与体型系数计算的围护结构主体外表面保温面积的</w:t>
      </w:r>
      <w:r>
        <w:rPr>
          <w:rFonts w:hint="default" w:ascii="Times New Roman" w:hAnsi="Times New Roman"/>
          <w:sz w:val="24"/>
          <w:szCs w:val="24"/>
        </w:rPr>
        <w:t>5%</w:t>
      </w:r>
      <w:r>
        <w:rPr>
          <w:sz w:val="24"/>
          <w:szCs w:val="24"/>
        </w:rPr>
        <w:t>。</w:t>
      </w:r>
    </w:p>
    <w:p w14:paraId="16CC62F7">
      <w:pPr>
        <w:pStyle w:val="7"/>
        <w:widowControl/>
        <w:spacing w:line="312" w:lineRule="auto"/>
        <w:rPr>
          <w:rFonts w:hint="default"/>
          <w:sz w:val="24"/>
          <w:szCs w:val="24"/>
        </w:rPr>
      </w:pPr>
      <w:r>
        <w:rPr>
          <w:rFonts w:hint="default" w:ascii="Times New Roman" w:hAnsi="Times New Roman"/>
          <w:b/>
          <w:bCs/>
          <w:sz w:val="24"/>
          <w:szCs w:val="24"/>
        </w:rPr>
        <w:t>B.0.2</w:t>
      </w:r>
      <w:r>
        <w:rPr>
          <w:rFonts w:hint="default" w:ascii="Times New Roman" w:hAnsi="Times New Roman"/>
          <w:sz w:val="24"/>
          <w:szCs w:val="24"/>
        </w:rPr>
        <w:t xml:space="preserve">  </w:t>
      </w:r>
      <w:r>
        <w:rPr>
          <w:sz w:val="24"/>
          <w:szCs w:val="24"/>
        </w:rPr>
        <w:t>每套住房中，对应居住空间外墙和屋面的总热桥面积占该套住房居住空间对应外墙和屋面面积的比例不应大于4%。</w:t>
      </w:r>
    </w:p>
    <w:p w14:paraId="39FD5B06">
      <w:pPr>
        <w:pStyle w:val="7"/>
        <w:widowControl/>
        <w:spacing w:line="312" w:lineRule="auto"/>
        <w:rPr>
          <w:rFonts w:hint="default"/>
          <w:sz w:val="24"/>
          <w:szCs w:val="24"/>
        </w:rPr>
      </w:pPr>
      <w:r>
        <w:rPr>
          <w:rFonts w:hint="default" w:ascii="Times New Roman" w:hAnsi="Times New Roman"/>
          <w:b/>
          <w:bCs/>
          <w:sz w:val="24"/>
          <w:szCs w:val="24"/>
        </w:rPr>
        <w:t xml:space="preserve">B.0.3  </w:t>
      </w:r>
      <w:r>
        <w:rPr>
          <w:sz w:val="24"/>
          <w:szCs w:val="24"/>
        </w:rPr>
        <w:t>当外围护结构存在热桥时，应对围护结构主体保温材料的导热系数按以下公式进行进一步修正：</w:t>
      </w:r>
    </w:p>
    <w:p w14:paraId="4799BEFC">
      <w:pPr>
        <w:pStyle w:val="7"/>
        <w:widowControl/>
        <w:spacing w:before="156" w:beforeLines="50" w:after="156" w:afterLines="50" w:line="312" w:lineRule="auto"/>
        <w:jc w:val="center"/>
        <w:rPr>
          <w:rFonts w:hint="default" w:ascii="Times New Roman" w:hAnsi="Times New Roman"/>
        </w:rPr>
      </w:pPr>
      <w:r>
        <w:rPr>
          <w:rFonts w:hint="default" w:ascii="Times New Roman" w:hAnsi="Times New Roman"/>
          <w:sz w:val="24"/>
          <w:szCs w:val="24"/>
        </w:rPr>
        <w:t>α</w:t>
      </w:r>
      <w:r>
        <w:rPr>
          <w:rFonts w:hint="default" w:ascii="Times New Roman" w:hAnsi="Times New Roman"/>
          <w:sz w:val="24"/>
          <w:szCs w:val="24"/>
          <w:vertAlign w:val="subscript"/>
        </w:rPr>
        <w:t>x</w:t>
      </w:r>
      <w:r>
        <w:rPr>
          <w:rFonts w:hint="default" w:ascii="Times New Roman" w:hAnsi="Times New Roman"/>
          <w:sz w:val="24"/>
          <w:szCs w:val="24"/>
        </w:rPr>
        <w:t>=α+</w:t>
      </w:r>
      <w:r>
        <w:rPr>
          <w:rFonts w:hint="default" w:ascii="Times New Roman" w:hAnsi="Times New Roman"/>
        </w:rPr>
        <w:t>∆α</w:t>
      </w:r>
      <w:r>
        <w:rPr>
          <w:rFonts w:hint="default" w:ascii="Times New Roman" w:hAnsi="Times New Roman"/>
        </w:rPr>
        <w:tab/>
      </w:r>
      <w:r>
        <w:rPr>
          <w:rFonts w:hint="default" w:ascii="Times New Roman" w:hAnsi="Times New Roman"/>
        </w:rPr>
        <w:tab/>
      </w:r>
      <w:r>
        <w:rPr>
          <w:rFonts w:ascii="Times New Roman" w:hAnsi="Times New Roman"/>
        </w:rPr>
        <w:t>（</w:t>
      </w:r>
      <w:r>
        <w:rPr>
          <w:rFonts w:hint="default" w:ascii="Times New Roman" w:hAnsi="Times New Roman"/>
        </w:rPr>
        <w:t>B.0.3</w:t>
      </w:r>
      <w:r>
        <w:rPr>
          <w:rFonts w:ascii="Times New Roman" w:hAnsi="Times New Roman"/>
        </w:rPr>
        <w:t>）</w:t>
      </w:r>
    </w:p>
    <w:p w14:paraId="7040A029">
      <w:pPr>
        <w:pStyle w:val="7"/>
        <w:widowControl/>
        <w:spacing w:line="312" w:lineRule="auto"/>
        <w:ind w:left="1419" w:hanging="1419"/>
        <w:rPr>
          <w:rFonts w:hint="default"/>
          <w:sz w:val="24"/>
          <w:szCs w:val="24"/>
        </w:rPr>
      </w:pPr>
      <w:r>
        <w:rPr>
          <w:rFonts w:ascii="Times New Roman" w:hAnsi="Times New Roman"/>
        </w:rPr>
        <w:t>式中：</w:t>
      </w:r>
      <w:r>
        <w:rPr>
          <w:rFonts w:hint="default" w:ascii="Times New Roman" w:hAnsi="Times New Roman"/>
        </w:rPr>
        <w:t xml:space="preserve"> </w:t>
      </w:r>
      <w:r>
        <w:rPr>
          <w:rFonts w:hint="default" w:ascii="Times New Roman" w:hAnsi="Times New Roman"/>
          <w:sz w:val="24"/>
          <w:szCs w:val="24"/>
        </w:rPr>
        <w:t>α</w:t>
      </w:r>
      <w:r>
        <w:rPr>
          <w:rFonts w:hint="default" w:ascii="Times New Roman" w:hAnsi="Times New Roman"/>
          <w:sz w:val="24"/>
          <w:szCs w:val="24"/>
          <w:vertAlign w:val="subscript"/>
        </w:rPr>
        <w:t>x</w:t>
      </w:r>
      <w:r>
        <w:rPr>
          <w:rFonts w:ascii="Times New Roman" w:hAnsi="Times New Roman"/>
          <w:sz w:val="24"/>
          <w:szCs w:val="24"/>
        </w:rPr>
        <w:t>——</w:t>
      </w:r>
      <w:r>
        <w:rPr>
          <w:sz w:val="24"/>
          <w:szCs w:val="24"/>
        </w:rPr>
        <w:t>对围护结构主体保温材料的导热系数修正后的修正系数值；</w:t>
      </w:r>
    </w:p>
    <w:p w14:paraId="7A4D4432">
      <w:pPr>
        <w:pStyle w:val="7"/>
        <w:widowControl/>
        <w:spacing w:line="312" w:lineRule="auto"/>
        <w:ind w:left="1419" w:leftChars="333" w:hanging="720" w:hangingChars="300"/>
        <w:rPr>
          <w:rFonts w:hint="default"/>
          <w:sz w:val="24"/>
          <w:szCs w:val="24"/>
        </w:rPr>
      </w:pPr>
      <w:r>
        <w:rPr>
          <w:rFonts w:hint="default" w:ascii="Times New Roman" w:hAnsi="Times New Roman"/>
          <w:sz w:val="24"/>
          <w:szCs w:val="24"/>
        </w:rPr>
        <w:t xml:space="preserve">α </w:t>
      </w:r>
      <w:r>
        <w:rPr>
          <w:rFonts w:ascii="Times New Roman" w:hAnsi="Times New Roman"/>
          <w:sz w:val="24"/>
          <w:szCs w:val="24"/>
        </w:rPr>
        <w:t>——</w:t>
      </w:r>
      <w:r>
        <w:rPr>
          <w:sz w:val="24"/>
          <w:szCs w:val="24"/>
        </w:rPr>
        <w:t>按照所执行的节能设计标准规定的围护结构主体保温材料的修正系数；</w:t>
      </w:r>
    </w:p>
    <w:p w14:paraId="013E2363">
      <w:pPr>
        <w:pStyle w:val="7"/>
        <w:widowControl/>
        <w:spacing w:line="312" w:lineRule="auto"/>
        <w:ind w:left="1419" w:hanging="720"/>
        <w:rPr>
          <w:rFonts w:hint="default"/>
          <w:sz w:val="24"/>
          <w:szCs w:val="24"/>
        </w:rPr>
      </w:pPr>
      <w:r>
        <w:rPr>
          <w:rFonts w:hint="default" w:ascii="Times New Roman" w:hAnsi="Times New Roman"/>
        </w:rPr>
        <w:t>∆α</w:t>
      </w:r>
      <w:r>
        <w:rPr>
          <w:sz w:val="24"/>
          <w:szCs w:val="24"/>
        </w:rPr>
        <w:t>——保温材料修正系数调整幅度，根据热桥面积占比情况，按表B.0.3规定取值。</w:t>
      </w:r>
    </w:p>
    <w:p w14:paraId="47E02BC3">
      <w:pPr>
        <w:pStyle w:val="7"/>
        <w:widowControl/>
        <w:spacing w:before="156" w:beforeLines="50" w:line="312" w:lineRule="auto"/>
        <w:jc w:val="center"/>
        <w:rPr>
          <w:rFonts w:hint="default"/>
          <w:b/>
          <w:bCs/>
          <w:sz w:val="24"/>
          <w:szCs w:val="24"/>
        </w:rPr>
      </w:pPr>
      <w:r>
        <w:rPr>
          <w:b/>
          <w:bCs/>
          <w:sz w:val="24"/>
          <w:szCs w:val="24"/>
        </w:rPr>
        <w:t>表B.0.3  保温材料修正系数调整幅度</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6"/>
        <w:gridCol w:w="3092"/>
      </w:tblGrid>
      <w:tr w14:paraId="5C013A3E">
        <w:tblPrEx>
          <w:tblCellMar>
            <w:top w:w="0" w:type="dxa"/>
            <w:left w:w="108" w:type="dxa"/>
            <w:bottom w:w="0" w:type="dxa"/>
            <w:right w:w="108" w:type="dxa"/>
          </w:tblCellMar>
        </w:tblPrEx>
        <w:trPr>
          <w:jc w:val="center"/>
        </w:trPr>
        <w:tc>
          <w:tcPr>
            <w:tcW w:w="2516" w:type="dxa"/>
            <w:tcBorders>
              <w:top w:val="single" w:color="auto" w:sz="12" w:space="0"/>
              <w:left w:val="single" w:color="auto" w:sz="12" w:space="0"/>
              <w:bottom w:val="single" w:color="auto" w:sz="4" w:space="0"/>
              <w:right w:val="single" w:color="auto" w:sz="4" w:space="0"/>
            </w:tcBorders>
            <w:shd w:val="clear" w:color="auto" w:fill="auto"/>
          </w:tcPr>
          <w:p w14:paraId="7DFBA46A">
            <w:pPr>
              <w:pStyle w:val="27"/>
              <w:widowControl/>
              <w:spacing w:line="26" w:lineRule="atLeast"/>
              <w:jc w:val="center"/>
              <w:rPr>
                <w:rFonts w:hint="default" w:ascii="Times New Roman" w:hAnsi="Times New Roman"/>
                <w:sz w:val="21"/>
                <w:szCs w:val="21"/>
              </w:rPr>
            </w:pPr>
            <w:r>
              <w:rPr>
                <w:rFonts w:ascii="Times New Roman" w:hAnsi="Times New Roman"/>
                <w:sz w:val="21"/>
                <w:szCs w:val="21"/>
              </w:rPr>
              <w:t>热桥面积占比</w:t>
            </w:r>
          </w:p>
          <w:p w14:paraId="39DF743D">
            <w:pPr>
              <w:pStyle w:val="27"/>
              <w:widowControl/>
              <w:spacing w:line="26" w:lineRule="atLeast"/>
              <w:jc w:val="center"/>
              <w:rPr>
                <w:rFonts w:hint="default" w:ascii="Times New Roman" w:hAnsi="Times New Roman"/>
                <w:sz w:val="21"/>
                <w:szCs w:val="21"/>
              </w:rPr>
            </w:pPr>
            <w:r>
              <w:rPr>
                <w:rFonts w:hint="default" w:ascii="Times New Roman" w:hAnsi="Times New Roman"/>
                <w:sz w:val="21"/>
                <w:szCs w:val="21"/>
              </w:rPr>
              <w:t>r</w:t>
            </w:r>
          </w:p>
        </w:tc>
        <w:tc>
          <w:tcPr>
            <w:tcW w:w="3092" w:type="dxa"/>
            <w:tcBorders>
              <w:top w:val="single" w:color="auto" w:sz="12" w:space="0"/>
              <w:left w:val="single" w:color="auto" w:sz="4" w:space="0"/>
              <w:bottom w:val="single" w:color="auto" w:sz="4" w:space="0"/>
              <w:right w:val="single" w:color="auto" w:sz="12" w:space="0"/>
            </w:tcBorders>
            <w:shd w:val="clear" w:color="auto" w:fill="auto"/>
          </w:tcPr>
          <w:p w14:paraId="4C7B1A35">
            <w:pPr>
              <w:pStyle w:val="27"/>
              <w:widowControl/>
              <w:spacing w:line="26" w:lineRule="atLeast"/>
              <w:jc w:val="center"/>
              <w:rPr>
                <w:rFonts w:hint="default" w:ascii="Times New Roman" w:hAnsi="Times New Roman"/>
                <w:sz w:val="21"/>
                <w:szCs w:val="21"/>
              </w:rPr>
            </w:pPr>
            <w:r>
              <w:rPr>
                <w:rFonts w:ascii="Times New Roman" w:hAnsi="Times New Roman"/>
                <w:sz w:val="21"/>
                <w:szCs w:val="21"/>
              </w:rPr>
              <w:t>修正系数增加幅度</w:t>
            </w:r>
          </w:p>
          <w:p w14:paraId="29A93920">
            <w:pPr>
              <w:pStyle w:val="7"/>
              <w:widowControl/>
              <w:adjustRightInd w:val="0"/>
              <w:snapToGrid w:val="0"/>
              <w:spacing w:line="26" w:lineRule="atLeast"/>
              <w:jc w:val="center"/>
              <w:rPr>
                <w:rFonts w:hint="default" w:ascii="Times New Roman" w:hAnsi="Times New Roman"/>
              </w:rPr>
            </w:pPr>
            <w:r>
              <w:rPr>
                <w:rFonts w:hint="default" w:ascii="Times New Roman" w:hAnsi="Times New Roman"/>
              </w:rPr>
              <w:t>∆α</w:t>
            </w:r>
          </w:p>
        </w:tc>
      </w:tr>
      <w:tr w14:paraId="4AC7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6" w:type="dxa"/>
            <w:tcBorders>
              <w:top w:val="single" w:color="auto" w:sz="4" w:space="0"/>
              <w:left w:val="single" w:color="auto" w:sz="12" w:space="0"/>
              <w:bottom w:val="single" w:color="auto" w:sz="4" w:space="0"/>
              <w:right w:val="single" w:color="auto" w:sz="4" w:space="0"/>
            </w:tcBorders>
            <w:shd w:val="clear" w:color="auto" w:fill="auto"/>
          </w:tcPr>
          <w:p w14:paraId="36245083">
            <w:pPr>
              <w:pStyle w:val="27"/>
              <w:widowControl/>
              <w:jc w:val="center"/>
              <w:rPr>
                <w:rFonts w:hint="default" w:ascii="Times New Roman" w:hAnsi="Times New Roman"/>
                <w:sz w:val="21"/>
                <w:szCs w:val="21"/>
              </w:rPr>
            </w:pPr>
            <w:r>
              <w:rPr>
                <w:rFonts w:hint="default" w:ascii="Times New Roman" w:hAnsi="Times New Roman"/>
                <w:sz w:val="21"/>
                <w:szCs w:val="21"/>
              </w:rPr>
              <w:t>r≤0.5%</w:t>
            </w:r>
          </w:p>
        </w:tc>
        <w:tc>
          <w:tcPr>
            <w:tcW w:w="3092" w:type="dxa"/>
            <w:tcBorders>
              <w:top w:val="single" w:color="auto" w:sz="4" w:space="0"/>
              <w:left w:val="single" w:color="auto" w:sz="4" w:space="0"/>
              <w:bottom w:val="single" w:color="auto" w:sz="4" w:space="0"/>
              <w:right w:val="single" w:color="auto" w:sz="12" w:space="0"/>
            </w:tcBorders>
            <w:shd w:val="clear" w:color="auto" w:fill="auto"/>
          </w:tcPr>
          <w:p w14:paraId="2A319253">
            <w:pPr>
              <w:pStyle w:val="27"/>
              <w:widowControl/>
              <w:jc w:val="center"/>
              <w:rPr>
                <w:rFonts w:hint="default" w:ascii="Times New Roman" w:hAnsi="Times New Roman"/>
                <w:sz w:val="21"/>
                <w:szCs w:val="21"/>
              </w:rPr>
            </w:pPr>
            <w:r>
              <w:rPr>
                <w:rFonts w:hint="default" w:ascii="Times New Roman" w:hAnsi="Times New Roman"/>
                <w:sz w:val="21"/>
                <w:szCs w:val="21"/>
              </w:rPr>
              <w:t>0</w:t>
            </w:r>
          </w:p>
        </w:tc>
      </w:tr>
      <w:tr w14:paraId="586D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6" w:type="dxa"/>
            <w:tcBorders>
              <w:top w:val="single" w:color="auto" w:sz="4" w:space="0"/>
              <w:left w:val="single" w:color="auto" w:sz="12" w:space="0"/>
              <w:bottom w:val="single" w:color="auto" w:sz="4" w:space="0"/>
              <w:right w:val="single" w:color="auto" w:sz="4" w:space="0"/>
            </w:tcBorders>
            <w:shd w:val="clear" w:color="auto" w:fill="auto"/>
          </w:tcPr>
          <w:p w14:paraId="590B4A2E">
            <w:pPr>
              <w:pStyle w:val="27"/>
              <w:widowControl/>
              <w:jc w:val="center"/>
              <w:rPr>
                <w:rFonts w:hint="default" w:ascii="Times New Roman" w:hAnsi="Times New Roman"/>
                <w:sz w:val="21"/>
                <w:szCs w:val="21"/>
              </w:rPr>
            </w:pPr>
            <w:r>
              <w:rPr>
                <w:rFonts w:hint="default" w:ascii="Times New Roman" w:hAnsi="Times New Roman"/>
                <w:sz w:val="21"/>
                <w:szCs w:val="21"/>
              </w:rPr>
              <w:t>0.5%</w:t>
            </w:r>
            <w:r>
              <w:rPr>
                <w:rFonts w:ascii="Times New Roman" w:hAnsi="Times New Roman"/>
                <w:sz w:val="21"/>
                <w:szCs w:val="21"/>
              </w:rPr>
              <w:t>＜</w:t>
            </w:r>
            <w:r>
              <w:rPr>
                <w:rFonts w:hint="default" w:ascii="Times New Roman" w:hAnsi="Times New Roman"/>
                <w:sz w:val="21"/>
                <w:szCs w:val="21"/>
              </w:rPr>
              <w:t>r≤1%</w:t>
            </w:r>
          </w:p>
        </w:tc>
        <w:tc>
          <w:tcPr>
            <w:tcW w:w="3092" w:type="dxa"/>
            <w:tcBorders>
              <w:top w:val="single" w:color="auto" w:sz="4" w:space="0"/>
              <w:left w:val="single" w:color="auto" w:sz="4" w:space="0"/>
              <w:bottom w:val="single" w:color="auto" w:sz="4" w:space="0"/>
              <w:right w:val="single" w:color="auto" w:sz="12" w:space="0"/>
            </w:tcBorders>
            <w:shd w:val="clear" w:color="auto" w:fill="auto"/>
          </w:tcPr>
          <w:p w14:paraId="2129B768">
            <w:pPr>
              <w:pStyle w:val="27"/>
              <w:widowControl/>
              <w:jc w:val="center"/>
              <w:rPr>
                <w:rFonts w:hint="default" w:ascii="Times New Roman" w:hAnsi="Times New Roman"/>
                <w:sz w:val="21"/>
                <w:szCs w:val="21"/>
              </w:rPr>
            </w:pPr>
            <w:r>
              <w:rPr>
                <w:rFonts w:hint="default" w:ascii="Times New Roman" w:hAnsi="Times New Roman"/>
                <w:sz w:val="21"/>
                <w:szCs w:val="21"/>
              </w:rPr>
              <w:t>0.02</w:t>
            </w:r>
          </w:p>
        </w:tc>
      </w:tr>
      <w:tr w14:paraId="68A9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6" w:type="dxa"/>
            <w:tcBorders>
              <w:top w:val="single" w:color="auto" w:sz="4" w:space="0"/>
              <w:left w:val="single" w:color="auto" w:sz="12" w:space="0"/>
              <w:bottom w:val="single" w:color="auto" w:sz="4" w:space="0"/>
              <w:right w:val="single" w:color="auto" w:sz="4" w:space="0"/>
            </w:tcBorders>
            <w:shd w:val="clear" w:color="auto" w:fill="auto"/>
          </w:tcPr>
          <w:p w14:paraId="0722DD3D">
            <w:pPr>
              <w:pStyle w:val="27"/>
              <w:widowControl/>
              <w:jc w:val="center"/>
              <w:rPr>
                <w:rFonts w:hint="default" w:ascii="Times New Roman" w:hAnsi="Times New Roman"/>
                <w:sz w:val="21"/>
                <w:szCs w:val="21"/>
              </w:rPr>
            </w:pPr>
            <w:r>
              <w:rPr>
                <w:rFonts w:hint="default" w:ascii="Times New Roman" w:hAnsi="Times New Roman"/>
                <w:sz w:val="21"/>
                <w:szCs w:val="21"/>
              </w:rPr>
              <w:t>1%</w:t>
            </w:r>
            <w:r>
              <w:rPr>
                <w:rFonts w:ascii="Times New Roman" w:hAnsi="Times New Roman"/>
                <w:sz w:val="21"/>
                <w:szCs w:val="21"/>
              </w:rPr>
              <w:t>＜</w:t>
            </w:r>
            <w:r>
              <w:rPr>
                <w:rFonts w:hint="default" w:ascii="Times New Roman" w:hAnsi="Times New Roman"/>
                <w:sz w:val="21"/>
                <w:szCs w:val="21"/>
              </w:rPr>
              <w:t>r≤2%</w:t>
            </w:r>
          </w:p>
        </w:tc>
        <w:tc>
          <w:tcPr>
            <w:tcW w:w="3092" w:type="dxa"/>
            <w:tcBorders>
              <w:top w:val="single" w:color="auto" w:sz="4" w:space="0"/>
              <w:left w:val="single" w:color="auto" w:sz="4" w:space="0"/>
              <w:bottom w:val="single" w:color="auto" w:sz="4" w:space="0"/>
              <w:right w:val="single" w:color="auto" w:sz="12" w:space="0"/>
            </w:tcBorders>
            <w:shd w:val="clear" w:color="auto" w:fill="auto"/>
          </w:tcPr>
          <w:p w14:paraId="5F8E1432">
            <w:pPr>
              <w:pStyle w:val="27"/>
              <w:widowControl/>
              <w:jc w:val="center"/>
              <w:rPr>
                <w:rFonts w:hint="default" w:ascii="Times New Roman" w:hAnsi="Times New Roman"/>
                <w:sz w:val="21"/>
                <w:szCs w:val="21"/>
              </w:rPr>
            </w:pPr>
            <w:r>
              <w:rPr>
                <w:rFonts w:hint="default" w:ascii="Times New Roman" w:hAnsi="Times New Roman"/>
                <w:sz w:val="21"/>
                <w:szCs w:val="21"/>
              </w:rPr>
              <w:t>0.04</w:t>
            </w:r>
          </w:p>
        </w:tc>
      </w:tr>
      <w:tr w14:paraId="3412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6" w:type="dxa"/>
            <w:tcBorders>
              <w:top w:val="single" w:color="auto" w:sz="4" w:space="0"/>
              <w:left w:val="single" w:color="auto" w:sz="12" w:space="0"/>
              <w:bottom w:val="single" w:color="auto" w:sz="4" w:space="0"/>
              <w:right w:val="single" w:color="auto" w:sz="4" w:space="0"/>
            </w:tcBorders>
            <w:shd w:val="clear" w:color="auto" w:fill="auto"/>
          </w:tcPr>
          <w:p w14:paraId="5178DA01">
            <w:pPr>
              <w:pStyle w:val="27"/>
              <w:widowControl/>
              <w:jc w:val="center"/>
              <w:rPr>
                <w:rFonts w:hint="default" w:ascii="Times New Roman" w:hAnsi="Times New Roman"/>
                <w:sz w:val="21"/>
                <w:szCs w:val="21"/>
              </w:rPr>
            </w:pPr>
            <w:r>
              <w:rPr>
                <w:rFonts w:hint="default" w:ascii="Times New Roman" w:hAnsi="Times New Roman"/>
                <w:sz w:val="21"/>
                <w:szCs w:val="21"/>
              </w:rPr>
              <w:t>2%</w:t>
            </w:r>
            <w:r>
              <w:rPr>
                <w:rFonts w:ascii="Times New Roman" w:hAnsi="Times New Roman"/>
                <w:sz w:val="21"/>
                <w:szCs w:val="21"/>
              </w:rPr>
              <w:t>＜</w:t>
            </w:r>
            <w:r>
              <w:rPr>
                <w:rFonts w:hint="default" w:ascii="Times New Roman" w:hAnsi="Times New Roman"/>
                <w:sz w:val="21"/>
                <w:szCs w:val="21"/>
              </w:rPr>
              <w:t>r≤3%</w:t>
            </w:r>
          </w:p>
        </w:tc>
        <w:tc>
          <w:tcPr>
            <w:tcW w:w="3092" w:type="dxa"/>
            <w:tcBorders>
              <w:top w:val="single" w:color="auto" w:sz="4" w:space="0"/>
              <w:left w:val="single" w:color="auto" w:sz="4" w:space="0"/>
              <w:bottom w:val="single" w:color="auto" w:sz="4" w:space="0"/>
              <w:right w:val="single" w:color="auto" w:sz="12" w:space="0"/>
            </w:tcBorders>
            <w:shd w:val="clear" w:color="auto" w:fill="auto"/>
          </w:tcPr>
          <w:p w14:paraId="24503520">
            <w:pPr>
              <w:pStyle w:val="27"/>
              <w:widowControl/>
              <w:jc w:val="center"/>
              <w:rPr>
                <w:rFonts w:hint="default" w:ascii="Times New Roman" w:hAnsi="Times New Roman"/>
                <w:sz w:val="21"/>
                <w:szCs w:val="21"/>
              </w:rPr>
            </w:pPr>
            <w:r>
              <w:rPr>
                <w:rFonts w:hint="default" w:ascii="Times New Roman" w:hAnsi="Times New Roman"/>
                <w:sz w:val="21"/>
                <w:szCs w:val="21"/>
              </w:rPr>
              <w:t>0.06</w:t>
            </w:r>
          </w:p>
        </w:tc>
      </w:tr>
      <w:tr w14:paraId="4D01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6" w:type="dxa"/>
            <w:tcBorders>
              <w:top w:val="single" w:color="auto" w:sz="4" w:space="0"/>
              <w:left w:val="single" w:color="auto" w:sz="12" w:space="0"/>
              <w:bottom w:val="single" w:color="auto" w:sz="4" w:space="0"/>
              <w:right w:val="single" w:color="auto" w:sz="4" w:space="0"/>
            </w:tcBorders>
            <w:shd w:val="clear" w:color="auto" w:fill="auto"/>
          </w:tcPr>
          <w:p w14:paraId="53627D70">
            <w:pPr>
              <w:pStyle w:val="27"/>
              <w:widowControl/>
              <w:jc w:val="center"/>
              <w:rPr>
                <w:rFonts w:hint="default" w:ascii="Times New Roman" w:hAnsi="Times New Roman"/>
                <w:sz w:val="21"/>
                <w:szCs w:val="21"/>
              </w:rPr>
            </w:pPr>
            <w:r>
              <w:rPr>
                <w:rFonts w:hint="default" w:ascii="Times New Roman" w:hAnsi="Times New Roman"/>
                <w:sz w:val="21"/>
                <w:szCs w:val="21"/>
              </w:rPr>
              <w:t>3%</w:t>
            </w:r>
            <w:r>
              <w:rPr>
                <w:rFonts w:ascii="Times New Roman" w:hAnsi="Times New Roman"/>
                <w:sz w:val="21"/>
                <w:szCs w:val="21"/>
              </w:rPr>
              <w:t>＜</w:t>
            </w:r>
            <w:r>
              <w:rPr>
                <w:rFonts w:hint="default" w:ascii="Times New Roman" w:hAnsi="Times New Roman"/>
                <w:sz w:val="21"/>
                <w:szCs w:val="21"/>
              </w:rPr>
              <w:t>r≤4%</w:t>
            </w:r>
          </w:p>
        </w:tc>
        <w:tc>
          <w:tcPr>
            <w:tcW w:w="3092" w:type="dxa"/>
            <w:tcBorders>
              <w:top w:val="single" w:color="auto" w:sz="4" w:space="0"/>
              <w:left w:val="single" w:color="auto" w:sz="4" w:space="0"/>
              <w:bottom w:val="single" w:color="auto" w:sz="4" w:space="0"/>
              <w:right w:val="single" w:color="auto" w:sz="12" w:space="0"/>
            </w:tcBorders>
            <w:shd w:val="clear" w:color="auto" w:fill="auto"/>
          </w:tcPr>
          <w:p w14:paraId="04730E87">
            <w:pPr>
              <w:pStyle w:val="27"/>
              <w:widowControl/>
              <w:jc w:val="center"/>
              <w:rPr>
                <w:rFonts w:hint="default" w:ascii="Times New Roman" w:hAnsi="Times New Roman"/>
                <w:sz w:val="21"/>
                <w:szCs w:val="21"/>
              </w:rPr>
            </w:pPr>
            <w:r>
              <w:rPr>
                <w:rFonts w:hint="default" w:ascii="Times New Roman" w:hAnsi="Times New Roman"/>
                <w:sz w:val="21"/>
                <w:szCs w:val="21"/>
              </w:rPr>
              <w:t>0.08</w:t>
            </w:r>
          </w:p>
        </w:tc>
      </w:tr>
      <w:tr w14:paraId="7165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6" w:type="dxa"/>
            <w:tcBorders>
              <w:top w:val="single" w:color="auto" w:sz="4" w:space="0"/>
              <w:left w:val="single" w:color="auto" w:sz="12" w:space="0"/>
              <w:bottom w:val="single" w:color="auto" w:sz="12" w:space="0"/>
              <w:right w:val="single" w:color="auto" w:sz="4" w:space="0"/>
            </w:tcBorders>
            <w:shd w:val="clear" w:color="auto" w:fill="auto"/>
          </w:tcPr>
          <w:p w14:paraId="3B64D07F">
            <w:pPr>
              <w:pStyle w:val="27"/>
              <w:widowControl/>
              <w:jc w:val="center"/>
              <w:rPr>
                <w:rFonts w:hint="default" w:ascii="Times New Roman" w:hAnsi="Times New Roman"/>
                <w:sz w:val="21"/>
                <w:szCs w:val="21"/>
              </w:rPr>
            </w:pPr>
            <w:r>
              <w:rPr>
                <w:rFonts w:hint="default" w:ascii="Times New Roman" w:hAnsi="Times New Roman"/>
                <w:sz w:val="21"/>
                <w:szCs w:val="21"/>
              </w:rPr>
              <w:t>4%</w:t>
            </w:r>
            <w:r>
              <w:rPr>
                <w:rFonts w:ascii="Times New Roman" w:hAnsi="Times New Roman"/>
                <w:sz w:val="21"/>
                <w:szCs w:val="21"/>
              </w:rPr>
              <w:t>＜</w:t>
            </w:r>
            <w:r>
              <w:rPr>
                <w:rFonts w:hint="default" w:ascii="Times New Roman" w:hAnsi="Times New Roman"/>
                <w:sz w:val="21"/>
                <w:szCs w:val="21"/>
              </w:rPr>
              <w:t>r≤5%</w:t>
            </w:r>
          </w:p>
        </w:tc>
        <w:tc>
          <w:tcPr>
            <w:tcW w:w="3092" w:type="dxa"/>
            <w:tcBorders>
              <w:top w:val="single" w:color="auto" w:sz="4" w:space="0"/>
              <w:left w:val="single" w:color="auto" w:sz="4" w:space="0"/>
              <w:bottom w:val="single" w:color="auto" w:sz="12" w:space="0"/>
              <w:right w:val="single" w:color="auto" w:sz="12" w:space="0"/>
            </w:tcBorders>
            <w:shd w:val="clear" w:color="auto" w:fill="auto"/>
          </w:tcPr>
          <w:p w14:paraId="259F7559">
            <w:pPr>
              <w:pStyle w:val="27"/>
              <w:widowControl/>
              <w:jc w:val="center"/>
              <w:rPr>
                <w:rFonts w:hint="default" w:ascii="Times New Roman" w:hAnsi="Times New Roman"/>
                <w:sz w:val="21"/>
                <w:szCs w:val="21"/>
              </w:rPr>
            </w:pPr>
            <w:r>
              <w:rPr>
                <w:rFonts w:hint="default" w:ascii="Times New Roman" w:hAnsi="Times New Roman"/>
                <w:sz w:val="21"/>
                <w:szCs w:val="21"/>
              </w:rPr>
              <w:t>0.10</w:t>
            </w:r>
          </w:p>
        </w:tc>
      </w:tr>
    </w:tbl>
    <w:p w14:paraId="6511393E">
      <w:pPr>
        <w:pStyle w:val="27"/>
        <w:widowControl/>
        <w:spacing w:before="156" w:beforeLines="50"/>
        <w:ind w:left="911" w:leftChars="200" w:right="1039" w:rightChars="495" w:hanging="491" w:hangingChars="273"/>
        <w:rPr>
          <w:rFonts w:hint="default" w:ascii="Times New Roman" w:hAnsi="Times New Roman"/>
          <w:sz w:val="18"/>
          <w:szCs w:val="18"/>
        </w:rPr>
      </w:pPr>
      <w:r>
        <w:rPr>
          <w:rFonts w:ascii="Times New Roman" w:hAnsi="Times New Roman"/>
          <w:sz w:val="18"/>
          <w:szCs w:val="18"/>
        </w:rPr>
        <w:t>注：</w:t>
      </w:r>
      <w:r>
        <w:rPr>
          <w:rFonts w:hint="default" w:ascii="Times New Roman" w:hAnsi="Times New Roman"/>
          <w:b/>
          <w:bCs/>
          <w:sz w:val="18"/>
          <w:szCs w:val="18"/>
        </w:rPr>
        <w:t>1</w:t>
      </w:r>
      <w:r>
        <w:rPr>
          <w:rFonts w:hint="default" w:ascii="Times New Roman" w:hAnsi="Times New Roman"/>
          <w:sz w:val="18"/>
          <w:szCs w:val="18"/>
        </w:rPr>
        <w:t xml:space="preserve"> </w:t>
      </w:r>
      <w:r>
        <w:rPr>
          <w:rFonts w:ascii="Times New Roman" w:hAnsi="Times New Roman"/>
          <w:sz w:val="18"/>
          <w:szCs w:val="18"/>
        </w:rPr>
        <w:t>本表中的热桥面积占比指单幢建筑外围护结构热桥总面积占参与体型系数计算的围护结构主体外表面保温面积的比例。热桥面积包括但不限于：幕墙龙骨与主墙面预埋件连接段、挑梁或挑板与围护结构主墙面交接面积、用较低性能保温材料同厚度替代主要墙面保温材料部位、保温屋面上的设备底座面积、保温外墙上的管线穿孔面积等。上述示例仅为说明，实际热桥面积还包括其他未列举但符合定义的保温性能较低部位。</w:t>
      </w:r>
    </w:p>
    <w:p w14:paraId="60CDDEC1">
      <w:pPr>
        <w:pStyle w:val="27"/>
        <w:widowControl/>
        <w:ind w:left="912" w:leftChars="348" w:right="1039" w:rightChars="495" w:hanging="181" w:hangingChars="100"/>
        <w:rPr>
          <w:rFonts w:hint="default" w:ascii="Times New Roman" w:hAnsi="Times New Roman"/>
          <w:sz w:val="18"/>
          <w:szCs w:val="18"/>
        </w:rPr>
      </w:pPr>
      <w:r>
        <w:rPr>
          <w:rFonts w:hint="default" w:ascii="Times New Roman" w:hAnsi="Times New Roman"/>
          <w:b/>
          <w:bCs/>
          <w:sz w:val="18"/>
          <w:szCs w:val="18"/>
        </w:rPr>
        <w:t>2</w:t>
      </w:r>
      <w:r>
        <w:rPr>
          <w:rFonts w:hint="default" w:ascii="Times New Roman" w:hAnsi="Times New Roman"/>
          <w:sz w:val="18"/>
          <w:szCs w:val="18"/>
        </w:rPr>
        <w:t xml:space="preserve"> </w:t>
      </w:r>
      <w:r>
        <w:rPr>
          <w:rFonts w:ascii="Times New Roman" w:hAnsi="Times New Roman"/>
          <w:sz w:val="18"/>
          <w:szCs w:val="18"/>
        </w:rPr>
        <w:t>当保温系统内的连接件或锚栓因技术原因无法采取断热措施时，其无断热措施的连接件或锚栓的截面积应乘以</w:t>
      </w:r>
      <w:r>
        <w:rPr>
          <w:rFonts w:hint="default" w:ascii="Times New Roman" w:hAnsi="Times New Roman"/>
          <w:sz w:val="18"/>
          <w:szCs w:val="18"/>
        </w:rPr>
        <w:t>5</w:t>
      </w:r>
      <w:r>
        <w:rPr>
          <w:rFonts w:ascii="Times New Roman" w:hAnsi="Times New Roman"/>
          <w:sz w:val="18"/>
          <w:szCs w:val="18"/>
        </w:rPr>
        <w:t>倍后计入热桥面积。</w:t>
      </w:r>
    </w:p>
    <w:p w14:paraId="54E78D25">
      <w:pPr>
        <w:pStyle w:val="27"/>
        <w:widowControl/>
        <w:ind w:left="912" w:leftChars="348" w:right="1039" w:rightChars="495" w:hanging="181" w:hangingChars="100"/>
        <w:rPr>
          <w:rFonts w:hint="default" w:ascii="Times New Roman" w:hAnsi="Times New Roman"/>
          <w:sz w:val="18"/>
          <w:szCs w:val="18"/>
        </w:rPr>
      </w:pPr>
      <w:r>
        <w:rPr>
          <w:rFonts w:hint="default" w:ascii="Times New Roman" w:hAnsi="Times New Roman"/>
          <w:b/>
          <w:bCs/>
          <w:sz w:val="18"/>
          <w:szCs w:val="18"/>
        </w:rPr>
        <w:t>3</w:t>
      </w:r>
      <w:r>
        <w:rPr>
          <w:rFonts w:hint="default" w:ascii="Times New Roman" w:hAnsi="Times New Roman"/>
          <w:sz w:val="18"/>
          <w:szCs w:val="18"/>
        </w:rPr>
        <w:t xml:space="preserve"> </w:t>
      </w:r>
      <w:r>
        <w:rPr>
          <w:rFonts w:ascii="Times New Roman" w:hAnsi="Times New Roman"/>
          <w:sz w:val="18"/>
          <w:szCs w:val="18"/>
        </w:rPr>
        <w:t>若热桥构件被保温材料完全包覆，且包覆材料的保温性能不低于相应部位围护结构主体外表面保温材料的热工性能，可不视为热桥面积。</w:t>
      </w:r>
    </w:p>
    <w:p w14:paraId="521EA805">
      <w:pPr>
        <w:pStyle w:val="27"/>
        <w:widowControl/>
        <w:ind w:left="912" w:leftChars="348" w:right="1039" w:rightChars="495" w:hanging="181" w:hangingChars="100"/>
        <w:rPr>
          <w:rFonts w:hint="default"/>
          <w:sz w:val="18"/>
          <w:szCs w:val="18"/>
        </w:rPr>
      </w:pPr>
      <w:r>
        <w:rPr>
          <w:rFonts w:hint="default" w:ascii="Times New Roman" w:hAnsi="Times New Roman"/>
          <w:b/>
          <w:bCs/>
          <w:sz w:val="18"/>
          <w:szCs w:val="18"/>
        </w:rPr>
        <w:t>4</w:t>
      </w:r>
      <w:r>
        <w:rPr>
          <w:rFonts w:hint="default" w:ascii="Times New Roman" w:hAnsi="Times New Roman"/>
          <w:sz w:val="18"/>
          <w:szCs w:val="18"/>
        </w:rPr>
        <w:t xml:space="preserve"> </w:t>
      </w:r>
      <w:r>
        <w:rPr>
          <w:rFonts w:ascii="Times New Roman" w:hAnsi="Times New Roman"/>
          <w:sz w:val="18"/>
          <w:szCs w:val="18"/>
        </w:rPr>
        <w:t>若项目设计所执行的节能设计标准中已明确保温材料修正系数已包含对热桥的修正因素，本表中的修正系数增加幅度</w:t>
      </w:r>
      <w:r>
        <w:rPr>
          <w:rFonts w:hint="default" w:ascii="Times New Roman" w:hAnsi="Times New Roman"/>
          <w:sz w:val="18"/>
          <w:szCs w:val="18"/>
        </w:rPr>
        <w:t>∆α</w:t>
      </w:r>
      <w:r>
        <w:rPr>
          <w:rFonts w:ascii="Times New Roman" w:hAnsi="Times New Roman"/>
          <w:sz w:val="18"/>
          <w:szCs w:val="18"/>
        </w:rPr>
        <w:t>无需再考虑。</w:t>
      </w:r>
    </w:p>
    <w:p w14:paraId="7D20B103">
      <w:pPr>
        <w:adjustRightInd w:val="0"/>
        <w:snapToGrid w:val="0"/>
        <w:spacing w:before="624" w:beforeLines="200" w:after="624" w:afterLines="200" w:line="360" w:lineRule="auto"/>
        <w:jc w:val="center"/>
      </w:pPr>
      <w:r>
        <w:rPr>
          <w:rFonts w:ascii="Calibri" w:hAnsi="Calibri" w:eastAsia="宋体" w:cs="Times New Roman"/>
          <w:lang w:bidi="ar"/>
        </w:rPr>
        <w:br w:type="page"/>
      </w:r>
      <w:r>
        <w:rPr>
          <w:rFonts w:hint="eastAsia" w:ascii="Calibri" w:hAnsi="Calibri" w:eastAsia="宋体" w:cs="宋体"/>
          <w:sz w:val="28"/>
          <w:szCs w:val="28"/>
          <w:lang w:bidi="ar"/>
        </w:rPr>
        <w:t>本标准的用词说明</w:t>
      </w:r>
    </w:p>
    <w:p w14:paraId="6A33C130">
      <w:pPr>
        <w:adjustRightInd w:val="0"/>
        <w:snapToGrid w:val="0"/>
        <w:spacing w:line="312" w:lineRule="auto"/>
        <w:ind w:firstLine="482" w:firstLineChars="200"/>
        <w:rPr>
          <w:rFonts w:ascii="Times New Roman" w:hAnsi="Times New Roman" w:cs="Times New Roman"/>
          <w:sz w:val="24"/>
        </w:rPr>
      </w:pPr>
      <w:r>
        <w:rPr>
          <w:rFonts w:ascii="Times New Roman" w:hAnsi="Times New Roman" w:eastAsia="宋体" w:cs="Times New Roman"/>
          <w:b/>
          <w:bCs/>
          <w:sz w:val="24"/>
          <w:lang w:bidi="ar"/>
        </w:rPr>
        <w:t>1</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为了在执行本标准条文时区别对待，对于要求严格程度不同的用词，说明如下：</w:t>
      </w:r>
    </w:p>
    <w:p w14:paraId="5E874D70">
      <w:pPr>
        <w:adjustRightInd w:val="0"/>
        <w:snapToGrid w:val="0"/>
        <w:spacing w:line="312" w:lineRule="auto"/>
        <w:ind w:firstLine="840" w:firstLineChars="350"/>
        <w:rPr>
          <w:rFonts w:ascii="Times New Roman" w:hAnsi="Times New Roman" w:cs="Times New Roman"/>
          <w:sz w:val="24"/>
        </w:rPr>
      </w:pPr>
      <w:r>
        <w:rPr>
          <w:rFonts w:ascii="Times New Roman" w:hAnsi="Times New Roman" w:eastAsia="宋体" w:cs="Times New Roman"/>
          <w:sz w:val="24"/>
          <w:lang w:bidi="ar"/>
        </w:rPr>
        <w:t>1</w:t>
      </w:r>
      <w:r>
        <w:rPr>
          <w:rFonts w:hint="eastAsia" w:ascii="Times New Roman" w:hAnsi="Times New Roman" w:eastAsia="宋体" w:cs="宋体"/>
          <w:sz w:val="24"/>
          <w:lang w:bidi="ar"/>
        </w:rPr>
        <w:t>）表示很严格，非这样做不可的用词：</w:t>
      </w:r>
    </w:p>
    <w:p w14:paraId="07B2BD53">
      <w:pPr>
        <w:adjustRightInd w:val="0"/>
        <w:snapToGrid w:val="0"/>
        <w:spacing w:line="312" w:lineRule="auto"/>
        <w:ind w:left="1195" w:leftChars="569"/>
        <w:rPr>
          <w:rFonts w:ascii="Times New Roman" w:hAnsi="Times New Roman" w:cs="Times New Roman"/>
          <w:sz w:val="24"/>
        </w:rPr>
      </w:pPr>
      <w:r>
        <w:rPr>
          <w:rFonts w:hint="eastAsia" w:ascii="Times New Roman" w:hAnsi="Times New Roman" w:eastAsia="宋体" w:cs="宋体"/>
          <w:sz w:val="24"/>
          <w:lang w:bidi="ar"/>
        </w:rPr>
        <w:t>正面词采用</w:t>
      </w:r>
      <w:r>
        <w:rPr>
          <w:rFonts w:ascii="Times New Roman" w:hAnsi="Times New Roman" w:eastAsia="宋体" w:cs="Times New Roman"/>
          <w:sz w:val="24"/>
          <w:lang w:bidi="ar"/>
        </w:rPr>
        <w:t>“</w:t>
      </w:r>
      <w:r>
        <w:rPr>
          <w:rFonts w:hint="eastAsia" w:ascii="Times New Roman" w:hAnsi="Times New Roman" w:eastAsia="宋体" w:cs="宋体"/>
          <w:sz w:val="24"/>
          <w:lang w:bidi="ar"/>
        </w:rPr>
        <w:t>必须</w:t>
      </w:r>
      <w:r>
        <w:rPr>
          <w:rFonts w:ascii="Times New Roman" w:hAnsi="Times New Roman" w:eastAsia="宋体" w:cs="Times New Roman"/>
          <w:sz w:val="24"/>
          <w:lang w:bidi="ar"/>
        </w:rPr>
        <w:t>”</w:t>
      </w:r>
      <w:r>
        <w:rPr>
          <w:rFonts w:hint="eastAsia" w:ascii="Times New Roman" w:hAnsi="Times New Roman" w:eastAsia="宋体" w:cs="宋体"/>
          <w:sz w:val="24"/>
          <w:lang w:bidi="ar"/>
        </w:rPr>
        <w:t>，反面此采用</w:t>
      </w:r>
      <w:r>
        <w:rPr>
          <w:rFonts w:ascii="Times New Roman" w:hAnsi="Times New Roman" w:eastAsia="宋体" w:cs="Times New Roman"/>
          <w:sz w:val="24"/>
          <w:lang w:bidi="ar"/>
        </w:rPr>
        <w:t>“</w:t>
      </w:r>
      <w:r>
        <w:rPr>
          <w:rFonts w:hint="eastAsia" w:ascii="Times New Roman" w:hAnsi="Times New Roman" w:eastAsia="宋体" w:cs="宋体"/>
          <w:sz w:val="24"/>
          <w:lang w:bidi="ar"/>
        </w:rPr>
        <w:t>严禁</w:t>
      </w:r>
      <w:r>
        <w:rPr>
          <w:rFonts w:ascii="Times New Roman" w:hAnsi="Times New Roman" w:eastAsia="宋体" w:cs="Times New Roman"/>
          <w:sz w:val="24"/>
          <w:lang w:bidi="ar"/>
        </w:rPr>
        <w:t>”</w:t>
      </w:r>
      <w:r>
        <w:rPr>
          <w:rFonts w:hint="eastAsia" w:ascii="Times New Roman" w:hAnsi="Times New Roman" w:eastAsia="宋体" w:cs="宋体"/>
          <w:sz w:val="24"/>
          <w:lang w:bidi="ar"/>
        </w:rPr>
        <w:t>；</w:t>
      </w:r>
    </w:p>
    <w:p w14:paraId="6F15C163">
      <w:pPr>
        <w:adjustRightInd w:val="0"/>
        <w:snapToGrid w:val="0"/>
        <w:spacing w:line="312" w:lineRule="auto"/>
        <w:ind w:firstLine="840" w:firstLineChars="350"/>
        <w:rPr>
          <w:rFonts w:ascii="Times New Roman" w:hAnsi="Times New Roman" w:cs="Times New Roman"/>
          <w:sz w:val="24"/>
        </w:rPr>
      </w:pPr>
      <w:r>
        <w:rPr>
          <w:rFonts w:ascii="Times New Roman" w:hAnsi="Times New Roman" w:eastAsia="宋体" w:cs="Times New Roman"/>
          <w:sz w:val="24"/>
          <w:lang w:bidi="ar"/>
        </w:rPr>
        <w:t>2</w:t>
      </w:r>
      <w:r>
        <w:rPr>
          <w:rFonts w:hint="eastAsia" w:ascii="Times New Roman" w:hAnsi="Times New Roman" w:eastAsia="宋体" w:cs="宋体"/>
          <w:sz w:val="24"/>
          <w:lang w:bidi="ar"/>
        </w:rPr>
        <w:t>）表示严格，在正常情况下均应这样做的用词：</w:t>
      </w:r>
    </w:p>
    <w:p w14:paraId="30A8E18F">
      <w:pPr>
        <w:adjustRightInd w:val="0"/>
        <w:snapToGrid w:val="0"/>
        <w:spacing w:line="312" w:lineRule="auto"/>
        <w:ind w:left="1195" w:leftChars="569"/>
        <w:rPr>
          <w:rFonts w:ascii="Times New Roman" w:hAnsi="Times New Roman" w:cs="Times New Roman"/>
          <w:sz w:val="24"/>
        </w:rPr>
      </w:pPr>
      <w:r>
        <w:rPr>
          <w:rFonts w:hint="eastAsia" w:ascii="Times New Roman" w:hAnsi="Times New Roman" w:eastAsia="宋体" w:cs="宋体"/>
          <w:sz w:val="24"/>
          <w:lang w:bidi="ar"/>
        </w:rPr>
        <w:t>正面词采用</w:t>
      </w:r>
      <w:r>
        <w:rPr>
          <w:rFonts w:ascii="Times New Roman" w:hAnsi="Times New Roman" w:eastAsia="宋体" w:cs="Times New Roman"/>
          <w:sz w:val="24"/>
          <w:lang w:bidi="ar"/>
        </w:rPr>
        <w:t>“</w:t>
      </w:r>
      <w:r>
        <w:rPr>
          <w:rFonts w:hint="eastAsia" w:ascii="Times New Roman" w:hAnsi="Times New Roman" w:eastAsia="宋体" w:cs="宋体"/>
          <w:sz w:val="24"/>
          <w:lang w:bidi="ar"/>
        </w:rPr>
        <w:t>应</w:t>
      </w:r>
      <w:r>
        <w:rPr>
          <w:rFonts w:ascii="Times New Roman" w:hAnsi="Times New Roman" w:eastAsia="宋体" w:cs="Times New Roman"/>
          <w:sz w:val="24"/>
          <w:lang w:bidi="ar"/>
        </w:rPr>
        <w:t>”</w:t>
      </w:r>
      <w:r>
        <w:rPr>
          <w:rFonts w:hint="eastAsia" w:ascii="Times New Roman" w:hAnsi="Times New Roman" w:eastAsia="宋体" w:cs="宋体"/>
          <w:sz w:val="24"/>
          <w:lang w:bidi="ar"/>
        </w:rPr>
        <w:t>，反面此采用</w:t>
      </w:r>
      <w:r>
        <w:rPr>
          <w:rFonts w:ascii="Times New Roman" w:hAnsi="Times New Roman" w:eastAsia="宋体" w:cs="Times New Roman"/>
          <w:sz w:val="24"/>
          <w:lang w:bidi="ar"/>
        </w:rPr>
        <w:t>“</w:t>
      </w:r>
      <w:r>
        <w:rPr>
          <w:rFonts w:hint="eastAsia" w:ascii="Times New Roman" w:hAnsi="Times New Roman" w:eastAsia="宋体" w:cs="宋体"/>
          <w:sz w:val="24"/>
          <w:lang w:bidi="ar"/>
        </w:rPr>
        <w:t>不应</w:t>
      </w:r>
      <w:r>
        <w:rPr>
          <w:rFonts w:ascii="Times New Roman" w:hAnsi="Times New Roman" w:eastAsia="宋体" w:cs="Times New Roman"/>
          <w:sz w:val="24"/>
          <w:lang w:bidi="ar"/>
        </w:rPr>
        <w:t>”</w:t>
      </w:r>
      <w:r>
        <w:rPr>
          <w:rFonts w:hint="eastAsia" w:ascii="Times New Roman" w:hAnsi="Times New Roman" w:eastAsia="宋体" w:cs="宋体"/>
          <w:sz w:val="24"/>
          <w:lang w:bidi="ar"/>
        </w:rPr>
        <w:t>或</w:t>
      </w:r>
      <w:r>
        <w:rPr>
          <w:rFonts w:ascii="Times New Roman" w:hAnsi="Times New Roman" w:eastAsia="宋体" w:cs="Times New Roman"/>
          <w:sz w:val="24"/>
          <w:lang w:bidi="ar"/>
        </w:rPr>
        <w:t>“</w:t>
      </w:r>
      <w:r>
        <w:rPr>
          <w:rFonts w:hint="eastAsia" w:ascii="Times New Roman" w:hAnsi="Times New Roman" w:eastAsia="宋体" w:cs="宋体"/>
          <w:sz w:val="24"/>
          <w:lang w:bidi="ar"/>
        </w:rPr>
        <w:t>不得</w:t>
      </w:r>
      <w:r>
        <w:rPr>
          <w:rFonts w:ascii="Times New Roman" w:hAnsi="Times New Roman" w:eastAsia="宋体" w:cs="Times New Roman"/>
          <w:sz w:val="24"/>
          <w:lang w:bidi="ar"/>
        </w:rPr>
        <w:t>”</w:t>
      </w:r>
      <w:r>
        <w:rPr>
          <w:rFonts w:hint="eastAsia" w:ascii="Times New Roman" w:hAnsi="Times New Roman" w:eastAsia="宋体" w:cs="宋体"/>
          <w:sz w:val="24"/>
          <w:lang w:bidi="ar"/>
        </w:rPr>
        <w:t>；</w:t>
      </w:r>
    </w:p>
    <w:p w14:paraId="59E208AF">
      <w:pPr>
        <w:adjustRightInd w:val="0"/>
        <w:snapToGrid w:val="0"/>
        <w:spacing w:line="312" w:lineRule="auto"/>
        <w:ind w:firstLine="840" w:firstLineChars="350"/>
        <w:rPr>
          <w:rFonts w:ascii="Times New Roman" w:hAnsi="Times New Roman" w:cs="Times New Roman"/>
          <w:sz w:val="24"/>
        </w:rPr>
      </w:pPr>
      <w:r>
        <w:rPr>
          <w:rFonts w:ascii="Times New Roman" w:hAnsi="Times New Roman" w:eastAsia="宋体" w:cs="Times New Roman"/>
          <w:sz w:val="24"/>
          <w:lang w:bidi="ar"/>
        </w:rPr>
        <w:t>3</w:t>
      </w:r>
      <w:r>
        <w:rPr>
          <w:rFonts w:hint="eastAsia" w:ascii="Times New Roman" w:hAnsi="Times New Roman" w:eastAsia="宋体" w:cs="宋体"/>
          <w:sz w:val="24"/>
          <w:lang w:bidi="ar"/>
        </w:rPr>
        <w:t>）表示稍有选择，在条件许可时首先应这样做的用词：</w:t>
      </w:r>
    </w:p>
    <w:p w14:paraId="4F740454">
      <w:pPr>
        <w:adjustRightInd w:val="0"/>
        <w:snapToGrid w:val="0"/>
        <w:spacing w:line="312" w:lineRule="auto"/>
        <w:ind w:left="1195" w:leftChars="569"/>
        <w:rPr>
          <w:rFonts w:ascii="Times New Roman" w:hAnsi="Times New Roman" w:cs="Times New Roman"/>
          <w:sz w:val="24"/>
        </w:rPr>
      </w:pPr>
      <w:r>
        <w:rPr>
          <w:rFonts w:hint="eastAsia" w:ascii="Times New Roman" w:hAnsi="Times New Roman" w:eastAsia="宋体" w:cs="宋体"/>
          <w:sz w:val="24"/>
          <w:lang w:bidi="ar"/>
        </w:rPr>
        <w:t>正面词采用</w:t>
      </w:r>
      <w:r>
        <w:rPr>
          <w:rFonts w:ascii="Times New Roman" w:hAnsi="Times New Roman" w:eastAsia="宋体" w:cs="Times New Roman"/>
          <w:sz w:val="24"/>
          <w:lang w:bidi="ar"/>
        </w:rPr>
        <w:t>“</w:t>
      </w:r>
      <w:r>
        <w:rPr>
          <w:rFonts w:hint="eastAsia" w:ascii="Times New Roman" w:hAnsi="Times New Roman" w:eastAsia="宋体" w:cs="宋体"/>
          <w:sz w:val="24"/>
          <w:lang w:bidi="ar"/>
        </w:rPr>
        <w:t>宜</w:t>
      </w:r>
      <w:r>
        <w:rPr>
          <w:rFonts w:ascii="Times New Roman" w:hAnsi="Times New Roman" w:eastAsia="宋体" w:cs="Times New Roman"/>
          <w:sz w:val="24"/>
          <w:lang w:bidi="ar"/>
        </w:rPr>
        <w:t>”</w:t>
      </w:r>
      <w:r>
        <w:rPr>
          <w:rFonts w:hint="eastAsia" w:ascii="Times New Roman" w:hAnsi="Times New Roman" w:eastAsia="宋体" w:cs="宋体"/>
          <w:sz w:val="24"/>
          <w:lang w:bidi="ar"/>
        </w:rPr>
        <w:t>，反面此采用</w:t>
      </w:r>
      <w:r>
        <w:rPr>
          <w:rFonts w:ascii="Times New Roman" w:hAnsi="Times New Roman" w:eastAsia="宋体" w:cs="Times New Roman"/>
          <w:sz w:val="24"/>
          <w:lang w:bidi="ar"/>
        </w:rPr>
        <w:t>“</w:t>
      </w:r>
      <w:r>
        <w:rPr>
          <w:rFonts w:hint="eastAsia" w:ascii="Times New Roman" w:hAnsi="Times New Roman" w:eastAsia="宋体" w:cs="宋体"/>
          <w:sz w:val="24"/>
          <w:lang w:bidi="ar"/>
        </w:rPr>
        <w:t>不宜</w:t>
      </w:r>
      <w:r>
        <w:rPr>
          <w:rFonts w:ascii="Times New Roman" w:hAnsi="Times New Roman" w:eastAsia="宋体" w:cs="Times New Roman"/>
          <w:sz w:val="24"/>
          <w:lang w:bidi="ar"/>
        </w:rPr>
        <w:t>”</w:t>
      </w:r>
      <w:r>
        <w:rPr>
          <w:rFonts w:hint="eastAsia" w:ascii="Times New Roman" w:hAnsi="Times New Roman" w:eastAsia="宋体" w:cs="宋体"/>
          <w:sz w:val="24"/>
          <w:lang w:bidi="ar"/>
        </w:rPr>
        <w:t>；</w:t>
      </w:r>
    </w:p>
    <w:p w14:paraId="30D6F3CB">
      <w:pPr>
        <w:adjustRightInd w:val="0"/>
        <w:snapToGrid w:val="0"/>
        <w:spacing w:line="312" w:lineRule="auto"/>
        <w:ind w:firstLine="840" w:firstLineChars="350"/>
        <w:rPr>
          <w:rFonts w:ascii="Times New Roman" w:hAnsi="Times New Roman" w:cs="Times New Roman"/>
          <w:sz w:val="24"/>
        </w:rPr>
      </w:pPr>
      <w:r>
        <w:rPr>
          <w:rFonts w:ascii="Times New Roman" w:hAnsi="Times New Roman" w:eastAsia="宋体" w:cs="Times New Roman"/>
          <w:sz w:val="24"/>
          <w:lang w:bidi="ar"/>
        </w:rPr>
        <w:t>4</w:t>
      </w:r>
      <w:r>
        <w:rPr>
          <w:rFonts w:hint="eastAsia" w:ascii="Times New Roman" w:hAnsi="Times New Roman" w:eastAsia="宋体" w:cs="宋体"/>
          <w:sz w:val="24"/>
          <w:lang w:bidi="ar"/>
        </w:rPr>
        <w:t>）表示有选择，在一定条件下可以这样做的用词，采用</w:t>
      </w:r>
      <w:r>
        <w:rPr>
          <w:rFonts w:ascii="Times New Roman" w:hAnsi="Times New Roman" w:eastAsia="宋体" w:cs="Times New Roman"/>
          <w:sz w:val="24"/>
          <w:lang w:bidi="ar"/>
        </w:rPr>
        <w:t>“</w:t>
      </w:r>
      <w:r>
        <w:rPr>
          <w:rFonts w:hint="eastAsia" w:ascii="Times New Roman" w:hAnsi="Times New Roman" w:eastAsia="宋体" w:cs="宋体"/>
          <w:sz w:val="24"/>
          <w:lang w:bidi="ar"/>
        </w:rPr>
        <w:t>可</w:t>
      </w:r>
      <w:r>
        <w:rPr>
          <w:rFonts w:ascii="Times New Roman" w:hAnsi="Times New Roman" w:eastAsia="宋体" w:cs="Times New Roman"/>
          <w:sz w:val="24"/>
          <w:lang w:bidi="ar"/>
        </w:rPr>
        <w:t>”</w:t>
      </w:r>
      <w:r>
        <w:rPr>
          <w:rFonts w:hint="eastAsia" w:ascii="Times New Roman" w:hAnsi="Times New Roman" w:eastAsia="宋体" w:cs="宋体"/>
          <w:sz w:val="24"/>
          <w:lang w:bidi="ar"/>
        </w:rPr>
        <w:t>。</w:t>
      </w:r>
    </w:p>
    <w:p w14:paraId="41536E17">
      <w:pPr>
        <w:adjustRightInd w:val="0"/>
        <w:snapToGrid w:val="0"/>
        <w:spacing w:line="312" w:lineRule="auto"/>
        <w:ind w:firstLine="482" w:firstLineChars="200"/>
        <w:rPr>
          <w:rFonts w:ascii="Times New Roman" w:hAnsi="Times New Roman" w:cs="Times New Roman"/>
        </w:rPr>
      </w:pPr>
      <w:r>
        <w:rPr>
          <w:rFonts w:ascii="Times New Roman" w:hAnsi="Times New Roman" w:eastAsia="宋体" w:cs="Times New Roman"/>
          <w:b/>
          <w:bCs/>
          <w:sz w:val="24"/>
          <w:lang w:bidi="ar"/>
        </w:rPr>
        <w:t>2</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本标准中指明应该按其他有关标准执行的写法为：</w:t>
      </w:r>
      <w:r>
        <w:rPr>
          <w:rFonts w:ascii="Times New Roman" w:hAnsi="Times New Roman" w:eastAsia="宋体" w:cs="Times New Roman"/>
          <w:sz w:val="24"/>
          <w:lang w:bidi="ar"/>
        </w:rPr>
        <w:t>“</w:t>
      </w:r>
      <w:r>
        <w:rPr>
          <w:rFonts w:hint="eastAsia" w:ascii="Times New Roman" w:hAnsi="Times New Roman" w:eastAsia="宋体" w:cs="宋体"/>
          <w:sz w:val="24"/>
          <w:lang w:bidi="ar"/>
        </w:rPr>
        <w:t>应符合</w:t>
      </w:r>
      <w:r>
        <w:rPr>
          <w:rFonts w:ascii="Times New Roman" w:hAnsi="Times New Roman" w:eastAsia="宋体" w:cs="Times New Roman"/>
          <w:sz w:val="24"/>
          <w:lang w:bidi="ar"/>
        </w:rPr>
        <w:t>......</w:t>
      </w:r>
      <w:r>
        <w:rPr>
          <w:rFonts w:hint="eastAsia" w:ascii="Times New Roman" w:hAnsi="Times New Roman" w:eastAsia="宋体" w:cs="宋体"/>
          <w:sz w:val="24"/>
          <w:lang w:bidi="ar"/>
        </w:rPr>
        <w:t>的规定</w:t>
      </w:r>
      <w:r>
        <w:rPr>
          <w:rFonts w:ascii="Times New Roman" w:hAnsi="Times New Roman" w:eastAsia="宋体" w:cs="Times New Roman"/>
          <w:sz w:val="24"/>
          <w:lang w:bidi="ar"/>
        </w:rPr>
        <w:t>”</w:t>
      </w:r>
      <w:r>
        <w:rPr>
          <w:rFonts w:hint="eastAsia" w:ascii="Times New Roman" w:hAnsi="Times New Roman" w:eastAsia="宋体" w:cs="宋体"/>
          <w:sz w:val="24"/>
          <w:lang w:bidi="ar"/>
        </w:rPr>
        <w:t>或</w:t>
      </w:r>
      <w:r>
        <w:rPr>
          <w:rFonts w:ascii="Times New Roman" w:hAnsi="Times New Roman" w:eastAsia="宋体" w:cs="Times New Roman"/>
          <w:sz w:val="24"/>
          <w:lang w:bidi="ar"/>
        </w:rPr>
        <w:t>“</w:t>
      </w:r>
      <w:r>
        <w:rPr>
          <w:rFonts w:hint="eastAsia" w:ascii="Times New Roman" w:hAnsi="Times New Roman" w:eastAsia="宋体" w:cs="宋体"/>
          <w:sz w:val="24"/>
          <w:lang w:bidi="ar"/>
        </w:rPr>
        <w:t>应按</w:t>
      </w:r>
      <w:r>
        <w:rPr>
          <w:rFonts w:ascii="Times New Roman" w:hAnsi="Times New Roman" w:eastAsia="宋体" w:cs="Times New Roman"/>
          <w:sz w:val="24"/>
          <w:lang w:bidi="ar"/>
        </w:rPr>
        <w:t>......</w:t>
      </w:r>
      <w:r>
        <w:rPr>
          <w:rFonts w:hint="eastAsia" w:ascii="Times New Roman" w:hAnsi="Times New Roman" w:eastAsia="宋体" w:cs="宋体"/>
          <w:sz w:val="24"/>
          <w:lang w:bidi="ar"/>
        </w:rPr>
        <w:t>执行</w:t>
      </w:r>
      <w:r>
        <w:rPr>
          <w:rFonts w:ascii="Times New Roman" w:hAnsi="Times New Roman" w:eastAsia="宋体" w:cs="Times New Roman"/>
          <w:sz w:val="24"/>
          <w:lang w:bidi="ar"/>
        </w:rPr>
        <w:t>”</w:t>
      </w:r>
      <w:r>
        <w:rPr>
          <w:rFonts w:hint="eastAsia" w:ascii="Times New Roman" w:hAnsi="Times New Roman" w:eastAsia="宋体" w:cs="宋体"/>
          <w:lang w:bidi="ar"/>
        </w:rPr>
        <w:t>。</w:t>
      </w:r>
    </w:p>
    <w:p w14:paraId="38B33CCD">
      <w:pPr>
        <w:adjustRightInd w:val="0"/>
        <w:snapToGrid w:val="0"/>
        <w:spacing w:before="624" w:beforeLines="200" w:after="624" w:afterLines="200" w:line="360" w:lineRule="auto"/>
        <w:jc w:val="center"/>
      </w:pPr>
      <w:r>
        <w:rPr>
          <w:rFonts w:ascii="Calibri" w:hAnsi="Calibri" w:eastAsia="宋体" w:cs="Times New Roman"/>
          <w:lang w:bidi="ar"/>
        </w:rPr>
        <w:br w:type="page"/>
      </w:r>
      <w:r>
        <w:rPr>
          <w:rFonts w:hint="eastAsia" w:ascii="Calibri" w:hAnsi="Calibri" w:eastAsia="宋体" w:cs="宋体"/>
          <w:sz w:val="28"/>
          <w:szCs w:val="28"/>
          <w:lang w:bidi="ar"/>
        </w:rPr>
        <w:t>引用标准名录</w:t>
      </w:r>
    </w:p>
    <w:p w14:paraId="4F305326">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本标准引用下列标准：</w:t>
      </w:r>
    </w:p>
    <w:p w14:paraId="0BF2A802">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《建筑环境通用规范》</w:t>
      </w:r>
      <w:r>
        <w:rPr>
          <w:rFonts w:ascii="Times New Roman" w:hAnsi="Times New Roman" w:eastAsia="宋体" w:cs="Times New Roman"/>
          <w:sz w:val="24"/>
          <w:lang w:bidi="ar"/>
        </w:rPr>
        <w:t>GB 55016-2021</w:t>
      </w:r>
    </w:p>
    <w:p w14:paraId="772407F9">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《建筑与市政工程防水通用规范》</w:t>
      </w:r>
      <w:r>
        <w:rPr>
          <w:rFonts w:ascii="Times New Roman" w:hAnsi="Times New Roman" w:eastAsia="宋体" w:cs="Times New Roman"/>
          <w:sz w:val="24"/>
          <w:lang w:bidi="ar"/>
        </w:rPr>
        <w:t>GB 55030</w:t>
      </w:r>
    </w:p>
    <w:p w14:paraId="3C52E4F3">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《建筑节能与可再生能源利用通用规范》</w:t>
      </w:r>
      <w:r>
        <w:rPr>
          <w:rFonts w:ascii="Times New Roman" w:hAnsi="Times New Roman" w:eastAsia="宋体" w:cs="Times New Roman"/>
          <w:sz w:val="24"/>
          <w:lang w:bidi="ar"/>
        </w:rPr>
        <w:t>GB 55015</w:t>
      </w:r>
    </w:p>
    <w:p w14:paraId="5326241B">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《建筑采光设计标准》</w:t>
      </w:r>
      <w:r>
        <w:rPr>
          <w:rFonts w:ascii="Times New Roman" w:hAnsi="Times New Roman" w:eastAsia="宋体" w:cs="Times New Roman"/>
          <w:sz w:val="24"/>
          <w:lang w:bidi="ar"/>
        </w:rPr>
        <w:t>GB 50033</w:t>
      </w:r>
    </w:p>
    <w:p w14:paraId="7943F3E0">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《声环境质量标准》</w:t>
      </w:r>
      <w:r>
        <w:rPr>
          <w:rFonts w:ascii="Times New Roman" w:hAnsi="Times New Roman" w:eastAsia="宋体" w:cs="Times New Roman"/>
          <w:sz w:val="24"/>
          <w:lang w:bidi="ar"/>
        </w:rPr>
        <w:t>GB 3096</w:t>
      </w:r>
    </w:p>
    <w:p w14:paraId="3EEFD0EF">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《民用建筑节水设计标准》</w:t>
      </w:r>
      <w:r>
        <w:rPr>
          <w:rFonts w:ascii="Times New Roman" w:hAnsi="Times New Roman" w:eastAsia="宋体" w:cs="Times New Roman"/>
          <w:sz w:val="24"/>
          <w:lang w:bidi="ar"/>
        </w:rPr>
        <w:t>GB 50555</w:t>
      </w:r>
    </w:p>
    <w:p w14:paraId="112F44B5">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《建筑给水排水设计标准》</w:t>
      </w:r>
      <w:r>
        <w:rPr>
          <w:rFonts w:ascii="Times New Roman" w:hAnsi="Times New Roman" w:eastAsia="宋体" w:cs="Times New Roman"/>
          <w:sz w:val="24"/>
          <w:lang w:bidi="ar"/>
        </w:rPr>
        <w:t>GB 50015</w:t>
      </w:r>
    </w:p>
    <w:p w14:paraId="5D6B8C19">
      <w:pPr>
        <w:adjustRightInd w:val="0"/>
        <w:snapToGrid w:val="0"/>
        <w:spacing w:line="360" w:lineRule="auto"/>
        <w:ind w:firstLine="420" w:firstLineChars="175"/>
        <w:rPr>
          <w:rFonts w:ascii="Times New Roman" w:hAnsi="Times New Roman" w:cs="Times New Roman"/>
          <w:sz w:val="24"/>
        </w:rPr>
      </w:pPr>
      <w:r>
        <w:rPr>
          <w:rFonts w:hint="eastAsia" w:ascii="宋体" w:hAnsi="宋体" w:eastAsia="宋体" w:cs="宋体"/>
          <w:sz w:val="24"/>
          <w:lang w:bidi="ar"/>
        </w:rPr>
        <w:t>《建筑照明设计标准》</w:t>
      </w:r>
      <w:r>
        <w:rPr>
          <w:rFonts w:ascii="Times New Roman" w:hAnsi="Times New Roman" w:eastAsia="宋体" w:cs="Times New Roman"/>
          <w:sz w:val="24"/>
          <w:lang w:bidi="ar"/>
        </w:rPr>
        <w:t>GB 50034</w:t>
      </w:r>
    </w:p>
    <w:p w14:paraId="01EA8BB4">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《储水式电热水器能效限定值及能效等级》</w:t>
      </w:r>
      <w:r>
        <w:rPr>
          <w:rFonts w:ascii="Times New Roman" w:hAnsi="Times New Roman" w:eastAsia="宋体" w:cs="Times New Roman"/>
          <w:sz w:val="24"/>
          <w:lang w:bidi="ar"/>
        </w:rPr>
        <w:t>GB 21519-2008</w:t>
      </w:r>
    </w:p>
    <w:p w14:paraId="1DFE2C18">
      <w:pPr>
        <w:adjustRightInd w:val="0"/>
        <w:snapToGrid w:val="0"/>
        <w:spacing w:line="360" w:lineRule="auto"/>
        <w:ind w:firstLine="420" w:firstLineChars="175"/>
        <w:rPr>
          <w:rFonts w:ascii="Times New Roman" w:hAnsi="Times New Roman" w:cs="Times New Roman"/>
          <w:sz w:val="24"/>
        </w:rPr>
      </w:pPr>
      <w:r>
        <w:rPr>
          <w:rFonts w:hint="eastAsia" w:ascii="宋体" w:hAnsi="宋体" w:eastAsia="宋体" w:cs="宋体"/>
          <w:sz w:val="24"/>
          <w:lang w:bidi="ar"/>
        </w:rPr>
        <w:t>《近零能耗建筑技术标准》</w:t>
      </w:r>
      <w:r>
        <w:rPr>
          <w:rFonts w:ascii="Times New Roman" w:hAnsi="Times New Roman" w:eastAsia="宋体" w:cs="Times New Roman"/>
          <w:sz w:val="24"/>
          <w:lang w:bidi="ar"/>
        </w:rPr>
        <w:t>GB/T 51350-2019</w:t>
      </w:r>
    </w:p>
    <w:p w14:paraId="3AEE54EF">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《室内空气质量标准》</w:t>
      </w:r>
      <w:r>
        <w:rPr>
          <w:rFonts w:ascii="Times New Roman" w:hAnsi="Times New Roman" w:eastAsia="宋体" w:cs="Times New Roman"/>
          <w:sz w:val="24"/>
          <w:lang w:bidi="ar"/>
        </w:rPr>
        <w:t>GB/T 18883</w:t>
      </w:r>
    </w:p>
    <w:p w14:paraId="643D38DA">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《城市夜景照明设计规范》</w:t>
      </w:r>
      <w:r>
        <w:rPr>
          <w:rFonts w:ascii="Times New Roman" w:hAnsi="Times New Roman" w:eastAsia="宋体" w:cs="Times New Roman"/>
          <w:sz w:val="24"/>
          <w:lang w:bidi="ar"/>
        </w:rPr>
        <w:t>JGJ/T 163</w:t>
      </w:r>
    </w:p>
    <w:p w14:paraId="1BBAEFD8">
      <w:pPr>
        <w:adjustRightInd w:val="0"/>
        <w:snapToGrid w:val="0"/>
        <w:spacing w:line="360" w:lineRule="auto"/>
        <w:ind w:firstLine="420" w:firstLineChars="175"/>
        <w:rPr>
          <w:rFonts w:ascii="宋体" w:hAnsi="宋体" w:eastAsia="宋体" w:cs="宋体"/>
          <w:sz w:val="24"/>
        </w:rPr>
      </w:pPr>
      <w:r>
        <w:rPr>
          <w:rFonts w:hint="eastAsia" w:ascii="宋体" w:hAnsi="宋体" w:eastAsia="宋体" w:cs="宋体"/>
          <w:sz w:val="24"/>
          <w:lang w:bidi="ar"/>
        </w:rPr>
        <w:t>《建筑节能气象参数标准》</w:t>
      </w:r>
      <w:r>
        <w:rPr>
          <w:rFonts w:ascii="Times New Roman" w:hAnsi="Times New Roman" w:eastAsia="宋体" w:cs="Times New Roman"/>
          <w:sz w:val="24"/>
          <w:lang w:bidi="ar"/>
        </w:rPr>
        <w:t>JGJ/T 346</w:t>
      </w:r>
    </w:p>
    <w:p w14:paraId="6D8FF37A">
      <w:pPr>
        <w:adjustRightInd w:val="0"/>
        <w:snapToGrid w:val="0"/>
        <w:spacing w:line="360" w:lineRule="auto"/>
      </w:pPr>
    </w:p>
    <w:sectPr>
      <w:pgSz w:w="11906" w:h="16838"/>
      <w:pgMar w:top="1440" w:right="1706"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1D5F05"/>
    <w:multiLevelType w:val="multilevel"/>
    <w:tmpl w:val="BA1D5F0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DA43188F"/>
    <w:multiLevelType w:val="multilevel"/>
    <w:tmpl w:val="DA43188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EEEF21A1"/>
    <w:multiLevelType w:val="multilevel"/>
    <w:tmpl w:val="EEEF21A1"/>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1218C2C"/>
    <w:multiLevelType w:val="multilevel"/>
    <w:tmpl w:val="21218C2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55ED975D"/>
    <w:multiLevelType w:val="multilevel"/>
    <w:tmpl w:val="55ED975D"/>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3YzJjMTU0NDE0MDE1YTU5NTRlOWNkM2EyNzEyNDIifQ=="/>
  </w:docVars>
  <w:rsids>
    <w:rsidRoot w:val="00264542"/>
    <w:rsid w:val="00264542"/>
    <w:rsid w:val="00813B93"/>
    <w:rsid w:val="008943AC"/>
    <w:rsid w:val="00F50D3E"/>
    <w:rsid w:val="00F64ED2"/>
    <w:rsid w:val="58BC0450"/>
    <w:rsid w:val="66C90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3"/>
    <w:link w:val="22"/>
    <w:qFormat/>
    <w:uiPriority w:val="0"/>
    <w:pPr>
      <w:keepNext/>
      <w:keepLines/>
      <w:spacing w:before="340" w:after="330" w:line="576" w:lineRule="auto"/>
    </w:pPr>
    <w:rPr>
      <w:rFonts w:eastAsia="宋体" w:cs="Times New Roman"/>
      <w:kern w:val="44"/>
      <w:sz w:val="30"/>
    </w:rPr>
  </w:style>
  <w:style w:type="paragraph" w:styleId="4">
    <w:name w:val="heading 2"/>
    <w:basedOn w:val="2"/>
    <w:next w:val="1"/>
    <w:link w:val="21"/>
    <w:semiHidden/>
    <w:unhideWhenUsed/>
    <w:qFormat/>
    <w:uiPriority w:val="0"/>
    <w:pPr>
      <w:spacing w:before="260" w:after="260" w:line="412" w:lineRule="auto"/>
      <w:outlineLvl w:val="1"/>
    </w:pPr>
    <w:rPr>
      <w:sz w:val="28"/>
    </w:rPr>
  </w:style>
  <w:style w:type="paragraph" w:styleId="5">
    <w:name w:val="heading 3"/>
    <w:basedOn w:val="6"/>
    <w:next w:val="1"/>
    <w:link w:val="24"/>
    <w:semiHidden/>
    <w:unhideWhenUsed/>
    <w:qFormat/>
    <w:uiPriority w:val="0"/>
    <w:pPr>
      <w:spacing w:before="260" w:after="260" w:line="412" w:lineRule="auto"/>
      <w:outlineLvl w:val="2"/>
    </w:pPr>
    <w:rPr>
      <w:rFonts w:eastAsia="宋体" w:cs="Times New Roman"/>
      <w:b w:val="0"/>
    </w:rPr>
  </w:style>
  <w:style w:type="paragraph" w:styleId="6">
    <w:name w:val="heading 4"/>
    <w:basedOn w:val="1"/>
    <w:next w:val="1"/>
    <w:link w:val="25"/>
    <w:semiHidden/>
    <w:unhideWhenUsed/>
    <w:qFormat/>
    <w:uiPriority w:val="0"/>
    <w:pPr>
      <w:keepNext/>
      <w:keepLines/>
      <w:spacing w:before="280" w:after="290" w:line="372" w:lineRule="auto"/>
      <w:outlineLvl w:val="3"/>
    </w:pPr>
    <w:rPr>
      <w:rFonts w:ascii="Arial" w:hAnsi="Arial" w:eastAsia="黑体"/>
      <w:b/>
      <w:sz w:val="28"/>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3">
    <w:name w:val="Title"/>
    <w:basedOn w:val="1"/>
    <w:link w:val="20"/>
    <w:qFormat/>
    <w:uiPriority w:val="0"/>
    <w:pPr>
      <w:spacing w:before="240" w:after="60"/>
      <w:jc w:val="center"/>
      <w:outlineLvl w:val="0"/>
    </w:pPr>
    <w:rPr>
      <w:rFonts w:ascii="Arial" w:hAnsi="Arial"/>
      <w:b/>
      <w:sz w:val="32"/>
    </w:rPr>
  </w:style>
  <w:style w:type="paragraph" w:styleId="7">
    <w:name w:val="Body Text"/>
    <w:basedOn w:val="1"/>
    <w:link w:val="23"/>
    <w:uiPriority w:val="0"/>
    <w:rPr>
      <w:rFonts w:hint="eastAsia" w:ascii="宋体" w:hAnsi="宋体" w:eastAsia="宋体" w:cs="Times New Roman"/>
      <w:szCs w:val="21"/>
    </w:rPr>
  </w:style>
  <w:style w:type="paragraph" w:styleId="8">
    <w:name w:val="toc 3"/>
    <w:basedOn w:val="1"/>
    <w:next w:val="1"/>
    <w:uiPriority w:val="0"/>
    <w:pPr>
      <w:ind w:left="840" w:leftChars="400"/>
    </w:pPr>
    <w:rPr>
      <w:rFonts w:ascii="Calibri" w:hAnsi="Calibri" w:eastAsia="宋体" w:cs="Times New Roman"/>
    </w:rPr>
  </w:style>
  <w:style w:type="paragraph" w:styleId="9">
    <w:name w:val="footer"/>
    <w:basedOn w:val="1"/>
    <w:link w:val="26"/>
    <w:uiPriority w:val="0"/>
    <w:pPr>
      <w:tabs>
        <w:tab w:val="center" w:pos="4153"/>
        <w:tab w:val="right" w:pos="8306"/>
      </w:tabs>
      <w:snapToGrid w:val="0"/>
      <w:jc w:val="left"/>
    </w:pPr>
    <w:rPr>
      <w:sz w:val="18"/>
    </w:rPr>
  </w:style>
  <w:style w:type="paragraph" w:styleId="10">
    <w:name w:val="header"/>
    <w:basedOn w:val="1"/>
    <w:link w:val="19"/>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uiPriority w:val="0"/>
    <w:rPr>
      <w:rFonts w:ascii="Calibri" w:hAnsi="Calibri" w:eastAsia="宋体" w:cs="Times New Roman"/>
    </w:rPr>
  </w:style>
  <w:style w:type="paragraph" w:styleId="12">
    <w:name w:val="toc 2"/>
    <w:basedOn w:val="1"/>
    <w:next w:val="1"/>
    <w:uiPriority w:val="0"/>
    <w:pPr>
      <w:ind w:left="420" w:leftChars="200"/>
    </w:pPr>
    <w:rPr>
      <w:rFonts w:ascii="Calibri" w:hAnsi="Calibri" w:eastAsia="宋体" w:cs="Times New Roman"/>
    </w:rPr>
  </w:style>
  <w:style w:type="paragraph" w:styleId="13">
    <w:name w:val="Normal (Web)"/>
    <w:basedOn w:val="1"/>
    <w:uiPriority w:val="0"/>
    <w:pPr>
      <w:spacing w:beforeAutospacing="1" w:afterAutospacing="1"/>
      <w:jc w:val="left"/>
    </w:pPr>
    <w:rPr>
      <w:rFonts w:ascii="Calibri" w:hAnsi="Calibri" w:eastAsia="宋体" w:cs="Times New Roman"/>
      <w:kern w:val="0"/>
      <w:sz w:val="24"/>
    </w:rPr>
  </w:style>
  <w:style w:type="table" w:styleId="15">
    <w:name w:val="Table Grid"/>
    <w:basedOn w:val="1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7">
    <w:name w:val="Strong"/>
    <w:basedOn w:val="16"/>
    <w:qFormat/>
    <w:uiPriority w:val="0"/>
    <w:rPr>
      <w:b/>
    </w:rPr>
  </w:style>
  <w:style w:type="character" w:styleId="18">
    <w:name w:val="Hyperlink"/>
    <w:basedOn w:val="16"/>
    <w:uiPriority w:val="0"/>
    <w:rPr>
      <w:color w:val="0000FF"/>
      <w:u w:val="single"/>
    </w:rPr>
  </w:style>
  <w:style w:type="character" w:customStyle="1" w:styleId="19">
    <w:name w:val="页眉 字符"/>
    <w:basedOn w:val="16"/>
    <w:link w:val="10"/>
    <w:uiPriority w:val="0"/>
    <w:rPr>
      <w:rFonts w:hint="default" w:ascii="Calibri" w:hAnsi="Calibri" w:cs="Calibri"/>
      <w:kern w:val="2"/>
      <w:sz w:val="18"/>
      <w:szCs w:val="24"/>
    </w:rPr>
  </w:style>
  <w:style w:type="character" w:customStyle="1" w:styleId="20">
    <w:name w:val="标题 字符"/>
    <w:basedOn w:val="16"/>
    <w:link w:val="3"/>
    <w:uiPriority w:val="0"/>
    <w:rPr>
      <w:rFonts w:hint="default" w:ascii="Arial" w:hAnsi="Arial" w:cs="Arial"/>
      <w:b/>
      <w:kern w:val="2"/>
      <w:sz w:val="32"/>
      <w:szCs w:val="24"/>
    </w:rPr>
  </w:style>
  <w:style w:type="character" w:customStyle="1" w:styleId="21">
    <w:name w:val="标题 2 字符"/>
    <w:basedOn w:val="16"/>
    <w:link w:val="4"/>
    <w:uiPriority w:val="0"/>
    <w:rPr>
      <w:rFonts w:hint="default" w:ascii="Arial" w:hAnsi="Arial" w:cs="Arial"/>
      <w:b/>
      <w:kern w:val="44"/>
      <w:sz w:val="28"/>
      <w:szCs w:val="24"/>
    </w:rPr>
  </w:style>
  <w:style w:type="character" w:customStyle="1" w:styleId="22">
    <w:name w:val="标题 1 字符"/>
    <w:basedOn w:val="16"/>
    <w:link w:val="2"/>
    <w:uiPriority w:val="0"/>
    <w:rPr>
      <w:rFonts w:hint="default" w:ascii="Arial" w:hAnsi="Arial" w:cs="Arial"/>
      <w:b/>
      <w:kern w:val="44"/>
      <w:sz w:val="30"/>
      <w:szCs w:val="24"/>
    </w:rPr>
  </w:style>
  <w:style w:type="character" w:customStyle="1" w:styleId="23">
    <w:name w:val="正文文本 字符"/>
    <w:basedOn w:val="16"/>
    <w:link w:val="7"/>
    <w:uiPriority w:val="0"/>
    <w:rPr>
      <w:rFonts w:hint="eastAsia" w:ascii="宋体" w:hAnsi="宋体" w:eastAsia="宋体" w:cs="宋体"/>
      <w:kern w:val="2"/>
      <w:sz w:val="21"/>
      <w:szCs w:val="21"/>
      <w:lang w:eastAsia="en-US"/>
    </w:rPr>
  </w:style>
  <w:style w:type="character" w:customStyle="1" w:styleId="24">
    <w:name w:val="标题 3 字符"/>
    <w:basedOn w:val="16"/>
    <w:link w:val="5"/>
    <w:uiPriority w:val="0"/>
    <w:rPr>
      <w:rFonts w:hint="default" w:ascii="Arial" w:hAnsi="Arial" w:cs="Arial"/>
      <w:kern w:val="2"/>
      <w:sz w:val="28"/>
      <w:szCs w:val="24"/>
    </w:rPr>
  </w:style>
  <w:style w:type="character" w:customStyle="1" w:styleId="25">
    <w:name w:val="标题 4 字符"/>
    <w:basedOn w:val="16"/>
    <w:link w:val="6"/>
    <w:uiPriority w:val="0"/>
    <w:rPr>
      <w:rFonts w:hint="default" w:ascii="Arial" w:hAnsi="Arial" w:eastAsia="黑体" w:cs="Arial"/>
      <w:b/>
      <w:kern w:val="2"/>
      <w:sz w:val="28"/>
      <w:szCs w:val="24"/>
    </w:rPr>
  </w:style>
  <w:style w:type="character" w:customStyle="1" w:styleId="26">
    <w:name w:val="页脚 字符"/>
    <w:basedOn w:val="16"/>
    <w:link w:val="9"/>
    <w:uiPriority w:val="0"/>
    <w:rPr>
      <w:rFonts w:hint="default" w:ascii="Calibri" w:hAnsi="Calibri" w:cs="Calibri"/>
      <w:kern w:val="2"/>
      <w:sz w:val="18"/>
      <w:szCs w:val="24"/>
    </w:rPr>
  </w:style>
  <w:style w:type="paragraph" w:customStyle="1" w:styleId="27">
    <w:name w:val="条"/>
    <w:basedOn w:val="1"/>
    <w:next w:val="7"/>
    <w:uiPriority w:val="0"/>
    <w:pPr>
      <w:adjustRightInd w:val="0"/>
      <w:snapToGrid w:val="0"/>
      <w:spacing w:line="312" w:lineRule="auto"/>
    </w:pPr>
    <w:rPr>
      <w:rFonts w:hint="eastAsia" w:ascii="宋体" w:hAnsi="宋体" w:eastAsia="宋体" w:cs="Times New Roman"/>
      <w:color w:val="323232"/>
      <w:sz w:val="24"/>
      <w:szCs w:val="28"/>
    </w:rPr>
  </w:style>
  <w:style w:type="paragraph" w:customStyle="1" w:styleId="28">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0.bin"/><Relationship Id="rId98" Type="http://schemas.openxmlformats.org/officeDocument/2006/relationships/image" Target="media/image46.wmf"/><Relationship Id="rId97" Type="http://schemas.openxmlformats.org/officeDocument/2006/relationships/oleObject" Target="embeddings/oleObject49.bin"/><Relationship Id="rId96" Type="http://schemas.openxmlformats.org/officeDocument/2006/relationships/image" Target="media/image45.wmf"/><Relationship Id="rId95" Type="http://schemas.openxmlformats.org/officeDocument/2006/relationships/oleObject" Target="embeddings/oleObject48.bin"/><Relationship Id="rId94" Type="http://schemas.openxmlformats.org/officeDocument/2006/relationships/image" Target="media/image44.wmf"/><Relationship Id="rId93" Type="http://schemas.openxmlformats.org/officeDocument/2006/relationships/oleObject" Target="embeddings/oleObject47.bin"/><Relationship Id="rId92" Type="http://schemas.openxmlformats.org/officeDocument/2006/relationships/image" Target="media/image43.wmf"/><Relationship Id="rId91" Type="http://schemas.openxmlformats.org/officeDocument/2006/relationships/oleObject" Target="embeddings/oleObject46.bin"/><Relationship Id="rId90" Type="http://schemas.openxmlformats.org/officeDocument/2006/relationships/image" Target="media/image42.wmf"/><Relationship Id="rId9" Type="http://schemas.openxmlformats.org/officeDocument/2006/relationships/oleObject" Target="embeddings/oleObject3.bin"/><Relationship Id="rId89" Type="http://schemas.openxmlformats.org/officeDocument/2006/relationships/oleObject" Target="embeddings/oleObject45.bin"/><Relationship Id="rId88" Type="http://schemas.openxmlformats.org/officeDocument/2006/relationships/image" Target="media/image41.wmf"/><Relationship Id="rId87" Type="http://schemas.openxmlformats.org/officeDocument/2006/relationships/oleObject" Target="embeddings/oleObject44.bin"/><Relationship Id="rId86" Type="http://schemas.openxmlformats.org/officeDocument/2006/relationships/image" Target="media/image40.wmf"/><Relationship Id="rId85" Type="http://schemas.openxmlformats.org/officeDocument/2006/relationships/oleObject" Target="embeddings/oleObject43.bin"/><Relationship Id="rId84" Type="http://schemas.openxmlformats.org/officeDocument/2006/relationships/image" Target="media/image39.wmf"/><Relationship Id="rId83" Type="http://schemas.openxmlformats.org/officeDocument/2006/relationships/oleObject" Target="embeddings/oleObject42.bin"/><Relationship Id="rId82" Type="http://schemas.openxmlformats.org/officeDocument/2006/relationships/image" Target="media/image38.wmf"/><Relationship Id="rId81" Type="http://schemas.openxmlformats.org/officeDocument/2006/relationships/oleObject" Target="embeddings/oleObject41.bin"/><Relationship Id="rId80" Type="http://schemas.openxmlformats.org/officeDocument/2006/relationships/image" Target="media/image37.wmf"/><Relationship Id="rId8" Type="http://schemas.openxmlformats.org/officeDocument/2006/relationships/image" Target="media/image3.wmf"/><Relationship Id="rId79" Type="http://schemas.openxmlformats.org/officeDocument/2006/relationships/oleObject" Target="embeddings/oleObject40.bin"/><Relationship Id="rId78" Type="http://schemas.openxmlformats.org/officeDocument/2006/relationships/image" Target="media/image36.wmf"/><Relationship Id="rId77" Type="http://schemas.openxmlformats.org/officeDocument/2006/relationships/oleObject" Target="embeddings/oleObject39.bin"/><Relationship Id="rId76" Type="http://schemas.openxmlformats.org/officeDocument/2006/relationships/image" Target="media/image35.wmf"/><Relationship Id="rId75" Type="http://schemas.openxmlformats.org/officeDocument/2006/relationships/oleObject" Target="embeddings/oleObject38.bin"/><Relationship Id="rId74" Type="http://schemas.openxmlformats.org/officeDocument/2006/relationships/image" Target="media/image34.wmf"/><Relationship Id="rId73" Type="http://schemas.openxmlformats.org/officeDocument/2006/relationships/oleObject" Target="embeddings/oleObject37.bin"/><Relationship Id="rId72" Type="http://schemas.openxmlformats.org/officeDocument/2006/relationships/image" Target="media/image33.wmf"/><Relationship Id="rId71" Type="http://schemas.openxmlformats.org/officeDocument/2006/relationships/oleObject" Target="embeddings/oleObject36.bin"/><Relationship Id="rId70" Type="http://schemas.openxmlformats.org/officeDocument/2006/relationships/image" Target="media/image32.wmf"/><Relationship Id="rId7" Type="http://schemas.openxmlformats.org/officeDocument/2006/relationships/oleObject" Target="embeddings/oleObject2.bin"/><Relationship Id="rId69" Type="http://schemas.openxmlformats.org/officeDocument/2006/relationships/oleObject" Target="embeddings/oleObject35.bin"/><Relationship Id="rId68" Type="http://schemas.openxmlformats.org/officeDocument/2006/relationships/image" Target="media/image31.wmf"/><Relationship Id="rId67" Type="http://schemas.openxmlformats.org/officeDocument/2006/relationships/oleObject" Target="embeddings/oleObject34.bin"/><Relationship Id="rId66" Type="http://schemas.openxmlformats.org/officeDocument/2006/relationships/image" Target="media/image30.wmf"/><Relationship Id="rId65" Type="http://schemas.openxmlformats.org/officeDocument/2006/relationships/oleObject" Target="embeddings/oleObject33.bin"/><Relationship Id="rId64" Type="http://schemas.openxmlformats.org/officeDocument/2006/relationships/image" Target="media/image29.wmf"/><Relationship Id="rId63" Type="http://schemas.openxmlformats.org/officeDocument/2006/relationships/oleObject" Target="embeddings/oleObject32.bin"/><Relationship Id="rId62" Type="http://schemas.openxmlformats.org/officeDocument/2006/relationships/image" Target="media/image28.wmf"/><Relationship Id="rId61" Type="http://schemas.openxmlformats.org/officeDocument/2006/relationships/oleObject" Target="embeddings/oleObject31.bin"/><Relationship Id="rId60" Type="http://schemas.openxmlformats.org/officeDocument/2006/relationships/image" Target="media/image27.wmf"/><Relationship Id="rId6" Type="http://schemas.openxmlformats.org/officeDocument/2006/relationships/image" Target="media/image2.wmf"/><Relationship Id="rId59" Type="http://schemas.openxmlformats.org/officeDocument/2006/relationships/oleObject" Target="embeddings/oleObject30.bin"/><Relationship Id="rId58" Type="http://schemas.openxmlformats.org/officeDocument/2006/relationships/image" Target="media/image26.wmf"/><Relationship Id="rId57" Type="http://schemas.openxmlformats.org/officeDocument/2006/relationships/oleObject" Target="embeddings/oleObject29.bin"/><Relationship Id="rId56" Type="http://schemas.openxmlformats.org/officeDocument/2006/relationships/image" Target="media/image25.wmf"/><Relationship Id="rId55" Type="http://schemas.openxmlformats.org/officeDocument/2006/relationships/oleObject" Target="embeddings/oleObject28.bin"/><Relationship Id="rId54" Type="http://schemas.openxmlformats.org/officeDocument/2006/relationships/image" Target="media/image24.wmf"/><Relationship Id="rId53" Type="http://schemas.openxmlformats.org/officeDocument/2006/relationships/oleObject" Target="embeddings/oleObject27.bin"/><Relationship Id="rId52" Type="http://schemas.openxmlformats.org/officeDocument/2006/relationships/image" Target="media/image23.wmf"/><Relationship Id="rId51" Type="http://schemas.openxmlformats.org/officeDocument/2006/relationships/oleObject" Target="embeddings/oleObject26.bin"/><Relationship Id="rId50" Type="http://schemas.openxmlformats.org/officeDocument/2006/relationships/image" Target="media/image22.wmf"/><Relationship Id="rId5" Type="http://schemas.openxmlformats.org/officeDocument/2006/relationships/oleObject" Target="embeddings/oleObject1.bin"/><Relationship Id="rId49" Type="http://schemas.openxmlformats.org/officeDocument/2006/relationships/oleObject" Target="embeddings/oleObject25.bin"/><Relationship Id="rId48" Type="http://schemas.openxmlformats.org/officeDocument/2006/relationships/image" Target="media/image21.wmf"/><Relationship Id="rId47" Type="http://schemas.openxmlformats.org/officeDocument/2006/relationships/oleObject" Target="embeddings/oleObject24.bin"/><Relationship Id="rId46" Type="http://schemas.openxmlformats.org/officeDocument/2006/relationships/image" Target="media/image20.wmf"/><Relationship Id="rId45" Type="http://schemas.openxmlformats.org/officeDocument/2006/relationships/oleObject" Target="embeddings/oleObject23.bin"/><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oleObject" Target="embeddings/oleObject22.bin"/><Relationship Id="rId40" Type="http://schemas.openxmlformats.org/officeDocument/2006/relationships/image" Target="media/image16.png"/><Relationship Id="rId4" Type="http://schemas.openxmlformats.org/officeDocument/2006/relationships/image" Target="media/image1.png"/><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wmf"/><Relationship Id="rId33" Type="http://schemas.openxmlformats.org/officeDocument/2006/relationships/oleObject" Target="embeddings/oleObject21.bin"/><Relationship Id="rId32" Type="http://schemas.openxmlformats.org/officeDocument/2006/relationships/oleObject" Target="embeddings/oleObject20.bin"/><Relationship Id="rId31" Type="http://schemas.openxmlformats.org/officeDocument/2006/relationships/oleObject" Target="embeddings/oleObject19.bin"/><Relationship Id="rId30" Type="http://schemas.openxmlformats.org/officeDocument/2006/relationships/oleObject" Target="embeddings/oleObject18.bin"/><Relationship Id="rId3" Type="http://schemas.openxmlformats.org/officeDocument/2006/relationships/theme" Target="theme/theme1.xml"/><Relationship Id="rId29" Type="http://schemas.openxmlformats.org/officeDocument/2006/relationships/oleObject" Target="embeddings/oleObject17.bin"/><Relationship Id="rId28" Type="http://schemas.openxmlformats.org/officeDocument/2006/relationships/oleObject" Target="embeddings/oleObject16.bin"/><Relationship Id="rId27" Type="http://schemas.openxmlformats.org/officeDocument/2006/relationships/oleObject" Target="embeddings/oleObject15.bin"/><Relationship Id="rId26" Type="http://schemas.openxmlformats.org/officeDocument/2006/relationships/oleObject" Target="embeddings/oleObject14.bin"/><Relationship Id="rId25" Type="http://schemas.openxmlformats.org/officeDocument/2006/relationships/oleObject" Target="embeddings/oleObject13.bin"/><Relationship Id="rId24" Type="http://schemas.openxmlformats.org/officeDocument/2006/relationships/oleObject" Target="embeddings/oleObject12.bin"/><Relationship Id="rId23" Type="http://schemas.openxmlformats.org/officeDocument/2006/relationships/oleObject" Target="embeddings/oleObject11.bin"/><Relationship Id="rId22" Type="http://schemas.openxmlformats.org/officeDocument/2006/relationships/oleObject" Target="embeddings/oleObject10.bin"/><Relationship Id="rId21" Type="http://schemas.openxmlformats.org/officeDocument/2006/relationships/oleObject" Target="embeddings/oleObject9.bin"/><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7.bin"/><Relationship Id="rId17" Type="http://schemas.openxmlformats.org/officeDocument/2006/relationships/image" Target="media/image8.wmf"/><Relationship Id="rId161" Type="http://schemas.openxmlformats.org/officeDocument/2006/relationships/fontTable" Target="fontTable.xml"/><Relationship Id="rId160" Type="http://schemas.openxmlformats.org/officeDocument/2006/relationships/numbering" Target="numbering.xml"/><Relationship Id="rId16" Type="http://schemas.openxmlformats.org/officeDocument/2006/relationships/oleObject" Target="embeddings/oleObject6.bin"/><Relationship Id="rId159" Type="http://schemas.openxmlformats.org/officeDocument/2006/relationships/customXml" Target="../customXml/item1.xml"/><Relationship Id="rId158" Type="http://schemas.openxmlformats.org/officeDocument/2006/relationships/image" Target="media/image76.wmf"/><Relationship Id="rId157" Type="http://schemas.openxmlformats.org/officeDocument/2006/relationships/oleObject" Target="embeddings/oleObject79.bin"/><Relationship Id="rId156" Type="http://schemas.openxmlformats.org/officeDocument/2006/relationships/image" Target="media/image75.wmf"/><Relationship Id="rId155" Type="http://schemas.openxmlformats.org/officeDocument/2006/relationships/oleObject" Target="embeddings/oleObject78.bin"/><Relationship Id="rId154" Type="http://schemas.openxmlformats.org/officeDocument/2006/relationships/image" Target="media/image74.wmf"/><Relationship Id="rId153" Type="http://schemas.openxmlformats.org/officeDocument/2006/relationships/oleObject" Target="embeddings/oleObject77.bin"/><Relationship Id="rId152" Type="http://schemas.openxmlformats.org/officeDocument/2006/relationships/image" Target="media/image73.wmf"/><Relationship Id="rId151" Type="http://schemas.openxmlformats.org/officeDocument/2006/relationships/oleObject" Target="embeddings/oleObject76.bin"/><Relationship Id="rId150" Type="http://schemas.openxmlformats.org/officeDocument/2006/relationships/image" Target="media/image72.wmf"/><Relationship Id="rId15" Type="http://schemas.openxmlformats.org/officeDocument/2006/relationships/image" Target="media/image7.png"/><Relationship Id="rId149" Type="http://schemas.openxmlformats.org/officeDocument/2006/relationships/oleObject" Target="embeddings/oleObject75.bin"/><Relationship Id="rId148" Type="http://schemas.openxmlformats.org/officeDocument/2006/relationships/image" Target="media/image71.wmf"/><Relationship Id="rId147" Type="http://schemas.openxmlformats.org/officeDocument/2006/relationships/oleObject" Target="embeddings/oleObject74.bin"/><Relationship Id="rId146" Type="http://schemas.openxmlformats.org/officeDocument/2006/relationships/image" Target="media/image70.wmf"/><Relationship Id="rId145" Type="http://schemas.openxmlformats.org/officeDocument/2006/relationships/oleObject" Target="embeddings/oleObject73.bin"/><Relationship Id="rId144" Type="http://schemas.openxmlformats.org/officeDocument/2006/relationships/image" Target="media/image69.wmf"/><Relationship Id="rId143" Type="http://schemas.openxmlformats.org/officeDocument/2006/relationships/oleObject" Target="embeddings/oleObject72.bin"/><Relationship Id="rId142" Type="http://schemas.openxmlformats.org/officeDocument/2006/relationships/image" Target="media/image68.wmf"/><Relationship Id="rId141" Type="http://schemas.openxmlformats.org/officeDocument/2006/relationships/oleObject" Target="embeddings/oleObject71.bin"/><Relationship Id="rId140" Type="http://schemas.openxmlformats.org/officeDocument/2006/relationships/image" Target="media/image67.wmf"/><Relationship Id="rId14" Type="http://schemas.openxmlformats.org/officeDocument/2006/relationships/image" Target="media/image6.png"/><Relationship Id="rId139" Type="http://schemas.openxmlformats.org/officeDocument/2006/relationships/oleObject" Target="embeddings/oleObject70.bin"/><Relationship Id="rId138" Type="http://schemas.openxmlformats.org/officeDocument/2006/relationships/image" Target="media/image66.wmf"/><Relationship Id="rId137" Type="http://schemas.openxmlformats.org/officeDocument/2006/relationships/oleObject" Target="embeddings/oleObject69.bin"/><Relationship Id="rId136" Type="http://schemas.openxmlformats.org/officeDocument/2006/relationships/image" Target="media/image65.wmf"/><Relationship Id="rId135" Type="http://schemas.openxmlformats.org/officeDocument/2006/relationships/oleObject" Target="embeddings/oleObject68.bin"/><Relationship Id="rId134" Type="http://schemas.openxmlformats.org/officeDocument/2006/relationships/image" Target="media/image64.wmf"/><Relationship Id="rId133" Type="http://schemas.openxmlformats.org/officeDocument/2006/relationships/oleObject" Target="embeddings/oleObject67.bin"/><Relationship Id="rId132" Type="http://schemas.openxmlformats.org/officeDocument/2006/relationships/image" Target="media/image63.wmf"/><Relationship Id="rId131" Type="http://schemas.openxmlformats.org/officeDocument/2006/relationships/oleObject" Target="embeddings/oleObject66.bin"/><Relationship Id="rId130" Type="http://schemas.openxmlformats.org/officeDocument/2006/relationships/image" Target="media/image62.wmf"/><Relationship Id="rId13" Type="http://schemas.openxmlformats.org/officeDocument/2006/relationships/image" Target="media/image5.wmf"/><Relationship Id="rId129" Type="http://schemas.openxmlformats.org/officeDocument/2006/relationships/oleObject" Target="embeddings/oleObject65.bin"/><Relationship Id="rId128" Type="http://schemas.openxmlformats.org/officeDocument/2006/relationships/image" Target="media/image61.wmf"/><Relationship Id="rId127" Type="http://schemas.openxmlformats.org/officeDocument/2006/relationships/oleObject" Target="embeddings/oleObject64.bin"/><Relationship Id="rId126" Type="http://schemas.openxmlformats.org/officeDocument/2006/relationships/image" Target="media/image60.wmf"/><Relationship Id="rId125" Type="http://schemas.openxmlformats.org/officeDocument/2006/relationships/oleObject" Target="embeddings/oleObject63.bin"/><Relationship Id="rId124" Type="http://schemas.openxmlformats.org/officeDocument/2006/relationships/image" Target="media/image59.wmf"/><Relationship Id="rId123" Type="http://schemas.openxmlformats.org/officeDocument/2006/relationships/oleObject" Target="embeddings/oleObject62.bin"/><Relationship Id="rId122" Type="http://schemas.openxmlformats.org/officeDocument/2006/relationships/image" Target="media/image58.wmf"/><Relationship Id="rId121" Type="http://schemas.openxmlformats.org/officeDocument/2006/relationships/oleObject" Target="embeddings/oleObject61.bin"/><Relationship Id="rId120" Type="http://schemas.openxmlformats.org/officeDocument/2006/relationships/image" Target="media/image57.wmf"/><Relationship Id="rId12" Type="http://schemas.openxmlformats.org/officeDocument/2006/relationships/oleObject" Target="embeddings/oleObject5.bin"/><Relationship Id="rId119" Type="http://schemas.openxmlformats.org/officeDocument/2006/relationships/oleObject" Target="embeddings/oleObject60.bin"/><Relationship Id="rId118" Type="http://schemas.openxmlformats.org/officeDocument/2006/relationships/image" Target="media/image56.wmf"/><Relationship Id="rId117" Type="http://schemas.openxmlformats.org/officeDocument/2006/relationships/oleObject" Target="embeddings/oleObject59.bin"/><Relationship Id="rId116" Type="http://schemas.openxmlformats.org/officeDocument/2006/relationships/image" Target="media/image55.wmf"/><Relationship Id="rId115" Type="http://schemas.openxmlformats.org/officeDocument/2006/relationships/oleObject" Target="embeddings/oleObject58.bin"/><Relationship Id="rId114" Type="http://schemas.openxmlformats.org/officeDocument/2006/relationships/image" Target="media/image54.wmf"/><Relationship Id="rId113" Type="http://schemas.openxmlformats.org/officeDocument/2006/relationships/oleObject" Target="embeddings/oleObject57.bin"/><Relationship Id="rId112" Type="http://schemas.openxmlformats.org/officeDocument/2006/relationships/image" Target="media/image53.wmf"/><Relationship Id="rId111" Type="http://schemas.openxmlformats.org/officeDocument/2006/relationships/oleObject" Target="embeddings/oleObject56.bin"/><Relationship Id="rId110" Type="http://schemas.openxmlformats.org/officeDocument/2006/relationships/image" Target="media/image52.wmf"/><Relationship Id="rId11" Type="http://schemas.openxmlformats.org/officeDocument/2006/relationships/image" Target="media/image4.wmf"/><Relationship Id="rId109" Type="http://schemas.openxmlformats.org/officeDocument/2006/relationships/oleObject" Target="embeddings/oleObject55.bin"/><Relationship Id="rId108" Type="http://schemas.openxmlformats.org/officeDocument/2006/relationships/image" Target="media/image51.wmf"/><Relationship Id="rId107" Type="http://schemas.openxmlformats.org/officeDocument/2006/relationships/oleObject" Target="embeddings/oleObject54.bin"/><Relationship Id="rId106" Type="http://schemas.openxmlformats.org/officeDocument/2006/relationships/image" Target="media/image50.wmf"/><Relationship Id="rId105" Type="http://schemas.openxmlformats.org/officeDocument/2006/relationships/oleObject" Target="embeddings/oleObject53.bin"/><Relationship Id="rId104" Type="http://schemas.openxmlformats.org/officeDocument/2006/relationships/image" Target="media/image49.wmf"/><Relationship Id="rId103" Type="http://schemas.openxmlformats.org/officeDocument/2006/relationships/oleObject" Target="embeddings/oleObject52.bin"/><Relationship Id="rId102" Type="http://schemas.openxmlformats.org/officeDocument/2006/relationships/image" Target="media/image48.wmf"/><Relationship Id="rId101" Type="http://schemas.openxmlformats.org/officeDocument/2006/relationships/oleObject" Target="embeddings/oleObject51.bin"/><Relationship Id="rId100" Type="http://schemas.openxmlformats.org/officeDocument/2006/relationships/image" Target="media/image47.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46842</Words>
  <Characters>52279</Characters>
  <Lines>428</Lines>
  <Paragraphs>120</Paragraphs>
  <TotalTime>66</TotalTime>
  <ScaleCrop>false</ScaleCrop>
  <LinksUpToDate>false</LinksUpToDate>
  <CharactersWithSpaces>53730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2024-06-12T06:34:00Z</dcterms:created>
  <dc:creator>18701</dc:creator>
  <cp:lastModifiedBy>顾理想（18301685002）</cp:lastModifiedBy>
  <dcterms:modified xsi:type="dcterms:W3CDTF">2024-06-18T06:11:25Z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7FF534B65E4B4DBAAAFD2A9EA8307C4A_12</vt:lpwstr>
  </property>
</Properties>
</file>