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38CF5">
      <w:pPr>
        <w:pStyle w:val="70"/>
        <w:framePr w:wrap="around"/>
      </w:pPr>
      <w:r>
        <w:rPr>
          <w:rFonts w:ascii="Times New Roman"/>
        </w:rPr>
        <w:t>ICS</w:t>
      </w:r>
      <w:r>
        <w:rPr>
          <w:rFonts w:hint="eastAsia" w:ascii="MS Mincho" w:hAnsi="MS Mincho" w:eastAsia="MS Mincho" w:cs="MS Mincho"/>
        </w:rPr>
        <w:t> </w:t>
      </w:r>
      <w:r>
        <w:t>13.020.10</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0F9CD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4292EB68">
            <w:pPr>
              <w:pStyle w:val="70"/>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r>
              <w:rPr>
                <w:rFonts w:hint="eastAsia"/>
              </w:rPr>
              <w:t>Z</w:t>
            </w:r>
            <w:r>
              <w:t xml:space="preserve"> 04</w:t>
            </w:r>
          </w:p>
        </w:tc>
      </w:tr>
    </w:tbl>
    <w:p w14:paraId="4BB903A0">
      <w:pPr>
        <w:pStyle w:val="103"/>
        <w:framePr w:wrap="around"/>
        <w:rPr>
          <w:rFonts w:hAnsi="黑体"/>
        </w:rPr>
      </w:pPr>
      <w:r>
        <w:rPr>
          <w:rFonts w:hint="eastAsia" w:hAnsi="黑体"/>
        </w:rPr>
        <w:t>T</w:t>
      </w:r>
      <w:r>
        <w:rPr>
          <w:rFonts w:hAnsi="黑体"/>
        </w:rPr>
        <w:t>/</w:t>
      </w:r>
      <w:r>
        <w:rPr>
          <w:rFonts w:hint="eastAsia" w:hAnsi="黑体"/>
        </w:rPr>
        <w:t>CECS 1000X</w:t>
      </w:r>
      <w:r>
        <w:rPr>
          <w:rFonts w:hAnsi="黑体"/>
        </w:rPr>
        <w:t>—</w:t>
      </w:r>
      <w:bookmarkStart w:id="0"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bookmarkEnd w:id="0"/>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2CC88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0210C00E">
            <w:pPr>
              <w:pStyle w:val="81"/>
              <w:framePr w:wrap="around"/>
            </w:pPr>
            <w:bookmarkStart w:id="1"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bookmarkEnd w:id="1"/>
          </w:p>
        </w:tc>
      </w:tr>
    </w:tbl>
    <w:p w14:paraId="163B5213">
      <w:pPr>
        <w:pStyle w:val="103"/>
        <w:framePr w:wrap="around"/>
        <w:rPr>
          <w:rFonts w:hAnsi="黑体"/>
        </w:rPr>
      </w:pPr>
    </w:p>
    <w:p w14:paraId="438CFA98">
      <w:pPr>
        <w:pStyle w:val="103"/>
        <w:framePr w:wrap="around"/>
        <w:rPr>
          <w:rFonts w:hAnsi="黑体"/>
        </w:rPr>
      </w:pPr>
    </w:p>
    <w:p w14:paraId="6F7CF61D">
      <w:pPr>
        <w:pStyle w:val="59"/>
        <w:framePr w:wrap="around"/>
        <w:rPr>
          <w:rFonts w:hint="eastAsia" w:ascii="Times New Roman" w:eastAsia="黑体"/>
        </w:rPr>
      </w:pPr>
      <w:r>
        <w:rPr>
          <w:rFonts w:hint="eastAsia" w:ascii="Times New Roman" w:eastAsia="黑体"/>
        </w:rPr>
        <w:t>绿色建材评价  预制混凝土管片和管桩</w:t>
      </w:r>
    </w:p>
    <w:p w14:paraId="05095FA9">
      <w:pPr>
        <w:pStyle w:val="59"/>
        <w:framePr w:wrap="around"/>
        <w:rPr>
          <w:rFonts w:ascii="Times New Roman" w:eastAsia="黑体"/>
        </w:rPr>
      </w:pPr>
      <w:bookmarkStart w:id="164" w:name="_GoBack"/>
      <w:bookmarkEnd w:id="164"/>
      <w:r>
        <w:rPr>
          <w:rFonts w:hint="eastAsia" w:ascii="Times New Roman" w:eastAsia="黑体"/>
        </w:rPr>
        <w:t>Green building materials assessment-Precast concrete segments、pile</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71F59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0A5DBA4">
            <w:pPr>
              <w:pStyle w:val="58"/>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I1ieZWqAQAA&#10;ZwMAAA4AAAAAAAAAAQAgAAAAJAEAAGRycy9lMm9Eb2MueG1sUEsFBgAAAAAGAAYAWQEAAEAFAAAA&#10;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GL5dYAAAAJAQAA&#10;DwAAAAAAAAABACAAAAAiAAAAZHJzL2Rvd25yZXYueG1sUEsBAhQAFAAAAAgAh07iQBXfBLqpAQAA&#10;ZwMAAA4AAAAAAAAAAQAgAAAAJQEAAGRycy9lMm9Eb2MueG1sUEsFBgAAAAAGAAYAWQEAAEAFAAAA&#10;AA==&#10;">
                      <v:fill on="t" focussize="0,0"/>
                      <v:stroke on="f"/>
                      <v:imagedata o:title=""/>
                      <o:lock v:ext="edit" aspectratio="f"/>
                    </v:rect>
                  </w:pict>
                </mc:Fallback>
              </mc:AlternateContent>
            </w:r>
            <w:r>
              <w:rPr>
                <w:rFonts w:hint="eastAsia"/>
                <w:sz w:val="28"/>
              </w:rPr>
              <w:t>（征求意见稿）</w:t>
            </w:r>
          </w:p>
        </w:tc>
      </w:tr>
      <w:tr w14:paraId="754C2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F75E7FB">
            <w:pPr>
              <w:pStyle w:val="127"/>
              <w:framePr w:wrap="around"/>
            </w:pPr>
          </w:p>
        </w:tc>
      </w:tr>
    </w:tbl>
    <w:p w14:paraId="6360E869">
      <w:pPr>
        <w:pStyle w:val="52"/>
        <w:framePr w:wrap="around"/>
      </w:pPr>
      <w:bookmarkStart w:id="2"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DzkRwM3QEAANADAAAO&#10;AAAAAAAAAAEAIAAAACUBAABkcnMvZTJvRG9jLnhtbFBLBQYAAAAABgAGAFkBAAB0BQAAAAA=&#10;">
                <v:fill on="f" focussize="0,0"/>
                <v:stroke color="#000000" joinstyle="round"/>
                <v:imagedata o:title=""/>
                <o:lock v:ext="edit" aspectratio="f"/>
                <w10:anchorlock/>
              </v:line>
            </w:pict>
          </mc:Fallback>
        </mc:AlternateContent>
      </w:r>
    </w:p>
    <w:p w14:paraId="0180F62E">
      <w:pPr>
        <w:pStyle w:val="134"/>
        <w:framePr w:wrap="around"/>
      </w:pPr>
      <w:bookmarkStart w:id="4"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14:paraId="05455C41">
      <w:pPr>
        <w:pStyle w:val="76"/>
        <w:framePr w:wrap="around"/>
      </w:pPr>
      <w:r>
        <w:rPr>
          <w:rFonts w:hint="eastAsia"/>
        </w:rPr>
        <w:t>中国工程建设标准化协会</w:t>
      </w:r>
      <w:r>
        <w:rPr>
          <w:rFonts w:hint="eastAsia" w:ascii="MS Mincho" w:hAnsi="MS Mincho" w:eastAsia="MS Mincho" w:cs="MS Mincho"/>
        </w:rPr>
        <w:t>   </w:t>
      </w:r>
      <w:r>
        <w:rPr>
          <w:rStyle w:val="49"/>
          <w:rFonts w:hint="eastAsia"/>
        </w:rPr>
        <w:t>发布</w:t>
      </w:r>
    </w:p>
    <w:p w14:paraId="0C24F441">
      <w:pPr>
        <w:pStyle w:val="24"/>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965835</wp:posOffset>
                </wp:positionV>
                <wp:extent cx="6119495" cy="1912620"/>
                <wp:effectExtent l="4445" t="5080" r="17780" b="17780"/>
                <wp:wrapNone/>
                <wp:docPr id="7" name="文本框 37"/>
                <wp:cNvGraphicFramePr/>
                <a:graphic xmlns:a="http://schemas.openxmlformats.org/drawingml/2006/main">
                  <a:graphicData uri="http://schemas.microsoft.com/office/word/2010/wordprocessingShape">
                    <wps:wsp>
                      <wps:cNvSpPr txBox="1"/>
                      <wps:spPr>
                        <a:xfrm>
                          <a:off x="0" y="0"/>
                          <a:ext cx="6119495" cy="191262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9C7D27A">
                            <w:pPr>
                              <w:jc w:val="distribute"/>
                              <w:rPr>
                                <w:rFonts w:ascii="黑体" w:hAnsi="黑体" w:eastAsia="黑体"/>
                                <w:sz w:val="72"/>
                                <w:szCs w:val="72"/>
                              </w:rPr>
                            </w:pPr>
                            <w:r>
                              <w:rPr>
                                <w:rFonts w:hint="eastAsia" w:ascii="黑体" w:hAnsi="黑体" w:eastAsia="黑体"/>
                                <w:sz w:val="72"/>
                                <w:szCs w:val="72"/>
                              </w:rPr>
                              <w:t>团体标准</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文本框 37" o:spid="_x0000_s1026" o:spt="202" type="#_x0000_t202" style="position:absolute;left:0pt;margin-left:-0.45pt;margin-top:76.05pt;height:150.6pt;width:481.85pt;z-index:251665408;mso-width-relative:page;mso-height-relative:margin;mso-height-percent:200;" fillcolor="#FFFFFF" filled="t" stroked="t" coordsize="21600,21600" o:gfxdata="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O+Mk&#10;2gAAAAkBAAAPAAAAAAAAAAEAIAAAACIAAABkcnMvZG93bnJldi54bWxQSwECFAAUAAAACACHTuJA&#10;vH+owh8CAABgBAAADgAAAAAAAAABACAAAAApAQAAZHJzL2Uyb0RvYy54bWxQSwUGAAAAAAYABgBZ&#10;AQAAugUAAAAA&#10;">
                <v:fill on="t" focussize="0,0"/>
                <v:stroke color="#FFFFFF" joinstyle="miter"/>
                <v:imagedata o:title=""/>
                <o:lock v:ext="edit" aspectratio="f"/>
                <v:textbox style="mso-fit-shape-to-text:t;">
                  <w:txbxContent>
                    <w:p w14:paraId="19C7D27A">
                      <w:pPr>
                        <w:jc w:val="distribute"/>
                        <w:rPr>
                          <w:rFonts w:ascii="黑体" w:hAnsi="黑体" w:eastAsia="黑体"/>
                          <w:sz w:val="72"/>
                          <w:szCs w:val="72"/>
                        </w:rPr>
                      </w:pPr>
                      <w:r>
                        <w:rPr>
                          <w:rFonts w:hint="eastAsia" w:ascii="黑体" w:hAnsi="黑体" w:eastAsia="黑体"/>
                          <w:sz w:val="72"/>
                          <w:szCs w:val="72"/>
                        </w:rPr>
                        <w:t>团体标准</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Ayqset3wEAANAD&#10;AAAOAAAAAAAAAAEAIAAAACYBAABkcnMvZTJvRG9jLnhtbFBLBQYAAAAABgAGAFkBAAB3BQAAAAA=&#10;">
                <v:fill on="f" focussize="0,0"/>
                <v:stroke color="#000000" joinstyle="round"/>
                <v:imagedata o:title=""/>
                <o:lock v:ext="edit" aspectratio="f"/>
              </v:line>
            </w:pict>
          </mc:Fallback>
        </mc:AlternateContent>
      </w:r>
    </w:p>
    <w:p w14:paraId="394819A6">
      <w:pPr>
        <w:pStyle w:val="66"/>
      </w:pPr>
      <w:bookmarkStart w:id="7" w:name="_Toc533518617"/>
      <w:bookmarkStart w:id="8" w:name="_Toc17801"/>
      <w:bookmarkStart w:id="9" w:name="_Toc21830"/>
      <w:r>
        <w:rPr>
          <w:rFonts w:hint="eastAsia"/>
        </w:rPr>
        <w:t>目</w:t>
      </w:r>
      <w:bookmarkStart w:id="10" w:name="BKML"/>
      <w:r>
        <w:rPr>
          <w:rFonts w:hint="eastAsia" w:ascii="MS Mincho" w:hAnsi="MS Mincho" w:eastAsia="MS Mincho" w:cs="MS Mincho"/>
        </w:rPr>
        <w:t>  </w:t>
      </w:r>
      <w:r>
        <w:rPr>
          <w:rFonts w:hint="eastAsia"/>
        </w:rPr>
        <w:t>次</w:t>
      </w:r>
      <w:bookmarkEnd w:id="7"/>
      <w:bookmarkEnd w:id="8"/>
      <w:bookmarkEnd w:id="9"/>
      <w:bookmarkEnd w:id="10"/>
    </w:p>
    <w:p w14:paraId="37AE61BC">
      <w:pPr>
        <w:pStyle w:val="20"/>
        <w:tabs>
          <w:tab w:val="right" w:leader="dot" w:pos="9354"/>
          <w:tab w:val="clear" w:pos="9241"/>
        </w:tabs>
        <w:spacing w:before="78" w:after="78"/>
      </w:pPr>
      <w:r>
        <w:fldChar w:fldCharType="begin"/>
      </w:r>
      <w:r>
        <w:instrText xml:space="preserve"> TOC \o "1-3" \h \z \u </w:instrText>
      </w:r>
      <w:r>
        <w:fldChar w:fldCharType="separate"/>
      </w:r>
      <w:r>
        <w:fldChar w:fldCharType="begin"/>
      </w:r>
      <w:r>
        <w:instrText xml:space="preserve"> HYPERLINK \l "_Toc19791" </w:instrText>
      </w:r>
      <w:r>
        <w:fldChar w:fldCharType="separate"/>
      </w:r>
      <w:r>
        <w:rPr>
          <w:rFonts w:hint="eastAsia"/>
        </w:rPr>
        <w:t>前</w:t>
      </w:r>
      <w:r>
        <w:rPr>
          <w:rFonts w:hint="eastAsia" w:ascii="MS Mincho" w:hAnsi="MS Mincho" w:eastAsia="MS Mincho" w:cs="MS Mincho"/>
        </w:rPr>
        <w:t>  </w:t>
      </w:r>
      <w:r>
        <w:rPr>
          <w:rFonts w:hint="eastAsia"/>
        </w:rPr>
        <w:t>言</w:t>
      </w:r>
      <w:r>
        <w:tab/>
      </w:r>
      <w:r>
        <w:fldChar w:fldCharType="begin"/>
      </w:r>
      <w:r>
        <w:instrText xml:space="preserve"> PAGEREF _Toc19791 \h </w:instrText>
      </w:r>
      <w:r>
        <w:fldChar w:fldCharType="separate"/>
      </w:r>
      <w:r>
        <w:t>I</w:t>
      </w:r>
      <w:r>
        <w:fldChar w:fldCharType="end"/>
      </w:r>
      <w:r>
        <w:fldChar w:fldCharType="end"/>
      </w:r>
    </w:p>
    <w:p w14:paraId="1CF262CF">
      <w:pPr>
        <w:pStyle w:val="29"/>
        <w:tabs>
          <w:tab w:val="right" w:leader="dot" w:pos="9354"/>
          <w:tab w:val="clear" w:pos="9241"/>
        </w:tabs>
      </w:pPr>
      <w:r>
        <w:fldChar w:fldCharType="begin"/>
      </w:r>
      <w:r>
        <w:instrText xml:space="preserve"> HYPERLINK \l "_Toc12368" </w:instrText>
      </w:r>
      <w:r>
        <w:fldChar w:fldCharType="separate"/>
      </w:r>
      <w:r>
        <w:t xml:space="preserve">1. </w:t>
      </w:r>
      <w:r>
        <w:rPr>
          <w:rFonts w:hint="eastAsia"/>
        </w:rPr>
        <w:t>范围</w:t>
      </w:r>
      <w:r>
        <w:tab/>
      </w:r>
      <w:r>
        <w:fldChar w:fldCharType="begin"/>
      </w:r>
      <w:r>
        <w:instrText xml:space="preserve"> PAGEREF _Toc12368 \h </w:instrText>
      </w:r>
      <w:r>
        <w:fldChar w:fldCharType="separate"/>
      </w:r>
      <w:r>
        <w:t>1</w:t>
      </w:r>
      <w:r>
        <w:fldChar w:fldCharType="end"/>
      </w:r>
      <w:r>
        <w:fldChar w:fldCharType="end"/>
      </w:r>
    </w:p>
    <w:p w14:paraId="032C9B9C">
      <w:pPr>
        <w:pStyle w:val="29"/>
        <w:tabs>
          <w:tab w:val="right" w:leader="dot" w:pos="9354"/>
          <w:tab w:val="clear" w:pos="9241"/>
        </w:tabs>
      </w:pPr>
      <w:r>
        <w:fldChar w:fldCharType="begin"/>
      </w:r>
      <w:r>
        <w:instrText xml:space="preserve"> HYPERLINK \l "_Toc29249" </w:instrText>
      </w:r>
      <w:r>
        <w:fldChar w:fldCharType="separate"/>
      </w:r>
      <w:r>
        <w:t xml:space="preserve">2. </w:t>
      </w:r>
      <w:r>
        <w:rPr>
          <w:rFonts w:hint="eastAsia"/>
        </w:rPr>
        <w:t>规范性引用文件</w:t>
      </w:r>
      <w:r>
        <w:tab/>
      </w:r>
      <w:r>
        <w:fldChar w:fldCharType="begin"/>
      </w:r>
      <w:r>
        <w:instrText xml:space="preserve"> PAGEREF _Toc29249 \h </w:instrText>
      </w:r>
      <w:r>
        <w:fldChar w:fldCharType="separate"/>
      </w:r>
      <w:r>
        <w:t>1</w:t>
      </w:r>
      <w:r>
        <w:fldChar w:fldCharType="end"/>
      </w:r>
      <w:r>
        <w:fldChar w:fldCharType="end"/>
      </w:r>
    </w:p>
    <w:p w14:paraId="55A4C623">
      <w:pPr>
        <w:pStyle w:val="29"/>
        <w:tabs>
          <w:tab w:val="right" w:leader="dot" w:pos="9354"/>
          <w:tab w:val="clear" w:pos="9241"/>
        </w:tabs>
      </w:pPr>
      <w:r>
        <w:fldChar w:fldCharType="begin"/>
      </w:r>
      <w:r>
        <w:instrText xml:space="preserve"> HYPERLINK \l "_Toc7618" </w:instrText>
      </w:r>
      <w:r>
        <w:fldChar w:fldCharType="separate"/>
      </w:r>
      <w:r>
        <w:t xml:space="preserve">3. </w:t>
      </w:r>
      <w:r>
        <w:rPr>
          <w:rFonts w:hint="eastAsia"/>
        </w:rPr>
        <w:t>术语和定义</w:t>
      </w:r>
      <w:r>
        <w:tab/>
      </w:r>
      <w:r>
        <w:fldChar w:fldCharType="begin"/>
      </w:r>
      <w:r>
        <w:instrText xml:space="preserve"> PAGEREF _Toc7618 \h </w:instrText>
      </w:r>
      <w:r>
        <w:fldChar w:fldCharType="separate"/>
      </w:r>
      <w:r>
        <w:t>1</w:t>
      </w:r>
      <w:r>
        <w:fldChar w:fldCharType="end"/>
      </w:r>
      <w:r>
        <w:fldChar w:fldCharType="end"/>
      </w:r>
    </w:p>
    <w:p w14:paraId="2352A83C">
      <w:pPr>
        <w:pStyle w:val="29"/>
        <w:tabs>
          <w:tab w:val="right" w:leader="dot" w:pos="9354"/>
          <w:tab w:val="clear" w:pos="9241"/>
        </w:tabs>
      </w:pPr>
      <w:r>
        <w:fldChar w:fldCharType="begin"/>
      </w:r>
      <w:r>
        <w:instrText xml:space="preserve"> HYPERLINK \l "_Toc5692" </w:instrText>
      </w:r>
      <w:r>
        <w:fldChar w:fldCharType="separate"/>
      </w:r>
      <w:r>
        <w:t xml:space="preserve">4. </w:t>
      </w:r>
      <w:r>
        <w:rPr>
          <w:rFonts w:hint="eastAsia"/>
        </w:rPr>
        <w:t>评价要求</w:t>
      </w:r>
      <w:r>
        <w:tab/>
      </w:r>
      <w:r>
        <w:fldChar w:fldCharType="begin"/>
      </w:r>
      <w:r>
        <w:instrText xml:space="preserve"> PAGEREF _Toc5692 \h </w:instrText>
      </w:r>
      <w:r>
        <w:fldChar w:fldCharType="separate"/>
      </w:r>
      <w:r>
        <w:t>3</w:t>
      </w:r>
      <w:r>
        <w:fldChar w:fldCharType="end"/>
      </w:r>
      <w:r>
        <w:fldChar w:fldCharType="end"/>
      </w:r>
    </w:p>
    <w:p w14:paraId="4AF6FBBE">
      <w:pPr>
        <w:pStyle w:val="29"/>
        <w:tabs>
          <w:tab w:val="right" w:leader="dot" w:pos="9354"/>
          <w:tab w:val="clear" w:pos="9241"/>
        </w:tabs>
      </w:pPr>
      <w:r>
        <w:fldChar w:fldCharType="begin"/>
      </w:r>
      <w:r>
        <w:instrText xml:space="preserve"> HYPERLINK \l "_Toc30204" </w:instrText>
      </w:r>
      <w:r>
        <w:fldChar w:fldCharType="separate"/>
      </w:r>
      <w:r>
        <w:t xml:space="preserve">5. </w:t>
      </w:r>
      <w:r>
        <w:rPr>
          <w:rFonts w:hint="eastAsia"/>
        </w:rPr>
        <w:t>评价方法</w:t>
      </w:r>
      <w:r>
        <w:tab/>
      </w:r>
      <w:r>
        <w:fldChar w:fldCharType="begin"/>
      </w:r>
      <w:r>
        <w:instrText xml:space="preserve"> PAGEREF _Toc30204 \h </w:instrText>
      </w:r>
      <w:r>
        <w:fldChar w:fldCharType="separate"/>
      </w:r>
      <w:r>
        <w:t>4</w:t>
      </w:r>
      <w:r>
        <w:fldChar w:fldCharType="end"/>
      </w:r>
      <w:r>
        <w:fldChar w:fldCharType="end"/>
      </w:r>
    </w:p>
    <w:p w14:paraId="1BF616F8">
      <w:pPr>
        <w:pStyle w:val="20"/>
        <w:tabs>
          <w:tab w:val="right" w:leader="dot" w:pos="9354"/>
          <w:tab w:val="clear" w:pos="9241"/>
        </w:tabs>
        <w:spacing w:before="78" w:after="78"/>
      </w:pPr>
      <w:r>
        <w:fldChar w:fldCharType="begin"/>
      </w:r>
      <w:r>
        <w:instrText xml:space="preserve"> HYPERLINK \l "_Toc31046" </w:instrText>
      </w:r>
      <w:r>
        <w:fldChar w:fldCharType="separate"/>
      </w:r>
      <w:r>
        <w:rPr>
          <w:rFonts w:hint="eastAsia" w:hAnsi="宋体" w:cs="宋体"/>
          <w:kern w:val="0"/>
          <w:szCs w:val="20"/>
        </w:rPr>
        <w:t>附录A</w:t>
      </w:r>
      <w:r>
        <w:rPr>
          <w:rFonts w:hint="eastAsia" w:hAnsi="宋体" w:cs="宋体"/>
          <w:kern w:val="0"/>
          <w:szCs w:val="20"/>
        </w:rPr>
        <w:fldChar w:fldCharType="end"/>
      </w:r>
      <w:r>
        <w:fldChar w:fldCharType="begin"/>
      </w:r>
      <w:r>
        <w:instrText xml:space="preserve"> HYPERLINK \l "_Toc19062" </w:instrText>
      </w:r>
      <w:r>
        <w:fldChar w:fldCharType="separate"/>
      </w:r>
      <w:r>
        <w:rPr>
          <w:rFonts w:hint="eastAsia" w:hAnsi="宋体" w:cs="宋体"/>
          <w:kern w:val="0"/>
          <w:szCs w:val="20"/>
        </w:rPr>
        <w:t>（规范性）</w:t>
      </w:r>
      <w:r>
        <w:rPr>
          <w:rFonts w:hint="eastAsia" w:hAnsi="宋体" w:cs="宋体"/>
          <w:kern w:val="0"/>
          <w:szCs w:val="20"/>
        </w:rPr>
        <w:fldChar w:fldCharType="end"/>
      </w:r>
      <w:r>
        <w:fldChar w:fldCharType="begin"/>
      </w:r>
      <w:r>
        <w:instrText xml:space="preserve"> HYPERLINK \l "_Toc19498" </w:instrText>
      </w:r>
      <w:r>
        <w:fldChar w:fldCharType="separate"/>
      </w:r>
      <w:r>
        <w:rPr>
          <w:rFonts w:hint="eastAsia" w:hAnsi="宋体" w:cs="宋体"/>
          <w:kern w:val="0"/>
          <w:szCs w:val="20"/>
        </w:rPr>
        <w:t>计算方法</w:t>
      </w:r>
      <w:r>
        <w:rPr>
          <w:rFonts w:hint="eastAsia" w:hAnsi="宋体" w:cs="宋体"/>
        </w:rPr>
        <w:tab/>
      </w:r>
      <w:r>
        <w:rPr>
          <w:rFonts w:hint="eastAsia" w:hAnsi="宋体" w:cs="宋体"/>
        </w:rPr>
        <w:fldChar w:fldCharType="begin"/>
      </w:r>
      <w:r>
        <w:rPr>
          <w:rFonts w:hint="eastAsia" w:hAnsi="宋体" w:cs="宋体"/>
        </w:rPr>
        <w:instrText xml:space="preserve"> PAGEREF _Toc19498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356E26D2">
      <w:pPr>
        <w:pStyle w:val="29"/>
        <w:tabs>
          <w:tab w:val="right" w:leader="dot" w:pos="9354"/>
          <w:tab w:val="clear" w:pos="9241"/>
        </w:tabs>
      </w:pPr>
    </w:p>
    <w:p w14:paraId="78B81673">
      <w:r>
        <w:rPr>
          <w:bCs/>
          <w:lang w:val="zh-CN"/>
        </w:rPr>
        <w:fldChar w:fldCharType="end"/>
      </w:r>
    </w:p>
    <w:p w14:paraId="4D688587">
      <w:pPr>
        <w:pStyle w:val="24"/>
      </w:pPr>
    </w:p>
    <w:p w14:paraId="0A64001E">
      <w:pPr>
        <w:pStyle w:val="24"/>
      </w:pPr>
    </w:p>
    <w:p w14:paraId="6A0D3546">
      <w:pPr>
        <w:pStyle w:val="24"/>
      </w:pPr>
    </w:p>
    <w:p w14:paraId="3139D9A0">
      <w:pPr>
        <w:pStyle w:val="24"/>
      </w:pPr>
    </w:p>
    <w:p w14:paraId="0C5A4CFE">
      <w:pPr>
        <w:pStyle w:val="24"/>
      </w:pPr>
    </w:p>
    <w:p w14:paraId="3639CCE5">
      <w:pPr>
        <w:pStyle w:val="24"/>
      </w:pPr>
    </w:p>
    <w:p w14:paraId="4F3DB358">
      <w:pPr>
        <w:pStyle w:val="24"/>
      </w:pPr>
    </w:p>
    <w:p w14:paraId="19F0F9E2">
      <w:pPr>
        <w:pStyle w:val="24"/>
      </w:pPr>
    </w:p>
    <w:p w14:paraId="62A7846C">
      <w:pPr>
        <w:pStyle w:val="24"/>
      </w:pPr>
    </w:p>
    <w:p w14:paraId="35C7FC1A">
      <w:pPr>
        <w:pStyle w:val="24"/>
      </w:pPr>
    </w:p>
    <w:p w14:paraId="2CC0CB0A">
      <w:pPr>
        <w:pStyle w:val="24"/>
      </w:pPr>
    </w:p>
    <w:p w14:paraId="2769C7C4">
      <w:pPr>
        <w:pStyle w:val="24"/>
      </w:pPr>
    </w:p>
    <w:p w14:paraId="58956562">
      <w:pPr>
        <w:pStyle w:val="24"/>
      </w:pPr>
    </w:p>
    <w:p w14:paraId="471501C5">
      <w:pPr>
        <w:pStyle w:val="24"/>
      </w:pPr>
    </w:p>
    <w:p w14:paraId="27A658F2">
      <w:pPr>
        <w:autoSpaceDE w:val="0"/>
        <w:autoSpaceDN w:val="0"/>
        <w:adjustRightInd w:val="0"/>
        <w:spacing w:before="640" w:after="560" w:line="460" w:lineRule="exact"/>
        <w:jc w:val="center"/>
        <w:rPr>
          <w:color w:val="000000"/>
          <w:kern w:val="0"/>
          <w:sz w:val="32"/>
          <w:szCs w:val="32"/>
        </w:rPr>
      </w:pPr>
      <w:bookmarkStart w:id="11" w:name="_Toc524004770"/>
    </w:p>
    <w:p w14:paraId="18DFC82E">
      <w:pPr>
        <w:autoSpaceDE w:val="0"/>
        <w:autoSpaceDN w:val="0"/>
        <w:adjustRightInd w:val="0"/>
        <w:spacing w:before="640" w:after="560" w:line="460" w:lineRule="exact"/>
        <w:jc w:val="center"/>
        <w:rPr>
          <w:color w:val="000000"/>
          <w:kern w:val="0"/>
          <w:sz w:val="32"/>
          <w:szCs w:val="32"/>
        </w:rPr>
      </w:pPr>
    </w:p>
    <w:p w14:paraId="2B1B0385">
      <w:pPr>
        <w:pStyle w:val="78"/>
      </w:pPr>
      <w:r>
        <w:rPr>
          <w:rFonts w:hint="eastAsia"/>
        </w:rPr>
        <w:t>前</w:t>
      </w:r>
      <w:r>
        <w:rPr>
          <w:rFonts w:hint="eastAsia" w:ascii="MS Mincho" w:hAnsi="MS Mincho" w:eastAsia="MS Mincho" w:cs="MS Mincho"/>
        </w:rPr>
        <w:t>  </w:t>
      </w:r>
      <w:r>
        <w:rPr>
          <w:rFonts w:hint="eastAsia"/>
        </w:rPr>
        <w:t>言</w:t>
      </w:r>
    </w:p>
    <w:p w14:paraId="67B079DF">
      <w:pPr>
        <w:pStyle w:val="24"/>
      </w:pPr>
      <w:r>
        <w:rPr>
          <w:rFonts w:hint="eastAsia"/>
        </w:rPr>
        <w:t>本文件按照GB/T 1.1-20</w:t>
      </w:r>
      <w:r>
        <w:t>20</w:t>
      </w:r>
      <w:r>
        <w:rPr>
          <w:rFonts w:hint="eastAsia"/>
        </w:rPr>
        <w:t>《标准化工作导则 第1部分：标准化文件的结构和起草规则》给出的规则起草。</w:t>
      </w:r>
    </w:p>
    <w:p w14:paraId="175662EE">
      <w:pPr>
        <w:pStyle w:val="24"/>
      </w:pPr>
      <w:r>
        <w:rPr>
          <w:rFonts w:hint="eastAsia"/>
        </w:rPr>
        <w:t>本文件是按中国工程建设标准化协会《关于印发&lt;中国工程建设标准化协会20</w:t>
      </w:r>
      <w:r>
        <w:t>21</w:t>
      </w:r>
      <w:r>
        <w:rPr>
          <w:rFonts w:hint="eastAsia"/>
        </w:rPr>
        <w:t>年第二批产品标准试点项目计划&gt;的通知》（建标协字〔20</w:t>
      </w:r>
      <w:r>
        <w:t>21</w:t>
      </w:r>
      <w:r>
        <w:rPr>
          <w:rFonts w:hint="eastAsia"/>
        </w:rPr>
        <w:t>〕</w:t>
      </w:r>
      <w:r>
        <w:t>20</w:t>
      </w:r>
      <w:r>
        <w:rPr>
          <w:rFonts w:hint="eastAsia"/>
        </w:rPr>
        <w:t>号）的要求制定。</w:t>
      </w:r>
    </w:p>
    <w:p w14:paraId="15D43C39">
      <w:pPr>
        <w:pStyle w:val="24"/>
      </w:pPr>
      <w:r>
        <w:rPr>
          <w:rFonts w:hint="eastAsia"/>
        </w:rPr>
        <w:t>本文件的某些内容可能涉及专利。本文件的发布机构不承担识别这些专利的责任。</w:t>
      </w:r>
    </w:p>
    <w:p w14:paraId="6ADBFBF0">
      <w:pPr>
        <w:pStyle w:val="24"/>
      </w:pPr>
      <w:r>
        <w:rPr>
          <w:rFonts w:hint="eastAsia"/>
        </w:rPr>
        <w:t>本文件由中国工程建设标准化协会提出。</w:t>
      </w:r>
    </w:p>
    <w:p w14:paraId="3920193C">
      <w:pPr>
        <w:pStyle w:val="24"/>
      </w:pPr>
      <w:r>
        <w:rPr>
          <w:rFonts w:hint="eastAsia"/>
        </w:rPr>
        <w:t>本文件由中国工程建设标准化协会绿色建筑与生态城区专业委员会归口。</w:t>
      </w:r>
    </w:p>
    <w:p w14:paraId="149BF8CC">
      <w:pPr>
        <w:pStyle w:val="24"/>
      </w:pPr>
      <w:r>
        <w:rPr>
          <w:rFonts w:hint="eastAsia"/>
        </w:rPr>
        <w:t>本文件负责起草单位：住房和城乡建设部科技与产业发展中心。</w:t>
      </w:r>
    </w:p>
    <w:p w14:paraId="4C619C28">
      <w:pPr>
        <w:widowControl/>
        <w:ind w:firstLine="420" w:firstLineChars="200"/>
        <w:rPr>
          <w:rFonts w:hint="eastAsia" w:ascii="宋体" w:hAnsi="宋体" w:eastAsia="宋体" w:cs="宋体"/>
          <w:color w:val="000000"/>
          <w:kern w:val="0"/>
          <w:sz w:val="22"/>
          <w:szCs w:val="22"/>
          <w:lang w:eastAsia="zh-CN"/>
        </w:rPr>
      </w:pPr>
      <w:r>
        <w:rPr>
          <w:rFonts w:hint="eastAsia"/>
        </w:rPr>
        <w:t>本文件参加起草单位：中国国检测试控股集团股份有限公司、西安建筑科大工程技术有限公司、武汉产品质量监督检验建材站、宁波一中管桩有限公司、上海隧道工程有限公司构件分公司、铁正检测科技有限公司、建华建材（中国）有限公司、湖北建筑科学研究设计院股份有限公司、中交四航局第一工程有限公司、广东三和管桩股份有限公司、陕西凝远新材料科技股份有限公司、嘉兴欣创混凝土制品有限公司、葛洲坝石门特种水泥有限公司、江苏横山南方水泥有限公司、宁波中淳高科股份有限公司、江西龙正科技发展有限公司、冀东水泥铜川有限公司、上海建科检验有限公司、保利长大工程有限公司、浙江雄宇混凝土构件有限公司、新疆天天向上建材有限公司</w:t>
      </w:r>
      <w:r>
        <w:rPr>
          <w:rFonts w:hint="eastAsia"/>
          <w:lang w:eastAsia="zh-CN"/>
        </w:rPr>
        <w:t>。</w:t>
      </w:r>
    </w:p>
    <w:p w14:paraId="6F689911">
      <w:pPr>
        <w:pStyle w:val="24"/>
      </w:pPr>
      <w:r>
        <w:rPr>
          <w:rFonts w:hint="eastAsia"/>
        </w:rPr>
        <w:t>本文件主要起草人：</w:t>
      </w:r>
    </w:p>
    <w:p w14:paraId="3AD9416D">
      <w:pPr>
        <w:pStyle w:val="24"/>
      </w:pPr>
      <w:r>
        <w:t>本文件主要审查人</w:t>
      </w:r>
      <w:r>
        <w:rPr>
          <w:rFonts w:hint="eastAsia"/>
        </w:rPr>
        <w:t xml:space="preserve">： </w:t>
      </w:r>
    </w:p>
    <w:p w14:paraId="1BE70802">
      <w:pPr>
        <w:autoSpaceDE w:val="0"/>
        <w:autoSpaceDN w:val="0"/>
        <w:adjustRightInd w:val="0"/>
        <w:spacing w:before="640" w:after="560" w:line="460" w:lineRule="exact"/>
        <w:jc w:val="center"/>
        <w:rPr>
          <w:color w:val="000000"/>
          <w:kern w:val="0"/>
          <w:sz w:val="32"/>
          <w:szCs w:val="32"/>
        </w:rPr>
      </w:pPr>
    </w:p>
    <w:bookmarkEnd w:id="11"/>
    <w:p w14:paraId="3217BB35">
      <w:pPr>
        <w:pStyle w:val="66"/>
        <w:snapToGrid w:val="0"/>
        <w:rPr>
          <w:rFonts w:hAnsi="黑体"/>
          <w:color w:val="000000"/>
          <w:szCs w:val="52"/>
        </w:rPr>
      </w:pPr>
      <w:bookmarkStart w:id="12" w:name="_Toc533518619"/>
      <w:bookmarkStart w:id="13" w:name="_Toc8911"/>
      <w:bookmarkStart w:id="14" w:name="_Toc23021"/>
      <w:r>
        <w:rPr>
          <w:rFonts w:hint="eastAsia" w:hAnsi="黑体"/>
          <w:color w:val="000000"/>
          <w:szCs w:val="52"/>
        </w:rPr>
        <w:t xml:space="preserve">绿色建材评价标准 </w:t>
      </w:r>
      <w:bookmarkEnd w:id="12"/>
      <w:r>
        <w:rPr>
          <w:rFonts w:hint="eastAsia" w:hAnsi="黑体"/>
          <w:color w:val="000000"/>
          <w:szCs w:val="52"/>
        </w:rPr>
        <w:t>预制混凝土衬砌管片、桩</w:t>
      </w:r>
      <w:bookmarkEnd w:id="13"/>
      <w:bookmarkEnd w:id="14"/>
    </w:p>
    <w:p w14:paraId="124D53F5">
      <w:pPr>
        <w:pStyle w:val="145"/>
        <w:numPr>
          <w:ilvl w:val="0"/>
          <w:numId w:val="17"/>
        </w:numPr>
        <w:spacing w:before="312" w:after="312"/>
        <w:ind w:left="0" w:firstLine="0"/>
        <w:rPr>
          <w:color w:val="000000"/>
        </w:rPr>
      </w:pPr>
      <w:bookmarkStart w:id="15" w:name="_Toc11421"/>
      <w:bookmarkStart w:id="16" w:name="_Toc12368"/>
      <w:bookmarkStart w:id="17" w:name="_Toc360436746"/>
      <w:bookmarkStart w:id="18" w:name="_Toc396134027"/>
      <w:bookmarkStart w:id="19" w:name="_Toc360436832"/>
      <w:bookmarkStart w:id="20" w:name="_Toc406486337"/>
      <w:bookmarkStart w:id="21" w:name="_Toc350863984"/>
      <w:bookmarkStart w:id="22" w:name="_Toc360632420"/>
      <w:bookmarkStart w:id="23" w:name="_Toc462063250"/>
      <w:r>
        <w:rPr>
          <w:rFonts w:hint="eastAsia"/>
          <w:color w:val="000000"/>
        </w:rPr>
        <w:t>范围</w:t>
      </w:r>
      <w:bookmarkEnd w:id="15"/>
      <w:bookmarkEnd w:id="16"/>
      <w:bookmarkEnd w:id="17"/>
      <w:bookmarkEnd w:id="18"/>
      <w:bookmarkEnd w:id="19"/>
      <w:bookmarkEnd w:id="20"/>
      <w:bookmarkEnd w:id="21"/>
      <w:bookmarkEnd w:id="22"/>
      <w:bookmarkEnd w:id="23"/>
    </w:p>
    <w:p w14:paraId="07019244">
      <w:pPr>
        <w:pStyle w:val="24"/>
        <w:rPr>
          <w:rFonts w:ascii="Times New Roman"/>
        </w:rPr>
      </w:pPr>
      <w:bookmarkStart w:id="24" w:name="_Toc360632421"/>
      <w:bookmarkStart w:id="25" w:name="_Toc396134028"/>
      <w:bookmarkStart w:id="26" w:name="_Toc406486338"/>
      <w:bookmarkStart w:id="27" w:name="_Toc360436747"/>
      <w:bookmarkStart w:id="28" w:name="_Toc350863985"/>
      <w:bookmarkStart w:id="29" w:name="_Toc360436833"/>
      <w:r>
        <w:rPr>
          <w:rFonts w:ascii="Times New Roman"/>
        </w:rPr>
        <w:t>本</w:t>
      </w:r>
      <w:r>
        <w:rPr>
          <w:rFonts w:hint="eastAsia" w:ascii="Times New Roman"/>
        </w:rPr>
        <w:t>文件</w:t>
      </w:r>
      <w:r>
        <w:rPr>
          <w:rFonts w:ascii="Times New Roman"/>
        </w:rPr>
        <w:t>规定了</w:t>
      </w:r>
      <w:r>
        <w:rPr>
          <w:rFonts w:hint="eastAsia" w:ascii="Times New Roman"/>
        </w:rPr>
        <w:t>预制混凝土衬砌管片、桩</w:t>
      </w:r>
      <w:r>
        <w:rPr>
          <w:rFonts w:ascii="Times New Roman"/>
        </w:rPr>
        <w:t>绿色建材评价的</w:t>
      </w:r>
      <w:r>
        <w:rPr>
          <w:rFonts w:hint="eastAsia" w:ascii="Times New Roman"/>
        </w:rPr>
        <w:t>术语和定义、</w:t>
      </w:r>
      <w:r>
        <w:rPr>
          <w:rFonts w:ascii="Times New Roman"/>
        </w:rPr>
        <w:t>评价要求和评价方法。</w:t>
      </w:r>
    </w:p>
    <w:p w14:paraId="139D9A8C">
      <w:pPr>
        <w:pStyle w:val="24"/>
        <w:rPr>
          <w:rFonts w:ascii="Times New Roman"/>
        </w:rPr>
      </w:pPr>
      <w:r>
        <w:rPr>
          <w:rFonts w:ascii="Times New Roman"/>
        </w:rPr>
        <w:t>本</w:t>
      </w:r>
      <w:r>
        <w:rPr>
          <w:rFonts w:hint="eastAsia" w:ascii="Times New Roman"/>
        </w:rPr>
        <w:t>文件</w:t>
      </w:r>
      <w:r>
        <w:rPr>
          <w:rFonts w:ascii="Times New Roman"/>
        </w:rPr>
        <w:t>适用于</w:t>
      </w:r>
      <w:r>
        <w:rPr>
          <w:rFonts w:hint="eastAsia" w:ascii="Times New Roman"/>
        </w:rPr>
        <w:t>预制混凝土衬砌管片、桩</w:t>
      </w:r>
      <w:r>
        <w:rPr>
          <w:rFonts w:ascii="Times New Roman"/>
        </w:rPr>
        <w:t>的绿色建材评价。</w:t>
      </w:r>
    </w:p>
    <w:p w14:paraId="7AB7C266">
      <w:pPr>
        <w:pStyle w:val="64"/>
        <w:numPr>
          <w:ilvl w:val="0"/>
          <w:numId w:val="17"/>
        </w:numPr>
        <w:tabs>
          <w:tab w:val="left" w:pos="0"/>
        </w:tabs>
        <w:ind w:left="0" w:firstLine="0"/>
        <w:outlineLvl w:val="0"/>
        <w:rPr>
          <w:color w:val="000000"/>
        </w:rPr>
      </w:pPr>
      <w:bookmarkStart w:id="30" w:name="_Toc29249"/>
      <w:bookmarkStart w:id="31" w:name="_Toc462063251"/>
      <w:bookmarkStart w:id="32" w:name="_Toc1729"/>
      <w:r>
        <w:rPr>
          <w:rFonts w:hint="eastAsia"/>
          <w:color w:val="000000"/>
        </w:rPr>
        <w:t>规范性引用文件</w:t>
      </w:r>
      <w:bookmarkEnd w:id="24"/>
      <w:bookmarkEnd w:id="25"/>
      <w:bookmarkEnd w:id="26"/>
      <w:bookmarkEnd w:id="27"/>
      <w:bookmarkEnd w:id="28"/>
      <w:bookmarkEnd w:id="29"/>
      <w:bookmarkEnd w:id="30"/>
      <w:bookmarkEnd w:id="31"/>
      <w:bookmarkEnd w:id="32"/>
    </w:p>
    <w:p w14:paraId="7586F9A4">
      <w:pPr>
        <w:pStyle w:val="24"/>
        <w:rPr>
          <w:rFonts w:ascii="Times New Roman"/>
          <w:bCs/>
        </w:rPr>
      </w:pPr>
      <w:bookmarkStart w:id="33" w:name="_Toc360436834"/>
      <w:bookmarkStart w:id="34" w:name="_Toc406486339"/>
      <w:bookmarkStart w:id="35" w:name="_Toc396134029"/>
      <w:bookmarkStart w:id="36" w:name="_Toc360436748"/>
      <w:bookmarkStart w:id="37" w:name="_Toc350863986"/>
      <w:bookmarkStart w:id="38" w:name="_Toc360632422"/>
      <w:bookmarkStart w:id="39" w:name="_Toc462063252"/>
      <w:r>
        <w:rPr>
          <w:rFonts w:hint="eastAsia" w:ascii="Times New Roman"/>
          <w:bCs/>
        </w:rPr>
        <w:t>下列文件中的内容通过文中规范性引用而构成本文件必不可少的条款。其中，注日期的引用文件，仅该日期对应的版本适用于本文件。不注日期的引用文件，其最新版本（包括所有的修改单）适用于本文件。</w:t>
      </w:r>
    </w:p>
    <w:p w14:paraId="53B67FD3">
      <w:pPr>
        <w:pStyle w:val="24"/>
        <w:rPr>
          <w:rFonts w:ascii="Times New Roman"/>
        </w:rPr>
      </w:pPr>
      <w:r>
        <w:rPr>
          <w:rFonts w:hint="eastAsia" w:ascii="Times New Roman"/>
        </w:rPr>
        <w:t>GB 8978 污水综合排放标准</w:t>
      </w:r>
    </w:p>
    <w:p w14:paraId="2676874F">
      <w:pPr>
        <w:pStyle w:val="24"/>
        <w:rPr>
          <w:rFonts w:ascii="Times New Roman"/>
        </w:rPr>
      </w:pPr>
      <w:r>
        <w:rPr>
          <w:rFonts w:hint="eastAsia" w:ascii="Times New Roman"/>
        </w:rPr>
        <w:t>GB 12348 工业企业厂界环境噪声排放标准</w:t>
      </w:r>
    </w:p>
    <w:p w14:paraId="6C8FEA42">
      <w:pPr>
        <w:pStyle w:val="24"/>
        <w:rPr>
          <w:rFonts w:ascii="Times New Roman"/>
        </w:rPr>
      </w:pPr>
      <w:r>
        <w:rPr>
          <w:rFonts w:hint="eastAsia" w:ascii="Times New Roman"/>
        </w:rPr>
        <w:t>GB/T 13476 先张法预应力混凝土管桩</w:t>
      </w:r>
    </w:p>
    <w:p w14:paraId="6FC2FEE1">
      <w:pPr>
        <w:pStyle w:val="24"/>
        <w:rPr>
          <w:rFonts w:ascii="Times New Roman"/>
        </w:rPr>
      </w:pPr>
      <w:r>
        <w:rPr>
          <w:rFonts w:hint="eastAsia" w:ascii="Times New Roman"/>
        </w:rPr>
        <w:t>GB 16297 大气污染物综合排放标准</w:t>
      </w:r>
    </w:p>
    <w:p w14:paraId="3B3A004E">
      <w:pPr>
        <w:pStyle w:val="24"/>
        <w:rPr>
          <w:rFonts w:ascii="Times New Roman"/>
        </w:rPr>
      </w:pPr>
      <w:r>
        <w:rPr>
          <w:rFonts w:hint="eastAsia" w:ascii="Times New Roman"/>
        </w:rPr>
        <w:t>GB 17167 用能单位能源计量器具配备和管理通则</w:t>
      </w:r>
    </w:p>
    <w:p w14:paraId="31DE2B30">
      <w:pPr>
        <w:pStyle w:val="24"/>
        <w:rPr>
          <w:rFonts w:ascii="Times New Roman"/>
        </w:rPr>
      </w:pPr>
      <w:r>
        <w:rPr>
          <w:rFonts w:ascii="Times New Roman"/>
        </w:rPr>
        <w:t>GB/T 19001 质量管理体系 要求</w:t>
      </w:r>
    </w:p>
    <w:p w14:paraId="257B6AB3">
      <w:pPr>
        <w:pStyle w:val="24"/>
        <w:rPr>
          <w:rFonts w:ascii="Times New Roman"/>
        </w:rPr>
      </w:pPr>
      <w:r>
        <w:rPr>
          <w:rFonts w:hint="eastAsia" w:ascii="Times New Roman"/>
        </w:rPr>
        <w:t>GB/T 22082 预制混凝土衬砌管片</w:t>
      </w:r>
    </w:p>
    <w:p w14:paraId="47D11E26">
      <w:pPr>
        <w:pStyle w:val="24"/>
        <w:rPr>
          <w:rFonts w:ascii="Times New Roman"/>
        </w:rPr>
      </w:pPr>
      <w:r>
        <w:rPr>
          <w:rFonts w:ascii="Times New Roman"/>
        </w:rPr>
        <w:t>GB/T 24001 环境管理体系 要求及使用指南</w:t>
      </w:r>
    </w:p>
    <w:p w14:paraId="32A13012">
      <w:pPr>
        <w:pStyle w:val="24"/>
        <w:rPr>
          <w:rFonts w:ascii="Times New Roman"/>
        </w:rPr>
      </w:pPr>
      <w:r>
        <w:rPr>
          <w:rFonts w:hint="eastAsia" w:ascii="Times New Roman"/>
        </w:rPr>
        <w:t>GB/T 24025 环境标志和声明 Ⅲ型环境声明 原则和程序</w:t>
      </w:r>
    </w:p>
    <w:p w14:paraId="276B8BFB">
      <w:pPr>
        <w:pStyle w:val="24"/>
        <w:rPr>
          <w:rFonts w:ascii="Times New Roman"/>
        </w:rPr>
      </w:pPr>
      <w:r>
        <w:rPr>
          <w:rFonts w:hint="eastAsia" w:ascii="Times New Roman"/>
        </w:rPr>
        <w:t>GB/T 28001 职业健康安全管理体系 要求</w:t>
      </w:r>
    </w:p>
    <w:p w14:paraId="67E63970">
      <w:pPr>
        <w:pStyle w:val="24"/>
        <w:rPr>
          <w:rFonts w:ascii="Times New Roman"/>
        </w:rPr>
      </w:pPr>
      <w:r>
        <w:rPr>
          <w:rFonts w:hint="eastAsia" w:ascii="Times New Roman"/>
        </w:rPr>
        <w:t>GB/T 31039 先张法预应力离心混凝土异形桩</w:t>
      </w:r>
    </w:p>
    <w:p w14:paraId="00F33389">
      <w:pPr>
        <w:pStyle w:val="24"/>
        <w:rPr>
          <w:rFonts w:ascii="Times New Roman"/>
        </w:rPr>
      </w:pPr>
      <w:r>
        <w:rPr>
          <w:rFonts w:hint="eastAsia" w:ascii="Times New Roman"/>
        </w:rPr>
        <w:t>GB 38263-2019 水泥制品单位产品能源消耗限额</w:t>
      </w:r>
    </w:p>
    <w:p w14:paraId="23315C30">
      <w:pPr>
        <w:pStyle w:val="24"/>
        <w:rPr>
          <w:rFonts w:ascii="Times New Roman"/>
        </w:rPr>
      </w:pPr>
      <w:r>
        <w:rPr>
          <w:rFonts w:hint="eastAsia" w:ascii="Times New Roman"/>
        </w:rPr>
        <w:t>GB/T 50081 混凝土物理力学性能试验方法标准</w:t>
      </w:r>
    </w:p>
    <w:p w14:paraId="06D5E95E">
      <w:pPr>
        <w:pStyle w:val="24"/>
        <w:rPr>
          <w:rFonts w:ascii="Times New Roman"/>
        </w:rPr>
      </w:pPr>
      <w:r>
        <w:rPr>
          <w:rFonts w:hint="eastAsia" w:ascii="Times New Roman"/>
        </w:rPr>
        <w:t>GB/T 50082 普通混凝土长期性能和耐久性能试验方法标准</w:t>
      </w:r>
    </w:p>
    <w:p w14:paraId="3E8CB693">
      <w:pPr>
        <w:pStyle w:val="24"/>
        <w:rPr>
          <w:rFonts w:ascii="Times New Roman"/>
        </w:rPr>
      </w:pPr>
      <w:r>
        <w:rPr>
          <w:rFonts w:hint="eastAsia" w:ascii="Times New Roman"/>
        </w:rPr>
        <w:t>GB/T 50107 混凝土强度检验评定标准</w:t>
      </w:r>
    </w:p>
    <w:p w14:paraId="11682147">
      <w:pPr>
        <w:pStyle w:val="24"/>
        <w:rPr>
          <w:rFonts w:ascii="Times New Roman"/>
        </w:rPr>
      </w:pPr>
      <w:r>
        <w:rPr>
          <w:rFonts w:hint="eastAsia" w:ascii="Times New Roman"/>
        </w:rPr>
        <w:t>GB 50164 混凝土质量控制标准</w:t>
      </w:r>
    </w:p>
    <w:p w14:paraId="30099AD5">
      <w:pPr>
        <w:pStyle w:val="24"/>
        <w:rPr>
          <w:rFonts w:ascii="Times New Roman"/>
        </w:rPr>
      </w:pPr>
      <w:r>
        <w:rPr>
          <w:rFonts w:hint="eastAsia" w:ascii="Times New Roman"/>
        </w:rPr>
        <w:t xml:space="preserve">GB 50178 </w:t>
      </w:r>
      <w:r>
        <w:fldChar w:fldCharType="begin"/>
      </w:r>
      <w:r>
        <w:instrText xml:space="preserve"> HYPERLINK "http://www.baidu.com/link?url=g1BVEDwuNW50c-XmxF013mrFlevCza3GYMLYdmlndiwgAv8haTj2fNM72PJjfm92" \t "https://www.baidu.com/_blank" </w:instrText>
      </w:r>
      <w:r>
        <w:fldChar w:fldCharType="separate"/>
      </w:r>
      <w:r>
        <w:rPr>
          <w:rFonts w:ascii="Times New Roman"/>
        </w:rPr>
        <w:t>建筑气候区划标准</w:t>
      </w:r>
      <w:r>
        <w:rPr>
          <w:rFonts w:ascii="Times New Roman"/>
        </w:rPr>
        <w:fldChar w:fldCharType="end"/>
      </w:r>
    </w:p>
    <w:p w14:paraId="642210D1">
      <w:pPr>
        <w:pStyle w:val="24"/>
        <w:rPr>
          <w:rFonts w:ascii="Times New Roman"/>
        </w:rPr>
      </w:pPr>
      <w:r>
        <w:rPr>
          <w:rFonts w:hint="eastAsia" w:ascii="Times New Roman"/>
        </w:rPr>
        <w:t>GBZ/T 192.1 工作场所空气中粉尘测定 第1部分总粉尘浓度</w:t>
      </w:r>
    </w:p>
    <w:p w14:paraId="71A4BB8A">
      <w:pPr>
        <w:pStyle w:val="24"/>
        <w:rPr>
          <w:rFonts w:ascii="Times New Roman"/>
        </w:rPr>
      </w:pPr>
      <w:r>
        <w:rPr>
          <w:rFonts w:ascii="Times New Roman"/>
        </w:rPr>
        <w:t xml:space="preserve">JC/T 888 先张法预应力混凝土薄壁管桩 </w:t>
      </w:r>
    </w:p>
    <w:p w14:paraId="0CF91E61">
      <w:pPr>
        <w:pStyle w:val="24"/>
        <w:rPr>
          <w:rFonts w:ascii="Times New Roman"/>
        </w:rPr>
      </w:pPr>
      <w:r>
        <w:rPr>
          <w:rFonts w:hint="eastAsia" w:ascii="Times New Roman"/>
        </w:rPr>
        <w:t>JC/T 934 预制钢筋混凝土方桩</w:t>
      </w:r>
    </w:p>
    <w:p w14:paraId="71F1ABF6">
      <w:pPr>
        <w:pStyle w:val="24"/>
        <w:rPr>
          <w:rFonts w:ascii="Times New Roman"/>
        </w:rPr>
      </w:pPr>
      <w:r>
        <w:rPr>
          <w:rFonts w:hint="eastAsia" w:ascii="Times New Roman"/>
        </w:rPr>
        <w:t>JC/T 2029 预应力离心混凝土空心方桩</w:t>
      </w:r>
    </w:p>
    <w:p w14:paraId="791A8726">
      <w:pPr>
        <w:pStyle w:val="24"/>
        <w:rPr>
          <w:rFonts w:ascii="Times New Roman"/>
        </w:rPr>
      </w:pPr>
      <w:r>
        <w:rPr>
          <w:rFonts w:ascii="Times New Roman"/>
        </w:rPr>
        <w:t>JC/T 2723 预应力混凝土实心方桩</w:t>
      </w:r>
    </w:p>
    <w:p w14:paraId="2156AF08">
      <w:pPr>
        <w:pStyle w:val="24"/>
        <w:rPr>
          <w:rFonts w:ascii="Times New Roman"/>
        </w:rPr>
      </w:pPr>
      <w:r>
        <w:rPr>
          <w:rFonts w:hint="eastAsia" w:ascii="Times New Roman"/>
        </w:rPr>
        <w:t>JG/T 197 预应力混凝土空心方桩</w:t>
      </w:r>
    </w:p>
    <w:p w14:paraId="3F0739F6">
      <w:pPr>
        <w:pStyle w:val="24"/>
        <w:rPr>
          <w:rFonts w:ascii="Times New Roman"/>
        </w:rPr>
      </w:pPr>
      <w:r>
        <w:rPr>
          <w:rFonts w:ascii="Times New Roman"/>
        </w:rPr>
        <w:t>JG∕T</w:t>
      </w:r>
      <w:r>
        <w:rPr>
          <w:rFonts w:hint="eastAsia" w:ascii="Times New Roman"/>
        </w:rPr>
        <w:t xml:space="preserve"> </w:t>
      </w:r>
      <w:r>
        <w:rPr>
          <w:rFonts w:ascii="Times New Roman"/>
        </w:rPr>
        <w:t>272</w:t>
      </w:r>
      <w:r>
        <w:rPr>
          <w:rFonts w:hint="eastAsia" w:ascii="Times New Roman"/>
        </w:rPr>
        <w:t xml:space="preserve"> </w:t>
      </w:r>
      <w:r>
        <w:rPr>
          <w:rFonts w:ascii="Times New Roman"/>
        </w:rPr>
        <w:t>预制高强混凝土薄壁钢管桩</w:t>
      </w:r>
    </w:p>
    <w:p w14:paraId="5E040FCC">
      <w:pPr>
        <w:pStyle w:val="24"/>
        <w:rPr>
          <w:rFonts w:ascii="Times New Roman"/>
        </w:rPr>
      </w:pPr>
      <w:r>
        <w:rPr>
          <w:rFonts w:hint="eastAsia" w:ascii="Times New Roman"/>
        </w:rPr>
        <w:t xml:space="preserve">JGJ/T 193 </w:t>
      </w:r>
      <w:r>
        <w:rPr>
          <w:rFonts w:ascii="Times New Roman"/>
        </w:rPr>
        <w:t>混凝土耐久性检验评定标准</w:t>
      </w:r>
    </w:p>
    <w:p w14:paraId="5857F028">
      <w:pPr>
        <w:pStyle w:val="64"/>
        <w:numPr>
          <w:ilvl w:val="0"/>
          <w:numId w:val="17"/>
        </w:numPr>
        <w:tabs>
          <w:tab w:val="left" w:pos="0"/>
        </w:tabs>
        <w:ind w:left="0" w:firstLine="0"/>
        <w:outlineLvl w:val="0"/>
        <w:rPr>
          <w:color w:val="000000"/>
        </w:rPr>
      </w:pPr>
      <w:bookmarkStart w:id="40" w:name="_Toc30953"/>
      <w:bookmarkStart w:id="41" w:name="_Toc7618"/>
      <w:r>
        <w:rPr>
          <w:rFonts w:hint="eastAsia"/>
          <w:color w:val="000000"/>
        </w:rPr>
        <w:t>术语和定义</w:t>
      </w:r>
      <w:bookmarkEnd w:id="33"/>
      <w:bookmarkEnd w:id="34"/>
      <w:bookmarkEnd w:id="35"/>
      <w:bookmarkEnd w:id="36"/>
      <w:bookmarkEnd w:id="37"/>
      <w:bookmarkEnd w:id="38"/>
      <w:bookmarkEnd w:id="39"/>
      <w:bookmarkEnd w:id="40"/>
      <w:bookmarkEnd w:id="41"/>
    </w:p>
    <w:p w14:paraId="0F7E9E7D">
      <w:pPr>
        <w:pStyle w:val="24"/>
        <w:rPr>
          <w:color w:val="000000"/>
        </w:rPr>
      </w:pPr>
      <w:r>
        <w:rPr>
          <w:rFonts w:hint="eastAsia"/>
          <w:color w:val="000000"/>
        </w:rPr>
        <w:t>下列术语和定义适用于本文件。</w:t>
      </w:r>
    </w:p>
    <w:p w14:paraId="238CCEA3">
      <w:pPr>
        <w:spacing w:before="156" w:beforeLines="50" w:after="156" w:afterLines="50"/>
        <w:rPr>
          <w:rFonts w:ascii="黑体" w:eastAsia="黑体"/>
          <w:color w:val="000000"/>
        </w:rPr>
      </w:pPr>
      <w:bookmarkStart w:id="42" w:name="_Toc396134030"/>
      <w:bookmarkStart w:id="43" w:name="_Toc360436835"/>
      <w:bookmarkStart w:id="44" w:name="_Toc360632423"/>
      <w:bookmarkStart w:id="45" w:name="_Toc30005"/>
      <w:bookmarkStart w:id="46" w:name="_Toc397348586"/>
      <w:bookmarkStart w:id="47" w:name="_Toc360632654"/>
      <w:bookmarkStart w:id="48" w:name="_Toc406486340"/>
      <w:bookmarkStart w:id="49" w:name="_Toc360436749"/>
      <w:bookmarkStart w:id="50" w:name="_Toc384816546"/>
      <w:bookmarkStart w:id="51" w:name="_Toc533518623"/>
      <w:bookmarkStart w:id="52" w:name="_Toc396118199"/>
      <w:bookmarkStart w:id="53" w:name="_Toc397433558"/>
      <w:bookmarkStart w:id="54" w:name="_Toc406143963"/>
      <w:bookmarkStart w:id="55" w:name="_Toc350863987"/>
      <w:bookmarkStart w:id="56" w:name="_Toc408495873"/>
      <w:bookmarkStart w:id="57" w:name="_Toc462063253"/>
      <w:bookmarkStart w:id="58" w:name="_Toc6509"/>
      <w:r>
        <w:rPr>
          <w:rFonts w:hint="eastAsia" w:ascii="黑体" w:eastAsia="黑体"/>
          <w:color w:val="000000"/>
        </w:rPr>
        <w:t>3.1</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ascii="黑体" w:eastAsia="黑体"/>
          <w:color w:val="000000"/>
        </w:rPr>
        <w:t xml:space="preserve"> </w:t>
      </w:r>
    </w:p>
    <w:p w14:paraId="21FC77C6">
      <w:pPr>
        <w:widowControl/>
        <w:tabs>
          <w:tab w:val="center" w:pos="4201"/>
          <w:tab w:val="right" w:leader="dot" w:pos="9298"/>
        </w:tabs>
        <w:autoSpaceDE w:val="0"/>
        <w:autoSpaceDN w:val="0"/>
        <w:ind w:firstLine="420" w:firstLineChars="200"/>
        <w:rPr>
          <w:sz w:val="24"/>
        </w:rPr>
      </w:pPr>
      <w:r>
        <w:rPr>
          <w:rFonts w:eastAsia="黑体"/>
        </w:rPr>
        <w:t>绿色建材  green building material</w:t>
      </w:r>
    </w:p>
    <w:p w14:paraId="575E4F37">
      <w:pPr>
        <w:widowControl/>
        <w:tabs>
          <w:tab w:val="center" w:pos="4201"/>
          <w:tab w:val="right" w:leader="dot" w:pos="9298"/>
        </w:tabs>
        <w:autoSpaceDE w:val="0"/>
        <w:autoSpaceDN w:val="0"/>
        <w:ind w:firstLine="420" w:firstLineChars="200"/>
        <w:rPr>
          <w:kern w:val="0"/>
          <w:szCs w:val="20"/>
        </w:rPr>
      </w:pPr>
      <w:r>
        <w:rPr>
          <w:rFonts w:hint="eastAsia"/>
          <w:kern w:val="0"/>
          <w:szCs w:val="20"/>
        </w:rPr>
        <w:t>在</w:t>
      </w:r>
      <w:r>
        <w:rPr>
          <w:kern w:val="0"/>
          <w:szCs w:val="20"/>
        </w:rPr>
        <w:t>全生命周期内可减少对天然资源消耗和减轻对生态环境影响，具有“节能、减排、安全、便利和可循环”特征的建材产品。</w:t>
      </w:r>
    </w:p>
    <w:p w14:paraId="1DC80F5B">
      <w:pPr>
        <w:spacing w:before="156" w:beforeLines="50" w:after="156" w:afterLines="50"/>
        <w:rPr>
          <w:rFonts w:ascii="黑体" w:eastAsia="黑体"/>
        </w:rPr>
      </w:pPr>
      <w:bookmarkStart w:id="59" w:name="_Toc533518624"/>
      <w:bookmarkStart w:id="60" w:name="_Toc5925"/>
      <w:r>
        <w:rPr>
          <w:rFonts w:hint="eastAsia" w:ascii="黑体" w:eastAsia="黑体"/>
        </w:rPr>
        <w:t>3.2</w:t>
      </w:r>
      <w:bookmarkEnd w:id="59"/>
      <w:bookmarkEnd w:id="60"/>
    </w:p>
    <w:p w14:paraId="352493E3">
      <w:pPr>
        <w:widowControl/>
        <w:tabs>
          <w:tab w:val="center" w:pos="4201"/>
          <w:tab w:val="right" w:leader="dot" w:pos="9298"/>
        </w:tabs>
        <w:autoSpaceDE w:val="0"/>
        <w:autoSpaceDN w:val="0"/>
        <w:ind w:firstLine="420" w:firstLineChars="200"/>
        <w:rPr>
          <w:rFonts w:eastAsia="黑体"/>
        </w:rPr>
      </w:pPr>
      <w:r>
        <w:rPr>
          <w:rFonts w:hint="eastAsia" w:eastAsia="黑体"/>
        </w:rPr>
        <w:t xml:space="preserve">绿色建材评价 </w:t>
      </w:r>
      <w:r>
        <w:rPr>
          <w:rFonts w:eastAsia="黑体"/>
        </w:rPr>
        <w:t>green building material</w:t>
      </w:r>
      <w:r>
        <w:rPr>
          <w:sz w:val="24"/>
        </w:rPr>
        <w:t xml:space="preserve"> </w:t>
      </w:r>
      <w:r>
        <w:rPr>
          <w:rFonts w:hint="eastAsia" w:eastAsia="黑体"/>
        </w:rPr>
        <w:t>a</w:t>
      </w:r>
      <w:r>
        <w:rPr>
          <w:rFonts w:eastAsia="黑体"/>
        </w:rPr>
        <w:t xml:space="preserve">ssessment </w:t>
      </w:r>
    </w:p>
    <w:p w14:paraId="494CC8A9">
      <w:pPr>
        <w:widowControl/>
        <w:tabs>
          <w:tab w:val="center" w:pos="4201"/>
          <w:tab w:val="right" w:leader="dot" w:pos="9298"/>
        </w:tabs>
        <w:autoSpaceDE w:val="0"/>
        <w:autoSpaceDN w:val="0"/>
        <w:ind w:firstLine="420" w:firstLineChars="200"/>
        <w:rPr>
          <w:kern w:val="0"/>
          <w:szCs w:val="20"/>
        </w:rPr>
      </w:pPr>
      <w:r>
        <w:rPr>
          <w:rFonts w:hint="eastAsia"/>
          <w:kern w:val="0"/>
          <w:szCs w:val="20"/>
        </w:rPr>
        <w:t>依据绿色建材评价技术标准，按照程序和要求对申请开展评价的建材产品进行评价，确认其等级的活动。</w:t>
      </w:r>
    </w:p>
    <w:p w14:paraId="75662F59">
      <w:pPr>
        <w:spacing w:before="156" w:beforeLines="50" w:after="156" w:afterLines="50"/>
        <w:rPr>
          <w:rFonts w:ascii="黑体" w:eastAsia="黑体"/>
        </w:rPr>
      </w:pPr>
      <w:bookmarkStart w:id="61" w:name="_Toc533518625"/>
      <w:bookmarkStart w:id="62" w:name="_Toc21995"/>
      <w:r>
        <w:rPr>
          <w:rFonts w:hint="eastAsia" w:ascii="黑体" w:eastAsia="黑体"/>
        </w:rPr>
        <w:t>3.3</w:t>
      </w:r>
      <w:bookmarkEnd w:id="61"/>
      <w:bookmarkEnd w:id="62"/>
    </w:p>
    <w:p w14:paraId="145DECF5">
      <w:pPr>
        <w:widowControl/>
        <w:tabs>
          <w:tab w:val="center" w:pos="4201"/>
          <w:tab w:val="right" w:leader="dot" w:pos="9298"/>
        </w:tabs>
        <w:autoSpaceDE w:val="0"/>
        <w:autoSpaceDN w:val="0"/>
        <w:ind w:firstLine="420" w:firstLineChars="200"/>
        <w:rPr>
          <w:rFonts w:eastAsia="黑体"/>
        </w:rPr>
      </w:pPr>
      <w:r>
        <w:rPr>
          <w:rFonts w:hint="eastAsia" w:eastAsia="黑体"/>
        </w:rPr>
        <w:t>评价等级 a</w:t>
      </w:r>
      <w:r>
        <w:rPr>
          <w:rFonts w:eastAsia="黑体"/>
        </w:rPr>
        <w:t>ssessment</w:t>
      </w:r>
      <w:r>
        <w:rPr>
          <w:rFonts w:hint="eastAsia" w:eastAsia="黑体"/>
        </w:rPr>
        <w:t xml:space="preserve"> level</w:t>
      </w:r>
    </w:p>
    <w:p w14:paraId="7F67AE95">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p>
    <w:bookmarkEnd w:id="58"/>
    <w:p w14:paraId="6905BD87">
      <w:pPr>
        <w:spacing w:before="156" w:beforeLines="50" w:after="156" w:afterLines="50"/>
        <w:rPr>
          <w:rFonts w:ascii="黑体" w:eastAsia="黑体"/>
          <w:color w:val="000000"/>
        </w:rPr>
      </w:pPr>
      <w:bookmarkStart w:id="63" w:name="_Toc397433559"/>
      <w:bookmarkStart w:id="64" w:name="_Toc360436836"/>
      <w:bookmarkStart w:id="65" w:name="_Toc408495874"/>
      <w:bookmarkStart w:id="66" w:name="_Toc406143964"/>
      <w:bookmarkStart w:id="67" w:name="_Toc396118200"/>
      <w:bookmarkStart w:id="68" w:name="_Toc360436750"/>
      <w:bookmarkStart w:id="69" w:name="_Toc397348587"/>
      <w:bookmarkStart w:id="70" w:name="_Toc360632655"/>
      <w:bookmarkStart w:id="71" w:name="_Toc350863988"/>
      <w:bookmarkStart w:id="72" w:name="_Toc396134031"/>
      <w:bookmarkStart w:id="73" w:name="_Toc384816547"/>
      <w:bookmarkStart w:id="74" w:name="_Toc406486341"/>
      <w:bookmarkStart w:id="75" w:name="_Toc360632424"/>
      <w:bookmarkStart w:id="76" w:name="_Toc462063255"/>
      <w:bookmarkStart w:id="77" w:name="_Toc4998"/>
      <w:bookmarkStart w:id="78" w:name="_Toc533518626"/>
      <w:bookmarkStart w:id="79" w:name="_Toc16661"/>
      <w:r>
        <w:rPr>
          <w:rFonts w:hint="eastAsia" w:ascii="黑体" w:eastAsia="黑体"/>
          <w:color w:val="000000"/>
        </w:rPr>
        <w:t>3.</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80" w:name="OLE_LINK5"/>
      <w:bookmarkStart w:id="81" w:name="_Toc406143967"/>
      <w:bookmarkStart w:id="82" w:name="OLE_LINK6"/>
      <w:bookmarkStart w:id="83" w:name="_Toc397433562"/>
      <w:bookmarkStart w:id="84" w:name="_Toc363024794"/>
      <w:bookmarkStart w:id="85" w:name="_Toc350863991"/>
      <w:bookmarkStart w:id="86" w:name="_Toc396134034"/>
      <w:bookmarkStart w:id="87" w:name="_Toc397348590"/>
      <w:bookmarkStart w:id="88" w:name="_Toc396118203"/>
      <w:bookmarkStart w:id="89" w:name="_Toc384816550"/>
      <w:bookmarkStart w:id="90" w:name="_Toc382580630"/>
      <w:r>
        <w:rPr>
          <w:rFonts w:ascii="黑体" w:eastAsia="黑体"/>
          <w:color w:val="000000"/>
        </w:rPr>
        <w:t>4</w:t>
      </w:r>
      <w:bookmarkEnd w:id="77"/>
      <w:bookmarkEnd w:id="78"/>
    </w:p>
    <w:bookmarkEnd w:id="79"/>
    <w:p w14:paraId="02B0ECC3">
      <w:pPr>
        <w:widowControl/>
        <w:tabs>
          <w:tab w:val="center" w:pos="4201"/>
          <w:tab w:val="right" w:leader="dot" w:pos="9298"/>
        </w:tabs>
        <w:autoSpaceDE w:val="0"/>
        <w:autoSpaceDN w:val="0"/>
        <w:ind w:firstLine="420" w:firstLineChars="200"/>
        <w:rPr>
          <w:rFonts w:eastAsia="黑体"/>
        </w:rPr>
      </w:pPr>
      <w:r>
        <w:rPr>
          <w:rFonts w:eastAsia="黑体"/>
        </w:rPr>
        <w:t>环境产品声明</w:t>
      </w:r>
      <w:r>
        <w:rPr>
          <w:rFonts w:hint="eastAsia" w:eastAsia="黑体"/>
        </w:rPr>
        <w:t xml:space="preserve"> </w:t>
      </w:r>
      <w:r>
        <w:rPr>
          <w:rFonts w:eastAsia="黑体"/>
        </w:rPr>
        <w:t>environmental product declaration</w:t>
      </w:r>
    </w:p>
    <w:p w14:paraId="12B6A4F8">
      <w:pPr>
        <w:pStyle w:val="24"/>
        <w:rPr>
          <w:rFonts w:ascii="Times New Roman"/>
        </w:rPr>
      </w:pPr>
      <w:r>
        <w:rPr>
          <w:rFonts w:ascii="Times New Roman"/>
        </w:rPr>
        <w:t>提供基于预设参数的量化环境数据的环境声明，必要时包括附加环境信息。</w:t>
      </w:r>
    </w:p>
    <w:p w14:paraId="3C5BE656">
      <w:pPr>
        <w:spacing w:before="156" w:beforeLines="50" w:after="156" w:afterLines="50"/>
        <w:rPr>
          <w:rFonts w:ascii="黑体" w:eastAsia="黑体"/>
          <w:color w:val="000000"/>
        </w:rPr>
      </w:pPr>
      <w:bookmarkStart w:id="91" w:name="_Toc462063256"/>
      <w:bookmarkStart w:id="92" w:name="_Toc408495875"/>
      <w:bookmarkStart w:id="93" w:name="_Toc533518627"/>
      <w:bookmarkStart w:id="94" w:name="_Toc30174"/>
      <w:bookmarkStart w:id="95" w:name="_Toc30452"/>
      <w:r>
        <w:rPr>
          <w:rFonts w:hint="eastAsia" w:ascii="黑体" w:eastAsia="黑体"/>
          <w:color w:val="000000"/>
        </w:rPr>
        <w:t>3.</w:t>
      </w:r>
      <w:bookmarkEnd w:id="91"/>
      <w:bookmarkEnd w:id="92"/>
      <w:r>
        <w:rPr>
          <w:rFonts w:ascii="黑体" w:eastAsia="黑体"/>
          <w:color w:val="000000"/>
        </w:rPr>
        <w:t>5</w:t>
      </w:r>
      <w:bookmarkEnd w:id="93"/>
      <w:bookmarkEnd w:id="94"/>
    </w:p>
    <w:bookmarkEnd w:id="95"/>
    <w:p w14:paraId="5C34FDB9">
      <w:pPr>
        <w:widowControl/>
        <w:tabs>
          <w:tab w:val="center" w:pos="4201"/>
          <w:tab w:val="right" w:leader="dot" w:pos="9298"/>
        </w:tabs>
        <w:autoSpaceDE w:val="0"/>
        <w:autoSpaceDN w:val="0"/>
        <w:ind w:firstLine="420" w:firstLineChars="200"/>
        <w:rPr>
          <w:rFonts w:eastAsia="黑体"/>
        </w:rPr>
      </w:pPr>
      <w:r>
        <w:rPr>
          <w:rFonts w:eastAsia="黑体"/>
        </w:rPr>
        <w:t xml:space="preserve">碳足迹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rPr>
        <w:t>carbon footprint</w:t>
      </w:r>
      <w:r>
        <w:rPr>
          <w:rFonts w:eastAsia="黑体"/>
        </w:rPr>
        <w:fldChar w:fldCharType="end"/>
      </w:r>
    </w:p>
    <w:p w14:paraId="4A2FE8D2">
      <w:pPr>
        <w:spacing w:line="300" w:lineRule="auto"/>
        <w:ind w:firstLine="420" w:firstLineChars="200"/>
        <w:rPr>
          <w:szCs w:val="21"/>
        </w:rPr>
      </w:pPr>
      <w:r>
        <w:rPr>
          <w:szCs w:val="21"/>
        </w:rPr>
        <w:t>用以量化过程、过程系统或产品系统温室气体排放的参数，以表现它们对气候变化的贡献。</w:t>
      </w:r>
    </w:p>
    <w:p w14:paraId="6AACC949">
      <w:pPr>
        <w:spacing w:before="156" w:beforeLines="50" w:after="156" w:afterLines="50"/>
        <w:rPr>
          <w:rFonts w:ascii="黑体" w:eastAsia="黑体"/>
          <w:color w:val="000000"/>
        </w:rPr>
      </w:pPr>
      <w:bookmarkStart w:id="96" w:name="_Toc533518628"/>
      <w:bookmarkStart w:id="97" w:name="_Toc8848"/>
      <w:r>
        <w:rPr>
          <w:rFonts w:ascii="黑体" w:eastAsia="黑体"/>
          <w:color w:val="000000"/>
        </w:rPr>
        <w:t>3</w:t>
      </w:r>
      <w:r>
        <w:rPr>
          <w:rFonts w:hint="eastAsia" w:ascii="黑体" w:eastAsia="黑体"/>
          <w:color w:val="000000"/>
        </w:rPr>
        <w:t>.</w:t>
      </w:r>
      <w:r>
        <w:rPr>
          <w:rFonts w:ascii="黑体" w:eastAsia="黑体"/>
          <w:color w:val="000000"/>
        </w:rPr>
        <w:t>6</w:t>
      </w:r>
      <w:bookmarkEnd w:id="96"/>
      <w:bookmarkEnd w:id="97"/>
    </w:p>
    <w:p w14:paraId="637B9276">
      <w:pPr>
        <w:pStyle w:val="24"/>
        <w:rPr>
          <w:rFonts w:ascii="Times New Roman" w:eastAsia="黑体"/>
          <w:kern w:val="2"/>
          <w:szCs w:val="24"/>
        </w:rPr>
      </w:pPr>
      <w:r>
        <w:rPr>
          <w:rFonts w:hint="eastAsia" w:ascii="Times New Roman" w:eastAsia="黑体"/>
          <w:kern w:val="2"/>
          <w:szCs w:val="24"/>
        </w:rPr>
        <w:t>固体废弃材料 solid waste materials</w:t>
      </w:r>
    </w:p>
    <w:p w14:paraId="78C50BAE">
      <w:pPr>
        <w:spacing w:line="300" w:lineRule="auto"/>
        <w:ind w:firstLine="420" w:firstLineChars="200"/>
        <w:rPr>
          <w:szCs w:val="21"/>
        </w:rPr>
      </w:pPr>
      <w:r>
        <w:rPr>
          <w:rFonts w:hint="eastAsia"/>
          <w:szCs w:val="21"/>
        </w:rPr>
        <w:t>指利用废弃矿渣、炉渣、尾矿、再生骨料等制成的符合预制混凝土管片、桩相关标准规定要求的材料及固体废弃物，如矿粉、硅灰、粉煤灰等。</w:t>
      </w:r>
    </w:p>
    <w:p w14:paraId="3EC78090">
      <w:pPr>
        <w:spacing w:before="156" w:beforeLines="50" w:after="156" w:afterLines="50"/>
        <w:rPr>
          <w:rFonts w:ascii="黑体" w:eastAsia="黑体"/>
          <w:color w:val="000000"/>
        </w:rPr>
      </w:pPr>
      <w:bookmarkStart w:id="98" w:name="_Toc29116"/>
      <w:r>
        <w:rPr>
          <w:rFonts w:ascii="黑体" w:eastAsia="黑体"/>
          <w:color w:val="000000"/>
        </w:rPr>
        <w:t>3</w:t>
      </w:r>
      <w:r>
        <w:rPr>
          <w:rFonts w:hint="eastAsia" w:ascii="黑体" w:eastAsia="黑体"/>
          <w:color w:val="000000"/>
        </w:rPr>
        <w:t>.7</w:t>
      </w:r>
      <w:bookmarkEnd w:id="98"/>
    </w:p>
    <w:p w14:paraId="447CBCF2">
      <w:pPr>
        <w:widowControl/>
        <w:tabs>
          <w:tab w:val="center" w:pos="4201"/>
          <w:tab w:val="right" w:leader="dot" w:pos="9298"/>
        </w:tabs>
        <w:autoSpaceDE w:val="0"/>
        <w:autoSpaceDN w:val="0"/>
        <w:ind w:firstLine="420" w:firstLineChars="200"/>
        <w:rPr>
          <w:szCs w:val="21"/>
        </w:rPr>
      </w:pPr>
      <w:r>
        <w:rPr>
          <w:rFonts w:hint="eastAsia" w:eastAsia="黑体"/>
        </w:rPr>
        <w:t>预制混凝土管片、桩单位产品取水量</w:t>
      </w:r>
      <w:r>
        <w:rPr>
          <w:rFonts w:hint="eastAsia"/>
          <w:szCs w:val="21"/>
        </w:rPr>
        <w:t xml:space="preserve">  quantity of water intake per unit product of </w:t>
      </w:r>
      <w:r>
        <w:rPr>
          <w:rFonts w:hint="eastAsia" w:eastAsia="黑体"/>
        </w:rPr>
        <w:t>precast concrete segments、pile</w:t>
      </w:r>
    </w:p>
    <w:p w14:paraId="7F782E7A">
      <w:pPr>
        <w:ind w:firstLine="420" w:firstLineChars="200"/>
        <w:rPr>
          <w:szCs w:val="21"/>
        </w:rPr>
      </w:pPr>
      <w:r>
        <w:rPr>
          <w:rFonts w:hint="eastAsia"/>
          <w:szCs w:val="21"/>
        </w:rPr>
        <w:t>报告期内，预制混凝土管片、桩以单位（每立方米）合格品产量表示的水资源消耗总量。</w:t>
      </w:r>
    </w:p>
    <w:p w14:paraId="5FD57D05">
      <w:pPr>
        <w:spacing w:before="156" w:beforeLines="50" w:after="156" w:afterLines="50"/>
        <w:rPr>
          <w:rFonts w:ascii="黑体" w:eastAsia="黑体"/>
          <w:color w:val="000000"/>
        </w:rPr>
      </w:pPr>
      <w:bookmarkStart w:id="99" w:name="_Toc21277"/>
      <w:r>
        <w:rPr>
          <w:rFonts w:ascii="黑体" w:eastAsia="黑体"/>
          <w:color w:val="000000"/>
        </w:rPr>
        <w:t>3</w:t>
      </w:r>
      <w:r>
        <w:rPr>
          <w:rFonts w:hint="eastAsia" w:ascii="黑体" w:eastAsia="黑体"/>
          <w:color w:val="000000"/>
        </w:rPr>
        <w:t>.8</w:t>
      </w:r>
      <w:bookmarkEnd w:id="99"/>
    </w:p>
    <w:p w14:paraId="0ECECD6D">
      <w:pPr>
        <w:pStyle w:val="24"/>
        <w:rPr>
          <w:rFonts w:ascii="Times New Roman" w:eastAsia="黑体"/>
          <w:kern w:val="2"/>
          <w:szCs w:val="24"/>
        </w:rPr>
      </w:pPr>
      <w:r>
        <w:rPr>
          <w:rFonts w:hint="eastAsia" w:ascii="Times New Roman" w:eastAsia="黑体"/>
          <w:kern w:val="2"/>
          <w:szCs w:val="24"/>
        </w:rPr>
        <w:t>预制混凝土管片、桩单位产品综合能耗 energy consumption per unit product of precast concrete segments、pile</w:t>
      </w:r>
    </w:p>
    <w:p w14:paraId="5AA15421">
      <w:pPr>
        <w:pStyle w:val="24"/>
        <w:rPr>
          <w:rFonts w:ascii="Times New Roman"/>
          <w:szCs w:val="21"/>
        </w:rPr>
      </w:pPr>
      <w:r>
        <w:rPr>
          <w:rFonts w:hint="eastAsia" w:ascii="Times New Roman"/>
          <w:szCs w:val="21"/>
        </w:rPr>
        <w:t>报告期内，预制混凝土管片、桩以单位（每立方米）合格品产量表示的能源消耗总量。</w:t>
      </w:r>
    </w:p>
    <w:bookmarkEnd w:id="80"/>
    <w:bookmarkEnd w:id="81"/>
    <w:bookmarkEnd w:id="82"/>
    <w:bookmarkEnd w:id="83"/>
    <w:bookmarkEnd w:id="84"/>
    <w:bookmarkEnd w:id="85"/>
    <w:bookmarkEnd w:id="86"/>
    <w:bookmarkEnd w:id="87"/>
    <w:bookmarkEnd w:id="88"/>
    <w:bookmarkEnd w:id="89"/>
    <w:bookmarkEnd w:id="90"/>
    <w:p w14:paraId="3721A089">
      <w:pPr>
        <w:pStyle w:val="64"/>
        <w:numPr>
          <w:ilvl w:val="0"/>
          <w:numId w:val="17"/>
        </w:numPr>
        <w:tabs>
          <w:tab w:val="left" w:pos="0"/>
        </w:tabs>
        <w:ind w:left="0" w:firstLine="0"/>
        <w:outlineLvl w:val="0"/>
        <w:rPr>
          <w:color w:val="000000"/>
        </w:rPr>
      </w:pPr>
      <w:bookmarkStart w:id="100" w:name="_Toc462063257"/>
      <w:bookmarkStart w:id="101" w:name="_Toc406486353"/>
      <w:bookmarkStart w:id="102" w:name="_Toc31526"/>
      <w:bookmarkStart w:id="103" w:name="_Toc5692"/>
      <w:r>
        <w:rPr>
          <w:rFonts w:hint="eastAsia"/>
          <w:color w:val="000000"/>
        </w:rPr>
        <w:t>评价要求</w:t>
      </w:r>
      <w:bookmarkEnd w:id="100"/>
      <w:bookmarkEnd w:id="101"/>
      <w:bookmarkEnd w:id="102"/>
      <w:bookmarkEnd w:id="103"/>
    </w:p>
    <w:p w14:paraId="02E58299">
      <w:pPr>
        <w:widowControl/>
        <w:spacing w:before="156" w:beforeLines="50" w:after="156" w:afterLines="50"/>
        <w:jc w:val="left"/>
        <w:outlineLvl w:val="2"/>
        <w:rPr>
          <w:rFonts w:eastAsia="黑体"/>
          <w:color w:val="000000"/>
          <w:kern w:val="0"/>
        </w:rPr>
      </w:pPr>
      <w:bookmarkStart w:id="104" w:name="_Toc456611366"/>
      <w:bookmarkStart w:id="105" w:name="_Toc459107153"/>
      <w:bookmarkStart w:id="106" w:name="_Toc406486354"/>
      <w:bookmarkStart w:id="107" w:name="_Toc533518630"/>
      <w:bookmarkStart w:id="108" w:name="_Toc22141"/>
      <w:bookmarkStart w:id="109" w:name="_Toc23366"/>
      <w:bookmarkStart w:id="110" w:name="_Toc406486355"/>
      <w:bookmarkStart w:id="111" w:name="_Toc360632439"/>
      <w:bookmarkStart w:id="112" w:name="_Toc350864000"/>
      <w:bookmarkStart w:id="113" w:name="_Toc384816564"/>
      <w:bookmarkStart w:id="114" w:name="_Toc360436761"/>
      <w:bookmarkStart w:id="115" w:name="_Toc396134049"/>
      <w:bookmarkStart w:id="116" w:name="_Toc360436848"/>
      <w:r>
        <w:rPr>
          <w:rFonts w:eastAsia="黑体"/>
          <w:color w:val="000000"/>
          <w:kern w:val="0"/>
        </w:rPr>
        <w:t xml:space="preserve">4.1 </w:t>
      </w:r>
      <w:r>
        <w:rPr>
          <w:rFonts w:hint="eastAsia" w:eastAsia="黑体"/>
          <w:color w:val="000000"/>
          <w:kern w:val="0"/>
        </w:rPr>
        <w:t>一般</w:t>
      </w:r>
      <w:r>
        <w:rPr>
          <w:rFonts w:eastAsia="黑体"/>
          <w:color w:val="000000"/>
          <w:kern w:val="0"/>
        </w:rPr>
        <w:t>要求</w:t>
      </w:r>
      <w:bookmarkEnd w:id="104"/>
      <w:bookmarkEnd w:id="105"/>
      <w:bookmarkEnd w:id="106"/>
      <w:bookmarkEnd w:id="107"/>
      <w:bookmarkEnd w:id="108"/>
      <w:bookmarkEnd w:id="109"/>
    </w:p>
    <w:p w14:paraId="63EE9E34">
      <w:pPr>
        <w:pStyle w:val="85"/>
        <w:adjustRightInd w:val="0"/>
        <w:snapToGrid w:val="0"/>
        <w:spacing w:before="156" w:after="156"/>
        <w:jc w:val="both"/>
        <w:rPr>
          <w:rFonts w:ascii="Times New Roman" w:eastAsia="宋体"/>
        </w:rPr>
      </w:pPr>
      <w:r>
        <w:rPr>
          <w:rFonts w:ascii="Times New Roman" w:eastAsia="宋体"/>
        </w:rPr>
        <w:t xml:space="preserve">4.1.1 </w:t>
      </w:r>
      <w:r>
        <w:rPr>
          <w:rFonts w:hint="eastAsia" w:ascii="Times New Roman" w:eastAsia="宋体"/>
        </w:rPr>
        <w:t>预制混凝土管片基本性能应符合GB/T 22082标准要求；预制混凝土桩基本性能应符合GB /T 13476、GB /T 31039、JC/T 934、JC/T 2029、JC/T 2723、JG/T 197、</w:t>
      </w:r>
      <w:r>
        <w:rPr>
          <w:rFonts w:ascii="Times New Roman" w:eastAsia="宋体"/>
        </w:rPr>
        <w:t>JC/T 888</w:t>
      </w:r>
      <w:r>
        <w:rPr>
          <w:rFonts w:hint="eastAsia" w:ascii="Times New Roman" w:eastAsia="宋体"/>
        </w:rPr>
        <w:t>、</w:t>
      </w:r>
      <w:r>
        <w:rPr>
          <w:rFonts w:ascii="Times New Roman" w:eastAsia="宋体"/>
        </w:rPr>
        <w:t>JG∕T272</w:t>
      </w:r>
      <w:r>
        <w:rPr>
          <w:rFonts w:hint="eastAsia" w:ascii="Times New Roman" w:eastAsia="宋体"/>
        </w:rPr>
        <w:t>标准要求。</w:t>
      </w:r>
    </w:p>
    <w:p w14:paraId="3B29E2C5">
      <w:pPr>
        <w:pStyle w:val="85"/>
        <w:adjustRightInd w:val="0"/>
        <w:snapToGrid w:val="0"/>
        <w:spacing w:before="156" w:after="156"/>
        <w:jc w:val="both"/>
        <w:rPr>
          <w:rFonts w:ascii="Times New Roman" w:eastAsia="宋体"/>
        </w:rPr>
      </w:pPr>
      <w:r>
        <w:rPr>
          <w:rFonts w:ascii="Times New Roman" w:eastAsia="宋体"/>
        </w:rPr>
        <w:t>4.1.</w:t>
      </w:r>
      <w:r>
        <w:rPr>
          <w:rFonts w:hint="eastAsia" w:ascii="Times New Roman" w:eastAsia="宋体"/>
        </w:rPr>
        <w:t>2</w:t>
      </w:r>
      <w:r>
        <w:rPr>
          <w:rFonts w:ascii="Times New Roman" w:eastAsia="宋体"/>
        </w:rPr>
        <w:t>生产企业</w:t>
      </w:r>
      <w:r>
        <w:rPr>
          <w:rFonts w:hint="eastAsia" w:ascii="Times New Roman" w:eastAsia="宋体"/>
        </w:rPr>
        <w:t>近三年无重大环境污染事件和重大安全事故。</w:t>
      </w:r>
    </w:p>
    <w:p w14:paraId="46B6366E">
      <w:pPr>
        <w:pStyle w:val="85"/>
        <w:adjustRightInd w:val="0"/>
        <w:snapToGrid w:val="0"/>
        <w:spacing w:before="156" w:after="156"/>
        <w:jc w:val="both"/>
        <w:rPr>
          <w:rFonts w:ascii="Times New Roman" w:eastAsia="宋体"/>
        </w:rPr>
      </w:pPr>
      <w:r>
        <w:rPr>
          <w:rFonts w:hint="eastAsia" w:ascii="Times New Roman" w:eastAsia="宋体"/>
        </w:rPr>
        <w:t>4.1.</w:t>
      </w:r>
      <w:r>
        <w:rPr>
          <w:rFonts w:ascii="Times New Roman" w:eastAsia="宋体"/>
        </w:rPr>
        <w:t xml:space="preserve">3 </w:t>
      </w:r>
      <w:r>
        <w:rPr>
          <w:rFonts w:hint="eastAsia" w:ascii="Times New Roman" w:eastAsia="宋体"/>
        </w:rPr>
        <w:t>企业应按照GB 17167配备能源计量器具，并根据环保法律法规和GB 16297、GBZ/T 192.1要求配备污染物监测和在线监控设备。</w:t>
      </w:r>
    </w:p>
    <w:p w14:paraId="3DED5C04">
      <w:pPr>
        <w:pStyle w:val="85"/>
        <w:adjustRightInd w:val="0"/>
        <w:snapToGrid w:val="0"/>
        <w:spacing w:before="156" w:after="156"/>
        <w:jc w:val="both"/>
        <w:rPr>
          <w:rFonts w:ascii="Times New Roman" w:eastAsia="宋体"/>
        </w:rPr>
      </w:pPr>
      <w:r>
        <w:rPr>
          <w:rFonts w:ascii="Times New Roman" w:eastAsia="宋体"/>
        </w:rPr>
        <w:t>4.1.</w:t>
      </w:r>
      <w:r>
        <w:rPr>
          <w:rFonts w:hint="eastAsia" w:ascii="Times New Roman" w:eastAsia="宋体"/>
        </w:rPr>
        <w:t>4 企业应配备安装符合要求的粉尘回收装置，并正常运行。</w:t>
      </w:r>
    </w:p>
    <w:p w14:paraId="0A9663BD">
      <w:pPr>
        <w:pStyle w:val="85"/>
        <w:adjustRightInd w:val="0"/>
        <w:snapToGrid w:val="0"/>
        <w:spacing w:before="156" w:after="156"/>
        <w:jc w:val="both"/>
        <w:rPr>
          <w:rFonts w:ascii="Times New Roman" w:eastAsia="宋体"/>
        </w:rPr>
      </w:pPr>
      <w:r>
        <w:rPr>
          <w:rFonts w:hint="eastAsia" w:ascii="Times New Roman" w:eastAsia="宋体"/>
        </w:rPr>
        <w:t>4.1.5 企业应充分合理利用固体废弃材料，固体废弃材料应有避免扬散、流失、坍塌和渗漏的贮存场所。</w:t>
      </w:r>
    </w:p>
    <w:p w14:paraId="216B30FD">
      <w:pPr>
        <w:pStyle w:val="85"/>
        <w:adjustRightInd w:val="0"/>
        <w:snapToGrid w:val="0"/>
        <w:spacing w:before="156" w:after="156"/>
        <w:jc w:val="both"/>
        <w:rPr>
          <w:rFonts w:ascii="Times New Roman" w:eastAsia="宋体"/>
        </w:rPr>
      </w:pPr>
      <w:r>
        <w:rPr>
          <w:rFonts w:ascii="Times New Roman" w:eastAsia="宋体"/>
        </w:rPr>
        <w:t>4.1.</w:t>
      </w:r>
      <w:r>
        <w:rPr>
          <w:rFonts w:hint="eastAsia" w:ascii="Times New Roman" w:eastAsia="宋体"/>
        </w:rPr>
        <w:t>6</w:t>
      </w:r>
      <w:r>
        <w:rPr>
          <w:rFonts w:ascii="Times New Roman" w:eastAsia="宋体"/>
        </w:rPr>
        <w:t xml:space="preserve"> </w:t>
      </w:r>
      <w:r>
        <w:rPr>
          <w:rFonts w:hint="eastAsia" w:ascii="Times New Roman" w:eastAsia="宋体"/>
        </w:rPr>
        <w:t>企业应无害化处置并回收利用废弃浆料，废弃浆料应有避免流失、坍塌和渗漏的贮存场所。</w:t>
      </w:r>
    </w:p>
    <w:p w14:paraId="49FA0989">
      <w:pPr>
        <w:pStyle w:val="85"/>
        <w:adjustRightInd w:val="0"/>
        <w:snapToGrid w:val="0"/>
        <w:spacing w:before="156" w:after="156"/>
        <w:jc w:val="both"/>
        <w:rPr>
          <w:rFonts w:ascii="Times New Roman" w:eastAsia="宋体"/>
        </w:rPr>
      </w:pPr>
      <w:r>
        <w:rPr>
          <w:rFonts w:ascii="Times New Roman" w:eastAsia="宋体"/>
        </w:rPr>
        <w:t>4.1.</w:t>
      </w:r>
      <w:r>
        <w:rPr>
          <w:rFonts w:hint="eastAsia" w:ascii="Times New Roman" w:eastAsia="宋体"/>
        </w:rPr>
        <w:t>7生产企业应按照GB/T 19001、GB/T 24001要求分别建立并运行质量管理体系、环境管理体系。</w:t>
      </w:r>
    </w:p>
    <w:p w14:paraId="05EEEAEE">
      <w:pPr>
        <w:pStyle w:val="85"/>
        <w:adjustRightInd w:val="0"/>
        <w:snapToGrid w:val="0"/>
        <w:spacing w:before="156" w:after="156"/>
        <w:jc w:val="both"/>
        <w:rPr>
          <w:rFonts w:ascii="Times New Roman" w:eastAsia="宋体"/>
        </w:rPr>
      </w:pPr>
      <w:r>
        <w:rPr>
          <w:rFonts w:hint="eastAsia" w:ascii="Times New Roman" w:eastAsia="宋体"/>
        </w:rPr>
        <w:t>4.1.8生产企业应采用国家鼓励的先进技术工艺，不应使用国家或有关部门发布的淘汰或禁止的技术、工艺、装备及相关物质。</w:t>
      </w:r>
    </w:p>
    <w:p w14:paraId="65196B6C">
      <w:pPr>
        <w:widowControl/>
        <w:spacing w:before="156" w:beforeLines="50" w:after="156" w:afterLines="50"/>
        <w:jc w:val="left"/>
        <w:outlineLvl w:val="2"/>
        <w:rPr>
          <w:rFonts w:eastAsia="黑体"/>
          <w:color w:val="000000"/>
          <w:kern w:val="0"/>
        </w:rPr>
      </w:pPr>
      <w:bookmarkStart w:id="117" w:name="_Toc533518631"/>
      <w:bookmarkStart w:id="118" w:name="_Toc31135"/>
      <w:bookmarkStart w:id="119" w:name="_Toc462063260"/>
      <w:bookmarkStart w:id="120" w:name="_Toc21606"/>
      <w:r>
        <w:rPr>
          <w:rFonts w:hint="eastAsia" w:eastAsia="黑体"/>
          <w:color w:val="000000"/>
          <w:kern w:val="0"/>
        </w:rPr>
        <w:t>4.2 评价指标要求</w:t>
      </w:r>
      <w:bookmarkEnd w:id="110"/>
      <w:bookmarkEnd w:id="111"/>
      <w:bookmarkEnd w:id="112"/>
      <w:bookmarkEnd w:id="113"/>
      <w:bookmarkEnd w:id="114"/>
      <w:bookmarkEnd w:id="115"/>
      <w:bookmarkEnd w:id="116"/>
      <w:bookmarkEnd w:id="117"/>
      <w:bookmarkEnd w:id="118"/>
      <w:bookmarkEnd w:id="119"/>
      <w:bookmarkEnd w:id="120"/>
    </w:p>
    <w:p w14:paraId="22FFABE0">
      <w:pPr>
        <w:pStyle w:val="24"/>
        <w:rPr>
          <w:color w:val="000000"/>
        </w:rPr>
      </w:pPr>
      <w:r>
        <w:rPr>
          <w:rFonts w:hint="eastAsia" w:ascii="Times New Roman"/>
        </w:rPr>
        <w:t>预制混凝土管片、桩评价指标</w:t>
      </w:r>
      <w:r>
        <w:rPr>
          <w:rFonts w:ascii="Times New Roman"/>
        </w:rPr>
        <w:t>包括资源属性指标、</w:t>
      </w:r>
      <w:r>
        <w:rPr>
          <w:rFonts w:hint="eastAsia" w:ascii="Times New Roman"/>
        </w:rPr>
        <w:t>能源属性、</w:t>
      </w:r>
      <w:r>
        <w:rPr>
          <w:rFonts w:ascii="Times New Roman"/>
        </w:rPr>
        <w:t>环境属性指标和</w:t>
      </w:r>
      <w:r>
        <w:rPr>
          <w:rFonts w:hint="eastAsia" w:ascii="Times New Roman"/>
        </w:rPr>
        <w:t>品质</w:t>
      </w:r>
      <w:r>
        <w:rPr>
          <w:rFonts w:ascii="Times New Roman"/>
        </w:rPr>
        <w:t>属性指标。评价指标要求</w:t>
      </w:r>
      <w:r>
        <w:rPr>
          <w:rFonts w:hint="eastAsia" w:ascii="Times New Roman"/>
        </w:rPr>
        <w:t>见表1</w:t>
      </w:r>
      <w:r>
        <w:rPr>
          <w:rFonts w:ascii="Times New Roman"/>
        </w:rPr>
        <w:t>。</w:t>
      </w:r>
    </w:p>
    <w:p w14:paraId="0C093130">
      <w:pPr>
        <w:pStyle w:val="64"/>
        <w:spacing w:before="156" w:beforeLines="50" w:after="156" w:afterLines="50"/>
        <w:jc w:val="center"/>
        <w:outlineLvl w:val="9"/>
        <w:rPr>
          <w:rFonts w:hAnsi="黑体"/>
        </w:rPr>
      </w:pPr>
      <w:bookmarkStart w:id="121" w:name="_Toc397348606"/>
      <w:bookmarkStart w:id="122" w:name="_Toc397433577"/>
      <w:bookmarkStart w:id="123" w:name="_Toc462063261"/>
      <w:bookmarkStart w:id="124" w:name="_Toc384816569"/>
      <w:bookmarkStart w:id="125" w:name="_Toc360632446"/>
      <w:bookmarkStart w:id="126" w:name="_Toc360436855"/>
      <w:bookmarkStart w:id="127" w:name="_Toc406486359"/>
      <w:bookmarkStart w:id="128" w:name="_Toc31213"/>
      <w:bookmarkStart w:id="129" w:name="_Toc396134054"/>
      <w:bookmarkStart w:id="130" w:name="_Toc350864007"/>
      <w:bookmarkStart w:id="131" w:name="_Toc360436768"/>
      <w:r>
        <w:rPr>
          <w:rFonts w:hint="eastAsia" w:hAnsi="黑体"/>
        </w:rPr>
        <w:t>表1 预制混凝土管片、桩评价指标</w:t>
      </w:r>
      <w:bookmarkEnd w:id="121"/>
      <w:bookmarkEnd w:id="122"/>
      <w:r>
        <w:rPr>
          <w:rFonts w:hint="eastAsia" w:hAnsi="黑体"/>
        </w:rPr>
        <w:t>要求</w:t>
      </w:r>
      <w:bookmarkEnd w:id="123"/>
    </w:p>
    <w:tbl>
      <w:tblPr>
        <w:tblStyle w:val="33"/>
        <w:tblW w:w="495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0"/>
        <w:gridCol w:w="1042"/>
        <w:gridCol w:w="194"/>
        <w:gridCol w:w="1240"/>
        <w:gridCol w:w="949"/>
        <w:gridCol w:w="1158"/>
        <w:gridCol w:w="1164"/>
        <w:gridCol w:w="1164"/>
        <w:gridCol w:w="1521"/>
      </w:tblGrid>
      <w:tr w14:paraId="5D78E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559" w:type="pct"/>
            <w:vMerge w:val="restart"/>
            <w:noWrap/>
            <w:vAlign w:val="center"/>
          </w:tcPr>
          <w:p w14:paraId="43C4C3ED">
            <w:pPr>
              <w:widowControl/>
              <w:jc w:val="center"/>
              <w:rPr>
                <w:color w:val="000000"/>
                <w:kern w:val="0"/>
                <w:sz w:val="18"/>
                <w:szCs w:val="18"/>
              </w:rPr>
            </w:pPr>
            <w:r>
              <w:rPr>
                <w:color w:val="000000"/>
                <w:kern w:val="0"/>
                <w:sz w:val="18"/>
                <w:szCs w:val="18"/>
              </w:rPr>
              <w:t>一级指标</w:t>
            </w:r>
          </w:p>
        </w:tc>
        <w:tc>
          <w:tcPr>
            <w:tcW w:w="1304" w:type="pct"/>
            <w:gridSpan w:val="3"/>
            <w:vMerge w:val="restart"/>
            <w:noWrap/>
            <w:vAlign w:val="center"/>
          </w:tcPr>
          <w:p w14:paraId="6874C150">
            <w:pPr>
              <w:widowControl/>
              <w:jc w:val="center"/>
              <w:rPr>
                <w:color w:val="000000"/>
                <w:kern w:val="0"/>
                <w:sz w:val="18"/>
                <w:szCs w:val="18"/>
              </w:rPr>
            </w:pPr>
            <w:r>
              <w:rPr>
                <w:color w:val="000000"/>
                <w:kern w:val="0"/>
                <w:sz w:val="18"/>
                <w:szCs w:val="18"/>
              </w:rPr>
              <w:t>二级指标</w:t>
            </w:r>
          </w:p>
        </w:tc>
        <w:tc>
          <w:tcPr>
            <w:tcW w:w="500" w:type="pct"/>
            <w:vMerge w:val="restart"/>
            <w:noWrap/>
            <w:vAlign w:val="center"/>
          </w:tcPr>
          <w:p w14:paraId="1A488EDA">
            <w:pPr>
              <w:widowControl/>
              <w:jc w:val="center"/>
              <w:rPr>
                <w:color w:val="000000"/>
                <w:kern w:val="0"/>
                <w:sz w:val="18"/>
                <w:szCs w:val="18"/>
              </w:rPr>
            </w:pPr>
            <w:r>
              <w:rPr>
                <w:color w:val="000000"/>
                <w:kern w:val="0"/>
                <w:sz w:val="18"/>
                <w:szCs w:val="18"/>
              </w:rPr>
              <w:t>单位</w:t>
            </w:r>
          </w:p>
        </w:tc>
        <w:tc>
          <w:tcPr>
            <w:tcW w:w="1836" w:type="pct"/>
            <w:gridSpan w:val="3"/>
            <w:tcBorders>
              <w:right w:val="single" w:color="auto" w:sz="4" w:space="0"/>
            </w:tcBorders>
            <w:noWrap/>
            <w:vAlign w:val="center"/>
          </w:tcPr>
          <w:p w14:paraId="48FF5AC8">
            <w:pPr>
              <w:widowControl/>
              <w:jc w:val="center"/>
              <w:rPr>
                <w:color w:val="000000"/>
                <w:kern w:val="0"/>
                <w:sz w:val="18"/>
                <w:szCs w:val="18"/>
              </w:rPr>
            </w:pPr>
            <w:r>
              <w:rPr>
                <w:color w:val="000000"/>
                <w:kern w:val="0"/>
                <w:sz w:val="18"/>
                <w:szCs w:val="18"/>
              </w:rPr>
              <w:t>基准值</w:t>
            </w:r>
          </w:p>
        </w:tc>
        <w:tc>
          <w:tcPr>
            <w:tcW w:w="799" w:type="pct"/>
            <w:vMerge w:val="restart"/>
            <w:tcBorders>
              <w:left w:val="single" w:color="auto" w:sz="4" w:space="0"/>
            </w:tcBorders>
            <w:noWrap/>
            <w:vAlign w:val="center"/>
          </w:tcPr>
          <w:p w14:paraId="320DC8EA">
            <w:pPr>
              <w:widowControl/>
              <w:jc w:val="center"/>
              <w:rPr>
                <w:color w:val="000000"/>
                <w:kern w:val="0"/>
                <w:sz w:val="18"/>
                <w:szCs w:val="18"/>
              </w:rPr>
            </w:pPr>
            <w:r>
              <w:rPr>
                <w:color w:val="000000"/>
                <w:kern w:val="0"/>
                <w:sz w:val="18"/>
                <w:szCs w:val="18"/>
              </w:rPr>
              <w:t>评价依据</w:t>
            </w:r>
          </w:p>
        </w:tc>
      </w:tr>
      <w:tr w14:paraId="658A6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559" w:type="pct"/>
            <w:vMerge w:val="continue"/>
            <w:noWrap/>
            <w:vAlign w:val="center"/>
          </w:tcPr>
          <w:p w14:paraId="25359652">
            <w:pPr>
              <w:widowControl/>
              <w:jc w:val="center"/>
              <w:rPr>
                <w:color w:val="000000"/>
                <w:kern w:val="0"/>
                <w:sz w:val="18"/>
                <w:szCs w:val="18"/>
              </w:rPr>
            </w:pPr>
          </w:p>
        </w:tc>
        <w:tc>
          <w:tcPr>
            <w:tcW w:w="1304" w:type="pct"/>
            <w:gridSpan w:val="3"/>
            <w:vMerge w:val="continue"/>
            <w:noWrap/>
            <w:vAlign w:val="center"/>
          </w:tcPr>
          <w:p w14:paraId="3F5EDC17">
            <w:pPr>
              <w:widowControl/>
              <w:jc w:val="center"/>
              <w:rPr>
                <w:color w:val="000000"/>
                <w:kern w:val="0"/>
                <w:sz w:val="18"/>
                <w:szCs w:val="18"/>
              </w:rPr>
            </w:pPr>
          </w:p>
        </w:tc>
        <w:tc>
          <w:tcPr>
            <w:tcW w:w="500" w:type="pct"/>
            <w:vMerge w:val="continue"/>
            <w:noWrap/>
            <w:vAlign w:val="center"/>
          </w:tcPr>
          <w:p w14:paraId="4C3DF938">
            <w:pPr>
              <w:widowControl/>
              <w:jc w:val="center"/>
              <w:rPr>
                <w:color w:val="000000"/>
                <w:kern w:val="0"/>
                <w:sz w:val="18"/>
                <w:szCs w:val="18"/>
              </w:rPr>
            </w:pPr>
          </w:p>
        </w:tc>
        <w:tc>
          <w:tcPr>
            <w:tcW w:w="610" w:type="pct"/>
            <w:noWrap/>
            <w:vAlign w:val="center"/>
          </w:tcPr>
          <w:p w14:paraId="7041BC13">
            <w:pPr>
              <w:widowControl/>
              <w:jc w:val="center"/>
              <w:rPr>
                <w:color w:val="000000"/>
                <w:kern w:val="0"/>
                <w:sz w:val="18"/>
                <w:szCs w:val="18"/>
              </w:rPr>
            </w:pPr>
            <w:r>
              <w:rPr>
                <w:color w:val="000000"/>
                <w:kern w:val="0"/>
                <w:sz w:val="18"/>
                <w:szCs w:val="18"/>
              </w:rPr>
              <w:t>一星级</w:t>
            </w:r>
          </w:p>
        </w:tc>
        <w:tc>
          <w:tcPr>
            <w:tcW w:w="612" w:type="pct"/>
          </w:tcPr>
          <w:p w14:paraId="0DE14172">
            <w:pPr>
              <w:widowControl/>
              <w:jc w:val="center"/>
              <w:rPr>
                <w:color w:val="000000"/>
                <w:kern w:val="0"/>
                <w:sz w:val="18"/>
                <w:szCs w:val="18"/>
              </w:rPr>
            </w:pPr>
            <w:r>
              <w:rPr>
                <w:color w:val="000000"/>
                <w:kern w:val="0"/>
                <w:sz w:val="18"/>
                <w:szCs w:val="18"/>
              </w:rPr>
              <w:t>二星级</w:t>
            </w:r>
          </w:p>
        </w:tc>
        <w:tc>
          <w:tcPr>
            <w:tcW w:w="613" w:type="pct"/>
            <w:tcBorders>
              <w:right w:val="single" w:color="auto" w:sz="4" w:space="0"/>
            </w:tcBorders>
          </w:tcPr>
          <w:p w14:paraId="0B52261A">
            <w:pPr>
              <w:widowControl/>
              <w:jc w:val="center"/>
              <w:rPr>
                <w:color w:val="000000"/>
                <w:kern w:val="0"/>
                <w:sz w:val="18"/>
                <w:szCs w:val="18"/>
              </w:rPr>
            </w:pPr>
            <w:r>
              <w:rPr>
                <w:color w:val="000000"/>
                <w:kern w:val="0"/>
                <w:sz w:val="18"/>
                <w:szCs w:val="18"/>
              </w:rPr>
              <w:t>三星级</w:t>
            </w:r>
          </w:p>
        </w:tc>
        <w:tc>
          <w:tcPr>
            <w:tcW w:w="799" w:type="pct"/>
            <w:vMerge w:val="continue"/>
            <w:tcBorders>
              <w:left w:val="single" w:color="auto" w:sz="4" w:space="0"/>
            </w:tcBorders>
          </w:tcPr>
          <w:p w14:paraId="23F086C1">
            <w:pPr>
              <w:widowControl/>
              <w:jc w:val="center"/>
              <w:rPr>
                <w:color w:val="000000"/>
                <w:kern w:val="0"/>
                <w:sz w:val="18"/>
                <w:szCs w:val="18"/>
              </w:rPr>
            </w:pPr>
          </w:p>
        </w:tc>
      </w:tr>
      <w:tr w14:paraId="72402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jc w:val="center"/>
        </w:trPr>
        <w:tc>
          <w:tcPr>
            <w:tcW w:w="559" w:type="pct"/>
            <w:vMerge w:val="restart"/>
            <w:noWrap/>
            <w:vAlign w:val="center"/>
          </w:tcPr>
          <w:p w14:paraId="14348F1F">
            <w:pPr>
              <w:widowControl/>
              <w:jc w:val="center"/>
              <w:rPr>
                <w:color w:val="000000"/>
                <w:kern w:val="0"/>
                <w:sz w:val="18"/>
                <w:szCs w:val="18"/>
              </w:rPr>
            </w:pPr>
            <w:r>
              <w:rPr>
                <w:color w:val="000000"/>
                <w:kern w:val="0"/>
                <w:sz w:val="18"/>
                <w:szCs w:val="18"/>
              </w:rPr>
              <w:t>资源属性</w:t>
            </w:r>
          </w:p>
        </w:tc>
        <w:tc>
          <w:tcPr>
            <w:tcW w:w="1304" w:type="pct"/>
            <w:gridSpan w:val="3"/>
            <w:tcBorders>
              <w:bottom w:val="single" w:color="auto" w:sz="4" w:space="0"/>
            </w:tcBorders>
            <w:noWrap/>
            <w:vAlign w:val="center"/>
          </w:tcPr>
          <w:p w14:paraId="7335D359">
            <w:pPr>
              <w:widowControl/>
              <w:rPr>
                <w:color w:val="000000"/>
                <w:kern w:val="0"/>
                <w:sz w:val="18"/>
                <w:szCs w:val="18"/>
              </w:rPr>
            </w:pPr>
            <w:r>
              <w:rPr>
                <w:color w:val="000000"/>
                <w:kern w:val="0"/>
                <w:sz w:val="18"/>
                <w:szCs w:val="18"/>
              </w:rPr>
              <w:t>生产过程工业产品废弃物利用率</w:t>
            </w:r>
          </w:p>
        </w:tc>
        <w:tc>
          <w:tcPr>
            <w:tcW w:w="500" w:type="pct"/>
            <w:tcBorders>
              <w:bottom w:val="single" w:color="auto" w:sz="4" w:space="0"/>
            </w:tcBorders>
            <w:noWrap/>
            <w:vAlign w:val="center"/>
          </w:tcPr>
          <w:p w14:paraId="4B0E3089">
            <w:pPr>
              <w:widowControl/>
              <w:jc w:val="center"/>
              <w:rPr>
                <w:color w:val="000000"/>
                <w:kern w:val="0"/>
                <w:sz w:val="18"/>
                <w:szCs w:val="18"/>
              </w:rPr>
            </w:pPr>
            <w:r>
              <w:rPr>
                <w:color w:val="000000"/>
                <w:kern w:val="0"/>
                <w:sz w:val="18"/>
                <w:szCs w:val="18"/>
              </w:rPr>
              <w:t>%</w:t>
            </w:r>
          </w:p>
        </w:tc>
        <w:tc>
          <w:tcPr>
            <w:tcW w:w="1836" w:type="pct"/>
            <w:gridSpan w:val="3"/>
            <w:tcBorders>
              <w:bottom w:val="single" w:color="auto" w:sz="4" w:space="0"/>
              <w:right w:val="single" w:color="auto" w:sz="4" w:space="0"/>
            </w:tcBorders>
            <w:noWrap/>
            <w:vAlign w:val="center"/>
          </w:tcPr>
          <w:p w14:paraId="059FC762">
            <w:pPr>
              <w:widowControl/>
              <w:jc w:val="center"/>
              <w:rPr>
                <w:color w:val="000000"/>
                <w:kern w:val="0"/>
                <w:sz w:val="18"/>
                <w:szCs w:val="18"/>
              </w:rPr>
            </w:pPr>
            <w:r>
              <w:rPr>
                <w:color w:val="000000"/>
                <w:kern w:val="0"/>
                <w:sz w:val="18"/>
                <w:szCs w:val="18"/>
              </w:rPr>
              <w:t>100</w:t>
            </w:r>
          </w:p>
        </w:tc>
        <w:tc>
          <w:tcPr>
            <w:tcW w:w="799" w:type="pct"/>
            <w:vMerge w:val="restart"/>
            <w:tcBorders>
              <w:left w:val="single" w:color="auto" w:sz="4" w:space="0"/>
            </w:tcBorders>
            <w:noWrap/>
            <w:vAlign w:val="center"/>
          </w:tcPr>
          <w:p w14:paraId="02E4BD8A">
            <w:pPr>
              <w:widowControl/>
              <w:jc w:val="center"/>
              <w:rPr>
                <w:color w:val="000000"/>
                <w:kern w:val="0"/>
                <w:sz w:val="18"/>
                <w:szCs w:val="18"/>
              </w:rPr>
            </w:pPr>
            <w:r>
              <w:rPr>
                <w:color w:val="000000"/>
                <w:kern w:val="0"/>
                <w:sz w:val="18"/>
                <w:szCs w:val="18"/>
              </w:rPr>
              <w:t>附录A</w:t>
            </w:r>
          </w:p>
        </w:tc>
      </w:tr>
      <w:tr w14:paraId="56703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59" w:type="pct"/>
            <w:vMerge w:val="continue"/>
            <w:noWrap/>
            <w:vAlign w:val="center"/>
          </w:tcPr>
          <w:p w14:paraId="22EA5949">
            <w:pPr>
              <w:widowControl/>
              <w:jc w:val="center"/>
              <w:rPr>
                <w:color w:val="000000"/>
                <w:kern w:val="0"/>
                <w:sz w:val="18"/>
                <w:szCs w:val="18"/>
              </w:rPr>
            </w:pPr>
          </w:p>
        </w:tc>
        <w:tc>
          <w:tcPr>
            <w:tcW w:w="1304" w:type="pct"/>
            <w:gridSpan w:val="3"/>
            <w:tcBorders>
              <w:top w:val="single" w:color="auto" w:sz="4" w:space="0"/>
            </w:tcBorders>
            <w:noWrap/>
            <w:vAlign w:val="center"/>
          </w:tcPr>
          <w:p w14:paraId="4ACEE87E">
            <w:pPr>
              <w:widowControl/>
              <w:rPr>
                <w:color w:val="000000"/>
                <w:kern w:val="0"/>
                <w:sz w:val="18"/>
                <w:szCs w:val="18"/>
              </w:rPr>
            </w:pPr>
            <w:r>
              <w:rPr>
                <w:color w:val="000000"/>
                <w:kern w:val="0"/>
                <w:sz w:val="18"/>
                <w:szCs w:val="18"/>
              </w:rPr>
              <w:t>固体废弃物掺加量</w:t>
            </w:r>
          </w:p>
        </w:tc>
        <w:tc>
          <w:tcPr>
            <w:tcW w:w="500" w:type="pct"/>
            <w:tcBorders>
              <w:top w:val="single" w:color="auto" w:sz="4" w:space="0"/>
            </w:tcBorders>
            <w:noWrap/>
            <w:vAlign w:val="center"/>
          </w:tcPr>
          <w:p w14:paraId="45354599">
            <w:pPr>
              <w:widowControl/>
              <w:jc w:val="center"/>
              <w:rPr>
                <w:color w:val="000000"/>
                <w:kern w:val="0"/>
                <w:sz w:val="18"/>
                <w:szCs w:val="18"/>
              </w:rPr>
            </w:pPr>
            <w:r>
              <w:rPr>
                <w:color w:val="000000"/>
                <w:kern w:val="0"/>
                <w:sz w:val="18"/>
                <w:szCs w:val="18"/>
              </w:rPr>
              <w:t>%</w:t>
            </w:r>
          </w:p>
        </w:tc>
        <w:tc>
          <w:tcPr>
            <w:tcW w:w="1836" w:type="pct"/>
            <w:gridSpan w:val="3"/>
            <w:tcBorders>
              <w:top w:val="single" w:color="auto" w:sz="4" w:space="0"/>
              <w:right w:val="single" w:color="auto" w:sz="4" w:space="0"/>
            </w:tcBorders>
            <w:noWrap/>
            <w:vAlign w:val="center"/>
          </w:tcPr>
          <w:p w14:paraId="7FCD2754">
            <w:pPr>
              <w:widowControl/>
              <w:jc w:val="center"/>
              <w:rPr>
                <w:color w:val="000000"/>
                <w:kern w:val="0"/>
                <w:sz w:val="18"/>
                <w:szCs w:val="18"/>
              </w:rPr>
            </w:pPr>
            <w:r>
              <w:rPr>
                <w:color w:val="000000"/>
                <w:kern w:val="0"/>
                <w:sz w:val="18"/>
                <w:szCs w:val="18"/>
              </w:rPr>
              <w:t>≥20</w:t>
            </w:r>
          </w:p>
        </w:tc>
        <w:tc>
          <w:tcPr>
            <w:tcW w:w="799" w:type="pct"/>
            <w:vMerge w:val="continue"/>
            <w:tcBorders>
              <w:left w:val="single" w:color="auto" w:sz="4" w:space="0"/>
            </w:tcBorders>
            <w:noWrap/>
            <w:vAlign w:val="center"/>
          </w:tcPr>
          <w:p w14:paraId="1FD12ECA">
            <w:pPr>
              <w:widowControl/>
              <w:jc w:val="center"/>
              <w:rPr>
                <w:color w:val="000000"/>
                <w:kern w:val="0"/>
                <w:sz w:val="18"/>
                <w:szCs w:val="18"/>
              </w:rPr>
            </w:pPr>
          </w:p>
        </w:tc>
      </w:tr>
      <w:tr w14:paraId="486E5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 w:hRule="atLeast"/>
          <w:jc w:val="center"/>
        </w:trPr>
        <w:tc>
          <w:tcPr>
            <w:tcW w:w="559" w:type="pct"/>
            <w:vMerge w:val="continue"/>
            <w:noWrap/>
            <w:vAlign w:val="center"/>
          </w:tcPr>
          <w:p w14:paraId="173A3016">
            <w:pPr>
              <w:widowControl/>
              <w:jc w:val="center"/>
              <w:rPr>
                <w:color w:val="000000"/>
                <w:kern w:val="0"/>
                <w:sz w:val="18"/>
                <w:szCs w:val="18"/>
              </w:rPr>
            </w:pPr>
          </w:p>
        </w:tc>
        <w:tc>
          <w:tcPr>
            <w:tcW w:w="1304" w:type="pct"/>
            <w:gridSpan w:val="3"/>
            <w:tcBorders>
              <w:top w:val="single" w:color="auto" w:sz="4" w:space="0"/>
            </w:tcBorders>
            <w:noWrap/>
            <w:vAlign w:val="center"/>
          </w:tcPr>
          <w:p w14:paraId="366B5791">
            <w:pPr>
              <w:widowControl/>
              <w:rPr>
                <w:color w:val="000000"/>
                <w:kern w:val="0"/>
                <w:sz w:val="18"/>
                <w:szCs w:val="18"/>
              </w:rPr>
            </w:pPr>
            <w:r>
              <w:rPr>
                <w:color w:val="000000"/>
                <w:kern w:val="0"/>
                <w:sz w:val="18"/>
                <w:szCs w:val="18"/>
              </w:rPr>
              <w:t>单位产品取水量</w:t>
            </w:r>
          </w:p>
        </w:tc>
        <w:tc>
          <w:tcPr>
            <w:tcW w:w="500" w:type="pct"/>
            <w:tcBorders>
              <w:top w:val="single" w:color="auto" w:sz="4" w:space="0"/>
            </w:tcBorders>
            <w:noWrap/>
            <w:vAlign w:val="center"/>
          </w:tcPr>
          <w:p w14:paraId="60CCD56E">
            <w:pPr>
              <w:widowControl/>
              <w:jc w:val="center"/>
              <w:rPr>
                <w:color w:val="000000"/>
                <w:kern w:val="0"/>
                <w:sz w:val="18"/>
                <w:szCs w:val="18"/>
              </w:rPr>
            </w:pPr>
            <w:r>
              <w:rPr>
                <w:spacing w:val="-8"/>
                <w:sz w:val="18"/>
                <w:szCs w:val="18"/>
              </w:rPr>
              <w:t>m</w:t>
            </w:r>
            <w:r>
              <w:rPr>
                <w:spacing w:val="-8"/>
                <w:sz w:val="18"/>
                <w:szCs w:val="18"/>
                <w:vertAlign w:val="superscript"/>
              </w:rPr>
              <w:t>3</w:t>
            </w:r>
            <w:r>
              <w:rPr>
                <w:spacing w:val="-8"/>
                <w:sz w:val="18"/>
                <w:szCs w:val="18"/>
              </w:rPr>
              <w:t>/m</w:t>
            </w:r>
            <w:r>
              <w:rPr>
                <w:spacing w:val="-8"/>
                <w:sz w:val="18"/>
                <w:szCs w:val="18"/>
                <w:vertAlign w:val="superscript"/>
              </w:rPr>
              <w:t>3</w:t>
            </w:r>
          </w:p>
        </w:tc>
        <w:tc>
          <w:tcPr>
            <w:tcW w:w="1836" w:type="pct"/>
            <w:gridSpan w:val="3"/>
            <w:tcBorders>
              <w:top w:val="single" w:color="auto" w:sz="4" w:space="0"/>
              <w:right w:val="single" w:color="auto" w:sz="4" w:space="0"/>
            </w:tcBorders>
            <w:noWrap/>
            <w:vAlign w:val="center"/>
          </w:tcPr>
          <w:p w14:paraId="34BD3FE7">
            <w:pPr>
              <w:widowControl/>
              <w:jc w:val="center"/>
              <w:rPr>
                <w:color w:val="000000"/>
                <w:kern w:val="0"/>
                <w:sz w:val="18"/>
                <w:szCs w:val="18"/>
              </w:rPr>
            </w:pPr>
            <w:r>
              <w:rPr>
                <w:color w:val="000000"/>
                <w:kern w:val="0"/>
                <w:sz w:val="18"/>
                <w:szCs w:val="18"/>
              </w:rPr>
              <w:t>≤1.05</w:t>
            </w:r>
          </w:p>
        </w:tc>
        <w:tc>
          <w:tcPr>
            <w:tcW w:w="799" w:type="pct"/>
            <w:vMerge w:val="continue"/>
            <w:tcBorders>
              <w:left w:val="single" w:color="auto" w:sz="4" w:space="0"/>
            </w:tcBorders>
            <w:noWrap/>
            <w:vAlign w:val="center"/>
          </w:tcPr>
          <w:p w14:paraId="58626D96">
            <w:pPr>
              <w:widowControl/>
              <w:jc w:val="center"/>
              <w:rPr>
                <w:color w:val="000000"/>
                <w:kern w:val="0"/>
                <w:sz w:val="18"/>
                <w:szCs w:val="18"/>
              </w:rPr>
            </w:pPr>
          </w:p>
        </w:tc>
      </w:tr>
      <w:tr w14:paraId="6757F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559" w:type="pct"/>
            <w:vMerge w:val="continue"/>
            <w:noWrap/>
            <w:vAlign w:val="center"/>
          </w:tcPr>
          <w:p w14:paraId="785F24EE">
            <w:pPr>
              <w:widowControl/>
              <w:jc w:val="center"/>
              <w:rPr>
                <w:color w:val="000000"/>
                <w:kern w:val="0"/>
                <w:sz w:val="18"/>
                <w:szCs w:val="18"/>
              </w:rPr>
            </w:pPr>
          </w:p>
        </w:tc>
        <w:tc>
          <w:tcPr>
            <w:tcW w:w="1304" w:type="pct"/>
            <w:gridSpan w:val="3"/>
            <w:tcBorders>
              <w:top w:val="single" w:color="auto" w:sz="4" w:space="0"/>
            </w:tcBorders>
            <w:noWrap/>
            <w:vAlign w:val="center"/>
          </w:tcPr>
          <w:p w14:paraId="6230AE29">
            <w:pPr>
              <w:widowControl/>
              <w:rPr>
                <w:color w:val="000000"/>
                <w:kern w:val="0"/>
                <w:sz w:val="18"/>
                <w:szCs w:val="18"/>
              </w:rPr>
            </w:pPr>
            <w:r>
              <w:rPr>
                <w:color w:val="000000"/>
                <w:kern w:val="0"/>
                <w:sz w:val="18"/>
                <w:szCs w:val="18"/>
              </w:rPr>
              <w:t>钢材利用率</w:t>
            </w:r>
          </w:p>
        </w:tc>
        <w:tc>
          <w:tcPr>
            <w:tcW w:w="500" w:type="pct"/>
            <w:tcBorders>
              <w:top w:val="single" w:color="auto" w:sz="4" w:space="0"/>
            </w:tcBorders>
            <w:noWrap/>
            <w:vAlign w:val="center"/>
          </w:tcPr>
          <w:p w14:paraId="2C50A54D">
            <w:pPr>
              <w:widowControl/>
              <w:jc w:val="center"/>
              <w:rPr>
                <w:spacing w:val="-8"/>
                <w:sz w:val="18"/>
                <w:szCs w:val="18"/>
              </w:rPr>
            </w:pPr>
            <w:r>
              <w:rPr>
                <w:color w:val="000000"/>
                <w:kern w:val="0"/>
                <w:sz w:val="18"/>
                <w:szCs w:val="18"/>
              </w:rPr>
              <w:t>%</w:t>
            </w:r>
          </w:p>
        </w:tc>
        <w:tc>
          <w:tcPr>
            <w:tcW w:w="1836" w:type="pct"/>
            <w:gridSpan w:val="3"/>
            <w:tcBorders>
              <w:top w:val="single" w:color="auto" w:sz="4" w:space="0"/>
              <w:right w:val="single" w:color="auto" w:sz="4" w:space="0"/>
            </w:tcBorders>
            <w:noWrap/>
            <w:vAlign w:val="center"/>
          </w:tcPr>
          <w:p w14:paraId="179DC30D">
            <w:pPr>
              <w:widowControl/>
              <w:jc w:val="center"/>
              <w:rPr>
                <w:color w:val="000000"/>
                <w:kern w:val="0"/>
                <w:sz w:val="18"/>
                <w:szCs w:val="18"/>
              </w:rPr>
            </w:pPr>
            <w:r>
              <w:rPr>
                <w:color w:val="000000"/>
                <w:kern w:val="0"/>
                <w:sz w:val="18"/>
                <w:szCs w:val="18"/>
              </w:rPr>
              <w:t>≥98</w:t>
            </w:r>
          </w:p>
        </w:tc>
        <w:tc>
          <w:tcPr>
            <w:tcW w:w="799" w:type="pct"/>
            <w:vMerge w:val="continue"/>
            <w:tcBorders>
              <w:left w:val="single" w:color="auto" w:sz="4" w:space="0"/>
            </w:tcBorders>
            <w:noWrap/>
            <w:vAlign w:val="center"/>
          </w:tcPr>
          <w:p w14:paraId="736DD28B">
            <w:pPr>
              <w:widowControl/>
              <w:jc w:val="center"/>
              <w:rPr>
                <w:color w:val="000000"/>
                <w:kern w:val="0"/>
                <w:sz w:val="18"/>
                <w:szCs w:val="18"/>
              </w:rPr>
            </w:pPr>
          </w:p>
        </w:tc>
      </w:tr>
      <w:tr w14:paraId="24A78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559" w:type="pct"/>
            <w:vMerge w:val="restart"/>
            <w:noWrap/>
            <w:vAlign w:val="center"/>
          </w:tcPr>
          <w:p w14:paraId="0E8E4333">
            <w:pPr>
              <w:widowControl/>
              <w:jc w:val="center"/>
              <w:rPr>
                <w:color w:val="000000"/>
                <w:kern w:val="0"/>
                <w:sz w:val="18"/>
                <w:szCs w:val="18"/>
              </w:rPr>
            </w:pPr>
            <w:r>
              <w:rPr>
                <w:color w:val="000000"/>
                <w:kern w:val="0"/>
                <w:sz w:val="18"/>
                <w:szCs w:val="18"/>
              </w:rPr>
              <w:t>能源属性</w:t>
            </w:r>
          </w:p>
        </w:tc>
        <w:tc>
          <w:tcPr>
            <w:tcW w:w="1304" w:type="pct"/>
            <w:gridSpan w:val="3"/>
            <w:noWrap/>
            <w:vAlign w:val="center"/>
          </w:tcPr>
          <w:p w14:paraId="1D088635">
            <w:pPr>
              <w:widowControl/>
              <w:rPr>
                <w:color w:val="000000"/>
                <w:kern w:val="0"/>
                <w:sz w:val="18"/>
                <w:szCs w:val="18"/>
              </w:rPr>
            </w:pPr>
            <w:r>
              <w:rPr>
                <w:color w:val="000000"/>
                <w:kern w:val="0"/>
                <w:sz w:val="18"/>
                <w:szCs w:val="18"/>
              </w:rPr>
              <w:t>单位产品综合能耗</w:t>
            </w:r>
          </w:p>
        </w:tc>
        <w:tc>
          <w:tcPr>
            <w:tcW w:w="500" w:type="pct"/>
            <w:noWrap/>
            <w:vAlign w:val="center"/>
          </w:tcPr>
          <w:p w14:paraId="03456CCF">
            <w:pPr>
              <w:widowControl/>
              <w:jc w:val="center"/>
              <w:rPr>
                <w:color w:val="000000"/>
                <w:kern w:val="0"/>
                <w:sz w:val="18"/>
                <w:szCs w:val="18"/>
              </w:rPr>
            </w:pPr>
            <w:r>
              <w:rPr>
                <w:color w:val="000000"/>
                <w:kern w:val="0"/>
                <w:sz w:val="18"/>
                <w:szCs w:val="18"/>
              </w:rPr>
              <w:t>——</w:t>
            </w:r>
          </w:p>
        </w:tc>
        <w:tc>
          <w:tcPr>
            <w:tcW w:w="1223" w:type="pct"/>
            <w:gridSpan w:val="2"/>
            <w:noWrap/>
            <w:vAlign w:val="center"/>
          </w:tcPr>
          <w:p w14:paraId="17513154">
            <w:pPr>
              <w:widowControl/>
              <w:jc w:val="center"/>
              <w:rPr>
                <w:color w:val="000000"/>
                <w:kern w:val="0"/>
                <w:sz w:val="18"/>
                <w:szCs w:val="18"/>
              </w:rPr>
            </w:pPr>
            <w:r>
              <w:rPr>
                <w:color w:val="000000"/>
                <w:kern w:val="0"/>
                <w:sz w:val="18"/>
                <w:szCs w:val="18"/>
              </w:rPr>
              <w:t>2级</w:t>
            </w:r>
          </w:p>
        </w:tc>
        <w:tc>
          <w:tcPr>
            <w:tcW w:w="613" w:type="pct"/>
            <w:tcBorders>
              <w:right w:val="single" w:color="auto" w:sz="4" w:space="0"/>
            </w:tcBorders>
            <w:vAlign w:val="center"/>
          </w:tcPr>
          <w:p w14:paraId="4C7F20A3">
            <w:pPr>
              <w:widowControl/>
              <w:jc w:val="center"/>
              <w:rPr>
                <w:color w:val="000000"/>
                <w:kern w:val="0"/>
                <w:sz w:val="18"/>
                <w:szCs w:val="18"/>
              </w:rPr>
            </w:pPr>
            <w:r>
              <w:rPr>
                <w:color w:val="000000"/>
                <w:kern w:val="0"/>
                <w:sz w:val="18"/>
                <w:szCs w:val="18"/>
              </w:rPr>
              <w:t>1级</w:t>
            </w:r>
          </w:p>
        </w:tc>
        <w:tc>
          <w:tcPr>
            <w:tcW w:w="799" w:type="pct"/>
            <w:tcBorders>
              <w:left w:val="single" w:color="auto" w:sz="4" w:space="0"/>
            </w:tcBorders>
            <w:vAlign w:val="center"/>
          </w:tcPr>
          <w:p w14:paraId="1E7959EF">
            <w:pPr>
              <w:widowControl/>
              <w:jc w:val="center"/>
              <w:rPr>
                <w:color w:val="000000"/>
                <w:kern w:val="0"/>
                <w:sz w:val="18"/>
                <w:szCs w:val="18"/>
              </w:rPr>
            </w:pPr>
            <w:r>
              <w:rPr>
                <w:color w:val="000000"/>
                <w:kern w:val="0"/>
                <w:sz w:val="18"/>
                <w:szCs w:val="18"/>
              </w:rPr>
              <w:t>GB 38263-2019</w:t>
            </w:r>
          </w:p>
        </w:tc>
      </w:tr>
      <w:tr w14:paraId="08264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 w:hRule="atLeast"/>
          <w:jc w:val="center"/>
        </w:trPr>
        <w:tc>
          <w:tcPr>
            <w:tcW w:w="559" w:type="pct"/>
            <w:vMerge w:val="continue"/>
            <w:noWrap/>
            <w:vAlign w:val="center"/>
          </w:tcPr>
          <w:p w14:paraId="151C2B1C">
            <w:pPr>
              <w:widowControl/>
              <w:jc w:val="center"/>
              <w:rPr>
                <w:color w:val="000000"/>
                <w:kern w:val="0"/>
                <w:sz w:val="18"/>
                <w:szCs w:val="18"/>
              </w:rPr>
            </w:pPr>
          </w:p>
        </w:tc>
        <w:tc>
          <w:tcPr>
            <w:tcW w:w="1304" w:type="pct"/>
            <w:gridSpan w:val="3"/>
            <w:tcBorders>
              <w:top w:val="single" w:color="auto" w:sz="4" w:space="0"/>
            </w:tcBorders>
            <w:noWrap/>
            <w:vAlign w:val="center"/>
          </w:tcPr>
          <w:p w14:paraId="313B005C">
            <w:pPr>
              <w:widowControl/>
              <w:rPr>
                <w:color w:val="000000"/>
                <w:kern w:val="0"/>
                <w:sz w:val="18"/>
                <w:szCs w:val="18"/>
              </w:rPr>
            </w:pPr>
            <w:r>
              <w:rPr>
                <w:color w:val="000000"/>
                <w:kern w:val="0"/>
                <w:sz w:val="18"/>
                <w:szCs w:val="18"/>
              </w:rPr>
              <w:t>原材料本地化程度</w:t>
            </w:r>
          </w:p>
        </w:tc>
        <w:tc>
          <w:tcPr>
            <w:tcW w:w="500" w:type="pct"/>
            <w:tcBorders>
              <w:top w:val="single" w:color="auto" w:sz="4" w:space="0"/>
            </w:tcBorders>
            <w:noWrap/>
            <w:vAlign w:val="center"/>
          </w:tcPr>
          <w:p w14:paraId="7279C2B0">
            <w:pPr>
              <w:widowControl/>
              <w:jc w:val="center"/>
              <w:rPr>
                <w:color w:val="000000"/>
                <w:kern w:val="0"/>
                <w:sz w:val="18"/>
                <w:szCs w:val="18"/>
              </w:rPr>
            </w:pPr>
            <w:r>
              <w:rPr>
                <w:color w:val="000000"/>
                <w:kern w:val="0"/>
                <w:sz w:val="18"/>
                <w:szCs w:val="18"/>
              </w:rPr>
              <w:t>%</w:t>
            </w:r>
          </w:p>
        </w:tc>
        <w:tc>
          <w:tcPr>
            <w:tcW w:w="1836" w:type="pct"/>
            <w:gridSpan w:val="3"/>
            <w:tcBorders>
              <w:top w:val="single" w:color="auto" w:sz="4" w:space="0"/>
              <w:right w:val="single" w:color="auto" w:sz="4" w:space="0"/>
            </w:tcBorders>
            <w:noWrap/>
            <w:vAlign w:val="center"/>
          </w:tcPr>
          <w:p w14:paraId="7ACF6E45">
            <w:pPr>
              <w:widowControl/>
              <w:jc w:val="center"/>
              <w:rPr>
                <w:color w:val="000000"/>
                <w:kern w:val="0"/>
                <w:sz w:val="18"/>
                <w:szCs w:val="18"/>
              </w:rPr>
            </w:pPr>
            <w:r>
              <w:rPr>
                <w:color w:val="000000"/>
                <w:kern w:val="0"/>
                <w:sz w:val="18"/>
                <w:szCs w:val="18"/>
              </w:rPr>
              <w:t>≥95</w:t>
            </w:r>
          </w:p>
        </w:tc>
        <w:tc>
          <w:tcPr>
            <w:tcW w:w="799" w:type="pct"/>
            <w:tcBorders>
              <w:left w:val="single" w:color="auto" w:sz="4" w:space="0"/>
            </w:tcBorders>
            <w:noWrap/>
            <w:vAlign w:val="center"/>
          </w:tcPr>
          <w:p w14:paraId="5B7CC82E">
            <w:pPr>
              <w:widowControl/>
              <w:jc w:val="center"/>
              <w:rPr>
                <w:color w:val="000000"/>
                <w:kern w:val="0"/>
                <w:sz w:val="18"/>
                <w:szCs w:val="18"/>
              </w:rPr>
            </w:pPr>
            <w:r>
              <w:rPr>
                <w:color w:val="000000"/>
                <w:kern w:val="0"/>
                <w:sz w:val="18"/>
                <w:szCs w:val="18"/>
              </w:rPr>
              <w:t>附录A</w:t>
            </w:r>
          </w:p>
        </w:tc>
      </w:tr>
      <w:tr w14:paraId="31F79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559" w:type="pct"/>
            <w:vMerge w:val="restart"/>
            <w:tcBorders>
              <w:top w:val="single" w:color="auto" w:sz="4" w:space="0"/>
            </w:tcBorders>
            <w:noWrap/>
            <w:vAlign w:val="center"/>
          </w:tcPr>
          <w:p w14:paraId="53F44A2E">
            <w:pPr>
              <w:widowControl/>
              <w:jc w:val="center"/>
              <w:rPr>
                <w:color w:val="000000"/>
                <w:kern w:val="0"/>
                <w:sz w:val="18"/>
                <w:szCs w:val="18"/>
              </w:rPr>
            </w:pPr>
            <w:r>
              <w:rPr>
                <w:color w:val="000000"/>
                <w:kern w:val="0"/>
                <w:sz w:val="18"/>
                <w:szCs w:val="18"/>
              </w:rPr>
              <w:t>环境属性</w:t>
            </w:r>
          </w:p>
        </w:tc>
        <w:tc>
          <w:tcPr>
            <w:tcW w:w="1304" w:type="pct"/>
            <w:gridSpan w:val="3"/>
            <w:noWrap/>
            <w:vAlign w:val="center"/>
          </w:tcPr>
          <w:p w14:paraId="24F6BF6A">
            <w:pPr>
              <w:rPr>
                <w:kern w:val="0"/>
                <w:sz w:val="18"/>
                <w:szCs w:val="18"/>
              </w:rPr>
            </w:pPr>
            <w:r>
              <w:rPr>
                <w:kern w:val="0"/>
                <w:sz w:val="18"/>
                <w:szCs w:val="18"/>
              </w:rPr>
              <w:t>产品环境影响和碳足迹</w:t>
            </w:r>
          </w:p>
        </w:tc>
        <w:tc>
          <w:tcPr>
            <w:tcW w:w="500" w:type="pct"/>
            <w:noWrap/>
            <w:vAlign w:val="center"/>
          </w:tcPr>
          <w:p w14:paraId="2B27F051">
            <w:pPr>
              <w:jc w:val="center"/>
              <w:rPr>
                <w:spacing w:val="-8"/>
                <w:sz w:val="18"/>
                <w:szCs w:val="18"/>
              </w:rPr>
            </w:pPr>
            <w:r>
              <w:rPr>
                <w:spacing w:val="-8"/>
                <w:sz w:val="18"/>
                <w:szCs w:val="18"/>
              </w:rPr>
              <w:t>——</w:t>
            </w:r>
          </w:p>
        </w:tc>
        <w:tc>
          <w:tcPr>
            <w:tcW w:w="1836" w:type="pct"/>
            <w:gridSpan w:val="3"/>
            <w:tcBorders>
              <w:right w:val="single" w:color="auto" w:sz="4" w:space="0"/>
            </w:tcBorders>
            <w:noWrap/>
            <w:vAlign w:val="center"/>
          </w:tcPr>
          <w:p w14:paraId="7B96952E">
            <w:pPr>
              <w:jc w:val="center"/>
              <w:rPr>
                <w:kern w:val="0"/>
                <w:sz w:val="18"/>
                <w:szCs w:val="18"/>
              </w:rPr>
            </w:pPr>
            <w:r>
              <w:rPr>
                <w:kern w:val="0"/>
                <w:sz w:val="18"/>
                <w:szCs w:val="18"/>
              </w:rPr>
              <w:t>进行环境产品声明（EPD）和碳足迹分析</w:t>
            </w:r>
          </w:p>
        </w:tc>
        <w:tc>
          <w:tcPr>
            <w:tcW w:w="799" w:type="pct"/>
            <w:tcBorders>
              <w:left w:val="single" w:color="auto" w:sz="4" w:space="0"/>
            </w:tcBorders>
            <w:noWrap/>
            <w:vAlign w:val="center"/>
          </w:tcPr>
          <w:p w14:paraId="34488054">
            <w:pPr>
              <w:widowControl/>
              <w:jc w:val="center"/>
              <w:rPr>
                <w:color w:val="000000"/>
                <w:kern w:val="0"/>
                <w:sz w:val="18"/>
                <w:szCs w:val="18"/>
              </w:rPr>
            </w:pPr>
            <w:r>
              <w:rPr>
                <w:color w:val="000000"/>
                <w:kern w:val="0"/>
                <w:sz w:val="18"/>
                <w:szCs w:val="18"/>
              </w:rPr>
              <w:t>GB/T 24025</w:t>
            </w:r>
          </w:p>
        </w:tc>
      </w:tr>
      <w:tr w14:paraId="5E603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 w:hRule="atLeast"/>
          <w:jc w:val="center"/>
        </w:trPr>
        <w:tc>
          <w:tcPr>
            <w:tcW w:w="559" w:type="pct"/>
            <w:vMerge w:val="continue"/>
            <w:noWrap/>
            <w:vAlign w:val="center"/>
          </w:tcPr>
          <w:p w14:paraId="35783151">
            <w:pPr>
              <w:widowControl/>
              <w:jc w:val="center"/>
              <w:rPr>
                <w:color w:val="000000"/>
                <w:kern w:val="0"/>
                <w:sz w:val="18"/>
                <w:szCs w:val="18"/>
              </w:rPr>
            </w:pPr>
          </w:p>
        </w:tc>
        <w:tc>
          <w:tcPr>
            <w:tcW w:w="1304" w:type="pct"/>
            <w:gridSpan w:val="3"/>
            <w:tcBorders>
              <w:bottom w:val="single" w:color="auto" w:sz="4" w:space="0"/>
            </w:tcBorders>
            <w:noWrap/>
            <w:vAlign w:val="center"/>
          </w:tcPr>
          <w:p w14:paraId="5CF6F013">
            <w:pPr>
              <w:rPr>
                <w:kern w:val="0"/>
                <w:sz w:val="18"/>
                <w:szCs w:val="18"/>
              </w:rPr>
            </w:pPr>
            <w:r>
              <w:rPr>
                <w:kern w:val="0"/>
                <w:sz w:val="18"/>
                <w:szCs w:val="18"/>
              </w:rPr>
              <w:t>单位产品工业废水排放量</w:t>
            </w:r>
          </w:p>
        </w:tc>
        <w:tc>
          <w:tcPr>
            <w:tcW w:w="500" w:type="pct"/>
            <w:tcBorders>
              <w:bottom w:val="single" w:color="auto" w:sz="4" w:space="0"/>
            </w:tcBorders>
            <w:noWrap/>
            <w:vAlign w:val="center"/>
          </w:tcPr>
          <w:p w14:paraId="25ED8D33">
            <w:pPr>
              <w:jc w:val="center"/>
              <w:rPr>
                <w:spacing w:val="-8"/>
                <w:sz w:val="18"/>
                <w:szCs w:val="18"/>
              </w:rPr>
            </w:pPr>
            <w:r>
              <w:rPr>
                <w:spacing w:val="-8"/>
                <w:sz w:val="18"/>
                <w:szCs w:val="18"/>
              </w:rPr>
              <w:t>kg/m</w:t>
            </w:r>
            <w:r>
              <w:rPr>
                <w:spacing w:val="-8"/>
                <w:sz w:val="18"/>
                <w:szCs w:val="18"/>
                <w:vertAlign w:val="superscript"/>
              </w:rPr>
              <w:t>3</w:t>
            </w:r>
          </w:p>
        </w:tc>
        <w:tc>
          <w:tcPr>
            <w:tcW w:w="1836" w:type="pct"/>
            <w:gridSpan w:val="3"/>
            <w:tcBorders>
              <w:bottom w:val="single" w:color="auto" w:sz="4" w:space="0"/>
              <w:right w:val="single" w:color="auto" w:sz="4" w:space="0"/>
            </w:tcBorders>
            <w:noWrap/>
            <w:vAlign w:val="center"/>
          </w:tcPr>
          <w:p w14:paraId="3F448E71">
            <w:pPr>
              <w:jc w:val="center"/>
              <w:rPr>
                <w:kern w:val="0"/>
                <w:sz w:val="18"/>
                <w:szCs w:val="18"/>
              </w:rPr>
            </w:pPr>
            <w:r>
              <w:rPr>
                <w:kern w:val="0"/>
                <w:sz w:val="18"/>
                <w:szCs w:val="18"/>
              </w:rPr>
              <w:t>0</w:t>
            </w:r>
          </w:p>
        </w:tc>
        <w:tc>
          <w:tcPr>
            <w:tcW w:w="799" w:type="pct"/>
            <w:tcBorders>
              <w:left w:val="single" w:color="auto" w:sz="4" w:space="0"/>
              <w:bottom w:val="single" w:color="auto" w:sz="4" w:space="0"/>
            </w:tcBorders>
            <w:noWrap/>
            <w:vAlign w:val="center"/>
          </w:tcPr>
          <w:p w14:paraId="0A1C3261">
            <w:pPr>
              <w:widowControl/>
              <w:jc w:val="center"/>
              <w:rPr>
                <w:color w:val="000000"/>
                <w:kern w:val="0"/>
                <w:sz w:val="18"/>
                <w:szCs w:val="18"/>
              </w:rPr>
            </w:pPr>
            <w:r>
              <w:rPr>
                <w:color w:val="000000"/>
                <w:kern w:val="0"/>
                <w:sz w:val="18"/>
                <w:szCs w:val="18"/>
              </w:rPr>
              <w:t>GB 8978、附录A</w:t>
            </w:r>
          </w:p>
        </w:tc>
      </w:tr>
      <w:tr w14:paraId="6A2CE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 w:hRule="atLeast"/>
          <w:jc w:val="center"/>
        </w:trPr>
        <w:tc>
          <w:tcPr>
            <w:tcW w:w="559" w:type="pct"/>
            <w:vMerge w:val="continue"/>
            <w:noWrap/>
            <w:vAlign w:val="center"/>
          </w:tcPr>
          <w:p w14:paraId="6BB481F6">
            <w:pPr>
              <w:widowControl/>
              <w:jc w:val="center"/>
              <w:rPr>
                <w:color w:val="000000"/>
                <w:kern w:val="0"/>
                <w:sz w:val="18"/>
                <w:szCs w:val="18"/>
              </w:rPr>
            </w:pPr>
          </w:p>
        </w:tc>
        <w:tc>
          <w:tcPr>
            <w:tcW w:w="1304" w:type="pct"/>
            <w:gridSpan w:val="3"/>
            <w:tcBorders>
              <w:top w:val="single" w:color="auto" w:sz="4" w:space="0"/>
            </w:tcBorders>
            <w:noWrap/>
            <w:vAlign w:val="center"/>
          </w:tcPr>
          <w:p w14:paraId="1DABB8FB">
            <w:pPr>
              <w:rPr>
                <w:kern w:val="0"/>
                <w:sz w:val="18"/>
                <w:szCs w:val="18"/>
              </w:rPr>
            </w:pPr>
            <w:r>
              <w:rPr>
                <w:kern w:val="0"/>
                <w:sz w:val="18"/>
                <w:szCs w:val="18"/>
              </w:rPr>
              <w:t>生产过程厂界噪声排放限值</w:t>
            </w:r>
          </w:p>
        </w:tc>
        <w:tc>
          <w:tcPr>
            <w:tcW w:w="500" w:type="pct"/>
            <w:tcBorders>
              <w:top w:val="single" w:color="auto" w:sz="4" w:space="0"/>
            </w:tcBorders>
            <w:noWrap/>
            <w:vAlign w:val="center"/>
          </w:tcPr>
          <w:p w14:paraId="7901AA43">
            <w:pPr>
              <w:jc w:val="center"/>
              <w:rPr>
                <w:spacing w:val="-8"/>
                <w:sz w:val="18"/>
                <w:szCs w:val="18"/>
              </w:rPr>
            </w:pPr>
            <w:r>
              <w:rPr>
                <w:spacing w:val="-8"/>
                <w:sz w:val="18"/>
                <w:szCs w:val="18"/>
              </w:rPr>
              <w:t>dB（A）</w:t>
            </w:r>
          </w:p>
        </w:tc>
        <w:tc>
          <w:tcPr>
            <w:tcW w:w="1836" w:type="pct"/>
            <w:gridSpan w:val="3"/>
            <w:tcBorders>
              <w:top w:val="single" w:color="auto" w:sz="4" w:space="0"/>
              <w:right w:val="single" w:color="auto" w:sz="4" w:space="0"/>
            </w:tcBorders>
            <w:noWrap/>
            <w:vAlign w:val="center"/>
          </w:tcPr>
          <w:p w14:paraId="40D4EFAF">
            <w:pPr>
              <w:jc w:val="center"/>
              <w:rPr>
                <w:color w:val="000000"/>
                <w:kern w:val="0"/>
                <w:sz w:val="18"/>
                <w:szCs w:val="18"/>
              </w:rPr>
            </w:pPr>
            <w:r>
              <w:rPr>
                <w:kern w:val="0"/>
                <w:sz w:val="18"/>
                <w:szCs w:val="18"/>
              </w:rPr>
              <w:t>昼间</w:t>
            </w:r>
            <w:r>
              <w:rPr>
                <w:color w:val="000000"/>
                <w:kern w:val="0"/>
                <w:sz w:val="18"/>
                <w:szCs w:val="18"/>
              </w:rPr>
              <w:t>≤65</w:t>
            </w:r>
          </w:p>
          <w:p w14:paraId="4E0048A4">
            <w:pPr>
              <w:jc w:val="center"/>
              <w:rPr>
                <w:color w:val="000000"/>
                <w:kern w:val="0"/>
                <w:sz w:val="18"/>
                <w:szCs w:val="18"/>
              </w:rPr>
            </w:pPr>
            <w:r>
              <w:rPr>
                <w:color w:val="000000"/>
                <w:kern w:val="0"/>
                <w:sz w:val="18"/>
                <w:szCs w:val="18"/>
              </w:rPr>
              <w:t>夜间≤55</w:t>
            </w:r>
          </w:p>
        </w:tc>
        <w:tc>
          <w:tcPr>
            <w:tcW w:w="799" w:type="pct"/>
            <w:tcBorders>
              <w:top w:val="single" w:color="auto" w:sz="4" w:space="0"/>
              <w:left w:val="single" w:color="auto" w:sz="4" w:space="0"/>
            </w:tcBorders>
            <w:noWrap/>
            <w:vAlign w:val="center"/>
          </w:tcPr>
          <w:p w14:paraId="68F17953">
            <w:pPr>
              <w:widowControl/>
              <w:jc w:val="center"/>
              <w:rPr>
                <w:color w:val="000000"/>
                <w:kern w:val="0"/>
                <w:sz w:val="18"/>
                <w:szCs w:val="18"/>
              </w:rPr>
            </w:pPr>
            <w:r>
              <w:rPr>
                <w:color w:val="000000"/>
                <w:kern w:val="0"/>
                <w:sz w:val="18"/>
                <w:szCs w:val="18"/>
              </w:rPr>
              <w:t>GB 12348</w:t>
            </w:r>
          </w:p>
        </w:tc>
      </w:tr>
      <w:tr w14:paraId="2FBD8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9" w:hRule="atLeast"/>
          <w:jc w:val="center"/>
        </w:trPr>
        <w:tc>
          <w:tcPr>
            <w:tcW w:w="559" w:type="pct"/>
            <w:vMerge w:val="restart"/>
            <w:tcBorders>
              <w:top w:val="single" w:color="auto" w:sz="4" w:space="0"/>
            </w:tcBorders>
            <w:noWrap/>
            <w:vAlign w:val="center"/>
          </w:tcPr>
          <w:p w14:paraId="1869A969">
            <w:pPr>
              <w:jc w:val="center"/>
              <w:rPr>
                <w:color w:val="000000"/>
                <w:kern w:val="0"/>
                <w:sz w:val="18"/>
                <w:szCs w:val="18"/>
              </w:rPr>
            </w:pPr>
            <w:r>
              <w:rPr>
                <w:color w:val="000000"/>
                <w:kern w:val="0"/>
                <w:sz w:val="18"/>
                <w:szCs w:val="18"/>
              </w:rPr>
              <w:t>品质属性</w:t>
            </w:r>
          </w:p>
        </w:tc>
        <w:tc>
          <w:tcPr>
            <w:tcW w:w="651" w:type="pct"/>
            <w:gridSpan w:val="2"/>
            <w:vMerge w:val="restart"/>
            <w:tcBorders>
              <w:right w:val="single" w:color="auto" w:sz="4" w:space="0"/>
            </w:tcBorders>
            <w:noWrap/>
            <w:vAlign w:val="center"/>
          </w:tcPr>
          <w:p w14:paraId="7FA3106E">
            <w:pPr>
              <w:widowControl/>
              <w:rPr>
                <w:color w:val="000000"/>
                <w:kern w:val="0"/>
                <w:sz w:val="18"/>
                <w:szCs w:val="18"/>
              </w:rPr>
            </w:pPr>
            <w:r>
              <w:rPr>
                <w:color w:val="000000"/>
                <w:kern w:val="0"/>
                <w:sz w:val="18"/>
                <w:szCs w:val="18"/>
              </w:rPr>
              <w:t>混凝土耐久性</w:t>
            </w:r>
            <w:r>
              <w:rPr>
                <w:color w:val="000000"/>
                <w:kern w:val="0"/>
                <w:sz w:val="18"/>
                <w:szCs w:val="18"/>
                <w:vertAlign w:val="superscript"/>
              </w:rPr>
              <w:t>a</w:t>
            </w:r>
          </w:p>
          <w:p w14:paraId="062CDBFD">
            <w:pPr>
              <w:jc w:val="center"/>
              <w:rPr>
                <w:kern w:val="0"/>
                <w:sz w:val="18"/>
                <w:szCs w:val="18"/>
              </w:rPr>
            </w:pPr>
          </w:p>
        </w:tc>
        <w:tc>
          <w:tcPr>
            <w:tcW w:w="652" w:type="pct"/>
            <w:tcBorders>
              <w:left w:val="single" w:color="auto" w:sz="4" w:space="0"/>
              <w:bottom w:val="single" w:color="auto" w:sz="4" w:space="0"/>
            </w:tcBorders>
            <w:noWrap/>
            <w:vAlign w:val="center"/>
          </w:tcPr>
          <w:p w14:paraId="603677D6">
            <w:pPr>
              <w:widowControl/>
              <w:rPr>
                <w:color w:val="000000"/>
                <w:kern w:val="0"/>
                <w:sz w:val="18"/>
                <w:szCs w:val="18"/>
              </w:rPr>
            </w:pPr>
            <w:r>
              <w:rPr>
                <w:color w:val="000000"/>
                <w:kern w:val="0"/>
                <w:sz w:val="18"/>
                <w:szCs w:val="18"/>
              </w:rPr>
              <w:t>抗渗等级</w:t>
            </w:r>
          </w:p>
        </w:tc>
        <w:tc>
          <w:tcPr>
            <w:tcW w:w="500" w:type="pct"/>
            <w:vMerge w:val="restart"/>
            <w:noWrap/>
            <w:vAlign w:val="center"/>
          </w:tcPr>
          <w:p w14:paraId="74802207">
            <w:pPr>
              <w:jc w:val="center"/>
              <w:rPr>
                <w:kern w:val="0"/>
                <w:sz w:val="18"/>
                <w:szCs w:val="18"/>
              </w:rPr>
            </w:pPr>
            <w:r>
              <w:rPr>
                <w:rFonts w:hint="eastAsia"/>
                <w:kern w:val="0"/>
                <w:sz w:val="18"/>
                <w:szCs w:val="18"/>
              </w:rPr>
              <w:t>——</w:t>
            </w:r>
          </w:p>
        </w:tc>
        <w:tc>
          <w:tcPr>
            <w:tcW w:w="1223" w:type="pct"/>
            <w:gridSpan w:val="2"/>
            <w:tcBorders>
              <w:bottom w:val="single" w:color="auto" w:sz="4" w:space="0"/>
              <w:right w:val="single" w:color="auto" w:sz="4" w:space="0"/>
            </w:tcBorders>
            <w:noWrap/>
            <w:vAlign w:val="center"/>
          </w:tcPr>
          <w:p w14:paraId="4DAB44A2">
            <w:pPr>
              <w:widowControl/>
              <w:jc w:val="center"/>
              <w:rPr>
                <w:color w:val="000000"/>
                <w:kern w:val="0"/>
                <w:sz w:val="18"/>
                <w:szCs w:val="18"/>
              </w:rPr>
            </w:pPr>
            <w:r>
              <w:rPr>
                <w:color w:val="000000"/>
                <w:kern w:val="0"/>
                <w:sz w:val="18"/>
                <w:szCs w:val="18"/>
              </w:rPr>
              <w:t>P10</w:t>
            </w:r>
          </w:p>
        </w:tc>
        <w:tc>
          <w:tcPr>
            <w:tcW w:w="613" w:type="pct"/>
            <w:tcBorders>
              <w:left w:val="single" w:color="auto" w:sz="4" w:space="0"/>
              <w:bottom w:val="single" w:color="auto" w:sz="4" w:space="0"/>
              <w:right w:val="single" w:color="auto" w:sz="4" w:space="0"/>
            </w:tcBorders>
            <w:noWrap/>
            <w:vAlign w:val="center"/>
          </w:tcPr>
          <w:p w14:paraId="78AE4AA5">
            <w:pPr>
              <w:widowControl/>
              <w:jc w:val="center"/>
              <w:rPr>
                <w:color w:val="000000"/>
                <w:kern w:val="0"/>
                <w:sz w:val="18"/>
                <w:szCs w:val="18"/>
              </w:rPr>
            </w:pPr>
            <w:r>
              <w:rPr>
                <w:color w:val="000000"/>
                <w:kern w:val="0"/>
                <w:sz w:val="18"/>
                <w:szCs w:val="18"/>
              </w:rPr>
              <w:t>P12</w:t>
            </w:r>
          </w:p>
        </w:tc>
        <w:tc>
          <w:tcPr>
            <w:tcW w:w="799" w:type="pct"/>
            <w:vMerge w:val="restart"/>
            <w:tcBorders>
              <w:left w:val="single" w:color="auto" w:sz="4" w:space="0"/>
            </w:tcBorders>
            <w:vAlign w:val="center"/>
          </w:tcPr>
          <w:p w14:paraId="4C7938EE">
            <w:pPr>
              <w:widowControl/>
              <w:jc w:val="center"/>
              <w:rPr>
                <w:color w:val="000000"/>
                <w:kern w:val="0"/>
                <w:sz w:val="18"/>
                <w:szCs w:val="18"/>
              </w:rPr>
            </w:pPr>
            <w:r>
              <w:rPr>
                <w:color w:val="000000"/>
                <w:kern w:val="0"/>
                <w:sz w:val="18"/>
                <w:szCs w:val="18"/>
              </w:rPr>
              <w:t>GB/T 50082</w:t>
            </w:r>
          </w:p>
          <w:p w14:paraId="1C962E24">
            <w:pPr>
              <w:widowControl/>
              <w:jc w:val="center"/>
              <w:rPr>
                <w:color w:val="000000"/>
                <w:kern w:val="0"/>
                <w:sz w:val="18"/>
                <w:szCs w:val="18"/>
              </w:rPr>
            </w:pPr>
            <w:r>
              <w:rPr>
                <w:color w:val="000000"/>
                <w:kern w:val="0"/>
                <w:sz w:val="18"/>
                <w:szCs w:val="18"/>
              </w:rPr>
              <w:t>JGJ/T 193</w:t>
            </w:r>
          </w:p>
        </w:tc>
      </w:tr>
      <w:tr w14:paraId="46D82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559" w:type="pct"/>
            <w:vMerge w:val="continue"/>
            <w:noWrap/>
            <w:vAlign w:val="center"/>
          </w:tcPr>
          <w:p w14:paraId="3DB6455B">
            <w:pPr>
              <w:jc w:val="center"/>
              <w:rPr>
                <w:color w:val="000000"/>
                <w:kern w:val="0"/>
                <w:sz w:val="18"/>
                <w:szCs w:val="18"/>
              </w:rPr>
            </w:pPr>
          </w:p>
        </w:tc>
        <w:tc>
          <w:tcPr>
            <w:tcW w:w="651" w:type="pct"/>
            <w:gridSpan w:val="2"/>
            <w:vMerge w:val="continue"/>
            <w:tcBorders>
              <w:right w:val="single" w:color="auto" w:sz="4" w:space="0"/>
            </w:tcBorders>
            <w:noWrap/>
            <w:vAlign w:val="center"/>
          </w:tcPr>
          <w:p w14:paraId="2AEA796F">
            <w:pPr>
              <w:jc w:val="center"/>
              <w:rPr>
                <w:kern w:val="0"/>
                <w:sz w:val="18"/>
                <w:szCs w:val="18"/>
              </w:rPr>
            </w:pPr>
          </w:p>
        </w:tc>
        <w:tc>
          <w:tcPr>
            <w:tcW w:w="652" w:type="pct"/>
            <w:tcBorders>
              <w:top w:val="single" w:color="auto" w:sz="4" w:space="0"/>
              <w:left w:val="single" w:color="auto" w:sz="4" w:space="0"/>
              <w:bottom w:val="single" w:color="auto" w:sz="4" w:space="0"/>
            </w:tcBorders>
            <w:noWrap/>
            <w:vAlign w:val="center"/>
          </w:tcPr>
          <w:p w14:paraId="69408D9F">
            <w:pPr>
              <w:widowControl/>
              <w:rPr>
                <w:color w:val="000000"/>
                <w:kern w:val="0"/>
                <w:sz w:val="18"/>
                <w:szCs w:val="18"/>
              </w:rPr>
            </w:pPr>
            <w:r>
              <w:rPr>
                <w:color w:val="000000"/>
                <w:kern w:val="0"/>
                <w:sz w:val="18"/>
                <w:szCs w:val="18"/>
              </w:rPr>
              <w:t>抗氯离子渗透等级</w:t>
            </w:r>
          </w:p>
        </w:tc>
        <w:tc>
          <w:tcPr>
            <w:tcW w:w="500" w:type="pct"/>
            <w:vMerge w:val="continue"/>
            <w:noWrap/>
            <w:vAlign w:val="center"/>
          </w:tcPr>
          <w:p w14:paraId="1B20807F">
            <w:pPr>
              <w:jc w:val="center"/>
              <w:rPr>
                <w:kern w:val="0"/>
                <w:sz w:val="18"/>
                <w:szCs w:val="18"/>
              </w:rPr>
            </w:pPr>
          </w:p>
        </w:tc>
        <w:tc>
          <w:tcPr>
            <w:tcW w:w="610" w:type="pct"/>
            <w:tcBorders>
              <w:top w:val="single" w:color="auto" w:sz="4" w:space="0"/>
              <w:bottom w:val="single" w:color="auto" w:sz="4" w:space="0"/>
            </w:tcBorders>
            <w:noWrap/>
            <w:vAlign w:val="center"/>
          </w:tcPr>
          <w:p w14:paraId="31C87406">
            <w:pPr>
              <w:widowControl/>
              <w:jc w:val="center"/>
              <w:rPr>
                <w:color w:val="000000"/>
                <w:kern w:val="0"/>
                <w:sz w:val="18"/>
                <w:szCs w:val="18"/>
              </w:rPr>
            </w:pPr>
            <w:r>
              <w:rPr>
                <w:color w:val="000000"/>
                <w:kern w:val="0"/>
                <w:sz w:val="18"/>
                <w:szCs w:val="18"/>
              </w:rPr>
              <w:t>Ⅱ级</w:t>
            </w:r>
          </w:p>
        </w:tc>
        <w:tc>
          <w:tcPr>
            <w:tcW w:w="612" w:type="pct"/>
            <w:tcBorders>
              <w:top w:val="single" w:color="auto" w:sz="4" w:space="0"/>
              <w:bottom w:val="single" w:color="auto" w:sz="4" w:space="0"/>
              <w:right w:val="single" w:color="auto" w:sz="4" w:space="0"/>
            </w:tcBorders>
            <w:noWrap/>
            <w:vAlign w:val="center"/>
          </w:tcPr>
          <w:p w14:paraId="5CB41FBF">
            <w:pPr>
              <w:widowControl/>
              <w:jc w:val="center"/>
              <w:rPr>
                <w:color w:val="000000"/>
                <w:kern w:val="0"/>
                <w:sz w:val="18"/>
                <w:szCs w:val="18"/>
              </w:rPr>
            </w:pPr>
            <w:r>
              <w:rPr>
                <w:color w:val="000000"/>
                <w:kern w:val="0"/>
                <w:sz w:val="18"/>
                <w:szCs w:val="18"/>
              </w:rPr>
              <w:t>Ⅲ级</w:t>
            </w:r>
          </w:p>
        </w:tc>
        <w:tc>
          <w:tcPr>
            <w:tcW w:w="613" w:type="pct"/>
            <w:tcBorders>
              <w:top w:val="single" w:color="auto" w:sz="4" w:space="0"/>
              <w:left w:val="single" w:color="auto" w:sz="4" w:space="0"/>
              <w:bottom w:val="single" w:color="auto" w:sz="4" w:space="0"/>
              <w:right w:val="single" w:color="auto" w:sz="4" w:space="0"/>
            </w:tcBorders>
            <w:noWrap/>
            <w:vAlign w:val="center"/>
          </w:tcPr>
          <w:p w14:paraId="34B83BB4">
            <w:pPr>
              <w:widowControl/>
              <w:jc w:val="center"/>
              <w:rPr>
                <w:color w:val="000000"/>
                <w:kern w:val="0"/>
                <w:sz w:val="18"/>
                <w:szCs w:val="18"/>
              </w:rPr>
            </w:pPr>
            <w:r>
              <w:rPr>
                <w:color w:val="000000"/>
                <w:kern w:val="0"/>
                <w:sz w:val="18"/>
                <w:szCs w:val="18"/>
              </w:rPr>
              <w:t>Ⅳ级</w:t>
            </w:r>
          </w:p>
        </w:tc>
        <w:tc>
          <w:tcPr>
            <w:tcW w:w="799" w:type="pct"/>
            <w:vMerge w:val="continue"/>
            <w:tcBorders>
              <w:left w:val="single" w:color="auto" w:sz="4" w:space="0"/>
            </w:tcBorders>
            <w:vAlign w:val="center"/>
          </w:tcPr>
          <w:p w14:paraId="1704D84D">
            <w:pPr>
              <w:widowControl/>
              <w:jc w:val="center"/>
              <w:rPr>
                <w:color w:val="000000"/>
                <w:kern w:val="0"/>
                <w:sz w:val="18"/>
                <w:szCs w:val="18"/>
              </w:rPr>
            </w:pPr>
          </w:p>
        </w:tc>
      </w:tr>
      <w:tr w14:paraId="3099C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559" w:type="pct"/>
            <w:vMerge w:val="continue"/>
            <w:noWrap/>
            <w:vAlign w:val="center"/>
          </w:tcPr>
          <w:p w14:paraId="54524816">
            <w:pPr>
              <w:jc w:val="center"/>
              <w:rPr>
                <w:color w:val="000000"/>
                <w:kern w:val="0"/>
                <w:sz w:val="18"/>
                <w:szCs w:val="18"/>
              </w:rPr>
            </w:pPr>
          </w:p>
        </w:tc>
        <w:tc>
          <w:tcPr>
            <w:tcW w:w="651" w:type="pct"/>
            <w:gridSpan w:val="2"/>
            <w:vMerge w:val="continue"/>
            <w:tcBorders>
              <w:right w:val="single" w:color="auto" w:sz="4" w:space="0"/>
            </w:tcBorders>
            <w:noWrap/>
            <w:vAlign w:val="center"/>
          </w:tcPr>
          <w:p w14:paraId="34E4534D">
            <w:pPr>
              <w:jc w:val="center"/>
              <w:rPr>
                <w:kern w:val="0"/>
                <w:sz w:val="18"/>
                <w:szCs w:val="18"/>
              </w:rPr>
            </w:pPr>
          </w:p>
        </w:tc>
        <w:tc>
          <w:tcPr>
            <w:tcW w:w="652" w:type="pct"/>
            <w:tcBorders>
              <w:top w:val="single" w:color="auto" w:sz="4" w:space="0"/>
              <w:left w:val="single" w:color="auto" w:sz="4" w:space="0"/>
              <w:bottom w:val="single" w:color="auto" w:sz="4" w:space="0"/>
            </w:tcBorders>
            <w:noWrap/>
            <w:vAlign w:val="center"/>
          </w:tcPr>
          <w:p w14:paraId="7A67E69B">
            <w:pPr>
              <w:widowControl/>
              <w:rPr>
                <w:color w:val="000000"/>
                <w:kern w:val="0"/>
                <w:sz w:val="18"/>
                <w:szCs w:val="18"/>
              </w:rPr>
            </w:pPr>
            <w:r>
              <w:rPr>
                <w:color w:val="000000"/>
                <w:kern w:val="0"/>
                <w:sz w:val="18"/>
                <w:szCs w:val="18"/>
              </w:rPr>
              <w:t>抗碳化等级</w:t>
            </w:r>
          </w:p>
        </w:tc>
        <w:tc>
          <w:tcPr>
            <w:tcW w:w="500" w:type="pct"/>
            <w:vMerge w:val="continue"/>
            <w:noWrap/>
            <w:vAlign w:val="center"/>
          </w:tcPr>
          <w:p w14:paraId="575729B7">
            <w:pPr>
              <w:jc w:val="center"/>
              <w:rPr>
                <w:kern w:val="0"/>
                <w:sz w:val="18"/>
                <w:szCs w:val="18"/>
              </w:rPr>
            </w:pPr>
          </w:p>
        </w:tc>
        <w:tc>
          <w:tcPr>
            <w:tcW w:w="1223" w:type="pct"/>
            <w:gridSpan w:val="2"/>
            <w:tcBorders>
              <w:top w:val="single" w:color="auto" w:sz="4" w:space="0"/>
              <w:bottom w:val="single" w:color="auto" w:sz="4" w:space="0"/>
              <w:right w:val="single" w:color="auto" w:sz="4" w:space="0"/>
            </w:tcBorders>
            <w:noWrap/>
            <w:vAlign w:val="center"/>
          </w:tcPr>
          <w:p w14:paraId="0D445746">
            <w:pPr>
              <w:widowControl/>
              <w:jc w:val="center"/>
              <w:rPr>
                <w:color w:val="000000"/>
                <w:kern w:val="0"/>
                <w:sz w:val="18"/>
                <w:szCs w:val="18"/>
              </w:rPr>
            </w:pPr>
            <w:r>
              <w:rPr>
                <w:color w:val="000000"/>
                <w:kern w:val="0"/>
                <w:sz w:val="18"/>
                <w:szCs w:val="18"/>
              </w:rPr>
              <w:t>Ⅲ级</w:t>
            </w:r>
          </w:p>
        </w:tc>
        <w:tc>
          <w:tcPr>
            <w:tcW w:w="613" w:type="pct"/>
            <w:tcBorders>
              <w:top w:val="single" w:color="auto" w:sz="4" w:space="0"/>
              <w:left w:val="single" w:color="auto" w:sz="4" w:space="0"/>
              <w:bottom w:val="single" w:color="auto" w:sz="4" w:space="0"/>
              <w:right w:val="single" w:color="auto" w:sz="4" w:space="0"/>
            </w:tcBorders>
            <w:noWrap/>
            <w:vAlign w:val="center"/>
          </w:tcPr>
          <w:p w14:paraId="2AEEC765">
            <w:pPr>
              <w:widowControl/>
              <w:jc w:val="center"/>
              <w:rPr>
                <w:color w:val="000000"/>
                <w:kern w:val="0"/>
                <w:sz w:val="18"/>
                <w:szCs w:val="18"/>
              </w:rPr>
            </w:pPr>
            <w:r>
              <w:rPr>
                <w:color w:val="000000"/>
                <w:kern w:val="0"/>
                <w:sz w:val="18"/>
                <w:szCs w:val="18"/>
              </w:rPr>
              <w:t>Ⅳ级</w:t>
            </w:r>
          </w:p>
        </w:tc>
        <w:tc>
          <w:tcPr>
            <w:tcW w:w="799" w:type="pct"/>
            <w:vMerge w:val="continue"/>
            <w:tcBorders>
              <w:left w:val="single" w:color="auto" w:sz="4" w:space="0"/>
            </w:tcBorders>
            <w:vAlign w:val="center"/>
          </w:tcPr>
          <w:p w14:paraId="70203E6C">
            <w:pPr>
              <w:widowControl/>
              <w:jc w:val="center"/>
              <w:rPr>
                <w:color w:val="000000"/>
                <w:kern w:val="0"/>
                <w:sz w:val="18"/>
                <w:szCs w:val="18"/>
              </w:rPr>
            </w:pPr>
          </w:p>
        </w:tc>
      </w:tr>
      <w:tr w14:paraId="56752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559" w:type="pct"/>
            <w:vMerge w:val="continue"/>
            <w:noWrap/>
            <w:vAlign w:val="center"/>
          </w:tcPr>
          <w:p w14:paraId="535A6560">
            <w:pPr>
              <w:jc w:val="center"/>
              <w:rPr>
                <w:color w:val="000000"/>
                <w:kern w:val="0"/>
                <w:sz w:val="18"/>
                <w:szCs w:val="18"/>
              </w:rPr>
            </w:pPr>
          </w:p>
        </w:tc>
        <w:tc>
          <w:tcPr>
            <w:tcW w:w="651" w:type="pct"/>
            <w:gridSpan w:val="2"/>
            <w:vMerge w:val="continue"/>
            <w:tcBorders>
              <w:bottom w:val="single" w:color="auto" w:sz="4" w:space="0"/>
              <w:right w:val="single" w:color="auto" w:sz="4" w:space="0"/>
            </w:tcBorders>
            <w:noWrap/>
            <w:vAlign w:val="center"/>
          </w:tcPr>
          <w:p w14:paraId="5857F397">
            <w:pPr>
              <w:jc w:val="center"/>
              <w:rPr>
                <w:kern w:val="0"/>
                <w:sz w:val="18"/>
                <w:szCs w:val="18"/>
              </w:rPr>
            </w:pPr>
          </w:p>
        </w:tc>
        <w:tc>
          <w:tcPr>
            <w:tcW w:w="652" w:type="pct"/>
            <w:tcBorders>
              <w:top w:val="single" w:color="auto" w:sz="4" w:space="0"/>
              <w:left w:val="single" w:color="auto" w:sz="4" w:space="0"/>
              <w:bottom w:val="single" w:color="auto" w:sz="4" w:space="0"/>
            </w:tcBorders>
            <w:noWrap/>
            <w:vAlign w:val="center"/>
          </w:tcPr>
          <w:p w14:paraId="665F16B3">
            <w:pPr>
              <w:widowControl/>
              <w:rPr>
                <w:color w:val="000000"/>
                <w:kern w:val="0"/>
                <w:sz w:val="18"/>
                <w:szCs w:val="18"/>
              </w:rPr>
            </w:pPr>
            <w:r>
              <w:rPr>
                <w:color w:val="000000"/>
                <w:kern w:val="0"/>
                <w:sz w:val="18"/>
                <w:szCs w:val="18"/>
              </w:rPr>
              <w:t>抗冻等级</w:t>
            </w:r>
            <w:r>
              <w:rPr>
                <w:color w:val="000000"/>
                <w:kern w:val="0"/>
                <w:sz w:val="18"/>
                <w:szCs w:val="18"/>
                <w:vertAlign w:val="superscript"/>
              </w:rPr>
              <w:t>b</w:t>
            </w:r>
          </w:p>
        </w:tc>
        <w:tc>
          <w:tcPr>
            <w:tcW w:w="500" w:type="pct"/>
            <w:vMerge w:val="continue"/>
            <w:tcBorders>
              <w:bottom w:val="single" w:color="auto" w:sz="4" w:space="0"/>
            </w:tcBorders>
            <w:noWrap/>
            <w:vAlign w:val="center"/>
          </w:tcPr>
          <w:p w14:paraId="75DF1E21">
            <w:pPr>
              <w:jc w:val="center"/>
              <w:rPr>
                <w:kern w:val="0"/>
                <w:sz w:val="18"/>
                <w:szCs w:val="18"/>
              </w:rPr>
            </w:pPr>
          </w:p>
        </w:tc>
        <w:tc>
          <w:tcPr>
            <w:tcW w:w="1223" w:type="pct"/>
            <w:gridSpan w:val="2"/>
            <w:tcBorders>
              <w:top w:val="single" w:color="auto" w:sz="4" w:space="0"/>
              <w:bottom w:val="single" w:color="auto" w:sz="4" w:space="0"/>
              <w:right w:val="single" w:color="auto" w:sz="4" w:space="0"/>
            </w:tcBorders>
            <w:noWrap/>
            <w:vAlign w:val="center"/>
          </w:tcPr>
          <w:p w14:paraId="58607424">
            <w:pPr>
              <w:widowControl/>
              <w:jc w:val="center"/>
              <w:rPr>
                <w:color w:val="000000"/>
                <w:kern w:val="0"/>
                <w:sz w:val="18"/>
                <w:szCs w:val="18"/>
              </w:rPr>
            </w:pPr>
            <w:r>
              <w:rPr>
                <w:color w:val="000000"/>
                <w:kern w:val="0"/>
                <w:sz w:val="18"/>
                <w:szCs w:val="18"/>
              </w:rPr>
              <w:t>F300</w:t>
            </w:r>
          </w:p>
        </w:tc>
        <w:tc>
          <w:tcPr>
            <w:tcW w:w="613" w:type="pct"/>
            <w:tcBorders>
              <w:top w:val="single" w:color="auto" w:sz="4" w:space="0"/>
              <w:left w:val="single" w:color="auto" w:sz="4" w:space="0"/>
              <w:bottom w:val="single" w:color="auto" w:sz="4" w:space="0"/>
              <w:right w:val="single" w:color="auto" w:sz="4" w:space="0"/>
            </w:tcBorders>
            <w:noWrap/>
            <w:vAlign w:val="center"/>
          </w:tcPr>
          <w:p w14:paraId="0F1303D8">
            <w:pPr>
              <w:widowControl/>
              <w:jc w:val="center"/>
              <w:rPr>
                <w:color w:val="000000"/>
                <w:kern w:val="0"/>
                <w:sz w:val="18"/>
                <w:szCs w:val="18"/>
              </w:rPr>
            </w:pPr>
            <w:r>
              <w:rPr>
                <w:color w:val="000000"/>
                <w:kern w:val="0"/>
                <w:sz w:val="18"/>
                <w:szCs w:val="18"/>
              </w:rPr>
              <w:t>F400</w:t>
            </w:r>
          </w:p>
        </w:tc>
        <w:tc>
          <w:tcPr>
            <w:tcW w:w="799" w:type="pct"/>
            <w:vMerge w:val="continue"/>
            <w:tcBorders>
              <w:left w:val="single" w:color="auto" w:sz="4" w:space="0"/>
              <w:bottom w:val="single" w:color="auto" w:sz="4" w:space="0"/>
            </w:tcBorders>
            <w:vAlign w:val="center"/>
          </w:tcPr>
          <w:p w14:paraId="10FE3C99">
            <w:pPr>
              <w:widowControl/>
              <w:jc w:val="center"/>
              <w:rPr>
                <w:color w:val="000000"/>
                <w:kern w:val="0"/>
                <w:sz w:val="18"/>
                <w:szCs w:val="18"/>
              </w:rPr>
            </w:pPr>
          </w:p>
        </w:tc>
      </w:tr>
      <w:tr w14:paraId="23B7E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559" w:type="pct"/>
            <w:vMerge w:val="continue"/>
            <w:noWrap/>
            <w:vAlign w:val="center"/>
          </w:tcPr>
          <w:p w14:paraId="7F999C04">
            <w:pPr>
              <w:jc w:val="center"/>
              <w:rPr>
                <w:color w:val="000000"/>
                <w:kern w:val="0"/>
                <w:sz w:val="18"/>
                <w:szCs w:val="18"/>
              </w:rPr>
            </w:pPr>
          </w:p>
        </w:tc>
        <w:tc>
          <w:tcPr>
            <w:tcW w:w="1304" w:type="pct"/>
            <w:gridSpan w:val="3"/>
            <w:tcBorders>
              <w:top w:val="single" w:color="auto" w:sz="4" w:space="0"/>
            </w:tcBorders>
            <w:noWrap/>
            <w:vAlign w:val="center"/>
          </w:tcPr>
          <w:p w14:paraId="47C3A24D">
            <w:pPr>
              <w:jc w:val="center"/>
              <w:rPr>
                <w:kern w:val="0"/>
                <w:sz w:val="18"/>
                <w:szCs w:val="18"/>
              </w:rPr>
            </w:pPr>
            <w:r>
              <w:rPr>
                <w:kern w:val="0"/>
                <w:sz w:val="18"/>
                <w:szCs w:val="18"/>
              </w:rPr>
              <w:t>报告期内企业生产混凝土的抗压强度实测标准偏差与该强度等级标准偏差上限的比值</w:t>
            </w:r>
          </w:p>
        </w:tc>
        <w:tc>
          <w:tcPr>
            <w:tcW w:w="500" w:type="pct"/>
            <w:tcBorders>
              <w:top w:val="single" w:color="auto" w:sz="4" w:space="0"/>
              <w:bottom w:val="single" w:color="auto" w:sz="4" w:space="0"/>
            </w:tcBorders>
            <w:noWrap/>
            <w:vAlign w:val="center"/>
          </w:tcPr>
          <w:p w14:paraId="31A7850E">
            <w:pPr>
              <w:jc w:val="center"/>
              <w:rPr>
                <w:kern w:val="0"/>
                <w:sz w:val="18"/>
                <w:szCs w:val="18"/>
              </w:rPr>
            </w:pPr>
            <w:r>
              <w:rPr>
                <w:kern w:val="0"/>
                <w:sz w:val="18"/>
                <w:szCs w:val="18"/>
              </w:rPr>
              <w:t>——</w:t>
            </w:r>
          </w:p>
        </w:tc>
        <w:tc>
          <w:tcPr>
            <w:tcW w:w="610" w:type="pct"/>
            <w:tcBorders>
              <w:top w:val="single" w:color="auto" w:sz="4" w:space="0"/>
              <w:bottom w:val="single" w:color="auto" w:sz="4" w:space="0"/>
            </w:tcBorders>
            <w:noWrap/>
            <w:vAlign w:val="center"/>
          </w:tcPr>
          <w:p w14:paraId="23AA10C1">
            <w:pPr>
              <w:jc w:val="center"/>
              <w:rPr>
                <w:kern w:val="0"/>
                <w:sz w:val="18"/>
                <w:szCs w:val="18"/>
              </w:rPr>
            </w:pPr>
            <w:r>
              <w:rPr>
                <w:color w:val="000000"/>
                <w:kern w:val="0"/>
                <w:sz w:val="18"/>
                <w:szCs w:val="18"/>
              </w:rPr>
              <w:t>≤1.0</w:t>
            </w:r>
          </w:p>
        </w:tc>
        <w:tc>
          <w:tcPr>
            <w:tcW w:w="1225" w:type="pct"/>
            <w:gridSpan w:val="2"/>
            <w:tcBorders>
              <w:top w:val="single" w:color="auto" w:sz="4" w:space="0"/>
              <w:bottom w:val="single" w:color="auto" w:sz="4" w:space="0"/>
              <w:right w:val="single" w:color="auto" w:sz="4" w:space="0"/>
            </w:tcBorders>
            <w:noWrap/>
            <w:vAlign w:val="center"/>
          </w:tcPr>
          <w:p w14:paraId="28C5AA77">
            <w:pPr>
              <w:jc w:val="center"/>
              <w:rPr>
                <w:kern w:val="0"/>
                <w:sz w:val="18"/>
                <w:szCs w:val="18"/>
              </w:rPr>
            </w:pPr>
            <w:r>
              <w:rPr>
                <w:color w:val="000000"/>
                <w:kern w:val="0"/>
                <w:sz w:val="18"/>
                <w:szCs w:val="18"/>
              </w:rPr>
              <w:t>≤0.8</w:t>
            </w:r>
          </w:p>
        </w:tc>
        <w:tc>
          <w:tcPr>
            <w:tcW w:w="799" w:type="pct"/>
            <w:tcBorders>
              <w:top w:val="single" w:color="auto" w:sz="4" w:space="0"/>
              <w:left w:val="single" w:color="auto" w:sz="4" w:space="0"/>
              <w:bottom w:val="single" w:color="auto" w:sz="4" w:space="0"/>
            </w:tcBorders>
            <w:vAlign w:val="center"/>
          </w:tcPr>
          <w:p w14:paraId="5CC6F561">
            <w:pPr>
              <w:widowControl/>
              <w:jc w:val="center"/>
              <w:rPr>
                <w:color w:val="000000"/>
                <w:kern w:val="0"/>
                <w:sz w:val="18"/>
                <w:szCs w:val="18"/>
              </w:rPr>
            </w:pPr>
            <w:r>
              <w:rPr>
                <w:color w:val="000000"/>
                <w:kern w:val="0"/>
                <w:sz w:val="18"/>
                <w:szCs w:val="18"/>
              </w:rPr>
              <w:t>GB/T 50081、GB 50164</w:t>
            </w:r>
          </w:p>
        </w:tc>
      </w:tr>
      <w:tr w14:paraId="7A8BF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559" w:type="pct"/>
            <w:vMerge w:val="continue"/>
            <w:noWrap/>
            <w:vAlign w:val="center"/>
          </w:tcPr>
          <w:p w14:paraId="0B0D1A6D">
            <w:pPr>
              <w:jc w:val="center"/>
              <w:rPr>
                <w:color w:val="000000"/>
                <w:kern w:val="0"/>
                <w:sz w:val="18"/>
                <w:szCs w:val="18"/>
              </w:rPr>
            </w:pPr>
          </w:p>
        </w:tc>
        <w:tc>
          <w:tcPr>
            <w:tcW w:w="1304" w:type="pct"/>
            <w:gridSpan w:val="3"/>
            <w:tcBorders>
              <w:bottom w:val="single" w:color="auto" w:sz="4" w:space="0"/>
            </w:tcBorders>
            <w:noWrap/>
            <w:vAlign w:val="center"/>
          </w:tcPr>
          <w:p w14:paraId="079913F0">
            <w:pPr>
              <w:jc w:val="center"/>
              <w:rPr>
                <w:kern w:val="0"/>
                <w:sz w:val="18"/>
                <w:szCs w:val="18"/>
              </w:rPr>
            </w:pPr>
            <w:r>
              <w:rPr>
                <w:kern w:val="0"/>
                <w:sz w:val="18"/>
                <w:szCs w:val="18"/>
              </w:rPr>
              <w:t>28d混凝土抗压强度合格率</w:t>
            </w:r>
          </w:p>
        </w:tc>
        <w:tc>
          <w:tcPr>
            <w:tcW w:w="500" w:type="pct"/>
            <w:tcBorders>
              <w:bottom w:val="single" w:color="auto" w:sz="4" w:space="0"/>
            </w:tcBorders>
            <w:noWrap/>
            <w:vAlign w:val="center"/>
          </w:tcPr>
          <w:p w14:paraId="23910BCC">
            <w:pPr>
              <w:jc w:val="center"/>
              <w:rPr>
                <w:kern w:val="0"/>
                <w:sz w:val="18"/>
                <w:szCs w:val="18"/>
              </w:rPr>
            </w:pPr>
            <w:r>
              <w:rPr>
                <w:kern w:val="0"/>
                <w:sz w:val="18"/>
                <w:szCs w:val="18"/>
              </w:rPr>
              <w:t>%</w:t>
            </w:r>
          </w:p>
        </w:tc>
        <w:tc>
          <w:tcPr>
            <w:tcW w:w="1836" w:type="pct"/>
            <w:gridSpan w:val="3"/>
            <w:tcBorders>
              <w:bottom w:val="single" w:color="auto" w:sz="4" w:space="0"/>
              <w:right w:val="single" w:color="auto" w:sz="4" w:space="0"/>
            </w:tcBorders>
            <w:noWrap/>
            <w:vAlign w:val="center"/>
          </w:tcPr>
          <w:p w14:paraId="0AC4CA17">
            <w:pPr>
              <w:jc w:val="center"/>
              <w:rPr>
                <w:kern w:val="0"/>
                <w:sz w:val="18"/>
                <w:szCs w:val="18"/>
              </w:rPr>
            </w:pPr>
            <w:r>
              <w:rPr>
                <w:kern w:val="0"/>
                <w:sz w:val="18"/>
                <w:szCs w:val="18"/>
              </w:rPr>
              <w:t>≥99.5</w:t>
            </w:r>
          </w:p>
        </w:tc>
        <w:tc>
          <w:tcPr>
            <w:tcW w:w="799" w:type="pct"/>
            <w:tcBorders>
              <w:left w:val="single" w:color="auto" w:sz="4" w:space="0"/>
              <w:bottom w:val="single" w:color="auto" w:sz="4" w:space="0"/>
            </w:tcBorders>
            <w:vAlign w:val="center"/>
          </w:tcPr>
          <w:p w14:paraId="292201EB">
            <w:pPr>
              <w:widowControl/>
              <w:jc w:val="center"/>
              <w:rPr>
                <w:color w:val="000000"/>
                <w:kern w:val="0"/>
                <w:sz w:val="18"/>
                <w:szCs w:val="18"/>
              </w:rPr>
            </w:pPr>
            <w:r>
              <w:rPr>
                <w:color w:val="000000"/>
                <w:kern w:val="0"/>
                <w:sz w:val="18"/>
                <w:szCs w:val="18"/>
              </w:rPr>
              <w:t>依据GB/T 50107检测评定，按附录A计算</w:t>
            </w:r>
          </w:p>
        </w:tc>
      </w:tr>
      <w:tr w14:paraId="69342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559" w:type="pct"/>
            <w:vMerge w:val="continue"/>
            <w:noWrap/>
            <w:vAlign w:val="center"/>
          </w:tcPr>
          <w:p w14:paraId="25DCFF8D">
            <w:pPr>
              <w:jc w:val="center"/>
              <w:rPr>
                <w:color w:val="000000"/>
                <w:kern w:val="0"/>
                <w:sz w:val="18"/>
                <w:szCs w:val="18"/>
              </w:rPr>
            </w:pPr>
          </w:p>
        </w:tc>
        <w:tc>
          <w:tcPr>
            <w:tcW w:w="1304" w:type="pct"/>
            <w:gridSpan w:val="3"/>
            <w:tcBorders>
              <w:top w:val="single" w:color="auto" w:sz="4" w:space="0"/>
            </w:tcBorders>
            <w:noWrap/>
            <w:vAlign w:val="center"/>
          </w:tcPr>
          <w:p w14:paraId="5BB83FAD">
            <w:pPr>
              <w:jc w:val="center"/>
              <w:rPr>
                <w:kern w:val="0"/>
                <w:sz w:val="18"/>
                <w:szCs w:val="18"/>
              </w:rPr>
            </w:pPr>
            <w:r>
              <w:rPr>
                <w:kern w:val="0"/>
                <w:sz w:val="18"/>
                <w:szCs w:val="18"/>
              </w:rPr>
              <w:t>外观质量</w:t>
            </w:r>
          </w:p>
        </w:tc>
        <w:tc>
          <w:tcPr>
            <w:tcW w:w="500" w:type="pct"/>
            <w:tcBorders>
              <w:top w:val="single" w:color="auto" w:sz="4" w:space="0"/>
            </w:tcBorders>
            <w:noWrap/>
            <w:vAlign w:val="center"/>
          </w:tcPr>
          <w:p w14:paraId="13DE05CA">
            <w:pPr>
              <w:jc w:val="center"/>
              <w:rPr>
                <w:kern w:val="0"/>
                <w:sz w:val="18"/>
                <w:szCs w:val="18"/>
              </w:rPr>
            </w:pPr>
            <w:r>
              <w:rPr>
                <w:kern w:val="0"/>
                <w:sz w:val="18"/>
                <w:szCs w:val="18"/>
              </w:rPr>
              <w:t>——</w:t>
            </w:r>
          </w:p>
        </w:tc>
        <w:tc>
          <w:tcPr>
            <w:tcW w:w="1223" w:type="pct"/>
            <w:gridSpan w:val="2"/>
            <w:tcBorders>
              <w:top w:val="single" w:color="auto" w:sz="4" w:space="0"/>
            </w:tcBorders>
            <w:noWrap/>
            <w:vAlign w:val="center"/>
          </w:tcPr>
          <w:p w14:paraId="503B17B2">
            <w:pPr>
              <w:jc w:val="center"/>
              <w:rPr>
                <w:kern w:val="0"/>
                <w:sz w:val="18"/>
                <w:szCs w:val="18"/>
              </w:rPr>
            </w:pPr>
            <w:r>
              <w:rPr>
                <w:kern w:val="0"/>
                <w:sz w:val="18"/>
                <w:szCs w:val="18"/>
              </w:rPr>
              <w:t>产品外观质量有一般缺陷并处理达标产品</w:t>
            </w:r>
          </w:p>
        </w:tc>
        <w:tc>
          <w:tcPr>
            <w:tcW w:w="613" w:type="pct"/>
            <w:tcBorders>
              <w:top w:val="single" w:color="auto" w:sz="4" w:space="0"/>
              <w:right w:val="single" w:color="auto" w:sz="4" w:space="0"/>
            </w:tcBorders>
            <w:vAlign w:val="center"/>
          </w:tcPr>
          <w:p w14:paraId="7E2CC2D9">
            <w:pPr>
              <w:jc w:val="center"/>
              <w:rPr>
                <w:kern w:val="0"/>
                <w:sz w:val="18"/>
                <w:szCs w:val="18"/>
              </w:rPr>
            </w:pPr>
            <w:r>
              <w:rPr>
                <w:kern w:val="0"/>
                <w:sz w:val="18"/>
                <w:szCs w:val="18"/>
              </w:rPr>
              <w:t>外观质量无一般缺陷</w:t>
            </w:r>
          </w:p>
        </w:tc>
        <w:tc>
          <w:tcPr>
            <w:tcW w:w="799" w:type="pct"/>
            <w:tcBorders>
              <w:top w:val="single" w:color="auto" w:sz="4" w:space="0"/>
              <w:left w:val="single" w:color="auto" w:sz="4" w:space="0"/>
            </w:tcBorders>
            <w:vAlign w:val="center"/>
          </w:tcPr>
          <w:p w14:paraId="744B6595">
            <w:pPr>
              <w:widowControl/>
              <w:jc w:val="center"/>
              <w:rPr>
                <w:color w:val="000000"/>
                <w:kern w:val="0"/>
                <w:sz w:val="18"/>
                <w:szCs w:val="18"/>
              </w:rPr>
            </w:pPr>
            <w:r>
              <w:rPr>
                <w:color w:val="000000"/>
                <w:kern w:val="0"/>
                <w:sz w:val="18"/>
                <w:szCs w:val="18"/>
              </w:rPr>
              <w:t>相应产品标准</w:t>
            </w:r>
          </w:p>
        </w:tc>
      </w:tr>
      <w:tr w14:paraId="2CA15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559" w:type="pct"/>
            <w:vMerge w:val="continue"/>
            <w:noWrap/>
            <w:vAlign w:val="center"/>
          </w:tcPr>
          <w:p w14:paraId="2F3F2720">
            <w:pPr>
              <w:jc w:val="center"/>
              <w:rPr>
                <w:color w:val="000000"/>
                <w:kern w:val="0"/>
                <w:sz w:val="18"/>
                <w:szCs w:val="18"/>
              </w:rPr>
            </w:pPr>
          </w:p>
        </w:tc>
        <w:tc>
          <w:tcPr>
            <w:tcW w:w="549" w:type="pct"/>
            <w:vMerge w:val="restart"/>
            <w:tcBorders>
              <w:right w:val="single" w:color="auto" w:sz="4" w:space="0"/>
            </w:tcBorders>
            <w:noWrap/>
            <w:vAlign w:val="center"/>
          </w:tcPr>
          <w:p w14:paraId="4A81B9B9">
            <w:pPr>
              <w:jc w:val="center"/>
              <w:rPr>
                <w:kern w:val="0"/>
                <w:sz w:val="18"/>
                <w:szCs w:val="18"/>
              </w:rPr>
            </w:pPr>
            <w:r>
              <w:rPr>
                <w:kern w:val="0"/>
                <w:sz w:val="18"/>
                <w:szCs w:val="18"/>
              </w:rPr>
              <w:t>钢筋保护层厚度偏差</w:t>
            </w:r>
          </w:p>
        </w:tc>
        <w:tc>
          <w:tcPr>
            <w:tcW w:w="754" w:type="pct"/>
            <w:gridSpan w:val="2"/>
            <w:tcBorders>
              <w:left w:val="single" w:color="auto" w:sz="4" w:space="0"/>
              <w:bottom w:val="single" w:color="auto" w:sz="4" w:space="0"/>
            </w:tcBorders>
            <w:noWrap/>
            <w:vAlign w:val="center"/>
          </w:tcPr>
          <w:p w14:paraId="40C652CB">
            <w:pPr>
              <w:jc w:val="center"/>
              <w:rPr>
                <w:kern w:val="0"/>
                <w:sz w:val="18"/>
                <w:szCs w:val="18"/>
              </w:rPr>
            </w:pPr>
            <w:r>
              <w:rPr>
                <w:kern w:val="0"/>
                <w:sz w:val="18"/>
                <w:szCs w:val="18"/>
              </w:rPr>
              <w:t>管片</w:t>
            </w:r>
          </w:p>
        </w:tc>
        <w:tc>
          <w:tcPr>
            <w:tcW w:w="500" w:type="pct"/>
            <w:vMerge w:val="restart"/>
            <w:noWrap/>
            <w:vAlign w:val="center"/>
          </w:tcPr>
          <w:p w14:paraId="05B33A51">
            <w:pPr>
              <w:jc w:val="center"/>
              <w:rPr>
                <w:kern w:val="0"/>
                <w:sz w:val="18"/>
                <w:szCs w:val="18"/>
              </w:rPr>
            </w:pPr>
            <w:r>
              <w:rPr>
                <w:kern w:val="0"/>
                <w:sz w:val="18"/>
                <w:szCs w:val="18"/>
              </w:rPr>
              <w:t>mm</w:t>
            </w:r>
          </w:p>
        </w:tc>
        <w:tc>
          <w:tcPr>
            <w:tcW w:w="610" w:type="pct"/>
            <w:tcBorders>
              <w:bottom w:val="single" w:color="auto" w:sz="4" w:space="0"/>
            </w:tcBorders>
            <w:noWrap/>
            <w:vAlign w:val="center"/>
          </w:tcPr>
          <w:p w14:paraId="2C03D707">
            <w:pPr>
              <w:jc w:val="center"/>
              <w:rPr>
                <w:kern w:val="0"/>
                <w:sz w:val="18"/>
                <w:szCs w:val="18"/>
              </w:rPr>
            </w:pPr>
            <w:r>
              <w:rPr>
                <w:kern w:val="0"/>
                <w:sz w:val="18"/>
                <w:szCs w:val="18"/>
              </w:rPr>
              <w:t>±5</w:t>
            </w:r>
          </w:p>
        </w:tc>
        <w:tc>
          <w:tcPr>
            <w:tcW w:w="612" w:type="pct"/>
            <w:tcBorders>
              <w:bottom w:val="single" w:color="auto" w:sz="4" w:space="0"/>
            </w:tcBorders>
            <w:vAlign w:val="center"/>
          </w:tcPr>
          <w:p w14:paraId="24A550AF">
            <w:pPr>
              <w:jc w:val="center"/>
              <w:rPr>
                <w:kern w:val="0"/>
                <w:sz w:val="18"/>
                <w:szCs w:val="18"/>
              </w:rPr>
            </w:pPr>
            <w:r>
              <w:rPr>
                <w:kern w:val="0"/>
                <w:sz w:val="18"/>
                <w:szCs w:val="18"/>
              </w:rPr>
              <w:t>±4</w:t>
            </w:r>
          </w:p>
        </w:tc>
        <w:tc>
          <w:tcPr>
            <w:tcW w:w="613" w:type="pct"/>
            <w:tcBorders>
              <w:bottom w:val="single" w:color="auto" w:sz="4" w:space="0"/>
              <w:right w:val="single" w:color="auto" w:sz="4" w:space="0"/>
            </w:tcBorders>
            <w:vAlign w:val="center"/>
          </w:tcPr>
          <w:p w14:paraId="37800413">
            <w:pPr>
              <w:jc w:val="center"/>
              <w:rPr>
                <w:kern w:val="0"/>
                <w:sz w:val="18"/>
                <w:szCs w:val="18"/>
              </w:rPr>
            </w:pPr>
            <w:r>
              <w:rPr>
                <w:kern w:val="0"/>
                <w:sz w:val="18"/>
                <w:szCs w:val="18"/>
              </w:rPr>
              <w:t>±3</w:t>
            </w:r>
          </w:p>
        </w:tc>
        <w:tc>
          <w:tcPr>
            <w:tcW w:w="799" w:type="pct"/>
            <w:tcBorders>
              <w:left w:val="single" w:color="auto" w:sz="4" w:space="0"/>
              <w:bottom w:val="single" w:color="auto" w:sz="4" w:space="0"/>
            </w:tcBorders>
            <w:vAlign w:val="center"/>
          </w:tcPr>
          <w:p w14:paraId="3B69E0E5">
            <w:pPr>
              <w:widowControl/>
              <w:jc w:val="center"/>
              <w:rPr>
                <w:color w:val="000000"/>
                <w:kern w:val="0"/>
                <w:sz w:val="18"/>
                <w:szCs w:val="18"/>
              </w:rPr>
            </w:pPr>
            <w:r>
              <w:rPr>
                <w:color w:val="000000"/>
                <w:kern w:val="0"/>
                <w:sz w:val="18"/>
                <w:szCs w:val="18"/>
              </w:rPr>
              <w:t>GB/T22082</w:t>
            </w:r>
          </w:p>
        </w:tc>
      </w:tr>
      <w:tr w14:paraId="71930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559" w:type="pct"/>
            <w:vMerge w:val="continue"/>
            <w:noWrap/>
            <w:vAlign w:val="center"/>
          </w:tcPr>
          <w:p w14:paraId="67BA2963">
            <w:pPr>
              <w:jc w:val="center"/>
              <w:rPr>
                <w:color w:val="000000"/>
                <w:kern w:val="0"/>
                <w:sz w:val="18"/>
                <w:szCs w:val="18"/>
              </w:rPr>
            </w:pPr>
          </w:p>
        </w:tc>
        <w:tc>
          <w:tcPr>
            <w:tcW w:w="549" w:type="pct"/>
            <w:vMerge w:val="continue"/>
            <w:tcBorders>
              <w:bottom w:val="single" w:color="auto" w:sz="4" w:space="0"/>
              <w:right w:val="single" w:color="auto" w:sz="4" w:space="0"/>
            </w:tcBorders>
            <w:noWrap/>
            <w:vAlign w:val="center"/>
          </w:tcPr>
          <w:p w14:paraId="79A0D984">
            <w:pPr>
              <w:jc w:val="center"/>
              <w:rPr>
                <w:kern w:val="0"/>
                <w:sz w:val="18"/>
                <w:szCs w:val="18"/>
              </w:rPr>
            </w:pPr>
          </w:p>
        </w:tc>
        <w:tc>
          <w:tcPr>
            <w:tcW w:w="754" w:type="pct"/>
            <w:gridSpan w:val="2"/>
            <w:tcBorders>
              <w:top w:val="single" w:color="auto" w:sz="4" w:space="0"/>
              <w:left w:val="single" w:color="auto" w:sz="4" w:space="0"/>
              <w:bottom w:val="single" w:color="auto" w:sz="4" w:space="0"/>
            </w:tcBorders>
            <w:noWrap/>
            <w:vAlign w:val="center"/>
          </w:tcPr>
          <w:p w14:paraId="6AF5399E">
            <w:pPr>
              <w:jc w:val="center"/>
              <w:rPr>
                <w:kern w:val="0"/>
                <w:sz w:val="18"/>
                <w:szCs w:val="18"/>
              </w:rPr>
            </w:pPr>
            <w:r>
              <w:rPr>
                <w:kern w:val="0"/>
                <w:sz w:val="18"/>
                <w:szCs w:val="18"/>
              </w:rPr>
              <w:t>桩</w:t>
            </w:r>
          </w:p>
        </w:tc>
        <w:tc>
          <w:tcPr>
            <w:tcW w:w="500" w:type="pct"/>
            <w:vMerge w:val="continue"/>
            <w:tcBorders>
              <w:bottom w:val="single" w:color="auto" w:sz="4" w:space="0"/>
            </w:tcBorders>
            <w:noWrap/>
            <w:vAlign w:val="center"/>
          </w:tcPr>
          <w:p w14:paraId="191A6797">
            <w:pPr>
              <w:jc w:val="center"/>
              <w:rPr>
                <w:kern w:val="0"/>
                <w:sz w:val="18"/>
                <w:szCs w:val="18"/>
              </w:rPr>
            </w:pPr>
          </w:p>
        </w:tc>
        <w:tc>
          <w:tcPr>
            <w:tcW w:w="1836" w:type="pct"/>
            <w:gridSpan w:val="3"/>
            <w:tcBorders>
              <w:top w:val="single" w:color="auto" w:sz="4" w:space="0"/>
              <w:bottom w:val="single" w:color="auto" w:sz="4" w:space="0"/>
              <w:right w:val="single" w:color="auto" w:sz="4" w:space="0"/>
            </w:tcBorders>
            <w:noWrap/>
            <w:vAlign w:val="center"/>
          </w:tcPr>
          <w:p w14:paraId="05D99C0E">
            <w:pPr>
              <w:jc w:val="center"/>
              <w:rPr>
                <w:kern w:val="0"/>
                <w:sz w:val="18"/>
                <w:szCs w:val="18"/>
              </w:rPr>
            </w:pPr>
            <w:r>
              <w:rPr>
                <w:kern w:val="0"/>
                <w:sz w:val="18"/>
                <w:szCs w:val="18"/>
              </w:rPr>
              <w:t>检测部位均不应有负偏差</w:t>
            </w:r>
          </w:p>
        </w:tc>
        <w:tc>
          <w:tcPr>
            <w:tcW w:w="799" w:type="pct"/>
            <w:tcBorders>
              <w:top w:val="single" w:color="auto" w:sz="4" w:space="0"/>
              <w:left w:val="single" w:color="auto" w:sz="4" w:space="0"/>
              <w:bottom w:val="single" w:color="auto" w:sz="4" w:space="0"/>
            </w:tcBorders>
            <w:vAlign w:val="center"/>
          </w:tcPr>
          <w:p w14:paraId="2D531EE3">
            <w:pPr>
              <w:widowControl/>
              <w:jc w:val="center"/>
              <w:rPr>
                <w:color w:val="000000"/>
                <w:kern w:val="0"/>
                <w:sz w:val="18"/>
                <w:szCs w:val="18"/>
              </w:rPr>
            </w:pPr>
            <w:r>
              <w:rPr>
                <w:color w:val="000000"/>
                <w:kern w:val="0"/>
                <w:sz w:val="18"/>
                <w:szCs w:val="18"/>
              </w:rPr>
              <w:t>相应产品标准</w:t>
            </w:r>
          </w:p>
        </w:tc>
      </w:tr>
      <w:tr w14:paraId="15AAA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559" w:type="pct"/>
            <w:vMerge w:val="continue"/>
            <w:noWrap/>
            <w:vAlign w:val="center"/>
          </w:tcPr>
          <w:p w14:paraId="392CD010">
            <w:pPr>
              <w:jc w:val="center"/>
              <w:rPr>
                <w:color w:val="000000"/>
                <w:kern w:val="0"/>
                <w:sz w:val="18"/>
                <w:szCs w:val="18"/>
              </w:rPr>
            </w:pPr>
          </w:p>
        </w:tc>
        <w:tc>
          <w:tcPr>
            <w:tcW w:w="1304" w:type="pct"/>
            <w:gridSpan w:val="3"/>
            <w:tcBorders>
              <w:top w:val="single" w:color="auto" w:sz="4" w:space="0"/>
              <w:bottom w:val="single" w:color="auto" w:sz="4" w:space="0"/>
            </w:tcBorders>
            <w:noWrap/>
            <w:vAlign w:val="center"/>
          </w:tcPr>
          <w:p w14:paraId="430D087F">
            <w:pPr>
              <w:jc w:val="center"/>
              <w:rPr>
                <w:kern w:val="0"/>
                <w:sz w:val="18"/>
                <w:szCs w:val="18"/>
              </w:rPr>
            </w:pPr>
            <w:r>
              <w:rPr>
                <w:kern w:val="0"/>
                <w:sz w:val="18"/>
                <w:szCs w:val="18"/>
              </w:rPr>
              <w:t>检漏试验</w:t>
            </w:r>
            <w:r>
              <w:rPr>
                <w:kern w:val="0"/>
                <w:sz w:val="18"/>
                <w:szCs w:val="18"/>
                <w:vertAlign w:val="superscript"/>
              </w:rPr>
              <w:t>c</w:t>
            </w:r>
          </w:p>
        </w:tc>
        <w:tc>
          <w:tcPr>
            <w:tcW w:w="500" w:type="pct"/>
            <w:tcBorders>
              <w:top w:val="single" w:color="auto" w:sz="4" w:space="0"/>
              <w:bottom w:val="single" w:color="auto" w:sz="4" w:space="0"/>
            </w:tcBorders>
            <w:noWrap/>
            <w:vAlign w:val="center"/>
          </w:tcPr>
          <w:p w14:paraId="01FD0FCA">
            <w:pPr>
              <w:jc w:val="center"/>
              <w:rPr>
                <w:kern w:val="0"/>
                <w:sz w:val="18"/>
                <w:szCs w:val="18"/>
              </w:rPr>
            </w:pPr>
            <w:r>
              <w:rPr>
                <w:kern w:val="0"/>
                <w:sz w:val="18"/>
                <w:szCs w:val="18"/>
              </w:rPr>
              <w:t>——</w:t>
            </w:r>
          </w:p>
        </w:tc>
        <w:tc>
          <w:tcPr>
            <w:tcW w:w="610" w:type="pct"/>
            <w:tcBorders>
              <w:top w:val="single" w:color="auto" w:sz="4" w:space="0"/>
              <w:bottom w:val="single" w:color="auto" w:sz="4" w:space="0"/>
              <w:right w:val="single" w:color="auto" w:sz="4" w:space="0"/>
            </w:tcBorders>
            <w:noWrap/>
            <w:vAlign w:val="center"/>
          </w:tcPr>
          <w:p w14:paraId="7834EA74">
            <w:pPr>
              <w:jc w:val="center"/>
              <w:rPr>
                <w:kern w:val="0"/>
                <w:sz w:val="18"/>
                <w:szCs w:val="18"/>
              </w:rPr>
            </w:pPr>
            <w:r>
              <w:rPr>
                <w:kern w:val="0"/>
                <w:sz w:val="18"/>
                <w:szCs w:val="18"/>
              </w:rPr>
              <w:t>在设计检漏试验压力的条件下，恒压2h，不得出现漏水现象，渗水深度不超过50mm。</w:t>
            </w:r>
          </w:p>
        </w:tc>
        <w:tc>
          <w:tcPr>
            <w:tcW w:w="612" w:type="pct"/>
            <w:tcBorders>
              <w:top w:val="single" w:color="auto" w:sz="4" w:space="0"/>
              <w:bottom w:val="single" w:color="auto" w:sz="4" w:space="0"/>
              <w:right w:val="single" w:color="auto" w:sz="4" w:space="0"/>
            </w:tcBorders>
            <w:noWrap/>
            <w:vAlign w:val="center"/>
          </w:tcPr>
          <w:p w14:paraId="5BC52B16">
            <w:pPr>
              <w:jc w:val="center"/>
              <w:rPr>
                <w:kern w:val="0"/>
                <w:sz w:val="18"/>
                <w:szCs w:val="18"/>
              </w:rPr>
            </w:pPr>
            <w:r>
              <w:rPr>
                <w:kern w:val="0"/>
                <w:sz w:val="18"/>
                <w:szCs w:val="18"/>
              </w:rPr>
              <w:t>在设计检漏试验压力增加0.1MPa的条件下，恒压2h，不得出现漏水现象，渗水深度不超过40mm。</w:t>
            </w:r>
          </w:p>
        </w:tc>
        <w:tc>
          <w:tcPr>
            <w:tcW w:w="613" w:type="pct"/>
            <w:tcBorders>
              <w:top w:val="single" w:color="auto" w:sz="4" w:space="0"/>
              <w:bottom w:val="single" w:color="auto" w:sz="4" w:space="0"/>
              <w:right w:val="single" w:color="auto" w:sz="4" w:space="0"/>
            </w:tcBorders>
            <w:noWrap/>
            <w:vAlign w:val="center"/>
          </w:tcPr>
          <w:p w14:paraId="46D3D2BC">
            <w:pPr>
              <w:jc w:val="center"/>
              <w:rPr>
                <w:kern w:val="0"/>
                <w:sz w:val="18"/>
                <w:szCs w:val="18"/>
              </w:rPr>
            </w:pPr>
            <w:r>
              <w:rPr>
                <w:kern w:val="0"/>
                <w:sz w:val="18"/>
                <w:szCs w:val="18"/>
              </w:rPr>
              <w:t>在设计检漏试验压力增加0.2MPa的条件下，恒压2h，不得出现漏水现象，渗水深度不超过30mm。</w:t>
            </w:r>
          </w:p>
        </w:tc>
        <w:tc>
          <w:tcPr>
            <w:tcW w:w="799" w:type="pct"/>
            <w:tcBorders>
              <w:top w:val="single" w:color="auto" w:sz="4" w:space="0"/>
              <w:left w:val="single" w:color="auto" w:sz="4" w:space="0"/>
              <w:bottom w:val="single" w:color="auto" w:sz="4" w:space="0"/>
            </w:tcBorders>
            <w:vAlign w:val="center"/>
          </w:tcPr>
          <w:p w14:paraId="633D6607">
            <w:pPr>
              <w:widowControl/>
              <w:jc w:val="center"/>
              <w:rPr>
                <w:color w:val="000000"/>
                <w:kern w:val="0"/>
                <w:sz w:val="18"/>
                <w:szCs w:val="18"/>
              </w:rPr>
            </w:pPr>
            <w:r>
              <w:rPr>
                <w:color w:val="000000"/>
                <w:kern w:val="0"/>
                <w:sz w:val="18"/>
                <w:szCs w:val="18"/>
              </w:rPr>
              <w:t>GB/T 22082</w:t>
            </w:r>
          </w:p>
        </w:tc>
      </w:tr>
      <w:tr w14:paraId="392FE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559" w:type="pct"/>
            <w:vMerge w:val="continue"/>
            <w:noWrap/>
            <w:vAlign w:val="center"/>
          </w:tcPr>
          <w:p w14:paraId="0C0756F8">
            <w:pPr>
              <w:jc w:val="center"/>
              <w:rPr>
                <w:color w:val="000000"/>
                <w:kern w:val="0"/>
                <w:sz w:val="18"/>
                <w:szCs w:val="18"/>
              </w:rPr>
            </w:pPr>
          </w:p>
        </w:tc>
        <w:tc>
          <w:tcPr>
            <w:tcW w:w="549" w:type="pct"/>
            <w:vMerge w:val="restart"/>
            <w:tcBorders>
              <w:top w:val="single" w:color="auto" w:sz="4" w:space="0"/>
              <w:right w:val="single" w:color="auto" w:sz="4" w:space="0"/>
            </w:tcBorders>
            <w:noWrap/>
            <w:vAlign w:val="center"/>
          </w:tcPr>
          <w:p w14:paraId="59B3308E">
            <w:pPr>
              <w:jc w:val="center"/>
              <w:rPr>
                <w:kern w:val="0"/>
                <w:sz w:val="18"/>
                <w:szCs w:val="18"/>
              </w:rPr>
            </w:pPr>
            <w:r>
              <w:rPr>
                <w:kern w:val="0"/>
                <w:sz w:val="18"/>
                <w:szCs w:val="18"/>
              </w:rPr>
              <w:t>抗弯性能</w:t>
            </w:r>
          </w:p>
        </w:tc>
        <w:tc>
          <w:tcPr>
            <w:tcW w:w="754" w:type="pct"/>
            <w:gridSpan w:val="2"/>
            <w:tcBorders>
              <w:top w:val="single" w:color="auto" w:sz="4" w:space="0"/>
              <w:left w:val="single" w:color="auto" w:sz="4" w:space="0"/>
              <w:bottom w:val="single" w:color="auto" w:sz="4" w:space="0"/>
            </w:tcBorders>
            <w:noWrap/>
            <w:vAlign w:val="center"/>
          </w:tcPr>
          <w:p w14:paraId="75C7A39F">
            <w:pPr>
              <w:jc w:val="center"/>
              <w:rPr>
                <w:kern w:val="0"/>
                <w:sz w:val="18"/>
                <w:szCs w:val="18"/>
              </w:rPr>
            </w:pPr>
            <w:r>
              <w:rPr>
                <w:kern w:val="0"/>
                <w:sz w:val="18"/>
                <w:szCs w:val="18"/>
              </w:rPr>
              <w:t>管片</w:t>
            </w:r>
          </w:p>
        </w:tc>
        <w:tc>
          <w:tcPr>
            <w:tcW w:w="500" w:type="pct"/>
            <w:vMerge w:val="restart"/>
            <w:tcBorders>
              <w:top w:val="single" w:color="auto" w:sz="4" w:space="0"/>
            </w:tcBorders>
            <w:noWrap/>
            <w:vAlign w:val="center"/>
          </w:tcPr>
          <w:p w14:paraId="07E3950F">
            <w:pPr>
              <w:jc w:val="center"/>
              <w:rPr>
                <w:kern w:val="0"/>
                <w:sz w:val="18"/>
                <w:szCs w:val="18"/>
              </w:rPr>
            </w:pPr>
            <w:r>
              <w:rPr>
                <w:kern w:val="0"/>
                <w:sz w:val="18"/>
                <w:szCs w:val="18"/>
              </w:rPr>
              <w:t>——</w:t>
            </w:r>
          </w:p>
          <w:p w14:paraId="1683376B">
            <w:pPr>
              <w:jc w:val="center"/>
              <w:rPr>
                <w:kern w:val="0"/>
                <w:sz w:val="18"/>
                <w:szCs w:val="18"/>
              </w:rPr>
            </w:pPr>
          </w:p>
        </w:tc>
        <w:tc>
          <w:tcPr>
            <w:tcW w:w="610" w:type="pct"/>
            <w:tcBorders>
              <w:top w:val="single" w:color="auto" w:sz="4" w:space="0"/>
              <w:right w:val="single" w:color="auto" w:sz="4" w:space="0"/>
            </w:tcBorders>
            <w:noWrap/>
            <w:vAlign w:val="center"/>
          </w:tcPr>
          <w:p w14:paraId="7F5172D4">
            <w:pPr>
              <w:jc w:val="center"/>
              <w:rPr>
                <w:kern w:val="0"/>
                <w:sz w:val="18"/>
                <w:szCs w:val="18"/>
              </w:rPr>
            </w:pPr>
            <w:r>
              <w:rPr>
                <w:kern w:val="0"/>
                <w:sz w:val="18"/>
                <w:szCs w:val="18"/>
              </w:rPr>
              <w:t>测试值达到设计荷载值</w:t>
            </w:r>
          </w:p>
        </w:tc>
        <w:tc>
          <w:tcPr>
            <w:tcW w:w="612" w:type="pct"/>
            <w:tcBorders>
              <w:top w:val="single" w:color="auto" w:sz="4" w:space="0"/>
              <w:right w:val="single" w:color="auto" w:sz="4" w:space="0"/>
            </w:tcBorders>
            <w:noWrap/>
            <w:vAlign w:val="center"/>
          </w:tcPr>
          <w:p w14:paraId="38EE5AF7">
            <w:pPr>
              <w:jc w:val="center"/>
              <w:rPr>
                <w:kern w:val="0"/>
                <w:sz w:val="18"/>
                <w:szCs w:val="18"/>
              </w:rPr>
            </w:pPr>
            <w:r>
              <w:rPr>
                <w:kern w:val="0"/>
                <w:sz w:val="18"/>
                <w:szCs w:val="18"/>
              </w:rPr>
              <w:t>测试值达到设计荷载值的1.1倍</w:t>
            </w:r>
          </w:p>
        </w:tc>
        <w:tc>
          <w:tcPr>
            <w:tcW w:w="613" w:type="pct"/>
            <w:tcBorders>
              <w:top w:val="single" w:color="auto" w:sz="4" w:space="0"/>
              <w:right w:val="single" w:color="auto" w:sz="4" w:space="0"/>
            </w:tcBorders>
            <w:noWrap/>
            <w:vAlign w:val="center"/>
          </w:tcPr>
          <w:p w14:paraId="0ABA9D7D">
            <w:pPr>
              <w:jc w:val="center"/>
              <w:rPr>
                <w:kern w:val="0"/>
                <w:sz w:val="18"/>
                <w:szCs w:val="18"/>
              </w:rPr>
            </w:pPr>
            <w:r>
              <w:rPr>
                <w:kern w:val="0"/>
                <w:sz w:val="18"/>
                <w:szCs w:val="18"/>
              </w:rPr>
              <w:t>测试值达到设计荷载值的1.2倍</w:t>
            </w:r>
          </w:p>
        </w:tc>
        <w:tc>
          <w:tcPr>
            <w:tcW w:w="799" w:type="pct"/>
            <w:tcBorders>
              <w:top w:val="single" w:color="auto" w:sz="4" w:space="0"/>
              <w:left w:val="single" w:color="auto" w:sz="4" w:space="0"/>
            </w:tcBorders>
            <w:vAlign w:val="center"/>
          </w:tcPr>
          <w:p w14:paraId="7241174C">
            <w:pPr>
              <w:widowControl/>
              <w:jc w:val="center"/>
              <w:rPr>
                <w:color w:val="000000"/>
                <w:kern w:val="0"/>
                <w:sz w:val="18"/>
                <w:szCs w:val="18"/>
              </w:rPr>
            </w:pPr>
            <w:r>
              <w:rPr>
                <w:color w:val="000000"/>
                <w:kern w:val="0"/>
                <w:sz w:val="18"/>
                <w:szCs w:val="18"/>
              </w:rPr>
              <w:t>GB/T 22082</w:t>
            </w:r>
          </w:p>
        </w:tc>
      </w:tr>
      <w:tr w14:paraId="24F16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559" w:type="pct"/>
            <w:vMerge w:val="continue"/>
            <w:noWrap/>
            <w:vAlign w:val="center"/>
          </w:tcPr>
          <w:p w14:paraId="08081726">
            <w:pPr>
              <w:jc w:val="center"/>
              <w:rPr>
                <w:color w:val="000000"/>
                <w:kern w:val="0"/>
                <w:sz w:val="18"/>
                <w:szCs w:val="18"/>
              </w:rPr>
            </w:pPr>
          </w:p>
        </w:tc>
        <w:tc>
          <w:tcPr>
            <w:tcW w:w="549" w:type="pct"/>
            <w:vMerge w:val="continue"/>
            <w:tcBorders>
              <w:bottom w:val="single" w:color="auto" w:sz="4" w:space="0"/>
              <w:right w:val="single" w:color="auto" w:sz="4" w:space="0"/>
            </w:tcBorders>
            <w:noWrap/>
            <w:vAlign w:val="center"/>
          </w:tcPr>
          <w:p w14:paraId="3C3DB83F">
            <w:pPr>
              <w:jc w:val="center"/>
              <w:rPr>
                <w:kern w:val="0"/>
                <w:sz w:val="18"/>
                <w:szCs w:val="18"/>
              </w:rPr>
            </w:pPr>
          </w:p>
        </w:tc>
        <w:tc>
          <w:tcPr>
            <w:tcW w:w="754" w:type="pct"/>
            <w:gridSpan w:val="2"/>
            <w:tcBorders>
              <w:top w:val="single" w:color="auto" w:sz="4" w:space="0"/>
              <w:left w:val="single" w:color="auto" w:sz="4" w:space="0"/>
              <w:bottom w:val="single" w:color="auto" w:sz="4" w:space="0"/>
            </w:tcBorders>
            <w:noWrap/>
            <w:vAlign w:val="center"/>
          </w:tcPr>
          <w:p w14:paraId="02CB9F2E">
            <w:pPr>
              <w:jc w:val="center"/>
              <w:rPr>
                <w:kern w:val="0"/>
                <w:sz w:val="18"/>
                <w:szCs w:val="18"/>
              </w:rPr>
            </w:pPr>
            <w:r>
              <w:rPr>
                <w:kern w:val="0"/>
                <w:sz w:val="18"/>
                <w:szCs w:val="18"/>
              </w:rPr>
              <w:t>桩</w:t>
            </w:r>
          </w:p>
        </w:tc>
        <w:tc>
          <w:tcPr>
            <w:tcW w:w="500" w:type="pct"/>
            <w:vMerge w:val="continue"/>
            <w:tcBorders>
              <w:bottom w:val="single" w:color="auto" w:sz="4" w:space="0"/>
            </w:tcBorders>
            <w:noWrap/>
            <w:vAlign w:val="center"/>
          </w:tcPr>
          <w:p w14:paraId="427E5975">
            <w:pPr>
              <w:jc w:val="center"/>
              <w:rPr>
                <w:kern w:val="0"/>
                <w:sz w:val="18"/>
                <w:szCs w:val="18"/>
              </w:rPr>
            </w:pPr>
          </w:p>
        </w:tc>
        <w:tc>
          <w:tcPr>
            <w:tcW w:w="610" w:type="pct"/>
            <w:tcBorders>
              <w:bottom w:val="single" w:color="auto" w:sz="4" w:space="0"/>
              <w:right w:val="single" w:color="auto" w:sz="4" w:space="0"/>
            </w:tcBorders>
            <w:noWrap/>
            <w:vAlign w:val="center"/>
          </w:tcPr>
          <w:p w14:paraId="42C87B10">
            <w:pPr>
              <w:jc w:val="center"/>
              <w:rPr>
                <w:kern w:val="0"/>
                <w:sz w:val="18"/>
                <w:szCs w:val="18"/>
              </w:rPr>
            </w:pPr>
            <w:r>
              <w:rPr>
                <w:kern w:val="0"/>
                <w:sz w:val="18"/>
                <w:szCs w:val="18"/>
              </w:rPr>
              <w:t>测试值达到设计荷载值</w:t>
            </w:r>
          </w:p>
        </w:tc>
        <w:tc>
          <w:tcPr>
            <w:tcW w:w="612" w:type="pct"/>
            <w:tcBorders>
              <w:bottom w:val="single" w:color="auto" w:sz="4" w:space="0"/>
              <w:right w:val="single" w:color="auto" w:sz="4" w:space="0"/>
            </w:tcBorders>
            <w:noWrap/>
            <w:vAlign w:val="center"/>
          </w:tcPr>
          <w:p w14:paraId="334B6AFB">
            <w:pPr>
              <w:jc w:val="center"/>
              <w:rPr>
                <w:kern w:val="0"/>
                <w:sz w:val="18"/>
                <w:szCs w:val="18"/>
              </w:rPr>
            </w:pPr>
            <w:r>
              <w:rPr>
                <w:kern w:val="0"/>
                <w:sz w:val="18"/>
                <w:szCs w:val="18"/>
              </w:rPr>
              <w:t>测试值达到设计荷载值的1.2倍</w:t>
            </w:r>
          </w:p>
        </w:tc>
        <w:tc>
          <w:tcPr>
            <w:tcW w:w="613" w:type="pct"/>
            <w:tcBorders>
              <w:bottom w:val="single" w:color="auto" w:sz="4" w:space="0"/>
              <w:right w:val="single" w:color="auto" w:sz="4" w:space="0"/>
            </w:tcBorders>
            <w:noWrap/>
            <w:vAlign w:val="center"/>
          </w:tcPr>
          <w:p w14:paraId="0406FF79">
            <w:pPr>
              <w:jc w:val="center"/>
              <w:rPr>
                <w:kern w:val="0"/>
                <w:sz w:val="18"/>
                <w:szCs w:val="18"/>
              </w:rPr>
            </w:pPr>
            <w:r>
              <w:rPr>
                <w:kern w:val="0"/>
                <w:sz w:val="18"/>
                <w:szCs w:val="18"/>
              </w:rPr>
              <w:t>测试值达到设计荷载值的1.3倍</w:t>
            </w:r>
          </w:p>
        </w:tc>
        <w:tc>
          <w:tcPr>
            <w:tcW w:w="799" w:type="pct"/>
            <w:tcBorders>
              <w:left w:val="single" w:color="auto" w:sz="4" w:space="0"/>
              <w:bottom w:val="single" w:color="auto" w:sz="4" w:space="0"/>
            </w:tcBorders>
            <w:vAlign w:val="center"/>
          </w:tcPr>
          <w:p w14:paraId="09B866AC">
            <w:pPr>
              <w:widowControl/>
              <w:jc w:val="center"/>
              <w:rPr>
                <w:color w:val="000000"/>
                <w:kern w:val="0"/>
                <w:sz w:val="18"/>
                <w:szCs w:val="18"/>
              </w:rPr>
            </w:pPr>
            <w:r>
              <w:rPr>
                <w:color w:val="000000"/>
                <w:kern w:val="0"/>
                <w:sz w:val="18"/>
                <w:szCs w:val="18"/>
              </w:rPr>
              <w:t>相应产品标准</w:t>
            </w:r>
          </w:p>
        </w:tc>
      </w:tr>
      <w:tr w14:paraId="1A67E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559" w:type="pct"/>
            <w:vMerge w:val="continue"/>
            <w:noWrap/>
            <w:vAlign w:val="center"/>
          </w:tcPr>
          <w:p w14:paraId="4FCD0A11">
            <w:pPr>
              <w:jc w:val="center"/>
              <w:rPr>
                <w:color w:val="000000"/>
                <w:kern w:val="0"/>
                <w:sz w:val="18"/>
                <w:szCs w:val="18"/>
              </w:rPr>
            </w:pPr>
          </w:p>
        </w:tc>
        <w:tc>
          <w:tcPr>
            <w:tcW w:w="1304" w:type="pct"/>
            <w:gridSpan w:val="3"/>
            <w:tcBorders>
              <w:top w:val="single" w:color="auto" w:sz="4" w:space="0"/>
              <w:bottom w:val="single" w:color="auto" w:sz="4" w:space="0"/>
            </w:tcBorders>
            <w:noWrap/>
            <w:vAlign w:val="center"/>
          </w:tcPr>
          <w:p w14:paraId="63557ECA">
            <w:pPr>
              <w:jc w:val="center"/>
              <w:rPr>
                <w:kern w:val="0"/>
                <w:sz w:val="18"/>
                <w:szCs w:val="18"/>
              </w:rPr>
            </w:pPr>
            <w:r>
              <w:rPr>
                <w:kern w:val="0"/>
                <w:sz w:val="18"/>
                <w:szCs w:val="18"/>
              </w:rPr>
              <w:t>抗拔性能</w:t>
            </w:r>
            <w:r>
              <w:rPr>
                <w:kern w:val="0"/>
                <w:sz w:val="18"/>
                <w:szCs w:val="18"/>
                <w:vertAlign w:val="superscript"/>
              </w:rPr>
              <w:t>c</w:t>
            </w:r>
          </w:p>
        </w:tc>
        <w:tc>
          <w:tcPr>
            <w:tcW w:w="500" w:type="pct"/>
            <w:tcBorders>
              <w:top w:val="single" w:color="auto" w:sz="4" w:space="0"/>
              <w:bottom w:val="single" w:color="auto" w:sz="4" w:space="0"/>
            </w:tcBorders>
            <w:noWrap/>
            <w:vAlign w:val="center"/>
          </w:tcPr>
          <w:p w14:paraId="754FB6BC">
            <w:pPr>
              <w:jc w:val="center"/>
              <w:rPr>
                <w:kern w:val="0"/>
                <w:sz w:val="18"/>
                <w:szCs w:val="18"/>
              </w:rPr>
            </w:pPr>
            <w:r>
              <w:rPr>
                <w:kern w:val="0"/>
                <w:sz w:val="18"/>
                <w:szCs w:val="18"/>
              </w:rPr>
              <w:t>——</w:t>
            </w:r>
          </w:p>
        </w:tc>
        <w:tc>
          <w:tcPr>
            <w:tcW w:w="610" w:type="pct"/>
            <w:tcBorders>
              <w:top w:val="single" w:color="auto" w:sz="4" w:space="0"/>
              <w:bottom w:val="single" w:color="auto" w:sz="4" w:space="0"/>
              <w:right w:val="single" w:color="auto" w:sz="4" w:space="0"/>
            </w:tcBorders>
            <w:noWrap/>
            <w:vAlign w:val="center"/>
          </w:tcPr>
          <w:p w14:paraId="72415387">
            <w:pPr>
              <w:jc w:val="center"/>
              <w:rPr>
                <w:kern w:val="0"/>
                <w:sz w:val="18"/>
                <w:szCs w:val="18"/>
              </w:rPr>
            </w:pPr>
            <w:r>
              <w:rPr>
                <w:kern w:val="0"/>
                <w:sz w:val="18"/>
                <w:szCs w:val="18"/>
              </w:rPr>
              <w:t>测试值达到设计荷载值</w:t>
            </w:r>
          </w:p>
        </w:tc>
        <w:tc>
          <w:tcPr>
            <w:tcW w:w="612" w:type="pct"/>
            <w:tcBorders>
              <w:top w:val="single" w:color="auto" w:sz="4" w:space="0"/>
              <w:bottom w:val="single" w:color="auto" w:sz="4" w:space="0"/>
              <w:right w:val="single" w:color="auto" w:sz="4" w:space="0"/>
            </w:tcBorders>
            <w:noWrap/>
            <w:vAlign w:val="center"/>
          </w:tcPr>
          <w:p w14:paraId="224C7284">
            <w:pPr>
              <w:jc w:val="center"/>
              <w:rPr>
                <w:kern w:val="0"/>
                <w:sz w:val="18"/>
                <w:szCs w:val="18"/>
              </w:rPr>
            </w:pPr>
            <w:r>
              <w:rPr>
                <w:kern w:val="0"/>
                <w:sz w:val="18"/>
                <w:szCs w:val="18"/>
              </w:rPr>
              <w:t>测试值达到设计荷载值的1.1倍</w:t>
            </w:r>
          </w:p>
        </w:tc>
        <w:tc>
          <w:tcPr>
            <w:tcW w:w="613" w:type="pct"/>
            <w:tcBorders>
              <w:top w:val="single" w:color="auto" w:sz="4" w:space="0"/>
              <w:bottom w:val="single" w:color="auto" w:sz="4" w:space="0"/>
              <w:right w:val="single" w:color="auto" w:sz="4" w:space="0"/>
            </w:tcBorders>
            <w:noWrap/>
            <w:vAlign w:val="center"/>
          </w:tcPr>
          <w:p w14:paraId="5DD86C32">
            <w:pPr>
              <w:jc w:val="center"/>
              <w:rPr>
                <w:kern w:val="0"/>
                <w:sz w:val="18"/>
                <w:szCs w:val="18"/>
              </w:rPr>
            </w:pPr>
            <w:r>
              <w:rPr>
                <w:kern w:val="0"/>
                <w:sz w:val="18"/>
                <w:szCs w:val="18"/>
              </w:rPr>
              <w:t>测试值达到设计荷载值的1.2倍</w:t>
            </w:r>
          </w:p>
        </w:tc>
        <w:tc>
          <w:tcPr>
            <w:tcW w:w="799" w:type="pct"/>
            <w:tcBorders>
              <w:top w:val="single" w:color="auto" w:sz="4" w:space="0"/>
              <w:left w:val="single" w:color="auto" w:sz="4" w:space="0"/>
              <w:bottom w:val="single" w:color="auto" w:sz="4" w:space="0"/>
            </w:tcBorders>
            <w:vAlign w:val="center"/>
          </w:tcPr>
          <w:p w14:paraId="002C70EE">
            <w:pPr>
              <w:widowControl/>
              <w:jc w:val="center"/>
              <w:rPr>
                <w:color w:val="000000"/>
                <w:kern w:val="0"/>
                <w:sz w:val="18"/>
                <w:szCs w:val="18"/>
              </w:rPr>
            </w:pPr>
            <w:r>
              <w:rPr>
                <w:color w:val="000000"/>
                <w:kern w:val="0"/>
                <w:sz w:val="18"/>
                <w:szCs w:val="18"/>
              </w:rPr>
              <w:t>GB/T 22082</w:t>
            </w:r>
          </w:p>
        </w:tc>
      </w:tr>
      <w:tr w14:paraId="16FF0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559" w:type="pct"/>
            <w:vMerge w:val="continue"/>
            <w:noWrap/>
            <w:vAlign w:val="center"/>
          </w:tcPr>
          <w:p w14:paraId="204CB42F">
            <w:pPr>
              <w:jc w:val="center"/>
              <w:rPr>
                <w:color w:val="000000"/>
                <w:kern w:val="0"/>
                <w:sz w:val="18"/>
                <w:szCs w:val="18"/>
              </w:rPr>
            </w:pPr>
          </w:p>
        </w:tc>
        <w:tc>
          <w:tcPr>
            <w:tcW w:w="1304" w:type="pct"/>
            <w:gridSpan w:val="3"/>
            <w:tcBorders>
              <w:top w:val="single" w:color="auto" w:sz="4" w:space="0"/>
              <w:bottom w:val="single" w:color="auto" w:sz="4" w:space="0"/>
            </w:tcBorders>
            <w:noWrap/>
            <w:vAlign w:val="center"/>
          </w:tcPr>
          <w:p w14:paraId="4D35CD5B">
            <w:pPr>
              <w:jc w:val="center"/>
              <w:rPr>
                <w:kern w:val="0"/>
                <w:sz w:val="18"/>
                <w:szCs w:val="18"/>
              </w:rPr>
            </w:pPr>
            <w:r>
              <w:rPr>
                <w:kern w:val="0"/>
                <w:sz w:val="18"/>
                <w:szCs w:val="18"/>
              </w:rPr>
              <w:t>产品质量具备可追溯性</w:t>
            </w:r>
          </w:p>
        </w:tc>
        <w:tc>
          <w:tcPr>
            <w:tcW w:w="500" w:type="pct"/>
            <w:tcBorders>
              <w:top w:val="single" w:color="auto" w:sz="4" w:space="0"/>
            </w:tcBorders>
            <w:noWrap/>
            <w:vAlign w:val="center"/>
          </w:tcPr>
          <w:p w14:paraId="2626B0F5">
            <w:pPr>
              <w:jc w:val="center"/>
              <w:rPr>
                <w:kern w:val="0"/>
                <w:sz w:val="18"/>
                <w:szCs w:val="18"/>
              </w:rPr>
            </w:pPr>
            <w:r>
              <w:rPr>
                <w:kern w:val="0"/>
                <w:sz w:val="18"/>
                <w:szCs w:val="18"/>
              </w:rPr>
              <w:t>——</w:t>
            </w:r>
          </w:p>
        </w:tc>
        <w:tc>
          <w:tcPr>
            <w:tcW w:w="1836" w:type="pct"/>
            <w:gridSpan w:val="3"/>
            <w:tcBorders>
              <w:top w:val="single" w:color="auto" w:sz="4" w:space="0"/>
              <w:right w:val="single" w:color="auto" w:sz="4" w:space="0"/>
            </w:tcBorders>
            <w:noWrap/>
            <w:vAlign w:val="center"/>
          </w:tcPr>
          <w:p w14:paraId="79860431">
            <w:pPr>
              <w:jc w:val="center"/>
              <w:rPr>
                <w:kern w:val="0"/>
                <w:sz w:val="18"/>
                <w:szCs w:val="18"/>
              </w:rPr>
            </w:pPr>
            <w:r>
              <w:rPr>
                <w:kern w:val="0"/>
                <w:sz w:val="18"/>
                <w:szCs w:val="18"/>
              </w:rPr>
              <w:t>喷码等唯一性标记</w:t>
            </w:r>
          </w:p>
        </w:tc>
        <w:tc>
          <w:tcPr>
            <w:tcW w:w="799" w:type="pct"/>
            <w:tcBorders>
              <w:top w:val="single" w:color="auto" w:sz="4" w:space="0"/>
              <w:left w:val="single" w:color="auto" w:sz="4" w:space="0"/>
              <w:bottom w:val="single" w:color="auto" w:sz="4" w:space="0"/>
            </w:tcBorders>
            <w:noWrap/>
            <w:vAlign w:val="center"/>
          </w:tcPr>
          <w:p w14:paraId="32FBE39E">
            <w:pPr>
              <w:jc w:val="center"/>
              <w:rPr>
                <w:kern w:val="0"/>
                <w:sz w:val="18"/>
                <w:szCs w:val="18"/>
              </w:rPr>
            </w:pPr>
            <w:r>
              <w:rPr>
                <w:kern w:val="0"/>
                <w:sz w:val="18"/>
                <w:szCs w:val="18"/>
              </w:rPr>
              <w:t>提供证明材料</w:t>
            </w:r>
          </w:p>
        </w:tc>
      </w:tr>
      <w:tr w14:paraId="75CD1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5000" w:type="pct"/>
            <w:gridSpan w:val="9"/>
            <w:tcBorders>
              <w:top w:val="single" w:color="auto" w:sz="4" w:space="0"/>
            </w:tcBorders>
            <w:vAlign w:val="center"/>
          </w:tcPr>
          <w:p w14:paraId="7B7C7985">
            <w:pPr>
              <w:jc w:val="left"/>
              <w:rPr>
                <w:kern w:val="0"/>
                <w:sz w:val="18"/>
                <w:szCs w:val="18"/>
              </w:rPr>
            </w:pPr>
            <w:r>
              <w:rPr>
                <w:kern w:val="0"/>
                <w:sz w:val="18"/>
                <w:szCs w:val="18"/>
                <w:vertAlign w:val="superscript"/>
              </w:rPr>
              <w:t>a</w:t>
            </w:r>
            <w:r>
              <w:rPr>
                <w:kern w:val="0"/>
                <w:sz w:val="18"/>
                <w:szCs w:val="18"/>
              </w:rPr>
              <w:t xml:space="preserve"> 本条款评价企业按照工程需要试配、生产相应耐久性能混凝土的能力，不要求所有混凝土产品均符合本条款的耐久性要求。</w:t>
            </w:r>
          </w:p>
          <w:p w14:paraId="65230E6B">
            <w:pPr>
              <w:jc w:val="left"/>
              <w:rPr>
                <w:kern w:val="0"/>
                <w:sz w:val="18"/>
                <w:szCs w:val="18"/>
              </w:rPr>
            </w:pPr>
            <w:r>
              <w:rPr>
                <w:kern w:val="0"/>
                <w:sz w:val="18"/>
                <w:szCs w:val="18"/>
                <w:vertAlign w:val="superscript"/>
              </w:rPr>
              <w:t>b</w:t>
            </w:r>
            <w:r>
              <w:rPr>
                <w:kern w:val="0"/>
                <w:sz w:val="18"/>
                <w:szCs w:val="18"/>
              </w:rPr>
              <w:t>本条款适用于主要应用范围在第Ⅰ、Ⅱ、Ⅵ、Ⅶ建筑气候区内的产品，应用于其他建筑气候区的产品不参评，建筑气候区的划分按照GB 50178进行。</w:t>
            </w:r>
          </w:p>
          <w:p w14:paraId="7CEA6A37">
            <w:pPr>
              <w:jc w:val="left"/>
              <w:rPr>
                <w:kern w:val="0"/>
                <w:sz w:val="18"/>
                <w:szCs w:val="18"/>
              </w:rPr>
            </w:pPr>
            <w:r>
              <w:rPr>
                <w:kern w:val="0"/>
                <w:sz w:val="18"/>
                <w:szCs w:val="18"/>
                <w:vertAlign w:val="superscript"/>
              </w:rPr>
              <w:t>c</w:t>
            </w:r>
            <w:r>
              <w:rPr>
                <w:kern w:val="0"/>
                <w:sz w:val="18"/>
                <w:szCs w:val="18"/>
              </w:rPr>
              <w:t>适用于预制混凝土管片，预制混凝土桩不参评。</w:t>
            </w:r>
          </w:p>
        </w:tc>
      </w:tr>
      <w:bookmarkEnd w:id="124"/>
      <w:bookmarkEnd w:id="125"/>
      <w:bookmarkEnd w:id="126"/>
      <w:bookmarkEnd w:id="127"/>
      <w:bookmarkEnd w:id="128"/>
      <w:bookmarkEnd w:id="129"/>
      <w:bookmarkEnd w:id="130"/>
      <w:bookmarkEnd w:id="131"/>
    </w:tbl>
    <w:p w14:paraId="6456016D">
      <w:pPr>
        <w:pStyle w:val="64"/>
        <w:numPr>
          <w:ilvl w:val="0"/>
          <w:numId w:val="17"/>
        </w:numPr>
        <w:tabs>
          <w:tab w:val="left" w:pos="0"/>
        </w:tabs>
        <w:ind w:left="0" w:firstLine="0"/>
        <w:outlineLvl w:val="0"/>
        <w:rPr>
          <w:color w:val="000000"/>
        </w:rPr>
      </w:pPr>
      <w:bookmarkStart w:id="132" w:name="_Toc30204"/>
      <w:bookmarkStart w:id="133" w:name="_Toc6914"/>
      <w:r>
        <w:rPr>
          <w:rFonts w:hint="eastAsia"/>
          <w:color w:val="000000"/>
        </w:rPr>
        <w:t>评价方法</w:t>
      </w:r>
      <w:bookmarkEnd w:id="132"/>
      <w:bookmarkEnd w:id="133"/>
    </w:p>
    <w:p w14:paraId="60F62072">
      <w:pPr>
        <w:pStyle w:val="68"/>
        <w:jc w:val="both"/>
        <w:rPr>
          <w:rFonts w:ascii="Times New Roman" w:eastAsia="宋体"/>
          <w:szCs w:val="20"/>
        </w:rPr>
      </w:pPr>
      <w:bookmarkStart w:id="134" w:name="_Toc350864010"/>
      <w:bookmarkStart w:id="135" w:name="_Toc360436858"/>
      <w:bookmarkStart w:id="136" w:name="_Toc396134056"/>
      <w:bookmarkStart w:id="137" w:name="_Toc360632449"/>
      <w:bookmarkStart w:id="138" w:name="_Toc384816571"/>
      <w:bookmarkStart w:id="139" w:name="_Toc360436771"/>
      <w:r>
        <w:rPr>
          <w:rFonts w:hint="eastAsia" w:ascii="Times New Roman" w:eastAsia="宋体"/>
          <w:szCs w:val="20"/>
        </w:rPr>
        <w:t>5</w:t>
      </w:r>
      <w:r>
        <w:rPr>
          <w:rFonts w:ascii="Times New Roman" w:eastAsia="宋体"/>
          <w:szCs w:val="20"/>
        </w:rPr>
        <w:t>.</w:t>
      </w:r>
      <w:r>
        <w:rPr>
          <w:rFonts w:hint="eastAsia" w:ascii="Times New Roman" w:eastAsia="宋体"/>
          <w:szCs w:val="20"/>
        </w:rPr>
        <w:t xml:space="preserve">1 </w:t>
      </w:r>
      <w:r>
        <w:rPr>
          <w:rFonts w:ascii="Times New Roman" w:eastAsia="宋体"/>
          <w:szCs w:val="20"/>
        </w:rPr>
        <w:t>生产企业满足第4章对应评价等级的全部要求时，判定评价结果符合该评价等级规定。</w:t>
      </w:r>
    </w:p>
    <w:p w14:paraId="5BC63B96">
      <w:pPr>
        <w:pStyle w:val="68"/>
        <w:jc w:val="both"/>
        <w:rPr>
          <w:rFonts w:ascii="Times New Roman" w:eastAsia="宋体"/>
          <w:szCs w:val="20"/>
        </w:rPr>
      </w:pPr>
      <w:bookmarkStart w:id="140" w:name="_Toc533520548"/>
      <w:r>
        <w:rPr>
          <w:rFonts w:ascii="Times New Roman" w:eastAsia="宋体"/>
          <w:szCs w:val="20"/>
        </w:rPr>
        <w:t>5.2 生产企业应按第4章的规定提供</w:t>
      </w:r>
      <w:r>
        <w:rPr>
          <w:rFonts w:hint="eastAsia" w:ascii="Times New Roman" w:eastAsia="宋体"/>
          <w:szCs w:val="20"/>
        </w:rPr>
        <w:t>相关证明文件</w:t>
      </w:r>
      <w:r>
        <w:rPr>
          <w:rFonts w:hint="eastAsia" w:ascii="Times New Roman" w:hAnsi="宋体" w:eastAsia="宋体"/>
          <w:szCs w:val="20"/>
        </w:rPr>
        <w:t>。</w:t>
      </w:r>
      <w:bookmarkEnd w:id="134"/>
      <w:bookmarkEnd w:id="135"/>
      <w:bookmarkEnd w:id="136"/>
      <w:bookmarkEnd w:id="137"/>
      <w:bookmarkEnd w:id="138"/>
      <w:bookmarkEnd w:id="139"/>
      <w:bookmarkEnd w:id="140"/>
    </w:p>
    <w:p w14:paraId="2967CC23">
      <w:pPr>
        <w:autoSpaceDE w:val="0"/>
        <w:autoSpaceDN w:val="0"/>
        <w:adjustRightInd w:val="0"/>
        <w:rPr>
          <w:kern w:val="0"/>
        </w:rPr>
      </w:pPr>
      <w:r>
        <w:rPr>
          <w:kern w:val="0"/>
        </w:rPr>
        <w:br w:type="page"/>
      </w:r>
    </w:p>
    <w:p w14:paraId="5ED45FAE">
      <w:pPr>
        <w:pStyle w:val="132"/>
        <w:spacing w:before="0" w:after="0"/>
        <w:rPr>
          <w:color w:val="000000"/>
        </w:rPr>
      </w:pPr>
      <w:bookmarkStart w:id="141" w:name="_Toc31046"/>
      <w:bookmarkEnd w:id="141"/>
      <w:bookmarkStart w:id="142" w:name="_Toc30116"/>
      <w:bookmarkEnd w:id="142"/>
      <w:bookmarkStart w:id="143" w:name="_Toc524004822"/>
      <w:bookmarkStart w:id="144" w:name="_Toc532820841"/>
      <w:bookmarkStart w:id="145" w:name="_Toc532820969"/>
    </w:p>
    <w:p w14:paraId="72465D0D">
      <w:pPr>
        <w:pStyle w:val="132"/>
        <w:numPr>
          <w:ilvl w:val="0"/>
          <w:numId w:val="0"/>
        </w:numPr>
        <w:spacing w:before="0" w:after="0"/>
        <w:rPr>
          <w:color w:val="000000"/>
        </w:rPr>
      </w:pPr>
      <w:bookmarkStart w:id="146" w:name="_Toc27976"/>
      <w:bookmarkStart w:id="147" w:name="_Toc19062"/>
      <w:r>
        <w:rPr>
          <w:rFonts w:hint="eastAsia"/>
          <w:color w:val="000000"/>
        </w:rPr>
        <w:t>（规范性）</w:t>
      </w:r>
      <w:bookmarkEnd w:id="143"/>
      <w:bookmarkEnd w:id="146"/>
      <w:bookmarkEnd w:id="147"/>
    </w:p>
    <w:p w14:paraId="4D13A903">
      <w:pPr>
        <w:pStyle w:val="132"/>
        <w:numPr>
          <w:ilvl w:val="0"/>
          <w:numId w:val="0"/>
        </w:numPr>
        <w:spacing w:before="0" w:after="0"/>
        <w:rPr>
          <w:color w:val="000000"/>
        </w:rPr>
      </w:pPr>
      <w:bookmarkStart w:id="148" w:name="_Toc3379"/>
      <w:bookmarkStart w:id="149" w:name="_Toc19498"/>
      <w:r>
        <w:rPr>
          <w:rFonts w:hint="eastAsia"/>
          <w:color w:val="000000"/>
        </w:rPr>
        <w:t>计算方法</w:t>
      </w:r>
      <w:bookmarkEnd w:id="144"/>
      <w:bookmarkEnd w:id="145"/>
      <w:bookmarkEnd w:id="148"/>
      <w:bookmarkEnd w:id="149"/>
    </w:p>
    <w:p w14:paraId="0CAE6DE5">
      <w:pPr>
        <w:pStyle w:val="82"/>
        <w:numPr>
          <w:ilvl w:val="1"/>
          <w:numId w:val="18"/>
        </w:numPr>
        <w:spacing w:before="312" w:after="312"/>
        <w:outlineLvl w:val="0"/>
        <w:rPr>
          <w:rFonts w:ascii="Times New Roman"/>
          <w:kern w:val="0"/>
        </w:rPr>
      </w:pPr>
      <w:bookmarkStart w:id="150" w:name="_Toc158"/>
      <w:bookmarkStart w:id="151" w:name="_Toc5107"/>
      <w:r>
        <w:rPr>
          <w:rFonts w:hint="eastAsia" w:ascii="Times New Roman"/>
          <w:kern w:val="0"/>
        </w:rPr>
        <w:t>生产过程工业产品废弃物利用率</w:t>
      </w:r>
      <w:bookmarkEnd w:id="150"/>
      <w:bookmarkEnd w:id="151"/>
    </w:p>
    <w:p w14:paraId="234BFFC5">
      <w:pPr>
        <w:pStyle w:val="24"/>
        <w:rPr>
          <w:rFonts w:ascii="Times New Roman"/>
        </w:rPr>
      </w:pPr>
      <w:bookmarkStart w:id="152" w:name="_Toc459106426"/>
      <w:bookmarkStart w:id="153" w:name="_Toc456611296"/>
      <w:r>
        <w:rPr>
          <w:rFonts w:hint="eastAsia" w:ascii="Times New Roman"/>
        </w:rPr>
        <w:t>原则上应以近12个月作为统计期</w:t>
      </w:r>
      <w:r>
        <w:rPr>
          <w:rFonts w:ascii="Times New Roman"/>
        </w:rPr>
        <w:t>计算</w:t>
      </w:r>
      <w:r>
        <w:rPr>
          <w:rFonts w:hint="eastAsia" w:ascii="Times New Roman"/>
        </w:rPr>
        <w:t>生产过程工业产品废弃物利用率的</w:t>
      </w:r>
      <w:r>
        <w:rPr>
          <w:rFonts w:ascii="Times New Roman"/>
        </w:rPr>
        <w:t>平均值</w:t>
      </w:r>
      <w:r>
        <w:rPr>
          <w:rFonts w:hint="eastAsia" w:ascii="Times New Roman"/>
        </w:rPr>
        <w:t>。企业正式投产不足12个月时，统计期可适当缩短，但不应少于6个月</w:t>
      </w:r>
      <w:r>
        <w:rPr>
          <w:rFonts w:ascii="Times New Roman"/>
        </w:rPr>
        <w:t>。按公式（</w:t>
      </w:r>
      <w:r>
        <w:rPr>
          <w:rFonts w:hint="eastAsia" w:ascii="Times New Roman"/>
        </w:rPr>
        <w:t>A</w:t>
      </w:r>
      <w:r>
        <w:rPr>
          <w:rFonts w:ascii="Times New Roman"/>
        </w:rPr>
        <w:t>.</w:t>
      </w:r>
      <w:r>
        <w:rPr>
          <w:rFonts w:hint="eastAsia" w:ascii="Times New Roman"/>
        </w:rPr>
        <w:t>1</w:t>
      </w:r>
      <w:r>
        <w:rPr>
          <w:rFonts w:ascii="Times New Roman"/>
        </w:rPr>
        <w:t>）计算：</w:t>
      </w:r>
    </w:p>
    <w:p w14:paraId="0D8C864E">
      <w:pPr>
        <w:pStyle w:val="108"/>
        <w:jc w:val="right"/>
        <w:rPr>
          <w:rFonts w:ascii="Times New Roman"/>
          <w:kern w:val="2"/>
          <w:szCs w:val="21"/>
        </w:rPr>
      </w:pPr>
      <w:r>
        <w:rPr>
          <w:rFonts w:hint="eastAsia" w:ascii="Times New Roman"/>
          <w:position w:val="-38"/>
        </w:rPr>
        <w:object>
          <v:shape id="_x0000_i1025" o:spt="75" type="#_x0000_t75" style="height:38pt;width:45pt;" o:ole="t" filled="f" o:preferrelative="t" stroked="f" coordsize="21600,21600">
            <v:path/>
            <v:fill on="f" focussize="0,0"/>
            <v:stroke on="f" joinstyle="miter"/>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Times New Roman"/>
        </w:rPr>
        <w:t xml:space="preserve">              ………………………………（A.1）</w:t>
      </w:r>
    </w:p>
    <w:p w14:paraId="2496519B">
      <w:pPr>
        <w:pStyle w:val="24"/>
        <w:jc w:val="left"/>
        <w:rPr>
          <w:szCs w:val="21"/>
        </w:rPr>
      </w:pPr>
      <w:r>
        <w:rPr>
          <w:szCs w:val="21"/>
        </w:rPr>
        <w:t>式中：</w:t>
      </w:r>
    </w:p>
    <w:p w14:paraId="0960EA32">
      <w:pPr>
        <w:pStyle w:val="24"/>
        <w:jc w:val="left"/>
        <w:rPr>
          <w:szCs w:val="21"/>
        </w:rPr>
      </w:pPr>
      <w:r>
        <w:rPr>
          <w:rFonts w:hint="eastAsia"/>
          <w:i/>
          <w:szCs w:val="21"/>
        </w:rPr>
        <w:t>R</w:t>
      </w:r>
      <w:r>
        <w:rPr>
          <w:i/>
          <w:szCs w:val="21"/>
        </w:rPr>
        <w:t xml:space="preserve"> </w:t>
      </w:r>
      <w:r>
        <w:rPr>
          <w:szCs w:val="21"/>
        </w:rPr>
        <w:t>——</w:t>
      </w:r>
      <w:r>
        <w:rPr>
          <w:rFonts w:hint="eastAsia"/>
          <w:szCs w:val="21"/>
        </w:rPr>
        <w:t>生产过程工业产品废弃物利用率，%；</w:t>
      </w:r>
    </w:p>
    <w:p w14:paraId="3D38E90E">
      <w:pPr>
        <w:pStyle w:val="24"/>
        <w:jc w:val="left"/>
        <w:rPr>
          <w:szCs w:val="21"/>
        </w:rPr>
      </w:pPr>
      <w:r>
        <w:rPr>
          <w:i/>
          <w:szCs w:val="21"/>
        </w:rPr>
        <w:t>m</w:t>
      </w:r>
      <w:r>
        <w:rPr>
          <w:rFonts w:hint="eastAsia"/>
          <w:i/>
          <w:szCs w:val="21"/>
          <w:vertAlign w:val="subscript"/>
        </w:rPr>
        <w:t>r</w:t>
      </w:r>
      <w:r>
        <w:rPr>
          <w:szCs w:val="21"/>
        </w:rPr>
        <w:t>——</w:t>
      </w:r>
      <w:r>
        <w:rPr>
          <w:rFonts w:hint="eastAsia"/>
          <w:szCs w:val="21"/>
        </w:rPr>
        <w:t>统计期内回收再利用的工业产品废弃物总</w:t>
      </w:r>
      <w:r>
        <w:rPr>
          <w:szCs w:val="21"/>
        </w:rPr>
        <w:t>量</w:t>
      </w:r>
      <w:r>
        <w:rPr>
          <w:rFonts w:hint="eastAsia"/>
          <w:szCs w:val="21"/>
        </w:rPr>
        <w:t>，不含废水</w:t>
      </w:r>
      <w:r>
        <w:rPr>
          <w:szCs w:val="21"/>
        </w:rPr>
        <w:t>，单位为</w:t>
      </w:r>
      <w:r>
        <w:rPr>
          <w:rFonts w:hint="eastAsia"/>
          <w:szCs w:val="21"/>
        </w:rPr>
        <w:t>千克</w:t>
      </w:r>
      <w:r>
        <w:rPr>
          <w:szCs w:val="21"/>
        </w:rPr>
        <w:t>（kg）；</w:t>
      </w:r>
    </w:p>
    <w:p w14:paraId="72BAB6E3">
      <w:pPr>
        <w:pStyle w:val="24"/>
        <w:jc w:val="left"/>
        <w:rPr>
          <w:szCs w:val="21"/>
        </w:rPr>
      </w:pPr>
      <w:r>
        <w:rPr>
          <w:rFonts w:hint="eastAsia"/>
          <w:i/>
          <w:szCs w:val="21"/>
        </w:rPr>
        <w:t>m</w:t>
      </w:r>
      <w:r>
        <w:rPr>
          <w:rFonts w:hint="eastAsia"/>
          <w:i/>
          <w:szCs w:val="21"/>
          <w:vertAlign w:val="subscript"/>
        </w:rPr>
        <w:t>p</w:t>
      </w:r>
      <w:r>
        <w:rPr>
          <w:szCs w:val="21"/>
        </w:rPr>
        <w:t>——</w:t>
      </w:r>
      <w:r>
        <w:rPr>
          <w:rFonts w:hint="eastAsia"/>
          <w:szCs w:val="21"/>
        </w:rPr>
        <w:t>统计期内生产产生的工业产品废弃物总</w:t>
      </w:r>
      <w:r>
        <w:rPr>
          <w:szCs w:val="21"/>
        </w:rPr>
        <w:t>量</w:t>
      </w:r>
      <w:r>
        <w:rPr>
          <w:rFonts w:hint="eastAsia"/>
          <w:szCs w:val="21"/>
        </w:rPr>
        <w:t>，不含废水</w:t>
      </w:r>
      <w:r>
        <w:rPr>
          <w:szCs w:val="21"/>
        </w:rPr>
        <w:t>，单位为千克（kg）</w:t>
      </w:r>
      <w:r>
        <w:rPr>
          <w:rFonts w:hint="eastAsia"/>
          <w:szCs w:val="21"/>
        </w:rPr>
        <w:t>。</w:t>
      </w:r>
    </w:p>
    <w:p w14:paraId="0235AB34">
      <w:pPr>
        <w:pStyle w:val="82"/>
        <w:numPr>
          <w:ilvl w:val="1"/>
          <w:numId w:val="18"/>
        </w:numPr>
        <w:spacing w:before="312" w:after="312"/>
        <w:outlineLvl w:val="0"/>
        <w:rPr>
          <w:rFonts w:ascii="Times New Roman"/>
          <w:kern w:val="0"/>
        </w:rPr>
      </w:pPr>
      <w:bookmarkStart w:id="154" w:name="_Toc4054"/>
      <w:bookmarkStart w:id="155" w:name="_Toc13765"/>
      <w:r>
        <w:rPr>
          <w:rFonts w:ascii="Times New Roman"/>
          <w:kern w:val="0"/>
        </w:rPr>
        <w:t>固体废弃物掺加量</w:t>
      </w:r>
      <w:bookmarkEnd w:id="152"/>
      <w:bookmarkEnd w:id="153"/>
      <w:bookmarkEnd w:id="154"/>
      <w:bookmarkEnd w:id="155"/>
    </w:p>
    <w:p w14:paraId="360816C8">
      <w:pPr>
        <w:pStyle w:val="24"/>
        <w:rPr>
          <w:rFonts w:ascii="Times New Roman"/>
        </w:rPr>
      </w:pPr>
      <w:r>
        <w:rPr>
          <w:rFonts w:hint="eastAsia" w:ascii="Times New Roman"/>
        </w:rPr>
        <w:t>原则上应以近12个月作为统计期</w:t>
      </w:r>
      <w:r>
        <w:rPr>
          <w:rFonts w:ascii="Times New Roman"/>
        </w:rPr>
        <w:t>计算</w:t>
      </w:r>
      <w:r>
        <w:rPr>
          <w:rFonts w:hint="eastAsia" w:ascii="Times New Roman"/>
        </w:rPr>
        <w:t>固体废弃物掺加量的</w:t>
      </w:r>
      <w:r>
        <w:rPr>
          <w:rFonts w:ascii="Times New Roman"/>
        </w:rPr>
        <w:t>平均值</w:t>
      </w:r>
      <w:r>
        <w:rPr>
          <w:rFonts w:hint="eastAsia" w:ascii="Times New Roman"/>
        </w:rPr>
        <w:t>。企业正式投产不足12个月时，统计期可适当缩短，但不应少于6个月</w:t>
      </w:r>
      <w:r>
        <w:rPr>
          <w:rFonts w:ascii="Times New Roman"/>
        </w:rPr>
        <w:t>。按公式（</w:t>
      </w:r>
      <w:r>
        <w:rPr>
          <w:rFonts w:hint="eastAsia" w:ascii="Times New Roman"/>
          <w:szCs w:val="21"/>
        </w:rPr>
        <w:t>A</w:t>
      </w:r>
      <w:r>
        <w:rPr>
          <w:rFonts w:ascii="Times New Roman"/>
          <w:szCs w:val="21"/>
        </w:rPr>
        <w:t>.</w:t>
      </w:r>
      <w:r>
        <w:rPr>
          <w:rFonts w:hint="eastAsia" w:ascii="Times New Roman"/>
          <w:szCs w:val="21"/>
        </w:rPr>
        <w:t>2</w:t>
      </w:r>
      <w:r>
        <w:rPr>
          <w:rFonts w:ascii="Times New Roman"/>
        </w:rPr>
        <w:t>）计算：</w:t>
      </w:r>
    </w:p>
    <w:p w14:paraId="2FBFB649">
      <w:pPr>
        <w:pStyle w:val="24"/>
        <w:jc w:val="right"/>
        <w:rPr>
          <w:rFonts w:ascii="Times New Roman"/>
        </w:rPr>
      </w:pPr>
      <w:r>
        <w:rPr>
          <w:rFonts w:hint="eastAsia" w:ascii="Times New Roman"/>
          <w:position w:val="-30"/>
        </w:rPr>
        <w:object>
          <v:shape id="_x0000_i1026" o:spt="75" type="#_x0000_t75" style="height:34pt;width:78pt;" o:ole="t" filled="f" o:preferrelative="t" stroked="f" coordsize="21600,21600">
            <v:path/>
            <v:fill on="f" focussize="0,0"/>
            <v:stroke on="f" joinstyle="miter"/>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Times New Roman"/>
        </w:rPr>
        <w:t xml:space="preserve">              ………………………………（A.2）</w:t>
      </w:r>
    </w:p>
    <w:p w14:paraId="554A3610">
      <w:pPr>
        <w:pStyle w:val="24"/>
        <w:rPr>
          <w:rFonts w:ascii="Times New Roman"/>
        </w:rPr>
      </w:pPr>
      <w:r>
        <w:rPr>
          <w:rFonts w:ascii="Times New Roman"/>
        </w:rPr>
        <w:t>式中：</w:t>
      </w:r>
    </w:p>
    <w:p w14:paraId="0E488731">
      <w:pPr>
        <w:pStyle w:val="24"/>
        <w:rPr>
          <w:rFonts w:ascii="Times New Roman"/>
        </w:rPr>
      </w:pPr>
      <w:r>
        <w:rPr>
          <w:rFonts w:hint="eastAsia" w:ascii="Times New Roman"/>
          <w:i/>
        </w:rPr>
        <w:t xml:space="preserve">U </w:t>
      </w:r>
      <w:r>
        <w:rPr>
          <w:rFonts w:ascii="Times New Roman"/>
          <w:szCs w:val="21"/>
        </w:rPr>
        <w:t>——</w:t>
      </w:r>
      <w:r>
        <w:rPr>
          <w:rFonts w:hint="eastAsia" w:ascii="Times New Roman"/>
        </w:rPr>
        <w:t>固体废弃物掺加量</w:t>
      </w:r>
      <w:r>
        <w:rPr>
          <w:rFonts w:ascii="Times New Roman"/>
        </w:rPr>
        <w:t>，%；</w:t>
      </w:r>
    </w:p>
    <w:p w14:paraId="7CE71893">
      <w:pPr>
        <w:pStyle w:val="24"/>
        <w:rPr>
          <w:rFonts w:ascii="Times New Roman"/>
        </w:rPr>
      </w:pPr>
      <w:r>
        <w:rPr>
          <w:rFonts w:ascii="Times New Roman"/>
          <w:i/>
        </w:rPr>
        <w:t>m</w:t>
      </w:r>
      <w:r>
        <w:rPr>
          <w:rFonts w:hint="eastAsia" w:ascii="Times New Roman"/>
          <w:i/>
          <w:vertAlign w:val="subscript"/>
        </w:rPr>
        <w:t xml:space="preserve">w </w:t>
      </w:r>
      <w:r>
        <w:rPr>
          <w:rFonts w:ascii="Times New Roman"/>
          <w:szCs w:val="21"/>
        </w:rPr>
        <w:t>——</w:t>
      </w:r>
      <w:r>
        <w:rPr>
          <w:rFonts w:ascii="Times New Roman"/>
        </w:rPr>
        <w:t>统计期内使用的</w:t>
      </w:r>
      <w:r>
        <w:rPr>
          <w:rFonts w:hint="eastAsia" w:ascii="Times New Roman"/>
        </w:rPr>
        <w:t>外购固体废弃物</w:t>
      </w:r>
      <w:r>
        <w:rPr>
          <w:rFonts w:ascii="Times New Roman"/>
        </w:rPr>
        <w:t>总量，</w:t>
      </w:r>
      <w:r>
        <w:rPr>
          <w:rFonts w:hint="eastAsia" w:ascii="Times New Roman"/>
        </w:rPr>
        <w:t>不含水，</w:t>
      </w:r>
      <w:r>
        <w:rPr>
          <w:rFonts w:ascii="Times New Roman"/>
        </w:rPr>
        <w:t>单位为吨（t）；</w:t>
      </w:r>
    </w:p>
    <w:p w14:paraId="3171A7C9">
      <w:pPr>
        <w:pStyle w:val="24"/>
        <w:rPr>
          <w:rFonts w:ascii="Times New Roman"/>
        </w:rPr>
      </w:pPr>
      <w:r>
        <w:rPr>
          <w:rFonts w:hint="eastAsia" w:ascii="Times New Roman"/>
          <w:i/>
        </w:rPr>
        <w:t>m</w:t>
      </w:r>
      <w:r>
        <w:rPr>
          <w:rFonts w:hint="eastAsia" w:ascii="Times New Roman"/>
          <w:i/>
          <w:vertAlign w:val="subscript"/>
        </w:rPr>
        <w:t>t</w:t>
      </w:r>
      <w:r>
        <w:rPr>
          <w:rFonts w:ascii="Times New Roman"/>
        </w:rPr>
        <w:t xml:space="preserve"> ——统计期内使用的原材料总量</w:t>
      </w:r>
      <w:r>
        <w:rPr>
          <w:rFonts w:hint="eastAsia" w:ascii="Times New Roman"/>
        </w:rPr>
        <w:t>，不含水</w:t>
      </w:r>
      <w:r>
        <w:rPr>
          <w:rFonts w:ascii="Times New Roman"/>
        </w:rPr>
        <w:t>，单位为吨（t）。</w:t>
      </w:r>
    </w:p>
    <w:p w14:paraId="47B69F42">
      <w:pPr>
        <w:pStyle w:val="82"/>
        <w:numPr>
          <w:ilvl w:val="1"/>
          <w:numId w:val="18"/>
        </w:numPr>
        <w:spacing w:before="312" w:after="312"/>
        <w:outlineLvl w:val="0"/>
        <w:rPr>
          <w:rFonts w:ascii="Times New Roman"/>
        </w:rPr>
      </w:pPr>
      <w:bookmarkStart w:id="156" w:name="_Toc3401"/>
      <w:bookmarkStart w:id="157" w:name="_Toc13473"/>
      <w:r>
        <w:rPr>
          <w:rFonts w:hint="eastAsia"/>
        </w:rPr>
        <w:t>单位产品取水量</w:t>
      </w:r>
      <w:bookmarkEnd w:id="156"/>
      <w:bookmarkEnd w:id="157"/>
    </w:p>
    <w:p w14:paraId="050D3822">
      <w:pPr>
        <w:pStyle w:val="24"/>
      </w:pPr>
      <w:r>
        <w:rPr>
          <w:rFonts w:hint="eastAsia"/>
        </w:rPr>
        <w:t>单位产品取水量按公式（A.1）计算。</w:t>
      </w:r>
    </w:p>
    <w:p w14:paraId="67A570C9">
      <w:pPr>
        <w:pStyle w:val="24"/>
        <w:jc w:val="right"/>
        <w:rPr>
          <w:rFonts w:ascii="Times New Roman"/>
        </w:rPr>
      </w:pPr>
      <w:r>
        <w:rPr>
          <w:rFonts w:hint="eastAsia"/>
          <w:position w:val="-66"/>
        </w:rPr>
        <w:object>
          <v:shape id="_x0000_i1027" o:spt="75" type="#_x0000_t75" style="height:52pt;width:45pt;" o:ole="t" filled="f" o:preferrelative="t" stroked="f" coordsize="21600,21600">
            <v:path/>
            <v:fill on="f" focussize="0,0"/>
            <v:stroke on="f" joinstyle="miter"/>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ascii="Times New Roman"/>
        </w:rPr>
        <w:t xml:space="preserve">             ………………………………（A.3）</w:t>
      </w:r>
    </w:p>
    <w:p w14:paraId="40D0B4B5">
      <w:pPr>
        <w:pStyle w:val="24"/>
        <w:rPr>
          <w:rFonts w:ascii="Times New Roman"/>
        </w:rPr>
      </w:pPr>
      <w:r>
        <w:rPr>
          <w:rFonts w:hint="eastAsia" w:ascii="Times New Roman"/>
        </w:rPr>
        <w:t>式中：</w:t>
      </w:r>
    </w:p>
    <w:p w14:paraId="2E4F4586">
      <w:pPr>
        <w:pStyle w:val="24"/>
        <w:rPr>
          <w:rFonts w:ascii="Times New Roman"/>
        </w:rPr>
      </w:pPr>
      <w:r>
        <w:rPr>
          <w:rFonts w:hint="eastAsia" w:ascii="Times New Roman"/>
        </w:rPr>
        <w:t>v</w:t>
      </w:r>
      <w:r>
        <w:rPr>
          <w:rFonts w:hint="eastAsia" w:ascii="Times New Roman"/>
          <w:vertAlign w:val="subscript"/>
        </w:rPr>
        <w:t>w</w:t>
      </w:r>
      <w:r>
        <w:rPr>
          <w:rFonts w:hint="eastAsia" w:ascii="Times New Roman"/>
        </w:rPr>
        <w:t>—单位产品取水量，单位为立方米每立方米（m</w:t>
      </w:r>
      <w:r>
        <w:rPr>
          <w:rFonts w:hint="eastAsia" w:ascii="Times New Roman"/>
          <w:vertAlign w:val="superscript"/>
        </w:rPr>
        <w:t>3</w:t>
      </w:r>
      <w:r>
        <w:rPr>
          <w:rFonts w:hint="eastAsia" w:ascii="Times New Roman"/>
        </w:rPr>
        <w:t>/m</w:t>
      </w:r>
      <w:r>
        <w:rPr>
          <w:rFonts w:hint="eastAsia" w:ascii="Times New Roman"/>
          <w:vertAlign w:val="superscript"/>
        </w:rPr>
        <w:t>3</w:t>
      </w:r>
      <w:r>
        <w:rPr>
          <w:rFonts w:hint="eastAsia" w:ascii="Times New Roman"/>
        </w:rPr>
        <w:t>）；</w:t>
      </w:r>
    </w:p>
    <w:p w14:paraId="5C514AF5">
      <w:pPr>
        <w:pStyle w:val="24"/>
        <w:rPr>
          <w:rFonts w:ascii="Times New Roman"/>
        </w:rPr>
      </w:pPr>
      <w:r>
        <w:rPr>
          <w:rFonts w:hint="eastAsia" w:ascii="Times New Roman"/>
        </w:rPr>
        <w:t>V</w:t>
      </w:r>
      <w:r>
        <w:rPr>
          <w:rFonts w:hint="eastAsia" w:ascii="Times New Roman"/>
          <w:vertAlign w:val="subscript"/>
        </w:rPr>
        <w:t>w</w:t>
      </w:r>
      <w:r>
        <w:rPr>
          <w:rFonts w:hint="eastAsia" w:ascii="Times New Roman"/>
        </w:rPr>
        <w:t>—报告期内预制管片、桩产品生产过程中常规水资源的取水量总和，单位为立方米（m</w:t>
      </w:r>
      <w:r>
        <w:rPr>
          <w:rFonts w:hint="eastAsia" w:ascii="Times New Roman"/>
          <w:vertAlign w:val="superscript"/>
        </w:rPr>
        <w:t>3</w:t>
      </w:r>
      <w:r>
        <w:rPr>
          <w:rFonts w:hint="eastAsia" w:ascii="Times New Roman"/>
        </w:rPr>
        <w:t>）；</w:t>
      </w:r>
    </w:p>
    <w:p w14:paraId="0384AA0C">
      <w:pPr>
        <w:pStyle w:val="24"/>
        <w:rPr>
          <w:rFonts w:ascii="Times New Roman"/>
        </w:rPr>
      </w:pPr>
      <w:r>
        <w:rPr>
          <w:rFonts w:hint="eastAsia" w:ascii="Times New Roman"/>
        </w:rPr>
        <w:t>V</w:t>
      </w:r>
      <w:r>
        <w:rPr>
          <w:rFonts w:hint="eastAsia" w:ascii="Times New Roman"/>
          <w:vertAlign w:val="subscript"/>
        </w:rPr>
        <w:t>zh</w:t>
      </w:r>
      <w:r>
        <w:rPr>
          <w:rFonts w:hint="eastAsia" w:ascii="Times New Roman"/>
        </w:rPr>
        <w:t>—报告期内预制管片、桩的合格产品产量，单位为立方米（m</w:t>
      </w:r>
      <w:r>
        <w:rPr>
          <w:rFonts w:hint="eastAsia" w:ascii="Times New Roman"/>
          <w:vertAlign w:val="superscript"/>
        </w:rPr>
        <w:t>3</w:t>
      </w:r>
      <w:r>
        <w:rPr>
          <w:rFonts w:hint="eastAsia" w:ascii="Times New Roman"/>
        </w:rPr>
        <w:t>）。</w:t>
      </w:r>
    </w:p>
    <w:p w14:paraId="33DAFBA7">
      <w:pPr>
        <w:pStyle w:val="82"/>
        <w:numPr>
          <w:ilvl w:val="1"/>
          <w:numId w:val="18"/>
        </w:numPr>
        <w:spacing w:before="312" w:after="312"/>
        <w:outlineLvl w:val="0"/>
        <w:rPr>
          <w:rFonts w:ascii="Times New Roman"/>
        </w:rPr>
      </w:pPr>
      <w:bookmarkStart w:id="158" w:name="_Toc1622"/>
      <w:bookmarkStart w:id="159" w:name="_Toc29251"/>
      <w:r>
        <w:rPr>
          <w:rFonts w:hint="eastAsia" w:ascii="Times New Roman"/>
        </w:rPr>
        <w:t>钢材利用率</w:t>
      </w:r>
      <w:bookmarkEnd w:id="158"/>
      <w:bookmarkEnd w:id="159"/>
    </w:p>
    <w:p w14:paraId="6BD06FBA">
      <w:pPr>
        <w:pStyle w:val="24"/>
        <w:rPr>
          <w:rFonts w:ascii="Times New Roman"/>
        </w:rPr>
      </w:pPr>
      <w:r>
        <w:rPr>
          <w:rFonts w:hint="eastAsia" w:ascii="Times New Roman"/>
        </w:rPr>
        <w:t>钢材利用率按公式（A.4）计算。</w:t>
      </w:r>
    </w:p>
    <w:p w14:paraId="16A0251B">
      <w:pPr>
        <w:pStyle w:val="24"/>
        <w:jc w:val="right"/>
        <w:rPr>
          <w:rFonts w:ascii="Times New Roman"/>
        </w:rPr>
      </w:pPr>
      <w:r>
        <w:rPr>
          <w:rFonts w:ascii="Times New Roman"/>
          <w:position w:val="-30"/>
        </w:rPr>
        <w:object>
          <v:shape id="_x0000_i1028" o:spt="75" type="#_x0000_t75" style="height:36pt;width:112pt;" o:ole="t" filled="f" o:preferrelative="t" stroked="f" coordsize="21600,21600">
            <v:path/>
            <v:fill on="f" focussize="0,0"/>
            <v:stroke on="f" joinstyle="miter"/>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ascii="Times New Roman"/>
        </w:rPr>
        <w:t xml:space="preserve">             ………………………………（A.4）</w:t>
      </w:r>
    </w:p>
    <w:p w14:paraId="30C2A096">
      <w:pPr>
        <w:pStyle w:val="24"/>
        <w:jc w:val="left"/>
        <w:rPr>
          <w:rFonts w:ascii="Times New Roman"/>
        </w:rPr>
      </w:pPr>
      <w:r>
        <w:rPr>
          <w:rFonts w:hint="eastAsia" w:ascii="Times New Roman"/>
        </w:rPr>
        <w:t>式中：</w:t>
      </w:r>
    </w:p>
    <w:p w14:paraId="49DE04BC">
      <w:pPr>
        <w:pStyle w:val="24"/>
        <w:jc w:val="left"/>
        <w:rPr>
          <w:rFonts w:ascii="Times New Roman"/>
        </w:rPr>
      </w:pPr>
      <w:r>
        <w:rPr>
          <w:rFonts w:hint="eastAsia" w:ascii="Times New Roman"/>
        </w:rPr>
        <w:t>K</w:t>
      </w:r>
      <w:r>
        <w:rPr>
          <w:rFonts w:hint="eastAsia" w:ascii="Times New Roman"/>
          <w:vertAlign w:val="subscript"/>
        </w:rPr>
        <w:t>s</w:t>
      </w:r>
      <w:r>
        <w:rPr>
          <w:rFonts w:hint="eastAsia" w:ascii="Times New Roman"/>
        </w:rPr>
        <w:t>—钢材利用率，%；</w:t>
      </w:r>
    </w:p>
    <w:p w14:paraId="6CEF8AA1">
      <w:pPr>
        <w:pStyle w:val="24"/>
        <w:jc w:val="left"/>
        <w:rPr>
          <w:rFonts w:ascii="Times New Roman"/>
        </w:rPr>
      </w:pPr>
      <w:r>
        <w:rPr>
          <w:rFonts w:hint="eastAsia" w:ascii="Times New Roman"/>
        </w:rPr>
        <w:t>M</w:t>
      </w:r>
      <w:r>
        <w:rPr>
          <w:rFonts w:hint="eastAsia" w:ascii="Times New Roman"/>
          <w:vertAlign w:val="subscript"/>
        </w:rPr>
        <w:t>sf</w:t>
      </w:r>
      <w:r>
        <w:rPr>
          <w:rFonts w:hint="eastAsia" w:ascii="Times New Roman"/>
        </w:rPr>
        <w:t>—报告期内钢材废料总量，单位为吨（t）；</w:t>
      </w:r>
    </w:p>
    <w:p w14:paraId="014EDAC0">
      <w:pPr>
        <w:pStyle w:val="24"/>
        <w:jc w:val="left"/>
        <w:rPr>
          <w:rFonts w:ascii="Times New Roman"/>
        </w:rPr>
      </w:pPr>
      <w:r>
        <w:rPr>
          <w:rFonts w:hint="eastAsia" w:ascii="Times New Roman"/>
        </w:rPr>
        <w:t>M</w:t>
      </w:r>
      <w:r>
        <w:rPr>
          <w:rFonts w:hint="eastAsia" w:ascii="Times New Roman"/>
          <w:vertAlign w:val="subscript"/>
        </w:rPr>
        <w:t>s</w:t>
      </w:r>
      <w:r>
        <w:rPr>
          <w:rFonts w:hint="eastAsia" w:ascii="Times New Roman"/>
        </w:rPr>
        <w:t>—报告期内钢材（预应力钢筋、螺旋筋、锚固筋、端板、桩套箍等）总用量，单位为吨（t）。</w:t>
      </w:r>
    </w:p>
    <w:p w14:paraId="33EA6BD7">
      <w:pPr>
        <w:pStyle w:val="24"/>
        <w:jc w:val="left"/>
      </w:pPr>
    </w:p>
    <w:p w14:paraId="2F5B1EFE">
      <w:pPr>
        <w:pStyle w:val="82"/>
        <w:numPr>
          <w:ilvl w:val="1"/>
          <w:numId w:val="18"/>
        </w:numPr>
        <w:spacing w:before="312" w:after="312"/>
        <w:outlineLvl w:val="0"/>
        <w:rPr>
          <w:rFonts w:ascii="Times New Roman"/>
        </w:rPr>
      </w:pPr>
      <w:bookmarkStart w:id="160" w:name="_Toc29864"/>
      <w:bookmarkStart w:id="161" w:name="_Toc20345"/>
      <w:r>
        <w:rPr>
          <w:rFonts w:ascii="Times New Roman"/>
        </w:rPr>
        <w:t>原材料</w:t>
      </w:r>
      <w:r>
        <w:rPr>
          <w:rFonts w:hint="eastAsia" w:ascii="Times New Roman"/>
        </w:rPr>
        <w:t>本地化程度</w:t>
      </w:r>
      <w:bookmarkEnd w:id="160"/>
      <w:bookmarkEnd w:id="161"/>
    </w:p>
    <w:p w14:paraId="5D405C89">
      <w:pPr>
        <w:pStyle w:val="108"/>
        <w:jc w:val="left"/>
        <w:rPr>
          <w:rFonts w:ascii="Times New Roman"/>
        </w:rPr>
      </w:pPr>
      <w:r>
        <w:rPr>
          <w:rFonts w:hint="eastAsia" w:ascii="Times New Roman"/>
        </w:rPr>
        <w:t xml:space="preserve">    </w:t>
      </w:r>
      <w:r>
        <w:rPr>
          <w:rFonts w:ascii="Times New Roman"/>
        </w:rPr>
        <w:t>以</w:t>
      </w:r>
      <w:r>
        <w:rPr>
          <w:rFonts w:hint="eastAsia" w:ascii="Times New Roman"/>
        </w:rPr>
        <w:t>运输距离不大于35</w:t>
      </w:r>
      <w:r>
        <w:rPr>
          <w:rFonts w:ascii="Times New Roman"/>
        </w:rPr>
        <w:t>0km</w:t>
      </w:r>
      <w:r>
        <w:rPr>
          <w:rFonts w:hint="eastAsia" w:ascii="Times New Roman"/>
        </w:rPr>
        <w:t>或采用铁路、船舶运输的</w:t>
      </w:r>
      <w:r>
        <w:rPr>
          <w:rFonts w:ascii="Times New Roman"/>
        </w:rPr>
        <w:t>原材料使用率为计算标准，材料选取主要</w:t>
      </w:r>
      <w:r>
        <w:rPr>
          <w:rFonts w:hint="eastAsia" w:ascii="Times New Roman"/>
        </w:rPr>
        <w:t>原</w:t>
      </w:r>
      <w:r>
        <w:rPr>
          <w:rFonts w:ascii="Times New Roman"/>
        </w:rPr>
        <w:t>材料</w:t>
      </w:r>
      <w:r>
        <w:rPr>
          <w:rFonts w:hint="eastAsia" w:ascii="Times New Roman"/>
        </w:rPr>
        <w:t>进行计算。原则上应以近12个月作为统计期，企业正式投产不足12个月时，统计期可适当缩短，但不应少于6个月。</w:t>
      </w:r>
      <w:r>
        <w:rPr>
          <w:rFonts w:ascii="Times New Roman"/>
        </w:rPr>
        <w:t>按式</w:t>
      </w:r>
      <w:r>
        <w:rPr>
          <w:rFonts w:ascii="Times New Roman"/>
          <w:szCs w:val="21"/>
        </w:rPr>
        <w:t>（</w:t>
      </w:r>
      <w:r>
        <w:rPr>
          <w:rFonts w:hint="eastAsia" w:ascii="Times New Roman"/>
          <w:szCs w:val="21"/>
        </w:rPr>
        <w:t>A</w:t>
      </w:r>
      <w:r>
        <w:rPr>
          <w:rFonts w:ascii="Times New Roman"/>
          <w:szCs w:val="21"/>
        </w:rPr>
        <w:t>.</w:t>
      </w:r>
      <w:r>
        <w:rPr>
          <w:rFonts w:hint="eastAsia" w:ascii="Times New Roman"/>
          <w:szCs w:val="21"/>
        </w:rPr>
        <w:t>3</w:t>
      </w:r>
      <w:r>
        <w:rPr>
          <w:rFonts w:ascii="Times New Roman"/>
          <w:szCs w:val="21"/>
        </w:rPr>
        <w:t>）计算：</w:t>
      </w:r>
    </w:p>
    <w:p w14:paraId="19193BEE">
      <w:pPr>
        <w:pStyle w:val="108"/>
        <w:ind w:firstLine="2835" w:firstLineChars="1350"/>
        <w:jc w:val="right"/>
        <w:rPr>
          <w:rFonts w:ascii="Times New Roman"/>
        </w:rPr>
      </w:pPr>
      <w:r>
        <w:rPr>
          <w:rFonts w:hint="eastAsia" w:ascii="Times New Roman"/>
        </w:rPr>
        <w:t xml:space="preserve"> </w:t>
      </w:r>
      <w:r>
        <w:rPr>
          <w:rFonts w:hint="eastAsia" w:ascii="Times New Roman"/>
          <w:position w:val="-30"/>
        </w:rPr>
        <w:object>
          <v:shape id="_x0000_i1029" o:spt="75" type="#_x0000_t75" style="height:36pt;width:78pt;" o:ole="t" filled="f" o:preferrelative="t" stroked="f" coordsize="21600,21600">
            <v:path/>
            <v:fill on="f" focussize="0,0"/>
            <v:stroke on="f" joinstyle="miter"/>
            <v:imagedata r:id="rId15" o:title=""/>
            <o:lock v:ext="edit" aspectratio="t"/>
            <w10:wrap type="none"/>
            <w10:anchorlock/>
          </v:shape>
          <o:OLEObject Type="Embed" ProgID="Equation.KSEE3" ShapeID="_x0000_i1029" DrawAspect="Content" ObjectID="_1468075729" r:id="rId14">
            <o:LockedField>false</o:LockedField>
          </o:OLEObject>
        </w:object>
      </w:r>
      <w:r>
        <w:rPr>
          <w:rFonts w:hint="eastAsia" w:ascii="Times New Roman"/>
        </w:rPr>
        <w:t xml:space="preserve">             ………………………………（A.5）</w:t>
      </w:r>
    </w:p>
    <w:p w14:paraId="0D75921C">
      <w:pPr>
        <w:pStyle w:val="24"/>
        <w:rPr>
          <w:rFonts w:ascii="Times New Roman"/>
        </w:rPr>
      </w:pPr>
      <w:r>
        <w:rPr>
          <w:rFonts w:ascii="Times New Roman"/>
        </w:rPr>
        <w:t>式中：</w:t>
      </w:r>
    </w:p>
    <w:p w14:paraId="5CF73B44">
      <w:pPr>
        <w:pStyle w:val="24"/>
        <w:rPr>
          <w:rFonts w:ascii="Times New Roman"/>
        </w:rPr>
      </w:pPr>
      <w:r>
        <w:rPr>
          <w:rFonts w:hint="eastAsia" w:ascii="Times New Roman"/>
          <w:i/>
        </w:rPr>
        <w:t xml:space="preserve">T </w:t>
      </w:r>
      <w:r>
        <w:rPr>
          <w:rFonts w:ascii="Times New Roman"/>
          <w:szCs w:val="21"/>
        </w:rPr>
        <w:t>——</w:t>
      </w:r>
      <w:r>
        <w:rPr>
          <w:rFonts w:hint="eastAsia" w:ascii="Times New Roman"/>
        </w:rPr>
        <w:t>原材料本地化程度，%</w:t>
      </w:r>
      <w:r>
        <w:rPr>
          <w:rFonts w:ascii="Times New Roman"/>
        </w:rPr>
        <w:t>；</w:t>
      </w:r>
    </w:p>
    <w:p w14:paraId="56204FAB">
      <w:pPr>
        <w:pStyle w:val="24"/>
        <w:rPr>
          <w:rFonts w:ascii="Times New Roman"/>
        </w:rPr>
      </w:pPr>
      <w:r>
        <w:rPr>
          <w:rFonts w:hint="eastAsia" w:ascii="Times New Roman"/>
          <w:i/>
        </w:rPr>
        <w:t>m</w:t>
      </w:r>
      <w:r>
        <w:rPr>
          <w:rFonts w:hint="eastAsia" w:ascii="Times New Roman"/>
          <w:i/>
          <w:vertAlign w:val="subscript"/>
        </w:rPr>
        <w:t xml:space="preserve">gt </w:t>
      </w:r>
      <w:r>
        <w:rPr>
          <w:rFonts w:ascii="Times New Roman"/>
          <w:szCs w:val="21"/>
        </w:rPr>
        <w:t>——</w:t>
      </w:r>
      <w:r>
        <w:rPr>
          <w:rFonts w:ascii="Times New Roman"/>
        </w:rPr>
        <w:t>统计期内使用的运输距离不大于3</w:t>
      </w:r>
      <w:r>
        <w:rPr>
          <w:rFonts w:hint="eastAsia" w:ascii="Times New Roman"/>
        </w:rPr>
        <w:t>5</w:t>
      </w:r>
      <w:r>
        <w:rPr>
          <w:rFonts w:ascii="Times New Roman"/>
        </w:rPr>
        <w:t>0km或采用铁路、船舶运输的主要原材料总量，</w:t>
      </w:r>
      <w:r>
        <w:rPr>
          <w:rFonts w:hint="eastAsia" w:ascii="Times New Roman"/>
        </w:rPr>
        <w:t>不含水，</w:t>
      </w:r>
      <w:r>
        <w:rPr>
          <w:rFonts w:ascii="Times New Roman"/>
        </w:rPr>
        <w:t>单位为吨（t）；</w:t>
      </w:r>
    </w:p>
    <w:p w14:paraId="23FA7560">
      <w:pPr>
        <w:pStyle w:val="24"/>
        <w:rPr>
          <w:rFonts w:ascii="Times New Roman"/>
        </w:rPr>
      </w:pPr>
      <w:r>
        <w:rPr>
          <w:rFonts w:hint="eastAsia" w:ascii="Times New Roman"/>
          <w:i/>
        </w:rPr>
        <w:t>m</w:t>
      </w:r>
      <w:r>
        <w:rPr>
          <w:rFonts w:hint="eastAsia" w:ascii="Times New Roman"/>
          <w:i/>
          <w:vertAlign w:val="subscript"/>
        </w:rPr>
        <w:t>t</w:t>
      </w:r>
      <w:r>
        <w:rPr>
          <w:rFonts w:ascii="Times New Roman"/>
        </w:rPr>
        <w:t xml:space="preserve"> ——统计期内使用的原材料总量</w:t>
      </w:r>
      <w:r>
        <w:rPr>
          <w:rFonts w:hint="eastAsia" w:ascii="Times New Roman"/>
        </w:rPr>
        <w:t>，不含水</w:t>
      </w:r>
      <w:r>
        <w:rPr>
          <w:rFonts w:ascii="Times New Roman"/>
        </w:rPr>
        <w:t>，单位为吨（t）。</w:t>
      </w:r>
    </w:p>
    <w:p w14:paraId="082F0159">
      <w:pPr>
        <w:pStyle w:val="82"/>
        <w:numPr>
          <w:ilvl w:val="1"/>
          <w:numId w:val="18"/>
        </w:numPr>
        <w:spacing w:before="312" w:after="312"/>
        <w:outlineLvl w:val="0"/>
        <w:rPr>
          <w:rFonts w:ascii="Times New Roman"/>
        </w:rPr>
      </w:pPr>
      <w:bookmarkStart w:id="162" w:name="_Toc26457"/>
      <w:bookmarkStart w:id="163" w:name="_Toc21584"/>
      <w:r>
        <w:rPr>
          <w:rFonts w:ascii="Times New Roman"/>
        </w:rPr>
        <w:t>单位产品废水排放量</w:t>
      </w:r>
      <w:bookmarkEnd w:id="162"/>
      <w:bookmarkEnd w:id="163"/>
    </w:p>
    <w:p w14:paraId="7D175C17">
      <w:pPr>
        <w:pStyle w:val="24"/>
        <w:rPr>
          <w:rFonts w:ascii="Times New Roman"/>
        </w:rPr>
      </w:pPr>
      <w:r>
        <w:rPr>
          <w:rFonts w:ascii="Times New Roman"/>
        </w:rPr>
        <w:t>原则上应以近12个月作为统计期计算单位产品废水排放量的平均值。企业正式投产不足12个月时，统计期可适当缩短，但不应少于6个月。每生产1m</w:t>
      </w:r>
      <w:r>
        <w:rPr>
          <w:rFonts w:ascii="Times New Roman"/>
          <w:vertAlign w:val="superscript"/>
        </w:rPr>
        <w:t>3</w:t>
      </w:r>
      <w:r>
        <w:rPr>
          <w:rFonts w:ascii="Times New Roman"/>
        </w:rPr>
        <w:t>产品排放的废水量，按公式（A.</w:t>
      </w:r>
      <w:r>
        <w:rPr>
          <w:rFonts w:hint="eastAsia" w:ascii="Times New Roman"/>
        </w:rPr>
        <w:t>4</w:t>
      </w:r>
      <w:r>
        <w:rPr>
          <w:rFonts w:ascii="Times New Roman"/>
        </w:rPr>
        <w:t>）计算：</w:t>
      </w:r>
    </w:p>
    <w:p w14:paraId="34968E8D">
      <w:pPr>
        <w:pStyle w:val="24"/>
        <w:ind w:firstLine="0" w:firstLineChars="0"/>
        <w:jc w:val="right"/>
        <w:rPr>
          <w:rFonts w:ascii="Times New Roman"/>
        </w:rPr>
      </w:pPr>
      <w:r>
        <w:rPr>
          <w:rFonts w:ascii="Times New Roman"/>
          <w:position w:val="-30"/>
        </w:rPr>
        <w:t xml:space="preserve"> </w:t>
      </w:r>
      <w:r>
        <w:rPr>
          <w:rFonts w:ascii="Times New Roman"/>
          <w:position w:val="-30"/>
        </w:rPr>
        <w:object>
          <v:shape id="_x0000_i1030" o:spt="75" type="#_x0000_t75" style="height:34pt;width:51pt;" o:ole="t" filled="f" o:preferrelative="t" stroked="f" coordsize="21600,21600">
            <v:path/>
            <v:fill on="f" focussize="0,0"/>
            <v:stroke on="f" joinstyle="miter"/>
            <v:imagedata r:id="rId17" o:title=""/>
            <o:lock v:ext="edit" aspectratio="t"/>
            <w10:wrap type="none"/>
            <w10:anchorlock/>
          </v:shape>
          <o:OLEObject Type="Embed" ProgID="Equation.KSEE3" ShapeID="_x0000_i1030" DrawAspect="Content" ObjectID="_1468075730" r:id="rId16">
            <o:LockedField>false</o:LockedField>
          </o:OLEObject>
        </w:object>
      </w:r>
      <w:r>
        <w:rPr>
          <w:rFonts w:hint="eastAsia" w:ascii="Times New Roman"/>
        </w:rPr>
        <w:t xml:space="preserve">             ………………………………（A.6）</w:t>
      </w:r>
    </w:p>
    <w:p w14:paraId="76B323E0">
      <w:pPr>
        <w:pStyle w:val="24"/>
        <w:rPr>
          <w:rFonts w:ascii="Times New Roman"/>
        </w:rPr>
      </w:pPr>
      <w:r>
        <w:rPr>
          <w:rFonts w:ascii="Times New Roman"/>
        </w:rPr>
        <w:t>式中：</w:t>
      </w:r>
    </w:p>
    <w:p w14:paraId="460A0841">
      <w:pPr>
        <w:pStyle w:val="24"/>
        <w:rPr>
          <w:rFonts w:ascii="Times New Roman"/>
        </w:rPr>
      </w:pPr>
      <w:r>
        <w:rPr>
          <w:rFonts w:ascii="Times New Roman"/>
          <w:i/>
        </w:rPr>
        <w:t>F</w:t>
      </w:r>
      <w:r>
        <w:rPr>
          <w:rFonts w:ascii="Times New Roman"/>
        </w:rPr>
        <w:t>——每生产1m</w:t>
      </w:r>
      <w:r>
        <w:rPr>
          <w:rFonts w:ascii="Times New Roman"/>
          <w:vertAlign w:val="superscript"/>
        </w:rPr>
        <w:t>3</w:t>
      </w:r>
      <w:r>
        <w:rPr>
          <w:rFonts w:ascii="Times New Roman"/>
        </w:rPr>
        <w:t>产品产生的废水量，单位为千克每立方米（kg/m</w:t>
      </w:r>
      <w:r>
        <w:rPr>
          <w:rFonts w:ascii="Times New Roman"/>
          <w:vertAlign w:val="superscript"/>
        </w:rPr>
        <w:t>3</w:t>
      </w:r>
      <w:r>
        <w:rPr>
          <w:rFonts w:ascii="Times New Roman"/>
        </w:rPr>
        <w:t>）；</w:t>
      </w:r>
    </w:p>
    <w:p w14:paraId="5F050E71">
      <w:pPr>
        <w:pStyle w:val="24"/>
        <w:rPr>
          <w:rFonts w:ascii="Times New Roman"/>
        </w:rPr>
      </w:pPr>
      <w:r>
        <w:rPr>
          <w:rFonts w:ascii="Times New Roman"/>
          <w:i/>
        </w:rPr>
        <w:t>m</w:t>
      </w:r>
      <w:r>
        <w:rPr>
          <w:rFonts w:ascii="Times New Roman"/>
          <w:i/>
          <w:vertAlign w:val="subscript"/>
        </w:rPr>
        <w:t>water</w:t>
      </w:r>
      <w:r>
        <w:rPr>
          <w:rFonts w:hint="eastAsia" w:ascii="Times New Roman"/>
          <w:i/>
          <w:vertAlign w:val="subscript"/>
        </w:rPr>
        <w:t xml:space="preserve"> </w:t>
      </w:r>
      <w:r>
        <w:rPr>
          <w:rFonts w:ascii="Times New Roman"/>
        </w:rPr>
        <w:t>——统计期内产品生产废水排放量，单位为千克（kg）；</w:t>
      </w:r>
    </w:p>
    <w:p w14:paraId="2C5E28C3">
      <w:pPr>
        <w:autoSpaceDE w:val="0"/>
        <w:autoSpaceDN w:val="0"/>
        <w:adjustRightInd w:val="0"/>
        <w:ind w:firstLine="420" w:firstLineChars="200"/>
      </w:pPr>
      <w:r>
        <w:rPr>
          <w:i/>
        </w:rPr>
        <w:t>V</w:t>
      </w:r>
      <w:r>
        <w:rPr>
          <w:i/>
          <w:vertAlign w:val="subscript"/>
        </w:rPr>
        <w:t>t</w:t>
      </w:r>
      <w:r>
        <w:rPr>
          <w:rFonts w:hint="eastAsia"/>
          <w:i/>
          <w:vertAlign w:val="subscript"/>
        </w:rPr>
        <w:t xml:space="preserve"> </w:t>
      </w:r>
      <w:r>
        <w:t>——统计期内符合相关标准的合格产品产量，单位为立方米（m³）。</w:t>
      </w:r>
    </w:p>
    <w:p w14:paraId="7A2EA04F">
      <w:pPr>
        <w:pStyle w:val="82"/>
        <w:spacing w:before="312" w:after="312"/>
        <w:rPr>
          <w:rFonts w:ascii="Times New Roman"/>
        </w:rPr>
      </w:pPr>
      <w:r>
        <w:rPr>
          <w:rFonts w:ascii="Times New Roman"/>
        </w:rPr>
        <w:t>28d混凝土抗压强度合格率</w:t>
      </w:r>
    </w:p>
    <w:p w14:paraId="452DC8FF">
      <w:pPr>
        <w:pStyle w:val="24"/>
        <w:rPr>
          <w:rFonts w:ascii="Times New Roman"/>
        </w:rPr>
      </w:pPr>
      <w:r>
        <w:rPr>
          <w:rFonts w:ascii="Times New Roman"/>
        </w:rPr>
        <w:t>28d混凝土抗压强度合格率按公式（A.7）计算。</w:t>
      </w:r>
    </w:p>
    <w:p w14:paraId="4E86ACC0">
      <w:pPr>
        <w:pStyle w:val="24"/>
        <w:jc w:val="center"/>
        <w:rPr>
          <w:rFonts w:ascii="Times New Roman"/>
        </w:rPr>
      </w:pPr>
      <w:r>
        <w:rPr>
          <w:rFonts w:ascii="Times New Roman"/>
          <w:position w:val="-44"/>
        </w:rPr>
        <w:object>
          <v:shape id="_x0000_i1031" o:spt="75" type="#_x0000_t75" style="height:49.95pt;width:85.95pt;" o:ole="t" filled="f" o:preferrelative="t" stroked="f" coordsize="21600,21600">
            <v:path/>
            <v:fill on="f" focussize="0,0"/>
            <v:stroke on="f" joinstyle="miter"/>
            <v:imagedata r:id="rId19" o:title=""/>
            <o:lock v:ext="edit" aspectratio="t"/>
            <w10:wrap type="none"/>
            <w10:anchorlock/>
          </v:shape>
          <o:OLEObject Type="Embed" ProgID="Equation.KSEE3" ShapeID="_x0000_i1031" DrawAspect="Content" ObjectID="_1468075731" r:id="rId18">
            <o:LockedField>false</o:LockedField>
          </o:OLEObject>
        </w:object>
      </w:r>
    </w:p>
    <w:p w14:paraId="4616343E">
      <w:pPr>
        <w:pStyle w:val="24"/>
        <w:jc w:val="left"/>
        <w:rPr>
          <w:rFonts w:ascii="Times New Roman"/>
        </w:rPr>
      </w:pPr>
      <w:r>
        <w:rPr>
          <w:rFonts w:ascii="Times New Roman"/>
        </w:rPr>
        <w:t>式中：</w:t>
      </w:r>
    </w:p>
    <w:p w14:paraId="0068BBCC">
      <w:pPr>
        <w:pStyle w:val="24"/>
        <w:jc w:val="left"/>
        <w:rPr>
          <w:rFonts w:ascii="Times New Roman"/>
        </w:rPr>
      </w:pPr>
      <w:r>
        <w:rPr>
          <w:rFonts w:ascii="Times New Roman"/>
        </w:rPr>
        <w:t>K</w:t>
      </w:r>
      <w:r>
        <w:rPr>
          <w:rFonts w:ascii="Times New Roman"/>
          <w:vertAlign w:val="subscript"/>
        </w:rPr>
        <w:t>ch</w:t>
      </w:r>
      <w:r>
        <w:rPr>
          <w:rFonts w:ascii="Times New Roman"/>
        </w:rPr>
        <w:t>——28d混凝土抗压强度合格率，%；</w:t>
      </w:r>
    </w:p>
    <w:p w14:paraId="686CA050">
      <w:pPr>
        <w:pStyle w:val="24"/>
        <w:jc w:val="left"/>
        <w:rPr>
          <w:rFonts w:ascii="Times New Roman"/>
        </w:rPr>
      </w:pPr>
      <w:r>
        <w:rPr>
          <w:rFonts w:ascii="Times New Roman"/>
        </w:rPr>
        <w:t>N</w:t>
      </w:r>
      <w:r>
        <w:rPr>
          <w:rFonts w:ascii="Times New Roman"/>
          <w:vertAlign w:val="subscript"/>
        </w:rPr>
        <w:t>0</w:t>
      </w:r>
      <w:r>
        <w:rPr>
          <w:rFonts w:ascii="Times New Roman"/>
        </w:rPr>
        <w:t>——报告期（不小于一个月）内28d混凝土试件抗压强度不低于设计强度的组数；</w:t>
      </w:r>
    </w:p>
    <w:p w14:paraId="6799DBCE">
      <w:pPr>
        <w:pStyle w:val="24"/>
        <w:jc w:val="left"/>
        <w:rPr>
          <w:rFonts w:ascii="Times New Roman"/>
        </w:rPr>
      </w:pPr>
      <w:r>
        <w:rPr>
          <w:rFonts w:ascii="Times New Roman"/>
        </w:rPr>
        <w:t>N——报告期（不小于一个月）内用于检测28d抗压强度的相同强度等级的混凝土试件组数，N≥25。</w:t>
      </w:r>
    </w:p>
    <w:p w14:paraId="5E1CA657">
      <w:pPr>
        <w:pStyle w:val="118"/>
        <w:framePr w:wrap="around"/>
      </w:pPr>
      <w:r>
        <w:t>_________________________________</w:t>
      </w:r>
    </w:p>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altName w:val="sweet heavy calligraphy"/>
    <w:panose1 w:val="02020609040205080304"/>
    <w:charset w:val="80"/>
    <w:family w:val="modern"/>
    <w:pitch w:val="default"/>
    <w:sig w:usb0="00000000" w:usb1="00000000" w:usb2="00000012" w:usb3="00000000" w:csb0="4002009F" w:csb1="DFD70000"/>
  </w:font>
  <w:font w:name="sweet heavy calligraphy">
    <w:panose1 w:val="02000600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E847">
    <w:pPr>
      <w:pStyle w:val="122"/>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E69D">
    <w:pPr>
      <w:pStyle w:val="110"/>
    </w:pPr>
    <w:r>
      <w:rPr>
        <w:rFonts w:hint="eastAsia"/>
      </w:rPr>
      <w:t>T</w:t>
    </w:r>
    <w:r>
      <w:t xml:space="preserve">/ </w:t>
    </w:r>
    <w:r>
      <w:rPr>
        <w:rFonts w:hint="eastAsia"/>
      </w:rPr>
      <w:t>CECS 1000</w:t>
    </w:r>
    <w:r>
      <w:t>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7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9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2A8F7113"/>
    <w:multiLevelType w:val="multilevel"/>
    <w:tmpl w:val="2A8F7113"/>
    <w:lvl w:ilvl="0" w:tentative="0">
      <w:start w:val="1"/>
      <w:numFmt w:val="upperLetter"/>
      <w:pStyle w:val="123"/>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06"/>
      <w:suff w:val="nothing"/>
      <w:lvlText w:val="%1——"/>
      <w:lvlJc w:val="left"/>
      <w:pPr>
        <w:ind w:left="833" w:hanging="408"/>
      </w:pPr>
      <w:rPr>
        <w:rFonts w:hint="eastAsia"/>
      </w:rPr>
    </w:lvl>
    <w:lvl w:ilvl="1" w:tentative="0">
      <w:start w:val="1"/>
      <w:numFmt w:val="bullet"/>
      <w:pStyle w:val="113"/>
      <w:lvlText w:val=""/>
      <w:lvlJc w:val="left"/>
      <w:pPr>
        <w:tabs>
          <w:tab w:val="left" w:pos="760"/>
        </w:tabs>
        <w:ind w:left="1264" w:hanging="413"/>
      </w:pPr>
      <w:rPr>
        <w:rFonts w:hint="default" w:ascii="Symbol" w:hAnsi="Symbol"/>
        <w:color w:val="auto"/>
      </w:rPr>
    </w:lvl>
    <w:lvl w:ilvl="2" w:tentative="0">
      <w:start w:val="1"/>
      <w:numFmt w:val="bullet"/>
      <w:pStyle w:val="6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11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0"/>
      <w:lvlText w:val="%2)"/>
      <w:lvlJc w:val="left"/>
      <w:pPr>
        <w:tabs>
          <w:tab w:val="left" w:pos="1260"/>
        </w:tabs>
        <w:ind w:left="1259" w:hanging="419"/>
      </w:pPr>
      <w:rPr>
        <w:rFonts w:hint="eastAsia"/>
      </w:rPr>
    </w:lvl>
    <w:lvl w:ilvl="2" w:tentative="0">
      <w:start w:val="1"/>
      <w:numFmt w:val="decimal"/>
      <w:pStyle w:val="9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0">
    <w:nsid w:val="50616D8B"/>
    <w:multiLevelType w:val="multilevel"/>
    <w:tmpl w:val="50616D8B"/>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7C2AF5"/>
    <w:multiLevelType w:val="multilevel"/>
    <w:tmpl w:val="557C2AF5"/>
    <w:lvl w:ilvl="0" w:tentative="0">
      <w:start w:val="1"/>
      <w:numFmt w:val="decimal"/>
      <w:pStyle w:val="10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40"/>
      <w:lvlText w:val="%1"/>
      <w:lvlJc w:val="left"/>
      <w:pPr>
        <w:tabs>
          <w:tab w:val="left" w:pos="0"/>
        </w:tabs>
        <w:ind w:left="0" w:hanging="425"/>
      </w:pPr>
      <w:rPr>
        <w:rFonts w:hint="eastAsia"/>
      </w:rPr>
    </w:lvl>
    <w:lvl w:ilvl="1" w:tentative="0">
      <w:start w:val="1"/>
      <w:numFmt w:val="decimal"/>
      <w:pStyle w:val="10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9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3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9"/>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pStyle w:val="12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43"/>
      <w:lvlText w:val="%1)"/>
      <w:lvlJc w:val="left"/>
      <w:pPr>
        <w:tabs>
          <w:tab w:val="left" w:pos="839"/>
        </w:tabs>
        <w:ind w:left="839" w:hanging="419"/>
      </w:pPr>
      <w:rPr>
        <w:rFonts w:hint="eastAsia" w:ascii="宋体" w:eastAsia="宋体"/>
        <w:b w:val="0"/>
        <w:i w:val="0"/>
        <w:sz w:val="21"/>
      </w:rPr>
    </w:lvl>
    <w:lvl w:ilvl="1" w:tentative="0">
      <w:start w:val="1"/>
      <w:numFmt w:val="decimal"/>
      <w:pStyle w:val="6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7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7"/>
  </w:num>
  <w:num w:numId="2">
    <w:abstractNumId w:val="1"/>
  </w:num>
  <w:num w:numId="3">
    <w:abstractNumId w:val="14"/>
  </w:num>
  <w:num w:numId="4">
    <w:abstractNumId w:val="9"/>
  </w:num>
  <w:num w:numId="5">
    <w:abstractNumId w:val="15"/>
  </w:num>
  <w:num w:numId="6">
    <w:abstractNumId w:val="6"/>
  </w:num>
  <w:num w:numId="7">
    <w:abstractNumId w:val="16"/>
  </w:num>
  <w:num w:numId="8">
    <w:abstractNumId w:val="4"/>
  </w:num>
  <w:num w:numId="9">
    <w:abstractNumId w:val="2"/>
  </w:num>
  <w:num w:numId="10">
    <w:abstractNumId w:val="8"/>
  </w:num>
  <w:num w:numId="11">
    <w:abstractNumId w:val="0"/>
  </w:num>
  <w:num w:numId="12">
    <w:abstractNumId w:val="13"/>
  </w:num>
  <w:num w:numId="13">
    <w:abstractNumId w:val="3"/>
  </w:num>
  <w:num w:numId="14">
    <w:abstractNumId w:val="12"/>
  </w:num>
  <w:num w:numId="15">
    <w:abstractNumId w:val="11"/>
  </w:num>
  <w:num w:numId="16">
    <w:abstractNumId w:val="5"/>
  </w:num>
  <w:num w:numId="17">
    <w:abstractNumId w:val="1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Dk1MzQ4NTBlN2RjYzhhMTk1OWNhYzRmYjg4YWYifQ=="/>
  </w:docVars>
  <w:rsids>
    <w:rsidRoot w:val="00035925"/>
    <w:rsid w:val="00000244"/>
    <w:rsid w:val="0000185F"/>
    <w:rsid w:val="0000586F"/>
    <w:rsid w:val="00007D81"/>
    <w:rsid w:val="00013D86"/>
    <w:rsid w:val="00013E02"/>
    <w:rsid w:val="0002143C"/>
    <w:rsid w:val="00025A65"/>
    <w:rsid w:val="00026C31"/>
    <w:rsid w:val="00026F4A"/>
    <w:rsid w:val="00027280"/>
    <w:rsid w:val="000303AB"/>
    <w:rsid w:val="000320A7"/>
    <w:rsid w:val="00035925"/>
    <w:rsid w:val="0004726A"/>
    <w:rsid w:val="00067CDF"/>
    <w:rsid w:val="0007033E"/>
    <w:rsid w:val="00074FBE"/>
    <w:rsid w:val="00075D5A"/>
    <w:rsid w:val="00083A09"/>
    <w:rsid w:val="0009005E"/>
    <w:rsid w:val="00092857"/>
    <w:rsid w:val="00096A64"/>
    <w:rsid w:val="000A20A9"/>
    <w:rsid w:val="000A48B1"/>
    <w:rsid w:val="000B3143"/>
    <w:rsid w:val="000C55F2"/>
    <w:rsid w:val="000C6B05"/>
    <w:rsid w:val="000C6DD6"/>
    <w:rsid w:val="000C73D4"/>
    <w:rsid w:val="000D3D4C"/>
    <w:rsid w:val="000D4F51"/>
    <w:rsid w:val="000D5345"/>
    <w:rsid w:val="000D718B"/>
    <w:rsid w:val="000E0C46"/>
    <w:rsid w:val="000E6505"/>
    <w:rsid w:val="000F030C"/>
    <w:rsid w:val="000F129C"/>
    <w:rsid w:val="001056DE"/>
    <w:rsid w:val="001124C0"/>
    <w:rsid w:val="0013175F"/>
    <w:rsid w:val="0013726B"/>
    <w:rsid w:val="001512B4"/>
    <w:rsid w:val="001620A5"/>
    <w:rsid w:val="00164E53"/>
    <w:rsid w:val="0016699D"/>
    <w:rsid w:val="00175159"/>
    <w:rsid w:val="00176208"/>
    <w:rsid w:val="0018211B"/>
    <w:rsid w:val="001823BE"/>
    <w:rsid w:val="00182CDD"/>
    <w:rsid w:val="001840D3"/>
    <w:rsid w:val="001900F8"/>
    <w:rsid w:val="00191258"/>
    <w:rsid w:val="00192680"/>
    <w:rsid w:val="00193028"/>
    <w:rsid w:val="00193037"/>
    <w:rsid w:val="00193A2C"/>
    <w:rsid w:val="001A288E"/>
    <w:rsid w:val="001A2CAF"/>
    <w:rsid w:val="001B6DC2"/>
    <w:rsid w:val="001C149C"/>
    <w:rsid w:val="001C21AC"/>
    <w:rsid w:val="001C47BA"/>
    <w:rsid w:val="001C59EA"/>
    <w:rsid w:val="001C5FBD"/>
    <w:rsid w:val="001C6DEA"/>
    <w:rsid w:val="001D406C"/>
    <w:rsid w:val="001D41EE"/>
    <w:rsid w:val="001D58A1"/>
    <w:rsid w:val="001E0380"/>
    <w:rsid w:val="001E13B1"/>
    <w:rsid w:val="001E2ADF"/>
    <w:rsid w:val="001F3A19"/>
    <w:rsid w:val="0020512F"/>
    <w:rsid w:val="00210FBD"/>
    <w:rsid w:val="00234467"/>
    <w:rsid w:val="002365A5"/>
    <w:rsid w:val="00237D8D"/>
    <w:rsid w:val="00241DA2"/>
    <w:rsid w:val="00247FEE"/>
    <w:rsid w:val="00250E7D"/>
    <w:rsid w:val="0025172A"/>
    <w:rsid w:val="00253251"/>
    <w:rsid w:val="002565D5"/>
    <w:rsid w:val="002622C0"/>
    <w:rsid w:val="00262E2F"/>
    <w:rsid w:val="002675EC"/>
    <w:rsid w:val="002778AE"/>
    <w:rsid w:val="0028269A"/>
    <w:rsid w:val="00283590"/>
    <w:rsid w:val="00286973"/>
    <w:rsid w:val="00294E70"/>
    <w:rsid w:val="002A1924"/>
    <w:rsid w:val="002A7420"/>
    <w:rsid w:val="002B0F12"/>
    <w:rsid w:val="002B1308"/>
    <w:rsid w:val="002B4554"/>
    <w:rsid w:val="002C4C4D"/>
    <w:rsid w:val="002C72D8"/>
    <w:rsid w:val="002D11FA"/>
    <w:rsid w:val="002E0DDF"/>
    <w:rsid w:val="002E2906"/>
    <w:rsid w:val="002E5635"/>
    <w:rsid w:val="002E64C3"/>
    <w:rsid w:val="002E6A2C"/>
    <w:rsid w:val="002F1D8C"/>
    <w:rsid w:val="002F21DA"/>
    <w:rsid w:val="003010DD"/>
    <w:rsid w:val="00301F39"/>
    <w:rsid w:val="00312AC2"/>
    <w:rsid w:val="00325926"/>
    <w:rsid w:val="00327A8A"/>
    <w:rsid w:val="00330775"/>
    <w:rsid w:val="00332701"/>
    <w:rsid w:val="00336288"/>
    <w:rsid w:val="00336610"/>
    <w:rsid w:val="003375FA"/>
    <w:rsid w:val="00343F73"/>
    <w:rsid w:val="00345060"/>
    <w:rsid w:val="0035323B"/>
    <w:rsid w:val="003609D2"/>
    <w:rsid w:val="00363F22"/>
    <w:rsid w:val="003674B5"/>
    <w:rsid w:val="00375564"/>
    <w:rsid w:val="00377980"/>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34D0"/>
    <w:rsid w:val="003E5729"/>
    <w:rsid w:val="003F4EE0"/>
    <w:rsid w:val="003F686C"/>
    <w:rsid w:val="00402153"/>
    <w:rsid w:val="00402FC1"/>
    <w:rsid w:val="00403130"/>
    <w:rsid w:val="00417CAD"/>
    <w:rsid w:val="00425082"/>
    <w:rsid w:val="00431585"/>
    <w:rsid w:val="00431DEB"/>
    <w:rsid w:val="004362A4"/>
    <w:rsid w:val="0043675B"/>
    <w:rsid w:val="00444DBA"/>
    <w:rsid w:val="00446B29"/>
    <w:rsid w:val="00450E3C"/>
    <w:rsid w:val="00453F9A"/>
    <w:rsid w:val="00454B2B"/>
    <w:rsid w:val="00454B55"/>
    <w:rsid w:val="004641CF"/>
    <w:rsid w:val="0046727F"/>
    <w:rsid w:val="00471E91"/>
    <w:rsid w:val="00474675"/>
    <w:rsid w:val="0047470C"/>
    <w:rsid w:val="00485295"/>
    <w:rsid w:val="004926D3"/>
    <w:rsid w:val="00496011"/>
    <w:rsid w:val="004A35F9"/>
    <w:rsid w:val="004B24C1"/>
    <w:rsid w:val="004B619B"/>
    <w:rsid w:val="004C292F"/>
    <w:rsid w:val="004C658A"/>
    <w:rsid w:val="004C7AA8"/>
    <w:rsid w:val="004D4E18"/>
    <w:rsid w:val="004F400C"/>
    <w:rsid w:val="0050064B"/>
    <w:rsid w:val="00510280"/>
    <w:rsid w:val="00513D73"/>
    <w:rsid w:val="00514A43"/>
    <w:rsid w:val="005174E5"/>
    <w:rsid w:val="00517A0F"/>
    <w:rsid w:val="00522393"/>
    <w:rsid w:val="00522620"/>
    <w:rsid w:val="00525656"/>
    <w:rsid w:val="0052693E"/>
    <w:rsid w:val="00527726"/>
    <w:rsid w:val="00533064"/>
    <w:rsid w:val="00534C02"/>
    <w:rsid w:val="0054264B"/>
    <w:rsid w:val="00543786"/>
    <w:rsid w:val="005523CB"/>
    <w:rsid w:val="005533D7"/>
    <w:rsid w:val="0055779D"/>
    <w:rsid w:val="005703DE"/>
    <w:rsid w:val="0058464E"/>
    <w:rsid w:val="005919D4"/>
    <w:rsid w:val="005A01CB"/>
    <w:rsid w:val="005A58FF"/>
    <w:rsid w:val="005A5EAF"/>
    <w:rsid w:val="005A64C0"/>
    <w:rsid w:val="005B3C11"/>
    <w:rsid w:val="005B3D21"/>
    <w:rsid w:val="005B68A2"/>
    <w:rsid w:val="005B6D6C"/>
    <w:rsid w:val="005C103B"/>
    <w:rsid w:val="005C1C28"/>
    <w:rsid w:val="005C5B67"/>
    <w:rsid w:val="005C6DB5"/>
    <w:rsid w:val="005E14FD"/>
    <w:rsid w:val="005E19E7"/>
    <w:rsid w:val="005E1D35"/>
    <w:rsid w:val="005F1815"/>
    <w:rsid w:val="005F1D96"/>
    <w:rsid w:val="00601A23"/>
    <w:rsid w:val="00611589"/>
    <w:rsid w:val="0061716C"/>
    <w:rsid w:val="00623C6C"/>
    <w:rsid w:val="006243A1"/>
    <w:rsid w:val="0063018F"/>
    <w:rsid w:val="00632E56"/>
    <w:rsid w:val="00635CBA"/>
    <w:rsid w:val="00636E62"/>
    <w:rsid w:val="0064338B"/>
    <w:rsid w:val="00646542"/>
    <w:rsid w:val="006504F4"/>
    <w:rsid w:val="00654BC9"/>
    <w:rsid w:val="006552FD"/>
    <w:rsid w:val="00663AF3"/>
    <w:rsid w:val="00666B6C"/>
    <w:rsid w:val="00674D60"/>
    <w:rsid w:val="006801FD"/>
    <w:rsid w:val="00682682"/>
    <w:rsid w:val="00682702"/>
    <w:rsid w:val="00682743"/>
    <w:rsid w:val="00692368"/>
    <w:rsid w:val="006964CC"/>
    <w:rsid w:val="006A2EBC"/>
    <w:rsid w:val="006A3711"/>
    <w:rsid w:val="006A429F"/>
    <w:rsid w:val="006A5EA0"/>
    <w:rsid w:val="006A783B"/>
    <w:rsid w:val="006A7B33"/>
    <w:rsid w:val="006B4E13"/>
    <w:rsid w:val="006B75DD"/>
    <w:rsid w:val="006C67E0"/>
    <w:rsid w:val="006C7272"/>
    <w:rsid w:val="006C7ABA"/>
    <w:rsid w:val="006D0D60"/>
    <w:rsid w:val="006D1122"/>
    <w:rsid w:val="006D12FA"/>
    <w:rsid w:val="006D3C00"/>
    <w:rsid w:val="006D3E93"/>
    <w:rsid w:val="006E3675"/>
    <w:rsid w:val="006E4A7F"/>
    <w:rsid w:val="006F137A"/>
    <w:rsid w:val="006F1C38"/>
    <w:rsid w:val="00704DF6"/>
    <w:rsid w:val="0070651C"/>
    <w:rsid w:val="007132A3"/>
    <w:rsid w:val="00716421"/>
    <w:rsid w:val="00724EFB"/>
    <w:rsid w:val="00731223"/>
    <w:rsid w:val="007419C3"/>
    <w:rsid w:val="007467A7"/>
    <w:rsid w:val="007469DD"/>
    <w:rsid w:val="0074741B"/>
    <w:rsid w:val="0074759E"/>
    <w:rsid w:val="007478EA"/>
    <w:rsid w:val="0075415C"/>
    <w:rsid w:val="00763502"/>
    <w:rsid w:val="007751A4"/>
    <w:rsid w:val="007913AB"/>
    <w:rsid w:val="007914F7"/>
    <w:rsid w:val="007979F0"/>
    <w:rsid w:val="007A5D36"/>
    <w:rsid w:val="007B1625"/>
    <w:rsid w:val="007B706E"/>
    <w:rsid w:val="007B71EB"/>
    <w:rsid w:val="007C6205"/>
    <w:rsid w:val="007C686A"/>
    <w:rsid w:val="007C728E"/>
    <w:rsid w:val="007D2C53"/>
    <w:rsid w:val="007D3D60"/>
    <w:rsid w:val="007E1980"/>
    <w:rsid w:val="007E4B76"/>
    <w:rsid w:val="007E5EA8"/>
    <w:rsid w:val="007E678F"/>
    <w:rsid w:val="007F0CF1"/>
    <w:rsid w:val="007F12A5"/>
    <w:rsid w:val="007F4912"/>
    <w:rsid w:val="007F4CF1"/>
    <w:rsid w:val="007F758D"/>
    <w:rsid w:val="007F7D52"/>
    <w:rsid w:val="0080654C"/>
    <w:rsid w:val="008071C6"/>
    <w:rsid w:val="00817A00"/>
    <w:rsid w:val="0082184E"/>
    <w:rsid w:val="00835DB3"/>
    <w:rsid w:val="0083617B"/>
    <w:rsid w:val="008371BD"/>
    <w:rsid w:val="00843831"/>
    <w:rsid w:val="008504A8"/>
    <w:rsid w:val="008527F9"/>
    <w:rsid w:val="0085282E"/>
    <w:rsid w:val="008604BE"/>
    <w:rsid w:val="00871039"/>
    <w:rsid w:val="0087198C"/>
    <w:rsid w:val="00872C1F"/>
    <w:rsid w:val="00873163"/>
    <w:rsid w:val="00873B42"/>
    <w:rsid w:val="008856D8"/>
    <w:rsid w:val="00892E82"/>
    <w:rsid w:val="008C1B58"/>
    <w:rsid w:val="008C2A17"/>
    <w:rsid w:val="008C39AE"/>
    <w:rsid w:val="008C590D"/>
    <w:rsid w:val="008D0F8A"/>
    <w:rsid w:val="008E031B"/>
    <w:rsid w:val="008E61A9"/>
    <w:rsid w:val="008E7029"/>
    <w:rsid w:val="008E7EF6"/>
    <w:rsid w:val="008F1F98"/>
    <w:rsid w:val="008F6758"/>
    <w:rsid w:val="009040DD"/>
    <w:rsid w:val="00905B47"/>
    <w:rsid w:val="00911579"/>
    <w:rsid w:val="0091331C"/>
    <w:rsid w:val="009148A7"/>
    <w:rsid w:val="00925F22"/>
    <w:rsid w:val="009279DE"/>
    <w:rsid w:val="00930116"/>
    <w:rsid w:val="009401DE"/>
    <w:rsid w:val="0094212C"/>
    <w:rsid w:val="009437F0"/>
    <w:rsid w:val="009457CF"/>
    <w:rsid w:val="00954689"/>
    <w:rsid w:val="009617C9"/>
    <w:rsid w:val="00961C93"/>
    <w:rsid w:val="00965324"/>
    <w:rsid w:val="0097091E"/>
    <w:rsid w:val="009760D3"/>
    <w:rsid w:val="00977132"/>
    <w:rsid w:val="009779D5"/>
    <w:rsid w:val="00981A4B"/>
    <w:rsid w:val="00982501"/>
    <w:rsid w:val="00983ED2"/>
    <w:rsid w:val="009877D3"/>
    <w:rsid w:val="00994E8F"/>
    <w:rsid w:val="009951DC"/>
    <w:rsid w:val="009959BB"/>
    <w:rsid w:val="00997158"/>
    <w:rsid w:val="009A3A7C"/>
    <w:rsid w:val="009A5221"/>
    <w:rsid w:val="009B2ADB"/>
    <w:rsid w:val="009B603A"/>
    <w:rsid w:val="009C2D0E"/>
    <w:rsid w:val="009C3DAC"/>
    <w:rsid w:val="009C42E0"/>
    <w:rsid w:val="009C71D9"/>
    <w:rsid w:val="009D5362"/>
    <w:rsid w:val="009E0C96"/>
    <w:rsid w:val="009E1415"/>
    <w:rsid w:val="009E6116"/>
    <w:rsid w:val="00A02E43"/>
    <w:rsid w:val="00A06418"/>
    <w:rsid w:val="00A065F9"/>
    <w:rsid w:val="00A07F34"/>
    <w:rsid w:val="00A22154"/>
    <w:rsid w:val="00A25C38"/>
    <w:rsid w:val="00A33B92"/>
    <w:rsid w:val="00A36BBE"/>
    <w:rsid w:val="00A41845"/>
    <w:rsid w:val="00A4307A"/>
    <w:rsid w:val="00A47075"/>
    <w:rsid w:val="00A47EBB"/>
    <w:rsid w:val="00A51CDD"/>
    <w:rsid w:val="00A559E8"/>
    <w:rsid w:val="00A56753"/>
    <w:rsid w:val="00A6730D"/>
    <w:rsid w:val="00A71625"/>
    <w:rsid w:val="00A71B9B"/>
    <w:rsid w:val="00A751C7"/>
    <w:rsid w:val="00A87844"/>
    <w:rsid w:val="00A91670"/>
    <w:rsid w:val="00AA038C"/>
    <w:rsid w:val="00AA7A09"/>
    <w:rsid w:val="00AB3B50"/>
    <w:rsid w:val="00AC05B1"/>
    <w:rsid w:val="00AD19FF"/>
    <w:rsid w:val="00AD356C"/>
    <w:rsid w:val="00AD4D47"/>
    <w:rsid w:val="00AE13B3"/>
    <w:rsid w:val="00AE27AC"/>
    <w:rsid w:val="00AE2914"/>
    <w:rsid w:val="00AE6D15"/>
    <w:rsid w:val="00B04182"/>
    <w:rsid w:val="00B07AE3"/>
    <w:rsid w:val="00B11430"/>
    <w:rsid w:val="00B13597"/>
    <w:rsid w:val="00B21B5D"/>
    <w:rsid w:val="00B353EB"/>
    <w:rsid w:val="00B439C4"/>
    <w:rsid w:val="00B44F93"/>
    <w:rsid w:val="00B4535E"/>
    <w:rsid w:val="00B52A8C"/>
    <w:rsid w:val="00B563E5"/>
    <w:rsid w:val="00B6068D"/>
    <w:rsid w:val="00B623D9"/>
    <w:rsid w:val="00B625BF"/>
    <w:rsid w:val="00B636A8"/>
    <w:rsid w:val="00B665C6"/>
    <w:rsid w:val="00B76E0A"/>
    <w:rsid w:val="00B805AF"/>
    <w:rsid w:val="00B8408B"/>
    <w:rsid w:val="00B841D2"/>
    <w:rsid w:val="00B869EC"/>
    <w:rsid w:val="00B9397A"/>
    <w:rsid w:val="00B954DD"/>
    <w:rsid w:val="00B9633D"/>
    <w:rsid w:val="00B97CD0"/>
    <w:rsid w:val="00BA2EBE"/>
    <w:rsid w:val="00BB0F28"/>
    <w:rsid w:val="00BB458A"/>
    <w:rsid w:val="00BD00D3"/>
    <w:rsid w:val="00BD1659"/>
    <w:rsid w:val="00BD3AA9"/>
    <w:rsid w:val="00BD4A18"/>
    <w:rsid w:val="00BD6DB2"/>
    <w:rsid w:val="00BD7C16"/>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42576"/>
    <w:rsid w:val="00C46298"/>
    <w:rsid w:val="00C601D2"/>
    <w:rsid w:val="00C65BCC"/>
    <w:rsid w:val="00C66970"/>
    <w:rsid w:val="00C77A90"/>
    <w:rsid w:val="00C81B4C"/>
    <w:rsid w:val="00C8691C"/>
    <w:rsid w:val="00CA168A"/>
    <w:rsid w:val="00CA357E"/>
    <w:rsid w:val="00CA44F9"/>
    <w:rsid w:val="00CA4A69"/>
    <w:rsid w:val="00CB10B3"/>
    <w:rsid w:val="00CB6819"/>
    <w:rsid w:val="00CC3E0C"/>
    <w:rsid w:val="00CC58D3"/>
    <w:rsid w:val="00CC784D"/>
    <w:rsid w:val="00CD1BA8"/>
    <w:rsid w:val="00CD4B67"/>
    <w:rsid w:val="00D0337B"/>
    <w:rsid w:val="00D079B2"/>
    <w:rsid w:val="00D114E9"/>
    <w:rsid w:val="00D22DBC"/>
    <w:rsid w:val="00D429C6"/>
    <w:rsid w:val="00D47748"/>
    <w:rsid w:val="00D54CC3"/>
    <w:rsid w:val="00D6041A"/>
    <w:rsid w:val="00D633EB"/>
    <w:rsid w:val="00D7521F"/>
    <w:rsid w:val="00D806A6"/>
    <w:rsid w:val="00D82FF7"/>
    <w:rsid w:val="00D847FE"/>
    <w:rsid w:val="00D964EA"/>
    <w:rsid w:val="00D966D0"/>
    <w:rsid w:val="00DA0C59"/>
    <w:rsid w:val="00DA3991"/>
    <w:rsid w:val="00DB0476"/>
    <w:rsid w:val="00DB7E6C"/>
    <w:rsid w:val="00DD4F47"/>
    <w:rsid w:val="00DD5A29"/>
    <w:rsid w:val="00DD5D9D"/>
    <w:rsid w:val="00DE35CB"/>
    <w:rsid w:val="00DF21E9"/>
    <w:rsid w:val="00E00F14"/>
    <w:rsid w:val="00E06386"/>
    <w:rsid w:val="00E24EB4"/>
    <w:rsid w:val="00E31883"/>
    <w:rsid w:val="00E320ED"/>
    <w:rsid w:val="00E32828"/>
    <w:rsid w:val="00E33AFB"/>
    <w:rsid w:val="00E34218"/>
    <w:rsid w:val="00E35191"/>
    <w:rsid w:val="00E35690"/>
    <w:rsid w:val="00E46282"/>
    <w:rsid w:val="00E5216E"/>
    <w:rsid w:val="00E67E22"/>
    <w:rsid w:val="00E70AA3"/>
    <w:rsid w:val="00E75D30"/>
    <w:rsid w:val="00E82344"/>
    <w:rsid w:val="00E84C82"/>
    <w:rsid w:val="00E84D64"/>
    <w:rsid w:val="00E87408"/>
    <w:rsid w:val="00E914C4"/>
    <w:rsid w:val="00E934F5"/>
    <w:rsid w:val="00E96961"/>
    <w:rsid w:val="00EA66FE"/>
    <w:rsid w:val="00EA72EC"/>
    <w:rsid w:val="00EB11CB"/>
    <w:rsid w:val="00EB275A"/>
    <w:rsid w:val="00EB786A"/>
    <w:rsid w:val="00EC1578"/>
    <w:rsid w:val="00EC1C72"/>
    <w:rsid w:val="00EC3669"/>
    <w:rsid w:val="00EC3CC9"/>
    <w:rsid w:val="00EC5950"/>
    <w:rsid w:val="00EC680A"/>
    <w:rsid w:val="00ED7F25"/>
    <w:rsid w:val="00EE2BED"/>
    <w:rsid w:val="00EE374B"/>
    <w:rsid w:val="00EE7045"/>
    <w:rsid w:val="00EF2112"/>
    <w:rsid w:val="00EF7970"/>
    <w:rsid w:val="00F00ADD"/>
    <w:rsid w:val="00F11BB5"/>
    <w:rsid w:val="00F1417B"/>
    <w:rsid w:val="00F1730A"/>
    <w:rsid w:val="00F24ACE"/>
    <w:rsid w:val="00F34B99"/>
    <w:rsid w:val="00F37D88"/>
    <w:rsid w:val="00F4388A"/>
    <w:rsid w:val="00F52DAB"/>
    <w:rsid w:val="00F543F0"/>
    <w:rsid w:val="00F66ED7"/>
    <w:rsid w:val="00F81A64"/>
    <w:rsid w:val="00F81D29"/>
    <w:rsid w:val="00F91C4D"/>
    <w:rsid w:val="00F92FD9"/>
    <w:rsid w:val="00FA6684"/>
    <w:rsid w:val="00FA731E"/>
    <w:rsid w:val="00FB2B38"/>
    <w:rsid w:val="00FC2964"/>
    <w:rsid w:val="00FC6358"/>
    <w:rsid w:val="00FD320D"/>
    <w:rsid w:val="00FD4604"/>
    <w:rsid w:val="00FE23DE"/>
    <w:rsid w:val="00FF240B"/>
    <w:rsid w:val="01370E72"/>
    <w:rsid w:val="02FD2D6C"/>
    <w:rsid w:val="043E1C03"/>
    <w:rsid w:val="05C17BF8"/>
    <w:rsid w:val="066C617C"/>
    <w:rsid w:val="0763729B"/>
    <w:rsid w:val="07DF5688"/>
    <w:rsid w:val="08C01EBC"/>
    <w:rsid w:val="0B9A495D"/>
    <w:rsid w:val="0C034B6E"/>
    <w:rsid w:val="0C3F6A64"/>
    <w:rsid w:val="0E484643"/>
    <w:rsid w:val="0EE859DF"/>
    <w:rsid w:val="0F5D43F1"/>
    <w:rsid w:val="0F850EF9"/>
    <w:rsid w:val="0FD34900"/>
    <w:rsid w:val="125E30FF"/>
    <w:rsid w:val="12AB56A1"/>
    <w:rsid w:val="139B4629"/>
    <w:rsid w:val="16874F03"/>
    <w:rsid w:val="168F494C"/>
    <w:rsid w:val="17570360"/>
    <w:rsid w:val="182061EA"/>
    <w:rsid w:val="19151AC7"/>
    <w:rsid w:val="1BCC1F31"/>
    <w:rsid w:val="1CD423AD"/>
    <w:rsid w:val="1D1F5F55"/>
    <w:rsid w:val="1EAB278E"/>
    <w:rsid w:val="1F52137F"/>
    <w:rsid w:val="1F970651"/>
    <w:rsid w:val="20B77521"/>
    <w:rsid w:val="20F3654D"/>
    <w:rsid w:val="20F649C3"/>
    <w:rsid w:val="227E211D"/>
    <w:rsid w:val="233D6F04"/>
    <w:rsid w:val="23547C10"/>
    <w:rsid w:val="23D12375"/>
    <w:rsid w:val="28B124BB"/>
    <w:rsid w:val="299F1664"/>
    <w:rsid w:val="2C1526E7"/>
    <w:rsid w:val="30E4154D"/>
    <w:rsid w:val="31A517E2"/>
    <w:rsid w:val="34492D79"/>
    <w:rsid w:val="34D93ED7"/>
    <w:rsid w:val="35AE6B3E"/>
    <w:rsid w:val="35B10DE3"/>
    <w:rsid w:val="35FD7963"/>
    <w:rsid w:val="372C6A7E"/>
    <w:rsid w:val="37525A6C"/>
    <w:rsid w:val="37EB24FC"/>
    <w:rsid w:val="381954DE"/>
    <w:rsid w:val="3A331955"/>
    <w:rsid w:val="3D8E253C"/>
    <w:rsid w:val="3E1E0F75"/>
    <w:rsid w:val="3E4B7D1A"/>
    <w:rsid w:val="3EAC23E4"/>
    <w:rsid w:val="3FC30E8C"/>
    <w:rsid w:val="40D47360"/>
    <w:rsid w:val="42AE5E90"/>
    <w:rsid w:val="43FF3B9F"/>
    <w:rsid w:val="472B4F28"/>
    <w:rsid w:val="4A806D60"/>
    <w:rsid w:val="4C7123D2"/>
    <w:rsid w:val="4D116B12"/>
    <w:rsid w:val="4D782049"/>
    <w:rsid w:val="4E592E5F"/>
    <w:rsid w:val="4ED11A10"/>
    <w:rsid w:val="4F2638F8"/>
    <w:rsid w:val="50AE3672"/>
    <w:rsid w:val="51D4657C"/>
    <w:rsid w:val="54F263E1"/>
    <w:rsid w:val="56B2398C"/>
    <w:rsid w:val="59653409"/>
    <w:rsid w:val="597E09E7"/>
    <w:rsid w:val="5B633E8B"/>
    <w:rsid w:val="5C8A129A"/>
    <w:rsid w:val="5C9D73D6"/>
    <w:rsid w:val="5DE913F3"/>
    <w:rsid w:val="5F6240F4"/>
    <w:rsid w:val="5F864151"/>
    <w:rsid w:val="609B55C7"/>
    <w:rsid w:val="61511797"/>
    <w:rsid w:val="63097D8E"/>
    <w:rsid w:val="63D9238F"/>
    <w:rsid w:val="64CD45D0"/>
    <w:rsid w:val="654E3F98"/>
    <w:rsid w:val="66A55805"/>
    <w:rsid w:val="66C66581"/>
    <w:rsid w:val="69AC6DCF"/>
    <w:rsid w:val="6A195F49"/>
    <w:rsid w:val="6A1D048E"/>
    <w:rsid w:val="6C28449B"/>
    <w:rsid w:val="6C57146B"/>
    <w:rsid w:val="6CBA59AB"/>
    <w:rsid w:val="6F9C5BAC"/>
    <w:rsid w:val="6FCC43FA"/>
    <w:rsid w:val="72950F05"/>
    <w:rsid w:val="737B248B"/>
    <w:rsid w:val="748E5B2A"/>
    <w:rsid w:val="75E844DB"/>
    <w:rsid w:val="79725168"/>
    <w:rsid w:val="7AED1DB7"/>
    <w:rsid w:val="7D0D293F"/>
    <w:rsid w:val="7D2F03B0"/>
    <w:rsid w:val="7D976489"/>
    <w:rsid w:val="7F0F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43"/>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44"/>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9"/>
    <w:next w:val="9"/>
    <w:link w:val="46"/>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标题 1 字符"/>
    <w:link w:val="2"/>
    <w:qFormat/>
    <w:uiPriority w:val="0"/>
    <w:rPr>
      <w:b/>
      <w:bCs/>
      <w:kern w:val="44"/>
      <w:sz w:val="44"/>
      <w:szCs w:val="44"/>
    </w:rPr>
  </w:style>
  <w:style w:type="character" w:customStyle="1" w:styleId="43">
    <w:name w:val="批注文字 字符"/>
    <w:link w:val="9"/>
    <w:qFormat/>
    <w:uiPriority w:val="0"/>
    <w:rPr>
      <w:kern w:val="2"/>
      <w:sz w:val="21"/>
      <w:szCs w:val="24"/>
    </w:rPr>
  </w:style>
  <w:style w:type="character" w:customStyle="1" w:styleId="44">
    <w:name w:val="批注框文本 字符"/>
    <w:link w:val="17"/>
    <w:qFormat/>
    <w:uiPriority w:val="0"/>
    <w:rPr>
      <w:kern w:val="2"/>
      <w:sz w:val="18"/>
      <w:szCs w:val="18"/>
    </w:rPr>
  </w:style>
  <w:style w:type="character" w:customStyle="1" w:styleId="45">
    <w:name w:val="段 Char"/>
    <w:link w:val="24"/>
    <w:qFormat/>
    <w:uiPriority w:val="0"/>
    <w:rPr>
      <w:rFonts w:ascii="宋体"/>
      <w:sz w:val="21"/>
      <w:lang w:val="en-US" w:eastAsia="zh-CN" w:bidi="ar-SA"/>
    </w:rPr>
  </w:style>
  <w:style w:type="character" w:customStyle="1" w:styleId="46">
    <w:name w:val="批注主题 字符"/>
    <w:link w:val="32"/>
    <w:qFormat/>
    <w:uiPriority w:val="0"/>
    <w:rPr>
      <w:b/>
      <w:bCs/>
      <w:kern w:val="2"/>
      <w:sz w:val="21"/>
      <w:szCs w:val="24"/>
    </w:rPr>
  </w:style>
  <w:style w:type="character" w:customStyle="1" w:styleId="47">
    <w:name w:val="首示例 Char"/>
    <w:link w:val="48"/>
    <w:qFormat/>
    <w:uiPriority w:val="0"/>
    <w:rPr>
      <w:rFonts w:ascii="宋体" w:hAnsi="宋体"/>
      <w:kern w:val="2"/>
      <w:sz w:val="18"/>
      <w:szCs w:val="18"/>
      <w:lang w:val="en-US" w:eastAsia="zh-CN" w:bidi="ar-SA"/>
    </w:rPr>
  </w:style>
  <w:style w:type="paragraph" w:customStyle="1" w:styleId="48">
    <w:name w:val="首示例"/>
    <w:next w:val="24"/>
    <w:link w:val="47"/>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9">
    <w:name w:val="发布"/>
    <w:qFormat/>
    <w:uiPriority w:val="0"/>
    <w:rPr>
      <w:rFonts w:ascii="黑体" w:eastAsia="黑体"/>
      <w:spacing w:val="85"/>
      <w:w w:val="100"/>
      <w:position w:val="3"/>
      <w:sz w:val="28"/>
      <w:szCs w:val="28"/>
    </w:rPr>
  </w:style>
  <w:style w:type="character" w:customStyle="1" w:styleId="50">
    <w:name w:val="附录公式 Char"/>
    <w:basedOn w:val="45"/>
    <w:link w:val="51"/>
    <w:qFormat/>
    <w:uiPriority w:val="0"/>
    <w:rPr>
      <w:rFonts w:ascii="宋体"/>
      <w:sz w:val="21"/>
      <w:lang w:val="en-US" w:eastAsia="zh-CN" w:bidi="ar-SA"/>
    </w:rPr>
  </w:style>
  <w:style w:type="paragraph" w:customStyle="1" w:styleId="51">
    <w:name w:val="附录公式"/>
    <w:basedOn w:val="24"/>
    <w:next w:val="24"/>
    <w:link w:val="50"/>
    <w:qFormat/>
    <w:uiPriority w:val="0"/>
  </w:style>
  <w:style w:type="paragraph" w:customStyle="1" w:styleId="52">
    <w:name w:val="其他发布日期"/>
    <w:basedOn w:val="53"/>
    <w:qFormat/>
    <w:uiPriority w:val="0"/>
    <w:pPr>
      <w:framePr w:wrap="around" w:vAnchor="page" w:hAnchor="text" w:x="1419"/>
    </w:pPr>
  </w:style>
  <w:style w:type="paragraph" w:customStyle="1" w:styleId="5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4">
    <w:name w:val="附录四级无"/>
    <w:basedOn w:val="55"/>
    <w:qFormat/>
    <w:uiPriority w:val="0"/>
    <w:pPr>
      <w:tabs>
        <w:tab w:val="left" w:pos="360"/>
      </w:tabs>
      <w:spacing w:before="0" w:beforeLines="0" w:after="0" w:afterLines="0"/>
    </w:pPr>
    <w:rPr>
      <w:rFonts w:ascii="宋体" w:eastAsia="宋体"/>
      <w:szCs w:val="21"/>
    </w:rPr>
  </w:style>
  <w:style w:type="paragraph" w:customStyle="1" w:styleId="55">
    <w:name w:val="附录四级条标题"/>
    <w:basedOn w:val="56"/>
    <w:next w:val="24"/>
    <w:qFormat/>
    <w:uiPriority w:val="0"/>
    <w:pPr>
      <w:numPr>
        <w:ilvl w:val="5"/>
      </w:numPr>
      <w:tabs>
        <w:tab w:val="left" w:pos="360"/>
      </w:tabs>
      <w:outlineLvl w:val="5"/>
    </w:pPr>
  </w:style>
  <w:style w:type="paragraph" w:customStyle="1" w:styleId="56">
    <w:name w:val="附录三级条标题"/>
    <w:basedOn w:val="57"/>
    <w:next w:val="24"/>
    <w:qFormat/>
    <w:uiPriority w:val="0"/>
    <w:pPr>
      <w:numPr>
        <w:ilvl w:val="4"/>
      </w:numPr>
      <w:tabs>
        <w:tab w:val="left" w:pos="360"/>
      </w:tabs>
      <w:outlineLvl w:val="4"/>
    </w:pPr>
  </w:style>
  <w:style w:type="paragraph" w:customStyle="1" w:styleId="57">
    <w:name w:val="附录二级条标题"/>
    <w:basedOn w:val="1"/>
    <w:next w:val="24"/>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8">
    <w:name w:val="封面标准文稿类别"/>
    <w:basedOn w:val="59"/>
    <w:qFormat/>
    <w:uiPriority w:val="0"/>
    <w:pPr>
      <w:framePr w:wrap="around"/>
      <w:spacing w:after="160" w:line="240" w:lineRule="auto"/>
    </w:pPr>
    <w:rPr>
      <w:sz w:val="24"/>
    </w:rPr>
  </w:style>
  <w:style w:type="paragraph" w:customStyle="1" w:styleId="59">
    <w:name w:val="封面一致性程度标识"/>
    <w:basedOn w:val="60"/>
    <w:qFormat/>
    <w:uiPriority w:val="0"/>
    <w:pPr>
      <w:framePr w:wrap="around"/>
      <w:spacing w:before="440"/>
    </w:pPr>
    <w:rPr>
      <w:rFonts w:ascii="宋体" w:eastAsia="宋体"/>
    </w:rPr>
  </w:style>
  <w:style w:type="paragraph" w:customStyle="1" w:styleId="60">
    <w:name w:val="封面标准英文名称"/>
    <w:basedOn w:val="61"/>
    <w:qFormat/>
    <w:uiPriority w:val="0"/>
    <w:pPr>
      <w:framePr w:wrap="around"/>
      <w:spacing w:before="370" w:line="400" w:lineRule="exact"/>
    </w:pPr>
    <w:rPr>
      <w:rFonts w:ascii="Times New Roman"/>
      <w:sz w:val="28"/>
      <w:szCs w:val="28"/>
    </w:rPr>
  </w:style>
  <w:style w:type="paragraph" w:customStyle="1" w:styleId="6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63">
    <w:name w:val="示例×："/>
    <w:basedOn w:val="64"/>
    <w:qFormat/>
    <w:uiPriority w:val="0"/>
    <w:pPr>
      <w:numPr>
        <w:ilvl w:val="0"/>
        <w:numId w:val="4"/>
      </w:numPr>
      <w:spacing w:before="0" w:beforeLines="0" w:after="0" w:afterLines="0"/>
      <w:outlineLvl w:val="9"/>
    </w:pPr>
    <w:rPr>
      <w:rFonts w:ascii="宋体" w:eastAsia="宋体"/>
      <w:sz w:val="18"/>
      <w:szCs w:val="18"/>
    </w:rPr>
  </w:style>
  <w:style w:type="paragraph" w:customStyle="1" w:styleId="64">
    <w:name w:val="章标题"/>
    <w:next w:val="24"/>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5">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66">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7">
    <w:name w:val="一级无"/>
    <w:basedOn w:val="68"/>
    <w:qFormat/>
    <w:uiPriority w:val="0"/>
    <w:pPr>
      <w:spacing w:before="0" w:beforeLines="0" w:after="0" w:afterLines="0"/>
    </w:pPr>
    <w:rPr>
      <w:rFonts w:ascii="宋体" w:eastAsia="宋体"/>
    </w:rPr>
  </w:style>
  <w:style w:type="paragraph" w:customStyle="1" w:styleId="68">
    <w:name w:val="一级条标题"/>
    <w:next w:val="24"/>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9">
    <w:name w:val="列项◆（三级）"/>
    <w:basedOn w:val="1"/>
    <w:qFormat/>
    <w:uiPriority w:val="0"/>
    <w:pPr>
      <w:numPr>
        <w:ilvl w:val="2"/>
        <w:numId w:val="6"/>
      </w:numPr>
    </w:pPr>
    <w:rPr>
      <w:rFonts w:ascii="宋体"/>
      <w:szCs w:val="21"/>
    </w:rPr>
  </w:style>
  <w:style w:type="paragraph" w:customStyle="1" w:styleId="7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1">
    <w:name w:val="注："/>
    <w:next w:val="24"/>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3">
    <w:name w:val="注：（正文）"/>
    <w:basedOn w:val="71"/>
    <w:next w:val="24"/>
    <w:qFormat/>
    <w:uiPriority w:val="0"/>
  </w:style>
  <w:style w:type="paragraph" w:customStyle="1" w:styleId="7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5">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76">
    <w:name w:val="其他发布部门"/>
    <w:basedOn w:val="77"/>
    <w:qFormat/>
    <w:uiPriority w:val="0"/>
    <w:pPr>
      <w:framePr w:wrap="around" w:y="15310"/>
      <w:spacing w:line="0" w:lineRule="atLeast"/>
    </w:pPr>
    <w:rPr>
      <w:rFonts w:ascii="黑体" w:eastAsia="黑体"/>
      <w:b w:val="0"/>
    </w:rPr>
  </w:style>
  <w:style w:type="paragraph" w:customStyle="1" w:styleId="77">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9">
    <w:name w:val="示例"/>
    <w:next w:val="80"/>
    <w:qFormat/>
    <w:uiPriority w:val="0"/>
    <w:pPr>
      <w:widowControl w:val="0"/>
      <w:numPr>
        <w:ilvl w:val="0"/>
        <w:numId w:val="9"/>
      </w:numPr>
      <w:jc w:val="both"/>
    </w:pPr>
    <w:rPr>
      <w:rFonts w:ascii="宋体" w:hAnsi="Times New Roman" w:eastAsia="宋体" w:cs="Times New Roman"/>
      <w:sz w:val="18"/>
      <w:szCs w:val="18"/>
      <w:lang w:val="en-US" w:eastAsia="zh-CN" w:bidi="ar-SA"/>
    </w:rPr>
  </w:style>
  <w:style w:type="paragraph" w:customStyle="1" w:styleId="8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附录章标题"/>
    <w:next w:val="24"/>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3">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4">
    <w:name w:val="三级条标题"/>
    <w:basedOn w:val="85"/>
    <w:next w:val="24"/>
    <w:qFormat/>
    <w:uiPriority w:val="0"/>
    <w:pPr>
      <w:outlineLvl w:val="4"/>
    </w:pPr>
  </w:style>
  <w:style w:type="paragraph" w:customStyle="1" w:styleId="85">
    <w:name w:val="二级条标题"/>
    <w:basedOn w:val="68"/>
    <w:next w:val="24"/>
    <w:qFormat/>
    <w:uiPriority w:val="0"/>
    <w:pPr>
      <w:spacing w:before="50" w:after="50"/>
      <w:outlineLvl w:val="3"/>
    </w:pPr>
  </w:style>
  <w:style w:type="paragraph" w:customStyle="1" w:styleId="86">
    <w:name w:val="附录标题"/>
    <w:basedOn w:val="24"/>
    <w:next w:val="24"/>
    <w:qFormat/>
    <w:uiPriority w:val="0"/>
    <w:pPr>
      <w:ind w:firstLine="0" w:firstLineChars="0"/>
      <w:jc w:val="center"/>
    </w:pPr>
    <w:rPr>
      <w:rFonts w:ascii="黑体" w:eastAsia="黑体"/>
    </w:rPr>
  </w:style>
  <w:style w:type="paragraph" w:customStyle="1" w:styleId="8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8">
    <w:name w:val="三级无"/>
    <w:basedOn w:val="84"/>
    <w:qFormat/>
    <w:uiPriority w:val="0"/>
    <w:pPr>
      <w:spacing w:before="0" w:beforeLines="0" w:after="0" w:afterLines="0"/>
    </w:pPr>
    <w:rPr>
      <w:rFonts w:ascii="宋体" w:eastAsia="宋体"/>
    </w:rPr>
  </w:style>
  <w:style w:type="paragraph" w:customStyle="1" w:styleId="89">
    <w:name w:val="附录一级条标题"/>
    <w:basedOn w:val="82"/>
    <w:next w:val="24"/>
    <w:qFormat/>
    <w:uiPriority w:val="0"/>
    <w:pPr>
      <w:numPr>
        <w:ilvl w:val="2"/>
      </w:numPr>
      <w:autoSpaceDN w:val="0"/>
      <w:spacing w:before="50" w:beforeLines="50" w:after="50" w:afterLines="50"/>
      <w:outlineLvl w:val="2"/>
    </w:pPr>
  </w:style>
  <w:style w:type="paragraph" w:customStyle="1" w:styleId="9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
    <w:name w:val="四级无"/>
    <w:basedOn w:val="93"/>
    <w:qFormat/>
    <w:uiPriority w:val="0"/>
    <w:pPr>
      <w:spacing w:before="0" w:beforeLines="0" w:after="0" w:afterLines="0"/>
    </w:pPr>
    <w:rPr>
      <w:rFonts w:ascii="宋体" w:eastAsia="宋体"/>
    </w:rPr>
  </w:style>
  <w:style w:type="paragraph" w:customStyle="1" w:styleId="93">
    <w:name w:val="四级条标题"/>
    <w:basedOn w:val="84"/>
    <w:next w:val="24"/>
    <w:qFormat/>
    <w:uiPriority w:val="0"/>
    <w:pPr>
      <w:outlineLvl w:val="5"/>
    </w:pPr>
  </w:style>
  <w:style w:type="paragraph" w:customStyle="1" w:styleId="94">
    <w:name w:val="注×："/>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95">
    <w:name w:val="正文表标题"/>
    <w:next w:val="24"/>
    <w:qFormat/>
    <w:uiPriority w:val="0"/>
    <w:pPr>
      <w:numPr>
        <w:ilvl w:val="0"/>
        <w:numId w:val="1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6">
    <w:name w:val="封面标准英文名称2"/>
    <w:basedOn w:val="60"/>
    <w:qFormat/>
    <w:uiPriority w:val="0"/>
    <w:pPr>
      <w:framePr w:wrap="around" w:y="4469"/>
    </w:pPr>
  </w:style>
  <w:style w:type="paragraph" w:customStyle="1" w:styleId="97">
    <w:name w:val="图标脚注说明"/>
    <w:basedOn w:val="24"/>
    <w:qFormat/>
    <w:uiPriority w:val="0"/>
    <w:pPr>
      <w:ind w:left="840" w:hanging="420" w:firstLineChars="0"/>
    </w:pPr>
    <w:rPr>
      <w:sz w:val="18"/>
      <w:szCs w:val="18"/>
    </w:rPr>
  </w:style>
  <w:style w:type="paragraph" w:customStyle="1" w:styleId="9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99">
    <w:name w:val="图表脚注说明"/>
    <w:basedOn w:val="1"/>
    <w:qFormat/>
    <w:uiPriority w:val="0"/>
    <w:pPr>
      <w:numPr>
        <w:ilvl w:val="0"/>
        <w:numId w:val="13"/>
      </w:numPr>
    </w:pPr>
    <w:rPr>
      <w:rFonts w:ascii="宋体"/>
      <w:sz w:val="18"/>
      <w:szCs w:val="18"/>
    </w:rPr>
  </w:style>
  <w:style w:type="paragraph" w:customStyle="1" w:styleId="10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1">
    <w:name w:val="附录表标题"/>
    <w:basedOn w:val="1"/>
    <w:next w:val="24"/>
    <w:qFormat/>
    <w:uiPriority w:val="0"/>
    <w:pPr>
      <w:numPr>
        <w:ilvl w:val="1"/>
        <w:numId w:val="14"/>
      </w:numPr>
      <w:tabs>
        <w:tab w:val="left" w:pos="180"/>
      </w:tabs>
      <w:spacing w:before="50" w:beforeLines="50" w:after="50" w:afterLines="50"/>
      <w:ind w:left="0" w:firstLine="0"/>
      <w:jc w:val="center"/>
    </w:pPr>
    <w:rPr>
      <w:rFonts w:ascii="黑体" w:eastAsia="黑体"/>
      <w:szCs w:val="21"/>
    </w:rPr>
  </w:style>
  <w:style w:type="paragraph" w:customStyle="1" w:styleId="102">
    <w:name w:val="_Style 100"/>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4">
    <w:name w:val="其他标准标志"/>
    <w:basedOn w:val="105"/>
    <w:qFormat/>
    <w:uiPriority w:val="0"/>
    <w:pPr>
      <w:framePr w:w="6101" w:wrap="around" w:vAnchor="page" w:hAnchor="page" w:x="4673" w:y="942"/>
    </w:pPr>
    <w:rPr>
      <w:w w:val="130"/>
    </w:rPr>
  </w:style>
  <w:style w:type="paragraph" w:customStyle="1" w:styleId="10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6">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107">
    <w:name w:val="正文图标题"/>
    <w:next w:val="24"/>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8">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09">
    <w:name w:val="标准书眉_偶数页"/>
    <w:basedOn w:val="110"/>
    <w:next w:val="1"/>
    <w:qFormat/>
    <w:uiPriority w:val="0"/>
    <w:pPr>
      <w:tabs>
        <w:tab w:val="center" w:pos="4154"/>
        <w:tab w:val="right" w:pos="8306"/>
      </w:tabs>
      <w:jc w:val="left"/>
    </w:pPr>
  </w:style>
  <w:style w:type="paragraph" w:customStyle="1" w:styleId="11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附录二级无"/>
    <w:basedOn w:val="57"/>
    <w:qFormat/>
    <w:uiPriority w:val="0"/>
    <w:pPr>
      <w:tabs>
        <w:tab w:val="clear" w:pos="360"/>
      </w:tabs>
      <w:spacing w:before="0" w:beforeLines="0" w:after="0" w:afterLines="0"/>
    </w:pPr>
    <w:rPr>
      <w:rFonts w:ascii="宋体" w:eastAsia="宋体"/>
      <w:szCs w:val="21"/>
    </w:rPr>
  </w:style>
  <w:style w:type="paragraph" w:customStyle="1" w:styleId="113">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114">
    <w:name w:val="五级无"/>
    <w:basedOn w:val="115"/>
    <w:qFormat/>
    <w:uiPriority w:val="0"/>
    <w:pPr>
      <w:spacing w:before="0" w:beforeLines="0" w:after="0" w:afterLines="0"/>
    </w:pPr>
    <w:rPr>
      <w:rFonts w:ascii="宋体" w:eastAsia="宋体"/>
    </w:rPr>
  </w:style>
  <w:style w:type="paragraph" w:customStyle="1" w:styleId="115">
    <w:name w:val="五级条标题"/>
    <w:basedOn w:val="93"/>
    <w:next w:val="24"/>
    <w:qFormat/>
    <w:uiPriority w:val="0"/>
    <w:pPr>
      <w:outlineLvl w:val="6"/>
    </w:pPr>
  </w:style>
  <w:style w:type="paragraph" w:customStyle="1" w:styleId="116">
    <w:name w:val="封面标准名称2"/>
    <w:basedOn w:val="61"/>
    <w:qFormat/>
    <w:uiPriority w:val="0"/>
    <w:pPr>
      <w:framePr w:wrap="around" w:y="4469"/>
      <w:spacing w:before="630" w:beforeLines="630"/>
    </w:pPr>
  </w:style>
  <w:style w:type="paragraph" w:customStyle="1" w:styleId="117">
    <w:name w:val="正文公式编号制表符"/>
    <w:basedOn w:val="24"/>
    <w:next w:val="24"/>
    <w:qFormat/>
    <w:uiPriority w:val="0"/>
    <w:pPr>
      <w:ind w:firstLine="0" w:firstLineChars="0"/>
    </w:pPr>
  </w:style>
  <w:style w:type="paragraph" w:customStyle="1" w:styleId="118">
    <w:name w:val="终结线"/>
    <w:basedOn w:val="1"/>
    <w:qFormat/>
    <w:uiPriority w:val="0"/>
    <w:pPr>
      <w:framePr w:hSpace="181" w:vSpace="181" w:wrap="around" w:vAnchor="text" w:hAnchor="margin" w:xAlign="center" w:y="285"/>
    </w:pPr>
  </w:style>
  <w:style w:type="paragraph" w:customStyle="1" w:styleId="119">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20">
    <w:name w:val="附录五级条标题"/>
    <w:basedOn w:val="55"/>
    <w:next w:val="24"/>
    <w:qFormat/>
    <w:uiPriority w:val="0"/>
    <w:pPr>
      <w:numPr>
        <w:ilvl w:val="6"/>
      </w:numPr>
      <w:outlineLvl w:val="6"/>
    </w:pPr>
  </w:style>
  <w:style w:type="paragraph" w:customStyle="1" w:styleId="121">
    <w:name w:val="条文脚注"/>
    <w:basedOn w:val="25"/>
    <w:qFormat/>
    <w:uiPriority w:val="0"/>
    <w:pPr>
      <w:numPr>
        <w:numId w:val="0"/>
      </w:numPr>
      <w:jc w:val="both"/>
    </w:pPr>
  </w:style>
  <w:style w:type="paragraph" w:customStyle="1" w:styleId="1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3">
    <w:name w:val="附录图标号"/>
    <w:basedOn w:val="1"/>
    <w:qFormat/>
    <w:uiPriority w:val="0"/>
    <w:pPr>
      <w:keepNext/>
      <w:pageBreakBefore/>
      <w:widowControl/>
      <w:numPr>
        <w:ilvl w:val="0"/>
        <w:numId w:val="16"/>
      </w:numPr>
      <w:spacing w:line="14" w:lineRule="exact"/>
      <w:ind w:left="0" w:firstLine="363"/>
      <w:jc w:val="center"/>
      <w:outlineLvl w:val="0"/>
    </w:pPr>
    <w:rPr>
      <w:color w:val="FFFFFF"/>
    </w:rPr>
  </w:style>
  <w:style w:type="paragraph" w:customStyle="1" w:styleId="124">
    <w:name w:val="示例后文字"/>
    <w:basedOn w:val="24"/>
    <w:next w:val="24"/>
    <w:qFormat/>
    <w:uiPriority w:val="0"/>
    <w:pPr>
      <w:ind w:firstLine="360"/>
    </w:pPr>
    <w:rPr>
      <w:sz w:val="18"/>
    </w:rPr>
  </w:style>
  <w:style w:type="paragraph" w:customStyle="1" w:styleId="12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6">
    <w:name w:val="封面标准文稿编辑信息2"/>
    <w:basedOn w:val="127"/>
    <w:qFormat/>
    <w:uiPriority w:val="0"/>
    <w:pPr>
      <w:framePr w:wrap="around" w:y="4469"/>
    </w:pPr>
  </w:style>
  <w:style w:type="paragraph" w:customStyle="1" w:styleId="127">
    <w:name w:val="封面标准文稿编辑信息"/>
    <w:basedOn w:val="58"/>
    <w:qFormat/>
    <w:uiPriority w:val="0"/>
    <w:pPr>
      <w:framePr w:wrap="around"/>
      <w:spacing w:before="180" w:line="180" w:lineRule="exact"/>
    </w:pPr>
    <w:rPr>
      <w:sz w:val="21"/>
    </w:rPr>
  </w:style>
  <w:style w:type="paragraph" w:customStyle="1" w:styleId="128">
    <w:name w:val="封面一致性程度标识2"/>
    <w:basedOn w:val="59"/>
    <w:qFormat/>
    <w:uiPriority w:val="0"/>
    <w:pPr>
      <w:framePr w:wrap="around" w:y="4469"/>
    </w:pPr>
  </w:style>
  <w:style w:type="paragraph" w:customStyle="1" w:styleId="129">
    <w:name w:val="实施日期"/>
    <w:basedOn w:val="53"/>
    <w:qFormat/>
    <w:uiPriority w:val="0"/>
    <w:pPr>
      <w:framePr w:wrap="around" w:vAnchor="page" w:hAnchor="text"/>
      <w:jc w:val="right"/>
    </w:pPr>
  </w:style>
  <w:style w:type="paragraph" w:customStyle="1" w:styleId="130">
    <w:name w:val="封面标准文稿类别2"/>
    <w:basedOn w:val="58"/>
    <w:qFormat/>
    <w:uiPriority w:val="0"/>
    <w:pPr>
      <w:framePr w:wrap="around" w:y="4469"/>
    </w:pPr>
  </w:style>
  <w:style w:type="paragraph" w:customStyle="1" w:styleId="13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2">
    <w:name w:val="附录标识"/>
    <w:basedOn w:val="1"/>
    <w:next w:val="24"/>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3">
    <w:name w:val="附录一级无"/>
    <w:basedOn w:val="89"/>
    <w:qFormat/>
    <w:uiPriority w:val="0"/>
    <w:pPr>
      <w:tabs>
        <w:tab w:val="clear" w:pos="360"/>
      </w:tabs>
      <w:spacing w:before="0" w:beforeLines="0" w:after="0" w:afterLines="0"/>
    </w:pPr>
    <w:rPr>
      <w:rFonts w:ascii="宋体" w:eastAsia="宋体"/>
      <w:szCs w:val="21"/>
    </w:rPr>
  </w:style>
  <w:style w:type="paragraph" w:customStyle="1" w:styleId="134">
    <w:name w:val="其他实施日期"/>
    <w:basedOn w:val="129"/>
    <w:qFormat/>
    <w:uiPriority w:val="0"/>
    <w:pPr>
      <w:framePr w:wrap="around"/>
    </w:pPr>
  </w:style>
  <w:style w:type="paragraph" w:customStyle="1" w:styleId="135">
    <w:name w:val="封面正文"/>
    <w:qFormat/>
    <w:uiPriority w:val="0"/>
    <w:pPr>
      <w:jc w:val="both"/>
    </w:pPr>
    <w:rPr>
      <w:rFonts w:ascii="Times New Roman" w:hAnsi="Times New Roman" w:eastAsia="宋体" w:cs="Times New Roman"/>
      <w:lang w:val="en-US" w:eastAsia="zh-CN" w:bidi="ar-SA"/>
    </w:rPr>
  </w:style>
  <w:style w:type="paragraph" w:customStyle="1" w:styleId="136">
    <w:name w:val="附录五级无"/>
    <w:basedOn w:val="120"/>
    <w:qFormat/>
    <w:uiPriority w:val="0"/>
    <w:pPr>
      <w:tabs>
        <w:tab w:val="clear" w:pos="360"/>
      </w:tabs>
      <w:spacing w:before="0" w:beforeLines="0" w:after="0" w:afterLines="0"/>
    </w:pPr>
    <w:rPr>
      <w:rFonts w:ascii="宋体" w:eastAsia="宋体"/>
      <w:szCs w:val="21"/>
    </w:rPr>
  </w:style>
  <w:style w:type="paragraph" w:customStyle="1" w:styleId="13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8">
    <w:name w:val="二级无"/>
    <w:basedOn w:val="85"/>
    <w:qFormat/>
    <w:uiPriority w:val="0"/>
    <w:pPr>
      <w:spacing w:before="0" w:beforeLines="0" w:after="0" w:afterLines="0"/>
    </w:pPr>
    <w:rPr>
      <w:rFonts w:ascii="宋体" w:eastAsia="宋体"/>
    </w:rPr>
  </w:style>
  <w:style w:type="paragraph" w:customStyle="1" w:styleId="139">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0">
    <w:name w:val="附录表标号"/>
    <w:basedOn w:val="1"/>
    <w:next w:val="24"/>
    <w:qFormat/>
    <w:uiPriority w:val="0"/>
    <w:pPr>
      <w:numPr>
        <w:ilvl w:val="0"/>
        <w:numId w:val="14"/>
      </w:numPr>
      <w:tabs>
        <w:tab w:val="clear" w:pos="0"/>
      </w:tabs>
      <w:spacing w:line="14" w:lineRule="exact"/>
      <w:ind w:left="811" w:hanging="448"/>
      <w:jc w:val="center"/>
      <w:outlineLvl w:val="0"/>
    </w:pPr>
    <w:rPr>
      <w:color w:val="FFFFFF"/>
    </w:rPr>
  </w:style>
  <w:style w:type="paragraph" w:customStyle="1" w:styleId="141">
    <w:name w:val="附录三级无"/>
    <w:basedOn w:val="56"/>
    <w:qFormat/>
    <w:uiPriority w:val="0"/>
    <w:pPr>
      <w:tabs>
        <w:tab w:val="clear" w:pos="360"/>
      </w:tabs>
      <w:spacing w:before="0" w:beforeLines="0" w:after="0" w:afterLines="0"/>
    </w:pPr>
    <w:rPr>
      <w:rFonts w:ascii="宋体" w:eastAsia="宋体"/>
      <w:szCs w:val="21"/>
    </w:rPr>
  </w:style>
  <w:style w:type="paragraph" w:customStyle="1" w:styleId="142">
    <w:name w:val="附录图标题"/>
    <w:basedOn w:val="1"/>
    <w:next w:val="24"/>
    <w:qFormat/>
    <w:uiPriority w:val="0"/>
    <w:pPr>
      <w:numPr>
        <w:ilvl w:val="1"/>
        <w:numId w:val="16"/>
      </w:numPr>
      <w:tabs>
        <w:tab w:val="left" w:pos="363"/>
      </w:tabs>
      <w:spacing w:before="50" w:beforeLines="50" w:after="50" w:afterLines="50"/>
      <w:ind w:left="0" w:firstLine="0"/>
      <w:jc w:val="center"/>
    </w:pPr>
    <w:rPr>
      <w:rFonts w:ascii="黑体" w:eastAsia="黑体"/>
      <w:szCs w:val="21"/>
    </w:rPr>
  </w:style>
  <w:style w:type="paragraph" w:customStyle="1" w:styleId="143">
    <w:name w:val="附录字母编号列项（一级）"/>
    <w:qFormat/>
    <w:uiPriority w:val="0"/>
    <w:pPr>
      <w:numPr>
        <w:ilvl w:val="0"/>
        <w:numId w:val="5"/>
      </w:numPr>
    </w:pPr>
    <w:rPr>
      <w:rFonts w:ascii="宋体" w:hAnsi="Times New Roman" w:eastAsia="宋体" w:cs="Times New Roman"/>
      <w:sz w:val="21"/>
      <w:lang w:val="en-US" w:eastAsia="zh-CN" w:bidi="ar-SA"/>
    </w:rPr>
  </w:style>
  <w:style w:type="paragraph" w:customStyle="1" w:styleId="144">
    <w:name w:val="WPSOffice手动目录 1"/>
    <w:qFormat/>
    <w:uiPriority w:val="0"/>
    <w:rPr>
      <w:rFonts w:ascii="Times New Roman" w:hAnsi="Times New Roman" w:eastAsia="宋体" w:cs="Times New Roman"/>
      <w:lang w:val="en-US" w:eastAsia="zh-CN" w:bidi="ar-SA"/>
    </w:rPr>
  </w:style>
  <w:style w:type="paragraph" w:customStyle="1" w:styleId="145">
    <w:name w:val="一级标题"/>
    <w:basedOn w:val="64"/>
    <w:qFormat/>
    <w:uiPriority w:val="0"/>
    <w:pPr>
      <w:spacing w:before="100" w:after="1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10</Pages>
  <Words>4125</Words>
  <Characters>5083</Characters>
  <Lines>48</Lines>
  <Paragraphs>13</Paragraphs>
  <TotalTime>9</TotalTime>
  <ScaleCrop>false</ScaleCrop>
  <LinksUpToDate>false</LinksUpToDate>
  <CharactersWithSpaces>5349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2018-09-21T01:06:00Z</dcterms:created>
  <dc:creator>CNIS</dc:creator>
  <cp:lastModifiedBy>zj180309</cp:lastModifiedBy>
  <cp:lastPrinted>2020-10-16T09:05:00Z</cp:lastPrinted>
  <dcterms:modified xsi:type="dcterms:W3CDTF">2024-07-18T02:08:37Z</dcterms:modified>
  <dc:title>标准名称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A0BE0F2D4DDD4B24AE00704B171077E5_13</vt:lpwstr>
  </property>
</Properties>
</file>