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0" w:firstLineChars="0"/>
        <w:jc w:val="both"/>
        <w:rPr>
          <w:rFonts w:ascii="Times New Roman" w:hAnsi="Times New Roman" w:eastAsia="宋体" w:cs="Times New Roman"/>
          <w:sz w:val="20"/>
          <w:szCs w:val="20"/>
        </w:rPr>
      </w:pPr>
      <w:bookmarkStart w:id="0" w:name="_Hlk518993094"/>
      <w:bookmarkEnd w:id="0"/>
      <w:r>
        <w:rPr>
          <w:rFonts w:ascii="Times New Roman" w:hAnsi="Times New Roman" w:eastAsia="宋体" w:cs="Times New Roman"/>
          <w:sz w:val="20"/>
          <w:szCs w:val="20"/>
        </w:rPr>
        <w:t>ICS 91.100.</w:t>
      </w:r>
      <w:r>
        <w:rPr>
          <w:rFonts w:hint="eastAsia" w:ascii="Times New Roman" w:hAnsi="Times New Roman" w:eastAsia="宋体" w:cs="Times New Roman"/>
          <w:sz w:val="20"/>
          <w:szCs w:val="20"/>
        </w:rPr>
        <w:t>3</w:t>
      </w:r>
      <w:r>
        <w:rPr>
          <w:rFonts w:ascii="Times New Roman" w:hAnsi="Times New Roman" w:eastAsia="宋体" w:cs="Times New Roman"/>
          <w:sz w:val="20"/>
          <w:szCs w:val="20"/>
        </w:rPr>
        <w:t>0</w:t>
      </w:r>
    </w:p>
    <w:p>
      <w:pPr>
        <w:spacing w:line="300" w:lineRule="auto"/>
        <w:ind w:firstLine="0" w:firstLineChars="0"/>
        <w:jc w:val="both"/>
        <w:rPr>
          <w:rFonts w:ascii="Times New Roman" w:hAnsi="Times New Roman" w:eastAsia="宋体" w:cs="Times New Roman"/>
          <w:sz w:val="20"/>
          <w:szCs w:val="20"/>
        </w:rPr>
      </w:pPr>
      <w:r>
        <w:rPr>
          <w:rFonts w:ascii="Times New Roman" w:hAnsi="Times New Roman" w:eastAsia="宋体" w:cs="Times New Roman"/>
          <w:sz w:val="20"/>
          <w:szCs w:val="20"/>
        </w:rPr>
        <w:t>Q  1</w:t>
      </w:r>
      <w:r>
        <w:rPr>
          <w:rFonts w:hint="eastAsia" w:ascii="Times New Roman" w:hAnsi="Times New Roman" w:eastAsia="宋体" w:cs="Times New Roman"/>
          <w:sz w:val="20"/>
          <w:szCs w:val="20"/>
        </w:rPr>
        <w:t>2</w:t>
      </w:r>
    </w:p>
    <w:p>
      <w:pPr>
        <w:ind w:firstLine="400"/>
        <w:rPr>
          <w:rFonts w:eastAsia="Times New Roman" w:cs="Times New Roman"/>
          <w:sz w:val="20"/>
          <w:szCs w:val="20"/>
        </w:rPr>
      </w:pPr>
    </w:p>
    <w:p>
      <w:pPr>
        <w:spacing w:line="300" w:lineRule="auto"/>
        <w:ind w:firstLine="0" w:firstLineChars="0"/>
        <w:jc w:val="distribute"/>
        <w:rPr>
          <w:rFonts w:ascii="Times New Roman" w:hAnsi="Times New Roman" w:eastAsia="微软雅黑" w:cs="Times New Roman"/>
          <w:sz w:val="56"/>
          <w:szCs w:val="52"/>
        </w:rPr>
      </w:pPr>
      <w:r>
        <w:rPr>
          <w:rFonts w:ascii="Times New Roman" w:hAnsi="Times New Roman" w:eastAsia="微软雅黑" w:cs="Times New Roman"/>
          <w:sz w:val="56"/>
          <w:szCs w:val="52"/>
        </w:rPr>
        <w:t>团体标准</w:t>
      </w:r>
    </w:p>
    <w:p>
      <w:pPr>
        <w:spacing w:before="201"/>
        <w:ind w:left="4724" w:firstLine="556"/>
        <w:jc w:val="right"/>
        <w:rPr>
          <w:rFonts w:eastAsia="Times New Roman" w:cs="Times New Roman"/>
          <w:sz w:val="28"/>
          <w:szCs w:val="28"/>
        </w:rPr>
      </w:pPr>
      <w:r>
        <w:rPr>
          <w:rFonts w:ascii="Times New Roman" w:hAnsi="Times New Roman" w:eastAsia="宋体" w:cs="Times New Roman"/>
          <w:color w:val="050505"/>
          <w:spacing w:val="-1"/>
          <w:sz w:val="28"/>
          <w:szCs w:val="28"/>
        </w:rPr>
        <w:t>T/CECS  ×××××—202×</w:t>
      </w:r>
    </w:p>
    <w:p>
      <w:pPr>
        <w:spacing w:before="5" w:line="300" w:lineRule="auto"/>
        <w:ind w:firstLine="40" w:firstLineChars="200"/>
        <w:jc w:val="both"/>
        <w:rPr>
          <w:rFonts w:ascii="Times New Roman" w:hAnsi="Times New Roman" w:eastAsia="Times New Roman" w:cs="Times New Roman"/>
          <w:sz w:val="2"/>
          <w:szCs w:val="2"/>
        </w:rPr>
      </w:pPr>
      <w:r>
        <w:rPr>
          <w:rFonts w:ascii="Times New Roman" w:hAnsi="Times New Roman" w:eastAsia="Times New Roman" w:cs="Times New Roman"/>
          <w:sz w:val="2"/>
          <w:szCs w:val="2"/>
        </w:rPr>
        <mc:AlternateContent>
          <mc:Choice Requires="wpg">
            <w:drawing>
              <wp:inline distT="0" distB="0" distL="114300" distR="114300">
                <wp:extent cx="5274310" cy="8890"/>
                <wp:effectExtent l="0" t="4445" r="0" b="0"/>
                <wp:docPr id="3" name="组合 40"/>
                <wp:cNvGraphicFramePr/>
                <a:graphic xmlns:a="http://schemas.openxmlformats.org/drawingml/2006/main">
                  <a:graphicData uri="http://schemas.microsoft.com/office/word/2010/wordprocessingGroup">
                    <wpg:wgp>
                      <wpg:cNvGrpSpPr/>
                      <wpg:grpSpPr>
                        <a:xfrm>
                          <a:off x="0" y="0"/>
                          <a:ext cx="5274310" cy="8890"/>
                          <a:chOff x="0" y="0"/>
                          <a:chExt cx="8699" cy="15203203"/>
                        </a:xfrm>
                      </wpg:grpSpPr>
                      <wpg:grpSp>
                        <wpg:cNvPr id="2" name="Group 5"/>
                        <wpg:cNvGrpSpPr/>
                        <wpg:grpSpPr>
                          <a:xfrm>
                            <a:off x="8" y="8"/>
                            <a:ext cx="8684" cy="2"/>
                            <a:chOff x="8" y="8"/>
                            <a:chExt cx="8684" cy="2"/>
                          </a:xfrm>
                        </wpg:grpSpPr>
                        <wps:wsp>
                          <wps:cNvPr id="1" name="Freeform 6"/>
                          <wps:cNvSpPr/>
                          <wps:spPr>
                            <a:xfrm>
                              <a:off x="8" y="8"/>
                              <a:ext cx="8684" cy="2"/>
                            </a:xfrm>
                            <a:custGeom>
                              <a:avLst/>
                              <a:gdLst>
                                <a:gd name="A1" fmla="val 0"/>
                                <a:gd name="A2" fmla="val 0"/>
                                <a:gd name="A3" fmla="val 0"/>
                              </a:gdLst>
                              <a:ahLst/>
                              <a:cxnLst>
                                <a:cxn ang="0">
                                  <a:pos x="0" y="0"/>
                                </a:cxn>
                                <a:cxn ang="0">
                                  <a:pos x="8684" y="0"/>
                                </a:cxn>
                              </a:cxnLst>
                              <a:rect l="0" t="0" r="0" b="0"/>
                              <a:pathLst>
                                <a:path w="8684" h="1">
                                  <a:moveTo>
                                    <a:pt x="0" y="0"/>
                                  </a:moveTo>
                                  <a:lnTo>
                                    <a:pt x="8684" y="0"/>
                                  </a:lnTo>
                                </a:path>
                              </a:pathLst>
                            </a:custGeom>
                            <a:noFill/>
                            <a:ln w="9525" cap="flat" cmpd="sng">
                              <a:solidFill>
                                <a:srgbClr val="000000"/>
                              </a:solidFill>
                              <a:prstDash val="solid"/>
                              <a:round/>
                              <a:headEnd type="none" w="med" len="med"/>
                              <a:tailEnd type="none" w="med" len="med"/>
                            </a:ln>
                          </wps:spPr>
                          <wps:bodyPr upright="1"/>
                        </wps:wsp>
                      </wpg:grpSp>
                    </wpg:wgp>
                  </a:graphicData>
                </a:graphic>
              </wp:inline>
            </w:drawing>
          </mc:Choice>
          <mc:Fallback>
            <w:pict>
              <v:group id="组合 40" o:spid="_x0000_s1026" o:spt="203" style="height:0.7pt;width:415.3pt;" coordsize="8699,15203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KM2YPnUAAAAAwEAAA8AAAAAAAAAAQAg&#10;AAAAIgAAAGRycy9kb3ducmV2LnhtbFBLAQIUABQAAAAIAIdO4kCuO17D9gIAAL4HAAAOAAAAAAAA&#10;AAEAIAAAACMBAABkcnMvZTJvRG9jLnhtbFBLBQYAAAAABgAGAFkBAACLBg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ICLjm7QAAADa&#10;AAAADwAAAGRycy9kb3ducmV2LnhtbEVPSwrCMBDdC94hjOBOU0VEqlFQEHRXqwcYmrEtJpPSxE89&#10;vREEV8PjfWe1eVkjHtT62rGCyTgBQVw4XXOp4HLejxYgfEDWaByTgo48bNb93gpT7Z58okceShFD&#10;2KeooAqhSaX0RUUW/dg1xJG7utZiiLAtpW7xGcOtkdMkmUuLNceGChvaVVTc8rtVkGnzNmhm3Wm+&#10;z7Jjd8y3M86VGg4myRJEoFf4i3/ug47z4fvK98r1B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gIuObtAAAANoAAAAPAAAA&#10;AAAAAAEAIAAAACIAAABkcnMvZG93bnJldi54bWxQSwECFAAUAAAACACHTuJAMy8FnjsAAAA5AAAA&#10;EAAAAAAAAAABACAAAAADAQAAZHJzL3NoYXBleG1sLnhtbFBLBQYAAAAABgAGAFsBAACtAwAA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300" w:lineRule="auto"/>
        <w:ind w:firstLine="402" w:firstLineChars="200"/>
        <w:jc w:val="both"/>
        <w:rPr>
          <w:rFonts w:ascii="Times New Roman" w:hAnsi="Times New Roman" w:eastAsia="宋体" w:cs="Times New Roman"/>
          <w:b/>
          <w:bCs/>
          <w:sz w:val="20"/>
          <w:szCs w:val="20"/>
        </w:rPr>
      </w:pPr>
    </w:p>
    <w:p>
      <w:pPr>
        <w:spacing w:line="300" w:lineRule="auto"/>
        <w:ind w:firstLine="402" w:firstLineChars="200"/>
        <w:jc w:val="both"/>
        <w:rPr>
          <w:rFonts w:ascii="Times New Roman" w:hAnsi="Times New Roman" w:eastAsia="宋体" w:cs="Times New Roman"/>
          <w:b/>
          <w:bCs/>
          <w:sz w:val="20"/>
          <w:szCs w:val="20"/>
        </w:rPr>
      </w:pPr>
    </w:p>
    <w:p>
      <w:pPr>
        <w:spacing w:line="300" w:lineRule="auto"/>
        <w:ind w:firstLine="402" w:firstLineChars="200"/>
        <w:jc w:val="both"/>
        <w:rPr>
          <w:rFonts w:ascii="Times New Roman" w:hAnsi="Times New Roman" w:eastAsia="宋体" w:cs="Times New Roman"/>
          <w:b/>
          <w:bCs/>
          <w:sz w:val="20"/>
          <w:szCs w:val="20"/>
        </w:rPr>
      </w:pPr>
    </w:p>
    <w:p>
      <w:pPr>
        <w:spacing w:line="300" w:lineRule="auto"/>
        <w:ind w:firstLine="402" w:firstLineChars="200"/>
        <w:jc w:val="both"/>
        <w:rPr>
          <w:rFonts w:ascii="Times New Roman" w:hAnsi="Times New Roman" w:eastAsia="宋体" w:cs="Times New Roman"/>
          <w:b/>
          <w:bCs/>
          <w:sz w:val="20"/>
          <w:szCs w:val="20"/>
        </w:rPr>
      </w:pPr>
    </w:p>
    <w:p>
      <w:pPr>
        <w:spacing w:line="300" w:lineRule="auto"/>
        <w:ind w:firstLine="402" w:firstLineChars="200"/>
        <w:jc w:val="both"/>
        <w:rPr>
          <w:rFonts w:ascii="Times New Roman" w:hAnsi="Times New Roman" w:eastAsia="宋体" w:cs="Times New Roman"/>
          <w:b/>
          <w:bCs/>
          <w:sz w:val="20"/>
          <w:szCs w:val="20"/>
        </w:rPr>
      </w:pPr>
    </w:p>
    <w:p>
      <w:pPr>
        <w:spacing w:line="300" w:lineRule="auto"/>
        <w:ind w:firstLine="402" w:firstLineChars="200"/>
        <w:jc w:val="both"/>
        <w:rPr>
          <w:rFonts w:ascii="Times New Roman" w:hAnsi="Times New Roman" w:eastAsia="宋体" w:cs="Times New Roman"/>
          <w:b/>
          <w:bCs/>
          <w:sz w:val="20"/>
          <w:szCs w:val="20"/>
        </w:rPr>
      </w:pPr>
    </w:p>
    <w:p>
      <w:pPr>
        <w:spacing w:line="300" w:lineRule="auto"/>
        <w:ind w:firstLine="402" w:firstLineChars="200"/>
        <w:jc w:val="both"/>
        <w:rPr>
          <w:rFonts w:ascii="Times New Roman" w:hAnsi="Times New Roman" w:eastAsia="宋体" w:cs="Times New Roman"/>
          <w:b/>
          <w:bCs/>
          <w:sz w:val="20"/>
          <w:szCs w:val="20"/>
        </w:rPr>
      </w:pPr>
    </w:p>
    <w:p>
      <w:pPr>
        <w:spacing w:line="300" w:lineRule="auto"/>
        <w:ind w:firstLine="402" w:firstLineChars="200"/>
        <w:jc w:val="both"/>
        <w:rPr>
          <w:rFonts w:ascii="Times New Roman" w:hAnsi="Times New Roman" w:eastAsia="宋体" w:cs="Times New Roman"/>
          <w:b/>
          <w:bCs/>
          <w:sz w:val="20"/>
          <w:szCs w:val="20"/>
        </w:rPr>
      </w:pPr>
    </w:p>
    <w:p>
      <w:pPr>
        <w:pStyle w:val="8"/>
        <w:spacing w:before="156" w:beforeLines="50"/>
        <w:ind w:firstLine="0" w:firstLineChars="0"/>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混凝土用晶核增强剂</w:t>
      </w:r>
    </w:p>
    <w:p>
      <w:pPr>
        <w:ind w:firstLine="0" w:firstLineChars="0"/>
        <w:jc w:val="center"/>
        <w:rPr>
          <w:rFonts w:hint="eastAsia"/>
        </w:rPr>
      </w:pPr>
      <w:bookmarkStart w:id="1" w:name="_Toc142932821"/>
      <w:bookmarkStart w:id="2" w:name="_Toc26277"/>
      <w:r>
        <w:rPr>
          <w:rFonts w:hint="eastAsia" w:ascii="Times New Roman" w:hAnsi="Times New Roman" w:eastAsia="黑体" w:cs="Times New Roman"/>
          <w:sz w:val="28"/>
          <w:szCs w:val="28"/>
        </w:rPr>
        <w:t>Strength-enhancing seeds admixture for concrete</w:t>
      </w:r>
      <w:bookmarkEnd w:id="1"/>
      <w:bookmarkEnd w:id="2"/>
    </w:p>
    <w:p>
      <w:pPr>
        <w:spacing w:line="353" w:lineRule="exact"/>
        <w:ind w:left="400" w:right="696" w:firstLine="0" w:firstLineChars="0"/>
        <w:jc w:val="center"/>
        <w:rPr>
          <w:rFonts w:cs="Times New Roman"/>
          <w:sz w:val="32"/>
          <w:szCs w:val="32"/>
        </w:rPr>
      </w:pPr>
      <w:r>
        <w:rPr>
          <w:rFonts w:cs="Times New Roman"/>
          <w:sz w:val="32"/>
          <w:szCs w:val="32"/>
        </w:rPr>
        <w:t>（</w:t>
      </w:r>
      <w:r>
        <w:rPr>
          <w:rFonts w:hint="eastAsia" w:ascii="Times New Roman" w:hAnsi="Times New Roman" w:eastAsia="宋体" w:cs="Times New Roman"/>
          <w:sz w:val="32"/>
          <w:szCs w:val="32"/>
        </w:rPr>
        <w:t>征求意见</w:t>
      </w:r>
      <w:r>
        <w:rPr>
          <w:rFonts w:ascii="Times New Roman" w:hAnsi="Times New Roman" w:eastAsia="宋体" w:cs="Times New Roman"/>
          <w:sz w:val="32"/>
          <w:szCs w:val="32"/>
        </w:rPr>
        <w:t>稿</w:t>
      </w:r>
      <w:r>
        <w:rPr>
          <w:rFonts w:cs="Times New Roman"/>
          <w:sz w:val="32"/>
          <w:szCs w:val="32"/>
        </w:rPr>
        <w:t>）</w:t>
      </w: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eastAsia="黑体" w:cs="Times New Roman"/>
          <w:bCs/>
          <w:sz w:val="28"/>
          <w:szCs w:val="24"/>
        </w:rPr>
      </w:pPr>
      <w:r>
        <w:rPr>
          <w:rFonts w:ascii="Times New Roman" w:hAnsi="Times New Roman" w:eastAsia="黑体" w:cs="Times New Roman"/>
          <w:bCs/>
          <w:sz w:val="28"/>
          <w:szCs w:val="24"/>
        </w:rPr>
        <w:t>20××-××-××发布</w:t>
      </w:r>
      <w:r>
        <w:rPr>
          <w:rFonts w:eastAsia="黑体" w:cs="Times New Roman"/>
          <w:bCs/>
          <w:sz w:val="28"/>
          <w:szCs w:val="24"/>
        </w:rPr>
        <w:t xml:space="preserve">                  </w:t>
      </w:r>
      <w:r>
        <w:rPr>
          <w:rFonts w:hint="eastAsia" w:eastAsia="黑体" w:cs="Times New Roman"/>
          <w:bCs/>
          <w:sz w:val="28"/>
          <w:szCs w:val="24"/>
          <w:lang w:val="en-US" w:eastAsia="zh-CN"/>
        </w:rPr>
        <w:t xml:space="preserve">            </w:t>
      </w:r>
      <w:r>
        <w:rPr>
          <w:rFonts w:eastAsia="黑体" w:cs="Times New Roman"/>
          <w:bCs/>
          <w:sz w:val="28"/>
          <w:szCs w:val="24"/>
        </w:rPr>
        <w:t xml:space="preserve"> </w:t>
      </w:r>
      <w:r>
        <w:rPr>
          <w:rFonts w:ascii="Times New Roman" w:hAnsi="Times New Roman" w:eastAsia="黑体" w:cs="Times New Roman"/>
          <w:bCs/>
          <w:sz w:val="28"/>
          <w:szCs w:val="24"/>
        </w:rPr>
        <w:t>20××-××-××实施</w:t>
      </w:r>
    </w:p>
    <w:p>
      <w:pPr>
        <w:ind w:firstLine="0" w:firstLineChars="0"/>
        <w:rPr>
          <w:rFonts w:cs="Times New Roman"/>
          <w:bCs/>
          <w:sz w:val="32"/>
          <w:szCs w:val="32"/>
        </w:rPr>
      </w:pPr>
      <w:r>
        <w:rPr>
          <w:rFonts w:eastAsia="Times New Roman" w:cs="Times New Roman"/>
          <w:sz w:val="2"/>
          <w:szCs w:val="2"/>
        </w:rPr>
        <mc:AlternateContent>
          <mc:Choice Requires="wpg">
            <w:drawing>
              <wp:inline distT="0" distB="0" distL="114300" distR="114300">
                <wp:extent cx="5274310" cy="8890"/>
                <wp:effectExtent l="0" t="4445" r="0" b="0"/>
                <wp:docPr id="6" name="Group 4"/>
                <wp:cNvGraphicFramePr/>
                <a:graphic xmlns:a="http://schemas.openxmlformats.org/drawingml/2006/main">
                  <a:graphicData uri="http://schemas.microsoft.com/office/word/2010/wordprocessingGroup">
                    <wpg:wgp>
                      <wpg:cNvGrpSpPr/>
                      <wpg:grpSpPr>
                        <a:xfrm>
                          <a:off x="0" y="0"/>
                          <a:ext cx="5274310" cy="8890"/>
                          <a:chOff x="0" y="0"/>
                          <a:chExt cx="8699" cy="15203203"/>
                        </a:xfrm>
                      </wpg:grpSpPr>
                      <wpg:grpSp>
                        <wpg:cNvPr id="5" name="Group 5"/>
                        <wpg:cNvGrpSpPr/>
                        <wpg:grpSpPr>
                          <a:xfrm>
                            <a:off x="8" y="8"/>
                            <a:ext cx="8684" cy="2"/>
                            <a:chOff x="8" y="8"/>
                            <a:chExt cx="8684" cy="2"/>
                          </a:xfrm>
                        </wpg:grpSpPr>
                        <wps:wsp>
                          <wps:cNvPr id="4" name="Freeform 6"/>
                          <wps:cNvSpPr/>
                          <wps:spPr>
                            <a:xfrm>
                              <a:off x="8" y="8"/>
                              <a:ext cx="8684" cy="2"/>
                            </a:xfrm>
                            <a:custGeom>
                              <a:avLst/>
                              <a:gdLst>
                                <a:gd name="A1" fmla="val 0"/>
                                <a:gd name="A2" fmla="val 0"/>
                                <a:gd name="A3" fmla="val 0"/>
                              </a:gdLst>
                              <a:ahLst/>
                              <a:cxnLst>
                                <a:cxn ang="0">
                                  <a:pos x="0" y="0"/>
                                </a:cxn>
                                <a:cxn ang="0">
                                  <a:pos x="8684" y="0"/>
                                </a:cxn>
                              </a:cxnLst>
                              <a:rect l="0" t="0" r="0" b="0"/>
                              <a:pathLst>
                                <a:path w="8684" h="1">
                                  <a:moveTo>
                                    <a:pt x="0" y="0"/>
                                  </a:moveTo>
                                  <a:lnTo>
                                    <a:pt x="8684" y="0"/>
                                  </a:lnTo>
                                </a:path>
                              </a:pathLst>
                            </a:custGeom>
                            <a:noFill/>
                            <a:ln w="9525" cap="flat" cmpd="sng">
                              <a:solidFill>
                                <a:srgbClr val="000000"/>
                              </a:solidFill>
                              <a:prstDash val="solid"/>
                              <a:round/>
                              <a:headEnd type="none" w="med" len="med"/>
                              <a:tailEnd type="none" w="med" len="med"/>
                            </a:ln>
                          </wps:spPr>
                          <wps:bodyPr upright="1"/>
                        </wps:wsp>
                      </wpg:grpSp>
                    </wpg:wgp>
                  </a:graphicData>
                </a:graphic>
              </wp:inline>
            </w:drawing>
          </mc:Choice>
          <mc:Fallback>
            <w:pict>
              <v:group id="Group 4" o:spid="_x0000_s1026" o:spt="203" style="height:0.7pt;width:415.3pt;" coordsize="8699,15203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jNmD51AAAAAMBAAAPAAAAAAAAAAEAIAAAACIAAABkcnMvZG93bnJldi54&#10;bWxQSwECFAAUAAAACACHTuJASDFCEeICAAC8BwAADgAAAAAAAAABACAAAAAjAQAAZHJzL2Uyb0Rv&#10;Yy54bWxQSwUGAAAAAAYABgBZAQAAdwYAAAAA&#10;">
                <o:lock v:ext="edit" aspectratio="f"/>
                <v:group id="Group 5" o:spid="_x0000_s1026" o:spt="203" style="position:absolute;left:8;top:8;height:2;width:8684;" coordorigin="8,8" coordsize="8684,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MFVAA7gAAADa&#10;AAAADwAAAGRycy9kb3ducmV2LnhtbEWP3arCMBCE7wXfIaxw7jRVikg1CgqC3tXqAyzN2haTTWni&#10;T336E0HwcpiZb5jV5mWNeFDnG8cKppMEBHHpdMOVgst5P16A8AFZo3FMCnrysFkPByvMtHvyiR5F&#10;qESEsM9QQR1Cm0npy5os+olriaN3dZ3FEGVXSd3hM8KtkbMkmUuLDceFGlva1VTeirtVkGvzNmjS&#10;/jTf5/mxPxbblAul/kbTZAki0Cv8wt/2QStI4XMl3gC5/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FVAA7gAAADaAAAA&#10;DwAAAAAAAAABACAAAAAiAAAAZHJzL2Rvd25yZXYueG1sUEsBAhQAFAAAAAgAh07iQDMvBZ47AAAA&#10;OQAAABAAAAAAAAAAAQAgAAAABwEAAGRycy9zaGFwZXhtbC54bWxQSwUGAAAAAAYABgBbAQAAsQMA&#10;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0" w:firstLineChars="0"/>
        <w:jc w:val="center"/>
        <w:rPr>
          <w:rFonts w:eastAsia="黑体" w:cs="Times New Roman"/>
          <w:sz w:val="24"/>
          <w:szCs w:val="24"/>
        </w:rPr>
      </w:pPr>
      <w:r>
        <w:rPr>
          <w:rFonts w:ascii="Times New Roman" w:hAnsi="Times New Roman" w:eastAsia="黑体" w:cs="Times New Roman"/>
          <w:color w:val="050505"/>
          <w:spacing w:val="-1"/>
          <w:sz w:val="32"/>
          <w:szCs w:val="24"/>
        </w:rPr>
        <w:t xml:space="preserve">中国工程建设标准化协会 </w:t>
      </w:r>
      <w:r>
        <w:rPr>
          <w:rFonts w:eastAsia="黑体" w:cs="Times New Roman"/>
          <w:color w:val="050505"/>
          <w:spacing w:val="-1"/>
          <w:sz w:val="32"/>
          <w:szCs w:val="24"/>
        </w:rPr>
        <w:t xml:space="preserve">   </w:t>
      </w:r>
      <w:r>
        <w:rPr>
          <w:rFonts w:eastAsia="黑体" w:cs="Times New Roman"/>
          <w:color w:val="050505"/>
          <w:spacing w:val="-1"/>
          <w:sz w:val="24"/>
          <w:szCs w:val="24"/>
        </w:rPr>
        <w:t>发 布</w:t>
      </w:r>
    </w:p>
    <w:p>
      <w:pPr>
        <w:ind w:firstLine="420"/>
        <w:rPr>
          <w:rFonts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sdt>
      <w:sdtPr>
        <w:id w:val="147475995"/>
        <w15:color w:val="DBDBDB"/>
        <w:docPartObj>
          <w:docPartGallery w:val="Table of Contents"/>
          <w:docPartUnique/>
        </w:docPartObj>
      </w:sdtPr>
      <w:sdtContent>
        <w:p>
          <w:pPr>
            <w:outlineLvl w:val="0"/>
            <w:rPr>
              <w:rFonts w:hint="eastAsia"/>
            </w:rPr>
          </w:pPr>
          <w:bookmarkStart w:id="3" w:name="_Toc31181"/>
          <w:bookmarkStart w:id="4" w:name="_Toc30830"/>
          <w:bookmarkStart w:id="5" w:name="_Toc9815"/>
          <w:bookmarkStart w:id="6" w:name="_Toc26409"/>
          <w:r>
            <w:t>目</w:t>
          </w:r>
          <w:r>
            <w:rPr>
              <w:rFonts w:hint="eastAsia"/>
            </w:rPr>
            <w:t xml:space="preserve">  次</w:t>
          </w:r>
          <w:bookmarkEnd w:id="3"/>
        </w:p>
        <w:p>
          <w:pPr>
            <w:pStyle w:val="12"/>
            <w:tabs>
              <w:tab w:val="right" w:leader="dot" w:pos="8306"/>
            </w:tabs>
            <w:jc w:val="both"/>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p>
        <w:p>
          <w:pPr>
            <w:pStyle w:val="12"/>
            <w:tabs>
              <w:tab w:val="right" w:leader="dot" w:pos="8306"/>
            </w:tabs>
          </w:pPr>
          <w:r>
            <w:rPr>
              <w:rFonts w:hint="eastAsia" w:cs="宋体"/>
            </w:rPr>
            <w:fldChar w:fldCharType="begin"/>
          </w:r>
          <w:r>
            <w:rPr>
              <w:rFonts w:hint="eastAsia" w:cs="宋体"/>
            </w:rPr>
            <w:instrText xml:space="preserve"> HYPERLINK \l _Toc20948 </w:instrText>
          </w:r>
          <w:r>
            <w:rPr>
              <w:rFonts w:hint="eastAsia" w:cs="宋体"/>
            </w:rPr>
            <w:fldChar w:fldCharType="separate"/>
          </w:r>
          <w:r>
            <w:rPr>
              <w:rFonts w:ascii="Times New Roman" w:hAnsi="Times New Roman" w:cs="Times New Roman"/>
              <w:szCs w:val="32"/>
            </w:rPr>
            <w:t>前  言</w:t>
          </w:r>
          <w:r>
            <w:tab/>
          </w:r>
          <w:r>
            <w:fldChar w:fldCharType="begin"/>
          </w:r>
          <w:r>
            <w:instrText xml:space="preserve"> PAGEREF _Toc20948 \h </w:instrText>
          </w:r>
          <w:r>
            <w:fldChar w:fldCharType="separate"/>
          </w:r>
          <w:r>
            <w:t>II</w:t>
          </w:r>
          <w:r>
            <w:fldChar w:fldCharType="end"/>
          </w:r>
          <w:r>
            <w:rPr>
              <w:rFonts w:hint="eastAsia" w:cs="宋体"/>
            </w:rPr>
            <w:fldChar w:fldCharType="end"/>
          </w:r>
        </w:p>
        <w:p>
          <w:pPr>
            <w:pStyle w:val="12"/>
            <w:tabs>
              <w:tab w:val="right" w:leader="dot" w:pos="8306"/>
            </w:tabs>
          </w:pPr>
          <w:r>
            <w:rPr>
              <w:rFonts w:hint="eastAsia" w:cs="宋体"/>
            </w:rPr>
            <w:fldChar w:fldCharType="begin"/>
          </w:r>
          <w:r>
            <w:rPr>
              <w:rFonts w:hint="eastAsia" w:cs="宋体"/>
            </w:rPr>
            <w:instrText xml:space="preserve"> HYPERLINK \l _Toc10026 </w:instrText>
          </w:r>
          <w:r>
            <w:rPr>
              <w:rFonts w:hint="eastAsia" w:cs="宋体"/>
            </w:rPr>
            <w:fldChar w:fldCharType="separate"/>
          </w:r>
          <w:r>
            <w:rPr>
              <w:rFonts w:hint="eastAsia"/>
            </w:rPr>
            <w:t>混凝土用晶核增强剂</w:t>
          </w:r>
          <w:r>
            <w:tab/>
          </w:r>
          <w:r>
            <w:fldChar w:fldCharType="begin"/>
          </w:r>
          <w:r>
            <w:instrText xml:space="preserve"> PAGEREF _Toc10026 \h </w:instrText>
          </w:r>
          <w:r>
            <w:fldChar w:fldCharType="separate"/>
          </w:r>
          <w:r>
            <w:t>1</w:t>
          </w:r>
          <w:r>
            <w:fldChar w:fldCharType="end"/>
          </w:r>
          <w:r>
            <w:rPr>
              <w:rFonts w:hint="eastAsia" w:cs="宋体"/>
            </w:rPr>
            <w:fldChar w:fldCharType="end"/>
          </w:r>
        </w:p>
        <w:p>
          <w:pPr>
            <w:pStyle w:val="12"/>
            <w:tabs>
              <w:tab w:val="right" w:leader="dot" w:pos="8306"/>
            </w:tabs>
          </w:pPr>
          <w:r>
            <w:rPr>
              <w:rFonts w:hint="eastAsia" w:cs="宋体"/>
            </w:rPr>
            <w:fldChar w:fldCharType="begin"/>
          </w:r>
          <w:r>
            <w:rPr>
              <w:rFonts w:hint="eastAsia" w:cs="宋体"/>
            </w:rPr>
            <w:instrText xml:space="preserve"> HYPERLINK \l _Toc19418 </w:instrText>
          </w:r>
          <w:r>
            <w:rPr>
              <w:rFonts w:hint="eastAsia" w:cs="宋体"/>
            </w:rPr>
            <w:fldChar w:fldCharType="separate"/>
          </w:r>
          <w:r>
            <w:rPr>
              <w:rFonts w:ascii="Times New Roman" w:hAnsi="Times New Roman" w:cs="Times New Roman"/>
            </w:rPr>
            <w:t>1 范围</w:t>
          </w:r>
          <w:r>
            <w:tab/>
          </w:r>
          <w:r>
            <w:fldChar w:fldCharType="begin"/>
          </w:r>
          <w:r>
            <w:instrText xml:space="preserve"> PAGEREF _Toc19418 \h </w:instrText>
          </w:r>
          <w:r>
            <w:fldChar w:fldCharType="separate"/>
          </w:r>
          <w:r>
            <w:t>1</w:t>
          </w:r>
          <w:r>
            <w:fldChar w:fldCharType="end"/>
          </w:r>
          <w:r>
            <w:rPr>
              <w:rFonts w:hint="eastAsia" w:cs="宋体"/>
            </w:rPr>
            <w:fldChar w:fldCharType="end"/>
          </w:r>
        </w:p>
        <w:p>
          <w:pPr>
            <w:pStyle w:val="12"/>
            <w:tabs>
              <w:tab w:val="right" w:leader="dot" w:pos="8306"/>
            </w:tabs>
          </w:pPr>
          <w:r>
            <w:rPr>
              <w:rFonts w:hint="eastAsia" w:cs="宋体"/>
            </w:rPr>
            <w:fldChar w:fldCharType="begin"/>
          </w:r>
          <w:r>
            <w:rPr>
              <w:rFonts w:hint="eastAsia" w:cs="宋体"/>
            </w:rPr>
            <w:instrText xml:space="preserve"> HYPERLINK \l _Toc30952 </w:instrText>
          </w:r>
          <w:r>
            <w:rPr>
              <w:rFonts w:hint="eastAsia" w:cs="宋体"/>
            </w:rPr>
            <w:fldChar w:fldCharType="separate"/>
          </w:r>
          <w:r>
            <w:t>2 规范性引用文件</w:t>
          </w:r>
          <w:r>
            <w:tab/>
          </w:r>
          <w:r>
            <w:fldChar w:fldCharType="begin"/>
          </w:r>
          <w:r>
            <w:instrText xml:space="preserve"> PAGEREF _Toc30952 \h </w:instrText>
          </w:r>
          <w:r>
            <w:fldChar w:fldCharType="separate"/>
          </w:r>
          <w:r>
            <w:t>1</w:t>
          </w:r>
          <w:r>
            <w:fldChar w:fldCharType="end"/>
          </w:r>
          <w:r>
            <w:rPr>
              <w:rFonts w:hint="eastAsia" w:cs="宋体"/>
            </w:rPr>
            <w:fldChar w:fldCharType="end"/>
          </w:r>
        </w:p>
        <w:p>
          <w:pPr>
            <w:pStyle w:val="12"/>
            <w:tabs>
              <w:tab w:val="right" w:leader="dot" w:pos="8306"/>
            </w:tabs>
          </w:pPr>
          <w:r>
            <w:rPr>
              <w:rFonts w:hint="eastAsia" w:cs="宋体"/>
            </w:rPr>
            <w:fldChar w:fldCharType="begin"/>
          </w:r>
          <w:r>
            <w:rPr>
              <w:rFonts w:hint="eastAsia" w:cs="宋体"/>
            </w:rPr>
            <w:instrText xml:space="preserve"> HYPERLINK \l _Toc17618 </w:instrText>
          </w:r>
          <w:r>
            <w:rPr>
              <w:rFonts w:hint="eastAsia" w:cs="宋体"/>
            </w:rPr>
            <w:fldChar w:fldCharType="separate"/>
          </w:r>
          <w:r>
            <w:t>3 术语</w:t>
          </w:r>
          <w:r>
            <w:rPr>
              <w:rFonts w:hint="eastAsia"/>
            </w:rPr>
            <w:t>和</w:t>
          </w:r>
          <w:r>
            <w:t>定义</w:t>
          </w:r>
          <w:r>
            <w:tab/>
          </w:r>
          <w:r>
            <w:fldChar w:fldCharType="begin"/>
          </w:r>
          <w:r>
            <w:instrText xml:space="preserve"> PAGEREF _Toc17618 \h </w:instrText>
          </w:r>
          <w:r>
            <w:fldChar w:fldCharType="separate"/>
          </w:r>
          <w:r>
            <w:t>1</w:t>
          </w:r>
          <w:r>
            <w:fldChar w:fldCharType="end"/>
          </w:r>
          <w:r>
            <w:rPr>
              <w:rFonts w:hint="eastAsia" w:cs="宋体"/>
            </w:rPr>
            <w:fldChar w:fldCharType="end"/>
          </w:r>
        </w:p>
        <w:p>
          <w:pPr>
            <w:pStyle w:val="12"/>
            <w:tabs>
              <w:tab w:val="right" w:leader="dot" w:pos="8306"/>
            </w:tabs>
          </w:pPr>
          <w:r>
            <w:rPr>
              <w:rFonts w:hint="eastAsia" w:cs="宋体"/>
            </w:rPr>
            <w:fldChar w:fldCharType="begin"/>
          </w:r>
          <w:r>
            <w:rPr>
              <w:rFonts w:hint="eastAsia" w:cs="宋体"/>
            </w:rPr>
            <w:instrText xml:space="preserve"> HYPERLINK \l _Toc12530 </w:instrText>
          </w:r>
          <w:r>
            <w:rPr>
              <w:rFonts w:hint="eastAsia" w:cs="宋体"/>
            </w:rPr>
            <w:fldChar w:fldCharType="separate"/>
          </w:r>
          <w:r>
            <w:rPr>
              <w:rFonts w:ascii="Times New Roman" w:hAnsi="Times New Roman" w:cs="Times New Roman"/>
            </w:rPr>
            <w:t>4 分类</w:t>
          </w:r>
          <w:r>
            <w:rPr>
              <w:rFonts w:hint="eastAsia" w:ascii="Times New Roman" w:hAnsi="Times New Roman" w:cs="Times New Roman"/>
            </w:rPr>
            <w:t>和</w:t>
          </w:r>
          <w:r>
            <w:rPr>
              <w:rFonts w:ascii="Times New Roman" w:hAnsi="Times New Roman" w:cs="Times New Roman"/>
            </w:rPr>
            <w:t>标记</w:t>
          </w:r>
          <w:r>
            <w:tab/>
          </w:r>
          <w:r>
            <w:fldChar w:fldCharType="begin"/>
          </w:r>
          <w:r>
            <w:instrText xml:space="preserve"> PAGEREF _Toc12530 \h </w:instrText>
          </w:r>
          <w:r>
            <w:fldChar w:fldCharType="separate"/>
          </w:r>
          <w:r>
            <w:t>1</w:t>
          </w:r>
          <w:r>
            <w:fldChar w:fldCharType="end"/>
          </w:r>
          <w:r>
            <w:rPr>
              <w:rFonts w:hint="eastAsia" w:cs="宋体"/>
            </w:rPr>
            <w:fldChar w:fldCharType="end"/>
          </w:r>
        </w:p>
        <w:p>
          <w:pPr>
            <w:pStyle w:val="12"/>
            <w:tabs>
              <w:tab w:val="right" w:leader="dot" w:pos="8306"/>
            </w:tabs>
          </w:pPr>
          <w:r>
            <w:rPr>
              <w:rFonts w:hint="eastAsia" w:cs="宋体"/>
            </w:rPr>
            <w:fldChar w:fldCharType="begin"/>
          </w:r>
          <w:r>
            <w:rPr>
              <w:rFonts w:hint="eastAsia" w:cs="宋体"/>
            </w:rPr>
            <w:instrText xml:space="preserve"> HYPERLINK \l _Toc5868 </w:instrText>
          </w:r>
          <w:r>
            <w:rPr>
              <w:rFonts w:hint="eastAsia" w:cs="宋体"/>
            </w:rPr>
            <w:fldChar w:fldCharType="separate"/>
          </w:r>
          <w:r>
            <w:rPr>
              <w:rFonts w:ascii="Times New Roman" w:hAnsi="Times New Roman" w:cs="Times New Roman"/>
            </w:rPr>
            <w:t>5 要求</w:t>
          </w:r>
          <w:r>
            <w:tab/>
          </w:r>
          <w:r>
            <w:fldChar w:fldCharType="begin"/>
          </w:r>
          <w:r>
            <w:instrText xml:space="preserve"> PAGEREF _Toc5868 \h </w:instrText>
          </w:r>
          <w:r>
            <w:fldChar w:fldCharType="separate"/>
          </w:r>
          <w:r>
            <w:t>2</w:t>
          </w:r>
          <w:r>
            <w:fldChar w:fldCharType="end"/>
          </w:r>
          <w:r>
            <w:rPr>
              <w:rFonts w:hint="eastAsia" w:cs="宋体"/>
            </w:rPr>
            <w:fldChar w:fldCharType="end"/>
          </w:r>
        </w:p>
        <w:p>
          <w:pPr>
            <w:pStyle w:val="12"/>
            <w:tabs>
              <w:tab w:val="right" w:leader="dot" w:pos="8306"/>
            </w:tabs>
          </w:pPr>
          <w:r>
            <w:rPr>
              <w:rFonts w:hint="eastAsia" w:cs="宋体"/>
            </w:rPr>
            <w:fldChar w:fldCharType="begin"/>
          </w:r>
          <w:r>
            <w:rPr>
              <w:rFonts w:hint="eastAsia" w:cs="宋体"/>
            </w:rPr>
            <w:instrText xml:space="preserve"> HYPERLINK \l _Toc21712 </w:instrText>
          </w:r>
          <w:r>
            <w:rPr>
              <w:rFonts w:hint="eastAsia" w:cs="宋体"/>
            </w:rPr>
            <w:fldChar w:fldCharType="separate"/>
          </w:r>
          <w:r>
            <w:rPr>
              <w:rFonts w:ascii="Times New Roman" w:hAnsi="Times New Roman" w:cs="Times New Roman"/>
            </w:rPr>
            <w:t>6 试验方法</w:t>
          </w:r>
          <w:r>
            <w:tab/>
          </w:r>
          <w:r>
            <w:fldChar w:fldCharType="begin"/>
          </w:r>
          <w:r>
            <w:instrText xml:space="preserve"> PAGEREF _Toc21712 \h </w:instrText>
          </w:r>
          <w:r>
            <w:fldChar w:fldCharType="separate"/>
          </w:r>
          <w:r>
            <w:t>3</w:t>
          </w:r>
          <w:r>
            <w:fldChar w:fldCharType="end"/>
          </w:r>
          <w:r>
            <w:rPr>
              <w:rFonts w:hint="eastAsia" w:cs="宋体"/>
            </w:rPr>
            <w:fldChar w:fldCharType="end"/>
          </w:r>
        </w:p>
        <w:p>
          <w:pPr>
            <w:pStyle w:val="12"/>
            <w:tabs>
              <w:tab w:val="right" w:leader="dot" w:pos="8306"/>
            </w:tabs>
          </w:pPr>
          <w:r>
            <w:rPr>
              <w:rFonts w:hint="eastAsia" w:cs="宋体"/>
            </w:rPr>
            <w:fldChar w:fldCharType="begin"/>
          </w:r>
          <w:r>
            <w:rPr>
              <w:rFonts w:hint="eastAsia" w:cs="宋体"/>
            </w:rPr>
            <w:instrText xml:space="preserve"> HYPERLINK \l _Toc17989 </w:instrText>
          </w:r>
          <w:r>
            <w:rPr>
              <w:rFonts w:hint="eastAsia" w:cs="宋体"/>
            </w:rPr>
            <w:fldChar w:fldCharType="separate"/>
          </w:r>
          <w:r>
            <w:rPr>
              <w:rFonts w:hint="eastAsia" w:ascii="Times New Roman" w:hAnsi="Times New Roman" w:cs="Times New Roman"/>
            </w:rPr>
            <w:t xml:space="preserve">7 </w:t>
          </w:r>
          <w:r>
            <w:rPr>
              <w:rFonts w:ascii="Times New Roman" w:hAnsi="Times New Roman" w:cs="Times New Roman"/>
            </w:rPr>
            <w:t>检验规则</w:t>
          </w:r>
          <w:r>
            <w:tab/>
          </w:r>
          <w:r>
            <w:fldChar w:fldCharType="begin"/>
          </w:r>
          <w:r>
            <w:instrText xml:space="preserve"> PAGEREF _Toc17989 \h </w:instrText>
          </w:r>
          <w:r>
            <w:fldChar w:fldCharType="separate"/>
          </w:r>
          <w:r>
            <w:t>4</w:t>
          </w:r>
          <w:r>
            <w:fldChar w:fldCharType="end"/>
          </w:r>
          <w:r>
            <w:rPr>
              <w:rFonts w:hint="eastAsia" w:cs="宋体"/>
            </w:rPr>
            <w:fldChar w:fldCharType="end"/>
          </w:r>
        </w:p>
        <w:p>
          <w:pPr>
            <w:pStyle w:val="12"/>
            <w:tabs>
              <w:tab w:val="right" w:leader="dot" w:pos="8306"/>
            </w:tabs>
          </w:pPr>
          <w:r>
            <w:rPr>
              <w:rFonts w:hint="eastAsia" w:cs="宋体"/>
            </w:rPr>
            <w:fldChar w:fldCharType="begin"/>
          </w:r>
          <w:r>
            <w:rPr>
              <w:rFonts w:hint="eastAsia" w:cs="宋体"/>
            </w:rPr>
            <w:instrText xml:space="preserve"> HYPERLINK \l _Toc7868 </w:instrText>
          </w:r>
          <w:r>
            <w:rPr>
              <w:rFonts w:hint="eastAsia" w:cs="宋体"/>
            </w:rPr>
            <w:fldChar w:fldCharType="separate"/>
          </w:r>
          <w:r>
            <w:rPr>
              <w:rFonts w:hint="eastAsia" w:ascii="Times New Roman" w:hAnsi="Times New Roman" w:cs="Times New Roman"/>
            </w:rPr>
            <w:t>8 标志、包装、出厂、贮存与运输</w:t>
          </w:r>
          <w:r>
            <w:tab/>
          </w:r>
          <w:r>
            <w:fldChar w:fldCharType="begin"/>
          </w:r>
          <w:r>
            <w:instrText xml:space="preserve"> PAGEREF _Toc7868 \h </w:instrText>
          </w:r>
          <w:r>
            <w:fldChar w:fldCharType="separate"/>
          </w:r>
          <w:r>
            <w:t>5</w:t>
          </w:r>
          <w:r>
            <w:fldChar w:fldCharType="end"/>
          </w:r>
          <w:r>
            <w:rPr>
              <w:rFonts w:hint="eastAsia" w:cs="宋体"/>
            </w:rPr>
            <w:fldChar w:fldCharType="end"/>
          </w:r>
        </w:p>
        <w:p>
          <w:r>
            <w:rPr>
              <w:rFonts w:hint="eastAsia" w:cs="宋体"/>
            </w:rPr>
            <w:fldChar w:fldCharType="end"/>
          </w:r>
        </w:p>
      </w:sdtContent>
    </w:sdt>
    <w:p/>
    <w:p>
      <w:pPr>
        <w:bidi w:val="0"/>
      </w:pPr>
    </w:p>
    <w:p>
      <w:pPr>
        <w:bidi w:val="0"/>
      </w:pPr>
    </w:p>
    <w:p>
      <w:pPr>
        <w:bidi w:val="0"/>
      </w:pPr>
    </w:p>
    <w:p>
      <w:pPr>
        <w:bidi w:val="0"/>
      </w:pPr>
    </w:p>
    <w:p>
      <w:pPr>
        <w:bidi w:val="0"/>
      </w:pPr>
      <w:r>
        <w:rPr>
          <w:rFonts w:hint="eastAsia"/>
        </w:rPr>
        <w:tab/>
      </w:r>
    </w:p>
    <w:p>
      <w:pPr>
        <w:bidi w:val="0"/>
      </w:pPr>
    </w:p>
    <w:p>
      <w:pPr>
        <w:bidi w:val="0"/>
      </w:pPr>
    </w:p>
    <w:p>
      <w:pPr>
        <w:bidi w:val="0"/>
      </w:pPr>
    </w:p>
    <w:p>
      <w:pPr>
        <w:bidi w:val="0"/>
      </w:pPr>
    </w:p>
    <w:p>
      <w:pPr>
        <w:bidi w:val="0"/>
      </w:pPr>
    </w:p>
    <w:p>
      <w:pPr>
        <w:bidi w:val="0"/>
      </w:pPr>
    </w:p>
    <w:p>
      <w:pPr>
        <w:bidi w:val="0"/>
      </w:pPr>
    </w:p>
    <w:p>
      <w:r>
        <w:br w:type="page"/>
      </w:r>
    </w:p>
    <w:p>
      <w:pPr>
        <w:pStyle w:val="2"/>
        <w:spacing w:before="62" w:after="62"/>
        <w:outlineLvl w:val="0"/>
      </w:pPr>
      <w:bookmarkStart w:id="7" w:name="_Toc20948"/>
      <w:r>
        <w:rPr>
          <w:rFonts w:ascii="Times New Roman" w:hAnsi="Times New Roman" w:cs="Times New Roman"/>
          <w:b w:val="0"/>
          <w:sz w:val="32"/>
          <w:szCs w:val="32"/>
        </w:rPr>
        <w:t>前  言</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eastAsia="宋体" w:cs="Times New Roman"/>
        </w:rPr>
      </w:pPr>
      <w:r>
        <w:rPr>
          <w:rFonts w:ascii="Times New Roman" w:hAnsi="Times New Roman" w:eastAsia="宋体" w:cs="Times New Roman"/>
        </w:rPr>
        <w:t>本文件按照GB/T 1.1-2020《标准化工作导则 第1部分：标准化文件的结构和起草规则》</w:t>
      </w:r>
      <w:r>
        <w:rPr>
          <w:rFonts w:hint="eastAsia" w:ascii="Times New Roman" w:hAnsi="Times New Roman" w:eastAsia="宋体" w:cs="Times New Roman"/>
        </w:rPr>
        <w:t>和</w:t>
      </w:r>
      <w:r>
        <w:rPr>
          <w:rFonts w:ascii="Times New Roman" w:hAnsi="Times New Roman" w:eastAsia="宋体" w:cs="Times New Roman"/>
        </w:rPr>
        <w:t>GB/T 20001.10-2014《标准编写规则 第10部分：产品标准》的规</w:t>
      </w:r>
      <w:r>
        <w:rPr>
          <w:rFonts w:hint="eastAsia" w:ascii="Times New Roman" w:hAnsi="Times New Roman" w:eastAsia="宋体" w:cs="Times New Roman"/>
        </w:rPr>
        <w:t>定</w:t>
      </w:r>
      <w:r>
        <w:rPr>
          <w:rFonts w:ascii="Times New Roman" w:hAnsi="Times New Roman" w:eastAsia="宋体" w:cs="Times New Roman"/>
        </w:rPr>
        <w:t>起草。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eastAsia="宋体" w:cs="Times New Roman"/>
        </w:rPr>
      </w:pPr>
      <w:r>
        <w:rPr>
          <w:rFonts w:ascii="Times New Roman" w:hAnsi="Times New Roman" w:eastAsia="宋体" w:cs="Times New Roman"/>
        </w:rPr>
        <w:t>本文件是按中国工程建设标准化协会《关于印发&lt;202</w:t>
      </w:r>
      <w:r>
        <w:rPr>
          <w:rFonts w:hint="eastAsia" w:ascii="Times New Roman" w:hAnsi="Times New Roman" w:eastAsia="宋体" w:cs="Times New Roman"/>
        </w:rPr>
        <w:t>2</w:t>
      </w:r>
      <w:r>
        <w:rPr>
          <w:rFonts w:ascii="Times New Roman" w:hAnsi="Times New Roman" w:eastAsia="宋体" w:cs="Times New Roman"/>
        </w:rPr>
        <w:t>年第二批协会标准制订、修订计划&gt;的通知》（建标协字[202</w:t>
      </w:r>
      <w:r>
        <w:rPr>
          <w:rFonts w:hint="eastAsia" w:ascii="Times New Roman" w:hAnsi="Times New Roman" w:eastAsia="宋体" w:cs="Times New Roman"/>
        </w:rPr>
        <w:t>2</w:t>
      </w:r>
      <w:r>
        <w:rPr>
          <w:rFonts w:ascii="Times New Roman" w:hAnsi="Times New Roman" w:eastAsia="宋体" w:cs="Times New Roman"/>
        </w:rPr>
        <w:t>]</w:t>
      </w:r>
      <w:r>
        <w:rPr>
          <w:rFonts w:hint="eastAsia" w:ascii="Times New Roman" w:hAnsi="Times New Roman" w:eastAsia="宋体" w:cs="Times New Roman"/>
        </w:rPr>
        <w:t>40</w:t>
      </w:r>
      <w:r>
        <w:rPr>
          <w:rFonts w:ascii="Times New Roman" w:hAnsi="Times New Roman" w:eastAsia="宋体" w:cs="Times New Roman"/>
        </w:rPr>
        <w:t>号）的要求制定。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eastAsia="宋体" w:cs="Times New Roman"/>
        </w:rPr>
      </w:pPr>
      <w:r>
        <w:rPr>
          <w:rFonts w:ascii="Times New Roman" w:hAnsi="Times New Roman" w:eastAsia="宋体" w:cs="Times New Roman"/>
        </w:rPr>
        <w:t>本文件的某些内容可能</w:t>
      </w:r>
      <w:r>
        <w:rPr>
          <w:rFonts w:hint="eastAsia" w:ascii="Times New Roman" w:hAnsi="Times New Roman" w:eastAsia="宋体" w:cs="Times New Roman"/>
        </w:rPr>
        <w:t>直接或间接</w:t>
      </w:r>
      <w:r>
        <w:rPr>
          <w:rFonts w:ascii="Times New Roman" w:hAnsi="Times New Roman" w:eastAsia="宋体" w:cs="Times New Roman"/>
        </w:rPr>
        <w:t>涉及专利</w:t>
      </w:r>
      <w:r>
        <w:rPr>
          <w:rFonts w:hint="eastAsia" w:ascii="Times New Roman" w:hAnsi="Times New Roman" w:eastAsia="宋体" w:cs="Times New Roman"/>
        </w:rPr>
        <w:t>。</w:t>
      </w:r>
      <w:r>
        <w:rPr>
          <w:rFonts w:ascii="Times New Roman" w:hAnsi="Times New Roman" w:eastAsia="宋体" w:cs="Times New Roman"/>
        </w:rPr>
        <w:t>本文件的发布机构不承担识别</w:t>
      </w:r>
      <w:r>
        <w:rPr>
          <w:rFonts w:hint="eastAsia" w:ascii="Times New Roman" w:hAnsi="Times New Roman" w:eastAsia="宋体" w:cs="Times New Roman"/>
        </w:rPr>
        <w:t>这些</w:t>
      </w:r>
      <w:r>
        <w:rPr>
          <w:rFonts w:ascii="Times New Roman" w:hAnsi="Times New Roman" w:eastAsia="宋体" w:cs="Times New Roman"/>
        </w:rPr>
        <w:t>专利的责任。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eastAsia="宋体" w:cs="Times New Roman"/>
        </w:rPr>
      </w:pPr>
      <w:r>
        <w:rPr>
          <w:rFonts w:ascii="Times New Roman" w:hAnsi="Times New Roman" w:eastAsia="宋体" w:cs="Times New Roman"/>
        </w:rPr>
        <w:t>本文件由中国工程建设标准化协会</w:t>
      </w:r>
      <w:r>
        <w:rPr>
          <w:rFonts w:hint="eastAsia" w:ascii="Times New Roman" w:hAnsi="Times New Roman" w:eastAsia="宋体" w:cs="Times New Roman"/>
        </w:rPr>
        <w:t>提出</w:t>
      </w:r>
      <w:r>
        <w:rPr>
          <w:rFonts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eastAsia="宋体" w:cs="Times New Roman"/>
        </w:rPr>
      </w:pPr>
      <w:r>
        <w:rPr>
          <w:rFonts w:ascii="Times New Roman" w:hAnsi="Times New Roman" w:eastAsia="宋体" w:cs="Times New Roman"/>
        </w:rPr>
        <w:t>本文件由中国工程建设标准化协会防水防护与修复专业委员会归口管理。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eastAsia="宋体" w:cs="Times New Roman"/>
        </w:rPr>
      </w:pPr>
      <w:r>
        <w:rPr>
          <w:rFonts w:ascii="Times New Roman" w:hAnsi="Times New Roman" w:eastAsia="宋体" w:cs="Times New Roman"/>
        </w:rPr>
        <w:t>本文件负责起草单位：江苏奥莱特新材料股份有限公司</w:t>
      </w:r>
      <w:r>
        <w:rPr>
          <w:rFonts w:hint="eastAsia" w:ascii="Times New Roman" w:hAnsi="Times New Roman" w:eastAsia="宋体" w:cs="Times New Roman"/>
        </w:rPr>
        <w:t>、</w:t>
      </w:r>
      <w:r>
        <w:rPr>
          <w:rFonts w:ascii="Times New Roman" w:hAnsi="Times New Roman" w:eastAsia="宋体" w:cs="Times New Roman"/>
        </w:rPr>
        <w:t>北京工业大学</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pPr>
      <w:r>
        <w:rPr>
          <w:rFonts w:ascii="Times New Roman" w:hAnsi="Times New Roman" w:eastAsia="宋体" w:cs="Times New Roman"/>
        </w:rPr>
        <w:t>本文件参加起草单位：</w:t>
      </w:r>
      <w:r>
        <w:rPr>
          <w:rFonts w:hint="eastAsia" w:ascii="Times New Roman" w:hAnsi="Times New Roman" w:eastAsia="宋体" w:cs="Times New Roman"/>
        </w:rPr>
        <w:t>东南大学、河海大学、</w:t>
      </w:r>
      <w:r>
        <w:rPr>
          <w:rFonts w:ascii="Times New Roman" w:hAnsi="Times New Roman" w:eastAsia="宋体" w:cs="Times New Roman"/>
        </w:rPr>
        <w:t>广东三和管桩股份有限公司</w:t>
      </w:r>
      <w:r>
        <w:rPr>
          <w:rFonts w:hint="eastAsia" w:ascii="Times New Roman" w:hAnsi="Times New Roman" w:eastAsia="宋体" w:cs="Times New Roman"/>
        </w:rPr>
        <w:t>、</w:t>
      </w:r>
      <w:r>
        <w:rPr>
          <w:rFonts w:ascii="Times New Roman" w:hAnsi="Times New Roman" w:eastAsia="宋体" w:cs="Times New Roman"/>
        </w:rPr>
        <w:t>中铁上海局集团第一工程有限公司</w:t>
      </w:r>
      <w:r>
        <w:rPr>
          <w:rFonts w:hint="eastAsia" w:ascii="Times New Roman" w:hAnsi="Times New Roman" w:eastAsia="宋体" w:cs="Times New Roman"/>
        </w:rPr>
        <w:t>、</w:t>
      </w:r>
      <w:r>
        <w:rPr>
          <w:rFonts w:ascii="Times New Roman" w:hAnsi="Times New Roman" w:eastAsia="宋体" w:cs="Times New Roman"/>
        </w:rPr>
        <w:t>中铁一局集团物资工贸有限公司</w:t>
      </w:r>
      <w:r>
        <w:rPr>
          <w:rFonts w:hint="eastAsia" w:ascii="Times New Roman" w:hAnsi="Times New Roman" w:eastAsia="宋体" w:cs="Times New Roman"/>
        </w:rPr>
        <w:t>、</w:t>
      </w:r>
      <w:r>
        <w:rPr>
          <w:rFonts w:ascii="Times New Roman" w:hAnsi="Times New Roman" w:eastAsia="宋体" w:cs="Times New Roman"/>
        </w:rPr>
        <w:t>建华建材</w:t>
      </w:r>
      <w:r>
        <w:rPr>
          <w:rFonts w:hint="eastAsia" w:ascii="Times New Roman" w:hAnsi="Times New Roman" w:eastAsia="宋体" w:cs="Times New Roman"/>
        </w:rPr>
        <w:t>（中国）</w:t>
      </w:r>
      <w:r>
        <w:rPr>
          <w:rFonts w:ascii="Times New Roman" w:hAnsi="Times New Roman" w:eastAsia="宋体" w:cs="Times New Roman"/>
        </w:rPr>
        <w:t>有限公司</w:t>
      </w:r>
      <w:r>
        <w:rPr>
          <w:rFonts w:hint="eastAsia" w:ascii="Times New Roman" w:hAnsi="Times New Roman" w:eastAsia="宋体" w:cs="Times New Roman"/>
        </w:rPr>
        <w:t>、</w:t>
      </w:r>
      <w:r>
        <w:rPr>
          <w:rFonts w:ascii="Times New Roman" w:hAnsi="Times New Roman" w:eastAsia="宋体" w:cs="Times New Roman"/>
        </w:rPr>
        <w:t>南京江北新区混凝土有限公司</w:t>
      </w:r>
      <w:r>
        <w:rPr>
          <w:rFonts w:hint="eastAsia" w:ascii="Times New Roman" w:hAnsi="Times New Roman" w:eastAsia="宋体" w:cs="Times New Roman"/>
        </w:rPr>
        <w:t>、</w:t>
      </w:r>
      <w:r>
        <w:rPr>
          <w:rFonts w:ascii="Times New Roman" w:hAnsi="Times New Roman" w:eastAsia="宋体" w:cs="Times New Roman"/>
        </w:rPr>
        <w:t>江苏苏博特新材料股份有限公司</w:t>
      </w:r>
      <w:r>
        <w:rPr>
          <w:rFonts w:hint="eastAsia" w:ascii="Times New Roman" w:hAnsi="Times New Roman" w:eastAsia="宋体" w:cs="Times New Roman"/>
        </w:rPr>
        <w:t>、</w:t>
      </w:r>
      <w:r>
        <w:rPr>
          <w:rFonts w:ascii="Times New Roman" w:hAnsi="Times New Roman" w:eastAsia="宋体" w:cs="Times New Roman"/>
        </w:rPr>
        <w:t>浙江交工新材料有限公司</w:t>
      </w:r>
      <w:r>
        <w:rPr>
          <w:rFonts w:hint="eastAsia" w:ascii="Times New Roman" w:hAnsi="Times New Roman" w:eastAsia="宋体" w:cs="Times New Roman"/>
        </w:rPr>
        <w:t>、</w:t>
      </w:r>
      <w:r>
        <w:rPr>
          <w:rFonts w:ascii="Times New Roman" w:hAnsi="Times New Roman" w:eastAsia="宋体" w:cs="Times New Roman"/>
        </w:rPr>
        <w:t>太仓申昆混凝土有限公司</w:t>
      </w:r>
      <w:r>
        <w:rPr>
          <w:rFonts w:hint="eastAsia" w:ascii="Times New Roman" w:hAnsi="Times New Roman" w:eastAsia="宋体" w:cs="Times New Roman"/>
        </w:rPr>
        <w:t>、</w:t>
      </w:r>
      <w:r>
        <w:rPr>
          <w:rFonts w:ascii="Times New Roman" w:hAnsi="Times New Roman" w:eastAsia="宋体" w:cs="Times New Roman"/>
        </w:rPr>
        <w:t>中铁大桥局集团有限公司</w:t>
      </w:r>
      <w:r>
        <w:rPr>
          <w:rFonts w:hint="eastAsia" w:ascii="Times New Roman" w:hAnsi="Times New Roman" w:eastAsia="宋体" w:cs="Times New Roman"/>
        </w:rPr>
        <w:t>、</w:t>
      </w:r>
      <w:r>
        <w:rPr>
          <w:rFonts w:ascii="Times New Roman" w:hAnsi="Times New Roman" w:eastAsia="宋体" w:cs="Times New Roman"/>
        </w:rPr>
        <w:t>天津城建大学</w:t>
      </w:r>
      <w:r>
        <w:rPr>
          <w:rFonts w:hint="eastAsia" w:ascii="Times New Roman" w:hAnsi="Times New Roman" w:eastAsia="宋体" w:cs="Times New Roman"/>
        </w:rPr>
        <w:t>、</w:t>
      </w:r>
      <w:r>
        <w:rPr>
          <w:rFonts w:ascii="Times New Roman" w:hAnsi="Times New Roman" w:eastAsia="宋体" w:cs="Times New Roman"/>
        </w:rPr>
        <w:t>南京航空航天大学</w:t>
      </w:r>
      <w:r>
        <w:rPr>
          <w:rFonts w:hint="eastAsia" w:ascii="Times New Roman" w:hAnsi="Times New Roman" w:eastAsia="宋体" w:cs="Times New Roman"/>
        </w:rPr>
        <w:t>、</w:t>
      </w:r>
      <w:r>
        <w:rPr>
          <w:rFonts w:ascii="Times New Roman" w:hAnsi="Times New Roman" w:eastAsia="宋体" w:cs="Times New Roman"/>
        </w:rPr>
        <w:t>江苏科技大学</w:t>
      </w:r>
      <w:r>
        <w:rPr>
          <w:rFonts w:hint="eastAsia" w:ascii="Times New Roman" w:hAnsi="Times New Roman" w:eastAsia="宋体" w:cs="Times New Roman"/>
        </w:rPr>
        <w:t>、</w:t>
      </w:r>
      <w:r>
        <w:rPr>
          <w:rFonts w:ascii="Times New Roman" w:hAnsi="Times New Roman" w:eastAsia="宋体" w:cs="Times New Roman"/>
        </w:rPr>
        <w:t>山东理工大学</w:t>
      </w:r>
      <w:r>
        <w:rPr>
          <w:rFonts w:hint="eastAsia" w:ascii="Times New Roman" w:hAnsi="Times New Roman" w:eastAsia="宋体" w:cs="Times New Roman"/>
        </w:rPr>
        <w:t>、</w:t>
      </w:r>
      <w:r>
        <w:rPr>
          <w:rFonts w:ascii="Times New Roman" w:hAnsi="Times New Roman" w:eastAsia="宋体" w:cs="Times New Roman"/>
        </w:rPr>
        <w:t>中铁建工集团有限公司</w:t>
      </w:r>
      <w:r>
        <w:rPr>
          <w:rFonts w:hint="eastAsia" w:ascii="Times New Roman" w:hAnsi="Times New Roman" w:eastAsia="宋体" w:cs="Times New Roman"/>
        </w:rPr>
        <w:t>、</w:t>
      </w:r>
      <w:r>
        <w:rPr>
          <w:rFonts w:ascii="Times New Roman" w:hAnsi="Times New Roman" w:eastAsia="宋体" w:cs="Times New Roman"/>
        </w:rPr>
        <w:t>上海三瑞高分子材料股份有限</w:t>
      </w:r>
      <w:r>
        <w:rPr>
          <w:rFonts w:hint="eastAsia" w:ascii="Times New Roman" w:hAnsi="Times New Roman" w:eastAsia="宋体" w:cs="Times New Roman"/>
        </w:rPr>
        <w:t>公</w:t>
      </w:r>
      <w:r>
        <w:rPr>
          <w:rFonts w:ascii="Times New Roman" w:hAnsi="Times New Roman" w:eastAsia="宋体" w:cs="Times New Roman"/>
        </w:rPr>
        <w:t>司</w:t>
      </w:r>
      <w:r>
        <w:rPr>
          <w:rFonts w:hint="eastAsia" w:cs="Times New Roman"/>
          <w:lang w:eastAsia="zh-CN"/>
        </w:rPr>
        <w:t>、 中铁十一局集团第七(桥梁)有限工程公司、南京江北新区建设和交通工程质量安全监督站</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eastAsia="宋体" w:cs="Times New Roman"/>
        </w:rPr>
      </w:pPr>
      <w:r>
        <w:rPr>
          <w:rFonts w:ascii="Times New Roman" w:hAnsi="Times New Roman" w:eastAsia="宋体" w:cs="Times New Roman"/>
        </w:rPr>
        <w:t>本文件主要起草人：</w:t>
      </w:r>
      <w:r>
        <w:rPr>
          <w:rFonts w:hint="eastAsia" w:ascii="Times New Roman" w:hAnsi="Times New Roman" w:eastAsia="宋体" w:cs="Times New Roman"/>
        </w:rPr>
        <w:t>人员名单</w:t>
      </w:r>
      <w:r>
        <w:rPr>
          <w:rFonts w:ascii="Times New Roman" w:hAnsi="Times New Roman" w:eastAsia="宋体" w:cs="Times New Roma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eastAsia="宋体" w:cs="Times New Roman"/>
        </w:rPr>
      </w:pPr>
      <w:r>
        <w:rPr>
          <w:rFonts w:ascii="Times New Roman" w:hAnsi="Times New Roman" w:eastAsia="宋体" w:cs="Times New Roman"/>
        </w:rPr>
        <w:t xml:space="preserve">本文件主要审查人： </w:t>
      </w:r>
      <w:bookmarkStart w:id="100" w:name="_GoBack"/>
      <w:bookmarkEnd w:id="100"/>
    </w:p>
    <w:p/>
    <w:p>
      <w:pPr>
        <w:sectPr>
          <w:headerReference r:id="rId9" w:type="default"/>
          <w:footerReference r:id="rId11" w:type="default"/>
          <w:headerReference r:id="rId10" w:type="even"/>
          <w:footerReference r:id="rId12" w:type="even"/>
          <w:pgSz w:w="11906" w:h="16838"/>
          <w:pgMar w:top="1440" w:right="1800" w:bottom="1440" w:left="1800" w:header="851" w:footer="992" w:gutter="0"/>
          <w:pgNumType w:fmt="upperRoman" w:start="1"/>
          <w:cols w:space="425" w:num="1"/>
          <w:docGrid w:type="lines" w:linePitch="312" w:charSpace="0"/>
        </w:sectPr>
      </w:pPr>
    </w:p>
    <w:p>
      <w:pPr>
        <w:pStyle w:val="40"/>
        <w:rPr>
          <w:rFonts w:hint="eastAsia"/>
        </w:rPr>
      </w:pPr>
      <w:bookmarkStart w:id="8" w:name="_Toc10026"/>
      <w:r>
        <w:rPr>
          <w:rFonts w:hint="eastAsia"/>
        </w:rPr>
        <w:t>混凝土用晶核增强剂</w:t>
      </w:r>
      <w:bookmarkEnd w:id="8"/>
    </w:p>
    <w:p>
      <w:pPr>
        <w:pStyle w:val="35"/>
        <w:outlineLvl w:val="0"/>
        <w:rPr>
          <w:rFonts w:ascii="Times New Roman" w:hAnsi="Times New Roman" w:cs="Times New Roman"/>
        </w:rPr>
      </w:pPr>
      <w:bookmarkStart w:id="9" w:name="_Toc516646274"/>
      <w:bookmarkStart w:id="10" w:name="_Toc514144463"/>
      <w:bookmarkStart w:id="11" w:name="_Toc514144522"/>
      <w:bookmarkStart w:id="12" w:name="_Toc19418"/>
      <w:bookmarkStart w:id="13" w:name="_Toc515370427"/>
      <w:bookmarkStart w:id="14" w:name="_Toc31761"/>
      <w:bookmarkStart w:id="15" w:name="_Toc517943050"/>
      <w:r>
        <w:rPr>
          <w:rFonts w:ascii="Times New Roman" w:hAnsi="Times New Roman" w:cs="Times New Roman"/>
        </w:rPr>
        <w:t>1 范围</w:t>
      </w:r>
      <w:bookmarkEnd w:id="9"/>
      <w:bookmarkEnd w:id="10"/>
      <w:bookmarkEnd w:id="11"/>
      <w:bookmarkEnd w:id="12"/>
      <w:bookmarkEnd w:id="13"/>
      <w:bookmarkEnd w:id="14"/>
      <w:bookmarkEnd w:id="15"/>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本文件规定了混凝土用晶核增强剂的分类和标记、要求、检验方法、检验规则、标志、包装、运输和贮存。</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本文件适用于混凝土用晶核增强剂的生产和检验。</w:t>
      </w:r>
    </w:p>
    <w:p>
      <w:pPr>
        <w:pStyle w:val="35"/>
      </w:pPr>
      <w:bookmarkStart w:id="16" w:name="_Toc514144523"/>
      <w:bookmarkStart w:id="17" w:name="_Toc514144464"/>
      <w:bookmarkStart w:id="18" w:name="_Toc516646275"/>
      <w:bookmarkStart w:id="19" w:name="_Toc30952"/>
      <w:bookmarkStart w:id="20" w:name="_Toc517943051"/>
      <w:bookmarkStart w:id="21" w:name="_Toc515370428"/>
      <w:bookmarkStart w:id="22" w:name="_Toc5009"/>
      <w:r>
        <w:t>2 规范性引用文件</w:t>
      </w:r>
      <w:bookmarkEnd w:id="16"/>
      <w:bookmarkEnd w:id="17"/>
      <w:bookmarkEnd w:id="18"/>
      <w:bookmarkEnd w:id="19"/>
      <w:bookmarkEnd w:id="20"/>
      <w:bookmarkEnd w:id="21"/>
      <w:bookmarkEnd w:id="22"/>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rPr>
      </w:pPr>
      <w:bookmarkStart w:id="23" w:name="_Hlk515372753"/>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23"/>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GB 175  通用硅酸盐水泥</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GB/T 8076  混凝土外加剂</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GB/T 8077  混凝土外加剂匀质性试验方法</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GB/T 17671  水泥胶砂强度检验方法（ISO法）</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GB/T 29756  干混砂浆硬化性能试验方法</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JGJ 63  混凝土用水标准</w:t>
      </w:r>
    </w:p>
    <w:p>
      <w:pPr>
        <w:pStyle w:val="35"/>
      </w:pPr>
      <w:bookmarkStart w:id="24" w:name="_Toc7657"/>
      <w:bookmarkStart w:id="25" w:name="_Toc517943052"/>
      <w:bookmarkStart w:id="26" w:name="_Toc514144465"/>
      <w:bookmarkStart w:id="27" w:name="_Toc17618"/>
      <w:bookmarkStart w:id="28" w:name="_Toc515370429"/>
      <w:bookmarkStart w:id="29" w:name="_Toc516646276"/>
      <w:bookmarkStart w:id="30" w:name="_Toc514144524"/>
      <w:r>
        <w:t>3 术语</w:t>
      </w:r>
      <w:r>
        <w:rPr>
          <w:rFonts w:hint="eastAsia"/>
        </w:rPr>
        <w:t>和</w:t>
      </w:r>
      <w:r>
        <w:t>定义</w:t>
      </w:r>
      <w:bookmarkEnd w:id="24"/>
      <w:bookmarkEnd w:id="25"/>
      <w:bookmarkEnd w:id="26"/>
      <w:bookmarkEnd w:id="27"/>
      <w:bookmarkEnd w:id="28"/>
      <w:bookmarkEnd w:id="29"/>
      <w:bookmarkEnd w:id="30"/>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下列术语和定义适用于本文件。</w:t>
      </w:r>
    </w:p>
    <w:p>
      <w:pPr>
        <w:pStyle w:val="35"/>
        <w:rPr>
          <w:rFonts w:ascii="Times New Roman" w:hAnsi="Times New Roman" w:cs="Times New Roman"/>
        </w:rPr>
      </w:pPr>
      <w:bookmarkStart w:id="31" w:name="_Toc514144466"/>
      <w:bookmarkEnd w:id="31"/>
      <w:bookmarkStart w:id="32" w:name="_Toc13060"/>
      <w:bookmarkStart w:id="33" w:name="_Toc14979"/>
      <w:r>
        <w:rPr>
          <w:rFonts w:ascii="Times New Roman" w:hAnsi="Times New Roman" w:cs="Times New Roman"/>
        </w:rPr>
        <w:t>3.1</w:t>
      </w:r>
      <w:bookmarkEnd w:id="32"/>
      <w:r>
        <w:rPr>
          <w:rFonts w:hint="eastAsia" w:ascii="Times New Roman" w:hAnsi="Times New Roman" w:cs="Times New Roman"/>
        </w:rPr>
        <w:t xml:space="preserve"> </w:t>
      </w:r>
      <w:r>
        <w:rPr>
          <w:rFonts w:ascii="Times New Roman" w:hAnsi="Times New Roman" w:cs="Times New Roman"/>
        </w:rPr>
        <w:t>晶核增强剂</w:t>
      </w:r>
      <w:r>
        <w:rPr>
          <w:rFonts w:hint="eastAsia" w:ascii="Times New Roman" w:hAnsi="Times New Roman" w:cs="Times New Roman"/>
        </w:rPr>
        <w:t xml:space="preserve"> </w:t>
      </w:r>
      <w:r>
        <w:rPr>
          <w:rFonts w:ascii="Times New Roman" w:hAnsi="Times New Roman" w:cs="Times New Roman"/>
        </w:rPr>
        <w:t xml:space="preserve"> strength-enhancing seeds admixture</w:t>
      </w:r>
      <w:bookmarkEnd w:id="33"/>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bookmarkStart w:id="34" w:name="_Toc516646277"/>
      <w:bookmarkStart w:id="35" w:name="_Toc514144525"/>
      <w:bookmarkStart w:id="36" w:name="_Toc514144468"/>
      <w:bookmarkStart w:id="37" w:name="_Toc515370430"/>
      <w:r>
        <w:rPr>
          <w:rFonts w:hint="default" w:ascii="Times New Roman" w:hAnsi="Times New Roman" w:eastAsia="宋体" w:cs="Times New Roman"/>
        </w:rPr>
        <w:t>掺入混凝土或砂浆中提供大量额外结晶成核位点且能够提升混凝土或砂浆强度的外加剂。</w:t>
      </w:r>
    </w:p>
    <w:p>
      <w:pPr>
        <w:pStyle w:val="35"/>
        <w:rPr>
          <w:rFonts w:ascii="Times New Roman" w:hAnsi="Times New Roman" w:cs="Times New Roman"/>
        </w:rPr>
      </w:pPr>
      <w:bookmarkStart w:id="38" w:name="_Toc5389"/>
      <w:r>
        <w:rPr>
          <w:rFonts w:ascii="Times New Roman" w:hAnsi="Times New Roman" w:cs="Times New Roman"/>
        </w:rPr>
        <w:t>3.</w:t>
      </w:r>
      <w:r>
        <w:rPr>
          <w:rFonts w:hint="eastAsia" w:ascii="Times New Roman" w:hAnsi="Times New Roman" w:cs="Times New Roman"/>
        </w:rPr>
        <w:t xml:space="preserve">2 基准胶砂 </w:t>
      </w:r>
      <w:r>
        <w:rPr>
          <w:rFonts w:ascii="Times New Roman" w:hAnsi="Times New Roman" w:cs="Times New Roman"/>
        </w:rPr>
        <w:t xml:space="preserve"> </w:t>
      </w:r>
      <w:r>
        <w:rPr>
          <w:rFonts w:hint="eastAsia" w:ascii="Times New Roman" w:hAnsi="Times New Roman" w:cs="Times New Roman"/>
        </w:rPr>
        <w:t>reference mortar</w:t>
      </w:r>
      <w:bookmarkEnd w:id="38"/>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按照本文件规定的试验方法配制的不掺晶核增强剂的水泥胶砂。</w:t>
      </w:r>
    </w:p>
    <w:p>
      <w:pPr>
        <w:pStyle w:val="35"/>
        <w:rPr>
          <w:rFonts w:ascii="Times New Roman" w:hAnsi="Times New Roman" w:cs="Times New Roman"/>
        </w:rPr>
      </w:pPr>
      <w:bookmarkStart w:id="39" w:name="_Toc15050"/>
      <w:r>
        <w:rPr>
          <w:rFonts w:ascii="Times New Roman" w:hAnsi="Times New Roman" w:cs="Times New Roman"/>
        </w:rPr>
        <w:t>3.</w:t>
      </w:r>
      <w:r>
        <w:rPr>
          <w:rFonts w:hint="eastAsia" w:ascii="Times New Roman" w:hAnsi="Times New Roman" w:cs="Times New Roman"/>
        </w:rPr>
        <w:t xml:space="preserve">2 受检胶砂 </w:t>
      </w:r>
      <w:r>
        <w:rPr>
          <w:rFonts w:ascii="Times New Roman" w:hAnsi="Times New Roman" w:cs="Times New Roman"/>
        </w:rPr>
        <w:t xml:space="preserve"> </w:t>
      </w:r>
      <w:r>
        <w:rPr>
          <w:rFonts w:hint="eastAsia" w:ascii="Times New Roman" w:hAnsi="Times New Roman" w:cs="Times New Roman"/>
        </w:rPr>
        <w:t>test mortar</w:t>
      </w:r>
      <w:bookmarkEnd w:id="39"/>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按照本文件规定的试验方法配制的掺晶核增强剂的水泥胶砂。</w:t>
      </w:r>
    </w:p>
    <w:p>
      <w:pPr>
        <w:pStyle w:val="35"/>
        <w:rPr>
          <w:rFonts w:ascii="Times New Roman" w:hAnsi="Times New Roman" w:cs="Times New Roman"/>
        </w:rPr>
      </w:pPr>
      <w:bookmarkStart w:id="40" w:name="_Toc517943053"/>
      <w:bookmarkStart w:id="41" w:name="_Toc9021"/>
      <w:bookmarkStart w:id="42" w:name="_Toc12530"/>
      <w:r>
        <w:rPr>
          <w:rFonts w:ascii="Times New Roman" w:hAnsi="Times New Roman" w:cs="Times New Roman"/>
        </w:rPr>
        <w:t>4 分类</w:t>
      </w:r>
      <w:bookmarkEnd w:id="34"/>
      <w:bookmarkEnd w:id="35"/>
      <w:bookmarkEnd w:id="36"/>
      <w:bookmarkEnd w:id="37"/>
      <w:bookmarkEnd w:id="40"/>
      <w:r>
        <w:rPr>
          <w:rFonts w:hint="eastAsia" w:ascii="Times New Roman" w:hAnsi="Times New Roman" w:cs="Times New Roman"/>
        </w:rPr>
        <w:t>和</w:t>
      </w:r>
      <w:r>
        <w:rPr>
          <w:rFonts w:ascii="Times New Roman" w:hAnsi="Times New Roman" w:cs="Times New Roman"/>
        </w:rPr>
        <w:t>标记</w:t>
      </w:r>
      <w:bookmarkEnd w:id="41"/>
      <w:bookmarkEnd w:id="42"/>
    </w:p>
    <w:p>
      <w:pPr>
        <w:pStyle w:val="35"/>
        <w:rPr>
          <w:rFonts w:ascii="Times New Roman" w:hAnsi="Times New Roman" w:cs="Times New Roman"/>
        </w:rPr>
      </w:pPr>
      <w:bookmarkStart w:id="43" w:name="_Toc8231"/>
      <w:bookmarkStart w:id="44" w:name="_Toc16911"/>
      <w:r>
        <w:rPr>
          <w:rFonts w:ascii="Times New Roman" w:hAnsi="Times New Roman" w:cs="Times New Roman"/>
        </w:rPr>
        <w:t>4.1 分类</w:t>
      </w:r>
      <w:bookmarkEnd w:id="43"/>
      <w:bookmarkEnd w:id="44"/>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bookmarkStart w:id="45" w:name="_Toc514144474"/>
      <w:bookmarkStart w:id="46" w:name="_Toc515370432"/>
      <w:bookmarkStart w:id="47" w:name="_Toc517943055"/>
      <w:bookmarkStart w:id="48" w:name="_Toc514144527"/>
      <w:bookmarkStart w:id="49" w:name="_Toc516646280"/>
      <w:r>
        <w:rPr>
          <w:rFonts w:hint="default" w:ascii="Times New Roman" w:hAnsi="Times New Roman" w:eastAsia="宋体" w:cs="Times New Roman"/>
        </w:rPr>
        <w:t>按照产品形态分为：粉体</w:t>
      </w:r>
      <w:r>
        <w:rPr>
          <w:rFonts w:hint="eastAsia" w:ascii="Times New Roman" w:hAnsi="Times New Roman" w:cs="Times New Roman"/>
          <w:lang w:eastAsia="zh-CN"/>
        </w:rPr>
        <w:t>（</w:t>
      </w:r>
      <w:r>
        <w:rPr>
          <w:rFonts w:hint="default" w:ascii="Times New Roman" w:hAnsi="Times New Roman" w:eastAsia="宋体" w:cs="Times New Roman"/>
        </w:rPr>
        <w:t>代号P</w:t>
      </w:r>
      <w:r>
        <w:rPr>
          <w:rFonts w:hint="eastAsia" w:ascii="Times New Roman" w:hAnsi="Times New Roman" w:cs="Times New Roman"/>
          <w:lang w:eastAsia="zh-CN"/>
        </w:rPr>
        <w:t>）</w:t>
      </w:r>
      <w:r>
        <w:rPr>
          <w:rFonts w:hint="default" w:ascii="Times New Roman" w:hAnsi="Times New Roman" w:eastAsia="宋体" w:cs="Times New Roman"/>
        </w:rPr>
        <w:t>和液体（代号L）两种晶核增强剂（代号Se）。</w:t>
      </w:r>
    </w:p>
    <w:p>
      <w:pPr>
        <w:pStyle w:val="35"/>
        <w:rPr>
          <w:rFonts w:ascii="Times New Roman" w:hAnsi="Times New Roman" w:cs="Times New Roman"/>
        </w:rPr>
      </w:pPr>
      <w:bookmarkStart w:id="50" w:name="_Toc27677"/>
      <w:bookmarkStart w:id="51" w:name="_Toc30443"/>
      <w:r>
        <w:rPr>
          <w:rFonts w:ascii="Times New Roman" w:hAnsi="Times New Roman" w:cs="Times New Roman"/>
        </w:rPr>
        <w:t>4.</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标记</w:t>
      </w:r>
      <w:bookmarkEnd w:id="50"/>
      <w:bookmarkEnd w:id="51"/>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混凝土用晶核增强剂的标记由产品名称-形态-标准号组成。表示如下：</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粉体晶核增强剂，标记为 Se-P-CECS×××××-202×。</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液体晶核增强剂，标记为 Se-L-CECS×××××-202×。</w:t>
      </w:r>
    </w:p>
    <w:p>
      <w:pPr>
        <w:pStyle w:val="35"/>
        <w:rPr>
          <w:rFonts w:ascii="Times New Roman" w:hAnsi="Times New Roman" w:cs="Times New Roman"/>
        </w:rPr>
      </w:pPr>
      <w:bookmarkStart w:id="52" w:name="_Toc5868"/>
      <w:bookmarkStart w:id="53" w:name="_Toc32208"/>
      <w:r>
        <w:rPr>
          <w:rFonts w:ascii="Times New Roman" w:hAnsi="Times New Roman" w:cs="Times New Roman"/>
        </w:rPr>
        <w:t>5 要求</w:t>
      </w:r>
      <w:bookmarkEnd w:id="45"/>
      <w:bookmarkEnd w:id="46"/>
      <w:bookmarkEnd w:id="47"/>
      <w:bookmarkEnd w:id="48"/>
      <w:bookmarkEnd w:id="49"/>
      <w:bookmarkEnd w:id="52"/>
      <w:bookmarkEnd w:id="53"/>
    </w:p>
    <w:p>
      <w:pPr>
        <w:pStyle w:val="35"/>
        <w:rPr>
          <w:rFonts w:ascii="Times New Roman" w:hAnsi="Times New Roman" w:cs="Times New Roman"/>
        </w:rPr>
      </w:pPr>
      <w:bookmarkStart w:id="54" w:name="_Toc28392"/>
      <w:bookmarkStart w:id="55" w:name="_Toc21916"/>
      <w:r>
        <w:rPr>
          <w:rFonts w:ascii="Times New Roman" w:hAnsi="Times New Roman" w:cs="Times New Roman"/>
        </w:rPr>
        <w:t>5.</w:t>
      </w:r>
      <w:r>
        <w:rPr>
          <w:rFonts w:hint="eastAsia" w:ascii="Times New Roman" w:hAnsi="Times New Roman" w:cs="Times New Roman"/>
        </w:rPr>
        <w:t>1</w:t>
      </w:r>
      <w:r>
        <w:rPr>
          <w:rFonts w:ascii="Times New Roman" w:hAnsi="Times New Roman" w:cs="Times New Roman"/>
        </w:rPr>
        <w:t xml:space="preserve"> 匀质性</w:t>
      </w:r>
      <w:bookmarkEnd w:id="54"/>
      <w:r>
        <w:rPr>
          <w:rFonts w:hint="eastAsia" w:ascii="Times New Roman" w:hAnsi="Times New Roman" w:cs="Times New Roman"/>
        </w:rPr>
        <w:t>指标</w:t>
      </w:r>
      <w:bookmarkEnd w:id="55"/>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pPr>
      <w:r>
        <w:rPr>
          <w:rFonts w:hint="default" w:ascii="Times New Roman" w:hAnsi="Times New Roman" w:eastAsia="宋体" w:cs="Times New Roman"/>
        </w:rPr>
        <w:t>混凝土用晶核增强剂的匀质性试验应符合表1的要求，生产厂家应在相关的技术资料中明示产品匀质性指标的控制值。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表1 匀质性指标</w:t>
      </w:r>
    </w:p>
    <w:tbl>
      <w:tblPr>
        <w:tblStyle w:val="16"/>
        <w:tblpPr w:leftFromText="180" w:rightFromText="180" w:vertAnchor="text" w:tblpY="1"/>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573"/>
        <w:gridCol w:w="2331"/>
        <w:gridCol w:w="23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462" w:type="pct"/>
            <w:tcBorders>
              <w:top w:val="single" w:color="000000" w:sz="8" w:space="0"/>
              <w:left w:val="single" w:color="000000" w:sz="8" w:space="0"/>
              <w:bottom w:val="single" w:color="000000" w:sz="8" w:space="0"/>
              <w:right w:val="single" w:color="000000" w:sz="8" w:space="0"/>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试验项目</w:t>
            </w:r>
          </w:p>
        </w:tc>
        <w:tc>
          <w:tcPr>
            <w:tcW w:w="1255" w:type="pct"/>
            <w:tcBorders>
              <w:top w:val="single" w:color="000000" w:sz="8" w:space="0"/>
              <w:left w:val="single" w:color="000000" w:sz="8" w:space="0"/>
              <w:bottom w:val="single" w:color="000000" w:sz="8" w:space="0"/>
              <w:right w:val="single" w:color="000000" w:sz="8" w:space="0"/>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Se-P</w:t>
            </w:r>
          </w:p>
        </w:tc>
        <w:tc>
          <w:tcPr>
            <w:tcW w:w="1283" w:type="pct"/>
            <w:tcBorders>
              <w:top w:val="single" w:color="000000" w:sz="8" w:space="0"/>
              <w:left w:val="single" w:color="000000" w:sz="8" w:space="0"/>
              <w:bottom w:val="single" w:color="000000" w:sz="8" w:space="0"/>
              <w:right w:val="single" w:color="000000" w:sz="8" w:space="0"/>
              <w:tl2br w:val="nil"/>
              <w:tr2bl w:val="nil"/>
            </w:tcBorders>
          </w:tcPr>
          <w:p>
            <w:pPr>
              <w:rPr>
                <w:rFonts w:hint="default" w:ascii="Times New Roman" w:hAnsi="Times New Roman" w:eastAsia="宋体" w:cs="Times New Roman"/>
              </w:rPr>
            </w:pPr>
            <w:r>
              <w:rPr>
                <w:rFonts w:hint="default" w:ascii="Times New Roman" w:hAnsi="Times New Roman" w:eastAsia="宋体" w:cs="Times New Roman"/>
              </w:rPr>
              <w:t>Se-L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462" w:type="pct"/>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外观</w:t>
            </w:r>
          </w:p>
        </w:tc>
        <w:tc>
          <w:tcPr>
            <w:tcW w:w="1255" w:type="pct"/>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色泽均一、无结块</w:t>
            </w:r>
          </w:p>
        </w:tc>
        <w:tc>
          <w:tcPr>
            <w:tcW w:w="1283" w:type="pct"/>
            <w:tcBorders>
              <w:top w:val="single" w:color="000000" w:sz="8" w:space="0"/>
              <w:left w:val="single" w:color="000000" w:sz="8" w:space="0"/>
              <w:bottom w:val="single" w:color="000000" w:sz="8" w:space="0"/>
              <w:right w:val="single" w:color="000000" w:sz="8" w:space="0"/>
            </w:tcBorders>
          </w:tcPr>
          <w:p>
            <w:pPr>
              <w:rPr>
                <w:rFonts w:hint="default" w:ascii="Times New Roman" w:hAnsi="Times New Roman" w:eastAsia="宋体" w:cs="Times New Roman"/>
              </w:rPr>
            </w:pPr>
            <w:r>
              <w:rPr>
                <w:rFonts w:hint="default" w:ascii="Times New Roman" w:hAnsi="Times New Roman" w:eastAsia="宋体" w:cs="Times New Roman"/>
              </w:rPr>
              <w:t>均匀稳定的悬浮液</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462" w:type="pct"/>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含水率/%</w:t>
            </w:r>
          </w:p>
        </w:tc>
        <w:tc>
          <w:tcPr>
            <w:tcW w:w="1255" w:type="pct"/>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0.95W~1.05W</w:t>
            </w:r>
          </w:p>
        </w:tc>
        <w:tc>
          <w:tcPr>
            <w:tcW w:w="1283" w:type="pct"/>
            <w:tcBorders>
              <w:top w:val="single" w:color="000000" w:sz="8" w:space="0"/>
              <w:left w:val="single" w:color="000000" w:sz="8" w:space="0"/>
              <w:bottom w:val="single" w:color="000000" w:sz="8" w:space="0"/>
              <w:right w:val="single" w:color="000000" w:sz="8" w:space="0"/>
            </w:tcBorders>
          </w:tcPr>
          <w:p>
            <w:pPr>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462" w:type="pct"/>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密度/（g/cm³）</w:t>
            </w:r>
          </w:p>
        </w:tc>
        <w:tc>
          <w:tcPr>
            <w:tcW w:w="1255" w:type="pct"/>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w:t>
            </w:r>
          </w:p>
        </w:tc>
        <w:tc>
          <w:tcPr>
            <w:tcW w:w="1283" w:type="pct"/>
            <w:tcBorders>
              <w:top w:val="single" w:color="000000" w:sz="8" w:space="0"/>
              <w:left w:val="single" w:color="000000" w:sz="8" w:space="0"/>
              <w:bottom w:val="single" w:color="000000" w:sz="8" w:space="0"/>
              <w:right w:val="single" w:color="000000" w:sz="8" w:space="0"/>
            </w:tcBorders>
          </w:tcPr>
          <w:p>
            <w:pPr>
              <w:rPr>
                <w:rFonts w:hint="default" w:ascii="Times New Roman" w:hAnsi="Times New Roman" w:eastAsia="宋体" w:cs="Times New Roman"/>
              </w:rPr>
            </w:pPr>
            <w:r>
              <w:rPr>
                <w:rFonts w:hint="default" w:ascii="Times New Roman" w:hAnsi="Times New Roman" w:eastAsia="宋体" w:cs="Times New Roman"/>
              </w:rPr>
              <w:t>0.95D~1.05D</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462" w:type="pct"/>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含固量/%</w:t>
            </w:r>
          </w:p>
        </w:tc>
        <w:tc>
          <w:tcPr>
            <w:tcW w:w="1255" w:type="pct"/>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w:t>
            </w:r>
          </w:p>
        </w:tc>
        <w:tc>
          <w:tcPr>
            <w:tcW w:w="1283" w:type="pct"/>
            <w:tcBorders>
              <w:top w:val="single" w:color="000000" w:sz="8" w:space="0"/>
              <w:left w:val="single" w:color="000000" w:sz="8" w:space="0"/>
              <w:bottom w:val="single" w:color="000000" w:sz="8" w:space="0"/>
              <w:right w:val="single" w:color="000000" w:sz="8" w:space="0"/>
            </w:tcBorders>
          </w:tcPr>
          <w:p>
            <w:pPr>
              <w:rPr>
                <w:rFonts w:hint="default" w:ascii="Times New Roman" w:hAnsi="Times New Roman" w:eastAsia="宋体" w:cs="Times New Roman"/>
              </w:rPr>
            </w:pPr>
            <w:r>
              <w:rPr>
                <w:rFonts w:hint="default" w:ascii="Times New Roman" w:hAnsi="Times New Roman" w:eastAsia="宋体" w:cs="Times New Roman"/>
              </w:rPr>
              <w:t>0.90S~1.10S</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462" w:type="pct"/>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稳定性（上清液或底部沉淀物体积）/ mL</w:t>
            </w:r>
          </w:p>
        </w:tc>
        <w:tc>
          <w:tcPr>
            <w:tcW w:w="1255" w:type="pct"/>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w:t>
            </w:r>
          </w:p>
        </w:tc>
        <w:tc>
          <w:tcPr>
            <w:tcW w:w="1283" w:type="pct"/>
            <w:tcBorders>
              <w:top w:val="single" w:color="000000" w:sz="8" w:space="0"/>
              <w:left w:val="single" w:color="000000" w:sz="8" w:space="0"/>
              <w:bottom w:val="single" w:color="000000" w:sz="8" w:space="0"/>
              <w:right w:val="single" w:color="000000" w:sz="8" w:space="0"/>
            </w:tcBorders>
          </w:tcPr>
          <w:p>
            <w:pPr>
              <w:rPr>
                <w:rFonts w:hint="default" w:ascii="Times New Roman" w:hAnsi="Times New Roman" w:eastAsia="宋体" w:cs="Times New Roman"/>
              </w:rPr>
            </w:pPr>
            <w:r>
              <w:rPr>
                <w:rFonts w:hint="default" w:ascii="Times New Roman" w:hAnsi="Times New Roman" w:eastAsia="宋体" w:cs="Times New Roman"/>
              </w:rPr>
              <w:t>≤3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462" w:type="pct"/>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氯离子含量/%</w:t>
            </w:r>
          </w:p>
        </w:tc>
        <w:tc>
          <w:tcPr>
            <w:tcW w:w="2538" w:type="pct"/>
            <w:gridSpan w:val="2"/>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≤0.1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462" w:type="pct"/>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碱含量（按Na</w:t>
            </w:r>
            <w:r>
              <w:rPr>
                <w:rFonts w:hint="default" w:ascii="Times New Roman" w:hAnsi="Times New Roman" w:eastAsia="宋体" w:cs="Times New Roman"/>
                <w:vertAlign w:val="subscript"/>
              </w:rPr>
              <w:t>2</w:t>
            </w:r>
            <w:r>
              <w:rPr>
                <w:rFonts w:hint="default" w:ascii="Times New Roman" w:hAnsi="Times New Roman" w:eastAsia="宋体" w:cs="Times New Roman"/>
              </w:rPr>
              <w:t>O含量计）/%</w:t>
            </w:r>
          </w:p>
        </w:tc>
        <w:tc>
          <w:tcPr>
            <w:tcW w:w="2538" w:type="pct"/>
            <w:gridSpan w:val="2"/>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应小于生产厂家控制值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462" w:type="pct"/>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硫酸钠含量/%</w:t>
            </w:r>
          </w:p>
        </w:tc>
        <w:tc>
          <w:tcPr>
            <w:tcW w:w="2538" w:type="pct"/>
            <w:gridSpan w:val="2"/>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应小于生产厂家控制值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gridSpan w:val="3"/>
            <w:tcBorders>
              <w:top w:val="single" w:color="000000" w:sz="8" w:space="0"/>
              <w:left w:val="single" w:color="000000" w:sz="8" w:space="0"/>
              <w:bottom w:val="single" w:color="000000" w:sz="8" w:space="0"/>
              <w:right w:val="single" w:color="000000" w:sz="8" w:space="0"/>
            </w:tcBorders>
            <w:vAlign w:val="center"/>
          </w:tcPr>
          <w:p>
            <w:pPr>
              <w:jc w:val="both"/>
              <w:rPr>
                <w:rFonts w:hint="default" w:ascii="Times New Roman" w:hAnsi="Times New Roman" w:eastAsia="宋体" w:cs="Times New Roman"/>
              </w:rPr>
            </w:pPr>
            <w:r>
              <w:rPr>
                <w:rFonts w:hint="default" w:ascii="Times New Roman" w:hAnsi="Times New Roman" w:eastAsia="宋体" w:cs="Times New Roman"/>
              </w:rPr>
              <w:t>注1：生产厂家应在相关的技术资料中注明产品匀质性指标和控制值。</w:t>
            </w:r>
          </w:p>
          <w:p>
            <w:pPr>
              <w:jc w:val="both"/>
              <w:rPr>
                <w:rFonts w:hint="default" w:ascii="Times New Roman" w:hAnsi="Times New Roman" w:eastAsia="宋体" w:cs="Times New Roman"/>
              </w:rPr>
            </w:pPr>
            <w:r>
              <w:rPr>
                <w:rFonts w:hint="default" w:ascii="Times New Roman" w:hAnsi="Times New Roman" w:eastAsia="宋体" w:cs="Times New Roman"/>
              </w:rPr>
              <w:t>注2：对相同批次和不同批次之间的匀质性和等效性的其他要求，可由供需双方商定。</w:t>
            </w:r>
          </w:p>
          <w:p>
            <w:pPr>
              <w:jc w:val="both"/>
              <w:rPr>
                <w:rFonts w:hint="default" w:ascii="Times New Roman" w:hAnsi="Times New Roman" w:eastAsia="宋体" w:cs="Times New Roman"/>
              </w:rPr>
            </w:pPr>
            <w:r>
              <w:rPr>
                <w:rFonts w:hint="default" w:ascii="Times New Roman" w:hAnsi="Times New Roman" w:eastAsia="宋体" w:cs="Times New Roman"/>
              </w:rPr>
              <w:t>注3：表中的W、D和S分别为生产厂家含水率、密度和含固量的控制值。</w:t>
            </w:r>
          </w:p>
          <w:p>
            <w:pPr>
              <w:jc w:val="both"/>
              <w:rPr>
                <w:rFonts w:hint="default" w:ascii="Times New Roman" w:hAnsi="Times New Roman" w:eastAsia="宋体" w:cs="Times New Roman"/>
              </w:rPr>
            </w:pPr>
            <w:r>
              <w:rPr>
                <w:rFonts w:hint="default" w:ascii="Times New Roman" w:hAnsi="Times New Roman" w:eastAsia="宋体" w:cs="Times New Roman"/>
              </w:rPr>
              <w:t>注4：液体晶核增强剂氯离子含量、碱含量和硫酸钠含量应按实际含固量计算。</w:t>
            </w:r>
          </w:p>
        </w:tc>
      </w:tr>
    </w:tbl>
    <w:p>
      <w:pPr>
        <w:pStyle w:val="35"/>
        <w:rPr>
          <w:rFonts w:hint="eastAsia" w:ascii="Times New Roman" w:hAnsi="Times New Roman" w:cs="Times New Roman"/>
          <w:lang w:val="en-US" w:eastAsia="zh-CN"/>
        </w:rPr>
      </w:pPr>
      <w:bookmarkStart w:id="56" w:name="_Toc28191"/>
      <w:r>
        <w:rPr>
          <w:rFonts w:ascii="Times New Roman" w:hAnsi="Times New Roman" w:eastAsia="黑体" w:cs="Times New Roman"/>
          <w:snapToGrid w:val="0"/>
          <w:sz w:val="21"/>
          <w:lang w:val="en-US" w:eastAsia="zh-CN" w:bidi="ar-SA"/>
        </w:rPr>
        <w:t>5.</w:t>
      </w:r>
      <w:r>
        <w:rPr>
          <w:rFonts w:hint="eastAsia" w:ascii="Times New Roman" w:hAnsi="Times New Roman" w:eastAsia="黑体" w:cs="Times New Roman"/>
          <w:snapToGrid w:val="0"/>
          <w:sz w:val="21"/>
          <w:lang w:val="en-US" w:eastAsia="zh-CN" w:bidi="ar-SA"/>
        </w:rPr>
        <w:t>2</w:t>
      </w:r>
      <w:r>
        <w:rPr>
          <w:rFonts w:ascii="Times New Roman" w:hAnsi="Times New Roman" w:eastAsia="黑体" w:cs="Times New Roman"/>
          <w:snapToGrid w:val="0"/>
          <w:sz w:val="21"/>
          <w:lang w:val="en-US" w:eastAsia="zh-CN" w:bidi="ar-SA"/>
        </w:rPr>
        <w:t xml:space="preserve"> </w:t>
      </w:r>
      <w:r>
        <w:rPr>
          <w:rFonts w:hint="eastAsia" w:ascii="Times New Roman" w:hAnsi="Times New Roman" w:eastAsia="黑体" w:cs="Times New Roman"/>
          <w:snapToGrid w:val="0"/>
          <w:sz w:val="21"/>
          <w:lang w:val="en-US" w:eastAsia="zh-CN" w:bidi="ar-SA"/>
        </w:rPr>
        <w:t>受检胶砂指标</w:t>
      </w:r>
      <w:bookmarkEnd w:id="56"/>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混凝土用晶核增强剂的受检胶砂性能指标应符合表2的要求。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表2 受检胶砂性能指标</w:t>
      </w:r>
    </w:p>
    <w:tbl>
      <w:tblPr>
        <w:tblStyle w:val="16"/>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16"/>
        <w:gridCol w:w="2238"/>
        <w:gridCol w:w="48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2398" w:type="pct"/>
            <w:gridSpan w:val="2"/>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试验项目</w:t>
            </w:r>
          </w:p>
        </w:tc>
        <w:tc>
          <w:tcPr>
            <w:tcW w:w="2602" w:type="pct"/>
            <w:tcBorders>
              <w:tl2br w:val="nil"/>
              <w:tr2bl w:val="nil"/>
            </w:tcBorders>
          </w:tcPr>
          <w:p>
            <w:pPr>
              <w:rPr>
                <w:rFonts w:hint="default" w:ascii="Times New Roman" w:hAnsi="Times New Roman" w:eastAsia="宋体" w:cs="Times New Roman"/>
              </w:rPr>
            </w:pPr>
            <w:r>
              <w:rPr>
                <w:rFonts w:hint="default" w:ascii="Times New Roman" w:hAnsi="Times New Roman" w:eastAsia="宋体" w:cs="Times New Roman"/>
              </w:rPr>
              <w:t>指标值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93" w:type="pct"/>
            <w:vMerge w:val="restart"/>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抗压强度比/%</w:t>
            </w:r>
          </w:p>
        </w:tc>
        <w:tc>
          <w:tcPr>
            <w:tcW w:w="1204" w:type="pct"/>
            <w:tcBorders>
              <w:tl2br w:val="nil"/>
              <w:tr2bl w:val="nil"/>
            </w:tcBorders>
          </w:tcPr>
          <w:p>
            <w:pPr>
              <w:rPr>
                <w:rFonts w:hint="default" w:ascii="Times New Roman" w:hAnsi="Times New Roman" w:eastAsia="宋体" w:cs="Times New Roman"/>
              </w:rPr>
            </w:pPr>
            <w:r>
              <w:rPr>
                <w:rFonts w:hint="default" w:ascii="Times New Roman" w:hAnsi="Times New Roman" w:eastAsia="宋体" w:cs="Times New Roman"/>
              </w:rPr>
              <w:t>12h</w:t>
            </w:r>
          </w:p>
        </w:tc>
        <w:tc>
          <w:tcPr>
            <w:tcW w:w="2602" w:type="pct"/>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93" w:type="pct"/>
            <w:vMerge w:val="continue"/>
            <w:tcBorders>
              <w:tl2br w:val="nil"/>
              <w:tr2bl w:val="nil"/>
            </w:tcBorders>
            <w:vAlign w:val="center"/>
          </w:tcPr>
          <w:p>
            <w:pPr>
              <w:rPr>
                <w:rFonts w:hint="default" w:ascii="Times New Roman" w:hAnsi="Times New Roman" w:eastAsia="宋体" w:cs="Times New Roman"/>
              </w:rPr>
            </w:pPr>
          </w:p>
        </w:tc>
        <w:tc>
          <w:tcPr>
            <w:tcW w:w="1204" w:type="pct"/>
            <w:tcBorders>
              <w:tl2br w:val="nil"/>
              <w:tr2bl w:val="nil"/>
            </w:tcBorders>
          </w:tcPr>
          <w:p>
            <w:pPr>
              <w:rPr>
                <w:rFonts w:hint="default" w:ascii="Times New Roman" w:hAnsi="Times New Roman" w:eastAsia="宋体" w:cs="Times New Roman"/>
              </w:rPr>
            </w:pPr>
            <w:r>
              <w:rPr>
                <w:rFonts w:hint="default" w:ascii="Times New Roman" w:hAnsi="Times New Roman" w:eastAsia="宋体" w:cs="Times New Roman"/>
              </w:rPr>
              <w:t>1d</w:t>
            </w:r>
          </w:p>
        </w:tc>
        <w:tc>
          <w:tcPr>
            <w:tcW w:w="2602" w:type="pct"/>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≥140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93" w:type="pct"/>
            <w:vMerge w:val="continue"/>
            <w:tcBorders>
              <w:tl2br w:val="nil"/>
              <w:tr2bl w:val="nil"/>
            </w:tcBorders>
            <w:vAlign w:val="center"/>
          </w:tcPr>
          <w:p>
            <w:pPr>
              <w:rPr>
                <w:rFonts w:hint="default" w:ascii="Times New Roman" w:hAnsi="Times New Roman" w:eastAsia="宋体" w:cs="Times New Roman"/>
              </w:rPr>
            </w:pPr>
          </w:p>
        </w:tc>
        <w:tc>
          <w:tcPr>
            <w:tcW w:w="1204" w:type="pct"/>
            <w:tcBorders>
              <w:tl2br w:val="nil"/>
              <w:tr2bl w:val="nil"/>
            </w:tcBorders>
          </w:tcPr>
          <w:p>
            <w:pPr>
              <w:rPr>
                <w:rFonts w:hint="default" w:ascii="Times New Roman" w:hAnsi="Times New Roman" w:eastAsia="宋体" w:cs="Times New Roman"/>
              </w:rPr>
            </w:pPr>
            <w:r>
              <w:rPr>
                <w:rFonts w:hint="default" w:ascii="Times New Roman" w:hAnsi="Times New Roman" w:eastAsia="宋体" w:cs="Times New Roman"/>
              </w:rPr>
              <w:t>3d</w:t>
            </w:r>
          </w:p>
        </w:tc>
        <w:tc>
          <w:tcPr>
            <w:tcW w:w="2602" w:type="pct"/>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≥110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93" w:type="pct"/>
            <w:vMerge w:val="continue"/>
            <w:tcBorders>
              <w:tl2br w:val="nil"/>
              <w:tr2bl w:val="nil"/>
            </w:tcBorders>
            <w:vAlign w:val="center"/>
          </w:tcPr>
          <w:p>
            <w:pPr>
              <w:rPr>
                <w:rFonts w:hint="default" w:ascii="Times New Roman" w:hAnsi="Times New Roman" w:eastAsia="宋体" w:cs="Times New Roman"/>
              </w:rPr>
            </w:pPr>
          </w:p>
        </w:tc>
        <w:tc>
          <w:tcPr>
            <w:tcW w:w="1204" w:type="pct"/>
            <w:tcBorders>
              <w:tl2br w:val="nil"/>
              <w:tr2bl w:val="nil"/>
            </w:tcBorders>
          </w:tcPr>
          <w:p>
            <w:pPr>
              <w:rPr>
                <w:rFonts w:hint="default" w:ascii="Times New Roman" w:hAnsi="Times New Roman" w:eastAsia="宋体" w:cs="Times New Roman"/>
              </w:rPr>
            </w:pPr>
            <w:r>
              <w:rPr>
                <w:rFonts w:hint="default" w:ascii="Times New Roman" w:hAnsi="Times New Roman" w:eastAsia="宋体" w:cs="Times New Roman"/>
              </w:rPr>
              <w:t>28d</w:t>
            </w:r>
          </w:p>
        </w:tc>
        <w:tc>
          <w:tcPr>
            <w:tcW w:w="2602" w:type="pct"/>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2398" w:type="pct"/>
            <w:gridSpan w:val="2"/>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减水率/%</w:t>
            </w:r>
          </w:p>
        </w:tc>
        <w:tc>
          <w:tcPr>
            <w:tcW w:w="2602" w:type="pct"/>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93" w:type="pct"/>
            <w:vMerge w:val="restart"/>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凝结时间差/min</w:t>
            </w:r>
          </w:p>
        </w:tc>
        <w:tc>
          <w:tcPr>
            <w:tcW w:w="1204" w:type="pct"/>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初凝</w:t>
            </w:r>
          </w:p>
        </w:tc>
        <w:tc>
          <w:tcPr>
            <w:tcW w:w="2602" w:type="pct"/>
            <w:vMerge w:val="restart"/>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-120~0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93" w:type="pct"/>
            <w:vMerge w:val="continue"/>
            <w:tcBorders>
              <w:tl2br w:val="nil"/>
              <w:tr2bl w:val="nil"/>
            </w:tcBorders>
            <w:vAlign w:val="center"/>
          </w:tcPr>
          <w:p>
            <w:pPr>
              <w:rPr>
                <w:rFonts w:hint="default" w:ascii="Times New Roman" w:hAnsi="Times New Roman" w:eastAsia="宋体" w:cs="Times New Roman"/>
              </w:rPr>
            </w:pPr>
          </w:p>
        </w:tc>
        <w:tc>
          <w:tcPr>
            <w:tcW w:w="1204" w:type="pct"/>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终凝</w:t>
            </w:r>
          </w:p>
        </w:tc>
        <w:tc>
          <w:tcPr>
            <w:tcW w:w="2602" w:type="pct"/>
            <w:vMerge w:val="continue"/>
            <w:tcBorders>
              <w:tl2br w:val="nil"/>
              <w:tr2bl w:val="nil"/>
            </w:tcBorders>
            <w:vAlign w:val="center"/>
          </w:tcPr>
          <w:p>
            <w:pPr>
              <w:rPr>
                <w:rFonts w:hint="default" w:ascii="Times New Roman" w:hAnsi="Times New Roman"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398" w:type="pct"/>
            <w:gridSpan w:val="2"/>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28d收缩率比/%</w:t>
            </w:r>
          </w:p>
        </w:tc>
        <w:tc>
          <w:tcPr>
            <w:tcW w:w="2602" w:type="pct"/>
            <w:tcBorders>
              <w:tl2br w:val="nil"/>
              <w:tr2bl w:val="nil"/>
            </w:tcBorders>
            <w:vAlign w:val="center"/>
          </w:tcPr>
          <w:p>
            <w:pPr>
              <w:rPr>
                <w:rFonts w:hint="default" w:ascii="Times New Roman" w:hAnsi="Times New Roman" w:eastAsia="宋体" w:cs="Times New Roman"/>
              </w:rPr>
            </w:pPr>
            <w:r>
              <w:rPr>
                <w:rFonts w:hint="default" w:ascii="Times New Roman" w:hAnsi="Times New Roman" w:eastAsia="宋体" w:cs="Times New Roman"/>
              </w:rPr>
              <w:t>≤130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00" w:type="pct"/>
            <w:gridSpan w:val="3"/>
            <w:tcBorders>
              <w:tl2br w:val="nil"/>
              <w:tr2bl w:val="nil"/>
            </w:tcBorders>
            <w:vAlign w:val="center"/>
          </w:tcPr>
          <w:p>
            <w:pPr>
              <w:jc w:val="both"/>
              <w:rPr>
                <w:rFonts w:hint="default" w:ascii="Times New Roman" w:hAnsi="Times New Roman" w:eastAsia="宋体" w:cs="Times New Roman"/>
              </w:rPr>
            </w:pPr>
            <w:r>
              <w:rPr>
                <w:rFonts w:hint="default" w:ascii="Times New Roman" w:hAnsi="Times New Roman" w:eastAsia="宋体" w:cs="Times New Roman"/>
              </w:rPr>
              <w:t>注：凝结时间差性能指标中的“－”表示提前。</w:t>
            </w:r>
          </w:p>
        </w:tc>
      </w:tr>
    </w:tbl>
    <w:p>
      <w:pPr>
        <w:pStyle w:val="35"/>
        <w:rPr>
          <w:rFonts w:ascii="Times New Roman" w:hAnsi="Times New Roman" w:cs="Times New Roman"/>
        </w:rPr>
      </w:pPr>
      <w:bookmarkStart w:id="57" w:name="_Toc21712"/>
      <w:r>
        <w:rPr>
          <w:rFonts w:ascii="Times New Roman" w:hAnsi="Times New Roman" w:cs="Times New Roman"/>
        </w:rPr>
        <w:t>6 试验方法</w:t>
      </w:r>
      <w:bookmarkEnd w:id="57"/>
    </w:p>
    <w:p>
      <w:pPr>
        <w:pStyle w:val="37"/>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outlineLvl w:val="1"/>
        <w:rPr>
          <w:rFonts w:ascii="Times New Roman" w:hAnsi="Times New Roman" w:eastAsia="黑体" w:cs="Times New Roman"/>
          <w:snapToGrid w:val="0"/>
          <w:sz w:val="21"/>
          <w:lang w:val="en-US" w:eastAsia="zh-CN" w:bidi="ar-SA"/>
        </w:rPr>
      </w:pPr>
      <w:bookmarkStart w:id="58" w:name="_Toc141644534"/>
      <w:bookmarkStart w:id="59" w:name="_Toc141643561"/>
      <w:bookmarkStart w:id="60" w:name="_Toc27166"/>
      <w:r>
        <w:rPr>
          <w:rFonts w:ascii="Times New Roman" w:hAnsi="Times New Roman" w:eastAsia="黑体" w:cs="Times New Roman"/>
          <w:snapToGrid w:val="0"/>
          <w:sz w:val="21"/>
          <w:lang w:val="en-US" w:eastAsia="zh-CN" w:bidi="ar-SA"/>
        </w:rPr>
        <w:t>6.</w:t>
      </w:r>
      <w:r>
        <w:rPr>
          <w:rFonts w:hint="eastAsia" w:ascii="Times New Roman" w:hAnsi="Times New Roman" w:eastAsia="黑体" w:cs="Times New Roman"/>
          <w:snapToGrid w:val="0"/>
          <w:sz w:val="21"/>
          <w:lang w:val="en-US" w:eastAsia="zh-CN" w:bidi="ar-SA"/>
        </w:rPr>
        <w:t xml:space="preserve">1 </w:t>
      </w:r>
      <w:r>
        <w:rPr>
          <w:rFonts w:ascii="Times New Roman" w:hAnsi="Times New Roman" w:eastAsia="黑体" w:cs="Times New Roman"/>
          <w:snapToGrid w:val="0"/>
          <w:sz w:val="21"/>
          <w:lang w:val="en-US" w:eastAsia="zh-CN" w:bidi="ar-SA"/>
        </w:rPr>
        <w:t>匀质性试验</w:t>
      </w:r>
      <w:bookmarkEnd w:id="58"/>
      <w:bookmarkEnd w:id="59"/>
      <w:bookmarkEnd w:id="60"/>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bookmarkStart w:id="61" w:name="_Hlk141778631"/>
      <w:r>
        <w:rPr>
          <w:rFonts w:hint="default" w:ascii="Times New Roman" w:hAnsi="Times New Roman" w:eastAsia="宋体" w:cs="Times New Roman"/>
        </w:rPr>
        <w:t>外观、含水率、密度、含固量、稳定性、氯离子含量、碱含量、硫酸钠含量</w:t>
      </w:r>
      <w:bookmarkEnd w:id="61"/>
      <w:r>
        <w:rPr>
          <w:rFonts w:hint="default" w:ascii="Times New Roman" w:hAnsi="Times New Roman" w:eastAsia="宋体" w:cs="Times New Roman"/>
        </w:rPr>
        <w:t>测试按GB/T 8077的有关规定进行。</w:t>
      </w:r>
    </w:p>
    <w:p>
      <w:pPr>
        <w:pStyle w:val="37"/>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outlineLvl w:val="1"/>
        <w:rPr>
          <w:rFonts w:ascii="Times New Roman" w:hAnsi="Times New Roman" w:eastAsia="黑体" w:cs="Times New Roman"/>
          <w:snapToGrid w:val="0"/>
          <w:sz w:val="21"/>
          <w:lang w:val="en-US" w:eastAsia="zh-CN" w:bidi="ar-SA"/>
        </w:rPr>
      </w:pPr>
      <w:bookmarkStart w:id="62" w:name="_Toc4989"/>
      <w:bookmarkStart w:id="63" w:name="_Toc141643562"/>
      <w:bookmarkStart w:id="64" w:name="_Toc141644535"/>
      <w:r>
        <w:rPr>
          <w:rFonts w:ascii="Times New Roman" w:hAnsi="Times New Roman" w:eastAsia="黑体" w:cs="Times New Roman"/>
          <w:snapToGrid w:val="0"/>
          <w:sz w:val="21"/>
          <w:lang w:val="en-US" w:eastAsia="zh-CN" w:bidi="ar-SA"/>
        </w:rPr>
        <w:t>6.2 胶砂性能试验</w:t>
      </w:r>
      <w:bookmarkEnd w:id="62"/>
      <w:bookmarkEnd w:id="63"/>
      <w:bookmarkEnd w:id="64"/>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6.2.1 检验条件</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实验室温度为20℃±2℃，相对湿度不低于50%；试验用材料、仪器和用具的温度应与实验室温度一致；养护箱温度为20℃±1℃，相对湿度不低于90%。</w:t>
      </w:r>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6.2.2 材料及要求</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水泥：符合GB 175 中对P.Ⅰ型硅酸盐水泥相关要求；</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标准砂：符合GB/T 17671 中对标准砂的规定；</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水：符合JGJ</w:t>
      </w:r>
      <w:r>
        <w:rPr>
          <w:rFonts w:hint="eastAsia" w:ascii="Times New Roman" w:hAnsi="Times New Roman" w:cs="Times New Roman"/>
          <w:lang w:val="en-US" w:eastAsia="zh-CN"/>
        </w:rPr>
        <w:t xml:space="preserve"> </w:t>
      </w:r>
      <w:r>
        <w:rPr>
          <w:rFonts w:hint="default" w:ascii="Times New Roman" w:hAnsi="Times New Roman" w:eastAsia="宋体" w:cs="Times New Roman"/>
        </w:rPr>
        <w:t>63 中对拌合用水的规定；</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晶核增强剂：受检晶核增强剂。</w:t>
      </w:r>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6.2.3 试件制作</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用于测试水泥胶砂强度、凝结时间差、28d收缩率比测定的基准胶砂和受检胶砂应采用表3配合比进行制作。</w:t>
      </w:r>
    </w:p>
    <w:p>
      <w:pPr>
        <w:pStyle w:val="34"/>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宋体" w:cs="Times New Roman"/>
        </w:rPr>
      </w:pPr>
      <w:r>
        <w:rPr>
          <w:rFonts w:hint="default" w:ascii="Times New Roman" w:hAnsi="Times New Roman" w:eastAsia="宋体" w:cs="Times New Roman"/>
        </w:rPr>
        <w:t>表3 胶砂制作配合比</w:t>
      </w:r>
    </w:p>
    <w:tbl>
      <w:tblPr>
        <w:tblStyle w:val="16"/>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640"/>
        <w:gridCol w:w="2274"/>
        <w:gridCol w:w="2315"/>
        <w:gridCol w:w="1748"/>
        <w:gridCol w:w="13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jc w:val="center"/>
        </w:trPr>
        <w:tc>
          <w:tcPr>
            <w:tcW w:w="883" w:type="pct"/>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原材料</w:t>
            </w:r>
          </w:p>
        </w:tc>
        <w:tc>
          <w:tcPr>
            <w:tcW w:w="1224" w:type="pct"/>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P.Ⅰ型硅酸盐水泥</w:t>
            </w:r>
          </w:p>
        </w:tc>
        <w:tc>
          <w:tcPr>
            <w:tcW w:w="1246" w:type="pct"/>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中国ISO标准砂</w:t>
            </w:r>
          </w:p>
        </w:tc>
        <w:tc>
          <w:tcPr>
            <w:tcW w:w="941" w:type="pct"/>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晶核增强剂</w:t>
            </w:r>
          </w:p>
        </w:tc>
        <w:tc>
          <w:tcPr>
            <w:tcW w:w="708" w:type="pct"/>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 w:hRule="atLeast"/>
          <w:jc w:val="center"/>
        </w:trPr>
        <w:tc>
          <w:tcPr>
            <w:tcW w:w="883" w:type="pct"/>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用量/g</w:t>
            </w:r>
          </w:p>
        </w:tc>
        <w:tc>
          <w:tcPr>
            <w:tcW w:w="1224" w:type="pct"/>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900</w:t>
            </w:r>
          </w:p>
        </w:tc>
        <w:tc>
          <w:tcPr>
            <w:tcW w:w="1246" w:type="pct"/>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1350</w:t>
            </w:r>
          </w:p>
        </w:tc>
        <w:tc>
          <w:tcPr>
            <w:tcW w:w="941" w:type="pct"/>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厂家推荐掺量</w:t>
            </w:r>
          </w:p>
        </w:tc>
        <w:tc>
          <w:tcPr>
            <w:tcW w:w="708" w:type="pct"/>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rPr>
              <w:t>315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rPr>
            </w:pPr>
            <w:r>
              <w:rPr>
                <w:rFonts w:hint="default" w:ascii="Times New Roman" w:hAnsi="Times New Roman" w:eastAsia="宋体" w:cs="Times New Roman"/>
              </w:rPr>
              <w:t>注：采用液体晶核增强剂时应将晶核增强剂中的水应当计算在用水量中。</w:t>
            </w:r>
          </w:p>
        </w:tc>
      </w:tr>
    </w:tbl>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rPr>
      </w:pPr>
      <w:bookmarkStart w:id="65" w:name="_Hlk141623698"/>
      <w:r>
        <w:rPr>
          <w:rFonts w:hint="default" w:ascii="Times New Roman" w:hAnsi="Times New Roman" w:eastAsia="宋体" w:cs="Times New Roman"/>
        </w:rPr>
        <w:t>6.2.4 胶砂性能试验</w:t>
      </w:r>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6.2.4.1 抗压强度比测定</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水泥胶砂抗压强度测试按GB/T 17671 中第10.2条规定进行，抗压强度比计算按式1计算，结果保留至1%。</w:t>
      </w:r>
    </w:p>
    <w:tbl>
      <w:tblPr>
        <w:tblStyle w:val="1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00"/>
        <w:gridCol w:w="3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1" w:type="pct"/>
            <w:vAlign w:val="center"/>
          </w:tcPr>
          <w:p>
            <w:pPr>
              <w:spacing w:line="360" w:lineRule="auto"/>
              <w:jc w:val="right"/>
              <w:rPr>
                <w:rFonts w:hint="default" w:ascii="Times New Roman" w:hAnsi="Times New Roman" w:eastAsia="宋体" w:cs="Times New Roman"/>
              </w:rPr>
            </w:pPr>
            <w:r>
              <w:rPr>
                <w:rFonts w:hint="default" w:ascii="Times New Roman" w:hAnsi="Times New Roman" w:eastAsia="宋体" w:cs="Times New Roman"/>
                <w:position w:val="-30"/>
              </w:rPr>
              <w:object>
                <v:shape id="_x0000_i1025" o:spt="75" type="#_x0000_t75" style="height:33.9pt;width:74.1pt;" o:ole="t" filled="f" o:preferrelative="t" stroked="f" coordsize="21600,21600">
                  <v:path/>
                  <v:fill on="f" focussize="0,0"/>
                  <v:stroke on="f" joinstyle="miter"/>
                  <v:imagedata r:id="rId17" o:title=""/>
                  <o:lock v:ext="edit" aspectratio="t"/>
                  <w10:wrap type="none"/>
                  <w10:anchorlock/>
                </v:shape>
                <o:OLEObject Type="Embed" ProgID="Equation.KSEE3" ShapeID="_x0000_i1025" DrawAspect="Content" ObjectID="_1468075725" r:id="rId16">
                  <o:LockedField>false</o:LockedField>
                </o:OLEObject>
              </w:object>
            </w:r>
          </w:p>
        </w:tc>
        <w:tc>
          <w:tcPr>
            <w:tcW w:w="2039" w:type="pct"/>
            <w:vAlign w:val="center"/>
          </w:tcPr>
          <w:p>
            <w:pPr>
              <w:spacing w:line="360" w:lineRule="auto"/>
              <w:rPr>
                <w:rFonts w:hint="default" w:ascii="Times New Roman" w:hAnsi="Times New Roman" w:eastAsia="宋体" w:cs="Times New Roman"/>
              </w:rPr>
            </w:pPr>
            <w:r>
              <w:rPr>
                <w:rFonts w:hint="default" w:ascii="Times New Roman" w:hAnsi="Times New Roman" w:eastAsia="宋体" w:cs="Times New Roman"/>
              </w:rPr>
              <w:t>------------------------------------------式1</w:t>
            </w:r>
          </w:p>
        </w:tc>
      </w:tr>
    </w:tbl>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式中：</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object>
          <v:shape id="_x0000_i1026" o:spt="75" type="#_x0000_t75" style="height:18pt;width:15pt;" o:ole="t" filled="f" o:preferrelative="t" stroked="f" coordsize="21600,21600">
            <v:path/>
            <v:fill on="f" focussize="0,0"/>
            <v:stroke on="f" joinstyle="miter"/>
            <v:imagedata r:id="rId19" o:title=""/>
            <o:lock v:ext="edit" aspectratio="t"/>
            <w10:wrap type="none"/>
            <w10:anchorlock/>
          </v:shape>
          <o:OLEObject Type="Embed" ProgID="Equation.KSEE3" ShapeID="_x0000_i1026" DrawAspect="Content" ObjectID="_1468075726" r:id="rId18">
            <o:LockedField>false</o:LockedField>
          </o:OLEObject>
        </w:object>
      </w:r>
      <w:r>
        <w:rPr>
          <w:rFonts w:hint="default" w:ascii="Times New Roman" w:hAnsi="Times New Roman" w:eastAsia="宋体" w:cs="Times New Roman"/>
        </w:rPr>
        <w:t>—胶砂抗压强度比；</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object>
          <v:shape id="_x0000_i1027" o:spt="75" type="#_x0000_t75" style="height:18pt;width:9.9pt;" o:ole="t" filled="f" o:preferrelative="t" stroked="f" coordsize="21600,21600">
            <v:path/>
            <v:fill on="f" focussize="0,0"/>
            <v:stroke on="f" joinstyle="miter"/>
            <v:imagedata r:id="rId21" o:title=""/>
            <o:lock v:ext="edit" aspectratio="t"/>
            <w10:wrap type="none"/>
            <w10:anchorlock/>
          </v:shape>
          <o:OLEObject Type="Embed" ProgID="Equation.KSEE3" ShapeID="_x0000_i1027" DrawAspect="Content" ObjectID="_1468075727" r:id="rId20">
            <o:LockedField>false</o:LockedField>
          </o:OLEObject>
        </w:object>
      </w:r>
      <w:r>
        <w:rPr>
          <w:rFonts w:hint="default" w:ascii="Times New Roman" w:hAnsi="Times New Roman" w:eastAsia="宋体" w:cs="Times New Roman"/>
        </w:rPr>
        <w:t>—受检胶砂相应龄期抗压强度，精确至0.1MPa；</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object>
          <v:shape id="_x0000_i1028" o:spt="75" type="#_x0000_t75" style="height:18pt;width:11.1pt;" o:ole="t" filled="f" o:preferrelative="t" stroked="f" coordsize="21600,21600">
            <v:path/>
            <v:fill on="f" focussize="0,0"/>
            <v:stroke on="f" joinstyle="miter"/>
            <v:imagedata r:id="rId23" o:title=""/>
            <o:lock v:ext="edit" aspectratio="t"/>
            <w10:wrap type="none"/>
            <w10:anchorlock/>
          </v:shape>
          <o:OLEObject Type="Embed" ProgID="Equation.KSEE3" ShapeID="_x0000_i1028" DrawAspect="Content" ObjectID="_1468075728" r:id="rId22">
            <o:LockedField>false</o:LockedField>
          </o:OLEObject>
        </w:object>
      </w:r>
      <w:r>
        <w:rPr>
          <w:rFonts w:hint="default" w:ascii="Times New Roman" w:hAnsi="Times New Roman" w:eastAsia="宋体" w:cs="Times New Roman"/>
        </w:rPr>
        <w:t>—基准胶砂相应龄期抗压强度，精确至0.1MPa。</w:t>
      </w:r>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6.2.4.2 减水率测定</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按GB/T 8077 中第14条的规定进行。</w:t>
      </w:r>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6.2.4.3 凝结时间差测定</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按GB/T 8076 中第6.5.5条的规定进行。</w:t>
      </w:r>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6.2.4.4 28d收缩率比测定</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按GB/T 29756中第14条的相关规定进行。</w:t>
      </w:r>
    </w:p>
    <w:bookmarkEnd w:id="65"/>
    <w:p>
      <w:pPr>
        <w:pStyle w:val="35"/>
        <w:rPr>
          <w:rFonts w:ascii="Times New Roman" w:hAnsi="Times New Roman" w:cs="Times New Roman"/>
        </w:rPr>
      </w:pPr>
      <w:bookmarkStart w:id="66" w:name="_Toc17989"/>
      <w:bookmarkStart w:id="67" w:name="_Toc17464"/>
      <w:bookmarkStart w:id="68" w:name="_Toc6236"/>
      <w:r>
        <w:rPr>
          <w:rFonts w:hint="eastAsia" w:ascii="Times New Roman" w:hAnsi="Times New Roman" w:cs="Times New Roman"/>
        </w:rPr>
        <w:t xml:space="preserve">7 </w:t>
      </w:r>
      <w:r>
        <w:rPr>
          <w:rFonts w:ascii="Times New Roman" w:hAnsi="Times New Roman" w:cs="Times New Roman"/>
        </w:rPr>
        <w:t>检验规则</w:t>
      </w:r>
      <w:bookmarkEnd w:id="66"/>
      <w:bookmarkEnd w:id="67"/>
      <w:bookmarkEnd w:id="68"/>
    </w:p>
    <w:p>
      <w:pPr>
        <w:pStyle w:val="37"/>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outlineLvl w:val="1"/>
        <w:rPr>
          <w:rFonts w:ascii="Times New Roman" w:hAnsi="Times New Roman" w:eastAsia="黑体" w:cs="Times New Roman"/>
          <w:snapToGrid w:val="0"/>
          <w:sz w:val="21"/>
          <w:lang w:val="en-US" w:eastAsia="zh-CN" w:bidi="ar-SA"/>
        </w:rPr>
      </w:pPr>
      <w:bookmarkStart w:id="69" w:name="_Toc244"/>
      <w:bookmarkStart w:id="70" w:name="_Toc141644537"/>
      <w:bookmarkStart w:id="71" w:name="_Toc141643564"/>
      <w:r>
        <w:rPr>
          <w:rFonts w:ascii="Times New Roman" w:hAnsi="Times New Roman" w:eastAsia="黑体" w:cs="Times New Roman"/>
          <w:snapToGrid w:val="0"/>
          <w:sz w:val="21"/>
          <w:lang w:val="en-US" w:eastAsia="zh-CN" w:bidi="ar-SA"/>
        </w:rPr>
        <w:t>7.1  检验分类</w:t>
      </w:r>
      <w:bookmarkEnd w:id="69"/>
      <w:bookmarkEnd w:id="70"/>
      <w:bookmarkEnd w:id="71"/>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rPr>
      </w:pPr>
      <w:r>
        <w:rPr>
          <w:rFonts w:hint="eastAsia" w:ascii="Times New Roman" w:hAnsi="Times New Roman" w:eastAsia="宋体" w:cs="Times New Roman"/>
        </w:rPr>
        <w:t>检验分为出厂检验和型式检验。</w:t>
      </w:r>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7.1.1 出厂检验</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每批号产品出厂检验项目为外观、含水率、密度、含固量、抗压强度比（12h、1d）。</w:t>
      </w:r>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7.1.2  型式检验</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型式检验项目为本标准要求中全部项目。当有下列情况之一者，应进行型式检验：</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a) 正常生产每年至少进行一次试验；</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b) 产品连续停产六个月以上（含六个月），重新恢复生产时；</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c) 产品的原料、配方、工艺有较大变动时；</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d) 出厂检验结果与上次型式检验有较大差异时；</w:t>
      </w:r>
    </w:p>
    <w:p>
      <w:pPr>
        <w:pStyle w:val="34"/>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e) 国家质量监督机构要求进行型式检验时。</w:t>
      </w:r>
    </w:p>
    <w:p>
      <w:pPr>
        <w:pStyle w:val="37"/>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outlineLvl w:val="1"/>
        <w:rPr>
          <w:rFonts w:ascii="Times New Roman" w:hAnsi="Times New Roman" w:eastAsia="黑体" w:cs="Times New Roman"/>
          <w:snapToGrid w:val="0"/>
          <w:sz w:val="21"/>
          <w:lang w:val="en-US" w:eastAsia="zh-CN" w:bidi="ar-SA"/>
        </w:rPr>
      </w:pPr>
      <w:bookmarkStart w:id="72" w:name="_Toc141643565"/>
      <w:bookmarkStart w:id="73" w:name="_Toc7594"/>
      <w:bookmarkStart w:id="74" w:name="_Toc141644538"/>
      <w:r>
        <w:rPr>
          <w:rFonts w:ascii="Times New Roman" w:hAnsi="Times New Roman" w:eastAsia="黑体" w:cs="Times New Roman"/>
          <w:snapToGrid w:val="0"/>
          <w:sz w:val="21"/>
          <w:lang w:val="en-US" w:eastAsia="zh-CN" w:bidi="ar-SA"/>
        </w:rPr>
        <w:t>7.2  批量、取样及留样</w:t>
      </w:r>
      <w:bookmarkEnd w:id="72"/>
      <w:bookmarkEnd w:id="73"/>
      <w:bookmarkEnd w:id="74"/>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7.2.1  批量</w:t>
      </w:r>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同一品种的晶核增强剂，每50t为一批，不足50t也作为一批。</w:t>
      </w:r>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7.2.2  取样及留样</w:t>
      </w:r>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a) 取样应具有代表性。</w:t>
      </w:r>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b) 每一批号取样量不少于0.2t水泥所需用的晶核增强剂量。</w:t>
      </w:r>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c) 每一批号取得的试样应充分混匀，分为两等份。一份按本标准规定方法与项目进行试验，另一份要密封保存6个月，以备有争议时提交国家指定的检验机关进行复验或仲裁。如生产和使用单位同意，复验或仲裁也可使用现场取样。</w:t>
      </w:r>
    </w:p>
    <w:p>
      <w:pPr>
        <w:pStyle w:val="37"/>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outlineLvl w:val="1"/>
        <w:rPr>
          <w:rFonts w:ascii="Times New Roman" w:hAnsi="Times New Roman" w:eastAsia="黑体" w:cs="Times New Roman"/>
          <w:snapToGrid w:val="0"/>
          <w:sz w:val="21"/>
          <w:lang w:val="en-US" w:eastAsia="zh-CN" w:bidi="ar-SA"/>
        </w:rPr>
      </w:pPr>
      <w:bookmarkStart w:id="75" w:name="_Toc20405"/>
      <w:bookmarkStart w:id="76" w:name="_Toc141644539"/>
      <w:bookmarkStart w:id="77" w:name="_Toc141643566"/>
      <w:r>
        <w:rPr>
          <w:rFonts w:ascii="Times New Roman" w:hAnsi="Times New Roman" w:eastAsia="黑体" w:cs="Times New Roman"/>
          <w:snapToGrid w:val="0"/>
          <w:sz w:val="21"/>
          <w:lang w:val="en-US" w:eastAsia="zh-CN" w:bidi="ar-SA"/>
        </w:rPr>
        <w:t>7.3  判定</w:t>
      </w:r>
      <w:bookmarkEnd w:id="75"/>
      <w:bookmarkEnd w:id="76"/>
      <w:bookmarkEnd w:id="77"/>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7.3.1  出厂检验判定</w:t>
      </w:r>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出厂检验项目检验结果全部符合规定的要求，可判定该批产品检验合格。</w:t>
      </w:r>
    </w:p>
    <w:p>
      <w:pPr>
        <w:pStyle w:val="34"/>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rPr>
      </w:pPr>
      <w:r>
        <w:rPr>
          <w:rFonts w:hint="eastAsia" w:ascii="Times New Roman" w:hAnsi="Times New Roman" w:eastAsia="宋体" w:cs="Times New Roman"/>
        </w:rPr>
        <w:t>7.3.2  型式检验判定</w:t>
      </w:r>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产品经检验，匀质性检验结果符合表1的要求，混凝土的各项性能指标符合表2的要求，则判定该批产品合格。如不符合上述要求时，则判定该批产品不合格。</w:t>
      </w:r>
    </w:p>
    <w:p>
      <w:pPr>
        <w:pStyle w:val="37"/>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outlineLvl w:val="1"/>
        <w:rPr>
          <w:rFonts w:hint="eastAsia" w:ascii="Times New Roman" w:hAnsi="Times New Roman" w:eastAsia="黑体" w:cs="Times New Roman"/>
          <w:snapToGrid w:val="0"/>
          <w:sz w:val="21"/>
          <w:lang w:val="en-US" w:eastAsia="zh-CN" w:bidi="ar-SA"/>
        </w:rPr>
      </w:pPr>
      <w:bookmarkStart w:id="78" w:name="_Toc141643567"/>
      <w:bookmarkStart w:id="79" w:name="_Toc24124"/>
      <w:bookmarkStart w:id="80" w:name="_Toc141644540"/>
      <w:r>
        <w:rPr>
          <w:rFonts w:hint="eastAsia" w:ascii="Times New Roman" w:hAnsi="Times New Roman" w:eastAsia="黑体" w:cs="Times New Roman"/>
          <w:snapToGrid w:val="0"/>
          <w:sz w:val="21"/>
          <w:lang w:val="en-US" w:eastAsia="zh-CN" w:bidi="ar-SA"/>
        </w:rPr>
        <w:t>7.4  复验</w:t>
      </w:r>
      <w:bookmarkEnd w:id="78"/>
      <w:bookmarkEnd w:id="79"/>
      <w:bookmarkEnd w:id="80"/>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复验以封存样进行。如果使用单位要求现场取样，应事先在供货合同中规定，并在生产和使用单位相关人员在场的情况下于现场取具有代表性的样品。复验按照型式检验项目进行。</w:t>
      </w:r>
    </w:p>
    <w:p>
      <w:pPr>
        <w:pStyle w:val="35"/>
        <w:rPr>
          <w:rFonts w:hint="eastAsia" w:ascii="Times New Roman" w:hAnsi="Times New Roman" w:cs="Times New Roman"/>
        </w:rPr>
      </w:pPr>
      <w:bookmarkStart w:id="81" w:name="_Toc141643568"/>
      <w:bookmarkStart w:id="82" w:name="_Toc7868"/>
      <w:bookmarkStart w:id="83" w:name="_Toc141644541"/>
      <w:bookmarkStart w:id="84" w:name="_Toc28375"/>
      <w:bookmarkStart w:id="85" w:name="_Toc19746"/>
      <w:r>
        <w:rPr>
          <w:rFonts w:hint="eastAsia" w:ascii="Times New Roman" w:hAnsi="Times New Roman" w:cs="Times New Roman"/>
        </w:rPr>
        <w:t xml:space="preserve">8  </w:t>
      </w:r>
      <w:bookmarkStart w:id="86" w:name="_Hlk141778893"/>
      <w:r>
        <w:rPr>
          <w:rFonts w:hint="eastAsia" w:ascii="Times New Roman" w:hAnsi="Times New Roman" w:cs="Times New Roman"/>
        </w:rPr>
        <w:t>标志、包装、出厂、贮存与运输</w:t>
      </w:r>
      <w:bookmarkEnd w:id="81"/>
      <w:bookmarkEnd w:id="82"/>
      <w:bookmarkEnd w:id="83"/>
      <w:bookmarkEnd w:id="84"/>
      <w:bookmarkEnd w:id="85"/>
      <w:bookmarkEnd w:id="86"/>
    </w:p>
    <w:p>
      <w:pPr>
        <w:pStyle w:val="37"/>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outlineLvl w:val="1"/>
        <w:rPr>
          <w:rFonts w:hint="eastAsia" w:ascii="Times New Roman" w:hAnsi="Times New Roman" w:eastAsia="黑体" w:cs="Times New Roman"/>
          <w:snapToGrid w:val="0"/>
          <w:sz w:val="21"/>
          <w:lang w:val="en-US" w:eastAsia="zh-CN" w:bidi="ar-SA"/>
        </w:rPr>
      </w:pPr>
      <w:bookmarkStart w:id="87" w:name="_Toc141644542"/>
      <w:bookmarkStart w:id="88" w:name="_Toc141643569"/>
      <w:bookmarkStart w:id="89" w:name="_Toc22450"/>
      <w:r>
        <w:rPr>
          <w:rFonts w:hint="eastAsia" w:ascii="Times New Roman" w:hAnsi="Times New Roman" w:eastAsia="黑体" w:cs="Times New Roman"/>
          <w:snapToGrid w:val="0"/>
          <w:sz w:val="21"/>
          <w:lang w:val="en-US" w:eastAsia="zh-CN" w:bidi="ar-SA"/>
        </w:rPr>
        <w:t>8.1  标志</w:t>
      </w:r>
      <w:bookmarkEnd w:id="87"/>
      <w:bookmarkEnd w:id="88"/>
      <w:bookmarkEnd w:id="89"/>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每批出厂产品随货提供产品说明书和产品质保书，标明生产厂家名称、产品适用范围和适用掺量、使用方法和注意事项等。</w:t>
      </w:r>
      <w:bookmarkStart w:id="90" w:name="_Toc141643570"/>
      <w:bookmarkStart w:id="91" w:name="_Toc32299"/>
      <w:bookmarkStart w:id="92" w:name="_Toc141644543"/>
    </w:p>
    <w:p>
      <w:pPr>
        <w:pStyle w:val="37"/>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outlineLvl w:val="1"/>
        <w:rPr>
          <w:rFonts w:hint="eastAsia" w:ascii="Times New Roman" w:hAnsi="Times New Roman" w:eastAsia="黑体" w:cs="Times New Roman"/>
          <w:snapToGrid w:val="0"/>
          <w:sz w:val="21"/>
          <w:lang w:val="en-US" w:eastAsia="zh-CN" w:bidi="ar-SA"/>
        </w:rPr>
      </w:pPr>
      <w:r>
        <w:rPr>
          <w:rFonts w:hint="eastAsia" w:ascii="Times New Roman" w:hAnsi="Times New Roman" w:eastAsia="黑体" w:cs="Times New Roman"/>
          <w:snapToGrid w:val="0"/>
          <w:sz w:val="21"/>
          <w:lang w:val="en-US" w:eastAsia="zh-CN" w:bidi="ar-SA"/>
        </w:rPr>
        <w:t>8.2  包装</w:t>
      </w:r>
      <w:bookmarkEnd w:id="90"/>
      <w:bookmarkEnd w:id="91"/>
      <w:bookmarkEnd w:id="92"/>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本系列粉体产品应采用有塑料袋衬里的编织袋或纸袋包装；液体产品应密封包装。单位包装内产品数量与规定数量相比的短缺量不应超过1%。所有包装的容器上均应在明显位置注明以下内容：产品名称、型号、净质量、生产厂名。生产日期及出厂编号应于产品合格证上予以说明。</w:t>
      </w:r>
    </w:p>
    <w:p>
      <w:pPr>
        <w:pStyle w:val="37"/>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outlineLvl w:val="1"/>
        <w:rPr>
          <w:rFonts w:hint="eastAsia" w:ascii="Times New Roman" w:hAnsi="Times New Roman" w:eastAsia="黑体" w:cs="Times New Roman"/>
          <w:snapToGrid w:val="0"/>
          <w:sz w:val="21"/>
          <w:lang w:val="en-US" w:eastAsia="zh-CN" w:bidi="ar-SA"/>
        </w:rPr>
      </w:pPr>
      <w:bookmarkStart w:id="93" w:name="_Toc5235"/>
      <w:bookmarkStart w:id="94" w:name="_Toc141644544"/>
      <w:bookmarkStart w:id="95" w:name="_Toc141643571"/>
      <w:r>
        <w:rPr>
          <w:rFonts w:hint="eastAsia" w:ascii="Times New Roman" w:hAnsi="Times New Roman" w:eastAsia="黑体" w:cs="Times New Roman"/>
          <w:snapToGrid w:val="0"/>
          <w:sz w:val="21"/>
          <w:lang w:val="en-US" w:eastAsia="zh-CN" w:bidi="ar-SA"/>
        </w:rPr>
        <w:t>8.3  出厂</w:t>
      </w:r>
      <w:bookmarkEnd w:id="93"/>
      <w:bookmarkEnd w:id="94"/>
      <w:bookmarkEnd w:id="95"/>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生产厂应随第一批货提供出厂检验报告、产品说明书、合格证。</w:t>
      </w:r>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凡有下列情况之一者，不应出厂：不合格品、技术文件(产品说明书、合格证、检验报告)不全、包装不符、质量不足、产品变质以及超过保质期。</w:t>
      </w:r>
    </w:p>
    <w:p>
      <w:pPr>
        <w:pStyle w:val="37"/>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outlineLvl w:val="1"/>
        <w:rPr>
          <w:rFonts w:hint="eastAsia" w:ascii="Times New Roman" w:hAnsi="Times New Roman" w:eastAsia="黑体" w:cs="Times New Roman"/>
          <w:snapToGrid w:val="0"/>
          <w:sz w:val="21"/>
          <w:lang w:val="en-US" w:eastAsia="zh-CN" w:bidi="ar-SA"/>
        </w:rPr>
      </w:pPr>
      <w:bookmarkStart w:id="96" w:name="_Toc141643572"/>
      <w:bookmarkStart w:id="97" w:name="_Toc141644545"/>
      <w:bookmarkStart w:id="98" w:name="_Toc24558"/>
      <w:r>
        <w:rPr>
          <w:rFonts w:hint="eastAsia" w:ascii="Times New Roman" w:hAnsi="Times New Roman" w:eastAsia="黑体" w:cs="Times New Roman"/>
          <w:snapToGrid w:val="0"/>
          <w:sz w:val="21"/>
          <w:lang w:val="en-US" w:eastAsia="zh-CN" w:bidi="ar-SA"/>
        </w:rPr>
        <w:t>8.4  贮存与运输</w:t>
      </w:r>
      <w:bookmarkEnd w:id="96"/>
      <w:bookmarkEnd w:id="97"/>
      <w:bookmarkEnd w:id="98"/>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产品在贮存和运输过程中不得污染、破损、不得与酸、碱等腐蚀物质混放，也不得与其它种类外加剂混合。</w:t>
      </w:r>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贮存期内请注意保持本产品免受霜冻及高温，如液体产品霜冻结冰，则必须重新融解成液体后并重新检验合格后方可使用；如出现沉淀、分层、凝胶化，经测试满足匀质性指标后方可使用。如粉体产品出现团聚、结块，则必须重新粉碎至无明显颗粒感并重新检验合格后方可使用。产品超过一年后或长时间暴露在高温条件下需经重新检验合格后方可使用。</w:t>
      </w:r>
    </w:p>
    <w:p>
      <w:pPr>
        <w:spacing w:line="360" w:lineRule="auto"/>
        <w:ind w:firstLine="420" w:firstLineChars="200"/>
        <w:jc w:val="both"/>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产品应存放在专用仓库或固定场所并妥善保管，以便于识别和便于检查、提货为原则。</w:t>
      </w:r>
      <w:bookmarkStart w:id="99" w:name="bookmark23"/>
      <w:bookmarkEnd w:id="99"/>
    </w:p>
    <w:p>
      <w:pPr>
        <w:pStyle w:val="34"/>
        <w:rPr>
          <w:rFonts w:hint="eastAsia"/>
        </w:rPr>
      </w:pPr>
    </w:p>
    <w:p>
      <w:pPr>
        <w:pStyle w:val="34"/>
      </w:pPr>
    </w:p>
    <w:p>
      <w:pPr>
        <w:pStyle w:val="34"/>
      </w:pPr>
    </w:p>
    <w:p>
      <w:pPr>
        <w:pStyle w:val="34"/>
        <w:rPr>
          <w:rFonts w:ascii="Times New Roman" w:hAnsi="Times New Roman"/>
        </w:rPr>
      </w:pPr>
      <w:r>
        <mc:AlternateContent>
          <mc:Choice Requires="wps">
            <w:drawing>
              <wp:anchor distT="0" distB="0" distL="114300" distR="114300" simplePos="0" relativeHeight="251660288" behindDoc="0" locked="0" layoutInCell="1" allowOverlap="1">
                <wp:simplePos x="0" y="0"/>
                <wp:positionH relativeFrom="column">
                  <wp:posOffset>1836420</wp:posOffset>
                </wp:positionH>
                <wp:positionV relativeFrom="paragraph">
                  <wp:posOffset>161290</wp:posOffset>
                </wp:positionV>
                <wp:extent cx="1795145" cy="0"/>
                <wp:effectExtent l="0" t="0" r="0" b="0"/>
                <wp:wrapNone/>
                <wp:docPr id="25" name="直接连接符 25"/>
                <wp:cNvGraphicFramePr/>
                <a:graphic xmlns:a="http://schemas.openxmlformats.org/drawingml/2006/main">
                  <a:graphicData uri="http://schemas.microsoft.com/office/word/2010/wordprocessingShape">
                    <wps:wsp>
                      <wps:cNvCnPr/>
                      <wps:spPr>
                        <a:xfrm>
                          <a:off x="2266950" y="9450705"/>
                          <a:ext cx="17951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44.6pt;margin-top:12.7pt;height:0pt;width:141.35pt;z-index:251660288;mso-width-relative:page;mso-height-relative:page;" filled="f" stroked="t" coordsize="21600,21600" o:gfxdata="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hK2E3WAAAACQEAAA8AAAAAAAAAAQAgAAAAIgAAAGRycy9kb3ducmV2LnhtbFBL&#10;AQIUABQAAAAIAIdO4kA3yRAi+AEAAM0DAAAOAAAAAAAAAAEAIAAAACUBAABkcnMvZTJvRG9jLnht&#10;bFBLBQYAAAAABgAGAFkBAACPBQAAAAA=&#10;">
                <v:fill on="f" focussize="0,0"/>
                <v:stroke weight="0.5pt" color="#000000" miterlimit="8" joinstyle="miter"/>
                <v:imagedata o:title=""/>
                <o:lock v:ext="edit" aspectratio="f"/>
              </v:line>
            </w:pict>
          </mc:Fallback>
        </mc:AlternateContent>
      </w:r>
    </w:p>
    <w:sectPr>
      <w:footerReference r:id="rId13" w:type="default"/>
      <w:footerReference r:id="rId14"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sdtPr>
    <w:sdtContent>
      <w:p>
        <w:pPr>
          <w:pStyle w:val="10"/>
          <w:ind w:firstLine="360"/>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sdtPr>
    <w:sdtContent>
      <w:p>
        <w:pPr>
          <w:pStyle w:val="10"/>
          <w:ind w:firstLine="360"/>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4907165"/>
    </w:sdtPr>
    <w:sdtContent>
      <w:p>
        <w:pPr>
          <w:pStyle w:val="10"/>
        </w:pPr>
        <w:r>
          <w:fldChar w:fldCharType="begin"/>
        </w:r>
        <w:r>
          <w:instrText xml:space="preserve">PAGE   \* MERGEFORMAT</w:instrText>
        </w:r>
        <w:r>
          <w:fldChar w:fldCharType="separate"/>
        </w:r>
        <w:r>
          <w:rPr>
            <w:lang w:val="zh-CN"/>
          </w:rPr>
          <w:t>9</w:t>
        </w:r>
        <w:r>
          <w:rPr>
            <w:lang w:val="zh-CN"/>
          </w:rPr>
          <w:fldChar w:fldCharType="end"/>
        </w:r>
      </w:p>
    </w:sdtContent>
  </w:sdt>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5897596"/>
    </w:sdtPr>
    <w:sdtContent>
      <w:p>
        <w:pPr>
          <w:pStyle w:val="10"/>
        </w:pPr>
        <w:r>
          <w:fldChar w:fldCharType="begin"/>
        </w:r>
        <w:r>
          <w:instrText xml:space="preserve">PAGE   \* MERGEFORMAT</w:instrText>
        </w:r>
        <w:r>
          <w:fldChar w:fldCharType="separate"/>
        </w:r>
        <w:r>
          <w:rPr>
            <w:lang w:val="zh-CN"/>
          </w:rPr>
          <w:t>8</w:t>
        </w:r>
        <w:r>
          <w:rPr>
            <w:lang w:val="zh-CN"/>
          </w:rPr>
          <w:fldChar w:fldCharType="end"/>
        </w:r>
      </w:p>
    </w:sdtContent>
  </w:sdt>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670413"/>
    </w:sdtPr>
    <w:sdtContent>
      <w:p>
        <w:pPr>
          <w:pStyle w:val="10"/>
        </w:pPr>
        <w:r>
          <w:fldChar w:fldCharType="begin"/>
        </w:r>
        <w:r>
          <w:instrText xml:space="preserve">PAGE   \* MERGEFORMAT</w:instrText>
        </w:r>
        <w:r>
          <w:fldChar w:fldCharType="separate"/>
        </w:r>
        <w:r>
          <w:rPr>
            <w:lang w:val="zh-CN"/>
          </w:rPr>
          <w:t>9</w:t>
        </w:r>
        <w:r>
          <w:rPr>
            <w:lang w:val="zh-CN"/>
          </w:rPr>
          <w:fldChar w:fldCharType="end"/>
        </w:r>
      </w:p>
    </w:sdtContent>
  </w:sdt>
  <w:p>
    <w:pPr>
      <w:pStyle w:val="10"/>
    </w:pPr>
  </w:p>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2395204"/>
    </w:sdtPr>
    <w:sdtContent>
      <w:p>
        <w:pPr>
          <w:pStyle w:val="10"/>
        </w:pPr>
        <w:r>
          <w:fldChar w:fldCharType="begin"/>
        </w:r>
        <w:r>
          <w:instrText xml:space="preserve">PAGE   \* MERGEFORMAT</w:instrText>
        </w:r>
        <w:r>
          <w:fldChar w:fldCharType="separate"/>
        </w:r>
        <w:r>
          <w:rPr>
            <w:lang w:val="zh-CN"/>
          </w:rPr>
          <w:t>8</w:t>
        </w:r>
        <w:r>
          <w:rPr>
            <w:lang w:val="zh-CN"/>
          </w:rPr>
          <w:fldChar w:fldCharType="end"/>
        </w:r>
      </w:p>
    </w:sdtContent>
  </w:sdt>
  <w:p>
    <w:pPr>
      <w:pStyle w:val="10"/>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pacing w:val="-1"/>
      </w:rPr>
      <w:t>T/CECS</w:t>
    </w:r>
    <w:r>
      <w:t xml:space="preserve">  ×××××—20××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pacing w:val="-1"/>
      </w:rPr>
      <w:t>T/CECS</w:t>
    </w:r>
    <w:r>
      <w:t xml:space="preserve">  </w:t>
    </w:r>
    <w:r>
      <w:rPr>
        <w:sz w:val="28"/>
      </w:rPr>
      <w:t>×××××</w:t>
    </w:r>
    <w:r>
      <w:t>—20</w:t>
    </w:r>
    <w:r>
      <w:rPr>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8"/>
        <w:szCs w:val="28"/>
      </w:rPr>
    </w:lvl>
    <w:lvl w:ilvl="2" w:tentative="0">
      <w:start w:val="1"/>
      <w:numFmt w:val="decimal"/>
      <w:pStyle w:val="37"/>
      <w:suff w:val="nothing"/>
      <w:lvlText w:val="%1%2.%3　"/>
      <w:lvlJc w:val="left"/>
      <w:pPr>
        <w:ind w:left="0" w:firstLine="0"/>
      </w:pPr>
      <w:rPr>
        <w:rFonts w:hint="eastAsia" w:ascii="黑体" w:hAnsi="Times New Roman" w:eastAsia="黑体"/>
        <w:b w:val="0"/>
        <w:i w:val="0"/>
        <w:sz w:val="21"/>
      </w:rPr>
    </w:lvl>
    <w:lvl w:ilvl="3" w:tentative="0">
      <w:start w:val="1"/>
      <w:numFmt w:val="decimal"/>
      <w:pStyle w:val="36"/>
      <w:suff w:val="nothing"/>
      <w:lvlText w:val="%1%2.%3.%4　"/>
      <w:lvlJc w:val="left"/>
      <w:pPr>
        <w:ind w:left="127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47"/>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4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0B55DC2"/>
    <w:multiLevelType w:val="multilevel"/>
    <w:tmpl w:val="60B55DC2"/>
    <w:lvl w:ilvl="0" w:tentative="0">
      <w:start w:val="1"/>
      <w:numFmt w:val="upperLetter"/>
      <w:pStyle w:val="48"/>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46260FA"/>
    <w:multiLevelType w:val="multilevel"/>
    <w:tmpl w:val="646260FA"/>
    <w:lvl w:ilvl="0" w:tentative="0">
      <w:start w:val="1"/>
      <w:numFmt w:val="decimal"/>
      <w:pStyle w:val="41"/>
      <w:suff w:val="nothing"/>
      <w:lvlText w:val="表%1　"/>
      <w:lvlJc w:val="left"/>
      <w:pPr>
        <w:ind w:left="4395"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38"/>
      <w:suff w:val="nothing"/>
      <w:lvlText w:val="附　录　%1"/>
      <w:lvlJc w:val="left"/>
      <w:pPr>
        <w:ind w:left="0" w:firstLine="0"/>
      </w:pPr>
      <w:rPr>
        <w:rFonts w:hint="eastAsia" w:ascii="黑体" w:hAnsi="Times New Roman" w:eastAsia="黑体"/>
        <w:b w:val="0"/>
        <w:i w:val="0"/>
        <w:sz w:val="21"/>
      </w:rPr>
    </w:lvl>
    <w:lvl w:ilvl="1" w:tentative="0">
      <w:start w:val="1"/>
      <w:numFmt w:val="decimal"/>
      <w:pStyle w:val="4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3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6"/>
  </w:num>
  <w:num w:numId="3">
    <w:abstractNumId w:val="7"/>
  </w:num>
  <w:num w:numId="4">
    <w:abstractNumId w:val="5"/>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TcyZWY3NTQ3MmIxNDI4YmQ2ZTFiYWU3MDc5OTkifQ=="/>
  </w:docVars>
  <w:rsids>
    <w:rsidRoot w:val="00172A27"/>
    <w:rsid w:val="00002758"/>
    <w:rsid w:val="00003DFF"/>
    <w:rsid w:val="000043A0"/>
    <w:rsid w:val="000061BC"/>
    <w:rsid w:val="00006985"/>
    <w:rsid w:val="00027069"/>
    <w:rsid w:val="0003233F"/>
    <w:rsid w:val="00044B18"/>
    <w:rsid w:val="00053777"/>
    <w:rsid w:val="000562DC"/>
    <w:rsid w:val="0006002A"/>
    <w:rsid w:val="000601D9"/>
    <w:rsid w:val="00092DE3"/>
    <w:rsid w:val="000A3B86"/>
    <w:rsid w:val="000A70DA"/>
    <w:rsid w:val="000C546C"/>
    <w:rsid w:val="000C68B4"/>
    <w:rsid w:val="000C7216"/>
    <w:rsid w:val="000E7DD4"/>
    <w:rsid w:val="000F6F1C"/>
    <w:rsid w:val="000F796C"/>
    <w:rsid w:val="00111B27"/>
    <w:rsid w:val="0013008D"/>
    <w:rsid w:val="001331B0"/>
    <w:rsid w:val="00152A34"/>
    <w:rsid w:val="00157001"/>
    <w:rsid w:val="0015793A"/>
    <w:rsid w:val="00172A27"/>
    <w:rsid w:val="00176C9B"/>
    <w:rsid w:val="00185C83"/>
    <w:rsid w:val="00191DCB"/>
    <w:rsid w:val="001C70E6"/>
    <w:rsid w:val="001D0FD8"/>
    <w:rsid w:val="001D4747"/>
    <w:rsid w:val="001E682E"/>
    <w:rsid w:val="001E79AA"/>
    <w:rsid w:val="001F45C7"/>
    <w:rsid w:val="0021591C"/>
    <w:rsid w:val="00216673"/>
    <w:rsid w:val="00223043"/>
    <w:rsid w:val="0023227D"/>
    <w:rsid w:val="00246216"/>
    <w:rsid w:val="002622A0"/>
    <w:rsid w:val="00267865"/>
    <w:rsid w:val="00295D22"/>
    <w:rsid w:val="002B0A55"/>
    <w:rsid w:val="002B6D71"/>
    <w:rsid w:val="002D310A"/>
    <w:rsid w:val="002D6CEA"/>
    <w:rsid w:val="002D7FE7"/>
    <w:rsid w:val="002E0DC3"/>
    <w:rsid w:val="002F175D"/>
    <w:rsid w:val="002F562D"/>
    <w:rsid w:val="0030458F"/>
    <w:rsid w:val="00305A81"/>
    <w:rsid w:val="00306018"/>
    <w:rsid w:val="00310944"/>
    <w:rsid w:val="00312585"/>
    <w:rsid w:val="0031260C"/>
    <w:rsid w:val="00325277"/>
    <w:rsid w:val="00337EAE"/>
    <w:rsid w:val="00342DF0"/>
    <w:rsid w:val="003457AA"/>
    <w:rsid w:val="00354B1C"/>
    <w:rsid w:val="00367F70"/>
    <w:rsid w:val="003851EB"/>
    <w:rsid w:val="003D1B2B"/>
    <w:rsid w:val="003E00A9"/>
    <w:rsid w:val="00403143"/>
    <w:rsid w:val="00420024"/>
    <w:rsid w:val="004218C0"/>
    <w:rsid w:val="004321B0"/>
    <w:rsid w:val="004373AE"/>
    <w:rsid w:val="0044460C"/>
    <w:rsid w:val="00450D10"/>
    <w:rsid w:val="004802FE"/>
    <w:rsid w:val="0048651D"/>
    <w:rsid w:val="004A00E4"/>
    <w:rsid w:val="004A7F3F"/>
    <w:rsid w:val="004C7191"/>
    <w:rsid w:val="004C7956"/>
    <w:rsid w:val="004D102A"/>
    <w:rsid w:val="004D41CA"/>
    <w:rsid w:val="004D734D"/>
    <w:rsid w:val="004E497D"/>
    <w:rsid w:val="004F6C51"/>
    <w:rsid w:val="00505A75"/>
    <w:rsid w:val="00525235"/>
    <w:rsid w:val="00533E5D"/>
    <w:rsid w:val="00552D8C"/>
    <w:rsid w:val="00554242"/>
    <w:rsid w:val="00560ACB"/>
    <w:rsid w:val="00572C01"/>
    <w:rsid w:val="0058639D"/>
    <w:rsid w:val="00592970"/>
    <w:rsid w:val="005A34BE"/>
    <w:rsid w:val="005A6C82"/>
    <w:rsid w:val="005B2641"/>
    <w:rsid w:val="005B6CE7"/>
    <w:rsid w:val="005C51AB"/>
    <w:rsid w:val="005E3C45"/>
    <w:rsid w:val="005F5928"/>
    <w:rsid w:val="005F5F65"/>
    <w:rsid w:val="00607EE8"/>
    <w:rsid w:val="00615FD4"/>
    <w:rsid w:val="00624940"/>
    <w:rsid w:val="00634084"/>
    <w:rsid w:val="006520A5"/>
    <w:rsid w:val="00665E96"/>
    <w:rsid w:val="00672BF8"/>
    <w:rsid w:val="0067645A"/>
    <w:rsid w:val="00681EAE"/>
    <w:rsid w:val="00684068"/>
    <w:rsid w:val="006918B6"/>
    <w:rsid w:val="00694738"/>
    <w:rsid w:val="006A1CF0"/>
    <w:rsid w:val="006A2143"/>
    <w:rsid w:val="006A387E"/>
    <w:rsid w:val="006A5467"/>
    <w:rsid w:val="006B70E1"/>
    <w:rsid w:val="006C01A5"/>
    <w:rsid w:val="006C30A3"/>
    <w:rsid w:val="006E4235"/>
    <w:rsid w:val="006F320B"/>
    <w:rsid w:val="006F59AC"/>
    <w:rsid w:val="00711B42"/>
    <w:rsid w:val="007165A8"/>
    <w:rsid w:val="00726C9E"/>
    <w:rsid w:val="00727637"/>
    <w:rsid w:val="00736713"/>
    <w:rsid w:val="0076238F"/>
    <w:rsid w:val="00767F92"/>
    <w:rsid w:val="007A27B1"/>
    <w:rsid w:val="007B5048"/>
    <w:rsid w:val="007C6647"/>
    <w:rsid w:val="007C666C"/>
    <w:rsid w:val="007C73B6"/>
    <w:rsid w:val="007D03CE"/>
    <w:rsid w:val="007D1FA7"/>
    <w:rsid w:val="007D5F5E"/>
    <w:rsid w:val="007E0DB3"/>
    <w:rsid w:val="007E23EE"/>
    <w:rsid w:val="007F0B39"/>
    <w:rsid w:val="007F6C6A"/>
    <w:rsid w:val="00802814"/>
    <w:rsid w:val="00823404"/>
    <w:rsid w:val="008300A9"/>
    <w:rsid w:val="0083159A"/>
    <w:rsid w:val="00844C09"/>
    <w:rsid w:val="008453CE"/>
    <w:rsid w:val="0085186D"/>
    <w:rsid w:val="00855AA9"/>
    <w:rsid w:val="00860D50"/>
    <w:rsid w:val="00891770"/>
    <w:rsid w:val="00893996"/>
    <w:rsid w:val="008A6DE7"/>
    <w:rsid w:val="008A7355"/>
    <w:rsid w:val="008C0FB7"/>
    <w:rsid w:val="008D1189"/>
    <w:rsid w:val="008D7443"/>
    <w:rsid w:val="008D79FE"/>
    <w:rsid w:val="008E12A8"/>
    <w:rsid w:val="008E177E"/>
    <w:rsid w:val="008E403C"/>
    <w:rsid w:val="008E431F"/>
    <w:rsid w:val="008E6630"/>
    <w:rsid w:val="008F5AF7"/>
    <w:rsid w:val="0090252A"/>
    <w:rsid w:val="009076FA"/>
    <w:rsid w:val="009118F5"/>
    <w:rsid w:val="009159C9"/>
    <w:rsid w:val="009232F7"/>
    <w:rsid w:val="00930DF6"/>
    <w:rsid w:val="00935AC4"/>
    <w:rsid w:val="00945E56"/>
    <w:rsid w:val="00946F59"/>
    <w:rsid w:val="00955105"/>
    <w:rsid w:val="00955942"/>
    <w:rsid w:val="0095754E"/>
    <w:rsid w:val="00960B03"/>
    <w:rsid w:val="00973230"/>
    <w:rsid w:val="00973494"/>
    <w:rsid w:val="00980C22"/>
    <w:rsid w:val="00984B0D"/>
    <w:rsid w:val="00990825"/>
    <w:rsid w:val="00996E24"/>
    <w:rsid w:val="009A71DA"/>
    <w:rsid w:val="009A7593"/>
    <w:rsid w:val="009B0483"/>
    <w:rsid w:val="009F1F90"/>
    <w:rsid w:val="00A06455"/>
    <w:rsid w:val="00A106C4"/>
    <w:rsid w:val="00A40BFB"/>
    <w:rsid w:val="00A448F2"/>
    <w:rsid w:val="00A509EC"/>
    <w:rsid w:val="00A612F8"/>
    <w:rsid w:val="00A65FBA"/>
    <w:rsid w:val="00A66872"/>
    <w:rsid w:val="00A828F4"/>
    <w:rsid w:val="00AB3F93"/>
    <w:rsid w:val="00AB777A"/>
    <w:rsid w:val="00AC03AD"/>
    <w:rsid w:val="00AC4FE8"/>
    <w:rsid w:val="00AD3DAD"/>
    <w:rsid w:val="00AD3EC1"/>
    <w:rsid w:val="00AF31D4"/>
    <w:rsid w:val="00B04E73"/>
    <w:rsid w:val="00B05B48"/>
    <w:rsid w:val="00B21DDE"/>
    <w:rsid w:val="00B31462"/>
    <w:rsid w:val="00B40163"/>
    <w:rsid w:val="00B50C41"/>
    <w:rsid w:val="00B521AF"/>
    <w:rsid w:val="00B53C2A"/>
    <w:rsid w:val="00B557E1"/>
    <w:rsid w:val="00B636F3"/>
    <w:rsid w:val="00B8456E"/>
    <w:rsid w:val="00B91CDC"/>
    <w:rsid w:val="00BB49F3"/>
    <w:rsid w:val="00BD5CFF"/>
    <w:rsid w:val="00BF0B6D"/>
    <w:rsid w:val="00BF5BAF"/>
    <w:rsid w:val="00BF7AB2"/>
    <w:rsid w:val="00C07D4A"/>
    <w:rsid w:val="00C11355"/>
    <w:rsid w:val="00C158EE"/>
    <w:rsid w:val="00C200DA"/>
    <w:rsid w:val="00C44785"/>
    <w:rsid w:val="00C44959"/>
    <w:rsid w:val="00C45463"/>
    <w:rsid w:val="00C504F2"/>
    <w:rsid w:val="00C70868"/>
    <w:rsid w:val="00C77EC0"/>
    <w:rsid w:val="00C84024"/>
    <w:rsid w:val="00C84410"/>
    <w:rsid w:val="00C8552C"/>
    <w:rsid w:val="00C964EE"/>
    <w:rsid w:val="00CA1090"/>
    <w:rsid w:val="00CB36AA"/>
    <w:rsid w:val="00CB7796"/>
    <w:rsid w:val="00CB7A83"/>
    <w:rsid w:val="00CD5C8B"/>
    <w:rsid w:val="00CD6438"/>
    <w:rsid w:val="00CE0553"/>
    <w:rsid w:val="00CF2B25"/>
    <w:rsid w:val="00D00717"/>
    <w:rsid w:val="00D50751"/>
    <w:rsid w:val="00D51889"/>
    <w:rsid w:val="00D86636"/>
    <w:rsid w:val="00D90107"/>
    <w:rsid w:val="00D901AB"/>
    <w:rsid w:val="00D95FEF"/>
    <w:rsid w:val="00DB0C62"/>
    <w:rsid w:val="00DB60E3"/>
    <w:rsid w:val="00DE713F"/>
    <w:rsid w:val="00E01590"/>
    <w:rsid w:val="00E02D23"/>
    <w:rsid w:val="00E13B8D"/>
    <w:rsid w:val="00E153E3"/>
    <w:rsid w:val="00E1618C"/>
    <w:rsid w:val="00E24A97"/>
    <w:rsid w:val="00E31C60"/>
    <w:rsid w:val="00E40817"/>
    <w:rsid w:val="00E52E39"/>
    <w:rsid w:val="00E70D06"/>
    <w:rsid w:val="00E75930"/>
    <w:rsid w:val="00E926E6"/>
    <w:rsid w:val="00E9389C"/>
    <w:rsid w:val="00EA65C9"/>
    <w:rsid w:val="00EB0131"/>
    <w:rsid w:val="00EB58E4"/>
    <w:rsid w:val="00EC1A3C"/>
    <w:rsid w:val="00EC214C"/>
    <w:rsid w:val="00EC415E"/>
    <w:rsid w:val="00EC785F"/>
    <w:rsid w:val="00ED7BF2"/>
    <w:rsid w:val="00EE1800"/>
    <w:rsid w:val="00EE3FA0"/>
    <w:rsid w:val="00EF4FAC"/>
    <w:rsid w:val="00EF5A93"/>
    <w:rsid w:val="00F02911"/>
    <w:rsid w:val="00F1138E"/>
    <w:rsid w:val="00F24A03"/>
    <w:rsid w:val="00F338F0"/>
    <w:rsid w:val="00F60967"/>
    <w:rsid w:val="00F64867"/>
    <w:rsid w:val="00F7568C"/>
    <w:rsid w:val="00FA1AFA"/>
    <w:rsid w:val="00FA5F1E"/>
    <w:rsid w:val="00FB0541"/>
    <w:rsid w:val="00FB7CCE"/>
    <w:rsid w:val="00FC18FA"/>
    <w:rsid w:val="00FC1C6B"/>
    <w:rsid w:val="00FD26B2"/>
    <w:rsid w:val="00FE784B"/>
    <w:rsid w:val="013C2DFA"/>
    <w:rsid w:val="025A3F2A"/>
    <w:rsid w:val="026F3ADD"/>
    <w:rsid w:val="029602B0"/>
    <w:rsid w:val="02B8647C"/>
    <w:rsid w:val="02D82776"/>
    <w:rsid w:val="03565FA5"/>
    <w:rsid w:val="036E111B"/>
    <w:rsid w:val="03AA7E4D"/>
    <w:rsid w:val="043C3134"/>
    <w:rsid w:val="04A4119D"/>
    <w:rsid w:val="04C530B8"/>
    <w:rsid w:val="04E66927"/>
    <w:rsid w:val="05112B6E"/>
    <w:rsid w:val="05705BC7"/>
    <w:rsid w:val="05885EAF"/>
    <w:rsid w:val="058F3B85"/>
    <w:rsid w:val="05EA6003"/>
    <w:rsid w:val="06721146"/>
    <w:rsid w:val="06C04B4A"/>
    <w:rsid w:val="06C8571F"/>
    <w:rsid w:val="06F836BE"/>
    <w:rsid w:val="07FF0C60"/>
    <w:rsid w:val="08242361"/>
    <w:rsid w:val="08427F27"/>
    <w:rsid w:val="086E3906"/>
    <w:rsid w:val="08B25724"/>
    <w:rsid w:val="09970420"/>
    <w:rsid w:val="0A3F5DAD"/>
    <w:rsid w:val="0A7D5F81"/>
    <w:rsid w:val="0AC513AB"/>
    <w:rsid w:val="0AD60412"/>
    <w:rsid w:val="0BC24E3E"/>
    <w:rsid w:val="0BC82897"/>
    <w:rsid w:val="0BD8416F"/>
    <w:rsid w:val="0D26463F"/>
    <w:rsid w:val="0D4C6650"/>
    <w:rsid w:val="0D711EFB"/>
    <w:rsid w:val="0ED85373"/>
    <w:rsid w:val="0EF62798"/>
    <w:rsid w:val="0F2F4822"/>
    <w:rsid w:val="0F4E329B"/>
    <w:rsid w:val="0FCE3F47"/>
    <w:rsid w:val="106E6276"/>
    <w:rsid w:val="10CC7AB3"/>
    <w:rsid w:val="114F2022"/>
    <w:rsid w:val="11FF14FB"/>
    <w:rsid w:val="128009C6"/>
    <w:rsid w:val="12A042B8"/>
    <w:rsid w:val="12DE11BB"/>
    <w:rsid w:val="13D037FF"/>
    <w:rsid w:val="14AC39A4"/>
    <w:rsid w:val="14D75474"/>
    <w:rsid w:val="150C0CC7"/>
    <w:rsid w:val="15A82E82"/>
    <w:rsid w:val="160310C8"/>
    <w:rsid w:val="16090414"/>
    <w:rsid w:val="161C2A39"/>
    <w:rsid w:val="16412F29"/>
    <w:rsid w:val="16B06D5D"/>
    <w:rsid w:val="16B61DCE"/>
    <w:rsid w:val="176928D3"/>
    <w:rsid w:val="17AE76E7"/>
    <w:rsid w:val="18AA7840"/>
    <w:rsid w:val="192F1E04"/>
    <w:rsid w:val="19D328C5"/>
    <w:rsid w:val="1A8622D1"/>
    <w:rsid w:val="1ACA4F34"/>
    <w:rsid w:val="1AD16A30"/>
    <w:rsid w:val="1C7D5B98"/>
    <w:rsid w:val="1C865A0D"/>
    <w:rsid w:val="1E321F20"/>
    <w:rsid w:val="1EA53C40"/>
    <w:rsid w:val="1EB66866"/>
    <w:rsid w:val="1F5F6045"/>
    <w:rsid w:val="1FA50E0C"/>
    <w:rsid w:val="1FF06C37"/>
    <w:rsid w:val="209A3ED3"/>
    <w:rsid w:val="210C7EED"/>
    <w:rsid w:val="21396124"/>
    <w:rsid w:val="218F706E"/>
    <w:rsid w:val="21E416C9"/>
    <w:rsid w:val="21F276FE"/>
    <w:rsid w:val="22994E56"/>
    <w:rsid w:val="22A31EF1"/>
    <w:rsid w:val="22CE3069"/>
    <w:rsid w:val="23CE7442"/>
    <w:rsid w:val="23F15BC8"/>
    <w:rsid w:val="247D73DD"/>
    <w:rsid w:val="25262CB0"/>
    <w:rsid w:val="2552221F"/>
    <w:rsid w:val="25760EC0"/>
    <w:rsid w:val="25E1052F"/>
    <w:rsid w:val="26B6006D"/>
    <w:rsid w:val="26FD7706"/>
    <w:rsid w:val="272931DB"/>
    <w:rsid w:val="28652FE0"/>
    <w:rsid w:val="2871410D"/>
    <w:rsid w:val="28812CD5"/>
    <w:rsid w:val="28932236"/>
    <w:rsid w:val="289424D0"/>
    <w:rsid w:val="291B4238"/>
    <w:rsid w:val="29777D37"/>
    <w:rsid w:val="2AB32EED"/>
    <w:rsid w:val="2AD176C4"/>
    <w:rsid w:val="2B1759EA"/>
    <w:rsid w:val="2B2D7825"/>
    <w:rsid w:val="2B8B7893"/>
    <w:rsid w:val="2BA44E76"/>
    <w:rsid w:val="2BF07E99"/>
    <w:rsid w:val="2CBD5C28"/>
    <w:rsid w:val="2D9702C0"/>
    <w:rsid w:val="2F892E5B"/>
    <w:rsid w:val="2FE955F3"/>
    <w:rsid w:val="30ED196B"/>
    <w:rsid w:val="31F5356E"/>
    <w:rsid w:val="324E34B8"/>
    <w:rsid w:val="32B15C9C"/>
    <w:rsid w:val="32DC3255"/>
    <w:rsid w:val="3349337D"/>
    <w:rsid w:val="33907132"/>
    <w:rsid w:val="33F76D91"/>
    <w:rsid w:val="3495430F"/>
    <w:rsid w:val="352A046F"/>
    <w:rsid w:val="357F2CA0"/>
    <w:rsid w:val="359C3903"/>
    <w:rsid w:val="35D95F9D"/>
    <w:rsid w:val="365A1501"/>
    <w:rsid w:val="36DA0FD0"/>
    <w:rsid w:val="37401834"/>
    <w:rsid w:val="38CF1015"/>
    <w:rsid w:val="394A4F39"/>
    <w:rsid w:val="398523C6"/>
    <w:rsid w:val="3A3C0346"/>
    <w:rsid w:val="3B1F04E7"/>
    <w:rsid w:val="3B5A34B6"/>
    <w:rsid w:val="3B901214"/>
    <w:rsid w:val="3D3730AC"/>
    <w:rsid w:val="3DA52918"/>
    <w:rsid w:val="3DBF4831"/>
    <w:rsid w:val="3DDE7096"/>
    <w:rsid w:val="3E5B2D82"/>
    <w:rsid w:val="3E813130"/>
    <w:rsid w:val="3ED86481"/>
    <w:rsid w:val="3F53097E"/>
    <w:rsid w:val="3F6613C5"/>
    <w:rsid w:val="401B708A"/>
    <w:rsid w:val="40B6636A"/>
    <w:rsid w:val="40B84087"/>
    <w:rsid w:val="40C474F5"/>
    <w:rsid w:val="41C9151C"/>
    <w:rsid w:val="41E7638E"/>
    <w:rsid w:val="425069BC"/>
    <w:rsid w:val="42607B17"/>
    <w:rsid w:val="428A0B79"/>
    <w:rsid w:val="42B3523C"/>
    <w:rsid w:val="43761B78"/>
    <w:rsid w:val="449E09B3"/>
    <w:rsid w:val="44A61980"/>
    <w:rsid w:val="45DB348F"/>
    <w:rsid w:val="46B8155F"/>
    <w:rsid w:val="46F04213"/>
    <w:rsid w:val="47843B49"/>
    <w:rsid w:val="48776AD4"/>
    <w:rsid w:val="48B67A7D"/>
    <w:rsid w:val="48E31261"/>
    <w:rsid w:val="49524041"/>
    <w:rsid w:val="497124DE"/>
    <w:rsid w:val="49ED7E75"/>
    <w:rsid w:val="4A04467A"/>
    <w:rsid w:val="4A3A5D19"/>
    <w:rsid w:val="4A694839"/>
    <w:rsid w:val="4BC95040"/>
    <w:rsid w:val="4CE067B6"/>
    <w:rsid w:val="4D70394E"/>
    <w:rsid w:val="4D9B45BB"/>
    <w:rsid w:val="4E4D1D89"/>
    <w:rsid w:val="4E6616F1"/>
    <w:rsid w:val="4F1464EE"/>
    <w:rsid w:val="4F472181"/>
    <w:rsid w:val="4F5A4BAF"/>
    <w:rsid w:val="4F5D2FAF"/>
    <w:rsid w:val="4FE5544C"/>
    <w:rsid w:val="5016535E"/>
    <w:rsid w:val="501D62F0"/>
    <w:rsid w:val="516C5E18"/>
    <w:rsid w:val="51772465"/>
    <w:rsid w:val="51A11842"/>
    <w:rsid w:val="51A36489"/>
    <w:rsid w:val="527C1EE6"/>
    <w:rsid w:val="52B3025F"/>
    <w:rsid w:val="52EE3831"/>
    <w:rsid w:val="541B0980"/>
    <w:rsid w:val="54D24AD1"/>
    <w:rsid w:val="551B5EB4"/>
    <w:rsid w:val="55286859"/>
    <w:rsid w:val="556203E1"/>
    <w:rsid w:val="56DA5273"/>
    <w:rsid w:val="57800582"/>
    <w:rsid w:val="578953B7"/>
    <w:rsid w:val="57D333C5"/>
    <w:rsid w:val="57D85AA5"/>
    <w:rsid w:val="58192953"/>
    <w:rsid w:val="58423A15"/>
    <w:rsid w:val="58561330"/>
    <w:rsid w:val="58B129D0"/>
    <w:rsid w:val="593C5085"/>
    <w:rsid w:val="593C7F61"/>
    <w:rsid w:val="59715632"/>
    <w:rsid w:val="59C239F5"/>
    <w:rsid w:val="5B2A3249"/>
    <w:rsid w:val="5B5253C0"/>
    <w:rsid w:val="5C68361D"/>
    <w:rsid w:val="5CAA7668"/>
    <w:rsid w:val="5CF02A85"/>
    <w:rsid w:val="5D2636E9"/>
    <w:rsid w:val="5DB01AA1"/>
    <w:rsid w:val="5E062073"/>
    <w:rsid w:val="5F8623A3"/>
    <w:rsid w:val="5FBE3D3C"/>
    <w:rsid w:val="6016070B"/>
    <w:rsid w:val="61B97060"/>
    <w:rsid w:val="61C72D24"/>
    <w:rsid w:val="61CE3454"/>
    <w:rsid w:val="6248619D"/>
    <w:rsid w:val="62A83F42"/>
    <w:rsid w:val="63E44D55"/>
    <w:rsid w:val="63EA5F55"/>
    <w:rsid w:val="649D0DCC"/>
    <w:rsid w:val="64A77044"/>
    <w:rsid w:val="65C4453D"/>
    <w:rsid w:val="65DB7834"/>
    <w:rsid w:val="66061D78"/>
    <w:rsid w:val="663447FC"/>
    <w:rsid w:val="66381F5C"/>
    <w:rsid w:val="6681735C"/>
    <w:rsid w:val="66FF1D0D"/>
    <w:rsid w:val="6705582E"/>
    <w:rsid w:val="67161AB4"/>
    <w:rsid w:val="67321CEC"/>
    <w:rsid w:val="67FF6B21"/>
    <w:rsid w:val="68F7447B"/>
    <w:rsid w:val="68F930C3"/>
    <w:rsid w:val="69547784"/>
    <w:rsid w:val="69F33F58"/>
    <w:rsid w:val="69F633D9"/>
    <w:rsid w:val="6A575C64"/>
    <w:rsid w:val="6B667E5A"/>
    <w:rsid w:val="6B766F6E"/>
    <w:rsid w:val="6BBF2716"/>
    <w:rsid w:val="6C1444AE"/>
    <w:rsid w:val="6C342386"/>
    <w:rsid w:val="6CC94D0E"/>
    <w:rsid w:val="6CCE465D"/>
    <w:rsid w:val="6E49569A"/>
    <w:rsid w:val="6E8A2D16"/>
    <w:rsid w:val="6F16486B"/>
    <w:rsid w:val="6F8C2305"/>
    <w:rsid w:val="702F0FEB"/>
    <w:rsid w:val="706048BB"/>
    <w:rsid w:val="7071695B"/>
    <w:rsid w:val="71A778C6"/>
    <w:rsid w:val="71C270F6"/>
    <w:rsid w:val="71D45CA3"/>
    <w:rsid w:val="71F12B36"/>
    <w:rsid w:val="723C5327"/>
    <w:rsid w:val="72B37F96"/>
    <w:rsid w:val="72C127B9"/>
    <w:rsid w:val="72D760FF"/>
    <w:rsid w:val="73927F47"/>
    <w:rsid w:val="753D7966"/>
    <w:rsid w:val="757314BC"/>
    <w:rsid w:val="757371CE"/>
    <w:rsid w:val="76703E94"/>
    <w:rsid w:val="78C61D34"/>
    <w:rsid w:val="791616FD"/>
    <w:rsid w:val="79C74ECB"/>
    <w:rsid w:val="7A131817"/>
    <w:rsid w:val="7A2C376D"/>
    <w:rsid w:val="7A4B0AF5"/>
    <w:rsid w:val="7AF50AD6"/>
    <w:rsid w:val="7B3A0302"/>
    <w:rsid w:val="7CD64E71"/>
    <w:rsid w:val="7D2E117D"/>
    <w:rsid w:val="7D97452E"/>
    <w:rsid w:val="7DD11F88"/>
    <w:rsid w:val="7DFE63D1"/>
    <w:rsid w:val="7E0A0A53"/>
    <w:rsid w:val="7E7532C8"/>
    <w:rsid w:val="7EC60EEE"/>
    <w:rsid w:val="7EDF12B3"/>
    <w:rsid w:val="7F0E28D0"/>
    <w:rsid w:val="7FD6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Times New Roman" w:hAnsi="Times New Roman" w:eastAsia="宋体" w:cstheme="minorBidi"/>
      <w:kern w:val="2"/>
      <w:sz w:val="21"/>
      <w:szCs w:val="22"/>
      <w:lang w:val="en-US" w:eastAsia="zh-CN" w:bidi="ar-SA"/>
    </w:rPr>
  </w:style>
  <w:style w:type="paragraph" w:styleId="2">
    <w:name w:val="heading 1"/>
    <w:basedOn w:val="1"/>
    <w:next w:val="1"/>
    <w:link w:val="30"/>
    <w:autoRedefine/>
    <w:qFormat/>
    <w:uiPriority w:val="9"/>
    <w:pPr>
      <w:keepNext/>
      <w:keepLines/>
      <w:spacing w:beforeLines="20" w:afterLines="20"/>
      <w:outlineLvl w:val="0"/>
    </w:pPr>
    <w:rPr>
      <w:rFonts w:eastAsia="黑体"/>
      <w:b/>
      <w:bCs/>
      <w:kern w:val="44"/>
      <w:szCs w:val="44"/>
    </w:rPr>
  </w:style>
  <w:style w:type="paragraph" w:styleId="3">
    <w:name w:val="heading 2"/>
    <w:basedOn w:val="1"/>
    <w:next w:val="1"/>
    <w:link w:val="31"/>
    <w:autoRedefine/>
    <w:unhideWhenUsed/>
    <w:qFormat/>
    <w:uiPriority w:val="9"/>
    <w:pPr>
      <w:keepNext/>
      <w:keepLines/>
      <w:spacing w:before="260" w:after="260"/>
      <w:outlineLvl w:val="1"/>
    </w:pPr>
    <w:rPr>
      <w:rFonts w:ascii="黑体" w:hAnsi="黑体" w:eastAsia="黑体" w:cstheme="majorBidi"/>
      <w:bCs/>
      <w:szCs w:val="32"/>
    </w:rPr>
  </w:style>
  <w:style w:type="paragraph" w:styleId="4">
    <w:name w:val="heading 3"/>
    <w:basedOn w:val="1"/>
    <w:next w:val="1"/>
    <w:link w:val="32"/>
    <w:autoRedefine/>
    <w:unhideWhenUsed/>
    <w:qFormat/>
    <w:uiPriority w:val="9"/>
    <w:pPr>
      <w:keepNext/>
      <w:keepLines/>
      <w:spacing w:before="260" w:after="260" w:line="416" w:lineRule="auto"/>
      <w:outlineLvl w:val="2"/>
    </w:pPr>
    <w:rPr>
      <w:b/>
      <w:bCs/>
      <w:sz w:val="32"/>
      <w:szCs w:val="32"/>
    </w:rPr>
  </w:style>
  <w:style w:type="paragraph" w:styleId="5">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0"/>
    <w:pPr>
      <w:jc w:val="left"/>
    </w:pPr>
  </w:style>
  <w:style w:type="paragraph" w:styleId="7">
    <w:name w:val="toc 3"/>
    <w:basedOn w:val="1"/>
    <w:next w:val="1"/>
    <w:autoRedefine/>
    <w:unhideWhenUsed/>
    <w:qFormat/>
    <w:uiPriority w:val="39"/>
    <w:pPr>
      <w:ind w:left="840" w:leftChars="400"/>
    </w:pPr>
  </w:style>
  <w:style w:type="paragraph" w:styleId="8">
    <w:name w:val="Plain Text"/>
    <w:basedOn w:val="1"/>
    <w:autoRedefine/>
    <w:qFormat/>
    <w:uiPriority w:val="0"/>
    <w:rPr>
      <w:rFonts w:ascii="宋体" w:hAnsi="Courier New"/>
    </w:rPr>
  </w:style>
  <w:style w:type="paragraph" w:styleId="9">
    <w:name w:val="Balloon Text"/>
    <w:basedOn w:val="1"/>
    <w:link w:val="27"/>
    <w:autoRedefine/>
    <w:semiHidden/>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paragraph" w:styleId="14">
    <w:name w:val="annotation subject"/>
    <w:basedOn w:val="6"/>
    <w:next w:val="6"/>
    <w:link w:val="26"/>
    <w:autoRedefine/>
    <w:unhideWhenUsed/>
    <w:qFormat/>
    <w:uiPriority w:val="0"/>
    <w:rPr>
      <w:b/>
      <w:bCs/>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unhideWhenUsed/>
    <w:qFormat/>
    <w:uiPriority w:val="99"/>
    <w:rPr>
      <w:color w:val="0563C1" w:themeColor="hyperlink"/>
      <w:u w:val="single"/>
      <w14:textFill>
        <w14:solidFill>
          <w14:schemeClr w14:val="hlink"/>
        </w14:solidFill>
      </w14:textFill>
    </w:rPr>
  </w:style>
  <w:style w:type="character" w:styleId="19">
    <w:name w:val="annotation reference"/>
    <w:basedOn w:val="17"/>
    <w:autoRedefine/>
    <w:semiHidden/>
    <w:unhideWhenUsed/>
    <w:qFormat/>
    <w:uiPriority w:val="99"/>
    <w:rPr>
      <w:sz w:val="21"/>
      <w:szCs w:val="21"/>
    </w:rPr>
  </w:style>
  <w:style w:type="paragraph" w:customStyle="1" w:styleId="20">
    <w:name w:val="样式1"/>
    <w:basedOn w:val="1"/>
    <w:autoRedefine/>
    <w:qFormat/>
    <w:uiPriority w:val="0"/>
    <w:pPr>
      <w:widowControl/>
      <w:kinsoku w:val="0"/>
      <w:autoSpaceDE w:val="0"/>
      <w:autoSpaceDN w:val="0"/>
      <w:adjustRightInd w:val="0"/>
      <w:snapToGrid w:val="0"/>
      <w:spacing w:line="360" w:lineRule="auto"/>
      <w:jc w:val="both"/>
      <w:textAlignment w:val="baseline"/>
    </w:pPr>
    <w:rPr>
      <w:rFonts w:cs="Times New Roman"/>
      <w:b/>
      <w:bCs/>
      <w:snapToGrid w:val="0"/>
      <w:color w:val="000000"/>
      <w:kern w:val="0"/>
      <w:position w:val="17"/>
      <w:sz w:val="24"/>
      <w:szCs w:val="24"/>
    </w:rPr>
  </w:style>
  <w:style w:type="paragraph" w:customStyle="1" w:styleId="21">
    <w:name w:val="样式2"/>
    <w:basedOn w:val="1"/>
    <w:link w:val="60"/>
    <w:autoRedefine/>
    <w:qFormat/>
    <w:uiPriority w:val="0"/>
    <w:pPr>
      <w:widowControl/>
      <w:kinsoku w:val="0"/>
      <w:autoSpaceDE w:val="0"/>
      <w:autoSpaceDN w:val="0"/>
      <w:adjustRightInd w:val="0"/>
      <w:snapToGrid w:val="0"/>
      <w:spacing w:line="360" w:lineRule="auto"/>
      <w:textAlignment w:val="baseline"/>
    </w:pPr>
    <w:rPr>
      <w:rFonts w:cs="Times New Roman"/>
      <w:b/>
      <w:bCs/>
      <w:snapToGrid w:val="0"/>
      <w:color w:val="000000"/>
      <w:kern w:val="0"/>
      <w:position w:val="17"/>
      <w:sz w:val="24"/>
      <w:szCs w:val="24"/>
    </w:rPr>
  </w:style>
  <w:style w:type="paragraph" w:customStyle="1" w:styleId="22">
    <w:name w:val="Char"/>
    <w:basedOn w:val="5"/>
    <w:autoRedefine/>
    <w:qFormat/>
    <w:uiPriority w:val="0"/>
    <w:pPr>
      <w:widowControl/>
      <w:tabs>
        <w:tab w:val="left" w:pos="1008"/>
      </w:tabs>
      <w:spacing w:after="160" w:line="240" w:lineRule="exact"/>
      <w:ind w:left="1008" w:hanging="1008"/>
      <w:jc w:val="left"/>
    </w:pPr>
    <w:rPr>
      <w:rFonts w:ascii="Verdana" w:hAnsi="Verdana"/>
      <w:kern w:val="0"/>
      <w:sz w:val="20"/>
      <w:szCs w:val="20"/>
      <w:lang w:eastAsia="en-US"/>
    </w:rPr>
  </w:style>
  <w:style w:type="character" w:customStyle="1" w:styleId="23">
    <w:name w:val="页眉 字符"/>
    <w:basedOn w:val="17"/>
    <w:link w:val="11"/>
    <w:autoRedefine/>
    <w:qFormat/>
    <w:uiPriority w:val="99"/>
    <w:rPr>
      <w:sz w:val="18"/>
      <w:szCs w:val="18"/>
    </w:rPr>
  </w:style>
  <w:style w:type="character" w:customStyle="1" w:styleId="24">
    <w:name w:val="页脚 字符"/>
    <w:basedOn w:val="17"/>
    <w:link w:val="10"/>
    <w:autoRedefine/>
    <w:qFormat/>
    <w:uiPriority w:val="99"/>
    <w:rPr>
      <w:sz w:val="18"/>
      <w:szCs w:val="18"/>
    </w:rPr>
  </w:style>
  <w:style w:type="character" w:customStyle="1" w:styleId="25">
    <w:name w:val="批注文字 字符"/>
    <w:basedOn w:val="17"/>
    <w:link w:val="6"/>
    <w:autoRedefine/>
    <w:qFormat/>
    <w:uiPriority w:val="0"/>
  </w:style>
  <w:style w:type="character" w:customStyle="1" w:styleId="26">
    <w:name w:val="批注主题 字符"/>
    <w:basedOn w:val="25"/>
    <w:link w:val="14"/>
    <w:autoRedefine/>
    <w:qFormat/>
    <w:uiPriority w:val="0"/>
    <w:rPr>
      <w:b/>
      <w:bCs/>
    </w:rPr>
  </w:style>
  <w:style w:type="character" w:customStyle="1" w:styleId="27">
    <w:name w:val="批注框文本 字符"/>
    <w:basedOn w:val="17"/>
    <w:link w:val="9"/>
    <w:autoRedefine/>
    <w:semiHidden/>
    <w:qFormat/>
    <w:uiPriority w:val="99"/>
    <w:rPr>
      <w:sz w:val="18"/>
      <w:szCs w:val="18"/>
    </w:rPr>
  </w:style>
  <w:style w:type="character" w:styleId="28">
    <w:name w:val="Placeholder Text"/>
    <w:basedOn w:val="17"/>
    <w:autoRedefine/>
    <w:semiHidden/>
    <w:qFormat/>
    <w:uiPriority w:val="99"/>
    <w:rPr>
      <w:color w:val="808080"/>
    </w:rPr>
  </w:style>
  <w:style w:type="paragraph" w:styleId="29">
    <w:name w:val="List Paragraph"/>
    <w:basedOn w:val="1"/>
    <w:autoRedefine/>
    <w:qFormat/>
    <w:uiPriority w:val="34"/>
    <w:pPr>
      <w:ind w:firstLine="420"/>
    </w:pPr>
  </w:style>
  <w:style w:type="character" w:customStyle="1" w:styleId="30">
    <w:name w:val="标题 1 字符"/>
    <w:basedOn w:val="17"/>
    <w:link w:val="2"/>
    <w:autoRedefine/>
    <w:qFormat/>
    <w:uiPriority w:val="9"/>
    <w:rPr>
      <w:rFonts w:eastAsia="黑体"/>
      <w:b/>
      <w:bCs/>
      <w:kern w:val="44"/>
      <w:szCs w:val="44"/>
    </w:rPr>
  </w:style>
  <w:style w:type="character" w:customStyle="1" w:styleId="31">
    <w:name w:val="标题 2 字符"/>
    <w:basedOn w:val="17"/>
    <w:link w:val="3"/>
    <w:autoRedefine/>
    <w:qFormat/>
    <w:uiPriority w:val="9"/>
    <w:rPr>
      <w:rFonts w:ascii="黑体" w:hAnsi="黑体" w:eastAsia="黑体" w:cstheme="majorBidi"/>
      <w:bCs/>
      <w:szCs w:val="32"/>
    </w:rPr>
  </w:style>
  <w:style w:type="character" w:customStyle="1" w:styleId="32">
    <w:name w:val="标题 3 字符"/>
    <w:basedOn w:val="17"/>
    <w:link w:val="4"/>
    <w:autoRedefine/>
    <w:qFormat/>
    <w:uiPriority w:val="9"/>
    <w:rPr>
      <w:b/>
      <w:bCs/>
      <w:sz w:val="32"/>
      <w:szCs w:val="32"/>
    </w:rPr>
  </w:style>
  <w:style w:type="paragraph" w:customStyle="1" w:styleId="33">
    <w:name w:val="TOC 标题1"/>
    <w:basedOn w:val="2"/>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4">
    <w:name w:val="段"/>
    <w:autoRedefine/>
    <w:qFormat/>
    <w:uiPriority w:val="0"/>
    <w:pPr>
      <w:tabs>
        <w:tab w:val="center" w:pos="4201"/>
        <w:tab w:val="right" w:leader="dot" w:pos="9298"/>
      </w:tabs>
      <w:autoSpaceDE w:val="0"/>
      <w:autoSpaceDN w:val="0"/>
      <w:jc w:val="both"/>
    </w:pPr>
    <w:rPr>
      <w:rFonts w:ascii="宋体" w:hAnsi="Calibri" w:eastAsia="宋体" w:cs="Times New Roman"/>
      <w:sz w:val="21"/>
      <w:lang w:val="en-US" w:eastAsia="zh-CN" w:bidi="ar-SA"/>
    </w:rPr>
  </w:style>
  <w:style w:type="paragraph" w:customStyle="1" w:styleId="35">
    <w:name w:val="章标题"/>
    <w:next w:val="34"/>
    <w:autoRedefine/>
    <w:qFormat/>
    <w:uiPriority w:val="0"/>
    <w:pPr>
      <w:spacing w:before="156" w:beforeLines="50" w:after="156" w:afterLines="50"/>
      <w:jc w:val="both"/>
      <w:outlineLvl w:val="0"/>
    </w:pPr>
    <w:rPr>
      <w:rFonts w:ascii="Times New Roman" w:hAnsi="Times New Roman" w:eastAsia="黑体" w:cs="Times New Roman"/>
      <w:snapToGrid w:val="0"/>
      <w:sz w:val="21"/>
      <w:lang w:val="en-US" w:eastAsia="zh-CN" w:bidi="ar-SA"/>
    </w:rPr>
  </w:style>
  <w:style w:type="paragraph" w:customStyle="1" w:styleId="36">
    <w:name w:val="二级条标题"/>
    <w:basedOn w:val="37"/>
    <w:next w:val="34"/>
    <w:autoRedefine/>
    <w:qFormat/>
    <w:uiPriority w:val="0"/>
    <w:pPr>
      <w:numPr>
        <w:ilvl w:val="3"/>
      </w:numPr>
      <w:outlineLvl w:val="3"/>
    </w:pPr>
  </w:style>
  <w:style w:type="paragraph" w:customStyle="1" w:styleId="37">
    <w:name w:val="一级条标题"/>
    <w:next w:val="34"/>
    <w:autoRedefine/>
    <w:qFormat/>
    <w:uiPriority w:val="0"/>
    <w:pPr>
      <w:numPr>
        <w:ilvl w:val="2"/>
        <w:numId w:val="1"/>
      </w:numPr>
      <w:outlineLvl w:val="2"/>
    </w:pPr>
    <w:rPr>
      <w:rFonts w:ascii="Calibri" w:hAnsi="Calibri" w:eastAsia="黑体" w:cs="Times New Roman"/>
      <w:sz w:val="21"/>
      <w:lang w:val="en-US" w:eastAsia="zh-CN" w:bidi="ar-SA"/>
    </w:rPr>
  </w:style>
  <w:style w:type="paragraph" w:customStyle="1" w:styleId="38">
    <w:name w:val="附录标识"/>
    <w:basedOn w:val="39"/>
    <w:next w:val="34"/>
    <w:autoRedefine/>
    <w:qFormat/>
    <w:uiPriority w:val="0"/>
    <w:pPr>
      <w:numPr>
        <w:ilvl w:val="0"/>
        <w:numId w:val="2"/>
      </w:numPr>
      <w:tabs>
        <w:tab w:val="left" w:pos="6405"/>
      </w:tabs>
      <w:spacing w:after="200"/>
    </w:pPr>
    <w:rPr>
      <w:sz w:val="21"/>
    </w:rPr>
  </w:style>
  <w:style w:type="paragraph" w:customStyle="1" w:styleId="39">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0">
    <w:name w:val="目次、标准名称标题"/>
    <w:basedOn w:val="1"/>
    <w:next w:val="34"/>
    <w:autoRedefine/>
    <w:qFormat/>
    <w:uiPriority w:val="0"/>
    <w:pPr>
      <w:keepNext/>
      <w:pageBreakBefore/>
      <w:widowControl/>
      <w:shd w:val="clear" w:color="FFFFFF" w:fill="FFFFFF"/>
      <w:spacing w:before="640" w:after="560" w:line="460" w:lineRule="exact"/>
      <w:outlineLvl w:val="0"/>
    </w:pPr>
    <w:rPr>
      <w:rFonts w:ascii="黑体" w:eastAsia="黑体"/>
      <w:kern w:val="0"/>
      <w:sz w:val="32"/>
      <w:szCs w:val="20"/>
    </w:rPr>
  </w:style>
  <w:style w:type="paragraph" w:customStyle="1" w:styleId="41">
    <w:name w:val="正文表标题"/>
    <w:next w:val="34"/>
    <w:autoRedefine/>
    <w:qFormat/>
    <w:uiPriority w:val="0"/>
    <w:pPr>
      <w:numPr>
        <w:ilvl w:val="0"/>
        <w:numId w:val="4"/>
      </w:numPr>
      <w:tabs>
        <w:tab w:val="left" w:pos="360"/>
      </w:tabs>
      <w:spacing w:beforeLines="50" w:afterLines="50"/>
      <w:ind w:left="4515"/>
      <w:jc w:val="center"/>
    </w:pPr>
    <w:rPr>
      <w:rFonts w:ascii="黑体" w:hAnsi="Times New Roman" w:eastAsia="黑体" w:cs="Times New Roman"/>
      <w:sz w:val="21"/>
      <w:lang w:val="en-US" w:eastAsia="zh-CN" w:bidi="ar-SA"/>
    </w:rPr>
  </w:style>
  <w:style w:type="paragraph" w:customStyle="1" w:styleId="42">
    <w:name w:val="二级无"/>
    <w:basedOn w:val="36"/>
    <w:autoRedefine/>
    <w:qFormat/>
    <w:uiPriority w:val="0"/>
    <w:pPr>
      <w:ind w:left="0"/>
    </w:pPr>
    <w:rPr>
      <w:rFonts w:ascii="宋体" w:eastAsia="宋体"/>
    </w:rPr>
  </w:style>
  <w:style w:type="paragraph" w:customStyle="1" w:styleId="43">
    <w:name w:val="正文公式编号制表符"/>
    <w:basedOn w:val="34"/>
    <w:next w:val="34"/>
    <w:autoRedefine/>
    <w:qFormat/>
    <w:uiPriority w:val="0"/>
  </w:style>
  <w:style w:type="paragraph" w:customStyle="1" w:styleId="44">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45">
    <w:name w:val="列项——（一级）"/>
    <w:autoRedefine/>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46">
    <w:name w:val="一级无"/>
    <w:basedOn w:val="37"/>
    <w:autoRedefine/>
    <w:qFormat/>
    <w:uiPriority w:val="0"/>
    <w:rPr>
      <w:rFonts w:ascii="宋体" w:eastAsia="宋体"/>
    </w:rPr>
  </w:style>
  <w:style w:type="paragraph" w:customStyle="1" w:styleId="47">
    <w:name w:val="附录图标号"/>
    <w:basedOn w:val="1"/>
    <w:autoRedefine/>
    <w:qFormat/>
    <w:uiPriority w:val="0"/>
    <w:pPr>
      <w:keepNext/>
      <w:pageBreakBefore/>
      <w:widowControl/>
      <w:numPr>
        <w:ilvl w:val="0"/>
        <w:numId w:val="7"/>
      </w:numPr>
      <w:spacing w:line="14" w:lineRule="exact"/>
      <w:ind w:left="0" w:firstLine="363"/>
      <w:outlineLvl w:val="0"/>
    </w:pPr>
    <w:rPr>
      <w:color w:val="FFFFFF"/>
    </w:rPr>
  </w:style>
  <w:style w:type="paragraph" w:customStyle="1" w:styleId="48">
    <w:name w:val="附录表标号"/>
    <w:basedOn w:val="1"/>
    <w:next w:val="34"/>
    <w:autoRedefine/>
    <w:qFormat/>
    <w:uiPriority w:val="0"/>
    <w:pPr>
      <w:numPr>
        <w:ilvl w:val="0"/>
        <w:numId w:val="8"/>
      </w:numPr>
      <w:tabs>
        <w:tab w:val="clear" w:pos="0"/>
      </w:tabs>
      <w:spacing w:line="14" w:lineRule="exact"/>
      <w:ind w:left="811" w:hanging="448"/>
      <w:outlineLvl w:val="0"/>
    </w:pPr>
    <w:rPr>
      <w:color w:val="FFFFFF"/>
    </w:rPr>
  </w:style>
  <w:style w:type="paragraph" w:customStyle="1" w:styleId="49">
    <w:name w:val="附录章标题"/>
    <w:next w:val="34"/>
    <w:autoRedefine/>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2">
    <w:name w:val="终结线"/>
    <w:basedOn w:val="1"/>
    <w:autoRedefine/>
    <w:qFormat/>
    <w:uiPriority w:val="0"/>
    <w:pPr>
      <w:framePr w:hSpace="181" w:vSpace="181" w:wrap="around" w:vAnchor="text" w:hAnchor="margin" w:xAlign="center" w:y="285"/>
    </w:pPr>
  </w:style>
  <w:style w:type="paragraph" w:customStyle="1" w:styleId="53">
    <w:name w:val="公式"/>
    <w:basedOn w:val="1"/>
    <w:autoRedefine/>
    <w:qFormat/>
    <w:uiPriority w:val="0"/>
    <w:pPr>
      <w:adjustRightInd w:val="0"/>
      <w:snapToGrid w:val="0"/>
      <w:spacing w:before="160" w:after="40" w:line="420" w:lineRule="atLeast"/>
      <w:ind w:firstLine="522"/>
      <w:jc w:val="left"/>
      <w:textAlignment w:val="baseline"/>
    </w:pPr>
    <w:rPr>
      <w:color w:val="000000"/>
      <w:spacing w:val="10"/>
      <w:kern w:val="0"/>
      <w:sz w:val="24"/>
      <w:szCs w:val="20"/>
    </w:rPr>
  </w:style>
  <w:style w:type="paragraph" w:customStyle="1" w:styleId="54">
    <w:name w:val="章"/>
    <w:basedOn w:val="1"/>
    <w:autoRedefine/>
    <w:qFormat/>
    <w:uiPriority w:val="0"/>
    <w:pPr>
      <w:spacing w:beforeLines="100" w:afterLines="100"/>
      <w:outlineLvl w:val="0"/>
    </w:pPr>
    <w:rPr>
      <w:b/>
      <w:bCs/>
      <w:sz w:val="28"/>
      <w:szCs w:val="28"/>
    </w:rPr>
  </w:style>
  <w:style w:type="paragraph" w:customStyle="1" w:styleId="55">
    <w:name w:val="Default"/>
    <w:autoRedefine/>
    <w:unhideWhenUsed/>
    <w:qFormat/>
    <w:uiPriority w:val="99"/>
    <w:pPr>
      <w:widowControl w:val="0"/>
      <w:autoSpaceDE w:val="0"/>
      <w:autoSpaceDN w:val="0"/>
      <w:adjustRightInd w:val="0"/>
    </w:pPr>
    <w:rPr>
      <w:rFonts w:hint="eastAsia" w:ascii="宋体" w:hAnsi="宋体" w:eastAsia="宋体" w:cstheme="minorBidi"/>
      <w:color w:val="000000"/>
      <w:sz w:val="24"/>
      <w:lang w:val="en-US" w:eastAsia="zh-CN" w:bidi="ar-SA"/>
    </w:rPr>
  </w:style>
  <w:style w:type="paragraph" w:customStyle="1" w:styleId="56">
    <w:name w:val="WPSOffice手动目录 1"/>
    <w:autoRedefine/>
    <w:qFormat/>
    <w:uiPriority w:val="0"/>
    <w:rPr>
      <w:rFonts w:asciiTheme="minorHAnsi" w:hAnsiTheme="minorHAnsi" w:eastAsiaTheme="minorEastAsia" w:cstheme="minorBidi"/>
      <w:lang w:val="en-US" w:eastAsia="zh-CN" w:bidi="ar-SA"/>
    </w:rPr>
  </w:style>
  <w:style w:type="paragraph" w:customStyle="1" w:styleId="57">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58">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59">
    <w:name w:val="正文文本1"/>
    <w:basedOn w:val="1"/>
    <w:autoRedefine/>
    <w:qFormat/>
    <w:uiPriority w:val="0"/>
    <w:pPr>
      <w:kinsoku w:val="0"/>
      <w:autoSpaceDE w:val="0"/>
      <w:autoSpaceDN w:val="0"/>
      <w:adjustRightInd w:val="0"/>
      <w:snapToGrid w:val="0"/>
      <w:spacing w:line="480" w:lineRule="auto"/>
      <w:jc w:val="left"/>
      <w:textAlignment w:val="baseline"/>
    </w:pPr>
    <w:rPr>
      <w:rFonts w:ascii="宋体" w:hAnsi="宋体" w:cs="宋体"/>
      <w:snapToGrid w:val="0"/>
      <w:color w:val="000000"/>
      <w:kern w:val="0"/>
      <w:sz w:val="22"/>
      <w:lang w:val="zh-CN" w:bidi="zh-CN"/>
    </w:rPr>
  </w:style>
  <w:style w:type="character" w:customStyle="1" w:styleId="60">
    <w:name w:val="样式2 Char"/>
    <w:link w:val="21"/>
    <w:autoRedefine/>
    <w:qFormat/>
    <w:uiPriority w:val="0"/>
    <w:rPr>
      <w:b/>
      <w:bCs/>
      <w:snapToGrid w:val="0"/>
      <w:color w:val="000000"/>
      <w:position w:val="17"/>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wmf"/><Relationship Id="rId22" Type="http://schemas.openxmlformats.org/officeDocument/2006/relationships/oleObject" Target="embeddings/oleObject4.bin"/><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rotWithShape="0">
          <a:gsLst>
            <a:gs pos="0">
              <a:srgbClr val="FFFFFF"/>
            </a:gs>
            <a:gs pos="100000">
              <a:srgbClr val="FFFFFF"/>
            </a:gs>
          </a:gsLst>
          <a:lin ang="16200000" scaled="1"/>
        </a:gradFill>
        <a:ln w="6350">
          <a:solidFill>
            <a:srgbClr val="FFFFFF"/>
          </a:solidFill>
          <a:miter lim="200000"/>
        </a:ln>
      </a:spPr>
      <a:bodyPr rot="0" vert="horz" wrap="square" lIns="0" tIns="0" rIns="0" bIns="0" anchor="t" anchorCtr="0" upright="1">
        <a:noAutofit/>
      </a:bodyPr>
      <a:lstStyle/>
    </a:spDef>
    <a:txDef>
      <a:spPr>
        <a:solidFill>
          <a:schemeClr val="lt1"/>
        </a:solidFill>
        <a:ln w="6350">
          <a:solidFill>
            <a:prstClr val="black"/>
          </a:solidFill>
        </a:ln>
      </a:spPr>
      <a:bodyPr rot="0" vertOverflow="overflow" horzOverflow="overflow" vert="horz" wrap="square" lIns="0" tIns="0" rIns="0" bIns="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CEF3A-3448-427A-BE66-7A136F450C9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3127</Words>
  <Characters>3598</Characters>
  <Lines>32</Lines>
  <Paragraphs>9</Paragraphs>
  <TotalTime>8</TotalTime>
  <ScaleCrop>false</ScaleCrop>
  <LinksUpToDate>false</LinksUpToDate>
  <CharactersWithSpaces>3769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2018-07-10T04:26:00Z</dcterms:created>
  <dc:creator>lenovo lenovo</dc:creator>
  <cp:lastModifiedBy>你好</cp:lastModifiedBy>
  <dcterms:modified xsi:type="dcterms:W3CDTF">2024-07-26T05:58:10Z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CA75DDB983E34E3A82847A0BDBD3688F_13</vt:lpwstr>
  </property>
</Properties>
</file>