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6E523A">
      <w:pPr>
        <w:jc w:val="left"/>
        <w:rPr>
          <w:b/>
          <w:bCs/>
          <w:color w:val="auto"/>
          <w:sz w:val="52"/>
          <w:szCs w:val="84"/>
          <w:highlight w:val="none"/>
        </w:rPr>
      </w:pPr>
      <w:bookmarkStart w:id="0" w:name="_Hlk512244031"/>
      <w:r>
        <w:rPr>
          <w:color w:val="auto"/>
          <w:highlight w:val="none"/>
        </w:rPr>
        <w:drawing>
          <wp:anchor distT="0" distB="0" distL="114300" distR="114300" simplePos="0" relativeHeight="251659264" behindDoc="0" locked="0" layoutInCell="1" allowOverlap="1">
            <wp:simplePos x="0" y="0"/>
            <wp:positionH relativeFrom="column">
              <wp:posOffset>0</wp:posOffset>
            </wp:positionH>
            <wp:positionV relativeFrom="paragraph">
              <wp:posOffset>38100</wp:posOffset>
            </wp:positionV>
            <wp:extent cx="1737995" cy="11493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37995" cy="1149350"/>
                    </a:xfrm>
                    <a:prstGeom prst="rect">
                      <a:avLst/>
                    </a:prstGeom>
                    <a:noFill/>
                    <a:ln>
                      <a:noFill/>
                    </a:ln>
                  </pic:spPr>
                </pic:pic>
              </a:graphicData>
            </a:graphic>
          </wp:anchor>
        </w:drawing>
      </w:r>
    </w:p>
    <w:p w14:paraId="742BA6DB">
      <w:pPr>
        <w:rPr>
          <w:b/>
          <w:bCs/>
          <w:color w:val="auto"/>
          <w:sz w:val="52"/>
          <w:szCs w:val="84"/>
          <w:highlight w:val="none"/>
        </w:rPr>
      </w:pPr>
    </w:p>
    <w:p w14:paraId="183CF120">
      <w:pPr>
        <w:jc w:val="right"/>
        <w:rPr>
          <w:color w:val="auto"/>
          <w:sz w:val="32"/>
          <w:szCs w:val="32"/>
          <w:highlight w:val="none"/>
        </w:rPr>
      </w:pPr>
      <w:r>
        <w:rPr>
          <w:b/>
          <w:bCs/>
          <w:color w:val="auto"/>
          <w:sz w:val="36"/>
          <w:szCs w:val="36"/>
          <w:highlight w:val="none"/>
        </w:rPr>
        <w:t xml:space="preserve">T/CECS </w:t>
      </w:r>
      <w:r>
        <w:rPr>
          <w:color w:val="auto"/>
          <w:sz w:val="36"/>
          <w:szCs w:val="36"/>
          <w:highlight w:val="none"/>
        </w:rPr>
        <w:t>XXX- 202X</w:t>
      </w:r>
    </w:p>
    <w:p w14:paraId="4E4F59D3">
      <w:pPr>
        <w:jc w:val="center"/>
        <w:rPr>
          <w:color w:val="auto"/>
          <w:szCs w:val="32"/>
          <w:highlight w:val="none"/>
        </w:rPr>
      </w:pPr>
      <w:r>
        <w:rPr>
          <w:color w:val="auto"/>
          <w:szCs w:val="32"/>
          <w:highlight w:val="none"/>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120650</wp:posOffset>
                </wp:positionV>
                <wp:extent cx="5422265" cy="0"/>
                <wp:effectExtent l="0" t="0" r="26670" b="19050"/>
                <wp:wrapNone/>
                <wp:docPr id="1" name="直接连接符 1"/>
                <wp:cNvGraphicFramePr/>
                <a:graphic xmlns:a="http://schemas.openxmlformats.org/drawingml/2006/main">
                  <a:graphicData uri="http://schemas.microsoft.com/office/word/2010/wordprocessingShape">
                    <wps:wsp>
                      <wps:cNvCnPr/>
                      <wps:spPr>
                        <a:xfrm>
                          <a:off x="0" y="0"/>
                          <a:ext cx="54221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0.15pt;margin-top:9.5pt;height:0pt;width:426.95pt;z-index:251660288;mso-width-relative:page;mso-height-relative:page;" filled="f" stroked="t" coordsize="21600,21600" o:gfxdata="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b/8O7VAAAABgEA&#10;AA8AAAAAAAAAAQAgAAAAIgAAAGRycy9kb3ducmV2LnhtbFBLAQIUABQAAAAIAIdO4kARp38K5AEA&#10;ALIDAAAOAAAAAAAAAAEAIAAAACQBAABkcnMvZTJvRG9jLnhtbFBLBQYAAAAABgAGAFkBAAB6BQAA&#10;AAA=&#10;">
                <v:fill on="f" focussize="0,0"/>
                <v:stroke weight="1.5pt" color="#000000 [3200]" miterlimit="8" joinstyle="miter"/>
                <v:imagedata o:title=""/>
                <o:lock v:ext="edit" aspectratio="f"/>
              </v:line>
            </w:pict>
          </mc:Fallback>
        </mc:AlternateContent>
      </w:r>
    </w:p>
    <w:p w14:paraId="292115B8">
      <w:pPr>
        <w:widowControl/>
        <w:tabs>
          <w:tab w:val="left" w:pos="3510"/>
        </w:tabs>
        <w:jc w:val="left"/>
        <w:rPr>
          <w:color w:val="auto"/>
          <w:highlight w:val="none"/>
        </w:rPr>
      </w:pPr>
    </w:p>
    <w:p w14:paraId="7A2044C3">
      <w:pPr>
        <w:rPr>
          <w:color w:val="auto"/>
          <w:highlight w:val="none"/>
        </w:rPr>
      </w:pPr>
    </w:p>
    <w:p w14:paraId="39B6B088">
      <w:pPr>
        <w:spacing w:line="360" w:lineRule="auto"/>
        <w:ind w:firstLine="560" w:firstLineChars="200"/>
        <w:jc w:val="center"/>
        <w:rPr>
          <w:b/>
          <w:bCs/>
          <w:color w:val="auto"/>
          <w:sz w:val="44"/>
          <w:szCs w:val="23"/>
          <w:highlight w:val="none"/>
        </w:rPr>
      </w:pPr>
      <w:r>
        <w:rPr>
          <w:color w:val="auto"/>
          <w:sz w:val="28"/>
          <w:highlight w:val="none"/>
        </w:rPr>
        <w:t>中国工程建设标准化协会标准</w:t>
      </w:r>
    </w:p>
    <w:p w14:paraId="0777C7D3">
      <w:pPr>
        <w:pStyle w:val="45"/>
        <w:spacing w:line="360" w:lineRule="auto"/>
        <w:rPr>
          <w:rFonts w:eastAsia="宋体"/>
          <w:highlight w:val="none"/>
        </w:rPr>
      </w:pPr>
    </w:p>
    <w:p w14:paraId="79510A79">
      <w:pPr>
        <w:pStyle w:val="44"/>
        <w:spacing w:line="360" w:lineRule="auto"/>
        <w:rPr>
          <w:rFonts w:eastAsia="宋体"/>
          <w:highlight w:val="none"/>
        </w:rPr>
      </w:pPr>
    </w:p>
    <w:p w14:paraId="051D0C29">
      <w:pPr>
        <w:pStyle w:val="43"/>
        <w:tabs>
          <w:tab w:val="left" w:pos="210"/>
        </w:tabs>
        <w:rPr>
          <w:rFonts w:eastAsia="宋体"/>
          <w:highlight w:val="none"/>
        </w:rPr>
      </w:pPr>
      <w:bookmarkStart w:id="1" w:name="_Hlk141875504"/>
      <w:r>
        <w:rPr>
          <w:rFonts w:eastAsia="宋体"/>
          <w:highlight w:val="none"/>
        </w:rPr>
        <w:t>套装双真空保温隔热板</w:t>
      </w:r>
      <w:bookmarkEnd w:id="1"/>
      <w:r>
        <w:rPr>
          <w:rFonts w:eastAsia="宋体"/>
          <w:highlight w:val="none"/>
        </w:rPr>
        <w:t>应用技术规程</w:t>
      </w:r>
    </w:p>
    <w:p w14:paraId="6AEBC9F7">
      <w:pPr>
        <w:pStyle w:val="43"/>
        <w:ind w:left="0" w:leftChars="0"/>
        <w:rPr>
          <w:rFonts w:eastAsia="宋体"/>
          <w:sz w:val="32"/>
          <w:szCs w:val="32"/>
          <w:highlight w:val="none"/>
        </w:rPr>
      </w:pPr>
      <w:r>
        <w:rPr>
          <w:rFonts w:eastAsia="宋体"/>
          <w:sz w:val="32"/>
          <w:szCs w:val="32"/>
          <w:highlight w:val="none"/>
        </w:rPr>
        <w:t>Technical specification for application of set of double vacuum insulation panel</w:t>
      </w:r>
    </w:p>
    <w:p w14:paraId="2200065A">
      <w:pPr>
        <w:pStyle w:val="43"/>
        <w:rPr>
          <w:rFonts w:eastAsia="宋体"/>
          <w:sz w:val="32"/>
          <w:szCs w:val="32"/>
          <w:highlight w:val="none"/>
        </w:rPr>
      </w:pPr>
      <w:r>
        <w:rPr>
          <w:rFonts w:eastAsia="宋体"/>
          <w:sz w:val="32"/>
          <w:szCs w:val="32"/>
          <w:highlight w:val="none"/>
        </w:rPr>
        <w:t>（</w:t>
      </w:r>
      <w:r>
        <w:rPr>
          <w:rFonts w:hint="eastAsia" w:eastAsia="宋体"/>
          <w:sz w:val="32"/>
          <w:szCs w:val="32"/>
          <w:highlight w:val="none"/>
          <w:lang w:val="en-US" w:eastAsia="zh-CN"/>
        </w:rPr>
        <w:t>征求意见稿</w:t>
      </w:r>
      <w:r>
        <w:rPr>
          <w:rFonts w:eastAsia="宋体"/>
          <w:sz w:val="32"/>
          <w:szCs w:val="32"/>
          <w:highlight w:val="none"/>
        </w:rPr>
        <w:t>）</w:t>
      </w:r>
    </w:p>
    <w:p w14:paraId="1C75C150">
      <w:pPr>
        <w:pStyle w:val="43"/>
        <w:rPr>
          <w:rFonts w:eastAsia="宋体"/>
          <w:sz w:val="32"/>
          <w:szCs w:val="32"/>
        </w:rPr>
      </w:pPr>
    </w:p>
    <w:p w14:paraId="6C85CE23">
      <w:pPr>
        <w:pStyle w:val="43"/>
        <w:rPr>
          <w:rFonts w:eastAsia="宋体"/>
          <w:sz w:val="32"/>
          <w:szCs w:val="32"/>
        </w:rPr>
      </w:pPr>
    </w:p>
    <w:p w14:paraId="51CB1F80">
      <w:pPr>
        <w:pStyle w:val="42"/>
        <w:spacing w:line="360" w:lineRule="auto"/>
        <w:rPr>
          <w:rFonts w:eastAsia="宋体" w:cs="Times New Roman"/>
        </w:rPr>
      </w:pPr>
      <w:r>
        <w:rPr>
          <w:rFonts w:hint="eastAsia" w:asciiTheme="minorEastAsia" w:hAnsiTheme="minorEastAsia"/>
          <w:b/>
          <w:bCs/>
          <w:color w:val="0000FF"/>
          <w:sz w:val="24"/>
          <w:szCs w:val="24"/>
        </w:rPr>
        <w:t>在提交反馈意见时，请将您知道的相关专利连同支持性文件一并附上</w:t>
      </w:r>
    </w:p>
    <w:p w14:paraId="788450A8">
      <w:pPr>
        <w:pStyle w:val="42"/>
        <w:spacing w:line="360" w:lineRule="auto"/>
        <w:jc w:val="both"/>
        <w:rPr>
          <w:rFonts w:eastAsia="宋体" w:cs="Times New Roman"/>
        </w:rPr>
      </w:pPr>
    </w:p>
    <w:p w14:paraId="07173119">
      <w:pPr>
        <w:pStyle w:val="42"/>
        <w:spacing w:line="360" w:lineRule="auto"/>
        <w:rPr>
          <w:rFonts w:eastAsia="宋体" w:cs="Times New Roman"/>
        </w:rPr>
      </w:pPr>
    </w:p>
    <w:p w14:paraId="1FC34D7F">
      <w:pPr>
        <w:pStyle w:val="42"/>
        <w:spacing w:line="360" w:lineRule="auto"/>
        <w:rPr>
          <w:rFonts w:eastAsia="宋体" w:cs="Times New Roman"/>
        </w:rPr>
      </w:pPr>
    </w:p>
    <w:p w14:paraId="2280CA92">
      <w:pPr>
        <w:rPr>
          <w:b/>
          <w:bCs/>
          <w:color w:val="auto"/>
          <w:sz w:val="52"/>
          <w:szCs w:val="84"/>
        </w:rPr>
      </w:pPr>
    </w:p>
    <w:p w14:paraId="139AE2D5">
      <w:pPr>
        <w:rPr>
          <w:b/>
          <w:bCs/>
          <w:color w:val="auto"/>
          <w:sz w:val="52"/>
          <w:szCs w:val="84"/>
          <w:highlight w:val="none"/>
        </w:rPr>
      </w:pPr>
    </w:p>
    <w:p w14:paraId="4EB9B84B">
      <w:pPr>
        <w:rPr>
          <w:b/>
          <w:bCs/>
          <w:color w:val="auto"/>
          <w:sz w:val="52"/>
          <w:szCs w:val="84"/>
          <w:highlight w:val="none"/>
        </w:rPr>
      </w:pPr>
    </w:p>
    <w:p w14:paraId="6D02CE9E">
      <w:pPr>
        <w:pStyle w:val="42"/>
        <w:rPr>
          <w:rFonts w:eastAsia="宋体" w:cs="Times New Roman"/>
          <w:bCs/>
          <w:kern w:val="44"/>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eastAsia="宋体" w:cs="Times New Roman"/>
          <w:sz w:val="24"/>
          <w:szCs w:val="24"/>
          <w:highlight w:val="none"/>
        </w:rPr>
        <w:t>****出版社</w:t>
      </w:r>
    </w:p>
    <w:p w14:paraId="64FAE34B">
      <w:pPr>
        <w:widowControl/>
        <w:jc w:val="left"/>
        <w:rPr>
          <w:b/>
          <w:color w:val="auto"/>
          <w:kern w:val="44"/>
          <w:sz w:val="28"/>
          <w:highlight w:val="none"/>
        </w:rPr>
      </w:pPr>
      <w:r>
        <w:rPr>
          <w:b/>
          <w:color w:val="auto"/>
          <w:kern w:val="44"/>
          <w:sz w:val="28"/>
          <w:highlight w:val="none"/>
        </w:rPr>
        <w:br w:type="page"/>
      </w:r>
    </w:p>
    <w:p w14:paraId="308B6C8E">
      <w:pPr>
        <w:widowControl/>
        <w:adjustRightInd w:val="0"/>
        <w:snapToGrid w:val="0"/>
        <w:spacing w:line="360" w:lineRule="auto"/>
        <w:jc w:val="center"/>
        <w:rPr>
          <w:b/>
          <w:color w:val="auto"/>
          <w:kern w:val="44"/>
          <w:sz w:val="28"/>
          <w:highlight w:val="none"/>
        </w:rPr>
        <w:sectPr>
          <w:footerReference r:id="rId3" w:type="default"/>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6D3E1125">
      <w:pPr>
        <w:spacing w:line="360" w:lineRule="auto"/>
        <w:rPr>
          <w:color w:val="auto"/>
          <w:sz w:val="28"/>
          <w:szCs w:val="22"/>
          <w:highlight w:val="none"/>
        </w:rPr>
      </w:pPr>
    </w:p>
    <w:p w14:paraId="0951A690">
      <w:pPr>
        <w:spacing w:line="360" w:lineRule="auto"/>
        <w:jc w:val="center"/>
        <w:rPr>
          <w:color w:val="auto"/>
          <w:sz w:val="28"/>
          <w:szCs w:val="22"/>
          <w:highlight w:val="none"/>
        </w:rPr>
      </w:pPr>
    </w:p>
    <w:p w14:paraId="570E81D2">
      <w:pPr>
        <w:spacing w:line="360" w:lineRule="auto"/>
        <w:jc w:val="center"/>
        <w:rPr>
          <w:color w:val="auto"/>
          <w:sz w:val="28"/>
          <w:szCs w:val="22"/>
          <w:highlight w:val="none"/>
        </w:rPr>
      </w:pPr>
      <w:r>
        <w:rPr>
          <w:color w:val="auto"/>
          <w:sz w:val="28"/>
          <w:szCs w:val="22"/>
          <w:highlight w:val="none"/>
        </w:rPr>
        <w:t>中国工程建设标准化协会标准</w:t>
      </w:r>
    </w:p>
    <w:p w14:paraId="2BF79378">
      <w:pPr>
        <w:spacing w:line="360" w:lineRule="auto"/>
        <w:jc w:val="center"/>
        <w:rPr>
          <w:color w:val="auto"/>
          <w:sz w:val="28"/>
          <w:szCs w:val="28"/>
          <w:highlight w:val="none"/>
        </w:rPr>
      </w:pPr>
    </w:p>
    <w:p w14:paraId="59994088">
      <w:pPr>
        <w:pStyle w:val="43"/>
        <w:rPr>
          <w:rFonts w:eastAsia="宋体"/>
          <w:highlight w:val="none"/>
        </w:rPr>
      </w:pPr>
      <w:r>
        <w:rPr>
          <w:rFonts w:eastAsia="宋体"/>
          <w:highlight w:val="none"/>
        </w:rPr>
        <w:t>套装双真空保温隔热板应用技术规程</w:t>
      </w:r>
    </w:p>
    <w:p w14:paraId="677B62C5">
      <w:pPr>
        <w:spacing w:line="360" w:lineRule="auto"/>
        <w:jc w:val="center"/>
        <w:rPr>
          <w:color w:val="auto"/>
          <w:sz w:val="32"/>
          <w:szCs w:val="32"/>
          <w:highlight w:val="none"/>
        </w:rPr>
      </w:pPr>
      <w:r>
        <w:rPr>
          <w:color w:val="auto"/>
          <w:sz w:val="32"/>
          <w:szCs w:val="32"/>
          <w:highlight w:val="none"/>
        </w:rPr>
        <w:t>Technical specification for application of set of double vacuum insulation panel</w:t>
      </w:r>
    </w:p>
    <w:p w14:paraId="553319A7">
      <w:pPr>
        <w:spacing w:line="360" w:lineRule="auto"/>
        <w:jc w:val="center"/>
        <w:rPr>
          <w:color w:val="auto"/>
          <w:sz w:val="24"/>
          <w:szCs w:val="22"/>
          <w:highlight w:val="none"/>
        </w:rPr>
      </w:pPr>
    </w:p>
    <w:p w14:paraId="5D621ED6">
      <w:pPr>
        <w:spacing w:line="360" w:lineRule="auto"/>
        <w:jc w:val="center"/>
        <w:rPr>
          <w:b/>
          <w:color w:val="auto"/>
          <w:sz w:val="24"/>
          <w:highlight w:val="none"/>
        </w:rPr>
      </w:pPr>
      <w:r>
        <w:rPr>
          <w:b/>
          <w:color w:val="auto"/>
          <w:sz w:val="24"/>
          <w:highlight w:val="none"/>
        </w:rPr>
        <w:t>T/CECS *** -20XX</w:t>
      </w:r>
    </w:p>
    <w:p w14:paraId="60966BCE">
      <w:pPr>
        <w:spacing w:line="360" w:lineRule="auto"/>
        <w:jc w:val="center"/>
        <w:rPr>
          <w:b/>
          <w:color w:val="auto"/>
          <w:sz w:val="24"/>
          <w:szCs w:val="22"/>
          <w:highlight w:val="none"/>
        </w:rPr>
      </w:pPr>
    </w:p>
    <w:p w14:paraId="79EC0E5B">
      <w:pPr>
        <w:spacing w:line="360" w:lineRule="auto"/>
        <w:ind w:firstLine="2880" w:firstLineChars="1200"/>
        <w:rPr>
          <w:color w:val="auto"/>
          <w:sz w:val="24"/>
          <w:szCs w:val="22"/>
          <w:highlight w:val="none"/>
        </w:rPr>
      </w:pPr>
    </w:p>
    <w:p w14:paraId="4BB2589F">
      <w:pPr>
        <w:spacing w:line="360" w:lineRule="auto"/>
        <w:ind w:firstLine="2880" w:firstLineChars="1200"/>
        <w:rPr>
          <w:color w:val="auto"/>
          <w:sz w:val="24"/>
          <w:szCs w:val="22"/>
          <w:highlight w:val="none"/>
        </w:rPr>
      </w:pPr>
    </w:p>
    <w:p w14:paraId="517AB54E">
      <w:pPr>
        <w:spacing w:line="360" w:lineRule="auto"/>
        <w:ind w:firstLine="2880" w:firstLineChars="1200"/>
        <w:rPr>
          <w:color w:val="auto"/>
          <w:sz w:val="24"/>
          <w:szCs w:val="22"/>
          <w:highlight w:val="none"/>
        </w:rPr>
      </w:pPr>
    </w:p>
    <w:p w14:paraId="0EDFD386">
      <w:pPr>
        <w:spacing w:line="360" w:lineRule="auto"/>
        <w:ind w:firstLine="2880" w:firstLineChars="1200"/>
        <w:rPr>
          <w:color w:val="auto"/>
          <w:sz w:val="24"/>
          <w:szCs w:val="22"/>
          <w:highlight w:val="none"/>
        </w:rPr>
      </w:pPr>
    </w:p>
    <w:p w14:paraId="3F3AC83F">
      <w:pPr>
        <w:spacing w:line="360" w:lineRule="auto"/>
        <w:ind w:firstLine="2520" w:firstLineChars="1200"/>
        <w:rPr>
          <w:color w:val="auto"/>
          <w:sz w:val="24"/>
          <w:highlight w:val="none"/>
        </w:rPr>
      </w:pPr>
      <w:r>
        <w:rPr>
          <w:color w:val="auto"/>
          <w:highlight w:val="none"/>
        </w:rPr>
        <w:t>主编单位：</w:t>
      </w:r>
      <w:r>
        <w:rPr>
          <w:color w:val="auto"/>
          <w:sz w:val="24"/>
          <w:highlight w:val="none"/>
        </w:rPr>
        <w:t>中国建筑科学研究院有限公司</w:t>
      </w:r>
    </w:p>
    <w:p w14:paraId="1E5234CD">
      <w:pPr>
        <w:spacing w:line="360" w:lineRule="auto"/>
        <w:ind w:firstLine="2880" w:firstLineChars="1200"/>
        <w:rPr>
          <w:color w:val="auto"/>
          <w:sz w:val="24"/>
          <w:highlight w:val="none"/>
        </w:rPr>
      </w:pPr>
      <w:r>
        <w:rPr>
          <w:color w:val="auto"/>
          <w:sz w:val="24"/>
          <w:highlight w:val="none"/>
        </w:rPr>
        <w:t xml:space="preserve">      安徽百特新材料科技有限公司</w:t>
      </w:r>
    </w:p>
    <w:p w14:paraId="325F0019">
      <w:pPr>
        <w:spacing w:line="360" w:lineRule="auto"/>
        <w:ind w:firstLine="2520" w:firstLineChars="1200"/>
        <w:rPr>
          <w:color w:val="auto"/>
          <w:highlight w:val="none"/>
        </w:rPr>
      </w:pPr>
      <w:r>
        <w:rPr>
          <w:color w:val="auto"/>
          <w:highlight w:val="none"/>
        </w:rPr>
        <w:t>批准单位：中国工程建设标准化协会</w:t>
      </w:r>
    </w:p>
    <w:p w14:paraId="6B40FF1B">
      <w:pPr>
        <w:spacing w:line="360" w:lineRule="auto"/>
        <w:ind w:firstLine="2520" w:firstLineChars="1200"/>
        <w:rPr>
          <w:color w:val="auto"/>
          <w:highlight w:val="none"/>
        </w:rPr>
      </w:pPr>
      <w:r>
        <w:rPr>
          <w:color w:val="auto"/>
          <w:highlight w:val="none"/>
        </w:rPr>
        <w:t>施行日期：20XX年××月××日</w:t>
      </w:r>
    </w:p>
    <w:p w14:paraId="3AE7AAD8">
      <w:pPr>
        <w:spacing w:line="360" w:lineRule="auto"/>
        <w:jc w:val="center"/>
        <w:rPr>
          <w:color w:val="auto"/>
          <w:sz w:val="24"/>
          <w:szCs w:val="22"/>
          <w:highlight w:val="none"/>
        </w:rPr>
      </w:pPr>
    </w:p>
    <w:p w14:paraId="7D6F6024">
      <w:pPr>
        <w:spacing w:line="360" w:lineRule="auto"/>
        <w:jc w:val="center"/>
        <w:rPr>
          <w:color w:val="auto"/>
          <w:sz w:val="24"/>
          <w:szCs w:val="22"/>
          <w:highlight w:val="none"/>
        </w:rPr>
      </w:pPr>
    </w:p>
    <w:p w14:paraId="00A2CB3F">
      <w:pPr>
        <w:spacing w:line="360" w:lineRule="auto"/>
        <w:jc w:val="center"/>
        <w:rPr>
          <w:color w:val="auto"/>
          <w:sz w:val="24"/>
          <w:szCs w:val="22"/>
          <w:highlight w:val="none"/>
        </w:rPr>
      </w:pPr>
    </w:p>
    <w:p w14:paraId="777E0AF4">
      <w:pPr>
        <w:spacing w:line="360" w:lineRule="auto"/>
        <w:jc w:val="center"/>
        <w:rPr>
          <w:color w:val="auto"/>
          <w:sz w:val="24"/>
          <w:szCs w:val="22"/>
          <w:highlight w:val="none"/>
        </w:rPr>
      </w:pPr>
    </w:p>
    <w:p w14:paraId="5A5988B5">
      <w:pPr>
        <w:spacing w:line="360" w:lineRule="auto"/>
        <w:jc w:val="center"/>
        <w:rPr>
          <w:color w:val="auto"/>
          <w:sz w:val="24"/>
          <w:szCs w:val="22"/>
          <w:highlight w:val="none"/>
        </w:rPr>
      </w:pPr>
    </w:p>
    <w:p w14:paraId="1A0B3E96">
      <w:pPr>
        <w:spacing w:line="360" w:lineRule="auto"/>
        <w:jc w:val="center"/>
        <w:rPr>
          <w:color w:val="auto"/>
          <w:highlight w:val="none"/>
        </w:rPr>
      </w:pPr>
      <w:r>
        <w:rPr>
          <w:color w:val="auto"/>
          <w:highlight w:val="none"/>
        </w:rPr>
        <w:t>XXXX出版社</w:t>
      </w:r>
    </w:p>
    <w:p w14:paraId="727BAC54">
      <w:pPr>
        <w:widowControl/>
        <w:adjustRightInd w:val="0"/>
        <w:snapToGrid w:val="0"/>
        <w:spacing w:line="360" w:lineRule="auto"/>
        <w:jc w:val="center"/>
        <w:rPr>
          <w:b/>
          <w:color w:val="auto"/>
          <w:kern w:val="44"/>
          <w:sz w:val="28"/>
          <w:highlight w:val="none"/>
        </w:rPr>
      </w:pPr>
      <w:r>
        <w:rPr>
          <w:color w:val="auto"/>
          <w:sz w:val="24"/>
          <w:szCs w:val="22"/>
          <w:highlight w:val="none"/>
        </w:rPr>
        <w:t>2022 北京</w:t>
      </w:r>
    </w:p>
    <w:p w14:paraId="75B9642A">
      <w:pPr>
        <w:widowControl/>
        <w:jc w:val="left"/>
        <w:rPr>
          <w:b/>
          <w:color w:val="auto"/>
          <w:kern w:val="44"/>
          <w:sz w:val="28"/>
          <w:highlight w:val="none"/>
        </w:rPr>
      </w:pPr>
      <w:r>
        <w:rPr>
          <w:b/>
          <w:color w:val="auto"/>
          <w:kern w:val="44"/>
          <w:sz w:val="28"/>
          <w:highlight w:val="none"/>
        </w:rPr>
        <w:br w:type="page"/>
      </w:r>
    </w:p>
    <w:p w14:paraId="0ECFA186">
      <w:pPr>
        <w:widowControl/>
        <w:adjustRightInd w:val="0"/>
        <w:snapToGrid w:val="0"/>
        <w:spacing w:line="360" w:lineRule="auto"/>
        <w:jc w:val="center"/>
        <w:rPr>
          <w:b/>
          <w:color w:val="auto"/>
          <w:kern w:val="44"/>
          <w:sz w:val="28"/>
          <w:highlight w:val="none"/>
        </w:rPr>
        <w:sectPr>
          <w:footerReference r:id="rId4" w:type="default"/>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bookmarkEnd w:id="0"/>
    <w:p w14:paraId="384292A7">
      <w:pPr>
        <w:widowControl/>
        <w:adjustRightInd w:val="0"/>
        <w:snapToGrid w:val="0"/>
        <w:spacing w:line="360" w:lineRule="auto"/>
        <w:jc w:val="center"/>
        <w:rPr>
          <w:b/>
          <w:color w:val="auto"/>
          <w:kern w:val="2"/>
          <w:sz w:val="24"/>
          <w:szCs w:val="24"/>
          <w:highlight w:val="none"/>
        </w:rPr>
      </w:pPr>
      <w:r>
        <w:rPr>
          <w:b/>
          <w:color w:val="auto"/>
          <w:kern w:val="44"/>
          <w:sz w:val="28"/>
          <w:szCs w:val="24"/>
          <w:highlight w:val="none"/>
        </w:rPr>
        <w:t>前  言</w:t>
      </w:r>
    </w:p>
    <w:p w14:paraId="7EA164DE">
      <w:pPr>
        <w:pStyle w:val="28"/>
        <w:spacing w:line="360" w:lineRule="auto"/>
        <w:ind w:firstLine="480" w:firstLineChars="200"/>
        <w:jc w:val="both"/>
        <w:rPr>
          <w:rFonts w:ascii="Times New Roman" w:hAnsi="Times New Roman" w:cs="Times New Roman"/>
          <w:color w:val="auto"/>
          <w:highlight w:val="none"/>
        </w:rPr>
      </w:pPr>
      <w:r>
        <w:rPr>
          <w:rFonts w:ascii="Times New Roman" w:hAnsi="Times New Roman" w:cs="Times New Roman"/>
          <w:color w:val="auto"/>
          <w:highlight w:val="none"/>
        </w:rPr>
        <w:t>根据中国工程建设标准化协会《关于印发</w:t>
      </w:r>
      <w:r>
        <w:rPr>
          <w:rFonts w:hint="eastAsia" w:ascii="宋体" w:hAnsi="宋体" w:eastAsia="宋体" w:cs="宋体"/>
          <w:color w:val="auto"/>
          <w:highlight w:val="none"/>
        </w:rPr>
        <w:t>&lt;</w:t>
      </w:r>
      <w:r>
        <w:rPr>
          <w:rFonts w:ascii="Times New Roman" w:hAnsi="Times New Roman" w:cs="Times New Roman"/>
          <w:color w:val="auto"/>
          <w:highlight w:val="none"/>
        </w:rPr>
        <w:t>2023年第xx批协会标准制订、修订计划</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的通知》（建标协字</w:t>
      </w:r>
      <w:r>
        <w:rPr>
          <w:rFonts w:hint="eastAsia" w:ascii="Times New Roman" w:hAnsi="Times New Roman" w:cs="Times New Roman"/>
          <w:color w:val="auto"/>
          <w:highlight w:val="none"/>
        </w:rPr>
        <w:t>〔2023〕010</w:t>
      </w:r>
      <w:r>
        <w:rPr>
          <w:rFonts w:ascii="Times New Roman" w:hAnsi="Times New Roman" w:cs="Times New Roman"/>
          <w:color w:val="auto"/>
          <w:highlight w:val="none"/>
        </w:rPr>
        <w:t xml:space="preserve">号）的要求，编制组经深入调查研究，认真总结实践经验，参考国内外先进标准，并在广泛征求意见的基础上，制定本规程。 </w:t>
      </w:r>
    </w:p>
    <w:p w14:paraId="488492D4">
      <w:pPr>
        <w:spacing w:line="360" w:lineRule="auto"/>
        <w:ind w:firstLine="480" w:firstLineChars="200"/>
        <w:rPr>
          <w:color w:val="auto"/>
          <w:sz w:val="24"/>
          <w:szCs w:val="24"/>
          <w:highlight w:val="none"/>
        </w:rPr>
      </w:pPr>
      <w:r>
        <w:rPr>
          <w:color w:val="auto"/>
          <w:sz w:val="24"/>
          <w:szCs w:val="24"/>
          <w:highlight w:val="none"/>
        </w:rPr>
        <w:t>本标准共分7章，主要内容包括：</w:t>
      </w:r>
      <w:r>
        <w:rPr>
          <w:rFonts w:hint="eastAsia"/>
          <w:color w:val="auto"/>
          <w:sz w:val="24"/>
          <w:szCs w:val="24"/>
          <w:highlight w:val="none"/>
        </w:rPr>
        <w:t>总则</w:t>
      </w:r>
      <w:r>
        <w:rPr>
          <w:color w:val="auto"/>
          <w:sz w:val="24"/>
          <w:szCs w:val="24"/>
          <w:highlight w:val="none"/>
        </w:rPr>
        <w:t>、</w:t>
      </w:r>
      <w:r>
        <w:rPr>
          <w:rFonts w:hint="eastAsia"/>
          <w:color w:val="auto"/>
          <w:sz w:val="24"/>
          <w:szCs w:val="24"/>
          <w:highlight w:val="none"/>
        </w:rPr>
        <w:t>术语</w:t>
      </w:r>
      <w:r>
        <w:rPr>
          <w:color w:val="auto"/>
          <w:sz w:val="24"/>
          <w:szCs w:val="24"/>
          <w:highlight w:val="none"/>
        </w:rPr>
        <w:t>、</w:t>
      </w:r>
      <w:r>
        <w:rPr>
          <w:rFonts w:hint="eastAsia"/>
          <w:color w:val="auto"/>
          <w:sz w:val="24"/>
          <w:szCs w:val="24"/>
          <w:highlight w:val="none"/>
        </w:rPr>
        <w:t>基本规定</w:t>
      </w:r>
      <w:r>
        <w:rPr>
          <w:color w:val="auto"/>
          <w:sz w:val="24"/>
          <w:szCs w:val="24"/>
          <w:highlight w:val="none"/>
        </w:rPr>
        <w:t>、</w:t>
      </w:r>
      <w:r>
        <w:rPr>
          <w:rFonts w:hint="eastAsia"/>
          <w:color w:val="auto"/>
          <w:sz w:val="24"/>
          <w:szCs w:val="24"/>
          <w:highlight w:val="none"/>
        </w:rPr>
        <w:t>性能要求、设计、施工、质量验收</w:t>
      </w:r>
      <w:r>
        <w:rPr>
          <w:color w:val="auto"/>
          <w:sz w:val="24"/>
          <w:szCs w:val="24"/>
          <w:highlight w:val="none"/>
        </w:rPr>
        <w:t>等。</w:t>
      </w:r>
    </w:p>
    <w:p w14:paraId="71C3BE51">
      <w:pPr>
        <w:spacing w:line="360" w:lineRule="auto"/>
        <w:ind w:firstLine="480" w:firstLineChars="200"/>
        <w:rPr>
          <w:color w:val="auto"/>
          <w:sz w:val="24"/>
          <w:szCs w:val="24"/>
          <w:highlight w:val="none"/>
        </w:rPr>
      </w:pPr>
      <w:r>
        <w:rPr>
          <w:color w:val="auto"/>
          <w:sz w:val="24"/>
          <w:szCs w:val="24"/>
          <w:highlight w:val="none"/>
        </w:rPr>
        <w:t>本标准的某些内容可能直接或间接涉及专利，本标准的发布机构不承担识别这些专利的责任。</w:t>
      </w:r>
    </w:p>
    <w:p w14:paraId="2C96B025">
      <w:pPr>
        <w:spacing w:line="360" w:lineRule="auto"/>
        <w:ind w:firstLine="480" w:firstLineChars="200"/>
        <w:rPr>
          <w:color w:val="auto"/>
          <w:sz w:val="24"/>
          <w:szCs w:val="24"/>
          <w:highlight w:val="none"/>
        </w:rPr>
      </w:pPr>
      <w:r>
        <w:rPr>
          <w:color w:val="auto"/>
          <w:sz w:val="24"/>
          <w:szCs w:val="24"/>
          <w:highlight w:val="none"/>
        </w:rPr>
        <w:t>本标准由中国工程建设标准化协会</w:t>
      </w:r>
      <w:r>
        <w:rPr>
          <w:color w:val="auto"/>
          <w:sz w:val="24"/>
          <w:highlight w:val="none"/>
        </w:rPr>
        <w:t>建筑环境与节能专业委员会</w:t>
      </w:r>
      <w:r>
        <w:rPr>
          <w:color w:val="auto"/>
          <w:sz w:val="24"/>
          <w:szCs w:val="24"/>
          <w:highlight w:val="none"/>
        </w:rPr>
        <w:t>归口管理，由中国建筑科学研究院有限公司负责具体技术内容的解释。执行过程中，如有意见或建议，请反馈给中国建筑科学研究院有限公司（地址：</w:t>
      </w:r>
      <w:r>
        <w:rPr>
          <w:rFonts w:hint="eastAsia"/>
          <w:color w:val="auto"/>
          <w:sz w:val="24"/>
          <w:szCs w:val="24"/>
          <w:highlight w:val="none"/>
        </w:rPr>
        <w:t>北京北三环东路3</w:t>
      </w:r>
      <w:r>
        <w:rPr>
          <w:color w:val="auto"/>
          <w:sz w:val="24"/>
          <w:szCs w:val="24"/>
          <w:highlight w:val="none"/>
        </w:rPr>
        <w:t>0</w:t>
      </w:r>
      <w:r>
        <w:rPr>
          <w:rFonts w:hint="eastAsia"/>
          <w:color w:val="auto"/>
          <w:sz w:val="24"/>
          <w:szCs w:val="24"/>
          <w:highlight w:val="none"/>
        </w:rPr>
        <w:t>号</w:t>
      </w:r>
      <w:r>
        <w:rPr>
          <w:color w:val="auto"/>
          <w:sz w:val="24"/>
          <w:szCs w:val="24"/>
          <w:highlight w:val="none"/>
        </w:rPr>
        <w:t>，邮政编码：100013，邮箱：aistarcjp@163.com）。</w:t>
      </w:r>
    </w:p>
    <w:p w14:paraId="0E1E39F3">
      <w:pPr>
        <w:spacing w:line="360" w:lineRule="auto"/>
        <w:ind w:firstLine="480" w:firstLineChars="200"/>
        <w:rPr>
          <w:color w:val="auto"/>
          <w:sz w:val="24"/>
          <w:szCs w:val="24"/>
          <w:highlight w:val="none"/>
        </w:rPr>
      </w:pPr>
      <w:r>
        <w:rPr>
          <w:color w:val="auto"/>
          <w:sz w:val="24"/>
          <w:szCs w:val="24"/>
          <w:highlight w:val="none"/>
        </w:rPr>
        <w:t>主编单位：中国建筑科学研究院有限公司</w:t>
      </w:r>
    </w:p>
    <w:p w14:paraId="14E4B429">
      <w:pPr>
        <w:spacing w:line="360" w:lineRule="auto"/>
        <w:ind w:firstLine="1440" w:firstLineChars="600"/>
        <w:rPr>
          <w:color w:val="auto"/>
          <w:sz w:val="24"/>
          <w:szCs w:val="24"/>
          <w:highlight w:val="none"/>
        </w:rPr>
      </w:pPr>
      <w:r>
        <w:rPr>
          <w:color w:val="auto"/>
          <w:sz w:val="24"/>
          <w:szCs w:val="24"/>
          <w:highlight w:val="none"/>
        </w:rPr>
        <w:t xml:space="preserve">  </w:t>
      </w:r>
      <w:bookmarkStart w:id="118" w:name="_GoBack"/>
      <w:r>
        <w:rPr>
          <w:color w:val="auto"/>
          <w:sz w:val="24"/>
          <w:szCs w:val="24"/>
          <w:highlight w:val="none"/>
        </w:rPr>
        <w:t>安徽百特新材料科技有限公司</w:t>
      </w:r>
      <w:bookmarkEnd w:id="118"/>
    </w:p>
    <w:p w14:paraId="022561A3">
      <w:pPr>
        <w:spacing w:line="360" w:lineRule="auto"/>
        <w:ind w:firstLine="480" w:firstLineChars="200"/>
        <w:rPr>
          <w:color w:val="auto"/>
          <w:sz w:val="24"/>
          <w:szCs w:val="24"/>
          <w:highlight w:val="none"/>
        </w:rPr>
      </w:pPr>
      <w:r>
        <w:rPr>
          <w:color w:val="auto"/>
          <w:sz w:val="24"/>
          <w:szCs w:val="24"/>
          <w:highlight w:val="none"/>
        </w:rPr>
        <w:t>参编单位：中建研科技股份有限公司</w:t>
      </w:r>
    </w:p>
    <w:p w14:paraId="7A4EC3C4">
      <w:pPr>
        <w:spacing w:line="360" w:lineRule="auto"/>
        <w:ind w:firstLine="480" w:firstLineChars="200"/>
        <w:rPr>
          <w:color w:val="auto"/>
          <w:sz w:val="24"/>
          <w:szCs w:val="24"/>
          <w:highlight w:val="none"/>
        </w:rPr>
      </w:pPr>
      <w:r>
        <w:rPr>
          <w:color w:val="auto"/>
          <w:sz w:val="24"/>
          <w:szCs w:val="24"/>
          <w:highlight w:val="none"/>
        </w:rPr>
        <w:t xml:space="preserve">主要起草人：艾明星  </w:t>
      </w:r>
    </w:p>
    <w:p w14:paraId="10C6FC2D">
      <w:pPr>
        <w:spacing w:line="360" w:lineRule="auto"/>
        <w:ind w:firstLine="480" w:firstLineChars="200"/>
        <w:rPr>
          <w:color w:val="auto"/>
          <w:sz w:val="24"/>
          <w:szCs w:val="24"/>
          <w:highlight w:val="none"/>
        </w:rPr>
      </w:pPr>
      <w:r>
        <w:rPr>
          <w:color w:val="auto"/>
          <w:sz w:val="24"/>
          <w:szCs w:val="24"/>
          <w:highlight w:val="none"/>
        </w:rPr>
        <w:t>主要审查人：</w:t>
      </w:r>
    </w:p>
    <w:p w14:paraId="05026954">
      <w:pPr>
        <w:widowControl/>
        <w:jc w:val="left"/>
        <w:rPr>
          <w:color w:val="auto"/>
          <w:sz w:val="24"/>
          <w:highlight w:val="none"/>
        </w:rPr>
      </w:pPr>
      <w:r>
        <w:rPr>
          <w:color w:val="auto"/>
          <w:sz w:val="24"/>
          <w:highlight w:val="none"/>
        </w:rPr>
        <w:br w:type="page"/>
      </w:r>
    </w:p>
    <w:p w14:paraId="406C999D">
      <w:pPr>
        <w:pStyle w:val="28"/>
        <w:spacing w:after="240"/>
        <w:jc w:val="center"/>
        <w:rPr>
          <w:rFonts w:ascii="Times New Roman" w:hAnsi="Times New Roman" w:cs="Times New Roman"/>
          <w:bCs/>
          <w:color w:val="auto"/>
          <w:sz w:val="36"/>
          <w:szCs w:val="32"/>
          <w:highlight w:val="none"/>
        </w:rPr>
      </w:pPr>
      <w:r>
        <w:rPr>
          <w:rFonts w:ascii="Times New Roman" w:hAnsi="Times New Roman" w:cs="Times New Roman"/>
          <w:bCs/>
          <w:color w:val="auto"/>
          <w:sz w:val="36"/>
          <w:szCs w:val="32"/>
          <w:highlight w:val="none"/>
        </w:rPr>
        <w:t>目 次</w:t>
      </w:r>
    </w:p>
    <w:p w14:paraId="1C575B98">
      <w:pPr>
        <w:pStyle w:val="14"/>
        <w:tabs>
          <w:tab w:val="right" w:leader="dot" w:pos="8306"/>
          <w:tab w:val="clear" w:pos="8296"/>
        </w:tabs>
      </w:pPr>
      <w:r>
        <w:rPr>
          <w:rFonts w:ascii="Times New Roman" w:hAnsi="Times New Roman"/>
          <w:highlight w:val="none"/>
        </w:rPr>
        <w:fldChar w:fldCharType="begin"/>
      </w:r>
      <w:r>
        <w:rPr>
          <w:rFonts w:ascii="Times New Roman" w:hAnsi="Times New Roman"/>
          <w:highlight w:val="none"/>
        </w:rPr>
        <w:instrText xml:space="preserve"> TOC \o "1-2" \h \z \u </w:instrText>
      </w:r>
      <w:r>
        <w:rPr>
          <w:rFonts w:ascii="Times New Roman" w:hAnsi="Times New Roman"/>
          <w:highlight w:val="none"/>
        </w:rPr>
        <w:fldChar w:fldCharType="separate"/>
      </w:r>
      <w:r>
        <w:rPr>
          <w:rFonts w:ascii="Times New Roman" w:hAnsi="Times New Roman"/>
          <w:highlight w:val="none"/>
        </w:rPr>
        <w:fldChar w:fldCharType="begin"/>
      </w:r>
      <w:r>
        <w:rPr>
          <w:rFonts w:ascii="Times New Roman" w:hAnsi="Times New Roman"/>
          <w:highlight w:val="none"/>
        </w:rPr>
        <w:instrText xml:space="preserve"> HYPERLINK \l _Toc21683 </w:instrText>
      </w:r>
      <w:r>
        <w:rPr>
          <w:rFonts w:ascii="Times New Roman" w:hAnsi="Times New Roman"/>
          <w:highlight w:val="none"/>
        </w:rPr>
        <w:fldChar w:fldCharType="separate"/>
      </w:r>
      <w:r>
        <w:rPr>
          <w:rFonts w:hint="default"/>
          <w:bCs w:val="0"/>
          <w:szCs w:val="32"/>
        </w:rPr>
        <w:t xml:space="preserve">1 </w:t>
      </w:r>
      <w:r>
        <w:rPr>
          <w:bCs/>
          <w:szCs w:val="32"/>
          <w:highlight w:val="none"/>
        </w:rPr>
        <w:t>总则</w:t>
      </w:r>
      <w:r>
        <w:tab/>
      </w:r>
      <w:r>
        <w:fldChar w:fldCharType="begin"/>
      </w:r>
      <w:r>
        <w:instrText xml:space="preserve"> PAGEREF _Toc21683 \h </w:instrText>
      </w:r>
      <w:r>
        <w:fldChar w:fldCharType="separate"/>
      </w:r>
      <w:r>
        <w:t>1</w:t>
      </w:r>
      <w:r>
        <w:fldChar w:fldCharType="end"/>
      </w:r>
      <w:r>
        <w:rPr>
          <w:rFonts w:ascii="Times New Roman" w:hAnsi="Times New Roman"/>
          <w:highlight w:val="none"/>
        </w:rPr>
        <w:fldChar w:fldCharType="end"/>
      </w:r>
    </w:p>
    <w:p w14:paraId="42AB18F8">
      <w:pPr>
        <w:pStyle w:val="14"/>
        <w:tabs>
          <w:tab w:val="right" w:leader="dot" w:pos="8306"/>
          <w:tab w:val="clear" w:pos="8296"/>
        </w:tabs>
      </w:pPr>
      <w:r>
        <w:rPr>
          <w:color w:val="auto"/>
          <w:highlight w:val="none"/>
        </w:rPr>
        <w:fldChar w:fldCharType="begin"/>
      </w:r>
      <w:r>
        <w:rPr>
          <w:highlight w:val="none"/>
        </w:rPr>
        <w:instrText xml:space="preserve"> HYPERLINK \l _Toc7159 </w:instrText>
      </w:r>
      <w:r>
        <w:rPr>
          <w:highlight w:val="none"/>
        </w:rPr>
        <w:fldChar w:fldCharType="separate"/>
      </w:r>
      <w:r>
        <w:rPr>
          <w:rFonts w:hint="default"/>
          <w:bCs w:val="0"/>
          <w:szCs w:val="32"/>
        </w:rPr>
        <w:t xml:space="preserve">2 </w:t>
      </w:r>
      <w:r>
        <w:rPr>
          <w:bCs/>
          <w:szCs w:val="32"/>
          <w:highlight w:val="none"/>
        </w:rPr>
        <w:t>术语</w:t>
      </w:r>
      <w:r>
        <w:tab/>
      </w:r>
      <w:r>
        <w:fldChar w:fldCharType="begin"/>
      </w:r>
      <w:r>
        <w:instrText xml:space="preserve"> PAGEREF _Toc7159 \h </w:instrText>
      </w:r>
      <w:r>
        <w:fldChar w:fldCharType="separate"/>
      </w:r>
      <w:r>
        <w:t>2</w:t>
      </w:r>
      <w:r>
        <w:fldChar w:fldCharType="end"/>
      </w:r>
      <w:r>
        <w:rPr>
          <w:color w:val="auto"/>
          <w:highlight w:val="none"/>
        </w:rPr>
        <w:fldChar w:fldCharType="end"/>
      </w:r>
    </w:p>
    <w:p w14:paraId="7BB268D0">
      <w:pPr>
        <w:pStyle w:val="14"/>
        <w:tabs>
          <w:tab w:val="right" w:leader="dot" w:pos="8306"/>
          <w:tab w:val="clear" w:pos="8296"/>
        </w:tabs>
      </w:pPr>
      <w:r>
        <w:rPr>
          <w:color w:val="auto"/>
          <w:highlight w:val="none"/>
        </w:rPr>
        <w:fldChar w:fldCharType="begin"/>
      </w:r>
      <w:r>
        <w:rPr>
          <w:highlight w:val="none"/>
        </w:rPr>
        <w:instrText xml:space="preserve"> HYPERLINK \l _Toc32252 </w:instrText>
      </w:r>
      <w:r>
        <w:rPr>
          <w:highlight w:val="none"/>
        </w:rPr>
        <w:fldChar w:fldCharType="separate"/>
      </w:r>
      <w:r>
        <w:rPr>
          <w:rFonts w:hint="default"/>
          <w:bCs w:val="0"/>
          <w:szCs w:val="32"/>
        </w:rPr>
        <w:t xml:space="preserve">3 </w:t>
      </w:r>
      <w:r>
        <w:rPr>
          <w:bCs/>
          <w:szCs w:val="32"/>
          <w:highlight w:val="none"/>
        </w:rPr>
        <w:t>基本规定</w:t>
      </w:r>
      <w:r>
        <w:tab/>
      </w:r>
      <w:r>
        <w:fldChar w:fldCharType="begin"/>
      </w:r>
      <w:r>
        <w:instrText xml:space="preserve"> PAGEREF _Toc32252 \h </w:instrText>
      </w:r>
      <w:r>
        <w:fldChar w:fldCharType="separate"/>
      </w:r>
      <w:r>
        <w:t>1</w:t>
      </w:r>
      <w:r>
        <w:fldChar w:fldCharType="end"/>
      </w:r>
      <w:r>
        <w:rPr>
          <w:color w:val="auto"/>
          <w:highlight w:val="none"/>
        </w:rPr>
        <w:fldChar w:fldCharType="end"/>
      </w:r>
    </w:p>
    <w:p w14:paraId="4880F585">
      <w:pPr>
        <w:pStyle w:val="14"/>
        <w:tabs>
          <w:tab w:val="right" w:leader="dot" w:pos="8306"/>
          <w:tab w:val="clear" w:pos="8296"/>
        </w:tabs>
      </w:pPr>
      <w:r>
        <w:rPr>
          <w:color w:val="auto"/>
          <w:highlight w:val="none"/>
        </w:rPr>
        <w:fldChar w:fldCharType="begin"/>
      </w:r>
      <w:r>
        <w:rPr>
          <w:highlight w:val="none"/>
        </w:rPr>
        <w:instrText xml:space="preserve"> HYPERLINK \l _Toc22123 </w:instrText>
      </w:r>
      <w:r>
        <w:rPr>
          <w:highlight w:val="none"/>
        </w:rPr>
        <w:fldChar w:fldCharType="separate"/>
      </w:r>
      <w:r>
        <w:rPr>
          <w:rFonts w:hint="default"/>
          <w:bCs w:val="0"/>
          <w:szCs w:val="32"/>
        </w:rPr>
        <w:t xml:space="preserve">4 </w:t>
      </w:r>
      <w:r>
        <w:rPr>
          <w:bCs/>
          <w:szCs w:val="32"/>
          <w:highlight w:val="none"/>
        </w:rPr>
        <w:t>性能要求</w:t>
      </w:r>
      <w:r>
        <w:tab/>
      </w:r>
      <w:r>
        <w:fldChar w:fldCharType="begin"/>
      </w:r>
      <w:r>
        <w:instrText xml:space="preserve"> PAGEREF _Toc22123 \h </w:instrText>
      </w:r>
      <w:r>
        <w:fldChar w:fldCharType="separate"/>
      </w:r>
      <w:r>
        <w:t>3</w:t>
      </w:r>
      <w:r>
        <w:fldChar w:fldCharType="end"/>
      </w:r>
      <w:r>
        <w:rPr>
          <w:color w:val="auto"/>
          <w:highlight w:val="none"/>
        </w:rPr>
        <w:fldChar w:fldCharType="end"/>
      </w:r>
    </w:p>
    <w:p w14:paraId="7435E251">
      <w:pPr>
        <w:pStyle w:val="15"/>
        <w:tabs>
          <w:tab w:val="right" w:leader="dot" w:pos="8306"/>
          <w:tab w:val="clear" w:pos="8296"/>
        </w:tabs>
      </w:pPr>
      <w:r>
        <w:rPr>
          <w:color w:val="auto"/>
          <w:highlight w:val="none"/>
        </w:rPr>
        <w:fldChar w:fldCharType="begin"/>
      </w:r>
      <w:r>
        <w:rPr>
          <w:highlight w:val="none"/>
        </w:rPr>
        <w:instrText xml:space="preserve"> HYPERLINK \l _Toc8150 </w:instrText>
      </w:r>
      <w:r>
        <w:rPr>
          <w:highlight w:val="none"/>
        </w:rPr>
        <w:fldChar w:fldCharType="separate"/>
      </w:r>
      <w:r>
        <w:rPr>
          <w:rFonts w:hint="default" w:ascii="Times New Roman" w:hAnsi="Times New Roman" w:eastAsia="宋体" w:cs="Times New Roman"/>
          <w:bCs w:val="0"/>
          <w:szCs w:val="28"/>
        </w:rPr>
        <w:t xml:space="preserve">4.1 </w:t>
      </w:r>
      <w:r>
        <w:rPr>
          <w:bCs/>
          <w:szCs w:val="24"/>
          <w:highlight w:val="none"/>
        </w:rPr>
        <w:t>一般规定</w:t>
      </w:r>
      <w:r>
        <w:tab/>
      </w:r>
      <w:r>
        <w:fldChar w:fldCharType="begin"/>
      </w:r>
      <w:r>
        <w:instrText xml:space="preserve"> PAGEREF _Toc8150 \h </w:instrText>
      </w:r>
      <w:r>
        <w:fldChar w:fldCharType="separate"/>
      </w:r>
      <w:r>
        <w:t>3</w:t>
      </w:r>
      <w:r>
        <w:fldChar w:fldCharType="end"/>
      </w:r>
      <w:r>
        <w:rPr>
          <w:color w:val="auto"/>
          <w:highlight w:val="none"/>
        </w:rPr>
        <w:fldChar w:fldCharType="end"/>
      </w:r>
    </w:p>
    <w:p w14:paraId="2377FD55">
      <w:pPr>
        <w:pStyle w:val="15"/>
        <w:tabs>
          <w:tab w:val="right" w:leader="dot" w:pos="8306"/>
          <w:tab w:val="clear" w:pos="8296"/>
        </w:tabs>
      </w:pPr>
      <w:r>
        <w:rPr>
          <w:color w:val="auto"/>
          <w:highlight w:val="none"/>
        </w:rPr>
        <w:fldChar w:fldCharType="begin"/>
      </w:r>
      <w:r>
        <w:rPr>
          <w:highlight w:val="none"/>
        </w:rPr>
        <w:instrText xml:space="preserve"> HYPERLINK \l _Toc8418 </w:instrText>
      </w:r>
      <w:r>
        <w:rPr>
          <w:highlight w:val="none"/>
        </w:rPr>
        <w:fldChar w:fldCharType="separate"/>
      </w:r>
      <w:r>
        <w:rPr>
          <w:rFonts w:hint="default" w:ascii="Times New Roman" w:hAnsi="Times New Roman" w:eastAsia="宋体" w:cs="Times New Roman"/>
          <w:bCs w:val="0"/>
          <w:szCs w:val="28"/>
        </w:rPr>
        <w:t xml:space="preserve">4.2 </w:t>
      </w:r>
      <w:r>
        <w:rPr>
          <w:bCs/>
          <w:szCs w:val="24"/>
          <w:highlight w:val="none"/>
        </w:rPr>
        <w:t>系统</w:t>
      </w:r>
      <w:r>
        <w:rPr>
          <w:rFonts w:hint="eastAsia"/>
          <w:bCs/>
          <w:szCs w:val="24"/>
          <w:highlight w:val="none"/>
          <w:lang w:val="en-US" w:eastAsia="zh-CN"/>
        </w:rPr>
        <w:t>性能</w:t>
      </w:r>
      <w:r>
        <w:tab/>
      </w:r>
      <w:r>
        <w:fldChar w:fldCharType="begin"/>
      </w:r>
      <w:r>
        <w:instrText xml:space="preserve"> PAGEREF _Toc8418 \h </w:instrText>
      </w:r>
      <w:r>
        <w:fldChar w:fldCharType="separate"/>
      </w:r>
      <w:r>
        <w:t>3</w:t>
      </w:r>
      <w:r>
        <w:fldChar w:fldCharType="end"/>
      </w:r>
      <w:r>
        <w:rPr>
          <w:color w:val="auto"/>
          <w:highlight w:val="none"/>
        </w:rPr>
        <w:fldChar w:fldCharType="end"/>
      </w:r>
    </w:p>
    <w:p w14:paraId="77BDDC1B">
      <w:pPr>
        <w:pStyle w:val="15"/>
        <w:tabs>
          <w:tab w:val="right" w:leader="dot" w:pos="8306"/>
          <w:tab w:val="clear" w:pos="8296"/>
        </w:tabs>
      </w:pPr>
      <w:r>
        <w:rPr>
          <w:color w:val="auto"/>
          <w:highlight w:val="none"/>
        </w:rPr>
        <w:fldChar w:fldCharType="begin"/>
      </w:r>
      <w:r>
        <w:rPr>
          <w:highlight w:val="none"/>
        </w:rPr>
        <w:instrText xml:space="preserve"> HYPERLINK \l _Toc17801 </w:instrText>
      </w:r>
      <w:r>
        <w:rPr>
          <w:highlight w:val="none"/>
        </w:rPr>
        <w:fldChar w:fldCharType="separate"/>
      </w:r>
      <w:r>
        <w:rPr>
          <w:rFonts w:hint="default" w:ascii="Times New Roman" w:hAnsi="Times New Roman" w:eastAsia="宋体" w:cs="Times New Roman"/>
          <w:bCs w:val="0"/>
          <w:szCs w:val="28"/>
        </w:rPr>
        <w:t xml:space="preserve">4.3 </w:t>
      </w:r>
      <w:r>
        <w:rPr>
          <w:bCs/>
          <w:szCs w:val="24"/>
          <w:highlight w:val="none"/>
        </w:rPr>
        <w:t>保温材料</w:t>
      </w:r>
      <w:r>
        <w:tab/>
      </w:r>
      <w:r>
        <w:fldChar w:fldCharType="begin"/>
      </w:r>
      <w:r>
        <w:instrText xml:space="preserve"> PAGEREF _Toc17801 \h </w:instrText>
      </w:r>
      <w:r>
        <w:fldChar w:fldCharType="separate"/>
      </w:r>
      <w:r>
        <w:t>6</w:t>
      </w:r>
      <w:r>
        <w:fldChar w:fldCharType="end"/>
      </w:r>
      <w:r>
        <w:rPr>
          <w:color w:val="auto"/>
          <w:highlight w:val="none"/>
        </w:rPr>
        <w:fldChar w:fldCharType="end"/>
      </w:r>
    </w:p>
    <w:p w14:paraId="5DFCE386">
      <w:pPr>
        <w:pStyle w:val="15"/>
        <w:tabs>
          <w:tab w:val="right" w:leader="dot" w:pos="8306"/>
          <w:tab w:val="clear" w:pos="8296"/>
        </w:tabs>
      </w:pPr>
      <w:r>
        <w:rPr>
          <w:color w:val="auto"/>
          <w:highlight w:val="none"/>
        </w:rPr>
        <w:fldChar w:fldCharType="begin"/>
      </w:r>
      <w:r>
        <w:rPr>
          <w:highlight w:val="none"/>
        </w:rPr>
        <w:instrText xml:space="preserve"> HYPERLINK \l _Toc24865 </w:instrText>
      </w:r>
      <w:r>
        <w:rPr>
          <w:highlight w:val="none"/>
        </w:rPr>
        <w:fldChar w:fldCharType="separate"/>
      </w:r>
      <w:r>
        <w:rPr>
          <w:rFonts w:hint="default" w:ascii="Times New Roman" w:hAnsi="Times New Roman" w:eastAsia="宋体" w:cs="Times New Roman"/>
          <w:bCs w:val="0"/>
          <w:szCs w:val="28"/>
        </w:rPr>
        <w:t xml:space="preserve">4.4 </w:t>
      </w:r>
      <w:r>
        <w:rPr>
          <w:bCs/>
          <w:szCs w:val="24"/>
          <w:highlight w:val="none"/>
        </w:rPr>
        <w:t>配套材料</w:t>
      </w:r>
      <w:r>
        <w:tab/>
      </w:r>
      <w:r>
        <w:fldChar w:fldCharType="begin"/>
      </w:r>
      <w:r>
        <w:instrText xml:space="preserve"> PAGEREF _Toc24865 \h </w:instrText>
      </w:r>
      <w:r>
        <w:fldChar w:fldCharType="separate"/>
      </w:r>
      <w:r>
        <w:t>10</w:t>
      </w:r>
      <w:r>
        <w:fldChar w:fldCharType="end"/>
      </w:r>
      <w:r>
        <w:rPr>
          <w:color w:val="auto"/>
          <w:highlight w:val="none"/>
        </w:rPr>
        <w:fldChar w:fldCharType="end"/>
      </w:r>
    </w:p>
    <w:p w14:paraId="3D60E48B">
      <w:pPr>
        <w:pStyle w:val="14"/>
        <w:tabs>
          <w:tab w:val="right" w:leader="dot" w:pos="8306"/>
          <w:tab w:val="clear" w:pos="8296"/>
        </w:tabs>
      </w:pPr>
      <w:r>
        <w:rPr>
          <w:color w:val="auto"/>
          <w:highlight w:val="none"/>
        </w:rPr>
        <w:fldChar w:fldCharType="begin"/>
      </w:r>
      <w:r>
        <w:rPr>
          <w:highlight w:val="none"/>
        </w:rPr>
        <w:instrText xml:space="preserve"> HYPERLINK \l _Toc11999 </w:instrText>
      </w:r>
      <w:r>
        <w:rPr>
          <w:highlight w:val="none"/>
        </w:rPr>
        <w:fldChar w:fldCharType="separate"/>
      </w:r>
      <w:r>
        <w:rPr>
          <w:rFonts w:hint="default"/>
          <w:bCs w:val="0"/>
          <w:szCs w:val="32"/>
        </w:rPr>
        <w:t xml:space="preserve">5 </w:t>
      </w:r>
      <w:r>
        <w:rPr>
          <w:rFonts w:hint="eastAsia"/>
          <w:bCs w:val="0"/>
          <w:szCs w:val="32"/>
          <w:highlight w:val="none"/>
        </w:rPr>
        <w:t>设计</w:t>
      </w:r>
      <w:r>
        <w:tab/>
      </w:r>
      <w:r>
        <w:fldChar w:fldCharType="begin"/>
      </w:r>
      <w:r>
        <w:instrText xml:space="preserve"> PAGEREF _Toc11999 \h </w:instrText>
      </w:r>
      <w:r>
        <w:fldChar w:fldCharType="separate"/>
      </w:r>
      <w:r>
        <w:t>18</w:t>
      </w:r>
      <w:r>
        <w:fldChar w:fldCharType="end"/>
      </w:r>
      <w:r>
        <w:rPr>
          <w:color w:val="auto"/>
          <w:highlight w:val="none"/>
        </w:rPr>
        <w:fldChar w:fldCharType="end"/>
      </w:r>
    </w:p>
    <w:p w14:paraId="1B8A2950">
      <w:pPr>
        <w:pStyle w:val="15"/>
        <w:tabs>
          <w:tab w:val="right" w:leader="dot" w:pos="8306"/>
          <w:tab w:val="clear" w:pos="8296"/>
        </w:tabs>
      </w:pPr>
      <w:r>
        <w:rPr>
          <w:color w:val="auto"/>
          <w:highlight w:val="none"/>
        </w:rPr>
        <w:fldChar w:fldCharType="begin"/>
      </w:r>
      <w:r>
        <w:rPr>
          <w:highlight w:val="none"/>
        </w:rPr>
        <w:instrText xml:space="preserve"> HYPERLINK \l _Toc27775 </w:instrText>
      </w:r>
      <w:r>
        <w:rPr>
          <w:highlight w:val="none"/>
        </w:rPr>
        <w:fldChar w:fldCharType="separate"/>
      </w:r>
      <w:r>
        <w:rPr>
          <w:rFonts w:hint="default" w:ascii="Times New Roman" w:hAnsi="Times New Roman" w:eastAsia="宋体" w:cs="Times New Roman"/>
          <w:bCs w:val="0"/>
          <w:szCs w:val="28"/>
        </w:rPr>
        <w:t xml:space="preserve">5.1 </w:t>
      </w:r>
      <w:r>
        <w:rPr>
          <w:rFonts w:hint="eastAsia"/>
          <w:bCs w:val="0"/>
          <w:szCs w:val="24"/>
          <w:highlight w:val="none"/>
        </w:rPr>
        <w:t>一般规定</w:t>
      </w:r>
      <w:r>
        <w:tab/>
      </w:r>
      <w:r>
        <w:fldChar w:fldCharType="begin"/>
      </w:r>
      <w:r>
        <w:instrText xml:space="preserve"> PAGEREF _Toc27775 \h </w:instrText>
      </w:r>
      <w:r>
        <w:fldChar w:fldCharType="separate"/>
      </w:r>
      <w:r>
        <w:t>18</w:t>
      </w:r>
      <w:r>
        <w:fldChar w:fldCharType="end"/>
      </w:r>
      <w:r>
        <w:rPr>
          <w:color w:val="auto"/>
          <w:highlight w:val="none"/>
        </w:rPr>
        <w:fldChar w:fldCharType="end"/>
      </w:r>
    </w:p>
    <w:p w14:paraId="6F249716">
      <w:pPr>
        <w:pStyle w:val="15"/>
        <w:tabs>
          <w:tab w:val="right" w:leader="dot" w:pos="8306"/>
          <w:tab w:val="clear" w:pos="8296"/>
        </w:tabs>
      </w:pPr>
      <w:r>
        <w:rPr>
          <w:color w:val="auto"/>
          <w:highlight w:val="none"/>
        </w:rPr>
        <w:fldChar w:fldCharType="begin"/>
      </w:r>
      <w:r>
        <w:rPr>
          <w:highlight w:val="none"/>
        </w:rPr>
        <w:instrText xml:space="preserve"> HYPERLINK \l _Toc26051 </w:instrText>
      </w:r>
      <w:r>
        <w:rPr>
          <w:highlight w:val="none"/>
        </w:rPr>
        <w:fldChar w:fldCharType="separate"/>
      </w:r>
      <w:r>
        <w:rPr>
          <w:rFonts w:hint="default" w:ascii="Times New Roman" w:hAnsi="Times New Roman" w:eastAsia="宋体" w:cs="Times New Roman"/>
          <w:bCs w:val="0"/>
          <w:szCs w:val="28"/>
        </w:rPr>
        <w:t xml:space="preserve">5.2 </w:t>
      </w:r>
      <w:r>
        <w:rPr>
          <w:rFonts w:hint="eastAsia"/>
          <w:bCs w:val="0"/>
          <w:szCs w:val="24"/>
          <w:highlight w:val="none"/>
        </w:rPr>
        <w:t>抗风荷载设计</w:t>
      </w:r>
      <w:r>
        <w:tab/>
      </w:r>
      <w:r>
        <w:fldChar w:fldCharType="begin"/>
      </w:r>
      <w:r>
        <w:instrText xml:space="preserve"> PAGEREF _Toc26051 \h </w:instrText>
      </w:r>
      <w:r>
        <w:fldChar w:fldCharType="separate"/>
      </w:r>
      <w:r>
        <w:t>20</w:t>
      </w:r>
      <w:r>
        <w:fldChar w:fldCharType="end"/>
      </w:r>
      <w:r>
        <w:rPr>
          <w:color w:val="auto"/>
          <w:highlight w:val="none"/>
        </w:rPr>
        <w:fldChar w:fldCharType="end"/>
      </w:r>
    </w:p>
    <w:p w14:paraId="1E135525">
      <w:pPr>
        <w:pStyle w:val="15"/>
        <w:tabs>
          <w:tab w:val="right" w:leader="dot" w:pos="8306"/>
          <w:tab w:val="clear" w:pos="8296"/>
        </w:tabs>
      </w:pPr>
      <w:r>
        <w:rPr>
          <w:color w:val="auto"/>
          <w:highlight w:val="none"/>
        </w:rPr>
        <w:fldChar w:fldCharType="begin"/>
      </w:r>
      <w:r>
        <w:rPr>
          <w:highlight w:val="none"/>
        </w:rPr>
        <w:instrText xml:space="preserve"> HYPERLINK \l _Toc12159 </w:instrText>
      </w:r>
      <w:r>
        <w:rPr>
          <w:highlight w:val="none"/>
        </w:rPr>
        <w:fldChar w:fldCharType="separate"/>
      </w:r>
      <w:r>
        <w:rPr>
          <w:rFonts w:hint="default" w:ascii="Times New Roman" w:hAnsi="Times New Roman" w:eastAsia="宋体" w:cs="Times New Roman"/>
          <w:bCs w:val="0"/>
          <w:szCs w:val="28"/>
        </w:rPr>
        <w:t xml:space="preserve">5.3 </w:t>
      </w:r>
      <w:r>
        <w:rPr>
          <w:rFonts w:hint="eastAsia"/>
          <w:szCs w:val="24"/>
          <w:highlight w:val="none"/>
        </w:rPr>
        <w:t>套装双真空保温隔热板</w:t>
      </w:r>
      <w:r>
        <w:rPr>
          <w:rFonts w:hint="eastAsia"/>
          <w:bCs w:val="0"/>
          <w:szCs w:val="24"/>
          <w:highlight w:val="none"/>
        </w:rPr>
        <w:t>薄抹灰外墙外保温系统设计</w:t>
      </w:r>
      <w:r>
        <w:tab/>
      </w:r>
      <w:r>
        <w:fldChar w:fldCharType="begin"/>
      </w:r>
      <w:r>
        <w:instrText xml:space="preserve"> PAGEREF _Toc12159 \h </w:instrText>
      </w:r>
      <w:r>
        <w:fldChar w:fldCharType="separate"/>
      </w:r>
      <w:r>
        <w:t>22</w:t>
      </w:r>
      <w:r>
        <w:fldChar w:fldCharType="end"/>
      </w:r>
      <w:r>
        <w:rPr>
          <w:color w:val="auto"/>
          <w:highlight w:val="none"/>
        </w:rPr>
        <w:fldChar w:fldCharType="end"/>
      </w:r>
    </w:p>
    <w:p w14:paraId="06D217E1">
      <w:pPr>
        <w:pStyle w:val="15"/>
        <w:tabs>
          <w:tab w:val="right" w:leader="dot" w:pos="8306"/>
          <w:tab w:val="clear" w:pos="8296"/>
        </w:tabs>
      </w:pPr>
      <w:r>
        <w:rPr>
          <w:color w:val="auto"/>
          <w:highlight w:val="none"/>
        </w:rPr>
        <w:fldChar w:fldCharType="begin"/>
      </w:r>
      <w:r>
        <w:rPr>
          <w:highlight w:val="none"/>
        </w:rPr>
        <w:instrText xml:space="preserve"> HYPERLINK \l _Toc3551 </w:instrText>
      </w:r>
      <w:r>
        <w:rPr>
          <w:highlight w:val="none"/>
        </w:rPr>
        <w:fldChar w:fldCharType="separate"/>
      </w:r>
      <w:r>
        <w:rPr>
          <w:rFonts w:hint="default" w:ascii="Times New Roman" w:hAnsi="Times New Roman" w:eastAsia="宋体" w:cs="Times New Roman"/>
          <w:bCs w:val="0"/>
          <w:szCs w:val="28"/>
        </w:rPr>
        <w:t xml:space="preserve">5.4 </w:t>
      </w:r>
      <w:r>
        <w:rPr>
          <w:rFonts w:hint="eastAsia"/>
          <w:szCs w:val="24"/>
          <w:highlight w:val="none"/>
        </w:rPr>
        <w:t>非透明幕墙套装双真空保温隔热板</w:t>
      </w:r>
      <w:r>
        <w:rPr>
          <w:rFonts w:hint="eastAsia"/>
          <w:bCs w:val="0"/>
          <w:szCs w:val="24"/>
          <w:highlight w:val="none"/>
        </w:rPr>
        <w:t>薄抹灰外墙外保温系统设计</w:t>
      </w:r>
      <w:r>
        <w:tab/>
      </w:r>
      <w:r>
        <w:fldChar w:fldCharType="begin"/>
      </w:r>
      <w:r>
        <w:instrText xml:space="preserve"> PAGEREF _Toc3551 \h </w:instrText>
      </w:r>
      <w:r>
        <w:fldChar w:fldCharType="separate"/>
      </w:r>
      <w:r>
        <w:t>24</w:t>
      </w:r>
      <w:r>
        <w:fldChar w:fldCharType="end"/>
      </w:r>
      <w:r>
        <w:rPr>
          <w:color w:val="auto"/>
          <w:highlight w:val="none"/>
        </w:rPr>
        <w:fldChar w:fldCharType="end"/>
      </w:r>
    </w:p>
    <w:p w14:paraId="0258B000">
      <w:pPr>
        <w:pStyle w:val="15"/>
        <w:tabs>
          <w:tab w:val="right" w:leader="dot" w:pos="8306"/>
          <w:tab w:val="clear" w:pos="8296"/>
        </w:tabs>
      </w:pPr>
      <w:r>
        <w:rPr>
          <w:color w:val="auto"/>
          <w:highlight w:val="none"/>
        </w:rPr>
        <w:fldChar w:fldCharType="begin"/>
      </w:r>
      <w:r>
        <w:rPr>
          <w:highlight w:val="none"/>
        </w:rPr>
        <w:instrText xml:space="preserve"> HYPERLINK \l _Toc27508 </w:instrText>
      </w:r>
      <w:r>
        <w:rPr>
          <w:highlight w:val="none"/>
        </w:rPr>
        <w:fldChar w:fldCharType="separate"/>
      </w:r>
      <w:r>
        <w:rPr>
          <w:rFonts w:hint="default" w:ascii="Times New Roman" w:hAnsi="Times New Roman" w:eastAsia="宋体" w:cs="Times New Roman"/>
          <w:bCs w:val="0"/>
          <w:szCs w:val="28"/>
        </w:rPr>
        <w:t xml:space="preserve">5.5 </w:t>
      </w:r>
      <w:r>
        <w:rPr>
          <w:bCs w:val="0"/>
          <w:szCs w:val="24"/>
          <w:highlight w:val="none"/>
        </w:rPr>
        <w:t>套装双真空保温隔热板薄抹灰外墙内保温系统设计</w:t>
      </w:r>
      <w:r>
        <w:tab/>
      </w:r>
      <w:r>
        <w:fldChar w:fldCharType="begin"/>
      </w:r>
      <w:r>
        <w:instrText xml:space="preserve"> PAGEREF _Toc27508 \h </w:instrText>
      </w:r>
      <w:r>
        <w:fldChar w:fldCharType="separate"/>
      </w:r>
      <w:r>
        <w:t>24</w:t>
      </w:r>
      <w:r>
        <w:fldChar w:fldCharType="end"/>
      </w:r>
      <w:r>
        <w:rPr>
          <w:color w:val="auto"/>
          <w:highlight w:val="none"/>
        </w:rPr>
        <w:fldChar w:fldCharType="end"/>
      </w:r>
    </w:p>
    <w:p w14:paraId="165D2769">
      <w:pPr>
        <w:pStyle w:val="15"/>
        <w:tabs>
          <w:tab w:val="right" w:leader="dot" w:pos="8306"/>
          <w:tab w:val="clear" w:pos="8296"/>
        </w:tabs>
      </w:pPr>
      <w:r>
        <w:rPr>
          <w:color w:val="auto"/>
          <w:highlight w:val="none"/>
        </w:rPr>
        <w:fldChar w:fldCharType="begin"/>
      </w:r>
      <w:r>
        <w:rPr>
          <w:highlight w:val="none"/>
        </w:rPr>
        <w:instrText xml:space="preserve"> HYPERLINK \l _Toc9801 </w:instrText>
      </w:r>
      <w:r>
        <w:rPr>
          <w:highlight w:val="none"/>
        </w:rPr>
        <w:fldChar w:fldCharType="separate"/>
      </w:r>
      <w:r>
        <w:rPr>
          <w:rFonts w:hint="default" w:ascii="Times New Roman" w:hAnsi="Times New Roman" w:eastAsia="宋体" w:cs="Times New Roman"/>
          <w:bCs w:val="0"/>
          <w:szCs w:val="28"/>
        </w:rPr>
        <w:t xml:space="preserve">5.6 </w:t>
      </w:r>
      <w:r>
        <w:rPr>
          <w:bCs w:val="0"/>
          <w:szCs w:val="24"/>
          <w:highlight w:val="none"/>
        </w:rPr>
        <w:t>套装双真空保温隔热装饰板外墙外保温系统设计</w:t>
      </w:r>
      <w:r>
        <w:tab/>
      </w:r>
      <w:r>
        <w:fldChar w:fldCharType="begin"/>
      </w:r>
      <w:r>
        <w:instrText xml:space="preserve"> PAGEREF _Toc9801 \h </w:instrText>
      </w:r>
      <w:r>
        <w:fldChar w:fldCharType="separate"/>
      </w:r>
      <w:r>
        <w:t>26</w:t>
      </w:r>
      <w:r>
        <w:fldChar w:fldCharType="end"/>
      </w:r>
      <w:r>
        <w:rPr>
          <w:color w:val="auto"/>
          <w:highlight w:val="none"/>
        </w:rPr>
        <w:fldChar w:fldCharType="end"/>
      </w:r>
    </w:p>
    <w:p w14:paraId="157283DF">
      <w:pPr>
        <w:pStyle w:val="15"/>
        <w:tabs>
          <w:tab w:val="right" w:leader="dot" w:pos="8306"/>
          <w:tab w:val="clear" w:pos="8296"/>
        </w:tabs>
      </w:pPr>
      <w:r>
        <w:rPr>
          <w:color w:val="auto"/>
          <w:highlight w:val="none"/>
        </w:rPr>
        <w:fldChar w:fldCharType="begin"/>
      </w:r>
      <w:r>
        <w:rPr>
          <w:highlight w:val="none"/>
        </w:rPr>
        <w:instrText xml:space="preserve"> HYPERLINK \l _Toc509 </w:instrText>
      </w:r>
      <w:r>
        <w:rPr>
          <w:highlight w:val="none"/>
        </w:rPr>
        <w:fldChar w:fldCharType="separate"/>
      </w:r>
      <w:r>
        <w:rPr>
          <w:rFonts w:hint="default" w:ascii="Times New Roman" w:hAnsi="Times New Roman" w:eastAsia="宋体" w:cs="Times New Roman"/>
          <w:bCs w:val="0"/>
          <w:szCs w:val="28"/>
        </w:rPr>
        <w:t xml:space="preserve">5.7 </w:t>
      </w:r>
      <w:r>
        <w:rPr>
          <w:rFonts w:hint="eastAsia"/>
          <w:szCs w:val="24"/>
          <w:highlight w:val="none"/>
        </w:rPr>
        <w:t>套装双真空保温隔热装饰板</w:t>
      </w:r>
      <w:r>
        <w:rPr>
          <w:rFonts w:hint="eastAsia"/>
          <w:bCs w:val="0"/>
          <w:szCs w:val="24"/>
          <w:highlight w:val="none"/>
        </w:rPr>
        <w:t>外墙内保温系统设计</w:t>
      </w:r>
      <w:r>
        <w:tab/>
      </w:r>
      <w:r>
        <w:fldChar w:fldCharType="begin"/>
      </w:r>
      <w:r>
        <w:instrText xml:space="preserve"> PAGEREF _Toc509 \h </w:instrText>
      </w:r>
      <w:r>
        <w:fldChar w:fldCharType="separate"/>
      </w:r>
      <w:r>
        <w:t>28</w:t>
      </w:r>
      <w:r>
        <w:fldChar w:fldCharType="end"/>
      </w:r>
      <w:r>
        <w:rPr>
          <w:color w:val="auto"/>
          <w:highlight w:val="none"/>
        </w:rPr>
        <w:fldChar w:fldCharType="end"/>
      </w:r>
    </w:p>
    <w:p w14:paraId="11A35A9E">
      <w:pPr>
        <w:pStyle w:val="15"/>
        <w:tabs>
          <w:tab w:val="right" w:leader="dot" w:pos="8306"/>
          <w:tab w:val="clear" w:pos="8296"/>
        </w:tabs>
      </w:pPr>
      <w:r>
        <w:rPr>
          <w:color w:val="auto"/>
          <w:highlight w:val="none"/>
        </w:rPr>
        <w:fldChar w:fldCharType="begin"/>
      </w:r>
      <w:r>
        <w:rPr>
          <w:highlight w:val="none"/>
        </w:rPr>
        <w:instrText xml:space="preserve"> HYPERLINK \l _Toc30078 </w:instrText>
      </w:r>
      <w:r>
        <w:rPr>
          <w:highlight w:val="none"/>
        </w:rPr>
        <w:fldChar w:fldCharType="separate"/>
      </w:r>
      <w:r>
        <w:rPr>
          <w:rFonts w:hint="default" w:ascii="Times New Roman" w:hAnsi="Times New Roman" w:eastAsia="宋体" w:cs="Times New Roman"/>
          <w:bCs w:val="0"/>
          <w:szCs w:val="28"/>
        </w:rPr>
        <w:t xml:space="preserve">5.8 </w:t>
      </w:r>
      <w:r>
        <w:rPr>
          <w:rFonts w:hint="eastAsia"/>
          <w:szCs w:val="24"/>
          <w:highlight w:val="none"/>
        </w:rPr>
        <w:t>套装双真空保温隔热板复合预制墙板设计</w:t>
      </w:r>
      <w:r>
        <w:tab/>
      </w:r>
      <w:r>
        <w:fldChar w:fldCharType="begin"/>
      </w:r>
      <w:r>
        <w:instrText xml:space="preserve"> PAGEREF _Toc30078 \h </w:instrText>
      </w:r>
      <w:r>
        <w:fldChar w:fldCharType="separate"/>
      </w:r>
      <w:r>
        <w:t>29</w:t>
      </w:r>
      <w:r>
        <w:fldChar w:fldCharType="end"/>
      </w:r>
      <w:r>
        <w:rPr>
          <w:color w:val="auto"/>
          <w:highlight w:val="none"/>
        </w:rPr>
        <w:fldChar w:fldCharType="end"/>
      </w:r>
    </w:p>
    <w:p w14:paraId="0BE92DED">
      <w:pPr>
        <w:pStyle w:val="14"/>
        <w:tabs>
          <w:tab w:val="right" w:leader="dot" w:pos="8306"/>
          <w:tab w:val="clear" w:pos="8296"/>
        </w:tabs>
      </w:pPr>
      <w:r>
        <w:rPr>
          <w:color w:val="auto"/>
          <w:highlight w:val="none"/>
        </w:rPr>
        <w:fldChar w:fldCharType="begin"/>
      </w:r>
      <w:r>
        <w:rPr>
          <w:highlight w:val="none"/>
        </w:rPr>
        <w:instrText xml:space="preserve"> HYPERLINK \l _Toc17812 </w:instrText>
      </w:r>
      <w:r>
        <w:rPr>
          <w:highlight w:val="none"/>
        </w:rPr>
        <w:fldChar w:fldCharType="separate"/>
      </w:r>
      <w:r>
        <w:rPr>
          <w:rFonts w:hint="default"/>
          <w:bCs w:val="0"/>
          <w:szCs w:val="32"/>
        </w:rPr>
        <w:t xml:space="preserve">6 </w:t>
      </w:r>
      <w:r>
        <w:rPr>
          <w:bCs/>
          <w:szCs w:val="32"/>
          <w:highlight w:val="none"/>
        </w:rPr>
        <w:t>施工</w:t>
      </w:r>
      <w:r>
        <w:tab/>
      </w:r>
      <w:r>
        <w:fldChar w:fldCharType="begin"/>
      </w:r>
      <w:r>
        <w:instrText xml:space="preserve"> PAGEREF _Toc17812 \h </w:instrText>
      </w:r>
      <w:r>
        <w:fldChar w:fldCharType="separate"/>
      </w:r>
      <w:r>
        <w:t>31</w:t>
      </w:r>
      <w:r>
        <w:fldChar w:fldCharType="end"/>
      </w:r>
      <w:r>
        <w:rPr>
          <w:color w:val="auto"/>
          <w:highlight w:val="none"/>
        </w:rPr>
        <w:fldChar w:fldCharType="end"/>
      </w:r>
    </w:p>
    <w:p w14:paraId="1EA453A3">
      <w:pPr>
        <w:pStyle w:val="15"/>
        <w:tabs>
          <w:tab w:val="right" w:leader="dot" w:pos="8306"/>
          <w:tab w:val="clear" w:pos="8296"/>
        </w:tabs>
      </w:pPr>
      <w:r>
        <w:rPr>
          <w:color w:val="auto"/>
          <w:highlight w:val="none"/>
        </w:rPr>
        <w:fldChar w:fldCharType="begin"/>
      </w:r>
      <w:r>
        <w:rPr>
          <w:highlight w:val="none"/>
        </w:rPr>
        <w:instrText xml:space="preserve"> HYPERLINK \l _Toc23093 </w:instrText>
      </w:r>
      <w:r>
        <w:rPr>
          <w:highlight w:val="none"/>
        </w:rPr>
        <w:fldChar w:fldCharType="separate"/>
      </w:r>
      <w:r>
        <w:rPr>
          <w:rFonts w:hint="default" w:ascii="Times New Roman" w:hAnsi="Times New Roman" w:eastAsia="宋体" w:cs="Times New Roman"/>
          <w:bCs w:val="0"/>
          <w:szCs w:val="28"/>
        </w:rPr>
        <w:t xml:space="preserve">6.1 </w:t>
      </w:r>
      <w:r>
        <w:rPr>
          <w:rFonts w:hint="eastAsia"/>
          <w:szCs w:val="24"/>
          <w:highlight w:val="none"/>
        </w:rPr>
        <w:t>一般规定</w:t>
      </w:r>
      <w:r>
        <w:tab/>
      </w:r>
      <w:r>
        <w:fldChar w:fldCharType="begin"/>
      </w:r>
      <w:r>
        <w:instrText xml:space="preserve"> PAGEREF _Toc23093 \h </w:instrText>
      </w:r>
      <w:r>
        <w:fldChar w:fldCharType="separate"/>
      </w:r>
      <w:r>
        <w:t>31</w:t>
      </w:r>
      <w:r>
        <w:fldChar w:fldCharType="end"/>
      </w:r>
      <w:r>
        <w:rPr>
          <w:color w:val="auto"/>
          <w:highlight w:val="none"/>
        </w:rPr>
        <w:fldChar w:fldCharType="end"/>
      </w:r>
    </w:p>
    <w:p w14:paraId="5707D063">
      <w:pPr>
        <w:pStyle w:val="15"/>
        <w:tabs>
          <w:tab w:val="right" w:leader="dot" w:pos="8306"/>
          <w:tab w:val="clear" w:pos="8296"/>
        </w:tabs>
      </w:pPr>
      <w:r>
        <w:rPr>
          <w:color w:val="auto"/>
          <w:highlight w:val="none"/>
        </w:rPr>
        <w:fldChar w:fldCharType="begin"/>
      </w:r>
      <w:r>
        <w:rPr>
          <w:highlight w:val="none"/>
        </w:rPr>
        <w:instrText xml:space="preserve"> HYPERLINK \l _Toc16277 </w:instrText>
      </w:r>
      <w:r>
        <w:rPr>
          <w:highlight w:val="none"/>
        </w:rPr>
        <w:fldChar w:fldCharType="separate"/>
      </w:r>
      <w:r>
        <w:rPr>
          <w:rFonts w:hint="default" w:ascii="Times New Roman" w:hAnsi="Times New Roman" w:eastAsia="宋体" w:cs="Times New Roman"/>
          <w:bCs w:val="0"/>
          <w:szCs w:val="28"/>
        </w:rPr>
        <w:t xml:space="preserve">6.2 </w:t>
      </w:r>
      <w:r>
        <w:rPr>
          <w:rFonts w:hint="eastAsia"/>
          <w:szCs w:val="24"/>
          <w:highlight w:val="none"/>
        </w:rPr>
        <w:t>套装双真空保温隔热板薄抹灰外墙外保温工程</w:t>
      </w:r>
      <w:r>
        <w:tab/>
      </w:r>
      <w:r>
        <w:fldChar w:fldCharType="begin"/>
      </w:r>
      <w:r>
        <w:instrText xml:space="preserve"> PAGEREF _Toc16277 \h </w:instrText>
      </w:r>
      <w:r>
        <w:fldChar w:fldCharType="separate"/>
      </w:r>
      <w:r>
        <w:t>32</w:t>
      </w:r>
      <w:r>
        <w:fldChar w:fldCharType="end"/>
      </w:r>
      <w:r>
        <w:rPr>
          <w:color w:val="auto"/>
          <w:highlight w:val="none"/>
        </w:rPr>
        <w:fldChar w:fldCharType="end"/>
      </w:r>
    </w:p>
    <w:p w14:paraId="138A4F5B">
      <w:pPr>
        <w:pStyle w:val="15"/>
        <w:tabs>
          <w:tab w:val="right" w:leader="dot" w:pos="8306"/>
          <w:tab w:val="clear" w:pos="8296"/>
        </w:tabs>
      </w:pPr>
      <w:r>
        <w:rPr>
          <w:color w:val="auto"/>
          <w:highlight w:val="none"/>
        </w:rPr>
        <w:fldChar w:fldCharType="begin"/>
      </w:r>
      <w:r>
        <w:rPr>
          <w:highlight w:val="none"/>
        </w:rPr>
        <w:instrText xml:space="preserve"> HYPERLINK \l _Toc20439 </w:instrText>
      </w:r>
      <w:r>
        <w:rPr>
          <w:highlight w:val="none"/>
        </w:rPr>
        <w:fldChar w:fldCharType="separate"/>
      </w:r>
      <w:r>
        <w:rPr>
          <w:rFonts w:hint="default" w:ascii="Times New Roman" w:hAnsi="Times New Roman" w:eastAsia="宋体" w:cs="Times New Roman"/>
          <w:bCs w:val="0"/>
          <w:szCs w:val="28"/>
        </w:rPr>
        <w:t xml:space="preserve">6.3 </w:t>
      </w:r>
      <w:r>
        <w:rPr>
          <w:rFonts w:hint="eastAsia"/>
          <w:szCs w:val="24"/>
          <w:highlight w:val="none"/>
        </w:rPr>
        <w:t>非透明幕墙套装双真空保温隔热板薄抹灰外墙外保温工程</w:t>
      </w:r>
      <w:r>
        <w:tab/>
      </w:r>
      <w:r>
        <w:fldChar w:fldCharType="begin"/>
      </w:r>
      <w:r>
        <w:instrText xml:space="preserve"> PAGEREF _Toc20439 \h </w:instrText>
      </w:r>
      <w:r>
        <w:fldChar w:fldCharType="separate"/>
      </w:r>
      <w:r>
        <w:t>36</w:t>
      </w:r>
      <w:r>
        <w:fldChar w:fldCharType="end"/>
      </w:r>
      <w:r>
        <w:rPr>
          <w:color w:val="auto"/>
          <w:highlight w:val="none"/>
        </w:rPr>
        <w:fldChar w:fldCharType="end"/>
      </w:r>
    </w:p>
    <w:p w14:paraId="6E7FE76D">
      <w:pPr>
        <w:pStyle w:val="15"/>
        <w:tabs>
          <w:tab w:val="right" w:leader="dot" w:pos="8306"/>
          <w:tab w:val="clear" w:pos="8296"/>
        </w:tabs>
      </w:pPr>
      <w:r>
        <w:rPr>
          <w:color w:val="auto"/>
          <w:highlight w:val="none"/>
        </w:rPr>
        <w:fldChar w:fldCharType="begin"/>
      </w:r>
      <w:r>
        <w:rPr>
          <w:highlight w:val="none"/>
        </w:rPr>
        <w:instrText xml:space="preserve"> HYPERLINK \l _Toc8030 </w:instrText>
      </w:r>
      <w:r>
        <w:rPr>
          <w:highlight w:val="none"/>
        </w:rPr>
        <w:fldChar w:fldCharType="separate"/>
      </w:r>
      <w:r>
        <w:rPr>
          <w:rFonts w:hint="default" w:ascii="Times New Roman" w:hAnsi="Times New Roman" w:eastAsia="宋体" w:cs="Times New Roman"/>
          <w:bCs w:val="0"/>
          <w:szCs w:val="28"/>
        </w:rPr>
        <w:t xml:space="preserve">6.4 </w:t>
      </w:r>
      <w:r>
        <w:rPr>
          <w:bCs w:val="0"/>
          <w:szCs w:val="24"/>
          <w:highlight w:val="none"/>
        </w:rPr>
        <w:t>套装双真空保温隔热板薄抹灰外墙内保温工程</w:t>
      </w:r>
      <w:r>
        <w:tab/>
      </w:r>
      <w:r>
        <w:fldChar w:fldCharType="begin"/>
      </w:r>
      <w:r>
        <w:instrText xml:space="preserve"> PAGEREF _Toc8030 \h </w:instrText>
      </w:r>
      <w:r>
        <w:fldChar w:fldCharType="separate"/>
      </w:r>
      <w:r>
        <w:t>36</w:t>
      </w:r>
      <w:r>
        <w:fldChar w:fldCharType="end"/>
      </w:r>
      <w:r>
        <w:rPr>
          <w:color w:val="auto"/>
          <w:highlight w:val="none"/>
        </w:rPr>
        <w:fldChar w:fldCharType="end"/>
      </w:r>
    </w:p>
    <w:p w14:paraId="7F1DE944">
      <w:pPr>
        <w:pStyle w:val="15"/>
        <w:tabs>
          <w:tab w:val="right" w:leader="dot" w:pos="8306"/>
          <w:tab w:val="clear" w:pos="8296"/>
        </w:tabs>
      </w:pPr>
      <w:r>
        <w:rPr>
          <w:color w:val="auto"/>
          <w:highlight w:val="none"/>
        </w:rPr>
        <w:fldChar w:fldCharType="begin"/>
      </w:r>
      <w:r>
        <w:rPr>
          <w:highlight w:val="none"/>
        </w:rPr>
        <w:instrText xml:space="preserve"> HYPERLINK \l _Toc11159 </w:instrText>
      </w:r>
      <w:r>
        <w:rPr>
          <w:highlight w:val="none"/>
        </w:rPr>
        <w:fldChar w:fldCharType="separate"/>
      </w:r>
      <w:r>
        <w:rPr>
          <w:rFonts w:hint="default" w:ascii="Times New Roman" w:hAnsi="Times New Roman" w:eastAsia="宋体" w:cs="Times New Roman"/>
          <w:bCs w:val="0"/>
          <w:szCs w:val="28"/>
        </w:rPr>
        <w:t xml:space="preserve">6.5 </w:t>
      </w:r>
      <w:r>
        <w:rPr>
          <w:bCs w:val="0"/>
          <w:szCs w:val="24"/>
          <w:highlight w:val="none"/>
        </w:rPr>
        <w:t>套装双真空保温隔热装饰板外墙外保温工程</w:t>
      </w:r>
      <w:r>
        <w:tab/>
      </w:r>
      <w:r>
        <w:fldChar w:fldCharType="begin"/>
      </w:r>
      <w:r>
        <w:instrText xml:space="preserve"> PAGEREF _Toc11159 \h </w:instrText>
      </w:r>
      <w:r>
        <w:fldChar w:fldCharType="separate"/>
      </w:r>
      <w:r>
        <w:t>37</w:t>
      </w:r>
      <w:r>
        <w:fldChar w:fldCharType="end"/>
      </w:r>
      <w:r>
        <w:rPr>
          <w:color w:val="auto"/>
          <w:highlight w:val="none"/>
        </w:rPr>
        <w:fldChar w:fldCharType="end"/>
      </w:r>
    </w:p>
    <w:p w14:paraId="338064BA">
      <w:pPr>
        <w:pStyle w:val="15"/>
        <w:tabs>
          <w:tab w:val="right" w:leader="dot" w:pos="8306"/>
          <w:tab w:val="clear" w:pos="8296"/>
        </w:tabs>
      </w:pPr>
      <w:r>
        <w:rPr>
          <w:color w:val="auto"/>
          <w:highlight w:val="none"/>
        </w:rPr>
        <w:fldChar w:fldCharType="begin"/>
      </w:r>
      <w:r>
        <w:rPr>
          <w:highlight w:val="none"/>
        </w:rPr>
        <w:instrText xml:space="preserve"> HYPERLINK \l _Toc25456 </w:instrText>
      </w:r>
      <w:r>
        <w:rPr>
          <w:highlight w:val="none"/>
        </w:rPr>
        <w:fldChar w:fldCharType="separate"/>
      </w:r>
      <w:r>
        <w:rPr>
          <w:rFonts w:hint="default" w:ascii="Times New Roman" w:hAnsi="Times New Roman" w:eastAsia="宋体" w:cs="Times New Roman"/>
          <w:bCs w:val="0"/>
          <w:szCs w:val="28"/>
        </w:rPr>
        <w:t xml:space="preserve">6.6 </w:t>
      </w:r>
      <w:r>
        <w:rPr>
          <w:bCs w:val="0"/>
          <w:szCs w:val="24"/>
          <w:highlight w:val="none"/>
        </w:rPr>
        <w:t>套装双真空保温隔热装饰板外墙内保温工程</w:t>
      </w:r>
      <w:r>
        <w:tab/>
      </w:r>
      <w:r>
        <w:fldChar w:fldCharType="begin"/>
      </w:r>
      <w:r>
        <w:instrText xml:space="preserve"> PAGEREF _Toc25456 \h </w:instrText>
      </w:r>
      <w:r>
        <w:fldChar w:fldCharType="separate"/>
      </w:r>
      <w:r>
        <w:t>40</w:t>
      </w:r>
      <w:r>
        <w:fldChar w:fldCharType="end"/>
      </w:r>
      <w:r>
        <w:rPr>
          <w:color w:val="auto"/>
          <w:highlight w:val="none"/>
        </w:rPr>
        <w:fldChar w:fldCharType="end"/>
      </w:r>
    </w:p>
    <w:p w14:paraId="243769BD">
      <w:pPr>
        <w:pStyle w:val="15"/>
        <w:tabs>
          <w:tab w:val="right" w:leader="dot" w:pos="8306"/>
          <w:tab w:val="clear" w:pos="8296"/>
        </w:tabs>
      </w:pPr>
      <w:r>
        <w:rPr>
          <w:color w:val="auto"/>
          <w:highlight w:val="none"/>
        </w:rPr>
        <w:fldChar w:fldCharType="begin"/>
      </w:r>
      <w:r>
        <w:rPr>
          <w:highlight w:val="none"/>
        </w:rPr>
        <w:instrText xml:space="preserve"> HYPERLINK \l _Toc32649 </w:instrText>
      </w:r>
      <w:r>
        <w:rPr>
          <w:highlight w:val="none"/>
        </w:rPr>
        <w:fldChar w:fldCharType="separate"/>
      </w:r>
      <w:r>
        <w:rPr>
          <w:rFonts w:hint="default" w:ascii="Times New Roman" w:hAnsi="Times New Roman" w:eastAsia="宋体" w:cs="Times New Roman"/>
          <w:bCs w:val="0"/>
          <w:szCs w:val="28"/>
        </w:rPr>
        <w:t xml:space="preserve">6.7 </w:t>
      </w:r>
      <w:r>
        <w:rPr>
          <w:rFonts w:hint="eastAsia"/>
          <w:bCs w:val="0"/>
          <w:szCs w:val="24"/>
          <w:highlight w:val="none"/>
        </w:rPr>
        <w:t>复合预制墙板制作与施工</w:t>
      </w:r>
      <w:r>
        <w:tab/>
      </w:r>
      <w:r>
        <w:fldChar w:fldCharType="begin"/>
      </w:r>
      <w:r>
        <w:instrText xml:space="preserve"> PAGEREF _Toc32649 \h </w:instrText>
      </w:r>
      <w:r>
        <w:fldChar w:fldCharType="separate"/>
      </w:r>
      <w:r>
        <w:t>41</w:t>
      </w:r>
      <w:r>
        <w:fldChar w:fldCharType="end"/>
      </w:r>
      <w:r>
        <w:rPr>
          <w:color w:val="auto"/>
          <w:highlight w:val="none"/>
        </w:rPr>
        <w:fldChar w:fldCharType="end"/>
      </w:r>
    </w:p>
    <w:p w14:paraId="2791301B">
      <w:pPr>
        <w:pStyle w:val="14"/>
        <w:tabs>
          <w:tab w:val="right" w:leader="dot" w:pos="8306"/>
          <w:tab w:val="clear" w:pos="8296"/>
        </w:tabs>
      </w:pPr>
      <w:r>
        <w:rPr>
          <w:color w:val="auto"/>
          <w:highlight w:val="none"/>
        </w:rPr>
        <w:fldChar w:fldCharType="begin"/>
      </w:r>
      <w:r>
        <w:rPr>
          <w:highlight w:val="none"/>
        </w:rPr>
        <w:instrText xml:space="preserve"> HYPERLINK \l _Toc5318 </w:instrText>
      </w:r>
      <w:r>
        <w:rPr>
          <w:highlight w:val="none"/>
        </w:rPr>
        <w:fldChar w:fldCharType="separate"/>
      </w:r>
      <w:r>
        <w:rPr>
          <w:rFonts w:hint="default"/>
          <w:bCs w:val="0"/>
          <w:szCs w:val="32"/>
        </w:rPr>
        <w:t xml:space="preserve">7 </w:t>
      </w:r>
      <w:r>
        <w:rPr>
          <w:szCs w:val="32"/>
          <w:highlight w:val="none"/>
        </w:rPr>
        <w:t>质量验收</w:t>
      </w:r>
      <w:r>
        <w:tab/>
      </w:r>
      <w:r>
        <w:fldChar w:fldCharType="begin"/>
      </w:r>
      <w:r>
        <w:instrText xml:space="preserve"> PAGEREF _Toc5318 \h </w:instrText>
      </w:r>
      <w:r>
        <w:fldChar w:fldCharType="separate"/>
      </w:r>
      <w:r>
        <w:t>43</w:t>
      </w:r>
      <w:r>
        <w:fldChar w:fldCharType="end"/>
      </w:r>
      <w:r>
        <w:rPr>
          <w:color w:val="auto"/>
          <w:highlight w:val="none"/>
        </w:rPr>
        <w:fldChar w:fldCharType="end"/>
      </w:r>
    </w:p>
    <w:p w14:paraId="4DBC0C59">
      <w:pPr>
        <w:pStyle w:val="15"/>
        <w:tabs>
          <w:tab w:val="right" w:leader="dot" w:pos="8306"/>
          <w:tab w:val="clear" w:pos="8296"/>
        </w:tabs>
      </w:pPr>
      <w:r>
        <w:rPr>
          <w:color w:val="auto"/>
          <w:highlight w:val="none"/>
        </w:rPr>
        <w:fldChar w:fldCharType="begin"/>
      </w:r>
      <w:r>
        <w:rPr>
          <w:highlight w:val="none"/>
        </w:rPr>
        <w:instrText xml:space="preserve"> HYPERLINK \l _Toc15139 </w:instrText>
      </w:r>
      <w:r>
        <w:rPr>
          <w:highlight w:val="none"/>
        </w:rPr>
        <w:fldChar w:fldCharType="separate"/>
      </w:r>
      <w:r>
        <w:rPr>
          <w:rFonts w:hint="default" w:ascii="Times New Roman" w:hAnsi="Times New Roman" w:eastAsia="宋体" w:cs="Times New Roman"/>
          <w:bCs w:val="0"/>
          <w:szCs w:val="28"/>
        </w:rPr>
        <w:t xml:space="preserve">7.1 </w:t>
      </w:r>
      <w:r>
        <w:rPr>
          <w:bCs w:val="0"/>
          <w:szCs w:val="24"/>
          <w:highlight w:val="none"/>
        </w:rPr>
        <w:t>一般规定</w:t>
      </w:r>
      <w:r>
        <w:tab/>
      </w:r>
      <w:r>
        <w:fldChar w:fldCharType="begin"/>
      </w:r>
      <w:r>
        <w:instrText xml:space="preserve"> PAGEREF _Toc15139 \h </w:instrText>
      </w:r>
      <w:r>
        <w:fldChar w:fldCharType="separate"/>
      </w:r>
      <w:r>
        <w:t>43</w:t>
      </w:r>
      <w:r>
        <w:fldChar w:fldCharType="end"/>
      </w:r>
      <w:r>
        <w:rPr>
          <w:color w:val="auto"/>
          <w:highlight w:val="none"/>
        </w:rPr>
        <w:fldChar w:fldCharType="end"/>
      </w:r>
    </w:p>
    <w:p w14:paraId="0275D93E">
      <w:pPr>
        <w:pStyle w:val="15"/>
        <w:tabs>
          <w:tab w:val="right" w:leader="dot" w:pos="8306"/>
          <w:tab w:val="clear" w:pos="8296"/>
        </w:tabs>
      </w:pPr>
      <w:r>
        <w:rPr>
          <w:color w:val="auto"/>
          <w:highlight w:val="none"/>
        </w:rPr>
        <w:fldChar w:fldCharType="begin"/>
      </w:r>
      <w:r>
        <w:rPr>
          <w:highlight w:val="none"/>
        </w:rPr>
        <w:instrText xml:space="preserve"> HYPERLINK \l _Toc28094 </w:instrText>
      </w:r>
      <w:r>
        <w:rPr>
          <w:highlight w:val="none"/>
        </w:rPr>
        <w:fldChar w:fldCharType="separate"/>
      </w:r>
      <w:r>
        <w:rPr>
          <w:rFonts w:hint="default" w:ascii="Times New Roman" w:hAnsi="Times New Roman" w:eastAsia="宋体" w:cs="Times New Roman"/>
          <w:bCs w:val="0"/>
          <w:szCs w:val="28"/>
        </w:rPr>
        <w:t xml:space="preserve">7.2 </w:t>
      </w:r>
      <w:r>
        <w:rPr>
          <w:bCs w:val="0"/>
          <w:szCs w:val="24"/>
          <w:highlight w:val="none"/>
        </w:rPr>
        <w:t>主控项目</w:t>
      </w:r>
      <w:r>
        <w:tab/>
      </w:r>
      <w:r>
        <w:fldChar w:fldCharType="begin"/>
      </w:r>
      <w:r>
        <w:instrText xml:space="preserve"> PAGEREF _Toc28094 \h </w:instrText>
      </w:r>
      <w:r>
        <w:fldChar w:fldCharType="separate"/>
      </w:r>
      <w:r>
        <w:t>45</w:t>
      </w:r>
      <w:r>
        <w:fldChar w:fldCharType="end"/>
      </w:r>
      <w:r>
        <w:rPr>
          <w:color w:val="auto"/>
          <w:highlight w:val="none"/>
        </w:rPr>
        <w:fldChar w:fldCharType="end"/>
      </w:r>
    </w:p>
    <w:p w14:paraId="1C3D3DC0">
      <w:pPr>
        <w:pStyle w:val="15"/>
        <w:tabs>
          <w:tab w:val="right" w:leader="dot" w:pos="8306"/>
          <w:tab w:val="clear" w:pos="8296"/>
        </w:tabs>
      </w:pPr>
      <w:r>
        <w:rPr>
          <w:color w:val="auto"/>
          <w:highlight w:val="none"/>
        </w:rPr>
        <w:fldChar w:fldCharType="begin"/>
      </w:r>
      <w:r>
        <w:rPr>
          <w:highlight w:val="none"/>
        </w:rPr>
        <w:instrText xml:space="preserve"> HYPERLINK \l _Toc7434 </w:instrText>
      </w:r>
      <w:r>
        <w:rPr>
          <w:highlight w:val="none"/>
        </w:rPr>
        <w:fldChar w:fldCharType="separate"/>
      </w:r>
      <w:r>
        <w:rPr>
          <w:rFonts w:hint="default" w:ascii="Times New Roman" w:hAnsi="Times New Roman" w:eastAsia="宋体" w:cs="Times New Roman"/>
          <w:bCs w:val="0"/>
          <w:szCs w:val="28"/>
        </w:rPr>
        <w:t xml:space="preserve">7.3 </w:t>
      </w:r>
      <w:r>
        <w:rPr>
          <w:bCs w:val="0"/>
          <w:szCs w:val="24"/>
          <w:highlight w:val="none"/>
        </w:rPr>
        <w:t>一般项目</w:t>
      </w:r>
      <w:r>
        <w:tab/>
      </w:r>
      <w:r>
        <w:fldChar w:fldCharType="begin"/>
      </w:r>
      <w:r>
        <w:instrText xml:space="preserve"> PAGEREF _Toc7434 \h </w:instrText>
      </w:r>
      <w:r>
        <w:fldChar w:fldCharType="separate"/>
      </w:r>
      <w:r>
        <w:t>48</w:t>
      </w:r>
      <w:r>
        <w:fldChar w:fldCharType="end"/>
      </w:r>
      <w:r>
        <w:rPr>
          <w:color w:val="auto"/>
          <w:highlight w:val="none"/>
        </w:rPr>
        <w:fldChar w:fldCharType="end"/>
      </w:r>
    </w:p>
    <w:p w14:paraId="791123F5">
      <w:pPr>
        <w:pStyle w:val="14"/>
        <w:tabs>
          <w:tab w:val="right" w:leader="dot" w:pos="8306"/>
          <w:tab w:val="clear" w:pos="8296"/>
        </w:tabs>
      </w:pPr>
      <w:r>
        <w:rPr>
          <w:color w:val="auto"/>
          <w:highlight w:val="none"/>
        </w:rPr>
        <w:fldChar w:fldCharType="begin"/>
      </w:r>
      <w:r>
        <w:rPr>
          <w:highlight w:val="none"/>
        </w:rPr>
        <w:instrText xml:space="preserve"> HYPERLINK \l _Toc20793 </w:instrText>
      </w:r>
      <w:r>
        <w:rPr>
          <w:highlight w:val="none"/>
        </w:rPr>
        <w:fldChar w:fldCharType="separate"/>
      </w:r>
      <w:r>
        <w:rPr>
          <w:kern w:val="44"/>
          <w:szCs w:val="24"/>
          <w:highlight w:val="none"/>
        </w:rPr>
        <w:t>用词说明</w:t>
      </w:r>
      <w:r>
        <w:tab/>
      </w:r>
      <w:r>
        <w:fldChar w:fldCharType="begin"/>
      </w:r>
      <w:r>
        <w:instrText xml:space="preserve"> PAGEREF _Toc20793 \h </w:instrText>
      </w:r>
      <w:r>
        <w:fldChar w:fldCharType="separate"/>
      </w:r>
      <w:r>
        <w:t>52</w:t>
      </w:r>
      <w:r>
        <w:fldChar w:fldCharType="end"/>
      </w:r>
      <w:r>
        <w:rPr>
          <w:color w:val="auto"/>
          <w:highlight w:val="none"/>
        </w:rPr>
        <w:fldChar w:fldCharType="end"/>
      </w:r>
    </w:p>
    <w:p w14:paraId="05A8BEA2">
      <w:pPr>
        <w:pStyle w:val="14"/>
        <w:tabs>
          <w:tab w:val="right" w:leader="dot" w:pos="8306"/>
          <w:tab w:val="clear" w:pos="8296"/>
        </w:tabs>
      </w:pPr>
      <w:r>
        <w:rPr>
          <w:color w:val="auto"/>
          <w:highlight w:val="none"/>
        </w:rPr>
        <w:fldChar w:fldCharType="begin"/>
      </w:r>
      <w:r>
        <w:rPr>
          <w:highlight w:val="none"/>
        </w:rPr>
        <w:instrText xml:space="preserve"> HYPERLINK \l _Toc26662 </w:instrText>
      </w:r>
      <w:r>
        <w:rPr>
          <w:highlight w:val="none"/>
        </w:rPr>
        <w:fldChar w:fldCharType="separate"/>
      </w:r>
      <w:r>
        <w:rPr>
          <w:highlight w:val="none"/>
        </w:rPr>
        <w:t>引用标准名录</w:t>
      </w:r>
      <w:r>
        <w:tab/>
      </w:r>
      <w:r>
        <w:fldChar w:fldCharType="begin"/>
      </w:r>
      <w:r>
        <w:instrText xml:space="preserve"> PAGEREF _Toc26662 \h </w:instrText>
      </w:r>
      <w:r>
        <w:fldChar w:fldCharType="separate"/>
      </w:r>
      <w:r>
        <w:t>53</w:t>
      </w:r>
      <w:r>
        <w:fldChar w:fldCharType="end"/>
      </w:r>
      <w:r>
        <w:rPr>
          <w:color w:val="auto"/>
          <w:highlight w:val="none"/>
        </w:rPr>
        <w:fldChar w:fldCharType="end"/>
      </w:r>
    </w:p>
    <w:p w14:paraId="3539D3DA">
      <w:pPr>
        <w:pStyle w:val="14"/>
        <w:tabs>
          <w:tab w:val="right" w:leader="dot" w:pos="8306"/>
          <w:tab w:val="clear" w:pos="8296"/>
        </w:tabs>
      </w:pPr>
      <w:r>
        <w:rPr>
          <w:color w:val="auto"/>
          <w:highlight w:val="none"/>
        </w:rPr>
        <w:fldChar w:fldCharType="begin"/>
      </w:r>
      <w:r>
        <w:rPr>
          <w:highlight w:val="none"/>
        </w:rPr>
        <w:instrText xml:space="preserve"> HYPERLINK \l _Toc23526 </w:instrText>
      </w:r>
      <w:r>
        <w:rPr>
          <w:highlight w:val="none"/>
        </w:rPr>
        <w:fldChar w:fldCharType="separate"/>
      </w:r>
      <w:r>
        <w:rPr>
          <w:highlight w:val="none"/>
        </w:rPr>
        <w:t>附：条文说明</w:t>
      </w:r>
      <w:r>
        <w:tab/>
      </w:r>
      <w:r>
        <w:fldChar w:fldCharType="begin"/>
      </w:r>
      <w:r>
        <w:instrText xml:space="preserve"> PAGEREF _Toc23526 \h </w:instrText>
      </w:r>
      <w:r>
        <w:fldChar w:fldCharType="separate"/>
      </w:r>
      <w:r>
        <w:t>56</w:t>
      </w:r>
      <w:r>
        <w:fldChar w:fldCharType="end"/>
      </w:r>
      <w:r>
        <w:rPr>
          <w:color w:val="auto"/>
          <w:highlight w:val="none"/>
        </w:rPr>
        <w:fldChar w:fldCharType="end"/>
      </w:r>
    </w:p>
    <w:p w14:paraId="650E483D">
      <w:pPr>
        <w:spacing w:line="312" w:lineRule="auto"/>
        <w:rPr>
          <w:color w:val="auto"/>
          <w:highlight w:val="none"/>
        </w:rPr>
      </w:pPr>
      <w:r>
        <w:rPr>
          <w:color w:val="auto"/>
          <w:highlight w:val="none"/>
        </w:rPr>
        <w:fldChar w:fldCharType="end"/>
      </w:r>
    </w:p>
    <w:p w14:paraId="71D86209">
      <w:pPr>
        <w:spacing w:line="312" w:lineRule="auto"/>
        <w:rPr>
          <w:color w:val="auto"/>
          <w:highlight w:val="none"/>
        </w:rPr>
      </w:pPr>
    </w:p>
    <w:p w14:paraId="1D805214">
      <w:pPr>
        <w:spacing w:line="312" w:lineRule="auto"/>
        <w:rPr>
          <w:color w:val="auto"/>
          <w:highlight w:val="none"/>
        </w:rPr>
      </w:pPr>
    </w:p>
    <w:p w14:paraId="17DA3275">
      <w:pPr>
        <w:spacing w:line="312" w:lineRule="auto"/>
        <w:rPr>
          <w:color w:val="auto"/>
          <w:highlight w:val="none"/>
        </w:rPr>
      </w:pPr>
    </w:p>
    <w:p w14:paraId="7DCC8BFF">
      <w:pPr>
        <w:spacing w:line="312" w:lineRule="auto"/>
        <w:rPr>
          <w:b/>
          <w:bCs/>
          <w:color w:val="auto"/>
          <w:sz w:val="24"/>
          <w:szCs w:val="24"/>
          <w:highlight w:val="none"/>
        </w:rPr>
      </w:pPr>
    </w:p>
    <w:p w14:paraId="06B816F9">
      <w:pPr>
        <w:pStyle w:val="28"/>
        <w:spacing w:after="240"/>
        <w:jc w:val="center"/>
        <w:rPr>
          <w:rFonts w:ascii="Times New Roman" w:hAnsi="Times New Roman" w:cs="Times New Roman"/>
          <w:bCs/>
          <w:color w:val="auto"/>
          <w:sz w:val="36"/>
          <w:szCs w:val="32"/>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431D55B9">
      <w:pPr>
        <w:pStyle w:val="28"/>
        <w:spacing w:after="240"/>
        <w:jc w:val="center"/>
        <w:rPr>
          <w:rFonts w:ascii="Times New Roman" w:hAnsi="Times New Roman" w:cs="Times New Roman"/>
          <w:bCs/>
          <w:color w:val="auto"/>
          <w:sz w:val="36"/>
          <w:szCs w:val="32"/>
          <w:highlight w:val="none"/>
        </w:rPr>
        <w:sectPr>
          <w:footerReference r:id="rId6"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08B868A5">
      <w:pPr>
        <w:pStyle w:val="28"/>
        <w:spacing w:after="240"/>
        <w:jc w:val="center"/>
        <w:rPr>
          <w:rFonts w:ascii="Times New Roman" w:hAnsi="Times New Roman" w:cs="Times New Roman"/>
          <w:bCs/>
          <w:color w:val="auto"/>
          <w:sz w:val="36"/>
          <w:szCs w:val="32"/>
          <w:highlight w:val="none"/>
        </w:rPr>
      </w:pPr>
      <w:r>
        <w:rPr>
          <w:rFonts w:ascii="Times New Roman" w:hAnsi="Times New Roman" w:cs="Times New Roman"/>
          <w:bCs/>
          <w:color w:val="auto"/>
          <w:sz w:val="36"/>
          <w:szCs w:val="32"/>
          <w:highlight w:val="none"/>
        </w:rPr>
        <w:t>Contents</w:t>
      </w:r>
    </w:p>
    <w:p w14:paraId="37852AA1">
      <w:pPr>
        <w:pStyle w:val="14"/>
        <w:tabs>
          <w:tab w:val="left" w:pos="420"/>
        </w:tabs>
        <w:rPr>
          <w:rFonts w:ascii="Times New Roman" w:hAnsi="Times New Roman" w:eastAsiaTheme="minorEastAsia"/>
          <w:kern w:val="2"/>
          <w:szCs w:val="22"/>
          <w:highlight w:val="none"/>
          <w14:ligatures w14:val="standardContextual"/>
        </w:rPr>
      </w:pPr>
      <w:r>
        <w:rPr>
          <w:rFonts w:ascii="Times New Roman" w:hAnsi="Times New Roman"/>
          <w:highlight w:val="none"/>
        </w:rPr>
        <w:fldChar w:fldCharType="begin"/>
      </w:r>
      <w:r>
        <w:rPr>
          <w:rFonts w:ascii="Times New Roman" w:hAnsi="Times New Roman"/>
          <w:highlight w:val="none"/>
        </w:rPr>
        <w:instrText xml:space="preserve"> TOC \o "1-2" \h \z \u </w:instrText>
      </w:r>
      <w:r>
        <w:rPr>
          <w:rFonts w:ascii="Times New Roman" w:hAnsi="Times New Roman"/>
          <w:highlight w:val="none"/>
        </w:rPr>
        <w:fldChar w:fldCharType="separate"/>
      </w:r>
      <w:r>
        <w:rPr>
          <w:highlight w:val="none"/>
        </w:rPr>
        <w:fldChar w:fldCharType="begin"/>
      </w:r>
      <w:r>
        <w:rPr>
          <w:highlight w:val="none"/>
        </w:rPr>
        <w:instrText xml:space="preserve"> HYPERLINK \l "_Toc142573768" </w:instrText>
      </w:r>
      <w:r>
        <w:rPr>
          <w:highlight w:val="none"/>
        </w:rPr>
        <w:fldChar w:fldCharType="separate"/>
      </w:r>
      <w:r>
        <w:rPr>
          <w:rStyle w:val="23"/>
          <w:rFonts w:ascii="Times New Roman" w:hAnsi="Times New Roman"/>
          <w:color w:val="auto"/>
          <w:highlight w:val="none"/>
          <w:u w:val="none"/>
        </w:rPr>
        <w:t>1</w:t>
      </w:r>
      <w:r>
        <w:rPr>
          <w:rFonts w:ascii="Times New Roman" w:hAnsi="Times New Roman" w:eastAsiaTheme="minorEastAsia"/>
          <w:kern w:val="2"/>
          <w:szCs w:val="22"/>
          <w:highlight w:val="none"/>
          <w14:ligatures w14:val="standardContextual"/>
        </w:rPr>
        <w:tab/>
      </w:r>
      <w:r>
        <w:rPr>
          <w:rFonts w:ascii="Times New Roman" w:hAnsi="Times New Roman" w:eastAsiaTheme="minorEastAsia"/>
          <w:kern w:val="2"/>
          <w:szCs w:val="22"/>
          <w:highlight w:val="none"/>
          <w14:ligatures w14:val="standardContextual"/>
        </w:rPr>
        <w:t>General Provisions</w:t>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_Toc142573768 \h </w:instrText>
      </w:r>
      <w:r>
        <w:rPr>
          <w:rFonts w:ascii="Times New Roman" w:hAnsi="Times New Roman"/>
          <w:highlight w:val="none"/>
        </w:rPr>
        <w:fldChar w:fldCharType="separate"/>
      </w:r>
      <w:r>
        <w:rPr>
          <w:rFonts w:ascii="Times New Roman" w:hAnsi="Times New Roman"/>
          <w:highlight w:val="none"/>
        </w:rPr>
        <w:t>1</w:t>
      </w:r>
      <w:r>
        <w:rPr>
          <w:rFonts w:ascii="Times New Roman" w:hAnsi="Times New Roman"/>
          <w:highlight w:val="none"/>
        </w:rPr>
        <w:fldChar w:fldCharType="end"/>
      </w:r>
      <w:r>
        <w:rPr>
          <w:rFonts w:ascii="Times New Roman" w:hAnsi="Times New Roman"/>
          <w:highlight w:val="none"/>
        </w:rPr>
        <w:fldChar w:fldCharType="end"/>
      </w:r>
    </w:p>
    <w:p w14:paraId="5BFAC742">
      <w:pPr>
        <w:pStyle w:val="14"/>
        <w:tabs>
          <w:tab w:val="left" w:pos="420"/>
        </w:tabs>
        <w:rPr>
          <w:rFonts w:ascii="Times New Roman" w:hAnsi="Times New Roman" w:eastAsiaTheme="minorEastAsia"/>
          <w:kern w:val="2"/>
          <w:szCs w:val="22"/>
          <w:highlight w:val="none"/>
          <w14:ligatures w14:val="standardContextual"/>
        </w:rPr>
      </w:pPr>
      <w:r>
        <w:rPr>
          <w:highlight w:val="none"/>
        </w:rPr>
        <w:fldChar w:fldCharType="begin"/>
      </w:r>
      <w:r>
        <w:rPr>
          <w:highlight w:val="none"/>
        </w:rPr>
        <w:instrText xml:space="preserve"> HYPERLINK \l "_Toc142573769" </w:instrText>
      </w:r>
      <w:r>
        <w:rPr>
          <w:highlight w:val="none"/>
        </w:rPr>
        <w:fldChar w:fldCharType="separate"/>
      </w:r>
      <w:r>
        <w:rPr>
          <w:rStyle w:val="23"/>
          <w:rFonts w:ascii="Times New Roman" w:hAnsi="Times New Roman"/>
          <w:color w:val="auto"/>
          <w:highlight w:val="none"/>
          <w:u w:val="none"/>
        </w:rPr>
        <w:t>2</w:t>
      </w:r>
      <w:r>
        <w:rPr>
          <w:rFonts w:ascii="Times New Roman" w:hAnsi="Times New Roman" w:eastAsiaTheme="minorEastAsia"/>
          <w:kern w:val="2"/>
          <w:szCs w:val="22"/>
          <w:highlight w:val="none"/>
          <w14:ligatures w14:val="standardContextual"/>
        </w:rPr>
        <w:tab/>
      </w:r>
      <w:r>
        <w:rPr>
          <w:rFonts w:ascii="Times New Roman" w:hAnsi="Times New Roman" w:eastAsiaTheme="minorEastAsia"/>
          <w:kern w:val="2"/>
          <w:szCs w:val="22"/>
          <w:highlight w:val="none"/>
          <w14:ligatures w14:val="standardContextual"/>
        </w:rPr>
        <w:t>Terms</w:t>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_Toc142573769 \h </w:instrText>
      </w:r>
      <w:r>
        <w:rPr>
          <w:rFonts w:ascii="Times New Roman" w:hAnsi="Times New Roman"/>
          <w:highlight w:val="none"/>
        </w:rPr>
        <w:fldChar w:fldCharType="separate"/>
      </w:r>
      <w:r>
        <w:rPr>
          <w:rFonts w:ascii="Times New Roman" w:hAnsi="Times New Roman"/>
          <w:highlight w:val="none"/>
        </w:rPr>
        <w:t>2</w:t>
      </w:r>
      <w:r>
        <w:rPr>
          <w:rFonts w:ascii="Times New Roman" w:hAnsi="Times New Roman"/>
          <w:highlight w:val="none"/>
        </w:rPr>
        <w:fldChar w:fldCharType="end"/>
      </w:r>
      <w:r>
        <w:rPr>
          <w:rFonts w:ascii="Times New Roman" w:hAnsi="Times New Roman"/>
          <w:highlight w:val="none"/>
        </w:rPr>
        <w:fldChar w:fldCharType="end"/>
      </w:r>
    </w:p>
    <w:p w14:paraId="3119D1FE">
      <w:pPr>
        <w:pStyle w:val="14"/>
        <w:tabs>
          <w:tab w:val="left" w:pos="420"/>
        </w:tabs>
        <w:rPr>
          <w:rFonts w:ascii="Times New Roman" w:hAnsi="Times New Roman" w:eastAsiaTheme="minorEastAsia"/>
          <w:kern w:val="2"/>
          <w:szCs w:val="22"/>
          <w:highlight w:val="none"/>
          <w14:ligatures w14:val="standardContextual"/>
        </w:rPr>
      </w:pPr>
      <w:r>
        <w:rPr>
          <w:highlight w:val="none"/>
        </w:rPr>
        <w:fldChar w:fldCharType="begin"/>
      </w:r>
      <w:r>
        <w:rPr>
          <w:highlight w:val="none"/>
        </w:rPr>
        <w:instrText xml:space="preserve"> HYPERLINK \l "_Toc142573770" </w:instrText>
      </w:r>
      <w:r>
        <w:rPr>
          <w:highlight w:val="none"/>
        </w:rPr>
        <w:fldChar w:fldCharType="separate"/>
      </w:r>
      <w:r>
        <w:rPr>
          <w:rStyle w:val="23"/>
          <w:rFonts w:ascii="Times New Roman" w:hAnsi="Times New Roman"/>
          <w:color w:val="auto"/>
          <w:highlight w:val="none"/>
          <w:u w:val="none"/>
        </w:rPr>
        <w:t>3</w:t>
      </w:r>
      <w:r>
        <w:rPr>
          <w:rFonts w:ascii="Times New Roman" w:hAnsi="Times New Roman" w:eastAsiaTheme="minorEastAsia"/>
          <w:kern w:val="2"/>
          <w:szCs w:val="22"/>
          <w:highlight w:val="none"/>
          <w14:ligatures w14:val="standardContextual"/>
        </w:rPr>
        <w:tab/>
      </w:r>
      <w:r>
        <w:rPr>
          <w:rFonts w:ascii="Times New Roman" w:hAnsi="Times New Roman" w:eastAsiaTheme="minorEastAsia"/>
          <w:kern w:val="2"/>
          <w:szCs w:val="22"/>
          <w:highlight w:val="none"/>
          <w14:ligatures w14:val="standardContextual"/>
        </w:rPr>
        <w:t>Basic Requirements</w:t>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_Toc142573770 \h </w:instrText>
      </w:r>
      <w:r>
        <w:rPr>
          <w:rFonts w:ascii="Times New Roman" w:hAnsi="Times New Roman"/>
          <w:highlight w:val="none"/>
        </w:rPr>
        <w:fldChar w:fldCharType="separate"/>
      </w:r>
      <w:r>
        <w:rPr>
          <w:rFonts w:ascii="Times New Roman" w:hAnsi="Times New Roman"/>
          <w:highlight w:val="none"/>
        </w:rPr>
        <w:t>1</w:t>
      </w:r>
      <w:r>
        <w:rPr>
          <w:rFonts w:ascii="Times New Roman" w:hAnsi="Times New Roman"/>
          <w:highlight w:val="none"/>
        </w:rPr>
        <w:fldChar w:fldCharType="end"/>
      </w:r>
      <w:r>
        <w:rPr>
          <w:rFonts w:ascii="Times New Roman" w:hAnsi="Times New Roman"/>
          <w:highlight w:val="none"/>
        </w:rPr>
        <w:fldChar w:fldCharType="end"/>
      </w:r>
    </w:p>
    <w:p w14:paraId="13486A5D">
      <w:pPr>
        <w:pStyle w:val="14"/>
        <w:tabs>
          <w:tab w:val="left" w:pos="420"/>
        </w:tabs>
        <w:rPr>
          <w:rFonts w:ascii="Times New Roman" w:hAnsi="Times New Roman" w:eastAsiaTheme="minorEastAsia"/>
          <w:kern w:val="2"/>
          <w:szCs w:val="22"/>
          <w:highlight w:val="none"/>
          <w14:ligatures w14:val="standardContextual"/>
        </w:rPr>
      </w:pPr>
      <w:r>
        <w:rPr>
          <w:highlight w:val="none"/>
        </w:rPr>
        <w:fldChar w:fldCharType="begin"/>
      </w:r>
      <w:r>
        <w:rPr>
          <w:highlight w:val="none"/>
        </w:rPr>
        <w:instrText xml:space="preserve"> HYPERLINK \l "_Toc142573771" </w:instrText>
      </w:r>
      <w:r>
        <w:rPr>
          <w:highlight w:val="none"/>
        </w:rPr>
        <w:fldChar w:fldCharType="separate"/>
      </w:r>
      <w:r>
        <w:rPr>
          <w:rStyle w:val="23"/>
          <w:rFonts w:ascii="Times New Roman" w:hAnsi="Times New Roman"/>
          <w:color w:val="auto"/>
          <w:highlight w:val="none"/>
          <w:u w:val="none"/>
        </w:rPr>
        <w:t>4</w:t>
      </w:r>
      <w:r>
        <w:rPr>
          <w:rFonts w:ascii="Times New Roman" w:hAnsi="Times New Roman" w:eastAsiaTheme="minorEastAsia"/>
          <w:kern w:val="2"/>
          <w:szCs w:val="22"/>
          <w:highlight w:val="none"/>
          <w14:ligatures w14:val="standardContextual"/>
        </w:rPr>
        <w:tab/>
      </w:r>
      <w:r>
        <w:rPr>
          <w:rStyle w:val="23"/>
          <w:rFonts w:ascii="Times New Roman" w:hAnsi="Times New Roman"/>
          <w:color w:val="auto"/>
          <w:highlight w:val="none"/>
          <w:u w:val="none"/>
        </w:rPr>
        <w:t>Performance requirements</w:t>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_Toc142573771 \h </w:instrText>
      </w:r>
      <w:r>
        <w:rPr>
          <w:rFonts w:ascii="Times New Roman" w:hAnsi="Times New Roman"/>
          <w:highlight w:val="none"/>
        </w:rPr>
        <w:fldChar w:fldCharType="separate"/>
      </w:r>
      <w:r>
        <w:rPr>
          <w:rFonts w:ascii="Times New Roman" w:hAnsi="Times New Roman"/>
          <w:highlight w:val="none"/>
        </w:rPr>
        <w:t>3</w:t>
      </w:r>
      <w:r>
        <w:rPr>
          <w:rFonts w:ascii="Times New Roman" w:hAnsi="Times New Roman"/>
          <w:highlight w:val="none"/>
        </w:rPr>
        <w:fldChar w:fldCharType="end"/>
      </w:r>
      <w:r>
        <w:rPr>
          <w:rFonts w:ascii="Times New Roman" w:hAnsi="Times New Roman"/>
          <w:highlight w:val="none"/>
        </w:rPr>
        <w:fldChar w:fldCharType="end"/>
      </w:r>
    </w:p>
    <w:p w14:paraId="382BF616">
      <w:pPr>
        <w:pStyle w:val="15"/>
        <w:tabs>
          <w:tab w:val="left" w:pos="1050"/>
        </w:tabs>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"_Toc142573772" </w:instrText>
      </w:r>
      <w:r>
        <w:rPr>
          <w:highlight w:val="none"/>
        </w:rPr>
        <w:fldChar w:fldCharType="separate"/>
      </w:r>
      <w:r>
        <w:rPr>
          <w:rStyle w:val="23"/>
          <w:color w:val="auto"/>
          <w:highlight w:val="none"/>
          <w:u w:val="none"/>
        </w:rPr>
        <w:t>4.1</w:t>
      </w:r>
      <w:r>
        <w:rPr>
          <w:rFonts w:eastAsiaTheme="minorEastAsia"/>
          <w:color w:val="auto"/>
          <w:kern w:val="2"/>
          <w:szCs w:val="22"/>
          <w:highlight w:val="none"/>
          <w14:ligatures w14:val="standardContextual"/>
        </w:rPr>
        <w:tab/>
      </w:r>
      <w:r>
        <w:rPr>
          <w:rFonts w:eastAsiaTheme="minorEastAsia"/>
          <w:color w:val="auto"/>
          <w:kern w:val="2"/>
          <w:szCs w:val="22"/>
          <w:highlight w:val="none"/>
          <w14:ligatures w14:val="standardContextual"/>
        </w:rPr>
        <w:t>G</w:t>
      </w:r>
      <w:r>
        <w:rPr>
          <w:rStyle w:val="23"/>
          <w:color w:val="auto"/>
          <w:highlight w:val="none"/>
          <w:u w:val="none"/>
        </w:rPr>
        <w:t>eneral regulation</w:t>
      </w:r>
      <w:r>
        <w:rPr>
          <w:color w:val="auto"/>
          <w:highlight w:val="none"/>
        </w:rPr>
        <w:tab/>
      </w:r>
      <w:r>
        <w:rPr>
          <w:color w:val="auto"/>
          <w:highlight w:val="none"/>
        </w:rPr>
        <w:fldChar w:fldCharType="begin"/>
      </w:r>
      <w:r>
        <w:rPr>
          <w:color w:val="auto"/>
          <w:highlight w:val="none"/>
        </w:rPr>
        <w:instrText xml:space="preserve"> PAGEREF _Toc142573772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55033528">
      <w:pPr>
        <w:pStyle w:val="15"/>
        <w:tabs>
          <w:tab w:val="left" w:pos="1050"/>
        </w:tabs>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"_Toc142573773" </w:instrText>
      </w:r>
      <w:r>
        <w:rPr>
          <w:highlight w:val="none"/>
        </w:rPr>
        <w:fldChar w:fldCharType="separate"/>
      </w:r>
      <w:r>
        <w:rPr>
          <w:rStyle w:val="23"/>
          <w:color w:val="auto"/>
          <w:highlight w:val="none"/>
          <w:u w:val="none"/>
        </w:rPr>
        <w:t>4.2</w:t>
      </w:r>
      <w:r>
        <w:rPr>
          <w:rFonts w:eastAsiaTheme="minorEastAsia"/>
          <w:color w:val="auto"/>
          <w:kern w:val="2"/>
          <w:szCs w:val="22"/>
          <w:highlight w:val="none"/>
          <w14:ligatures w14:val="standardContextual"/>
        </w:rPr>
        <w:tab/>
      </w:r>
      <w:r>
        <w:rPr>
          <w:rStyle w:val="23"/>
          <w:color w:val="auto"/>
          <w:highlight w:val="none"/>
          <w:u w:val="none"/>
        </w:rPr>
        <w:t>System</w:t>
      </w:r>
      <w:r>
        <w:rPr>
          <w:rStyle w:val="23"/>
          <w:rFonts w:hint="eastAsia"/>
          <w:color w:val="auto"/>
          <w:highlight w:val="none"/>
          <w:u w:val="none"/>
          <w:lang w:val="en-US" w:eastAsia="zh-CN"/>
        </w:rPr>
        <w:t xml:space="preserve"> p</w:t>
      </w:r>
      <w:r>
        <w:rPr>
          <w:rStyle w:val="23"/>
          <w:rFonts w:ascii="Times New Roman" w:hAnsi="Times New Roman"/>
          <w:color w:val="auto"/>
          <w:highlight w:val="none"/>
          <w:u w:val="none"/>
        </w:rPr>
        <w:t>erformance</w:t>
      </w:r>
      <w:r>
        <w:rPr>
          <w:color w:val="auto"/>
          <w:highlight w:val="none"/>
        </w:rPr>
        <w:tab/>
      </w:r>
      <w:r>
        <w:rPr>
          <w:color w:val="auto"/>
          <w:highlight w:val="none"/>
        </w:rPr>
        <w:fldChar w:fldCharType="begin"/>
      </w:r>
      <w:r>
        <w:rPr>
          <w:color w:val="auto"/>
          <w:highlight w:val="none"/>
        </w:rPr>
        <w:instrText xml:space="preserve"> PAGEREF _Toc142573773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421A50C9">
      <w:pPr>
        <w:pStyle w:val="15"/>
        <w:tabs>
          <w:tab w:val="left" w:pos="1050"/>
        </w:tabs>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"_Toc142573774" </w:instrText>
      </w:r>
      <w:r>
        <w:rPr>
          <w:highlight w:val="none"/>
        </w:rPr>
        <w:fldChar w:fldCharType="separate"/>
      </w:r>
      <w:r>
        <w:rPr>
          <w:rStyle w:val="23"/>
          <w:color w:val="auto"/>
          <w:highlight w:val="none"/>
          <w:u w:val="none"/>
        </w:rPr>
        <w:t>4.3</w:t>
      </w:r>
      <w:r>
        <w:rPr>
          <w:rFonts w:eastAsiaTheme="minorEastAsia"/>
          <w:color w:val="auto"/>
          <w:kern w:val="2"/>
          <w:szCs w:val="22"/>
          <w:highlight w:val="none"/>
          <w14:ligatures w14:val="standardContextual"/>
        </w:rPr>
        <w:tab/>
      </w:r>
      <w:r>
        <w:rPr>
          <w:rStyle w:val="23"/>
          <w:color w:val="auto"/>
          <w:highlight w:val="none"/>
          <w:u w:val="none"/>
        </w:rPr>
        <w:t>Insulation material</w:t>
      </w:r>
      <w:r>
        <w:rPr>
          <w:rStyle w:val="23"/>
          <w:rFonts w:hint="eastAsia"/>
          <w:color w:val="auto"/>
          <w:highlight w:val="none"/>
          <w:u w:val="none"/>
        </w:rPr>
        <w:t>s</w:t>
      </w:r>
      <w:r>
        <w:rPr>
          <w:color w:val="auto"/>
          <w:highlight w:val="none"/>
        </w:rPr>
        <w:tab/>
      </w:r>
      <w:r>
        <w:rPr>
          <w:color w:val="auto"/>
          <w:highlight w:val="none"/>
        </w:rPr>
        <w:fldChar w:fldCharType="begin"/>
      </w:r>
      <w:r>
        <w:rPr>
          <w:color w:val="auto"/>
          <w:highlight w:val="none"/>
        </w:rPr>
        <w:instrText xml:space="preserve"> PAGEREF _Toc142573774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03FFD695">
      <w:pPr>
        <w:pStyle w:val="15"/>
        <w:tabs>
          <w:tab w:val="left" w:pos="1050"/>
        </w:tabs>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"_Toc142573775" </w:instrText>
      </w:r>
      <w:r>
        <w:rPr>
          <w:highlight w:val="none"/>
        </w:rPr>
        <w:fldChar w:fldCharType="separate"/>
      </w:r>
      <w:r>
        <w:rPr>
          <w:rStyle w:val="23"/>
          <w:color w:val="auto"/>
          <w:highlight w:val="none"/>
          <w:u w:val="none"/>
        </w:rPr>
        <w:t>4.4</w:t>
      </w:r>
      <w:r>
        <w:rPr>
          <w:rFonts w:eastAsiaTheme="minorEastAsia"/>
          <w:color w:val="auto"/>
          <w:kern w:val="2"/>
          <w:szCs w:val="22"/>
          <w:highlight w:val="none"/>
          <w14:ligatures w14:val="standardContextual"/>
        </w:rPr>
        <w:tab/>
      </w:r>
      <w:r>
        <w:rPr>
          <w:rStyle w:val="23"/>
          <w:color w:val="auto"/>
          <w:highlight w:val="none"/>
          <w:u w:val="none"/>
        </w:rPr>
        <w:t>Supporting material</w:t>
      </w:r>
      <w:r>
        <w:rPr>
          <w:rStyle w:val="23"/>
          <w:rFonts w:hint="eastAsia"/>
          <w:color w:val="auto"/>
          <w:highlight w:val="none"/>
          <w:u w:val="none"/>
        </w:rPr>
        <w:t>s</w:t>
      </w:r>
      <w:r>
        <w:rPr>
          <w:color w:val="auto"/>
          <w:highlight w:val="none"/>
        </w:rPr>
        <w:tab/>
      </w:r>
      <w:r>
        <w:rPr>
          <w:color w:val="auto"/>
          <w:highlight w:val="none"/>
        </w:rPr>
        <w:fldChar w:fldCharType="begin"/>
      </w:r>
      <w:r>
        <w:rPr>
          <w:color w:val="auto"/>
          <w:highlight w:val="none"/>
        </w:rPr>
        <w:instrText xml:space="preserve"> PAGEREF _Toc142573775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5701C960">
      <w:pPr>
        <w:pStyle w:val="14"/>
        <w:tabs>
          <w:tab w:val="left" w:pos="420"/>
        </w:tabs>
        <w:rPr>
          <w:rFonts w:ascii="Times New Roman" w:hAnsi="Times New Roman" w:eastAsiaTheme="minorEastAsia"/>
          <w:kern w:val="2"/>
          <w:szCs w:val="22"/>
          <w:highlight w:val="none"/>
          <w14:ligatures w14:val="standardContextual"/>
        </w:rPr>
      </w:pPr>
      <w:r>
        <w:rPr>
          <w:highlight w:val="none"/>
        </w:rPr>
        <w:fldChar w:fldCharType="begin"/>
      </w:r>
      <w:r>
        <w:rPr>
          <w:highlight w:val="none"/>
        </w:rPr>
        <w:instrText xml:space="preserve"> HYPERLINK \l "_Toc142573776" </w:instrText>
      </w:r>
      <w:r>
        <w:rPr>
          <w:highlight w:val="none"/>
        </w:rPr>
        <w:fldChar w:fldCharType="separate"/>
      </w:r>
      <w:r>
        <w:rPr>
          <w:rStyle w:val="23"/>
          <w:rFonts w:ascii="Times New Roman" w:hAnsi="Times New Roman"/>
          <w:color w:val="auto"/>
          <w:highlight w:val="none"/>
          <w:u w:val="none"/>
        </w:rPr>
        <w:t>5</w:t>
      </w:r>
      <w:r>
        <w:rPr>
          <w:rFonts w:ascii="Times New Roman" w:hAnsi="Times New Roman" w:eastAsiaTheme="minorEastAsia"/>
          <w:kern w:val="2"/>
          <w:szCs w:val="22"/>
          <w:highlight w:val="none"/>
          <w14:ligatures w14:val="standardContextual"/>
        </w:rPr>
        <w:tab/>
      </w:r>
      <w:r>
        <w:rPr>
          <w:rFonts w:ascii="Times New Roman" w:hAnsi="Times New Roman"/>
          <w:color w:val="000000"/>
          <w:highlight w:val="none"/>
        </w:rPr>
        <w:t>Design</w:t>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_Toc142573776 \h </w:instrText>
      </w:r>
      <w:r>
        <w:rPr>
          <w:rFonts w:ascii="Times New Roman" w:hAnsi="Times New Roman"/>
          <w:highlight w:val="none"/>
        </w:rPr>
        <w:fldChar w:fldCharType="separate"/>
      </w:r>
      <w:r>
        <w:rPr>
          <w:rFonts w:ascii="Times New Roman" w:hAnsi="Times New Roman"/>
          <w:highlight w:val="none"/>
        </w:rPr>
        <w:t>18</w:t>
      </w:r>
      <w:r>
        <w:rPr>
          <w:rFonts w:ascii="Times New Roman" w:hAnsi="Times New Roman"/>
          <w:highlight w:val="none"/>
        </w:rPr>
        <w:fldChar w:fldCharType="end"/>
      </w:r>
      <w:r>
        <w:rPr>
          <w:rFonts w:ascii="Times New Roman" w:hAnsi="Times New Roman"/>
          <w:highlight w:val="none"/>
        </w:rPr>
        <w:fldChar w:fldCharType="end"/>
      </w:r>
    </w:p>
    <w:p w14:paraId="75F528ED">
      <w:pPr>
        <w:pStyle w:val="15"/>
        <w:tabs>
          <w:tab w:val="left" w:pos="1050"/>
        </w:tabs>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"_Toc142573777" </w:instrText>
      </w:r>
      <w:r>
        <w:rPr>
          <w:highlight w:val="none"/>
        </w:rPr>
        <w:fldChar w:fldCharType="separate"/>
      </w:r>
      <w:r>
        <w:rPr>
          <w:rStyle w:val="23"/>
          <w:color w:val="auto"/>
          <w:highlight w:val="none"/>
          <w:u w:val="none"/>
        </w:rPr>
        <w:t>5.1</w:t>
      </w:r>
      <w:r>
        <w:rPr>
          <w:rFonts w:eastAsiaTheme="minorEastAsia"/>
          <w:color w:val="auto"/>
          <w:kern w:val="2"/>
          <w:szCs w:val="22"/>
          <w:highlight w:val="none"/>
          <w14:ligatures w14:val="standardContextual"/>
        </w:rPr>
        <w:tab/>
      </w:r>
      <w:r>
        <w:rPr>
          <w:rStyle w:val="23"/>
          <w:color w:val="auto"/>
          <w:highlight w:val="none"/>
          <w:u w:val="none"/>
        </w:rPr>
        <w:t>General regulation</w:t>
      </w:r>
      <w:r>
        <w:rPr>
          <w:color w:val="auto"/>
          <w:highlight w:val="none"/>
        </w:rPr>
        <w:tab/>
      </w:r>
      <w:r>
        <w:rPr>
          <w:color w:val="auto"/>
          <w:highlight w:val="none"/>
        </w:rPr>
        <w:fldChar w:fldCharType="begin"/>
      </w:r>
      <w:r>
        <w:rPr>
          <w:color w:val="auto"/>
          <w:highlight w:val="none"/>
        </w:rPr>
        <w:instrText xml:space="preserve"> PAGEREF _Toc142573777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14:paraId="34BE3F36">
      <w:pPr>
        <w:pStyle w:val="15"/>
        <w:tabs>
          <w:tab w:val="left" w:pos="1050"/>
        </w:tabs>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"_Toc142573778" </w:instrText>
      </w:r>
      <w:r>
        <w:rPr>
          <w:highlight w:val="none"/>
        </w:rPr>
        <w:fldChar w:fldCharType="separate"/>
      </w:r>
      <w:r>
        <w:rPr>
          <w:rStyle w:val="23"/>
          <w:color w:val="auto"/>
          <w:highlight w:val="none"/>
          <w:u w:val="none"/>
        </w:rPr>
        <w:t>5.2</w:t>
      </w:r>
      <w:r>
        <w:rPr>
          <w:rFonts w:eastAsiaTheme="minorEastAsia"/>
          <w:color w:val="auto"/>
          <w:kern w:val="2"/>
          <w:szCs w:val="22"/>
          <w:highlight w:val="none"/>
          <w14:ligatures w14:val="standardContextual"/>
        </w:rPr>
        <w:tab/>
      </w:r>
      <w:r>
        <w:rPr>
          <w:rStyle w:val="23"/>
          <w:color w:val="auto"/>
          <w:highlight w:val="none"/>
          <w:u w:val="none"/>
        </w:rPr>
        <w:t>Wind load resistance design</w:t>
      </w:r>
      <w:r>
        <w:rPr>
          <w:color w:val="auto"/>
          <w:highlight w:val="none"/>
        </w:rPr>
        <w:tab/>
      </w:r>
      <w:r>
        <w:rPr>
          <w:color w:val="auto"/>
          <w:highlight w:val="none"/>
        </w:rPr>
        <w:fldChar w:fldCharType="begin"/>
      </w:r>
      <w:r>
        <w:rPr>
          <w:color w:val="auto"/>
          <w:highlight w:val="none"/>
        </w:rPr>
        <w:instrText xml:space="preserve"> PAGEREF _Toc142573778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54ABB4CE">
      <w:pPr>
        <w:pStyle w:val="15"/>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"_Toc142573779" </w:instrText>
      </w:r>
      <w:r>
        <w:rPr>
          <w:highlight w:val="none"/>
        </w:rPr>
        <w:fldChar w:fldCharType="separate"/>
      </w:r>
      <w:r>
        <w:rPr>
          <w:rStyle w:val="23"/>
          <w:color w:val="auto"/>
          <w:highlight w:val="none"/>
          <w:u w:val="none"/>
        </w:rPr>
        <w:t xml:space="preserve">5.3    </w:t>
      </w:r>
      <w:r>
        <w:rPr>
          <w:rFonts w:eastAsiaTheme="minorEastAsia"/>
          <w:color w:val="auto"/>
          <w:kern w:val="2"/>
          <w:szCs w:val="22"/>
          <w:highlight w:val="none"/>
          <w14:ligatures w14:val="standardContextual"/>
        </w:rPr>
        <w:tab/>
      </w:r>
      <w:r>
        <w:rPr>
          <w:rFonts w:eastAsiaTheme="minorEastAsia"/>
          <w:color w:val="auto"/>
          <w:kern w:val="2"/>
          <w:szCs w:val="22"/>
          <w:highlight w:val="none"/>
          <w14:ligatures w14:val="standardContextual"/>
        </w:rPr>
        <w:t xml:space="preserve">External </w:t>
      </w:r>
      <w:r>
        <w:rPr>
          <w:rFonts w:ascii="Times-Roman" w:hAnsi="Times-Roman"/>
          <w:color w:val="000000"/>
          <w:highlight w:val="none"/>
        </w:rPr>
        <w:t xml:space="preserve">thermal </w:t>
      </w:r>
      <w:r>
        <w:rPr>
          <w:rFonts w:eastAsiaTheme="minorEastAsia"/>
          <w:color w:val="auto"/>
          <w:kern w:val="2"/>
          <w:szCs w:val="22"/>
          <w:highlight w:val="none"/>
          <w14:ligatures w14:val="standardContextual"/>
        </w:rPr>
        <w:t>insulation system based on set of double vacuum insulation panel</w:t>
      </w:r>
      <w:r>
        <w:rPr>
          <w:highlight w:val="none"/>
        </w:rPr>
        <w:t xml:space="preserve"> </w:t>
      </w:r>
      <w:r>
        <w:rPr>
          <w:rStyle w:val="23"/>
          <w:color w:val="auto"/>
          <w:highlight w:val="none"/>
          <w:u w:val="none"/>
        </w:rPr>
        <w:t>design</w:t>
      </w:r>
      <w:r>
        <w:rPr>
          <w:color w:val="auto"/>
          <w:highlight w:val="none"/>
        </w:rPr>
        <w:tab/>
      </w:r>
      <w:r>
        <w:rPr>
          <w:color w:val="auto"/>
          <w:highlight w:val="none"/>
        </w:rPr>
        <w:t xml:space="preserve"> </w:t>
      </w:r>
      <w:r>
        <w:rPr>
          <w:color w:val="auto"/>
          <w:highlight w:val="none"/>
        </w:rPr>
        <w:fldChar w:fldCharType="begin"/>
      </w:r>
      <w:r>
        <w:rPr>
          <w:color w:val="auto"/>
          <w:highlight w:val="none"/>
        </w:rPr>
        <w:instrText xml:space="preserve"> PAGEREF _Toc142573779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3FD6CE7F">
      <w:pPr>
        <w:pStyle w:val="15"/>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"_Toc142573780" </w:instrText>
      </w:r>
      <w:r>
        <w:rPr>
          <w:highlight w:val="none"/>
        </w:rPr>
        <w:fldChar w:fldCharType="separate"/>
      </w:r>
      <w:r>
        <w:rPr>
          <w:rStyle w:val="23"/>
          <w:color w:val="auto"/>
          <w:highlight w:val="none"/>
          <w:u w:val="none"/>
        </w:rPr>
        <w:t xml:space="preserve">5.4    </w:t>
      </w:r>
      <w:r>
        <w:rPr>
          <w:rFonts w:eastAsiaTheme="minorEastAsia"/>
          <w:color w:val="auto"/>
          <w:kern w:val="2"/>
          <w:szCs w:val="22"/>
          <w:highlight w:val="none"/>
          <w14:ligatures w14:val="standardContextual"/>
        </w:rPr>
        <w:tab/>
      </w:r>
      <w:r>
        <w:rPr>
          <w:rFonts w:eastAsiaTheme="minorEastAsia"/>
          <w:color w:val="auto"/>
          <w:kern w:val="2"/>
          <w:szCs w:val="22"/>
          <w:highlight w:val="none"/>
          <w14:ligatures w14:val="standardContextual"/>
        </w:rPr>
        <w:t>Inter</w:t>
      </w:r>
      <w:r>
        <w:rPr>
          <w:rFonts w:hint="eastAsia" w:eastAsiaTheme="minorEastAsia"/>
          <w:color w:val="auto"/>
          <w:kern w:val="2"/>
          <w:szCs w:val="22"/>
          <w:highlight w:val="none"/>
          <w14:ligatures w14:val="standardContextual"/>
        </w:rPr>
        <w:t>nal</w:t>
      </w:r>
      <w:r>
        <w:rPr>
          <w:rFonts w:eastAsiaTheme="minorEastAsia"/>
          <w:color w:val="auto"/>
          <w:kern w:val="2"/>
          <w:szCs w:val="22"/>
          <w:highlight w:val="none"/>
          <w14:ligatures w14:val="standardContextual"/>
        </w:rPr>
        <w:t xml:space="preserve"> thermal insulation system based on set of double vacuum insulation panel design</w:t>
      </w:r>
      <w:r>
        <w:rPr>
          <w:color w:val="auto"/>
          <w:highlight w:val="none"/>
        </w:rPr>
        <w:tab/>
      </w:r>
      <w:r>
        <w:rPr>
          <w:color w:val="auto"/>
          <w:highlight w:val="none"/>
        </w:rPr>
        <w:t xml:space="preserve"> </w:t>
      </w:r>
      <w:r>
        <w:rPr>
          <w:color w:val="auto"/>
          <w:highlight w:val="none"/>
        </w:rPr>
        <w:fldChar w:fldCharType="begin"/>
      </w:r>
      <w:r>
        <w:rPr>
          <w:color w:val="auto"/>
          <w:highlight w:val="none"/>
        </w:rPr>
        <w:instrText xml:space="preserve"> PAGEREF _Toc142573780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6BA98A74">
      <w:pPr>
        <w:pStyle w:val="15"/>
        <w:tabs>
          <w:tab w:val="left" w:pos="1050"/>
        </w:tabs>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"_Toc142573781" </w:instrText>
      </w:r>
      <w:r>
        <w:rPr>
          <w:highlight w:val="none"/>
        </w:rPr>
        <w:fldChar w:fldCharType="separate"/>
      </w:r>
      <w:r>
        <w:rPr>
          <w:rStyle w:val="23"/>
          <w:color w:val="auto"/>
          <w:highlight w:val="none"/>
          <w:u w:val="none"/>
        </w:rPr>
        <w:t>5.5</w:t>
      </w:r>
      <w:r>
        <w:rPr>
          <w:rFonts w:eastAsiaTheme="minorEastAsia"/>
          <w:color w:val="auto"/>
          <w:kern w:val="2"/>
          <w:szCs w:val="22"/>
          <w:highlight w:val="none"/>
          <w14:ligatures w14:val="standardContextual"/>
        </w:rPr>
        <w:tab/>
      </w:r>
      <w:r>
        <w:rPr>
          <w:rFonts w:eastAsiaTheme="minorEastAsia"/>
          <w:color w:val="auto"/>
          <w:kern w:val="2"/>
          <w:szCs w:val="22"/>
          <w:highlight w:val="none"/>
          <w14:ligatures w14:val="standardContextual"/>
        </w:rPr>
        <w:tab/>
      </w:r>
      <w:r>
        <w:rPr>
          <w:rFonts w:eastAsiaTheme="minorEastAsia"/>
          <w:color w:val="auto"/>
          <w:kern w:val="2"/>
          <w:szCs w:val="22"/>
          <w:highlight w:val="none"/>
          <w14:ligatures w14:val="standardContextual"/>
        </w:rPr>
        <w:t xml:space="preserve">External thermal insulation system based on set of double vacuum insulation decorative panel design </w:t>
      </w:r>
      <w:r>
        <w:rPr>
          <w:color w:val="auto"/>
          <w:highlight w:val="none"/>
        </w:rPr>
        <w:tab/>
      </w:r>
      <w:r>
        <w:rPr>
          <w:color w:val="auto"/>
          <w:highlight w:val="none"/>
        </w:rPr>
        <w:fldChar w:fldCharType="begin"/>
      </w:r>
      <w:r>
        <w:rPr>
          <w:color w:val="auto"/>
          <w:highlight w:val="none"/>
        </w:rPr>
        <w:instrText xml:space="preserve"> PAGEREF _Toc142573781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7CBD713B">
      <w:pPr>
        <w:pStyle w:val="15"/>
        <w:tabs>
          <w:tab w:val="left" w:pos="1050"/>
        </w:tabs>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"_Toc142573782" </w:instrText>
      </w:r>
      <w:r>
        <w:rPr>
          <w:highlight w:val="none"/>
        </w:rPr>
        <w:fldChar w:fldCharType="separate"/>
      </w:r>
      <w:r>
        <w:rPr>
          <w:rStyle w:val="23"/>
          <w:color w:val="auto"/>
          <w:highlight w:val="none"/>
          <w:u w:val="none"/>
        </w:rPr>
        <w:t>5.6</w:t>
      </w:r>
      <w:r>
        <w:rPr>
          <w:rFonts w:eastAsiaTheme="minorEastAsia"/>
          <w:color w:val="auto"/>
          <w:kern w:val="2"/>
          <w:szCs w:val="22"/>
          <w:highlight w:val="none"/>
          <w14:ligatures w14:val="standardContextual"/>
        </w:rPr>
        <w:tab/>
      </w:r>
      <w:r>
        <w:rPr>
          <w:rFonts w:eastAsiaTheme="minorEastAsia"/>
          <w:color w:val="auto"/>
          <w:kern w:val="2"/>
          <w:szCs w:val="22"/>
          <w:highlight w:val="none"/>
          <w14:ligatures w14:val="standardContextual"/>
        </w:rPr>
        <w:tab/>
      </w:r>
      <w:r>
        <w:rPr>
          <w:rFonts w:eastAsiaTheme="minorEastAsia"/>
          <w:color w:val="auto"/>
          <w:kern w:val="2"/>
          <w:szCs w:val="22"/>
          <w:highlight w:val="none"/>
          <w14:ligatures w14:val="standardContextual"/>
        </w:rPr>
        <w:t>Internal thermal insulation system based on</w:t>
      </w:r>
      <w:r>
        <w:rPr>
          <w:highlight w:val="none"/>
        </w:rPr>
        <w:t xml:space="preserve"> </w:t>
      </w:r>
      <w:r>
        <w:rPr>
          <w:rFonts w:eastAsiaTheme="minorEastAsia"/>
          <w:color w:val="auto"/>
          <w:kern w:val="2"/>
          <w:szCs w:val="22"/>
          <w:highlight w:val="none"/>
          <w14:ligatures w14:val="standardContextual"/>
        </w:rPr>
        <w:t>set of double vacuum insulation decorative panel</w:t>
      </w:r>
      <w:r>
        <w:rPr>
          <w:highlight w:val="none"/>
        </w:rPr>
        <w:t xml:space="preserve"> </w:t>
      </w:r>
      <w:r>
        <w:rPr>
          <w:rFonts w:eastAsiaTheme="minorEastAsia"/>
          <w:color w:val="auto"/>
          <w:kern w:val="2"/>
          <w:szCs w:val="22"/>
          <w:highlight w:val="none"/>
          <w14:ligatures w14:val="standardContextual"/>
        </w:rPr>
        <w:t xml:space="preserve">design </w:t>
      </w:r>
      <w:r>
        <w:rPr>
          <w:color w:val="auto"/>
          <w:highlight w:val="none"/>
        </w:rPr>
        <w:tab/>
      </w:r>
      <w:r>
        <w:rPr>
          <w:color w:val="auto"/>
          <w:highlight w:val="none"/>
        </w:rPr>
        <w:fldChar w:fldCharType="begin"/>
      </w:r>
      <w:r>
        <w:rPr>
          <w:color w:val="auto"/>
          <w:highlight w:val="none"/>
        </w:rPr>
        <w:instrText xml:space="preserve"> PAGEREF _Toc142573782 \h </w:instrText>
      </w:r>
      <w:r>
        <w:rPr>
          <w:color w:val="auto"/>
          <w:highlight w:val="none"/>
        </w:rPr>
        <w:fldChar w:fldCharType="separate"/>
      </w:r>
      <w:r>
        <w:rPr>
          <w:color w:val="auto"/>
          <w:highlight w:val="none"/>
        </w:rPr>
        <w:t>28</w:t>
      </w:r>
      <w:r>
        <w:rPr>
          <w:color w:val="auto"/>
          <w:highlight w:val="none"/>
        </w:rPr>
        <w:fldChar w:fldCharType="end"/>
      </w:r>
      <w:r>
        <w:rPr>
          <w:color w:val="auto"/>
          <w:highlight w:val="none"/>
        </w:rPr>
        <w:fldChar w:fldCharType="end"/>
      </w:r>
    </w:p>
    <w:p w14:paraId="55B4F377">
      <w:pPr>
        <w:pStyle w:val="14"/>
        <w:tabs>
          <w:tab w:val="left" w:pos="420"/>
        </w:tabs>
        <w:rPr>
          <w:rFonts w:ascii="Times New Roman" w:hAnsi="Times New Roman" w:eastAsiaTheme="minorEastAsia"/>
          <w:kern w:val="2"/>
          <w:szCs w:val="22"/>
          <w:highlight w:val="none"/>
          <w14:ligatures w14:val="standardContextual"/>
        </w:rPr>
      </w:pPr>
      <w:r>
        <w:rPr>
          <w:highlight w:val="none"/>
        </w:rPr>
        <w:fldChar w:fldCharType="begin"/>
      </w:r>
      <w:r>
        <w:rPr>
          <w:highlight w:val="none"/>
        </w:rPr>
        <w:instrText xml:space="preserve"> HYPERLINK \l "_Toc142573783" </w:instrText>
      </w:r>
      <w:r>
        <w:rPr>
          <w:highlight w:val="none"/>
        </w:rPr>
        <w:fldChar w:fldCharType="separate"/>
      </w:r>
      <w:r>
        <w:rPr>
          <w:rStyle w:val="23"/>
          <w:rFonts w:ascii="Times New Roman" w:hAnsi="Times New Roman"/>
          <w:color w:val="auto"/>
          <w:highlight w:val="none"/>
          <w:u w:val="none"/>
        </w:rPr>
        <w:t>6</w:t>
      </w:r>
      <w:r>
        <w:rPr>
          <w:rFonts w:ascii="Times New Roman" w:hAnsi="Times New Roman" w:eastAsiaTheme="minorEastAsia"/>
          <w:kern w:val="2"/>
          <w:szCs w:val="22"/>
          <w:highlight w:val="none"/>
          <w14:ligatures w14:val="standardContextual"/>
        </w:rPr>
        <w:tab/>
      </w:r>
      <w:r>
        <w:rPr>
          <w:rFonts w:ascii="Times New Roman" w:hAnsi="Times New Roman"/>
          <w:color w:val="000000"/>
          <w:highlight w:val="none"/>
        </w:rPr>
        <w:t>Construction technology</w:t>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_Toc142573783 \h </w:instrText>
      </w:r>
      <w:r>
        <w:rPr>
          <w:rFonts w:ascii="Times New Roman" w:hAnsi="Times New Roman"/>
          <w:highlight w:val="none"/>
        </w:rPr>
        <w:fldChar w:fldCharType="separate"/>
      </w:r>
      <w:r>
        <w:rPr>
          <w:rFonts w:ascii="Times New Roman" w:hAnsi="Times New Roman"/>
          <w:highlight w:val="none"/>
        </w:rPr>
        <w:t>31</w:t>
      </w:r>
      <w:r>
        <w:rPr>
          <w:rFonts w:ascii="Times New Roman" w:hAnsi="Times New Roman"/>
          <w:highlight w:val="none"/>
        </w:rPr>
        <w:fldChar w:fldCharType="end"/>
      </w:r>
      <w:r>
        <w:rPr>
          <w:rFonts w:ascii="Times New Roman" w:hAnsi="Times New Roman"/>
          <w:highlight w:val="none"/>
        </w:rPr>
        <w:fldChar w:fldCharType="end"/>
      </w:r>
    </w:p>
    <w:p w14:paraId="1FB157CB">
      <w:pPr>
        <w:pStyle w:val="15"/>
        <w:tabs>
          <w:tab w:val="left" w:pos="1050"/>
        </w:tabs>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"_Toc142573784" </w:instrText>
      </w:r>
      <w:r>
        <w:rPr>
          <w:highlight w:val="none"/>
        </w:rPr>
        <w:fldChar w:fldCharType="separate"/>
      </w:r>
      <w:r>
        <w:rPr>
          <w:rStyle w:val="23"/>
          <w:color w:val="auto"/>
          <w:highlight w:val="none"/>
          <w:u w:val="none"/>
        </w:rPr>
        <w:t>6.1</w:t>
      </w:r>
      <w:r>
        <w:rPr>
          <w:rFonts w:eastAsiaTheme="minorEastAsia"/>
          <w:color w:val="auto"/>
          <w:kern w:val="2"/>
          <w:szCs w:val="22"/>
          <w:highlight w:val="none"/>
          <w14:ligatures w14:val="standardContextual"/>
        </w:rPr>
        <w:tab/>
      </w:r>
      <w:r>
        <w:rPr>
          <w:rStyle w:val="23"/>
          <w:color w:val="auto"/>
          <w:highlight w:val="none"/>
          <w:u w:val="none"/>
        </w:rPr>
        <w:t>General regulation</w:t>
      </w:r>
      <w:r>
        <w:rPr>
          <w:color w:val="auto"/>
          <w:highlight w:val="none"/>
        </w:rPr>
        <w:tab/>
      </w:r>
      <w:r>
        <w:rPr>
          <w:color w:val="auto"/>
          <w:highlight w:val="none"/>
        </w:rPr>
        <w:fldChar w:fldCharType="begin"/>
      </w:r>
      <w:r>
        <w:rPr>
          <w:color w:val="auto"/>
          <w:highlight w:val="none"/>
        </w:rPr>
        <w:instrText xml:space="preserve"> PAGEREF _Toc142573784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14:paraId="5FAE0348">
      <w:pPr>
        <w:pStyle w:val="15"/>
        <w:tabs>
          <w:tab w:val="left" w:pos="1050"/>
        </w:tabs>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"_Toc142573785" </w:instrText>
      </w:r>
      <w:r>
        <w:rPr>
          <w:highlight w:val="none"/>
        </w:rPr>
        <w:fldChar w:fldCharType="separate"/>
      </w:r>
      <w:r>
        <w:rPr>
          <w:rStyle w:val="23"/>
          <w:color w:val="auto"/>
          <w:highlight w:val="none"/>
          <w:u w:val="none"/>
        </w:rPr>
        <w:t>6.2</w:t>
      </w:r>
      <w:r>
        <w:rPr>
          <w:rFonts w:eastAsiaTheme="minorEastAsia"/>
          <w:color w:val="auto"/>
          <w:kern w:val="2"/>
          <w:szCs w:val="22"/>
          <w:highlight w:val="none"/>
          <w14:ligatures w14:val="standardContextual"/>
        </w:rPr>
        <w:tab/>
      </w:r>
      <w:r>
        <w:rPr>
          <w:rFonts w:eastAsiaTheme="minorEastAsia"/>
          <w:color w:val="auto"/>
          <w:kern w:val="2"/>
          <w:szCs w:val="22"/>
          <w:highlight w:val="none"/>
          <w14:ligatures w14:val="standardContextual"/>
        </w:rPr>
        <w:t>Engineering of external thermal insulation</w:t>
      </w:r>
      <w:r>
        <w:rPr>
          <w:highlight w:val="none"/>
        </w:rPr>
        <w:t xml:space="preserve"> </w:t>
      </w:r>
      <w:r>
        <w:rPr>
          <w:rFonts w:eastAsiaTheme="minorEastAsia"/>
          <w:color w:val="auto"/>
          <w:kern w:val="2"/>
          <w:szCs w:val="22"/>
          <w:highlight w:val="none"/>
          <w14:ligatures w14:val="standardContextual"/>
        </w:rPr>
        <w:t>based on set of double vacuum insulation panel</w:t>
      </w:r>
      <w:r>
        <w:rPr>
          <w:rFonts w:hint="eastAsia" w:eastAsiaTheme="minorEastAsia"/>
          <w:color w:val="auto"/>
          <w:kern w:val="2"/>
          <w:szCs w:val="22"/>
          <w:highlight w:val="none"/>
          <w14:ligatures w14:val="standardContextual"/>
        </w:rPr>
        <w:t xml:space="preserve"> </w:t>
      </w:r>
      <w:r>
        <w:rPr>
          <w:rFonts w:eastAsiaTheme="minorEastAsia"/>
          <w:color w:val="auto"/>
          <w:kern w:val="2"/>
          <w:szCs w:val="22"/>
          <w:highlight w:val="none"/>
          <w14:ligatures w14:val="standardContextual"/>
        </w:rPr>
        <w:t xml:space="preserve"> </w:t>
      </w:r>
      <w:r>
        <w:rPr>
          <w:color w:val="auto"/>
          <w:highlight w:val="none"/>
        </w:rPr>
        <w:tab/>
      </w:r>
      <w:r>
        <w:rPr>
          <w:color w:val="auto"/>
          <w:highlight w:val="none"/>
        </w:rPr>
        <w:fldChar w:fldCharType="begin"/>
      </w:r>
      <w:r>
        <w:rPr>
          <w:color w:val="auto"/>
          <w:highlight w:val="none"/>
        </w:rPr>
        <w:instrText xml:space="preserve"> PAGEREF _Toc142573785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615555F9">
      <w:pPr>
        <w:pStyle w:val="15"/>
        <w:tabs>
          <w:tab w:val="left" w:pos="1050"/>
        </w:tabs>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"_Toc142573786" </w:instrText>
      </w:r>
      <w:r>
        <w:rPr>
          <w:highlight w:val="none"/>
        </w:rPr>
        <w:fldChar w:fldCharType="separate"/>
      </w:r>
      <w:r>
        <w:rPr>
          <w:rStyle w:val="23"/>
          <w:color w:val="auto"/>
          <w:highlight w:val="none"/>
          <w:u w:val="none"/>
        </w:rPr>
        <w:t>6.3</w:t>
      </w:r>
      <w:r>
        <w:rPr>
          <w:rFonts w:eastAsiaTheme="minorEastAsia"/>
          <w:color w:val="auto"/>
          <w:kern w:val="2"/>
          <w:szCs w:val="22"/>
          <w:highlight w:val="none"/>
          <w14:ligatures w14:val="standardContextual"/>
        </w:rPr>
        <w:tab/>
      </w:r>
      <w:r>
        <w:rPr>
          <w:rFonts w:eastAsiaTheme="minorEastAsia"/>
          <w:color w:val="auto"/>
          <w:kern w:val="2"/>
          <w:szCs w:val="22"/>
          <w:highlight w:val="none"/>
          <w14:ligatures w14:val="standardContextual"/>
        </w:rPr>
        <w:t>Engineering of</w:t>
      </w:r>
      <w:r>
        <w:rPr>
          <w:highlight w:val="none"/>
        </w:rPr>
        <w:t xml:space="preserve"> </w:t>
      </w:r>
      <w:r>
        <w:rPr>
          <w:rFonts w:eastAsiaTheme="minorEastAsia"/>
          <w:color w:val="auto"/>
          <w:kern w:val="2"/>
          <w:szCs w:val="22"/>
          <w:highlight w:val="none"/>
          <w14:ligatures w14:val="standardContextual"/>
        </w:rPr>
        <w:t>internal thermal insulation based on set of double vacuum insulation decorative panel</w:t>
      </w:r>
      <w:r>
        <w:rPr>
          <w:rFonts w:hint="eastAsia" w:eastAsiaTheme="minorEastAsia"/>
          <w:color w:val="auto"/>
          <w:kern w:val="2"/>
          <w:szCs w:val="22"/>
          <w:highlight w:val="none"/>
          <w14:ligatures w14:val="standardContextual"/>
        </w:rPr>
        <w:t xml:space="preserve"> </w:t>
      </w:r>
      <w:r>
        <w:rPr>
          <w:rFonts w:eastAsiaTheme="minorEastAsia"/>
          <w:color w:val="auto"/>
          <w:kern w:val="2"/>
          <w:szCs w:val="22"/>
          <w:highlight w:val="none"/>
          <w14:ligatures w14:val="standardContextual"/>
        </w:rPr>
        <w:t xml:space="preserve"> </w:t>
      </w:r>
      <w:r>
        <w:rPr>
          <w:color w:val="auto"/>
          <w:highlight w:val="none"/>
        </w:rPr>
        <w:tab/>
      </w:r>
      <w:r>
        <w:rPr>
          <w:color w:val="auto"/>
          <w:highlight w:val="none"/>
        </w:rPr>
        <w:fldChar w:fldCharType="begin"/>
      </w:r>
      <w:r>
        <w:rPr>
          <w:color w:val="auto"/>
          <w:highlight w:val="none"/>
        </w:rPr>
        <w:instrText xml:space="preserve"> PAGEREF _Toc142573786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429568A9">
      <w:pPr>
        <w:pStyle w:val="15"/>
        <w:tabs>
          <w:tab w:val="left" w:pos="1050"/>
        </w:tabs>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"_Toc142573787" </w:instrText>
      </w:r>
      <w:r>
        <w:rPr>
          <w:highlight w:val="none"/>
        </w:rPr>
        <w:fldChar w:fldCharType="separate"/>
      </w:r>
      <w:r>
        <w:rPr>
          <w:rStyle w:val="23"/>
          <w:color w:val="auto"/>
          <w:highlight w:val="none"/>
          <w:u w:val="none"/>
        </w:rPr>
        <w:t>6.4</w:t>
      </w:r>
      <w:r>
        <w:rPr>
          <w:rFonts w:eastAsiaTheme="minorEastAsia"/>
          <w:color w:val="auto"/>
          <w:kern w:val="2"/>
          <w:szCs w:val="22"/>
          <w:highlight w:val="none"/>
          <w14:ligatures w14:val="standardContextual"/>
        </w:rPr>
        <w:tab/>
      </w:r>
      <w:r>
        <w:rPr>
          <w:rFonts w:eastAsiaTheme="minorEastAsia"/>
          <w:color w:val="auto"/>
          <w:kern w:val="2"/>
          <w:szCs w:val="22"/>
          <w:highlight w:val="none"/>
          <w14:ligatures w14:val="standardContextual"/>
        </w:rPr>
        <w:t xml:space="preserve">Engineering of external thermal insulation based onset of double vacuum insulation decorative panel </w:t>
      </w:r>
      <w:r>
        <w:rPr>
          <w:color w:val="auto"/>
          <w:highlight w:val="none"/>
        </w:rPr>
        <w:tab/>
      </w:r>
      <w:r>
        <w:rPr>
          <w:color w:val="auto"/>
          <w:highlight w:val="none"/>
        </w:rPr>
        <w:fldChar w:fldCharType="begin"/>
      </w:r>
      <w:r>
        <w:rPr>
          <w:color w:val="auto"/>
          <w:highlight w:val="none"/>
        </w:rPr>
        <w:instrText xml:space="preserve"> PAGEREF _Toc142573787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3234C933">
      <w:pPr>
        <w:pStyle w:val="15"/>
        <w:tabs>
          <w:tab w:val="left" w:pos="1050"/>
        </w:tabs>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"_Toc142573788" </w:instrText>
      </w:r>
      <w:r>
        <w:rPr>
          <w:highlight w:val="none"/>
        </w:rPr>
        <w:fldChar w:fldCharType="separate"/>
      </w:r>
      <w:r>
        <w:rPr>
          <w:rStyle w:val="23"/>
          <w:color w:val="auto"/>
          <w:highlight w:val="none"/>
          <w:u w:val="none"/>
        </w:rPr>
        <w:t>6.5</w:t>
      </w:r>
      <w:r>
        <w:rPr>
          <w:rFonts w:eastAsiaTheme="minorEastAsia"/>
          <w:color w:val="auto"/>
          <w:kern w:val="2"/>
          <w:szCs w:val="22"/>
          <w:highlight w:val="none"/>
          <w14:ligatures w14:val="standardContextual"/>
        </w:rPr>
        <w:tab/>
      </w:r>
      <w:r>
        <w:rPr>
          <w:rStyle w:val="23"/>
          <w:color w:val="auto"/>
          <w:highlight w:val="none"/>
          <w:u w:val="none"/>
        </w:rPr>
        <w:t>Engineering of internal thermal insulation based on set of double vacuum insulation decorative panel</w:t>
      </w:r>
      <w:r>
        <w:rPr>
          <w:color w:val="auto"/>
          <w:highlight w:val="none"/>
        </w:rPr>
        <w:tab/>
      </w:r>
      <w:r>
        <w:rPr>
          <w:color w:val="auto"/>
          <w:highlight w:val="none"/>
        </w:rPr>
        <w:fldChar w:fldCharType="begin"/>
      </w:r>
      <w:r>
        <w:rPr>
          <w:color w:val="auto"/>
          <w:highlight w:val="none"/>
        </w:rPr>
        <w:instrText xml:space="preserve"> PAGEREF _Toc142573788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2BD08D7A">
      <w:pPr>
        <w:pStyle w:val="14"/>
        <w:tabs>
          <w:tab w:val="left" w:pos="420"/>
        </w:tabs>
        <w:rPr>
          <w:rFonts w:ascii="Times New Roman" w:hAnsi="Times New Roman" w:eastAsiaTheme="minorEastAsia"/>
          <w:kern w:val="2"/>
          <w:szCs w:val="22"/>
          <w:highlight w:val="none"/>
          <w14:ligatures w14:val="standardContextual"/>
        </w:rPr>
      </w:pPr>
      <w:r>
        <w:rPr>
          <w:highlight w:val="none"/>
        </w:rPr>
        <w:fldChar w:fldCharType="begin"/>
      </w:r>
      <w:r>
        <w:rPr>
          <w:highlight w:val="none"/>
        </w:rPr>
        <w:instrText xml:space="preserve"> HYPERLINK \l "_Toc142573789" </w:instrText>
      </w:r>
      <w:r>
        <w:rPr>
          <w:highlight w:val="none"/>
        </w:rPr>
        <w:fldChar w:fldCharType="separate"/>
      </w:r>
      <w:r>
        <w:rPr>
          <w:rStyle w:val="23"/>
          <w:rFonts w:ascii="Times New Roman" w:hAnsi="Times New Roman"/>
          <w:color w:val="auto"/>
          <w:highlight w:val="none"/>
          <w:u w:val="none"/>
        </w:rPr>
        <w:t>7</w:t>
      </w:r>
      <w:r>
        <w:rPr>
          <w:rFonts w:ascii="Times New Roman" w:hAnsi="Times New Roman" w:eastAsiaTheme="minorEastAsia"/>
          <w:kern w:val="2"/>
          <w:szCs w:val="22"/>
          <w:highlight w:val="none"/>
          <w14:ligatures w14:val="standardContextual"/>
        </w:rPr>
        <w:tab/>
      </w:r>
      <w:r>
        <w:rPr>
          <w:rFonts w:ascii="Times New Roman" w:hAnsi="Times New Roman" w:eastAsiaTheme="minorEastAsia"/>
          <w:kern w:val="2"/>
          <w:szCs w:val="22"/>
          <w:highlight w:val="none"/>
          <w14:ligatures w14:val="standardContextual"/>
        </w:rPr>
        <w:t>Q</w:t>
      </w:r>
      <w:r>
        <w:rPr>
          <w:rStyle w:val="23"/>
          <w:rFonts w:ascii="Times New Roman" w:hAnsi="Times New Roman"/>
          <w:color w:val="auto"/>
          <w:highlight w:val="none"/>
          <w:u w:val="none"/>
        </w:rPr>
        <w:t>uality acceptance</w:t>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_Toc142573789 \h </w:instrText>
      </w:r>
      <w:r>
        <w:rPr>
          <w:rFonts w:ascii="Times New Roman" w:hAnsi="Times New Roman"/>
          <w:highlight w:val="none"/>
        </w:rPr>
        <w:fldChar w:fldCharType="separate"/>
      </w:r>
      <w:r>
        <w:rPr>
          <w:rFonts w:ascii="Times New Roman" w:hAnsi="Times New Roman"/>
          <w:highlight w:val="none"/>
        </w:rPr>
        <w:t>43</w:t>
      </w:r>
      <w:r>
        <w:rPr>
          <w:rFonts w:ascii="Times New Roman" w:hAnsi="Times New Roman"/>
          <w:highlight w:val="none"/>
        </w:rPr>
        <w:fldChar w:fldCharType="end"/>
      </w:r>
      <w:r>
        <w:rPr>
          <w:rFonts w:ascii="Times New Roman" w:hAnsi="Times New Roman"/>
          <w:highlight w:val="none"/>
        </w:rPr>
        <w:fldChar w:fldCharType="end"/>
      </w:r>
    </w:p>
    <w:p w14:paraId="2308872F">
      <w:pPr>
        <w:pStyle w:val="15"/>
        <w:tabs>
          <w:tab w:val="left" w:pos="1050"/>
        </w:tabs>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"_Toc142573790" </w:instrText>
      </w:r>
      <w:r>
        <w:rPr>
          <w:highlight w:val="none"/>
        </w:rPr>
        <w:fldChar w:fldCharType="separate"/>
      </w:r>
      <w:r>
        <w:rPr>
          <w:rStyle w:val="23"/>
          <w:color w:val="auto"/>
          <w:highlight w:val="none"/>
          <w:u w:val="none"/>
        </w:rPr>
        <w:t>7.1</w:t>
      </w:r>
      <w:r>
        <w:rPr>
          <w:rFonts w:eastAsiaTheme="minorEastAsia"/>
          <w:color w:val="auto"/>
          <w:kern w:val="2"/>
          <w:szCs w:val="22"/>
          <w:highlight w:val="none"/>
          <w14:ligatures w14:val="standardContextual"/>
        </w:rPr>
        <w:tab/>
      </w:r>
      <w:r>
        <w:rPr>
          <w:rStyle w:val="23"/>
          <w:color w:val="auto"/>
          <w:highlight w:val="none"/>
          <w:u w:val="none"/>
        </w:rPr>
        <w:t>General regulation</w:t>
      </w:r>
      <w:r>
        <w:rPr>
          <w:color w:val="auto"/>
          <w:highlight w:val="none"/>
        </w:rPr>
        <w:tab/>
      </w:r>
      <w:r>
        <w:rPr>
          <w:color w:val="auto"/>
          <w:highlight w:val="none"/>
        </w:rPr>
        <w:fldChar w:fldCharType="begin"/>
      </w:r>
      <w:r>
        <w:rPr>
          <w:color w:val="auto"/>
          <w:highlight w:val="none"/>
        </w:rPr>
        <w:instrText xml:space="preserve"> PAGEREF _Toc142573790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2BE39BFC">
      <w:pPr>
        <w:pStyle w:val="15"/>
        <w:tabs>
          <w:tab w:val="left" w:pos="1050"/>
        </w:tabs>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"_Toc142573791" </w:instrText>
      </w:r>
      <w:r>
        <w:rPr>
          <w:highlight w:val="none"/>
        </w:rPr>
        <w:fldChar w:fldCharType="separate"/>
      </w:r>
      <w:r>
        <w:rPr>
          <w:rStyle w:val="23"/>
          <w:color w:val="auto"/>
          <w:highlight w:val="none"/>
          <w:u w:val="none"/>
        </w:rPr>
        <w:t>7.2</w:t>
      </w:r>
      <w:r>
        <w:rPr>
          <w:rFonts w:eastAsiaTheme="minorEastAsia"/>
          <w:color w:val="auto"/>
          <w:kern w:val="2"/>
          <w:szCs w:val="22"/>
          <w:highlight w:val="none"/>
          <w14:ligatures w14:val="standardContextual"/>
        </w:rPr>
        <w:tab/>
      </w:r>
      <w:r>
        <w:rPr>
          <w:rStyle w:val="23"/>
          <w:color w:val="auto"/>
          <w:highlight w:val="none"/>
          <w:u w:val="none"/>
        </w:rPr>
        <w:t>Dominant item</w:t>
      </w:r>
      <w:r>
        <w:rPr>
          <w:color w:val="auto"/>
          <w:highlight w:val="none"/>
        </w:rPr>
        <w:tab/>
      </w:r>
      <w:r>
        <w:rPr>
          <w:color w:val="auto"/>
          <w:highlight w:val="none"/>
        </w:rPr>
        <w:fldChar w:fldCharType="begin"/>
      </w:r>
      <w:r>
        <w:rPr>
          <w:color w:val="auto"/>
          <w:highlight w:val="none"/>
        </w:rPr>
        <w:instrText xml:space="preserve"> PAGEREF _Toc142573791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57498AB2">
      <w:pPr>
        <w:pStyle w:val="15"/>
        <w:tabs>
          <w:tab w:val="left" w:pos="1050"/>
        </w:tabs>
        <w:rPr>
          <w:rFonts w:eastAsiaTheme="minorEastAsia"/>
          <w:color w:val="auto"/>
          <w:kern w:val="2"/>
          <w:szCs w:val="22"/>
          <w:highlight w:val="none"/>
          <w14:ligatures w14:val="standardContextual"/>
        </w:rPr>
      </w:pPr>
      <w:r>
        <w:rPr>
          <w:highlight w:val="none"/>
        </w:rPr>
        <w:fldChar w:fldCharType="begin"/>
      </w:r>
      <w:r>
        <w:rPr>
          <w:highlight w:val="none"/>
        </w:rPr>
        <w:instrText xml:space="preserve"> HYPERLINK \l "_Toc142573792" </w:instrText>
      </w:r>
      <w:r>
        <w:rPr>
          <w:highlight w:val="none"/>
        </w:rPr>
        <w:fldChar w:fldCharType="separate"/>
      </w:r>
      <w:r>
        <w:rPr>
          <w:rStyle w:val="23"/>
          <w:color w:val="auto"/>
          <w:highlight w:val="none"/>
          <w:u w:val="none"/>
        </w:rPr>
        <w:t>7.3</w:t>
      </w:r>
      <w:r>
        <w:rPr>
          <w:rFonts w:eastAsiaTheme="minorEastAsia"/>
          <w:color w:val="auto"/>
          <w:kern w:val="2"/>
          <w:szCs w:val="22"/>
          <w:highlight w:val="none"/>
          <w14:ligatures w14:val="standardContextual"/>
        </w:rPr>
        <w:tab/>
      </w:r>
      <w:r>
        <w:rPr>
          <w:rFonts w:eastAsiaTheme="minorEastAsia"/>
          <w:color w:val="auto"/>
          <w:kern w:val="2"/>
          <w:szCs w:val="22"/>
          <w:highlight w:val="none"/>
          <w14:ligatures w14:val="standardContextual"/>
        </w:rPr>
        <w:t>G</w:t>
      </w:r>
      <w:r>
        <w:rPr>
          <w:rStyle w:val="23"/>
          <w:color w:val="auto"/>
          <w:highlight w:val="none"/>
          <w:u w:val="none"/>
        </w:rPr>
        <w:t>eneral item</w:t>
      </w:r>
      <w:r>
        <w:rPr>
          <w:color w:val="auto"/>
          <w:highlight w:val="none"/>
        </w:rPr>
        <w:tab/>
      </w:r>
      <w:r>
        <w:rPr>
          <w:color w:val="auto"/>
          <w:highlight w:val="none"/>
        </w:rPr>
        <w:fldChar w:fldCharType="begin"/>
      </w:r>
      <w:r>
        <w:rPr>
          <w:color w:val="auto"/>
          <w:highlight w:val="none"/>
        </w:rPr>
        <w:instrText xml:space="preserve"> PAGEREF _Toc142573792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767CE5E7">
      <w:pPr>
        <w:pStyle w:val="14"/>
        <w:rPr>
          <w:rFonts w:ascii="Times New Roman" w:hAnsi="Times New Roman" w:eastAsiaTheme="minorEastAsia"/>
          <w:kern w:val="2"/>
          <w:szCs w:val="22"/>
          <w:highlight w:val="none"/>
          <w14:ligatures w14:val="standardContextual"/>
        </w:rPr>
      </w:pPr>
      <w:r>
        <w:rPr>
          <w:rStyle w:val="23"/>
          <w:rFonts w:ascii="Times New Roman" w:hAnsi="Times New Roman"/>
          <w:color w:val="auto"/>
          <w:highlight w:val="none"/>
          <w:u w:val="none"/>
        </w:rPr>
        <w:t xml:space="preserve">Explanation of Wording </w:t>
      </w:r>
      <w:r>
        <w:rPr>
          <w:highlight w:val="none"/>
        </w:rPr>
        <w:fldChar w:fldCharType="begin"/>
      </w:r>
      <w:r>
        <w:rPr>
          <w:highlight w:val="none"/>
        </w:rPr>
        <w:instrText xml:space="preserve"> HYPERLINK \l "_Toc142573793" </w:instrText>
      </w:r>
      <w:r>
        <w:rPr>
          <w:highlight w:val="none"/>
        </w:rPr>
        <w:fldChar w:fldCharType="separate"/>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_Toc142573793 \h </w:instrText>
      </w:r>
      <w:r>
        <w:rPr>
          <w:rFonts w:ascii="Times New Roman" w:hAnsi="Times New Roman"/>
          <w:highlight w:val="none"/>
        </w:rPr>
        <w:fldChar w:fldCharType="separate"/>
      </w:r>
      <w:r>
        <w:rPr>
          <w:rFonts w:ascii="Times New Roman" w:hAnsi="Times New Roman"/>
          <w:highlight w:val="none"/>
        </w:rPr>
        <w:t>52</w:t>
      </w:r>
      <w:r>
        <w:rPr>
          <w:rFonts w:ascii="Times New Roman" w:hAnsi="Times New Roman"/>
          <w:highlight w:val="none"/>
        </w:rPr>
        <w:fldChar w:fldCharType="end"/>
      </w:r>
      <w:r>
        <w:rPr>
          <w:rFonts w:ascii="Times New Roman" w:hAnsi="Times New Roman"/>
          <w:highlight w:val="none"/>
        </w:rPr>
        <w:fldChar w:fldCharType="end"/>
      </w:r>
    </w:p>
    <w:p w14:paraId="11CD8C30">
      <w:pPr>
        <w:pStyle w:val="14"/>
        <w:rPr>
          <w:rFonts w:ascii="Times New Roman" w:hAnsi="Times New Roman" w:eastAsiaTheme="minorEastAsia"/>
          <w:kern w:val="2"/>
          <w:szCs w:val="22"/>
          <w:highlight w:val="none"/>
          <w14:ligatures w14:val="standardContextual"/>
        </w:rPr>
      </w:pPr>
      <w:r>
        <w:rPr>
          <w:rStyle w:val="23"/>
          <w:rFonts w:ascii="Times New Roman" w:hAnsi="Times New Roman"/>
          <w:color w:val="auto"/>
          <w:highlight w:val="none"/>
          <w:u w:val="none"/>
        </w:rPr>
        <w:t xml:space="preserve">List of Quoted Standards </w:t>
      </w:r>
      <w:r>
        <w:rPr>
          <w:highlight w:val="none"/>
        </w:rPr>
        <w:fldChar w:fldCharType="begin"/>
      </w:r>
      <w:r>
        <w:rPr>
          <w:highlight w:val="none"/>
        </w:rPr>
        <w:instrText xml:space="preserve"> HYPERLINK \l "_Toc142573794" </w:instrText>
      </w:r>
      <w:r>
        <w:rPr>
          <w:highlight w:val="none"/>
        </w:rPr>
        <w:fldChar w:fldCharType="separate"/>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_Toc142573794 \h </w:instrText>
      </w:r>
      <w:r>
        <w:rPr>
          <w:rFonts w:ascii="Times New Roman" w:hAnsi="Times New Roman"/>
          <w:highlight w:val="none"/>
        </w:rPr>
        <w:fldChar w:fldCharType="separate"/>
      </w:r>
      <w:r>
        <w:rPr>
          <w:rFonts w:ascii="Times New Roman" w:hAnsi="Times New Roman"/>
          <w:highlight w:val="none"/>
        </w:rPr>
        <w:t>53</w:t>
      </w:r>
      <w:r>
        <w:rPr>
          <w:rFonts w:ascii="Times New Roman" w:hAnsi="Times New Roman"/>
          <w:highlight w:val="none"/>
        </w:rPr>
        <w:fldChar w:fldCharType="end"/>
      </w:r>
      <w:r>
        <w:rPr>
          <w:rFonts w:ascii="Times New Roman" w:hAnsi="Times New Roman"/>
          <w:highlight w:val="none"/>
        </w:rPr>
        <w:fldChar w:fldCharType="end"/>
      </w:r>
    </w:p>
    <w:p w14:paraId="32331E96">
      <w:pPr>
        <w:pStyle w:val="14"/>
        <w:rPr>
          <w:rFonts w:ascii="Times New Roman" w:hAnsi="Times New Roman" w:eastAsiaTheme="minorEastAsia"/>
          <w:kern w:val="2"/>
          <w:szCs w:val="22"/>
          <w:highlight w:val="none"/>
          <w14:ligatures w14:val="standardContextual"/>
        </w:rPr>
      </w:pPr>
      <w:r>
        <w:rPr>
          <w:rStyle w:val="23"/>
          <w:rFonts w:hint="eastAsia" w:ascii="Times New Roman" w:hAnsi="Times New Roman"/>
          <w:color w:val="auto"/>
          <w:highlight w:val="none"/>
          <w:u w:val="none"/>
        </w:rPr>
        <w:t>Addition：Explanation of Provisions</w:t>
      </w:r>
      <w:r>
        <w:rPr>
          <w:rStyle w:val="23"/>
          <w:rFonts w:ascii="Times New Roman" w:hAnsi="Times New Roman"/>
          <w:color w:val="auto"/>
          <w:highlight w:val="none"/>
          <w:u w:val="none"/>
        </w:rPr>
        <w:t xml:space="preserve"> </w:t>
      </w:r>
      <w:r>
        <w:rPr>
          <w:highlight w:val="none"/>
        </w:rPr>
        <w:fldChar w:fldCharType="begin"/>
      </w:r>
      <w:r>
        <w:rPr>
          <w:highlight w:val="none"/>
        </w:rPr>
        <w:instrText xml:space="preserve"> HYPERLINK \l "_Toc142573795" </w:instrText>
      </w:r>
      <w:r>
        <w:rPr>
          <w:highlight w:val="none"/>
        </w:rPr>
        <w:fldChar w:fldCharType="separate"/>
      </w:r>
      <w:r>
        <w:rPr>
          <w:rFonts w:ascii="Times New Roman" w:hAnsi="Times New Roman"/>
          <w:highlight w:val="none"/>
        </w:rPr>
        <w:tab/>
      </w:r>
      <w:r>
        <w:rPr>
          <w:rFonts w:ascii="Times New Roman" w:hAnsi="Times New Roman"/>
          <w:highlight w:val="none"/>
        </w:rPr>
        <w:fldChar w:fldCharType="begin"/>
      </w:r>
      <w:r>
        <w:rPr>
          <w:rFonts w:ascii="Times New Roman" w:hAnsi="Times New Roman"/>
          <w:highlight w:val="none"/>
        </w:rPr>
        <w:instrText xml:space="preserve"> PAGEREF _Toc142573795 \h </w:instrText>
      </w:r>
      <w:r>
        <w:rPr>
          <w:rFonts w:ascii="Times New Roman" w:hAnsi="Times New Roman"/>
          <w:highlight w:val="none"/>
        </w:rPr>
        <w:fldChar w:fldCharType="separate"/>
      </w:r>
      <w:r>
        <w:rPr>
          <w:rFonts w:ascii="Times New Roman" w:hAnsi="Times New Roman"/>
          <w:highlight w:val="none"/>
        </w:rPr>
        <w:t>56</w:t>
      </w:r>
      <w:r>
        <w:rPr>
          <w:rFonts w:ascii="Times New Roman" w:hAnsi="Times New Roman"/>
          <w:highlight w:val="none"/>
        </w:rPr>
        <w:fldChar w:fldCharType="end"/>
      </w:r>
      <w:r>
        <w:rPr>
          <w:rFonts w:ascii="Times New Roman" w:hAnsi="Times New Roman"/>
          <w:highlight w:val="none"/>
        </w:rPr>
        <w:fldChar w:fldCharType="end"/>
      </w:r>
    </w:p>
    <w:p w14:paraId="478B48A0">
      <w:pPr>
        <w:pStyle w:val="14"/>
        <w:rPr>
          <w:bCs/>
          <w:sz w:val="36"/>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ascii="Times New Roman" w:hAnsi="Times New Roman"/>
          <w:highlight w:val="none"/>
        </w:rPr>
        <w:fldChar w:fldCharType="end"/>
      </w:r>
      <w:bookmarkStart w:id="2" w:name="_Toc74137289"/>
      <w:bookmarkStart w:id="3" w:name="_Toc141875132"/>
    </w:p>
    <w:p w14:paraId="3810D6B3">
      <w:pPr>
        <w:pStyle w:val="27"/>
        <w:numPr>
          <w:ilvl w:val="0"/>
          <w:numId w:val="2"/>
        </w:numPr>
        <w:spacing w:after="240"/>
        <w:ind w:firstLineChars="0"/>
        <w:jc w:val="center"/>
        <w:outlineLvl w:val="0"/>
        <w:rPr>
          <w:bCs/>
          <w:color w:val="auto"/>
          <w:sz w:val="36"/>
          <w:szCs w:val="32"/>
          <w:highlight w:val="none"/>
        </w:rPr>
      </w:pPr>
      <w:bookmarkStart w:id="4" w:name="_Toc21683"/>
      <w:r>
        <w:rPr>
          <w:bCs/>
          <w:color w:val="auto"/>
          <w:sz w:val="36"/>
          <w:szCs w:val="32"/>
          <w:highlight w:val="none"/>
        </w:rPr>
        <w:t>总则</w:t>
      </w:r>
      <w:bookmarkEnd w:id="2"/>
      <w:bookmarkEnd w:id="3"/>
      <w:bookmarkEnd w:id="4"/>
    </w:p>
    <w:p w14:paraId="40644E08">
      <w:pPr>
        <w:spacing w:line="360" w:lineRule="auto"/>
        <w:outlineLvl w:val="2"/>
        <w:rPr>
          <w:color w:val="auto"/>
          <w:sz w:val="24"/>
          <w:highlight w:val="none"/>
        </w:rPr>
      </w:pPr>
      <w:r>
        <w:rPr>
          <w:b/>
          <w:bCs/>
          <w:color w:val="auto"/>
          <w:sz w:val="24"/>
          <w:highlight w:val="none"/>
        </w:rPr>
        <w:t>1.0.1</w:t>
      </w:r>
      <w:r>
        <w:rPr>
          <w:color w:val="auto"/>
          <w:sz w:val="24"/>
          <w:highlight w:val="none"/>
        </w:rPr>
        <w:t>为规范</w:t>
      </w:r>
      <w:r>
        <w:rPr>
          <w:rFonts w:hint="eastAsia"/>
          <w:color w:val="auto"/>
          <w:sz w:val="24"/>
          <w:highlight w:val="none"/>
        </w:rPr>
        <w:t>套装双真空保温隔热板</w:t>
      </w:r>
      <w:r>
        <w:rPr>
          <w:color w:val="auto"/>
          <w:sz w:val="24"/>
          <w:highlight w:val="none"/>
        </w:rPr>
        <w:t>的</w:t>
      </w:r>
      <w:r>
        <w:rPr>
          <w:rFonts w:hint="eastAsia"/>
          <w:color w:val="auto"/>
          <w:sz w:val="24"/>
          <w:highlight w:val="none"/>
        </w:rPr>
        <w:t>工程</w:t>
      </w:r>
      <w:r>
        <w:rPr>
          <w:color w:val="auto"/>
          <w:sz w:val="24"/>
          <w:highlight w:val="none"/>
        </w:rPr>
        <w:t xml:space="preserve">应用，做到技术先进、安全可靠、低碳环保、经济合理，制定本规程。 </w:t>
      </w:r>
    </w:p>
    <w:p w14:paraId="6F8E4CBA">
      <w:pPr>
        <w:spacing w:line="360" w:lineRule="auto"/>
        <w:rPr>
          <w:rFonts w:ascii="仿宋_GB2312" w:eastAsia="仿宋_GB2312"/>
          <w:color w:val="auto"/>
          <w:sz w:val="24"/>
          <w:highlight w:val="none"/>
        </w:rPr>
      </w:pPr>
      <w:r>
        <w:rPr>
          <w:rFonts w:hint="eastAsia" w:ascii="仿宋_GB2312" w:eastAsia="仿宋_GB2312"/>
          <w:color w:val="auto"/>
          <w:sz w:val="24"/>
          <w:highlight w:val="none"/>
        </w:rPr>
        <w:t>【条文说明】1.0.1  条主要阐明制定本规程的目的，在于规范、控制和保证建筑用套装双真空保温隔热板在建筑节能工程中的工程质量，促进建筑保温行业健康发展。</w:t>
      </w:r>
    </w:p>
    <w:p w14:paraId="126E85DB">
      <w:pPr>
        <w:spacing w:line="360" w:lineRule="auto"/>
        <w:outlineLvl w:val="2"/>
        <w:rPr>
          <w:color w:val="auto"/>
          <w:sz w:val="24"/>
          <w:highlight w:val="none"/>
        </w:rPr>
      </w:pPr>
      <w:r>
        <w:rPr>
          <w:b/>
          <w:bCs/>
          <w:color w:val="auto"/>
          <w:sz w:val="24"/>
          <w:highlight w:val="none"/>
        </w:rPr>
        <w:t xml:space="preserve">1.0.2 </w:t>
      </w:r>
      <w:r>
        <w:rPr>
          <w:color w:val="auto"/>
          <w:sz w:val="24"/>
          <w:highlight w:val="none"/>
        </w:rPr>
        <w:t>本标准适用于新建、改建、扩建民用建筑节能工程用</w:t>
      </w:r>
      <w:r>
        <w:rPr>
          <w:rFonts w:hint="eastAsia"/>
          <w:color w:val="auto"/>
          <w:sz w:val="24"/>
          <w:highlight w:val="none"/>
        </w:rPr>
        <w:t>套装双真空保温隔热板</w:t>
      </w:r>
      <w:r>
        <w:rPr>
          <w:color w:val="auto"/>
          <w:sz w:val="24"/>
          <w:highlight w:val="none"/>
        </w:rPr>
        <w:t>的设计、施工和质量验收。</w:t>
      </w:r>
    </w:p>
    <w:p w14:paraId="60E56526">
      <w:pPr>
        <w:spacing w:line="360" w:lineRule="auto"/>
        <w:rPr>
          <w:rFonts w:ascii="仿宋_GB2312" w:eastAsia="仿宋_GB2312"/>
          <w:color w:val="auto"/>
          <w:sz w:val="24"/>
          <w:highlight w:val="none"/>
        </w:rPr>
      </w:pPr>
      <w:r>
        <w:rPr>
          <w:rFonts w:hint="eastAsia" w:ascii="仿宋_GB2312" w:eastAsia="仿宋_GB2312"/>
          <w:color w:val="auto"/>
          <w:sz w:val="24"/>
          <w:highlight w:val="none"/>
        </w:rPr>
        <w:t>【条文说明】1.0.</w:t>
      </w:r>
      <w:r>
        <w:rPr>
          <w:rFonts w:ascii="仿宋_GB2312" w:eastAsia="仿宋_GB2312"/>
          <w:color w:val="auto"/>
          <w:sz w:val="24"/>
          <w:highlight w:val="none"/>
        </w:rPr>
        <w:t>2</w:t>
      </w:r>
      <w:r>
        <w:rPr>
          <w:rFonts w:hint="eastAsia" w:ascii="仿宋_GB2312" w:eastAsia="仿宋_GB2312"/>
          <w:color w:val="auto"/>
          <w:sz w:val="24"/>
          <w:highlight w:val="none"/>
        </w:rPr>
        <w:t xml:space="preserve">  本条对套装双真空保温隔热板的适用范围作出了规定。本规程适用于采用套装双真空保温隔热板的薄抹灰外墙外保温工程、外墙内保温工程、套装双真空保温隔热装饰板外墙外保温工程、套装双真空保温隔热装饰板外墙内保温工程。工业建筑中采用套装双真空保温隔热板时，可参照此标准执行。</w:t>
      </w:r>
    </w:p>
    <w:p w14:paraId="5E5AE8DC">
      <w:pPr>
        <w:spacing w:line="360" w:lineRule="auto"/>
        <w:outlineLvl w:val="2"/>
        <w:rPr>
          <w:color w:val="auto"/>
          <w:sz w:val="24"/>
          <w:highlight w:val="none"/>
        </w:rPr>
      </w:pPr>
      <w:r>
        <w:rPr>
          <w:b/>
          <w:bCs/>
          <w:color w:val="auto"/>
          <w:sz w:val="24"/>
          <w:highlight w:val="none"/>
        </w:rPr>
        <w:t xml:space="preserve">1.0.3 </w:t>
      </w:r>
      <w:r>
        <w:rPr>
          <w:rFonts w:hint="eastAsia"/>
          <w:color w:val="auto"/>
          <w:sz w:val="24"/>
          <w:highlight w:val="none"/>
        </w:rPr>
        <w:t>套装双真空保温隔热板</w:t>
      </w:r>
      <w:r>
        <w:rPr>
          <w:color w:val="auto"/>
          <w:sz w:val="24"/>
          <w:highlight w:val="none"/>
        </w:rPr>
        <w:t>的</w:t>
      </w:r>
      <w:r>
        <w:rPr>
          <w:rFonts w:hint="eastAsia"/>
          <w:color w:val="auto"/>
          <w:sz w:val="24"/>
          <w:highlight w:val="none"/>
        </w:rPr>
        <w:t>工程</w:t>
      </w:r>
      <w:r>
        <w:rPr>
          <w:color w:val="auto"/>
          <w:sz w:val="24"/>
          <w:highlight w:val="none"/>
        </w:rPr>
        <w:t>应用除应符合本规程的规定外，尚应符合国家现行有关标准和现行中国工程建设标准化协会有关标准的规定。</w:t>
      </w:r>
    </w:p>
    <w:p w14:paraId="3F21930E">
      <w:pPr>
        <w:spacing w:line="360" w:lineRule="auto"/>
        <w:rPr>
          <w:rFonts w:ascii="仿宋_GB2312" w:eastAsia="仿宋_GB2312"/>
          <w:color w:val="auto"/>
          <w:sz w:val="24"/>
          <w:highlight w:val="none"/>
        </w:rPr>
      </w:pPr>
      <w:r>
        <w:rPr>
          <w:rFonts w:hint="eastAsia" w:ascii="仿宋_GB2312" w:eastAsia="仿宋_GB2312"/>
          <w:color w:val="auto"/>
          <w:sz w:val="24"/>
          <w:highlight w:val="none"/>
        </w:rPr>
        <w:t>【条文说明】1.0.</w:t>
      </w:r>
      <w:r>
        <w:rPr>
          <w:rFonts w:ascii="仿宋_GB2312" w:eastAsia="仿宋_GB2312"/>
          <w:color w:val="auto"/>
          <w:sz w:val="24"/>
          <w:highlight w:val="none"/>
        </w:rPr>
        <w:t>3</w:t>
      </w:r>
      <w:r>
        <w:rPr>
          <w:rFonts w:hint="eastAsia" w:ascii="仿宋_GB2312" w:eastAsia="仿宋_GB2312"/>
          <w:color w:val="auto"/>
          <w:sz w:val="24"/>
          <w:highlight w:val="none"/>
        </w:rPr>
        <w:t xml:space="preserve">  凡国家现行标准和现行中国工程建设标准化协会标准中已有明确规定的，本规程原则上不再重复。在设计、施工及验收中除符合本规程的要求外，尚应满足国家现行有关标准的规定。国家现行强制标准包括建筑防火、建筑工程抗震等方面的标准和规范。国内外相关的配套专用技术，在满足本规程和相关标准规定的基础上，可参考采用。套装双真空保温隔热板用于外墙外保温工程时，除应符合本规程外，尚应符合现行行业标准《</w:t>
      </w:r>
      <w:r>
        <w:rPr>
          <w:rFonts w:hint="eastAsia" w:ascii="仿宋_GB2312" w:eastAsia="仿宋_GB2312"/>
          <w:color w:val="auto"/>
          <w:sz w:val="24"/>
          <w:highlight w:val="none"/>
          <w:lang w:eastAsia="zh-CN"/>
        </w:rPr>
        <w:t>外墙外保温工程技术标准</w:t>
      </w:r>
      <w:r>
        <w:rPr>
          <w:rFonts w:hint="eastAsia" w:ascii="仿宋_GB2312" w:eastAsia="仿宋_GB2312"/>
          <w:color w:val="auto"/>
          <w:sz w:val="24"/>
          <w:highlight w:val="none"/>
        </w:rPr>
        <w:t>》</w:t>
      </w:r>
      <w:r>
        <w:rPr>
          <w:rFonts w:hint="eastAsia" w:ascii="仿宋_GB2312" w:eastAsia="仿宋_GB2312"/>
          <w:color w:val="auto"/>
          <w:sz w:val="24"/>
          <w:highlight w:val="none"/>
          <w:lang w:eastAsia="zh-CN"/>
        </w:rPr>
        <w:t>JGJ 144</w:t>
      </w:r>
      <w:r>
        <w:rPr>
          <w:rFonts w:hint="eastAsia" w:ascii="仿宋_GB2312" w:eastAsia="仿宋_GB2312"/>
          <w:color w:val="auto"/>
          <w:sz w:val="24"/>
          <w:highlight w:val="none"/>
        </w:rPr>
        <w:t>的有关规定，套装双真空保温隔热板用于外墙内保温工程时，除应符合本规程外，尚应符合现行行业标准《外墙内保温工程技术规程》JGJ/T 261的有关规定。</w:t>
      </w:r>
    </w:p>
    <w:p w14:paraId="2E2DAA38">
      <w:pPr>
        <w:spacing w:line="360" w:lineRule="auto"/>
        <w:ind w:firstLine="480" w:firstLineChars="200"/>
        <w:rPr>
          <w:color w:val="auto"/>
          <w:sz w:val="24"/>
          <w:highlight w:val="none"/>
        </w:rPr>
      </w:pPr>
    </w:p>
    <w:p w14:paraId="1E8DCCA7">
      <w:pPr>
        <w:spacing w:line="360" w:lineRule="auto"/>
        <w:ind w:firstLine="480" w:firstLineChars="200"/>
        <w:rPr>
          <w:color w:val="auto"/>
          <w:sz w:val="24"/>
          <w:highlight w:val="none"/>
        </w:rPr>
      </w:pPr>
    </w:p>
    <w:p w14:paraId="16BA3142">
      <w:pPr>
        <w:spacing w:line="360" w:lineRule="auto"/>
        <w:ind w:firstLine="480" w:firstLineChars="200"/>
        <w:rPr>
          <w:color w:val="auto"/>
          <w:sz w:val="24"/>
          <w:highlight w:val="none"/>
        </w:rPr>
      </w:pPr>
    </w:p>
    <w:p w14:paraId="33BFA9C2">
      <w:pPr>
        <w:spacing w:line="360" w:lineRule="auto"/>
        <w:ind w:firstLine="480" w:firstLineChars="200"/>
        <w:rPr>
          <w:color w:val="auto"/>
          <w:sz w:val="24"/>
          <w:highlight w:val="none"/>
        </w:rPr>
      </w:pPr>
    </w:p>
    <w:p w14:paraId="2683E64E">
      <w:pPr>
        <w:pStyle w:val="27"/>
        <w:numPr>
          <w:ilvl w:val="0"/>
          <w:numId w:val="2"/>
        </w:numPr>
        <w:spacing w:after="240"/>
        <w:ind w:firstLineChars="0"/>
        <w:jc w:val="center"/>
        <w:outlineLvl w:val="0"/>
        <w:rPr>
          <w:bCs/>
          <w:color w:val="auto"/>
          <w:sz w:val="36"/>
          <w:szCs w:val="32"/>
          <w:highlight w:val="none"/>
        </w:rPr>
      </w:pPr>
      <w:bookmarkStart w:id="5" w:name="_Toc7159"/>
      <w:bookmarkStart w:id="6" w:name="_Toc74137290"/>
      <w:bookmarkStart w:id="7" w:name="_Toc141875133"/>
      <w:r>
        <w:rPr>
          <w:bCs/>
          <w:color w:val="auto"/>
          <w:sz w:val="36"/>
          <w:szCs w:val="32"/>
          <w:highlight w:val="none"/>
        </w:rPr>
        <w:t>术语</w:t>
      </w:r>
      <w:bookmarkEnd w:id="5"/>
      <w:bookmarkEnd w:id="6"/>
      <w:bookmarkEnd w:id="7"/>
    </w:p>
    <w:p w14:paraId="2C3C6F1F">
      <w:pPr>
        <w:spacing w:line="360" w:lineRule="auto"/>
        <w:outlineLvl w:val="2"/>
        <w:rPr>
          <w:b/>
          <w:bCs/>
          <w:color w:val="auto"/>
          <w:sz w:val="24"/>
          <w:highlight w:val="none"/>
        </w:rPr>
      </w:pPr>
      <w:r>
        <w:rPr>
          <w:b/>
          <w:bCs/>
          <w:color w:val="auto"/>
          <w:sz w:val="24"/>
          <w:highlight w:val="none"/>
        </w:rPr>
        <w:t>2.0.1  套装双真空保温隔热板</w:t>
      </w:r>
      <w:r>
        <w:rPr>
          <w:rFonts w:hint="eastAsia"/>
          <w:b/>
          <w:bCs/>
          <w:color w:val="auto"/>
          <w:sz w:val="24"/>
          <w:highlight w:val="none"/>
        </w:rPr>
        <w:t xml:space="preserve"> s</w:t>
      </w:r>
      <w:r>
        <w:rPr>
          <w:b/>
          <w:bCs/>
          <w:color w:val="auto"/>
          <w:sz w:val="24"/>
          <w:highlight w:val="none"/>
        </w:rPr>
        <w:t>et of double vacuum insulation panels</w:t>
      </w:r>
    </w:p>
    <w:p w14:paraId="4F780014">
      <w:pPr>
        <w:spacing w:line="360" w:lineRule="auto"/>
        <w:ind w:firstLine="480" w:firstLineChars="200"/>
        <w:rPr>
          <w:color w:val="auto"/>
          <w:sz w:val="24"/>
          <w:highlight w:val="none"/>
        </w:rPr>
      </w:pPr>
      <w:r>
        <w:rPr>
          <w:color w:val="auto"/>
          <w:sz w:val="24"/>
          <w:highlight w:val="none"/>
        </w:rPr>
        <w:t>以</w:t>
      </w:r>
      <w:r>
        <w:rPr>
          <w:rFonts w:hint="eastAsia"/>
          <w:color w:val="auto"/>
          <w:sz w:val="24"/>
          <w:highlight w:val="none"/>
        </w:rPr>
        <w:t>真空绝热板</w:t>
      </w:r>
      <w:r>
        <w:rPr>
          <w:color w:val="auto"/>
          <w:sz w:val="24"/>
          <w:highlight w:val="none"/>
        </w:rPr>
        <w:t>为芯材，内外表面复合无机纤维状轻质材料，并与吸气剂共同作为填充材料，使用复合阻气膜作为包裹材料，经抽真空、封装等工艺制成的建筑保温隔热用板状材料。</w:t>
      </w:r>
    </w:p>
    <w:p w14:paraId="404C499D">
      <w:pPr>
        <w:spacing w:line="360" w:lineRule="auto"/>
        <w:rPr>
          <w:color w:val="auto"/>
          <w:sz w:val="24"/>
          <w:highlight w:val="none"/>
        </w:rPr>
      </w:pPr>
      <w:r>
        <w:rPr>
          <w:rFonts w:hint="eastAsia" w:ascii="仿宋_GB2312" w:eastAsia="仿宋_GB2312"/>
          <w:color w:val="auto"/>
          <w:sz w:val="24"/>
          <w:highlight w:val="none"/>
        </w:rPr>
        <w:t>【条文说明】</w:t>
      </w:r>
      <w:r>
        <w:rPr>
          <w:rFonts w:ascii="仿宋_GB2312" w:eastAsia="仿宋_GB2312"/>
          <w:color w:val="auto"/>
          <w:sz w:val="24"/>
          <w:highlight w:val="none"/>
        </w:rPr>
        <w:t>2.0.1</w:t>
      </w:r>
      <w:r>
        <w:rPr>
          <w:rFonts w:hint="eastAsia" w:ascii="仿宋_GB2312" w:eastAsia="仿宋_GB2312"/>
          <w:color w:val="auto"/>
          <w:sz w:val="24"/>
          <w:highlight w:val="none"/>
        </w:rPr>
        <w:t xml:space="preserve">  套装双真空保温隔热板由于采用无机纤维板对内部的真空绝热板进行防护，同时在防护后的复合体外部套装上复合阻气膜，进行二次抽真空，使得外部的复合阻气膜与内部的真空绝热板之间也形成了真空构造，从而形成了双真空的部品构造，提升了内部真空绝热板的使用寿命；同时实践表明，即使外部的包裹材料发生破损，整个套装双真空保温隔热板的保温性能，依然能够保持在0.0</w:t>
      </w:r>
      <w:r>
        <w:rPr>
          <w:rFonts w:ascii="仿宋_GB2312" w:eastAsia="仿宋_GB2312"/>
          <w:color w:val="auto"/>
          <w:sz w:val="24"/>
          <w:highlight w:val="none"/>
        </w:rPr>
        <w:t>17</w:t>
      </w:r>
      <w:r>
        <w:rPr>
          <w:rFonts w:hint="eastAsia" w:ascii="仿宋_GB2312" w:eastAsia="仿宋_GB2312"/>
          <w:color w:val="auto"/>
          <w:sz w:val="24"/>
          <w:highlight w:val="none"/>
        </w:rPr>
        <w:t>W/（m·K）左右，并且整板并不发生影响保温系统安全性的板面变形、芯材塌落等现象。</w:t>
      </w:r>
    </w:p>
    <w:p w14:paraId="340D8048">
      <w:pPr>
        <w:spacing w:line="360" w:lineRule="auto"/>
        <w:outlineLvl w:val="2"/>
        <w:rPr>
          <w:b/>
          <w:bCs/>
          <w:color w:val="auto"/>
          <w:sz w:val="24"/>
          <w:highlight w:val="none"/>
        </w:rPr>
      </w:pPr>
      <w:r>
        <w:rPr>
          <w:b/>
          <w:bCs/>
          <w:color w:val="auto"/>
          <w:sz w:val="24"/>
          <w:highlight w:val="none"/>
        </w:rPr>
        <w:t>2.0.2  套装双真空保温隔热装饰板</w:t>
      </w:r>
      <w:r>
        <w:rPr>
          <w:rFonts w:hint="eastAsia"/>
          <w:b/>
          <w:bCs/>
          <w:color w:val="auto"/>
          <w:sz w:val="24"/>
          <w:highlight w:val="none"/>
        </w:rPr>
        <w:t xml:space="preserve"> s</w:t>
      </w:r>
      <w:r>
        <w:rPr>
          <w:b/>
          <w:bCs/>
          <w:color w:val="auto"/>
          <w:sz w:val="24"/>
          <w:highlight w:val="none"/>
        </w:rPr>
        <w:t>et of double vacuum insulation decorative panels</w:t>
      </w:r>
    </w:p>
    <w:p w14:paraId="296687ED">
      <w:pPr>
        <w:spacing w:line="360" w:lineRule="auto"/>
        <w:ind w:firstLine="480" w:firstLineChars="200"/>
        <w:rPr>
          <w:color w:val="auto"/>
          <w:sz w:val="24"/>
          <w:highlight w:val="none"/>
        </w:rPr>
      </w:pPr>
      <w:r>
        <w:rPr>
          <w:color w:val="auto"/>
          <w:sz w:val="24"/>
          <w:highlight w:val="none"/>
        </w:rPr>
        <w:t>由套装双真空保温隔热板、装饰面板以及粘合材料等辅助材料构成，在工厂预制成型的具有保温、隔热和装饰功能的复合板材。</w:t>
      </w:r>
    </w:p>
    <w:p w14:paraId="3E21FE20">
      <w:pPr>
        <w:spacing w:line="360" w:lineRule="auto"/>
        <w:outlineLvl w:val="2"/>
        <w:rPr>
          <w:b/>
          <w:bCs/>
          <w:color w:val="auto"/>
          <w:sz w:val="24"/>
          <w:highlight w:val="none"/>
        </w:rPr>
      </w:pPr>
      <w:r>
        <w:rPr>
          <w:rFonts w:hint="eastAsia"/>
          <w:b/>
          <w:bCs/>
          <w:color w:val="auto"/>
          <w:sz w:val="24"/>
          <w:highlight w:val="none"/>
        </w:rPr>
        <w:t>2</w:t>
      </w:r>
      <w:r>
        <w:rPr>
          <w:b/>
          <w:bCs/>
          <w:color w:val="auto"/>
          <w:sz w:val="24"/>
          <w:highlight w:val="none"/>
        </w:rPr>
        <w:t xml:space="preserve">.0.3  套装双真空保温隔热板外保温系统 </w:t>
      </w:r>
      <w:r>
        <w:rPr>
          <w:rFonts w:hint="eastAsia"/>
          <w:b/>
          <w:bCs/>
          <w:color w:val="auto"/>
          <w:sz w:val="24"/>
          <w:highlight w:val="none"/>
        </w:rPr>
        <w:t>s</w:t>
      </w:r>
      <w:r>
        <w:rPr>
          <w:b/>
          <w:bCs/>
          <w:color w:val="auto"/>
          <w:sz w:val="24"/>
          <w:highlight w:val="none"/>
        </w:rPr>
        <w:t>et of double vacuum insulation panel external insulation system</w:t>
      </w:r>
    </w:p>
    <w:p w14:paraId="62B92170">
      <w:pPr>
        <w:spacing w:line="360" w:lineRule="auto"/>
        <w:ind w:firstLine="480" w:firstLineChars="200"/>
        <w:rPr>
          <w:color w:val="auto"/>
          <w:sz w:val="24"/>
          <w:highlight w:val="none"/>
        </w:rPr>
      </w:pPr>
      <w:r>
        <w:rPr>
          <w:color w:val="auto"/>
          <w:sz w:val="24"/>
          <w:highlight w:val="none"/>
        </w:rPr>
        <w:t>设置在建筑围护结构内表面</w:t>
      </w:r>
      <w:r>
        <w:rPr>
          <w:rFonts w:hint="eastAsia"/>
          <w:color w:val="auto"/>
          <w:sz w:val="24"/>
          <w:highlight w:val="none"/>
        </w:rPr>
        <w:t>或</w:t>
      </w:r>
      <w:r>
        <w:rPr>
          <w:color w:val="auto"/>
          <w:sz w:val="24"/>
          <w:highlight w:val="none"/>
        </w:rPr>
        <w:t>外</w:t>
      </w:r>
      <w:r>
        <w:rPr>
          <w:rFonts w:hint="eastAsia"/>
          <w:color w:val="auto"/>
          <w:sz w:val="24"/>
          <w:highlight w:val="none"/>
        </w:rPr>
        <w:t>表面</w:t>
      </w:r>
      <w:r>
        <w:rPr>
          <w:color w:val="auto"/>
          <w:sz w:val="24"/>
          <w:highlight w:val="none"/>
        </w:rPr>
        <w:t>上，以</w:t>
      </w:r>
      <w:r>
        <w:rPr>
          <w:rFonts w:hint="eastAsia"/>
          <w:color w:val="auto"/>
          <w:sz w:val="24"/>
          <w:highlight w:val="none"/>
        </w:rPr>
        <w:t>套装双真空保温隔热板</w:t>
      </w:r>
      <w:r>
        <w:rPr>
          <w:color w:val="auto"/>
          <w:sz w:val="24"/>
          <w:highlight w:val="none"/>
        </w:rPr>
        <w:t>或</w:t>
      </w:r>
      <w:r>
        <w:rPr>
          <w:rFonts w:hint="eastAsia"/>
          <w:color w:val="auto"/>
          <w:sz w:val="24"/>
          <w:highlight w:val="none"/>
        </w:rPr>
        <w:t>套装双真空保温隔热装饰板</w:t>
      </w:r>
      <w:r>
        <w:rPr>
          <w:color w:val="auto"/>
          <w:sz w:val="24"/>
          <w:highlight w:val="none"/>
        </w:rPr>
        <w:t>为保温隔热层的建筑保温隔热构造。根据保温隔热层的不同，分为套装双真空保温隔热板薄抹灰外墙保温系统</w:t>
      </w:r>
      <w:r>
        <w:rPr>
          <w:rFonts w:hint="eastAsia"/>
          <w:color w:val="auto"/>
          <w:sz w:val="24"/>
          <w:highlight w:val="none"/>
          <w:lang w:eastAsia="zh-CN"/>
        </w:rPr>
        <w:t>和</w:t>
      </w:r>
      <w:r>
        <w:rPr>
          <w:color w:val="auto"/>
          <w:sz w:val="24"/>
          <w:highlight w:val="none"/>
        </w:rPr>
        <w:t>套装双真空保温隔热装饰板外墙保温系统。</w:t>
      </w:r>
    </w:p>
    <w:p w14:paraId="09F792C5">
      <w:pPr>
        <w:spacing w:line="360" w:lineRule="auto"/>
        <w:outlineLvl w:val="2"/>
        <w:rPr>
          <w:b/>
          <w:bCs/>
          <w:color w:val="auto"/>
          <w:sz w:val="24"/>
          <w:highlight w:val="none"/>
        </w:rPr>
      </w:pPr>
      <w:r>
        <w:rPr>
          <w:b/>
          <w:bCs/>
          <w:color w:val="auto"/>
          <w:sz w:val="24"/>
          <w:highlight w:val="none"/>
        </w:rPr>
        <w:t xml:space="preserve">2.0.4  </w:t>
      </w:r>
      <w:bookmarkStart w:id="8" w:name="_Hlk140650347"/>
      <w:r>
        <w:rPr>
          <w:b/>
          <w:bCs/>
          <w:color w:val="auto"/>
          <w:sz w:val="24"/>
          <w:highlight w:val="none"/>
        </w:rPr>
        <w:t>套装双真空保温隔热板外保温</w:t>
      </w:r>
      <w:r>
        <w:rPr>
          <w:rFonts w:hint="eastAsia"/>
          <w:b/>
          <w:bCs/>
          <w:color w:val="auto"/>
          <w:sz w:val="24"/>
          <w:highlight w:val="none"/>
        </w:rPr>
        <w:t>工程engineering</w:t>
      </w:r>
      <w:r>
        <w:rPr>
          <w:b/>
          <w:bCs/>
          <w:color w:val="auto"/>
          <w:sz w:val="24"/>
          <w:highlight w:val="none"/>
        </w:rPr>
        <w:t xml:space="preserve"> </w:t>
      </w:r>
      <w:r>
        <w:rPr>
          <w:rFonts w:hint="eastAsia"/>
          <w:b/>
          <w:bCs/>
          <w:color w:val="auto"/>
          <w:sz w:val="24"/>
          <w:highlight w:val="none"/>
        </w:rPr>
        <w:t>s</w:t>
      </w:r>
      <w:r>
        <w:rPr>
          <w:b/>
          <w:bCs/>
          <w:color w:val="auto"/>
          <w:sz w:val="24"/>
          <w:highlight w:val="none"/>
        </w:rPr>
        <w:t>et of double vacuum insulation panel external insulation system</w:t>
      </w:r>
    </w:p>
    <w:p w14:paraId="18BED6AF">
      <w:pPr>
        <w:spacing w:line="360" w:lineRule="auto"/>
        <w:ind w:firstLine="480" w:firstLineChars="200"/>
        <w:rPr>
          <w:b/>
          <w:bCs/>
          <w:color w:val="auto"/>
          <w:sz w:val="24"/>
          <w:highlight w:val="none"/>
        </w:rPr>
      </w:pPr>
      <w:r>
        <w:rPr>
          <w:rFonts w:hint="eastAsia"/>
          <w:color w:val="auto"/>
          <w:sz w:val="24"/>
          <w:highlight w:val="none"/>
        </w:rPr>
        <w:t>将</w:t>
      </w:r>
      <w:r>
        <w:rPr>
          <w:color w:val="auto"/>
          <w:sz w:val="24"/>
          <w:highlight w:val="none"/>
        </w:rPr>
        <w:t>套装双真空保温隔热板外保温系统</w:t>
      </w:r>
      <w:r>
        <w:rPr>
          <w:rFonts w:hint="eastAsia"/>
          <w:color w:val="auto"/>
          <w:sz w:val="24"/>
          <w:highlight w:val="none"/>
        </w:rPr>
        <w:t>通过施工或安装，固定在外墙外表面或内表面上所形成的建筑构造实体。</w:t>
      </w:r>
    </w:p>
    <w:p w14:paraId="3914F514">
      <w:pPr>
        <w:spacing w:line="360" w:lineRule="auto"/>
        <w:outlineLvl w:val="2"/>
        <w:rPr>
          <w:b/>
          <w:bCs/>
          <w:color w:val="auto"/>
          <w:sz w:val="24"/>
          <w:highlight w:val="none"/>
        </w:rPr>
      </w:pPr>
      <w:r>
        <w:rPr>
          <w:b/>
          <w:bCs/>
          <w:color w:val="auto"/>
          <w:sz w:val="24"/>
          <w:highlight w:val="none"/>
        </w:rPr>
        <w:t>2.0.5 套装双真空保温隔热板</w:t>
      </w:r>
      <w:bookmarkEnd w:id="8"/>
      <w:r>
        <w:rPr>
          <w:b/>
          <w:bCs/>
          <w:color w:val="auto"/>
          <w:sz w:val="24"/>
          <w:highlight w:val="none"/>
        </w:rPr>
        <w:t xml:space="preserve">薄抹灰外保温系统 external thermal insulation composite system </w:t>
      </w:r>
      <w:bookmarkStart w:id="9" w:name="_Hlk142578525"/>
      <w:r>
        <w:rPr>
          <w:b/>
          <w:bCs/>
          <w:color w:val="auto"/>
          <w:sz w:val="24"/>
          <w:highlight w:val="none"/>
        </w:rPr>
        <w:t xml:space="preserve">based on </w:t>
      </w:r>
      <w:r>
        <w:rPr>
          <w:rFonts w:hint="eastAsia"/>
          <w:b/>
          <w:bCs/>
          <w:color w:val="auto"/>
          <w:sz w:val="24"/>
          <w:highlight w:val="none"/>
        </w:rPr>
        <w:t>s</w:t>
      </w:r>
      <w:r>
        <w:rPr>
          <w:b/>
          <w:bCs/>
          <w:color w:val="auto"/>
          <w:sz w:val="24"/>
          <w:highlight w:val="none"/>
        </w:rPr>
        <w:t>et of double vacuum insulation panel</w:t>
      </w:r>
      <w:bookmarkEnd w:id="9"/>
    </w:p>
    <w:p w14:paraId="584AC9D8">
      <w:pPr>
        <w:spacing w:line="360" w:lineRule="auto"/>
        <w:ind w:firstLine="480" w:firstLineChars="200"/>
        <w:rPr>
          <w:color w:val="auto"/>
          <w:sz w:val="24"/>
          <w:highlight w:val="none"/>
        </w:rPr>
      </w:pPr>
      <w:r>
        <w:rPr>
          <w:color w:val="auto"/>
          <w:sz w:val="24"/>
          <w:highlight w:val="none"/>
        </w:rPr>
        <w:t>由</w:t>
      </w:r>
      <w:r>
        <w:rPr>
          <w:rFonts w:hint="eastAsia"/>
          <w:color w:val="auto"/>
          <w:sz w:val="24"/>
          <w:highlight w:val="none"/>
        </w:rPr>
        <w:t>防水层、粘结层、</w:t>
      </w:r>
      <w:r>
        <w:rPr>
          <w:color w:val="auto"/>
          <w:sz w:val="24"/>
          <w:highlight w:val="none"/>
        </w:rPr>
        <w:t>套装双真空保温隔热板、防护层</w:t>
      </w:r>
      <w:r>
        <w:rPr>
          <w:rFonts w:hint="eastAsia"/>
          <w:color w:val="auto"/>
          <w:sz w:val="24"/>
          <w:highlight w:val="none"/>
        </w:rPr>
        <w:t>和</w:t>
      </w:r>
      <w:r>
        <w:rPr>
          <w:color w:val="auto"/>
          <w:sz w:val="24"/>
          <w:highlight w:val="none"/>
        </w:rPr>
        <w:t>锚栓等构成，并固定在建筑围护结构表面上的非承重保温构造。根据固定部位不同，分为套装双真空保温隔热板薄抹灰外墙外保温系统</w:t>
      </w:r>
      <w:r>
        <w:rPr>
          <w:rFonts w:hint="eastAsia"/>
          <w:color w:val="auto"/>
          <w:sz w:val="24"/>
          <w:highlight w:val="none"/>
        </w:rPr>
        <w:t>、非透明幕墙</w:t>
      </w:r>
      <w:r>
        <w:rPr>
          <w:color w:val="auto"/>
          <w:sz w:val="24"/>
          <w:highlight w:val="none"/>
        </w:rPr>
        <w:t>套装双真空保温隔热板薄抹灰外墙外保温系统和套装双真空保温隔热板薄抹灰外墙内保温系统。</w:t>
      </w:r>
    </w:p>
    <w:p w14:paraId="085674BC">
      <w:pPr>
        <w:spacing w:line="360" w:lineRule="auto"/>
        <w:outlineLvl w:val="2"/>
        <w:rPr>
          <w:b/>
          <w:bCs/>
          <w:color w:val="auto"/>
          <w:sz w:val="24"/>
          <w:highlight w:val="none"/>
        </w:rPr>
      </w:pPr>
      <w:r>
        <w:rPr>
          <w:b/>
          <w:bCs/>
          <w:color w:val="auto"/>
          <w:sz w:val="24"/>
          <w:highlight w:val="none"/>
        </w:rPr>
        <w:t>2.0.5  套装双真空保温隔热装饰板外墙外保温系统</w:t>
      </w:r>
      <w:r>
        <w:rPr>
          <w:rFonts w:hint="eastAsia"/>
          <w:b/>
          <w:bCs/>
          <w:color w:val="auto"/>
          <w:sz w:val="24"/>
          <w:highlight w:val="none"/>
        </w:rPr>
        <w:t xml:space="preserve"> </w:t>
      </w:r>
      <w:r>
        <w:rPr>
          <w:b/>
          <w:bCs/>
          <w:color w:val="auto"/>
          <w:sz w:val="24"/>
          <w:highlight w:val="none"/>
        </w:rPr>
        <w:t xml:space="preserve">external thermal insulation systems based on </w:t>
      </w:r>
      <w:r>
        <w:rPr>
          <w:rFonts w:hint="eastAsia"/>
          <w:b/>
          <w:bCs/>
          <w:color w:val="auto"/>
          <w:sz w:val="24"/>
          <w:highlight w:val="none"/>
        </w:rPr>
        <w:t>s</w:t>
      </w:r>
      <w:r>
        <w:rPr>
          <w:b/>
          <w:bCs/>
          <w:color w:val="auto"/>
          <w:sz w:val="24"/>
          <w:highlight w:val="none"/>
        </w:rPr>
        <w:t>et of double vacuum insulation decorative panel</w:t>
      </w:r>
    </w:p>
    <w:p w14:paraId="53CC5D66">
      <w:pPr>
        <w:spacing w:line="360" w:lineRule="auto"/>
        <w:ind w:firstLine="480" w:firstLineChars="200"/>
        <w:rPr>
          <w:color w:val="auto"/>
          <w:sz w:val="24"/>
          <w:highlight w:val="none"/>
        </w:rPr>
      </w:pPr>
      <w:r>
        <w:rPr>
          <w:color w:val="auto"/>
          <w:sz w:val="24"/>
          <w:highlight w:val="none"/>
        </w:rPr>
        <w:t>由套装双真空保温隔热装饰板、锚固组件、</w:t>
      </w:r>
      <w:r>
        <w:rPr>
          <w:rFonts w:hint="eastAsia"/>
          <w:color w:val="auto"/>
          <w:sz w:val="24"/>
          <w:highlight w:val="none"/>
        </w:rPr>
        <w:t>粘结层</w:t>
      </w:r>
      <w:r>
        <w:rPr>
          <w:color w:val="auto"/>
          <w:sz w:val="24"/>
          <w:highlight w:val="none"/>
        </w:rPr>
        <w:t>、</w:t>
      </w:r>
      <w:r>
        <w:rPr>
          <w:rFonts w:hint="eastAsia"/>
          <w:color w:val="auto"/>
          <w:sz w:val="24"/>
          <w:highlight w:val="none"/>
        </w:rPr>
        <w:t>防水层、托架、</w:t>
      </w:r>
      <w:r>
        <w:rPr>
          <w:color w:val="auto"/>
          <w:sz w:val="24"/>
          <w:highlight w:val="none"/>
        </w:rPr>
        <w:t>嵌缝材料以及密封胶等组成，固定在建筑围护结构表面上，具有装饰功能的非承重保温构造，简称套装双真空保温隔热装饰板系统。根据固定部位不同，分为套装双真空保温隔热装饰板外墙外保温系统和套装双真空保温隔热装饰板外墙内保温系统。</w:t>
      </w:r>
    </w:p>
    <w:p w14:paraId="2A1E548D">
      <w:pPr>
        <w:spacing w:line="360" w:lineRule="auto"/>
        <w:outlineLvl w:val="2"/>
        <w:rPr>
          <w:b/>
          <w:bCs/>
          <w:color w:val="auto"/>
          <w:sz w:val="24"/>
          <w:highlight w:val="none"/>
        </w:rPr>
      </w:pPr>
      <w:r>
        <w:rPr>
          <w:b/>
          <w:bCs/>
          <w:color w:val="auto"/>
          <w:sz w:val="24"/>
          <w:highlight w:val="none"/>
        </w:rPr>
        <w:t>2.0.6  防护层 rendering system</w:t>
      </w:r>
    </w:p>
    <w:p w14:paraId="4899D64E">
      <w:pPr>
        <w:spacing w:line="360" w:lineRule="auto"/>
        <w:ind w:firstLine="480" w:firstLineChars="200"/>
        <w:rPr>
          <w:color w:val="auto"/>
          <w:sz w:val="24"/>
          <w:highlight w:val="none"/>
        </w:rPr>
      </w:pPr>
      <w:r>
        <w:rPr>
          <w:color w:val="auto"/>
          <w:sz w:val="24"/>
          <w:highlight w:val="none"/>
        </w:rPr>
        <w:t>抹面胶浆层和饰面层的总称，在</w:t>
      </w:r>
      <w:r>
        <w:rPr>
          <w:rFonts w:hint="eastAsia"/>
          <w:color w:val="auto"/>
          <w:sz w:val="24"/>
          <w:highlight w:val="none"/>
        </w:rPr>
        <w:t>套装双真空保温隔热板薄抹灰外保温系统</w:t>
      </w:r>
      <w:r>
        <w:rPr>
          <w:color w:val="auto"/>
          <w:sz w:val="24"/>
          <w:highlight w:val="none"/>
        </w:rPr>
        <w:t>中起保护套装双真空保温隔热板作用的构造层。</w:t>
      </w:r>
    </w:p>
    <w:p w14:paraId="753EFAA0">
      <w:pPr>
        <w:spacing w:line="360" w:lineRule="auto"/>
        <w:outlineLvl w:val="2"/>
        <w:rPr>
          <w:b/>
          <w:bCs/>
          <w:color w:val="auto"/>
          <w:sz w:val="24"/>
          <w:highlight w:val="none"/>
        </w:rPr>
      </w:pPr>
      <w:r>
        <w:rPr>
          <w:b/>
          <w:bCs/>
          <w:color w:val="auto"/>
          <w:sz w:val="24"/>
          <w:highlight w:val="none"/>
        </w:rPr>
        <w:t xml:space="preserve">2.0.7  </w:t>
      </w:r>
      <w:r>
        <w:rPr>
          <w:rFonts w:hint="eastAsia"/>
          <w:b/>
          <w:bCs/>
          <w:color w:val="auto"/>
          <w:sz w:val="24"/>
          <w:highlight w:val="none"/>
        </w:rPr>
        <w:t>套装双真空保温隔热板复合预制墙板 vacuum insulation sandwich composite wall panel</w:t>
      </w:r>
    </w:p>
    <w:p w14:paraId="63830390">
      <w:pPr>
        <w:spacing w:line="360" w:lineRule="auto"/>
        <w:ind w:firstLine="480" w:firstLineChars="200"/>
        <w:rPr>
          <w:color w:val="auto"/>
          <w:sz w:val="24"/>
          <w:highlight w:val="none"/>
        </w:rPr>
      </w:pPr>
      <w:r>
        <w:rPr>
          <w:rFonts w:hint="eastAsia"/>
          <w:color w:val="auto"/>
          <w:sz w:val="24"/>
          <w:highlight w:val="none"/>
        </w:rPr>
        <w:t>由内叶墙板、外叶墙板、中间套装双真空保温隔热板和拉结系统组成的预制混凝土外墙板，简称复合预制墙板。其中拉结系统是墙板内的所有拉结件通过合理排布和锚固形成的将外叶墙板与内叶墙板可靠拉结的系统。</w:t>
      </w:r>
    </w:p>
    <w:p w14:paraId="0AA2A25B">
      <w:pPr>
        <w:spacing w:line="360" w:lineRule="auto"/>
        <w:rPr>
          <w:color w:val="auto"/>
          <w:sz w:val="24"/>
          <w:highlight w:val="none"/>
        </w:rPr>
      </w:pPr>
    </w:p>
    <w:p w14:paraId="4F156354">
      <w:pPr>
        <w:spacing w:line="360" w:lineRule="auto"/>
        <w:ind w:firstLine="480" w:firstLineChars="200"/>
        <w:rPr>
          <w:color w:val="auto"/>
          <w:sz w:val="24"/>
          <w:highlight w:val="none"/>
        </w:rPr>
      </w:pPr>
    </w:p>
    <w:p w14:paraId="70198920">
      <w:pPr>
        <w:spacing w:line="360" w:lineRule="auto"/>
        <w:ind w:firstLine="480" w:firstLineChars="200"/>
        <w:rPr>
          <w:color w:val="auto"/>
          <w:sz w:val="24"/>
          <w:highlight w:val="none"/>
        </w:rPr>
      </w:pPr>
    </w:p>
    <w:p w14:paraId="7015ED33">
      <w:pPr>
        <w:spacing w:line="360" w:lineRule="auto"/>
        <w:ind w:firstLine="480" w:firstLineChars="200"/>
        <w:rPr>
          <w:color w:val="auto"/>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46C1E312">
      <w:pPr>
        <w:pStyle w:val="27"/>
        <w:numPr>
          <w:ilvl w:val="0"/>
          <w:numId w:val="2"/>
        </w:numPr>
        <w:spacing w:after="240"/>
        <w:ind w:firstLineChars="0"/>
        <w:jc w:val="center"/>
        <w:outlineLvl w:val="0"/>
        <w:rPr>
          <w:bCs/>
          <w:color w:val="auto"/>
          <w:sz w:val="36"/>
          <w:szCs w:val="32"/>
          <w:highlight w:val="none"/>
        </w:rPr>
      </w:pPr>
      <w:bookmarkStart w:id="10" w:name="_Toc141875134"/>
      <w:bookmarkStart w:id="11" w:name="_Toc32252"/>
      <w:bookmarkStart w:id="12" w:name="_Toc74137291"/>
      <w:r>
        <w:rPr>
          <w:bCs/>
          <w:color w:val="auto"/>
          <w:sz w:val="36"/>
          <w:szCs w:val="32"/>
          <w:highlight w:val="none"/>
        </w:rPr>
        <w:t>基本规定</w:t>
      </w:r>
      <w:bookmarkEnd w:id="10"/>
      <w:bookmarkEnd w:id="11"/>
      <w:bookmarkEnd w:id="12"/>
    </w:p>
    <w:p w14:paraId="11CAF4CC">
      <w:pPr>
        <w:spacing w:line="360" w:lineRule="auto"/>
        <w:outlineLvl w:val="2"/>
        <w:rPr>
          <w:color w:val="auto"/>
          <w:sz w:val="24"/>
          <w:highlight w:val="none"/>
        </w:rPr>
      </w:pPr>
      <w:r>
        <w:rPr>
          <w:b/>
          <w:bCs/>
          <w:color w:val="auto"/>
          <w:sz w:val="24"/>
          <w:highlight w:val="none"/>
        </w:rPr>
        <w:t xml:space="preserve">3.0.1  </w:t>
      </w:r>
      <w:r>
        <w:rPr>
          <w:color w:val="auto"/>
          <w:sz w:val="24"/>
          <w:highlight w:val="none"/>
        </w:rPr>
        <w:t>套装双真空保温隔热板外保温工程应符合下列规定：</w:t>
      </w:r>
    </w:p>
    <w:p w14:paraId="3C8A93DF">
      <w:pPr>
        <w:spacing w:line="360" w:lineRule="auto"/>
        <w:ind w:firstLine="482" w:firstLineChars="200"/>
        <w:outlineLvl w:val="2"/>
        <w:rPr>
          <w:color w:val="auto"/>
          <w:sz w:val="24"/>
          <w:highlight w:val="none"/>
        </w:rPr>
      </w:pPr>
      <w:r>
        <w:rPr>
          <w:b/>
          <w:bCs/>
          <w:color w:val="auto"/>
          <w:sz w:val="24"/>
          <w:highlight w:val="none"/>
        </w:rPr>
        <w:t>1</w:t>
      </w:r>
      <w:r>
        <w:rPr>
          <w:color w:val="auto"/>
          <w:sz w:val="24"/>
          <w:highlight w:val="none"/>
        </w:rPr>
        <w:t xml:space="preserve">  应与基层可靠连接，并应有适应主体结构在各种荷载和作用下变形的能力</w:t>
      </w:r>
      <w:r>
        <w:rPr>
          <w:rFonts w:hint="eastAsia"/>
          <w:color w:val="auto"/>
          <w:sz w:val="24"/>
          <w:highlight w:val="none"/>
        </w:rPr>
        <w:t>。</w:t>
      </w:r>
    </w:p>
    <w:p w14:paraId="7F4C341C">
      <w:pPr>
        <w:spacing w:line="360" w:lineRule="auto"/>
        <w:ind w:firstLine="482" w:firstLineChars="200"/>
        <w:outlineLvl w:val="2"/>
        <w:rPr>
          <w:color w:val="auto"/>
          <w:sz w:val="24"/>
          <w:highlight w:val="none"/>
        </w:rPr>
      </w:pPr>
      <w:r>
        <w:rPr>
          <w:b/>
          <w:bCs/>
          <w:color w:val="auto"/>
          <w:sz w:val="24"/>
          <w:highlight w:val="none"/>
        </w:rPr>
        <w:t xml:space="preserve">2 </w:t>
      </w:r>
      <w:r>
        <w:rPr>
          <w:color w:val="auto"/>
          <w:sz w:val="24"/>
          <w:highlight w:val="none"/>
        </w:rPr>
        <w:t xml:space="preserve"> 在基层正常变形以及承受自重、风荷载和室外气候的长期反复作用下，不应产生裂缝、空鼓，不得发生剥落或脱落等破坏</w:t>
      </w:r>
      <w:r>
        <w:rPr>
          <w:rFonts w:hint="eastAsia"/>
          <w:color w:val="auto"/>
          <w:sz w:val="24"/>
          <w:highlight w:val="none"/>
        </w:rPr>
        <w:t>。</w:t>
      </w:r>
    </w:p>
    <w:p w14:paraId="3A7A0161">
      <w:pPr>
        <w:spacing w:line="360" w:lineRule="auto"/>
        <w:ind w:firstLine="482" w:firstLineChars="200"/>
        <w:jc w:val="left"/>
        <w:outlineLvl w:val="2"/>
        <w:rPr>
          <w:color w:val="auto"/>
          <w:sz w:val="24"/>
          <w:highlight w:val="none"/>
        </w:rPr>
      </w:pPr>
      <w:r>
        <w:rPr>
          <w:b/>
          <w:bCs/>
          <w:color w:val="auto"/>
          <w:sz w:val="24"/>
          <w:highlight w:val="none"/>
        </w:rPr>
        <w:t>3</w:t>
      </w:r>
      <w:r>
        <w:rPr>
          <w:color w:val="auto"/>
          <w:sz w:val="24"/>
          <w:highlight w:val="none"/>
        </w:rPr>
        <w:t xml:space="preserve">  在抗震设防烈度作用下不应从基层脱落</w:t>
      </w:r>
      <w:r>
        <w:rPr>
          <w:rFonts w:hint="eastAsia"/>
          <w:color w:val="auto"/>
          <w:sz w:val="24"/>
          <w:highlight w:val="none"/>
        </w:rPr>
        <w:t>。</w:t>
      </w:r>
    </w:p>
    <w:p w14:paraId="2A7AE66D">
      <w:pPr>
        <w:spacing w:line="360" w:lineRule="auto"/>
        <w:ind w:firstLine="482" w:firstLineChars="200"/>
        <w:jc w:val="left"/>
        <w:outlineLvl w:val="2"/>
        <w:rPr>
          <w:color w:val="auto"/>
          <w:sz w:val="24"/>
          <w:highlight w:val="none"/>
        </w:rPr>
      </w:pPr>
      <w:r>
        <w:rPr>
          <w:b/>
          <w:bCs/>
          <w:color w:val="auto"/>
          <w:sz w:val="24"/>
          <w:highlight w:val="none"/>
        </w:rPr>
        <w:t xml:space="preserve">4  </w:t>
      </w:r>
      <w:r>
        <w:rPr>
          <w:color w:val="auto"/>
          <w:sz w:val="24"/>
          <w:highlight w:val="none"/>
        </w:rPr>
        <w:t>各组成部分应具有物理</w:t>
      </w:r>
      <w:r>
        <w:rPr>
          <w:rFonts w:hint="eastAsia"/>
          <w:color w:val="auto"/>
          <w:sz w:val="24"/>
          <w:highlight w:val="none"/>
          <w:lang w:eastAsia="zh-CN"/>
        </w:rPr>
        <w:t>－</w:t>
      </w:r>
      <w:r>
        <w:rPr>
          <w:color w:val="auto"/>
          <w:sz w:val="24"/>
          <w:highlight w:val="none"/>
        </w:rPr>
        <w:t>化学稳定性。所有组成材料应彼此相容并具有防腐性。在可能受到生物侵害时，外保温工程还应具有防生物侵害性能。</w:t>
      </w:r>
    </w:p>
    <w:p w14:paraId="5ECF8961">
      <w:pPr>
        <w:spacing w:line="360" w:lineRule="auto"/>
        <w:rPr>
          <w:rFonts w:hint="eastAsia" w:ascii="仿宋_GB2312" w:eastAsia="仿宋_GB2312"/>
          <w:color w:val="auto"/>
          <w:sz w:val="24"/>
          <w:highlight w:val="none"/>
          <w:lang w:val="en-US" w:eastAsia="zh-CN"/>
        </w:rPr>
      </w:pPr>
      <w:r>
        <w:rPr>
          <w:rFonts w:hint="eastAsia" w:ascii="仿宋_GB2312" w:eastAsia="仿宋_GB2312"/>
          <w:color w:val="auto"/>
          <w:sz w:val="24"/>
          <w:highlight w:val="none"/>
        </w:rPr>
        <w:t>【条文说明】</w:t>
      </w:r>
      <w:r>
        <w:rPr>
          <w:rFonts w:ascii="仿宋_GB2312" w:eastAsia="仿宋_GB2312"/>
          <w:color w:val="auto"/>
          <w:sz w:val="24"/>
          <w:highlight w:val="none"/>
        </w:rPr>
        <w:t>3.0.1</w:t>
      </w:r>
      <w:r>
        <w:rPr>
          <w:rFonts w:hint="eastAsia" w:ascii="仿宋_GB2312" w:eastAsia="仿宋_GB2312"/>
          <w:color w:val="auto"/>
          <w:sz w:val="24"/>
          <w:highlight w:val="none"/>
        </w:rPr>
        <w:t xml:space="preserve">  </w:t>
      </w:r>
      <w:r>
        <w:rPr>
          <w:rFonts w:ascii="仿宋_GB2312" w:eastAsia="仿宋_GB2312"/>
          <w:color w:val="auto"/>
          <w:sz w:val="24"/>
          <w:highlight w:val="none"/>
        </w:rPr>
        <w:t>套装双真空保温隔热板外保温工程</w:t>
      </w:r>
      <w:r>
        <w:rPr>
          <w:rFonts w:hint="eastAsia" w:ascii="仿宋_GB2312" w:eastAsia="仿宋_GB2312"/>
          <w:color w:val="auto"/>
          <w:sz w:val="24"/>
          <w:highlight w:val="none"/>
        </w:rPr>
        <w:t>在重力荷载、风荷载、地震作用、温度作用和主体结构正常变形影响下，应具有安全性，并应符合现行国家标准《建筑结构荷载规范》GB</w:t>
      </w:r>
      <w:r>
        <w:rPr>
          <w:rFonts w:hint="eastAsia" w:ascii="仿宋_GB2312" w:eastAsia="仿宋_GB2312"/>
          <w:color w:val="auto"/>
          <w:sz w:val="24"/>
          <w:highlight w:val="none"/>
          <w:lang w:val="en-US" w:eastAsia="zh-CN"/>
        </w:rPr>
        <w:t xml:space="preserve"> </w:t>
      </w:r>
      <w:r>
        <w:rPr>
          <w:rFonts w:hint="eastAsia" w:ascii="仿宋_GB2312" w:eastAsia="仿宋_GB2312"/>
          <w:color w:val="auto"/>
          <w:sz w:val="24"/>
          <w:highlight w:val="none"/>
        </w:rPr>
        <w:t>50009和《建筑抗震设计规范》GB50011的有关规定。本条强调</w:t>
      </w:r>
      <w:r>
        <w:rPr>
          <w:rFonts w:ascii="仿宋_GB2312" w:eastAsia="仿宋_GB2312"/>
          <w:color w:val="auto"/>
          <w:sz w:val="24"/>
          <w:highlight w:val="none"/>
        </w:rPr>
        <w:t>套装双真空保温隔热板外保温系统</w:t>
      </w:r>
      <w:r>
        <w:rPr>
          <w:rFonts w:hint="eastAsia" w:ascii="仿宋_GB2312" w:eastAsia="仿宋_GB2312"/>
          <w:color w:val="auto"/>
          <w:sz w:val="24"/>
          <w:highlight w:val="none"/>
        </w:rPr>
        <w:t>应与基层牢固、安全、可靠连接，不能因外界正常变化因素而出现有害裂缝、脱落的质量问题。</w:t>
      </w:r>
      <w:r>
        <w:rPr>
          <w:rFonts w:hint="eastAsia" w:ascii="仿宋_GB2312" w:eastAsia="仿宋_GB2312"/>
          <w:color w:val="auto"/>
          <w:sz w:val="24"/>
          <w:highlight w:val="none"/>
          <w:lang w:val="en-US" w:eastAsia="zh-CN"/>
        </w:rPr>
        <w:t>条文中的生物侵害包括</w:t>
      </w:r>
      <w:r>
        <w:rPr>
          <w:rFonts w:hint="eastAsia" w:ascii="仿宋_GB2312" w:eastAsia="仿宋_GB2312"/>
          <w:color w:val="auto"/>
          <w:sz w:val="24"/>
          <w:highlight w:val="none"/>
        </w:rPr>
        <w:t>鼠害、虫害等</w:t>
      </w:r>
      <w:r>
        <w:rPr>
          <w:rFonts w:hint="eastAsia" w:ascii="仿宋_GB2312" w:eastAsia="仿宋_GB2312"/>
          <w:color w:val="auto"/>
          <w:sz w:val="24"/>
          <w:highlight w:val="none"/>
          <w:lang w:eastAsia="zh-CN"/>
        </w:rPr>
        <w:t>。</w:t>
      </w:r>
    </w:p>
    <w:p w14:paraId="2F281C9A">
      <w:pPr>
        <w:spacing w:line="360" w:lineRule="auto"/>
        <w:outlineLvl w:val="2"/>
        <w:rPr>
          <w:b/>
          <w:bCs/>
          <w:color w:val="auto"/>
          <w:sz w:val="24"/>
          <w:highlight w:val="none"/>
        </w:rPr>
      </w:pPr>
      <w:r>
        <w:rPr>
          <w:b/>
          <w:bCs/>
          <w:color w:val="auto"/>
          <w:sz w:val="24"/>
          <w:highlight w:val="none"/>
        </w:rPr>
        <w:t xml:space="preserve">3.0.2  </w:t>
      </w:r>
      <w:r>
        <w:rPr>
          <w:color w:val="auto"/>
          <w:sz w:val="24"/>
          <w:highlight w:val="none"/>
        </w:rPr>
        <w:t>套装双真空保温隔热板外保温系统应具有防止水渗透性能与透气性能。</w:t>
      </w:r>
    </w:p>
    <w:p w14:paraId="57B3F7D3">
      <w:pPr>
        <w:spacing w:line="360" w:lineRule="auto"/>
        <w:outlineLvl w:val="2"/>
        <w:rPr>
          <w:color w:val="auto"/>
          <w:sz w:val="24"/>
          <w:highlight w:val="none"/>
        </w:rPr>
      </w:pPr>
      <w:r>
        <w:rPr>
          <w:b/>
          <w:bCs/>
          <w:color w:val="auto"/>
          <w:sz w:val="24"/>
          <w:highlight w:val="none"/>
        </w:rPr>
        <w:t xml:space="preserve">3.0.3  </w:t>
      </w:r>
      <w:r>
        <w:rPr>
          <w:color w:val="auto"/>
          <w:sz w:val="24"/>
          <w:highlight w:val="none"/>
        </w:rPr>
        <w:t>套装双真空保温隔热板外保温系统复合墙体的节能要求应符合现行国家标准《建筑节能与可再生能源利用通用规范》GB 55015的有关规定，当应用于超低能耗建筑时，尚应符合现行国家《近零能耗建筑技术标准》GB/T 51350的有关规定。套装双真空保温隔热装饰板外墙外保温复合墙体的防潮性能应符合现行国家标准《民用建筑热工设计规范》GB 50176的有关规定。</w:t>
      </w:r>
    </w:p>
    <w:p w14:paraId="6628D8CC">
      <w:pPr>
        <w:spacing w:line="360" w:lineRule="auto"/>
        <w:outlineLvl w:val="2"/>
        <w:rPr>
          <w:color w:val="auto"/>
          <w:sz w:val="24"/>
          <w:highlight w:val="none"/>
        </w:rPr>
      </w:pPr>
      <w:r>
        <w:rPr>
          <w:b/>
          <w:bCs/>
          <w:color w:val="auto"/>
          <w:sz w:val="24"/>
          <w:highlight w:val="none"/>
        </w:rPr>
        <w:t>3.0.4</w:t>
      </w:r>
      <w:r>
        <w:rPr>
          <w:color w:val="auto"/>
          <w:sz w:val="24"/>
          <w:highlight w:val="none"/>
        </w:rPr>
        <w:t xml:space="preserve">  套装双真空保温隔热板外保温系统的防火安全设计应符合现行国家标准《建筑防火通用规范》GB 55037和《建筑设计防火规范》GB 50016的有关规定，施工防火安全应符合国家现行标准《建设工程施工现场消防安全技术规范》GB 50720的有关规定。</w:t>
      </w:r>
    </w:p>
    <w:p w14:paraId="12AB4795">
      <w:pPr>
        <w:spacing w:line="360" w:lineRule="auto"/>
        <w:rPr>
          <w:rFonts w:ascii="仿宋_GB2312" w:eastAsia="仿宋_GB2312"/>
          <w:color w:val="auto"/>
          <w:sz w:val="24"/>
          <w:highlight w:val="none"/>
        </w:rPr>
      </w:pPr>
      <w:r>
        <w:rPr>
          <w:rFonts w:hint="eastAsia" w:ascii="仿宋_GB2312" w:eastAsia="仿宋_GB2312"/>
          <w:color w:val="auto"/>
          <w:sz w:val="24"/>
          <w:highlight w:val="none"/>
        </w:rPr>
        <w:t>【条文说明】</w:t>
      </w:r>
      <w:r>
        <w:rPr>
          <w:rFonts w:ascii="仿宋_GB2312" w:eastAsia="仿宋_GB2312"/>
          <w:color w:val="auto"/>
          <w:sz w:val="24"/>
          <w:highlight w:val="none"/>
        </w:rPr>
        <w:t>3.0.3~3.0.4</w:t>
      </w:r>
      <w:r>
        <w:rPr>
          <w:rFonts w:hint="eastAsia" w:ascii="仿宋_GB2312" w:eastAsia="仿宋_GB2312"/>
          <w:color w:val="auto"/>
          <w:sz w:val="24"/>
          <w:highlight w:val="none"/>
        </w:rPr>
        <w:t xml:space="preserve">  本条对套装双真空保温隔热板外保温系统的防火、保温的性能提出明确基本要求。</w:t>
      </w:r>
    </w:p>
    <w:p w14:paraId="760BE3DA">
      <w:pPr>
        <w:spacing w:line="360" w:lineRule="auto"/>
        <w:outlineLvl w:val="2"/>
        <w:rPr>
          <w:color w:val="auto"/>
          <w:sz w:val="24"/>
          <w:highlight w:val="none"/>
        </w:rPr>
      </w:pPr>
      <w:r>
        <w:rPr>
          <w:b/>
          <w:bCs/>
          <w:color w:val="auto"/>
          <w:sz w:val="24"/>
          <w:highlight w:val="none"/>
        </w:rPr>
        <w:t xml:space="preserve">3.0.5  </w:t>
      </w:r>
      <w:r>
        <w:rPr>
          <w:color w:val="auto"/>
          <w:sz w:val="24"/>
          <w:highlight w:val="none"/>
        </w:rPr>
        <w:t>套装双真空保温隔热板外保温工程施工应符合现行国家标准《建筑工程绿色施工规范》GB/T 50905的有关规定。</w:t>
      </w:r>
    </w:p>
    <w:p w14:paraId="70E00AB9">
      <w:pPr>
        <w:spacing w:line="360" w:lineRule="auto"/>
        <w:outlineLvl w:val="2"/>
        <w:rPr>
          <w:color w:val="auto"/>
          <w:sz w:val="24"/>
          <w:highlight w:val="none"/>
        </w:rPr>
      </w:pPr>
      <w:r>
        <w:rPr>
          <w:b/>
          <w:bCs/>
          <w:color w:val="auto"/>
          <w:sz w:val="24"/>
          <w:highlight w:val="none"/>
        </w:rPr>
        <w:t xml:space="preserve">3.0.6 </w:t>
      </w:r>
      <w:r>
        <w:rPr>
          <w:color w:val="auto"/>
          <w:sz w:val="24"/>
          <w:highlight w:val="none"/>
        </w:rPr>
        <w:t xml:space="preserve"> 套装双真空保温隔热板外保温工程在正确使用和正常维护条件下，使用年限不应少于25年。</w:t>
      </w:r>
    </w:p>
    <w:p w14:paraId="629C1FC2">
      <w:pPr>
        <w:spacing w:line="360" w:lineRule="auto"/>
        <w:rPr>
          <w:rFonts w:ascii="仿宋_GB2312" w:eastAsia="仿宋_GB2312"/>
          <w:color w:val="auto"/>
          <w:sz w:val="24"/>
          <w:highlight w:val="none"/>
        </w:rPr>
      </w:pPr>
      <w:r>
        <w:rPr>
          <w:rFonts w:hint="eastAsia" w:ascii="仿宋_GB2312" w:eastAsia="仿宋_GB2312"/>
          <w:color w:val="auto"/>
          <w:sz w:val="24"/>
          <w:highlight w:val="none"/>
        </w:rPr>
        <w:t>【条文说明】</w:t>
      </w:r>
      <w:r>
        <w:rPr>
          <w:rFonts w:ascii="仿宋_GB2312" w:eastAsia="仿宋_GB2312"/>
          <w:color w:val="auto"/>
          <w:sz w:val="24"/>
          <w:highlight w:val="none"/>
        </w:rPr>
        <w:t>3.0.6</w:t>
      </w:r>
      <w:r>
        <w:rPr>
          <w:rFonts w:hint="eastAsia" w:ascii="仿宋_GB2312" w:eastAsia="仿宋_GB2312"/>
          <w:color w:val="auto"/>
          <w:sz w:val="24"/>
          <w:highlight w:val="none"/>
        </w:rPr>
        <w:t xml:space="preserve"> </w:t>
      </w:r>
      <w:r>
        <w:rPr>
          <w:rFonts w:ascii="仿宋_GB2312" w:eastAsia="仿宋_GB2312"/>
          <w:color w:val="auto"/>
          <w:sz w:val="24"/>
          <w:highlight w:val="none"/>
        </w:rPr>
        <w:t xml:space="preserve"> </w:t>
      </w:r>
      <w:r>
        <w:rPr>
          <w:rFonts w:hint="eastAsia" w:ascii="仿宋_GB2312" w:eastAsia="仿宋_GB2312"/>
          <w:color w:val="auto"/>
          <w:sz w:val="24"/>
          <w:highlight w:val="none"/>
        </w:rPr>
        <w:t>套装双真空保温隔热板外保温系统已有较多应用，规定套装双真空保温隔热板外保温系统应用年限应符合现行国家行业标准的有关规定。 现行行业标准《</w:t>
      </w:r>
      <w:r>
        <w:rPr>
          <w:rFonts w:hint="eastAsia" w:ascii="仿宋_GB2312" w:eastAsia="仿宋_GB2312"/>
          <w:color w:val="auto"/>
          <w:sz w:val="24"/>
          <w:highlight w:val="none"/>
          <w:lang w:eastAsia="zh-CN"/>
        </w:rPr>
        <w:t>外墙外保温工程技术标准</w:t>
      </w:r>
      <w:r>
        <w:rPr>
          <w:rFonts w:hint="eastAsia" w:ascii="仿宋_GB2312" w:eastAsia="仿宋_GB2312"/>
          <w:color w:val="auto"/>
          <w:sz w:val="24"/>
          <w:highlight w:val="none"/>
        </w:rPr>
        <w:t>》</w:t>
      </w:r>
      <w:r>
        <w:rPr>
          <w:rFonts w:hint="eastAsia" w:ascii="仿宋_GB2312" w:eastAsia="仿宋_GB2312"/>
          <w:color w:val="auto"/>
          <w:sz w:val="24"/>
          <w:highlight w:val="none"/>
          <w:lang w:eastAsia="zh-CN"/>
        </w:rPr>
        <w:t>JGJ 144</w:t>
      </w:r>
      <w:r>
        <w:rPr>
          <w:rFonts w:hint="eastAsia" w:ascii="仿宋_GB2312" w:eastAsia="仿宋_GB2312"/>
          <w:color w:val="auto"/>
          <w:sz w:val="24"/>
          <w:highlight w:val="none"/>
        </w:rPr>
        <w:t>中规定，在正常使用和正常维护的条件下，外墙外保温系统的使用年限不应低于25年。</w:t>
      </w:r>
    </w:p>
    <w:p w14:paraId="57D004EF">
      <w:pPr>
        <w:spacing w:line="360" w:lineRule="auto"/>
        <w:outlineLvl w:val="2"/>
        <w:rPr>
          <w:color w:val="auto"/>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b/>
          <w:bCs/>
          <w:color w:val="auto"/>
          <w:sz w:val="24"/>
          <w:highlight w:val="none"/>
        </w:rPr>
        <w:t>3.0.7</w:t>
      </w:r>
      <w:r>
        <w:rPr>
          <w:color w:val="auto"/>
          <w:sz w:val="24"/>
          <w:highlight w:val="none"/>
        </w:rPr>
        <w:t xml:space="preserve">  本规程检测数据的判定应采用现行国家标准《数值修约规则与极限数值的表示和判定》GB/T 8170中规定的修约值比较法。</w:t>
      </w:r>
    </w:p>
    <w:p w14:paraId="0461EBC4">
      <w:pPr>
        <w:pStyle w:val="27"/>
        <w:numPr>
          <w:ilvl w:val="0"/>
          <w:numId w:val="2"/>
        </w:numPr>
        <w:spacing w:after="240"/>
        <w:ind w:firstLineChars="0"/>
        <w:jc w:val="center"/>
        <w:outlineLvl w:val="0"/>
        <w:rPr>
          <w:bCs/>
          <w:color w:val="auto"/>
          <w:sz w:val="36"/>
          <w:szCs w:val="32"/>
          <w:highlight w:val="none"/>
        </w:rPr>
      </w:pPr>
      <w:bookmarkStart w:id="13" w:name="_Toc22123"/>
      <w:bookmarkStart w:id="14" w:name="_Toc141875135"/>
      <w:r>
        <w:rPr>
          <w:bCs/>
          <w:color w:val="auto"/>
          <w:sz w:val="36"/>
          <w:szCs w:val="32"/>
          <w:highlight w:val="none"/>
        </w:rPr>
        <w:t>性能要求</w:t>
      </w:r>
      <w:bookmarkEnd w:id="13"/>
      <w:bookmarkEnd w:id="14"/>
    </w:p>
    <w:p w14:paraId="58D84348">
      <w:pPr>
        <w:pStyle w:val="27"/>
        <w:numPr>
          <w:ilvl w:val="1"/>
          <w:numId w:val="2"/>
        </w:numPr>
        <w:ind w:left="567" w:firstLineChars="0"/>
        <w:jc w:val="center"/>
        <w:outlineLvl w:val="1"/>
        <w:rPr>
          <w:bCs/>
          <w:color w:val="auto"/>
          <w:sz w:val="28"/>
          <w:szCs w:val="24"/>
          <w:highlight w:val="none"/>
        </w:rPr>
      </w:pPr>
      <w:bookmarkStart w:id="15" w:name="_Toc8150"/>
      <w:bookmarkStart w:id="16" w:name="_Toc141875136"/>
      <w:r>
        <w:rPr>
          <w:bCs/>
          <w:color w:val="auto"/>
          <w:sz w:val="28"/>
          <w:szCs w:val="24"/>
          <w:highlight w:val="none"/>
        </w:rPr>
        <w:t>一般规定</w:t>
      </w:r>
      <w:bookmarkEnd w:id="15"/>
      <w:bookmarkEnd w:id="16"/>
    </w:p>
    <w:p w14:paraId="2BE93278">
      <w:pPr>
        <w:pStyle w:val="27"/>
        <w:numPr>
          <w:ilvl w:val="2"/>
          <w:numId w:val="2"/>
        </w:numPr>
        <w:spacing w:line="360" w:lineRule="auto"/>
        <w:ind w:left="0" w:firstLine="0" w:firstLineChars="0"/>
        <w:outlineLvl w:val="2"/>
        <w:rPr>
          <w:bCs/>
          <w:color w:val="auto"/>
          <w:sz w:val="24"/>
          <w:szCs w:val="24"/>
          <w:highlight w:val="none"/>
        </w:rPr>
      </w:pPr>
      <w:r>
        <w:rPr>
          <w:bCs/>
          <w:color w:val="auto"/>
          <w:sz w:val="24"/>
          <w:szCs w:val="24"/>
          <w:highlight w:val="none"/>
        </w:rPr>
        <w:t>套装双真空保温隔热板外保温工程组成材料应符合工程安全和环境保护的规定。其中防水涂料有害物质限量应符合现行行业标准《建筑防水涂料中有害物质限量》</w:t>
      </w:r>
      <w:r>
        <w:rPr>
          <w:rFonts w:hint="eastAsia"/>
          <w:bCs/>
          <w:color w:val="auto"/>
          <w:sz w:val="24"/>
          <w:szCs w:val="24"/>
          <w:highlight w:val="none"/>
          <w:lang w:eastAsia="zh-CN"/>
        </w:rPr>
        <w:t>JC 1066</w:t>
      </w:r>
      <w:r>
        <w:rPr>
          <w:bCs/>
          <w:color w:val="auto"/>
          <w:sz w:val="24"/>
          <w:szCs w:val="24"/>
          <w:highlight w:val="none"/>
        </w:rPr>
        <w:t>的</w:t>
      </w:r>
      <w:r>
        <w:rPr>
          <w:rFonts w:hint="eastAsia"/>
          <w:bCs/>
          <w:color w:val="auto"/>
          <w:sz w:val="24"/>
          <w:szCs w:val="24"/>
          <w:highlight w:val="none"/>
        </w:rPr>
        <w:t>有关</w:t>
      </w:r>
      <w:r>
        <w:rPr>
          <w:bCs/>
          <w:color w:val="auto"/>
          <w:sz w:val="24"/>
          <w:szCs w:val="24"/>
          <w:highlight w:val="none"/>
        </w:rPr>
        <w:t>规定。</w:t>
      </w:r>
    </w:p>
    <w:p w14:paraId="578AB57A">
      <w:pPr>
        <w:pStyle w:val="27"/>
        <w:numPr>
          <w:ilvl w:val="2"/>
          <w:numId w:val="2"/>
        </w:numPr>
        <w:spacing w:line="360" w:lineRule="auto"/>
        <w:ind w:left="0" w:firstLine="0" w:firstLineChars="0"/>
        <w:outlineLvl w:val="2"/>
        <w:rPr>
          <w:bCs/>
          <w:color w:val="auto"/>
          <w:sz w:val="24"/>
          <w:szCs w:val="24"/>
          <w:highlight w:val="none"/>
        </w:rPr>
      </w:pPr>
      <w:r>
        <w:rPr>
          <w:bCs/>
          <w:color w:val="auto"/>
          <w:sz w:val="24"/>
          <w:szCs w:val="24"/>
          <w:highlight w:val="none"/>
        </w:rPr>
        <w:t>套装双真空保温隔热板薄抹灰外墙内保温系统和套装双真空保温隔热装饰板系统外墙内保温系统组成材料应符合现行国家标准《民用建筑工程室内环境污染控制标准》GB 50325和《建筑材料放射性核素限量》GB 6566的</w:t>
      </w:r>
      <w:r>
        <w:rPr>
          <w:rFonts w:hint="eastAsia"/>
          <w:bCs/>
          <w:color w:val="auto"/>
          <w:sz w:val="24"/>
          <w:szCs w:val="24"/>
          <w:highlight w:val="none"/>
          <w:lang w:eastAsia="zh-CN"/>
        </w:rPr>
        <w:t>有关</w:t>
      </w:r>
      <w:r>
        <w:rPr>
          <w:bCs/>
          <w:color w:val="auto"/>
          <w:sz w:val="24"/>
          <w:szCs w:val="24"/>
          <w:highlight w:val="none"/>
        </w:rPr>
        <w:t>规定。</w:t>
      </w:r>
    </w:p>
    <w:p w14:paraId="1414FE2C">
      <w:pPr>
        <w:spacing w:line="360" w:lineRule="auto"/>
        <w:rPr>
          <w:bCs/>
          <w:color w:val="auto"/>
          <w:sz w:val="24"/>
          <w:szCs w:val="24"/>
          <w:highlight w:val="none"/>
        </w:rPr>
      </w:pPr>
      <w:r>
        <w:rPr>
          <w:rFonts w:hint="eastAsia" w:ascii="仿宋_GB2312" w:eastAsia="仿宋_GB2312"/>
          <w:color w:val="auto"/>
          <w:sz w:val="24"/>
          <w:highlight w:val="none"/>
        </w:rPr>
        <w:t>【条文说明】4.1.</w:t>
      </w:r>
      <w:r>
        <w:rPr>
          <w:rFonts w:ascii="仿宋_GB2312" w:eastAsia="仿宋_GB2312"/>
          <w:color w:val="auto"/>
          <w:sz w:val="24"/>
          <w:highlight w:val="none"/>
        </w:rPr>
        <w:t>1~</w:t>
      </w:r>
      <w:r>
        <w:rPr>
          <w:rFonts w:hint="eastAsia" w:ascii="仿宋_GB2312" w:eastAsia="仿宋_GB2312"/>
          <w:color w:val="auto"/>
          <w:sz w:val="24"/>
          <w:highlight w:val="none"/>
        </w:rPr>
        <w:t>4.1.</w:t>
      </w:r>
      <w:r>
        <w:rPr>
          <w:rFonts w:ascii="仿宋_GB2312" w:eastAsia="仿宋_GB2312"/>
          <w:color w:val="auto"/>
          <w:sz w:val="24"/>
          <w:highlight w:val="none"/>
        </w:rPr>
        <w:t xml:space="preserve">2 </w:t>
      </w:r>
      <w:r>
        <w:rPr>
          <w:rFonts w:hint="eastAsia" w:ascii="仿宋_GB2312" w:eastAsia="仿宋_GB2312"/>
          <w:color w:val="auto"/>
          <w:sz w:val="24"/>
          <w:highlight w:val="none"/>
        </w:rPr>
        <w:t>条文规定套装双真空保温隔热板外保温工程中应用的全部材料必须环保。建筑节能工程使用的材料与建筑装饰装修材料类似，容易造成污染，为了保护环境和人身健康，因此规定墙体内保温工程所有组成材料应符合有害物质限量标准，不得对室内外环境造成污染。</w:t>
      </w:r>
    </w:p>
    <w:p w14:paraId="327E2C07">
      <w:pPr>
        <w:pStyle w:val="27"/>
        <w:numPr>
          <w:ilvl w:val="1"/>
          <w:numId w:val="2"/>
        </w:numPr>
        <w:ind w:left="567" w:firstLineChars="0"/>
        <w:jc w:val="center"/>
        <w:outlineLvl w:val="1"/>
        <w:rPr>
          <w:bCs/>
          <w:color w:val="auto"/>
          <w:sz w:val="28"/>
          <w:szCs w:val="24"/>
          <w:highlight w:val="none"/>
        </w:rPr>
      </w:pPr>
      <w:bookmarkStart w:id="17" w:name="_Toc141875137"/>
      <w:bookmarkStart w:id="18" w:name="_Toc8418"/>
      <w:r>
        <w:rPr>
          <w:bCs/>
          <w:color w:val="auto"/>
          <w:sz w:val="28"/>
          <w:szCs w:val="24"/>
          <w:highlight w:val="none"/>
        </w:rPr>
        <w:t>系统</w:t>
      </w:r>
      <w:bookmarkEnd w:id="17"/>
      <w:r>
        <w:rPr>
          <w:rFonts w:hint="eastAsia"/>
          <w:bCs/>
          <w:color w:val="auto"/>
          <w:sz w:val="28"/>
          <w:szCs w:val="24"/>
          <w:highlight w:val="none"/>
          <w:lang w:val="en-US" w:eastAsia="zh-CN"/>
        </w:rPr>
        <w:t>性能</w:t>
      </w:r>
      <w:bookmarkEnd w:id="18"/>
    </w:p>
    <w:p w14:paraId="08E1A7A7">
      <w:pPr>
        <w:pStyle w:val="27"/>
        <w:numPr>
          <w:ilvl w:val="2"/>
          <w:numId w:val="2"/>
        </w:numPr>
        <w:spacing w:line="360" w:lineRule="auto"/>
        <w:ind w:left="0" w:firstLine="0" w:firstLineChars="0"/>
        <w:outlineLvl w:val="2"/>
        <w:rPr>
          <w:bCs/>
          <w:color w:val="auto"/>
          <w:sz w:val="24"/>
          <w:szCs w:val="24"/>
          <w:highlight w:val="none"/>
        </w:rPr>
      </w:pPr>
      <w:r>
        <w:rPr>
          <w:bCs/>
          <w:color w:val="auto"/>
          <w:sz w:val="24"/>
          <w:szCs w:val="24"/>
          <w:highlight w:val="none"/>
        </w:rPr>
        <w:t>套装双真空保温隔热板薄抹灰外墙外保温系统性能指标应符合表4.2.1的规定。</w:t>
      </w:r>
    </w:p>
    <w:p w14:paraId="34D4684D">
      <w:pPr>
        <w:pStyle w:val="27"/>
        <w:spacing w:line="400" w:lineRule="exact"/>
        <w:ind w:firstLine="0" w:firstLineChars="0"/>
        <w:jc w:val="center"/>
        <w:rPr>
          <w:bCs/>
          <w:color w:val="auto"/>
          <w:highlight w:val="none"/>
        </w:rPr>
      </w:pPr>
      <w:r>
        <w:rPr>
          <w:bCs/>
          <w:color w:val="auto"/>
          <w:highlight w:val="none"/>
        </w:rPr>
        <w:t>表4.2.1  套装双真空保温隔热板薄抹灰外墙外保温系统性能指标</w:t>
      </w:r>
    </w:p>
    <w:tbl>
      <w:tblPr>
        <w:tblStyle w:val="18"/>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571"/>
        <w:gridCol w:w="2268"/>
        <w:gridCol w:w="2391"/>
      </w:tblGrid>
      <w:tr w14:paraId="7E1A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681" w:type="dxa"/>
            <w:gridSpan w:val="2"/>
            <w:tcBorders>
              <w:top w:val="single" w:color="auto" w:sz="4" w:space="0"/>
              <w:left w:val="single" w:color="auto" w:sz="4" w:space="0"/>
              <w:bottom w:val="single" w:color="auto" w:sz="4" w:space="0"/>
              <w:right w:val="single" w:color="auto" w:sz="4" w:space="0"/>
            </w:tcBorders>
            <w:vAlign w:val="center"/>
          </w:tcPr>
          <w:p w14:paraId="0B0CC09E">
            <w:pPr>
              <w:spacing w:line="360" w:lineRule="auto"/>
              <w:jc w:val="center"/>
              <w:rPr>
                <w:bCs/>
                <w:color w:val="auto"/>
                <w:highlight w:val="none"/>
              </w:rPr>
            </w:pPr>
            <w:r>
              <w:rPr>
                <w:bCs/>
                <w:color w:val="auto"/>
                <w:highlight w:val="none"/>
              </w:rPr>
              <w:t>项  目</w:t>
            </w:r>
          </w:p>
        </w:tc>
        <w:tc>
          <w:tcPr>
            <w:tcW w:w="2268" w:type="dxa"/>
            <w:tcBorders>
              <w:top w:val="single" w:color="auto" w:sz="4" w:space="0"/>
              <w:left w:val="single" w:color="auto" w:sz="4" w:space="0"/>
              <w:bottom w:val="single" w:color="auto" w:sz="4" w:space="0"/>
              <w:right w:val="single" w:color="auto" w:sz="4" w:space="0"/>
            </w:tcBorders>
            <w:vAlign w:val="center"/>
          </w:tcPr>
          <w:p w14:paraId="6F45CD0D">
            <w:pPr>
              <w:spacing w:line="360" w:lineRule="auto"/>
              <w:jc w:val="center"/>
              <w:rPr>
                <w:bCs/>
                <w:color w:val="auto"/>
                <w:highlight w:val="none"/>
              </w:rPr>
            </w:pPr>
            <w:r>
              <w:rPr>
                <w:bCs/>
                <w:color w:val="auto"/>
                <w:highlight w:val="none"/>
              </w:rPr>
              <w:t>性能指标</w:t>
            </w:r>
          </w:p>
        </w:tc>
        <w:tc>
          <w:tcPr>
            <w:tcW w:w="2391" w:type="dxa"/>
            <w:tcBorders>
              <w:top w:val="single" w:color="auto" w:sz="4" w:space="0"/>
              <w:left w:val="single" w:color="auto" w:sz="4" w:space="0"/>
              <w:bottom w:val="single" w:color="auto" w:sz="4" w:space="0"/>
              <w:right w:val="single" w:color="auto" w:sz="4" w:space="0"/>
            </w:tcBorders>
            <w:vAlign w:val="center"/>
          </w:tcPr>
          <w:p w14:paraId="4C71A23C">
            <w:pPr>
              <w:spacing w:line="360" w:lineRule="auto"/>
              <w:jc w:val="center"/>
              <w:rPr>
                <w:bCs/>
                <w:color w:val="auto"/>
                <w:highlight w:val="none"/>
              </w:rPr>
            </w:pPr>
            <w:r>
              <w:rPr>
                <w:bCs/>
                <w:color w:val="auto"/>
                <w:highlight w:val="none"/>
              </w:rPr>
              <w:t>试验方法</w:t>
            </w:r>
          </w:p>
        </w:tc>
      </w:tr>
      <w:tr w14:paraId="2B92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10" w:type="dxa"/>
            <w:vMerge w:val="restart"/>
            <w:tcBorders>
              <w:top w:val="single" w:color="auto" w:sz="4" w:space="0"/>
              <w:left w:val="single" w:color="auto" w:sz="4" w:space="0"/>
              <w:right w:val="single" w:color="auto" w:sz="4" w:space="0"/>
            </w:tcBorders>
            <w:vAlign w:val="center"/>
          </w:tcPr>
          <w:p w14:paraId="60FBF60C">
            <w:pPr>
              <w:spacing w:line="360" w:lineRule="auto"/>
              <w:jc w:val="center"/>
              <w:rPr>
                <w:bCs/>
                <w:color w:val="auto"/>
                <w:highlight w:val="none"/>
              </w:rPr>
            </w:pPr>
            <w:r>
              <w:rPr>
                <w:bCs/>
                <w:color w:val="auto"/>
                <w:highlight w:val="none"/>
              </w:rPr>
              <w:t>耐候性</w:t>
            </w:r>
          </w:p>
        </w:tc>
        <w:tc>
          <w:tcPr>
            <w:tcW w:w="2571" w:type="dxa"/>
            <w:tcBorders>
              <w:top w:val="single" w:color="auto" w:sz="4" w:space="0"/>
              <w:left w:val="single" w:color="auto" w:sz="4" w:space="0"/>
              <w:bottom w:val="single" w:color="auto" w:sz="4" w:space="0"/>
              <w:right w:val="single" w:color="auto" w:sz="4" w:space="0"/>
            </w:tcBorders>
            <w:vAlign w:val="center"/>
          </w:tcPr>
          <w:p w14:paraId="34B08E9E">
            <w:pPr>
              <w:spacing w:line="360" w:lineRule="auto"/>
              <w:jc w:val="center"/>
              <w:rPr>
                <w:bCs/>
                <w:color w:val="auto"/>
                <w:highlight w:val="none"/>
              </w:rPr>
            </w:pPr>
            <w:r>
              <w:rPr>
                <w:color w:val="auto"/>
                <w:highlight w:val="none"/>
              </w:rPr>
              <w:t>外观质量</w:t>
            </w:r>
          </w:p>
        </w:tc>
        <w:tc>
          <w:tcPr>
            <w:tcW w:w="2268" w:type="dxa"/>
            <w:tcBorders>
              <w:top w:val="single" w:color="auto" w:sz="4" w:space="0"/>
              <w:left w:val="single" w:color="auto" w:sz="4" w:space="0"/>
              <w:bottom w:val="single" w:color="auto" w:sz="4" w:space="0"/>
              <w:right w:val="single" w:color="auto" w:sz="4" w:space="0"/>
            </w:tcBorders>
            <w:vAlign w:val="center"/>
          </w:tcPr>
          <w:p w14:paraId="43EFDC5D">
            <w:pPr>
              <w:jc w:val="center"/>
              <w:rPr>
                <w:bCs/>
                <w:color w:val="auto"/>
                <w:highlight w:val="none"/>
              </w:rPr>
            </w:pPr>
            <w:r>
              <w:rPr>
                <w:color w:val="auto"/>
                <w:highlight w:val="none"/>
              </w:rPr>
              <w:t>无可见裂缝，无粉化、空鼓、剥落现象</w:t>
            </w:r>
          </w:p>
        </w:tc>
        <w:tc>
          <w:tcPr>
            <w:tcW w:w="2391" w:type="dxa"/>
            <w:tcBorders>
              <w:top w:val="single" w:color="auto" w:sz="4" w:space="0"/>
              <w:left w:val="single" w:color="auto" w:sz="4" w:space="0"/>
              <w:bottom w:val="single" w:color="auto" w:sz="4" w:space="0"/>
              <w:right w:val="single" w:color="auto" w:sz="4" w:space="0"/>
            </w:tcBorders>
            <w:vAlign w:val="center"/>
          </w:tcPr>
          <w:p w14:paraId="2019331E">
            <w:pPr>
              <w:spacing w:line="360" w:lineRule="auto"/>
              <w:jc w:val="center"/>
              <w:rPr>
                <w:rFonts w:hint="default"/>
                <w:bCs/>
                <w:color w:val="auto"/>
                <w:highlight w:val="none"/>
                <w:lang w:val="en-US"/>
              </w:rPr>
            </w:pPr>
            <w:r>
              <w:rPr>
                <w:rFonts w:hint="eastAsia"/>
                <w:bCs/>
                <w:color w:val="auto"/>
                <w:highlight w:val="none"/>
              </w:rPr>
              <w:t>现行行业标准</w:t>
            </w:r>
            <w:r>
              <w:rPr>
                <w:bCs/>
                <w:color w:val="auto"/>
                <w:highlight w:val="none"/>
              </w:rPr>
              <w:t>《</w:t>
            </w:r>
            <w:r>
              <w:rPr>
                <w:rFonts w:hint="eastAsia"/>
                <w:bCs/>
                <w:color w:val="auto"/>
                <w:highlight w:val="none"/>
                <w:lang w:eastAsia="zh-CN"/>
              </w:rPr>
              <w:t>外墙外保温工程技术标准</w:t>
            </w:r>
            <w:r>
              <w:rPr>
                <w:bCs/>
                <w:color w:val="auto"/>
                <w:highlight w:val="none"/>
              </w:rPr>
              <w:t>》</w:t>
            </w:r>
            <w:r>
              <w:rPr>
                <w:rFonts w:hint="eastAsia"/>
                <w:bCs/>
                <w:color w:val="auto"/>
                <w:highlight w:val="none"/>
                <w:lang w:eastAsia="zh-CN"/>
              </w:rPr>
              <w:t>JGJ 144</w:t>
            </w:r>
          </w:p>
        </w:tc>
      </w:tr>
      <w:tr w14:paraId="52F3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10" w:type="dxa"/>
            <w:vMerge w:val="continue"/>
            <w:tcBorders>
              <w:left w:val="single" w:color="auto" w:sz="4" w:space="0"/>
              <w:right w:val="single" w:color="auto" w:sz="4" w:space="0"/>
            </w:tcBorders>
            <w:vAlign w:val="center"/>
          </w:tcPr>
          <w:p w14:paraId="0AF0D59D">
            <w:pPr>
              <w:spacing w:line="360" w:lineRule="auto"/>
              <w:jc w:val="center"/>
              <w:rPr>
                <w:bCs/>
                <w:color w:val="auto"/>
                <w:highlight w:val="none"/>
              </w:rPr>
            </w:pPr>
          </w:p>
        </w:tc>
        <w:tc>
          <w:tcPr>
            <w:tcW w:w="2571" w:type="dxa"/>
            <w:tcBorders>
              <w:top w:val="single" w:color="auto" w:sz="4" w:space="0"/>
              <w:left w:val="single" w:color="auto" w:sz="4" w:space="0"/>
              <w:bottom w:val="single" w:color="auto" w:sz="4" w:space="0"/>
              <w:right w:val="single" w:color="auto" w:sz="4" w:space="0"/>
            </w:tcBorders>
            <w:vAlign w:val="center"/>
          </w:tcPr>
          <w:p w14:paraId="2AB14637">
            <w:pPr>
              <w:spacing w:line="360" w:lineRule="auto"/>
              <w:jc w:val="center"/>
              <w:rPr>
                <w:bCs/>
                <w:color w:val="auto"/>
                <w:highlight w:val="none"/>
              </w:rPr>
            </w:pPr>
            <w:r>
              <w:rPr>
                <w:color w:val="auto"/>
                <w:highlight w:val="none"/>
              </w:rPr>
              <w:t>抹面层与</w:t>
            </w:r>
            <w:r>
              <w:rPr>
                <w:bCs/>
                <w:color w:val="auto"/>
                <w:highlight w:val="none"/>
              </w:rPr>
              <w:t>套装双真空保温隔热板</w:t>
            </w:r>
            <w:r>
              <w:rPr>
                <w:color w:val="auto"/>
                <w:highlight w:val="none"/>
              </w:rPr>
              <w:t>的拉伸粘结强度（MPa）</w:t>
            </w:r>
          </w:p>
        </w:tc>
        <w:tc>
          <w:tcPr>
            <w:tcW w:w="2268" w:type="dxa"/>
            <w:tcBorders>
              <w:top w:val="single" w:color="auto" w:sz="4" w:space="0"/>
              <w:left w:val="single" w:color="auto" w:sz="4" w:space="0"/>
              <w:bottom w:val="single" w:color="auto" w:sz="4" w:space="0"/>
              <w:right w:val="single" w:color="auto" w:sz="4" w:space="0"/>
            </w:tcBorders>
            <w:vAlign w:val="center"/>
          </w:tcPr>
          <w:p w14:paraId="0A5D7D49">
            <w:pPr>
              <w:spacing w:line="360" w:lineRule="auto"/>
              <w:jc w:val="center"/>
              <w:rPr>
                <w:bCs/>
                <w:color w:val="auto"/>
                <w:highlight w:val="none"/>
              </w:rPr>
            </w:pPr>
            <w:r>
              <w:rPr>
                <w:rFonts w:hint="eastAsia" w:ascii="宋体" w:hAnsi="宋体" w:eastAsia="宋体" w:cs="宋体"/>
                <w:color w:val="auto"/>
                <w:highlight w:val="none"/>
              </w:rPr>
              <w:t>≥</w:t>
            </w:r>
            <w:r>
              <w:rPr>
                <w:color w:val="auto"/>
                <w:highlight w:val="none"/>
              </w:rPr>
              <w:t>0.08</w:t>
            </w:r>
          </w:p>
        </w:tc>
        <w:tc>
          <w:tcPr>
            <w:tcW w:w="2391" w:type="dxa"/>
            <w:tcBorders>
              <w:top w:val="single" w:color="auto" w:sz="4" w:space="0"/>
              <w:left w:val="single" w:color="auto" w:sz="4" w:space="0"/>
              <w:bottom w:val="single" w:color="auto" w:sz="4" w:space="0"/>
              <w:right w:val="single" w:color="auto" w:sz="4" w:space="0"/>
            </w:tcBorders>
            <w:vAlign w:val="center"/>
          </w:tcPr>
          <w:p w14:paraId="650DDDBC">
            <w:pPr>
              <w:spacing w:line="360" w:lineRule="auto"/>
              <w:jc w:val="center"/>
              <w:rPr>
                <w:bCs/>
                <w:color w:val="auto"/>
                <w:highlight w:val="none"/>
              </w:rPr>
            </w:pPr>
            <w:r>
              <w:rPr>
                <w:rFonts w:hint="eastAsia"/>
                <w:bCs/>
                <w:color w:val="auto"/>
                <w:highlight w:val="none"/>
              </w:rPr>
              <w:t>现行行业标准</w:t>
            </w:r>
            <w:r>
              <w:rPr>
                <w:bCs/>
                <w:color w:val="auto"/>
                <w:highlight w:val="none"/>
              </w:rPr>
              <w:t>《建筑用真空绝热板应用技术规程》JGJ/T 416</w:t>
            </w:r>
          </w:p>
        </w:tc>
      </w:tr>
      <w:tr w14:paraId="18B2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110" w:type="dxa"/>
            <w:vMerge w:val="restart"/>
            <w:tcBorders>
              <w:left w:val="single" w:color="auto" w:sz="4" w:space="0"/>
              <w:right w:val="single" w:color="auto" w:sz="4" w:space="0"/>
            </w:tcBorders>
            <w:vAlign w:val="center"/>
          </w:tcPr>
          <w:p w14:paraId="4995A69C">
            <w:pPr>
              <w:spacing w:line="360" w:lineRule="auto"/>
              <w:jc w:val="center"/>
              <w:rPr>
                <w:bCs/>
                <w:color w:val="auto"/>
                <w:highlight w:val="none"/>
              </w:rPr>
            </w:pPr>
            <w:r>
              <w:rPr>
                <w:bCs/>
                <w:color w:val="auto"/>
                <w:highlight w:val="none"/>
              </w:rPr>
              <w:t>耐冻融</w:t>
            </w:r>
          </w:p>
          <w:p w14:paraId="0B4530EB">
            <w:pPr>
              <w:spacing w:line="360" w:lineRule="auto"/>
              <w:jc w:val="center"/>
              <w:rPr>
                <w:bCs/>
                <w:color w:val="auto"/>
                <w:highlight w:val="none"/>
              </w:rPr>
            </w:pPr>
            <w:r>
              <w:rPr>
                <w:color w:val="auto"/>
                <w:highlight w:val="none"/>
              </w:rPr>
              <w:t>（D30）</w:t>
            </w:r>
          </w:p>
        </w:tc>
        <w:tc>
          <w:tcPr>
            <w:tcW w:w="2571" w:type="dxa"/>
            <w:tcBorders>
              <w:top w:val="single" w:color="auto" w:sz="4" w:space="0"/>
              <w:left w:val="single" w:color="auto" w:sz="4" w:space="0"/>
              <w:bottom w:val="single" w:color="auto" w:sz="4" w:space="0"/>
              <w:right w:val="single" w:color="auto" w:sz="4" w:space="0"/>
            </w:tcBorders>
            <w:vAlign w:val="center"/>
          </w:tcPr>
          <w:p w14:paraId="4DAFB5E6">
            <w:pPr>
              <w:spacing w:line="360" w:lineRule="auto"/>
              <w:jc w:val="center"/>
              <w:rPr>
                <w:bCs/>
                <w:color w:val="auto"/>
                <w:highlight w:val="none"/>
              </w:rPr>
            </w:pPr>
            <w:r>
              <w:rPr>
                <w:bCs/>
                <w:color w:val="auto"/>
                <w:highlight w:val="none"/>
              </w:rPr>
              <w:t>外观质量</w:t>
            </w:r>
          </w:p>
        </w:tc>
        <w:tc>
          <w:tcPr>
            <w:tcW w:w="2268" w:type="dxa"/>
            <w:tcBorders>
              <w:top w:val="single" w:color="auto" w:sz="4" w:space="0"/>
              <w:left w:val="single" w:color="auto" w:sz="4" w:space="0"/>
              <w:bottom w:val="single" w:color="auto" w:sz="4" w:space="0"/>
              <w:right w:val="single" w:color="auto" w:sz="4" w:space="0"/>
            </w:tcBorders>
            <w:vAlign w:val="center"/>
          </w:tcPr>
          <w:p w14:paraId="1E201C06">
            <w:pPr>
              <w:spacing w:line="360" w:lineRule="auto"/>
              <w:jc w:val="center"/>
              <w:rPr>
                <w:bCs/>
                <w:color w:val="auto"/>
                <w:highlight w:val="none"/>
              </w:rPr>
            </w:pPr>
            <w:r>
              <w:rPr>
                <w:color w:val="auto"/>
                <w:highlight w:val="none"/>
              </w:rPr>
              <w:t>无可见裂缝，无粉化、空鼓、剥落现象</w:t>
            </w:r>
          </w:p>
        </w:tc>
        <w:tc>
          <w:tcPr>
            <w:tcW w:w="2391" w:type="dxa"/>
            <w:tcBorders>
              <w:top w:val="single" w:color="auto" w:sz="4" w:space="0"/>
              <w:left w:val="single" w:color="auto" w:sz="4" w:space="0"/>
              <w:bottom w:val="single" w:color="auto" w:sz="4" w:space="0"/>
              <w:right w:val="single" w:color="auto" w:sz="4" w:space="0"/>
            </w:tcBorders>
            <w:vAlign w:val="center"/>
          </w:tcPr>
          <w:p w14:paraId="5FA36693">
            <w:pPr>
              <w:spacing w:line="360" w:lineRule="auto"/>
              <w:jc w:val="center"/>
              <w:rPr>
                <w:bCs/>
                <w:color w:val="auto"/>
                <w:highlight w:val="none"/>
              </w:rPr>
            </w:pPr>
            <w:r>
              <w:rPr>
                <w:rFonts w:hint="eastAsia"/>
                <w:bCs/>
                <w:color w:val="auto"/>
                <w:highlight w:val="none"/>
              </w:rPr>
              <w:t>现行行业标准</w:t>
            </w:r>
            <w:r>
              <w:rPr>
                <w:bCs/>
                <w:color w:val="auto"/>
                <w:highlight w:val="none"/>
              </w:rPr>
              <w:t>《</w:t>
            </w:r>
            <w:r>
              <w:rPr>
                <w:rFonts w:hint="eastAsia"/>
                <w:bCs/>
                <w:color w:val="auto"/>
                <w:highlight w:val="none"/>
                <w:lang w:eastAsia="zh-CN"/>
              </w:rPr>
              <w:t>外墙外保温工程技术标准</w:t>
            </w:r>
            <w:r>
              <w:rPr>
                <w:bCs/>
                <w:color w:val="auto"/>
                <w:highlight w:val="none"/>
              </w:rPr>
              <w:t>》</w:t>
            </w:r>
            <w:r>
              <w:rPr>
                <w:rFonts w:hint="eastAsia"/>
                <w:bCs/>
                <w:color w:val="auto"/>
                <w:highlight w:val="none"/>
                <w:lang w:eastAsia="zh-CN"/>
              </w:rPr>
              <w:t>JGJ 144</w:t>
            </w:r>
          </w:p>
        </w:tc>
      </w:tr>
      <w:tr w14:paraId="05701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10" w:type="dxa"/>
            <w:vMerge w:val="continue"/>
            <w:tcBorders>
              <w:left w:val="single" w:color="auto" w:sz="4" w:space="0"/>
              <w:right w:val="single" w:color="auto" w:sz="4" w:space="0"/>
            </w:tcBorders>
            <w:vAlign w:val="center"/>
          </w:tcPr>
          <w:p w14:paraId="0B68D319">
            <w:pPr>
              <w:spacing w:line="360" w:lineRule="auto"/>
              <w:jc w:val="center"/>
              <w:rPr>
                <w:bCs/>
                <w:color w:val="auto"/>
                <w:highlight w:val="none"/>
              </w:rPr>
            </w:pPr>
          </w:p>
        </w:tc>
        <w:tc>
          <w:tcPr>
            <w:tcW w:w="2571" w:type="dxa"/>
            <w:tcBorders>
              <w:top w:val="single" w:color="auto" w:sz="4" w:space="0"/>
              <w:left w:val="single" w:color="auto" w:sz="4" w:space="0"/>
              <w:bottom w:val="single" w:color="auto" w:sz="4" w:space="0"/>
              <w:right w:val="single" w:color="auto" w:sz="4" w:space="0"/>
            </w:tcBorders>
            <w:vAlign w:val="center"/>
          </w:tcPr>
          <w:p w14:paraId="19451C59">
            <w:pPr>
              <w:spacing w:line="360" w:lineRule="auto"/>
              <w:jc w:val="center"/>
              <w:rPr>
                <w:bCs/>
                <w:color w:val="auto"/>
                <w:highlight w:val="none"/>
              </w:rPr>
            </w:pPr>
            <w:r>
              <w:rPr>
                <w:bCs/>
                <w:color w:val="auto"/>
                <w:highlight w:val="none"/>
              </w:rPr>
              <w:t>防护层与套装双真空保温隔热板拉伸粘结强度</w:t>
            </w:r>
            <w:r>
              <w:rPr>
                <w:color w:val="auto"/>
                <w:highlight w:val="none"/>
              </w:rPr>
              <w:t>（MPa）</w:t>
            </w:r>
          </w:p>
        </w:tc>
        <w:tc>
          <w:tcPr>
            <w:tcW w:w="2268" w:type="dxa"/>
            <w:tcBorders>
              <w:top w:val="single" w:color="auto" w:sz="4" w:space="0"/>
              <w:left w:val="single" w:color="auto" w:sz="4" w:space="0"/>
              <w:bottom w:val="single" w:color="auto" w:sz="4" w:space="0"/>
              <w:right w:val="single" w:color="auto" w:sz="4" w:space="0"/>
            </w:tcBorders>
            <w:vAlign w:val="center"/>
          </w:tcPr>
          <w:p w14:paraId="0EA2F198">
            <w:pPr>
              <w:spacing w:line="360" w:lineRule="auto"/>
              <w:jc w:val="center"/>
              <w:rPr>
                <w:bCs/>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val="en-US" w:eastAsia="zh-CN"/>
              </w:rPr>
              <w:t>0</w:t>
            </w:r>
            <w:r>
              <w:rPr>
                <w:color w:val="auto"/>
                <w:highlight w:val="none"/>
              </w:rPr>
              <w:t>.08</w:t>
            </w:r>
          </w:p>
        </w:tc>
        <w:tc>
          <w:tcPr>
            <w:tcW w:w="2391" w:type="dxa"/>
            <w:tcBorders>
              <w:top w:val="single" w:color="auto" w:sz="4" w:space="0"/>
              <w:left w:val="single" w:color="auto" w:sz="4" w:space="0"/>
              <w:bottom w:val="single" w:color="auto" w:sz="4" w:space="0"/>
              <w:right w:val="single" w:color="auto" w:sz="4" w:space="0"/>
            </w:tcBorders>
            <w:vAlign w:val="center"/>
          </w:tcPr>
          <w:p w14:paraId="37A5BCA5">
            <w:pPr>
              <w:spacing w:line="360" w:lineRule="auto"/>
              <w:jc w:val="center"/>
              <w:rPr>
                <w:bCs/>
                <w:color w:val="auto"/>
                <w:highlight w:val="none"/>
              </w:rPr>
            </w:pPr>
            <w:r>
              <w:rPr>
                <w:rFonts w:hint="eastAsia"/>
                <w:bCs/>
                <w:color w:val="auto"/>
                <w:highlight w:val="none"/>
              </w:rPr>
              <w:t>现行行业标准</w:t>
            </w:r>
            <w:r>
              <w:rPr>
                <w:bCs/>
                <w:color w:val="auto"/>
                <w:highlight w:val="none"/>
              </w:rPr>
              <w:t>《建筑用真空绝热板应用技术规程》JGJ/T 416</w:t>
            </w:r>
          </w:p>
        </w:tc>
      </w:tr>
      <w:tr w14:paraId="46998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10" w:type="dxa"/>
            <w:vMerge w:val="restart"/>
            <w:tcBorders>
              <w:left w:val="single" w:color="auto" w:sz="4" w:space="0"/>
              <w:right w:val="single" w:color="auto" w:sz="4" w:space="0"/>
            </w:tcBorders>
            <w:vAlign w:val="center"/>
          </w:tcPr>
          <w:p w14:paraId="54A8EDF8">
            <w:pPr>
              <w:spacing w:line="360" w:lineRule="auto"/>
              <w:jc w:val="center"/>
              <w:rPr>
                <w:bCs/>
                <w:color w:val="auto"/>
                <w:highlight w:val="none"/>
              </w:rPr>
            </w:pPr>
            <w:r>
              <w:rPr>
                <w:bCs/>
                <w:color w:val="auto"/>
                <w:highlight w:val="none"/>
              </w:rPr>
              <w:t>抗冲击性</w:t>
            </w:r>
          </w:p>
        </w:tc>
        <w:tc>
          <w:tcPr>
            <w:tcW w:w="2571" w:type="dxa"/>
            <w:tcBorders>
              <w:top w:val="single" w:color="auto" w:sz="4" w:space="0"/>
              <w:left w:val="single" w:color="auto" w:sz="4" w:space="0"/>
              <w:bottom w:val="single" w:color="auto" w:sz="4" w:space="0"/>
              <w:right w:val="single" w:color="auto" w:sz="4" w:space="0"/>
            </w:tcBorders>
            <w:vAlign w:val="center"/>
          </w:tcPr>
          <w:p w14:paraId="4C844509">
            <w:pPr>
              <w:spacing w:line="360" w:lineRule="auto"/>
              <w:jc w:val="center"/>
              <w:rPr>
                <w:bCs/>
                <w:color w:val="auto"/>
                <w:highlight w:val="none"/>
              </w:rPr>
            </w:pPr>
            <w:r>
              <w:rPr>
                <w:bCs/>
                <w:color w:val="auto"/>
                <w:highlight w:val="none"/>
              </w:rPr>
              <w:t>首层墙面及门窗口等易受碰撞部位</w:t>
            </w:r>
          </w:p>
        </w:tc>
        <w:tc>
          <w:tcPr>
            <w:tcW w:w="2268" w:type="dxa"/>
            <w:tcBorders>
              <w:top w:val="single" w:color="auto" w:sz="4" w:space="0"/>
              <w:left w:val="single" w:color="auto" w:sz="4" w:space="0"/>
              <w:bottom w:val="single" w:color="auto" w:sz="4" w:space="0"/>
              <w:right w:val="single" w:color="auto" w:sz="4" w:space="0"/>
            </w:tcBorders>
            <w:vAlign w:val="center"/>
          </w:tcPr>
          <w:p w14:paraId="37C3C69C">
            <w:pPr>
              <w:spacing w:line="360" w:lineRule="auto"/>
              <w:jc w:val="center"/>
              <w:rPr>
                <w:color w:val="auto"/>
                <w:highlight w:val="none"/>
              </w:rPr>
            </w:pPr>
            <w:r>
              <w:rPr>
                <w:color w:val="auto"/>
                <w:highlight w:val="none"/>
              </w:rPr>
              <w:t>10J级</w:t>
            </w:r>
          </w:p>
        </w:tc>
        <w:tc>
          <w:tcPr>
            <w:tcW w:w="2391" w:type="dxa"/>
            <w:vMerge w:val="restart"/>
            <w:tcBorders>
              <w:top w:val="single" w:color="auto" w:sz="4" w:space="0"/>
              <w:left w:val="single" w:color="auto" w:sz="4" w:space="0"/>
              <w:right w:val="single" w:color="auto" w:sz="4" w:space="0"/>
            </w:tcBorders>
            <w:vAlign w:val="center"/>
          </w:tcPr>
          <w:p w14:paraId="268EDD4A">
            <w:pPr>
              <w:spacing w:line="360" w:lineRule="auto"/>
              <w:jc w:val="center"/>
              <w:rPr>
                <w:bCs/>
                <w:color w:val="auto"/>
                <w:highlight w:val="none"/>
              </w:rPr>
            </w:pPr>
            <w:r>
              <w:rPr>
                <w:rFonts w:hint="eastAsia"/>
                <w:bCs/>
                <w:color w:val="auto"/>
                <w:highlight w:val="none"/>
              </w:rPr>
              <w:t>现行行业标准</w:t>
            </w:r>
            <w:r>
              <w:rPr>
                <w:bCs/>
                <w:color w:val="auto"/>
                <w:highlight w:val="none"/>
              </w:rPr>
              <w:t>《</w:t>
            </w:r>
            <w:r>
              <w:rPr>
                <w:rFonts w:hint="eastAsia"/>
                <w:bCs/>
                <w:color w:val="auto"/>
                <w:highlight w:val="none"/>
                <w:lang w:eastAsia="zh-CN"/>
              </w:rPr>
              <w:t>外墙外保温工程技术标准</w:t>
            </w:r>
            <w:r>
              <w:rPr>
                <w:bCs/>
                <w:color w:val="auto"/>
                <w:highlight w:val="none"/>
              </w:rPr>
              <w:t>》</w:t>
            </w:r>
            <w:r>
              <w:rPr>
                <w:rFonts w:hint="eastAsia"/>
                <w:bCs/>
                <w:color w:val="auto"/>
                <w:highlight w:val="none"/>
                <w:lang w:eastAsia="zh-CN"/>
              </w:rPr>
              <w:t>JGJ 144</w:t>
            </w:r>
          </w:p>
        </w:tc>
      </w:tr>
      <w:tr w14:paraId="0AD5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10" w:type="dxa"/>
            <w:vMerge w:val="continue"/>
            <w:tcBorders>
              <w:left w:val="single" w:color="auto" w:sz="4" w:space="0"/>
              <w:right w:val="single" w:color="auto" w:sz="4" w:space="0"/>
            </w:tcBorders>
            <w:vAlign w:val="center"/>
          </w:tcPr>
          <w:p w14:paraId="4A42B207">
            <w:pPr>
              <w:spacing w:line="360" w:lineRule="auto"/>
              <w:jc w:val="center"/>
              <w:rPr>
                <w:bCs/>
                <w:color w:val="auto"/>
                <w:highlight w:val="none"/>
              </w:rPr>
            </w:pPr>
          </w:p>
        </w:tc>
        <w:tc>
          <w:tcPr>
            <w:tcW w:w="2571" w:type="dxa"/>
            <w:tcBorders>
              <w:top w:val="single" w:color="auto" w:sz="4" w:space="0"/>
              <w:left w:val="single" w:color="auto" w:sz="4" w:space="0"/>
              <w:bottom w:val="single" w:color="auto" w:sz="4" w:space="0"/>
              <w:right w:val="single" w:color="auto" w:sz="4" w:space="0"/>
            </w:tcBorders>
            <w:vAlign w:val="center"/>
          </w:tcPr>
          <w:p w14:paraId="60F11EAE">
            <w:pPr>
              <w:spacing w:line="360" w:lineRule="auto"/>
              <w:jc w:val="center"/>
              <w:rPr>
                <w:bCs/>
                <w:color w:val="auto"/>
                <w:highlight w:val="none"/>
              </w:rPr>
            </w:pPr>
            <w:r>
              <w:rPr>
                <w:bCs/>
                <w:color w:val="auto"/>
                <w:highlight w:val="none"/>
              </w:rPr>
              <w:t>二层及以上墙面</w:t>
            </w:r>
          </w:p>
        </w:tc>
        <w:tc>
          <w:tcPr>
            <w:tcW w:w="2268" w:type="dxa"/>
            <w:tcBorders>
              <w:top w:val="single" w:color="auto" w:sz="4" w:space="0"/>
              <w:left w:val="single" w:color="auto" w:sz="4" w:space="0"/>
              <w:bottom w:val="single" w:color="auto" w:sz="4" w:space="0"/>
              <w:right w:val="single" w:color="auto" w:sz="4" w:space="0"/>
            </w:tcBorders>
            <w:vAlign w:val="center"/>
          </w:tcPr>
          <w:p w14:paraId="20DEFB01">
            <w:pPr>
              <w:spacing w:line="360" w:lineRule="auto"/>
              <w:jc w:val="center"/>
              <w:rPr>
                <w:color w:val="auto"/>
                <w:highlight w:val="none"/>
              </w:rPr>
            </w:pPr>
            <w:r>
              <w:rPr>
                <w:color w:val="auto"/>
                <w:highlight w:val="none"/>
              </w:rPr>
              <w:t>3J级</w:t>
            </w:r>
          </w:p>
        </w:tc>
        <w:tc>
          <w:tcPr>
            <w:tcW w:w="2391" w:type="dxa"/>
            <w:vMerge w:val="continue"/>
            <w:tcBorders>
              <w:left w:val="single" w:color="auto" w:sz="4" w:space="0"/>
              <w:bottom w:val="single" w:color="auto" w:sz="4" w:space="0"/>
              <w:right w:val="single" w:color="auto" w:sz="4" w:space="0"/>
            </w:tcBorders>
            <w:vAlign w:val="center"/>
          </w:tcPr>
          <w:p w14:paraId="5BE39F0E">
            <w:pPr>
              <w:spacing w:line="360" w:lineRule="auto"/>
              <w:jc w:val="center"/>
              <w:rPr>
                <w:bCs/>
                <w:color w:val="auto"/>
                <w:highlight w:val="none"/>
              </w:rPr>
            </w:pPr>
          </w:p>
        </w:tc>
      </w:tr>
      <w:tr w14:paraId="5C00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681" w:type="dxa"/>
            <w:gridSpan w:val="2"/>
            <w:tcBorders>
              <w:left w:val="single" w:color="auto" w:sz="4" w:space="0"/>
              <w:right w:val="single" w:color="auto" w:sz="4" w:space="0"/>
            </w:tcBorders>
            <w:vAlign w:val="center"/>
          </w:tcPr>
          <w:p w14:paraId="5FF045B7">
            <w:pPr>
              <w:spacing w:line="360" w:lineRule="auto"/>
              <w:jc w:val="center"/>
              <w:rPr>
                <w:bCs/>
                <w:color w:val="auto"/>
                <w:highlight w:val="none"/>
              </w:rPr>
            </w:pPr>
            <w:r>
              <w:rPr>
                <w:color w:val="auto"/>
                <w:highlight w:val="none"/>
              </w:rPr>
              <w:t>吸水量（g/m</w:t>
            </w:r>
            <w:r>
              <w:rPr>
                <w:color w:val="auto"/>
                <w:highlight w:val="none"/>
                <w:vertAlign w:val="superscript"/>
              </w:rPr>
              <w:t>2</w:t>
            </w:r>
            <w:r>
              <w:rPr>
                <w:color w:val="auto"/>
                <w:highlight w:val="none"/>
              </w:rPr>
              <w:t>）</w:t>
            </w:r>
          </w:p>
        </w:tc>
        <w:tc>
          <w:tcPr>
            <w:tcW w:w="2268" w:type="dxa"/>
            <w:tcBorders>
              <w:top w:val="single" w:color="auto" w:sz="4" w:space="0"/>
              <w:left w:val="single" w:color="auto" w:sz="4" w:space="0"/>
              <w:bottom w:val="single" w:color="auto" w:sz="4" w:space="0"/>
              <w:right w:val="single" w:color="auto" w:sz="4" w:space="0"/>
            </w:tcBorders>
            <w:vAlign w:val="center"/>
          </w:tcPr>
          <w:p w14:paraId="14EF15DD">
            <w:pPr>
              <w:spacing w:line="360" w:lineRule="auto"/>
              <w:jc w:val="center"/>
              <w:rPr>
                <w:color w:val="auto"/>
                <w:highlight w:val="none"/>
              </w:rPr>
            </w:pPr>
            <w:r>
              <w:rPr>
                <w:rFonts w:hint="eastAsia" w:ascii="宋体" w:hAnsi="宋体" w:eastAsia="宋体" w:cs="宋体"/>
                <w:color w:val="auto"/>
                <w:highlight w:val="none"/>
              </w:rPr>
              <w:t>≤</w:t>
            </w:r>
            <w:r>
              <w:rPr>
                <w:color w:val="auto"/>
                <w:highlight w:val="none"/>
              </w:rPr>
              <w:t>500</w:t>
            </w:r>
          </w:p>
        </w:tc>
        <w:tc>
          <w:tcPr>
            <w:tcW w:w="2391" w:type="dxa"/>
            <w:tcBorders>
              <w:top w:val="single" w:color="auto" w:sz="4" w:space="0"/>
              <w:left w:val="single" w:color="auto" w:sz="4" w:space="0"/>
              <w:bottom w:val="single" w:color="auto" w:sz="4" w:space="0"/>
              <w:right w:val="single" w:color="auto" w:sz="4" w:space="0"/>
            </w:tcBorders>
            <w:vAlign w:val="center"/>
          </w:tcPr>
          <w:p w14:paraId="24360884">
            <w:pPr>
              <w:spacing w:line="360" w:lineRule="auto"/>
              <w:jc w:val="center"/>
              <w:rPr>
                <w:bCs/>
                <w:color w:val="auto"/>
                <w:highlight w:val="none"/>
              </w:rPr>
            </w:pPr>
            <w:r>
              <w:rPr>
                <w:rFonts w:hint="eastAsia"/>
                <w:bCs/>
                <w:color w:val="auto"/>
                <w:highlight w:val="none"/>
              </w:rPr>
              <w:t>现行行业标准</w:t>
            </w:r>
            <w:r>
              <w:rPr>
                <w:bCs/>
                <w:color w:val="auto"/>
                <w:highlight w:val="none"/>
              </w:rPr>
              <w:t>《</w:t>
            </w:r>
            <w:r>
              <w:rPr>
                <w:rFonts w:hint="eastAsia"/>
                <w:bCs/>
                <w:color w:val="auto"/>
                <w:highlight w:val="none"/>
                <w:lang w:eastAsia="zh-CN"/>
              </w:rPr>
              <w:t>外墙外保温工程技术标准</w:t>
            </w:r>
            <w:r>
              <w:rPr>
                <w:bCs/>
                <w:color w:val="auto"/>
                <w:highlight w:val="none"/>
              </w:rPr>
              <w:t>》</w:t>
            </w:r>
            <w:r>
              <w:rPr>
                <w:rFonts w:hint="eastAsia"/>
                <w:bCs/>
                <w:color w:val="auto"/>
                <w:highlight w:val="none"/>
                <w:lang w:eastAsia="zh-CN"/>
              </w:rPr>
              <w:t>JGJ 144</w:t>
            </w:r>
          </w:p>
        </w:tc>
      </w:tr>
      <w:tr w14:paraId="2BDB7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681" w:type="dxa"/>
            <w:gridSpan w:val="2"/>
            <w:tcBorders>
              <w:left w:val="single" w:color="auto" w:sz="4" w:space="0"/>
              <w:right w:val="single" w:color="auto" w:sz="4" w:space="0"/>
            </w:tcBorders>
            <w:vAlign w:val="center"/>
          </w:tcPr>
          <w:p w14:paraId="3FA0C5F2">
            <w:pPr>
              <w:spacing w:line="360" w:lineRule="auto"/>
              <w:jc w:val="center"/>
              <w:rPr>
                <w:bCs/>
                <w:color w:val="auto"/>
                <w:highlight w:val="none"/>
              </w:rPr>
            </w:pPr>
            <w:r>
              <w:rPr>
                <w:color w:val="auto"/>
                <w:highlight w:val="none"/>
              </w:rPr>
              <w:t>抹面层不透水性</w:t>
            </w:r>
          </w:p>
        </w:tc>
        <w:tc>
          <w:tcPr>
            <w:tcW w:w="2268" w:type="dxa"/>
            <w:tcBorders>
              <w:top w:val="single" w:color="auto" w:sz="4" w:space="0"/>
              <w:left w:val="single" w:color="auto" w:sz="4" w:space="0"/>
              <w:bottom w:val="single" w:color="auto" w:sz="4" w:space="0"/>
              <w:right w:val="single" w:color="auto" w:sz="4" w:space="0"/>
            </w:tcBorders>
            <w:vAlign w:val="center"/>
          </w:tcPr>
          <w:p w14:paraId="3B2D986A">
            <w:pPr>
              <w:spacing w:line="360" w:lineRule="auto"/>
              <w:jc w:val="center"/>
              <w:rPr>
                <w:color w:val="auto"/>
                <w:highlight w:val="none"/>
              </w:rPr>
            </w:pPr>
            <w:r>
              <w:rPr>
                <w:color w:val="auto"/>
                <w:highlight w:val="none"/>
              </w:rPr>
              <w:t>2h不透水</w:t>
            </w:r>
          </w:p>
        </w:tc>
        <w:tc>
          <w:tcPr>
            <w:tcW w:w="2391" w:type="dxa"/>
            <w:tcBorders>
              <w:top w:val="single" w:color="auto" w:sz="4" w:space="0"/>
              <w:left w:val="single" w:color="auto" w:sz="4" w:space="0"/>
              <w:bottom w:val="single" w:color="auto" w:sz="4" w:space="0"/>
              <w:right w:val="single" w:color="auto" w:sz="4" w:space="0"/>
            </w:tcBorders>
            <w:vAlign w:val="center"/>
          </w:tcPr>
          <w:p w14:paraId="3387EA6F">
            <w:pPr>
              <w:spacing w:line="360" w:lineRule="auto"/>
              <w:jc w:val="center"/>
              <w:rPr>
                <w:bCs/>
                <w:color w:val="auto"/>
                <w:highlight w:val="none"/>
              </w:rPr>
            </w:pPr>
            <w:r>
              <w:rPr>
                <w:rFonts w:hint="eastAsia"/>
                <w:bCs/>
                <w:color w:val="auto"/>
                <w:highlight w:val="none"/>
              </w:rPr>
              <w:t>现行行业标准</w:t>
            </w:r>
            <w:r>
              <w:rPr>
                <w:bCs/>
                <w:color w:val="auto"/>
                <w:highlight w:val="none"/>
              </w:rPr>
              <w:t>《</w:t>
            </w:r>
            <w:r>
              <w:rPr>
                <w:rFonts w:hint="eastAsia"/>
                <w:bCs/>
                <w:color w:val="auto"/>
                <w:highlight w:val="none"/>
                <w:lang w:eastAsia="zh-CN"/>
              </w:rPr>
              <w:t>外墙外保温工程技术标准</w:t>
            </w:r>
            <w:r>
              <w:rPr>
                <w:bCs/>
                <w:color w:val="auto"/>
                <w:highlight w:val="none"/>
              </w:rPr>
              <w:t>》</w:t>
            </w:r>
            <w:r>
              <w:rPr>
                <w:rFonts w:hint="eastAsia"/>
                <w:bCs/>
                <w:color w:val="auto"/>
                <w:highlight w:val="none"/>
                <w:lang w:eastAsia="zh-CN"/>
              </w:rPr>
              <w:t>JGJ 144</w:t>
            </w:r>
          </w:p>
        </w:tc>
      </w:tr>
      <w:tr w14:paraId="2BB1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681" w:type="dxa"/>
            <w:gridSpan w:val="2"/>
            <w:tcBorders>
              <w:left w:val="single" w:color="auto" w:sz="4" w:space="0"/>
              <w:right w:val="single" w:color="auto" w:sz="4" w:space="0"/>
            </w:tcBorders>
            <w:vAlign w:val="center"/>
          </w:tcPr>
          <w:p w14:paraId="00955119">
            <w:pPr>
              <w:spacing w:line="360" w:lineRule="auto"/>
              <w:jc w:val="center"/>
              <w:rPr>
                <w:bCs/>
                <w:color w:val="auto"/>
                <w:highlight w:val="none"/>
              </w:rPr>
            </w:pPr>
            <w:r>
              <w:rPr>
                <w:color w:val="auto"/>
                <w:highlight w:val="none"/>
              </w:rPr>
              <w:t>水蒸汽湿流密度[g/（m</w:t>
            </w:r>
            <w:r>
              <w:rPr>
                <w:color w:val="auto"/>
                <w:highlight w:val="none"/>
                <w:vertAlign w:val="superscript"/>
              </w:rPr>
              <w:t>2</w:t>
            </w:r>
            <w:r>
              <w:rPr>
                <w:color w:val="auto"/>
                <w:highlight w:val="none"/>
              </w:rPr>
              <w:t>·h）]</w:t>
            </w:r>
          </w:p>
        </w:tc>
        <w:tc>
          <w:tcPr>
            <w:tcW w:w="2268" w:type="dxa"/>
            <w:tcBorders>
              <w:top w:val="single" w:color="auto" w:sz="4" w:space="0"/>
              <w:left w:val="single" w:color="auto" w:sz="4" w:space="0"/>
              <w:bottom w:val="single" w:color="auto" w:sz="4" w:space="0"/>
              <w:right w:val="single" w:color="auto" w:sz="4" w:space="0"/>
            </w:tcBorders>
            <w:vAlign w:val="center"/>
          </w:tcPr>
          <w:p w14:paraId="10E15E5D">
            <w:pPr>
              <w:spacing w:line="360" w:lineRule="auto"/>
              <w:jc w:val="center"/>
              <w:rPr>
                <w:color w:val="auto"/>
                <w:highlight w:val="none"/>
              </w:rPr>
            </w:pPr>
            <w:r>
              <w:rPr>
                <w:rFonts w:hint="eastAsia" w:ascii="宋体" w:hAnsi="宋体" w:eastAsia="宋体" w:cs="宋体"/>
                <w:color w:val="auto"/>
                <w:highlight w:val="none"/>
              </w:rPr>
              <w:t>≥</w:t>
            </w:r>
            <w:r>
              <w:rPr>
                <w:color w:val="auto"/>
                <w:highlight w:val="none"/>
              </w:rPr>
              <w:t>0.85</w:t>
            </w:r>
          </w:p>
        </w:tc>
        <w:tc>
          <w:tcPr>
            <w:tcW w:w="2391" w:type="dxa"/>
            <w:tcBorders>
              <w:top w:val="single" w:color="auto" w:sz="4" w:space="0"/>
              <w:left w:val="single" w:color="auto" w:sz="4" w:space="0"/>
              <w:bottom w:val="single" w:color="auto" w:sz="4" w:space="0"/>
              <w:right w:val="single" w:color="auto" w:sz="4" w:space="0"/>
            </w:tcBorders>
            <w:vAlign w:val="center"/>
          </w:tcPr>
          <w:p w14:paraId="1792D7C2">
            <w:pPr>
              <w:spacing w:line="360" w:lineRule="auto"/>
              <w:jc w:val="center"/>
              <w:rPr>
                <w:bCs/>
                <w:color w:val="auto"/>
                <w:highlight w:val="none"/>
              </w:rPr>
            </w:pPr>
            <w:r>
              <w:rPr>
                <w:rFonts w:hint="eastAsia"/>
                <w:bCs/>
                <w:color w:val="auto"/>
                <w:highlight w:val="none"/>
              </w:rPr>
              <w:t>现行行业标准</w:t>
            </w:r>
            <w:r>
              <w:rPr>
                <w:bCs/>
                <w:color w:val="auto"/>
                <w:highlight w:val="none"/>
              </w:rPr>
              <w:t>《</w:t>
            </w:r>
            <w:r>
              <w:rPr>
                <w:rFonts w:hint="eastAsia"/>
                <w:bCs/>
                <w:color w:val="auto"/>
                <w:highlight w:val="none"/>
                <w:lang w:eastAsia="zh-CN"/>
              </w:rPr>
              <w:t>外墙外保温工程技术标准</w:t>
            </w:r>
            <w:r>
              <w:rPr>
                <w:bCs/>
                <w:color w:val="auto"/>
                <w:highlight w:val="none"/>
              </w:rPr>
              <w:t>》</w:t>
            </w:r>
            <w:r>
              <w:rPr>
                <w:rFonts w:hint="eastAsia"/>
                <w:bCs/>
                <w:color w:val="auto"/>
                <w:highlight w:val="none"/>
                <w:lang w:eastAsia="zh-CN"/>
              </w:rPr>
              <w:t>JGJ 144</w:t>
            </w:r>
          </w:p>
        </w:tc>
      </w:tr>
      <w:tr w14:paraId="551B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681" w:type="dxa"/>
            <w:gridSpan w:val="2"/>
            <w:tcBorders>
              <w:left w:val="single" w:color="auto" w:sz="4" w:space="0"/>
              <w:bottom w:val="single" w:color="auto" w:sz="4" w:space="0"/>
              <w:right w:val="single" w:color="auto" w:sz="4" w:space="0"/>
            </w:tcBorders>
            <w:vAlign w:val="center"/>
          </w:tcPr>
          <w:p w14:paraId="0EA77B1C">
            <w:pPr>
              <w:spacing w:line="360" w:lineRule="auto"/>
              <w:jc w:val="center"/>
              <w:rPr>
                <w:bCs/>
                <w:color w:val="auto"/>
                <w:highlight w:val="none"/>
              </w:rPr>
            </w:pPr>
            <w:r>
              <w:rPr>
                <w:color w:val="auto"/>
                <w:highlight w:val="none"/>
              </w:rPr>
              <w:t>抗风压值（kPa）</w:t>
            </w:r>
          </w:p>
        </w:tc>
        <w:tc>
          <w:tcPr>
            <w:tcW w:w="2268" w:type="dxa"/>
            <w:tcBorders>
              <w:top w:val="single" w:color="auto" w:sz="4" w:space="0"/>
              <w:left w:val="single" w:color="auto" w:sz="4" w:space="0"/>
              <w:bottom w:val="single" w:color="auto" w:sz="4" w:space="0"/>
              <w:right w:val="single" w:color="auto" w:sz="4" w:space="0"/>
            </w:tcBorders>
            <w:vAlign w:val="center"/>
          </w:tcPr>
          <w:p w14:paraId="5C2B8407">
            <w:pPr>
              <w:spacing w:line="360" w:lineRule="auto"/>
              <w:jc w:val="center"/>
              <w:rPr>
                <w:bCs/>
                <w:color w:val="auto"/>
                <w:highlight w:val="none"/>
              </w:rPr>
            </w:pPr>
            <w:r>
              <w:rPr>
                <w:bCs/>
                <w:color w:val="auto"/>
                <w:highlight w:val="none"/>
              </w:rPr>
              <w:t>不小于工程项目的风荷载标准值的1.5倍</w:t>
            </w:r>
          </w:p>
        </w:tc>
        <w:tc>
          <w:tcPr>
            <w:tcW w:w="2391" w:type="dxa"/>
            <w:tcBorders>
              <w:top w:val="single" w:color="auto" w:sz="4" w:space="0"/>
              <w:left w:val="single" w:color="auto" w:sz="4" w:space="0"/>
              <w:bottom w:val="single" w:color="auto" w:sz="4" w:space="0"/>
              <w:right w:val="single" w:color="auto" w:sz="4" w:space="0"/>
            </w:tcBorders>
            <w:vAlign w:val="center"/>
          </w:tcPr>
          <w:p w14:paraId="4FF2A143">
            <w:pPr>
              <w:spacing w:line="360" w:lineRule="auto"/>
              <w:jc w:val="center"/>
              <w:rPr>
                <w:bCs/>
                <w:color w:val="auto"/>
                <w:highlight w:val="none"/>
              </w:rPr>
            </w:pPr>
            <w:r>
              <w:rPr>
                <w:rFonts w:hint="eastAsia"/>
                <w:bCs/>
                <w:color w:val="auto"/>
                <w:highlight w:val="none"/>
              </w:rPr>
              <w:t>现行国家标准</w:t>
            </w:r>
            <w:r>
              <w:rPr>
                <w:bCs/>
                <w:color w:val="auto"/>
                <w:highlight w:val="none"/>
              </w:rPr>
              <w:t>《外墙外保温系统动态风压试验方法》GB/T 36585</w:t>
            </w:r>
          </w:p>
        </w:tc>
      </w:tr>
    </w:tbl>
    <w:p w14:paraId="1EF1FE82">
      <w:pPr>
        <w:spacing w:line="360" w:lineRule="auto"/>
        <w:rPr>
          <w:bCs/>
          <w:color w:val="auto"/>
          <w:sz w:val="24"/>
          <w:szCs w:val="24"/>
          <w:highlight w:val="none"/>
        </w:rPr>
      </w:pPr>
      <w:r>
        <w:rPr>
          <w:rFonts w:hint="eastAsia" w:ascii="仿宋_GB2312" w:eastAsia="仿宋_GB2312"/>
          <w:color w:val="auto"/>
          <w:sz w:val="24"/>
          <w:highlight w:val="none"/>
        </w:rPr>
        <w:t>【条文说明】4.</w:t>
      </w:r>
      <w:r>
        <w:rPr>
          <w:rFonts w:ascii="仿宋_GB2312" w:eastAsia="仿宋_GB2312"/>
          <w:color w:val="auto"/>
          <w:sz w:val="24"/>
          <w:highlight w:val="none"/>
        </w:rPr>
        <w:t xml:space="preserve">2.1  </w:t>
      </w:r>
      <w:r>
        <w:rPr>
          <w:rFonts w:hint="eastAsia" w:ascii="仿宋_GB2312" w:eastAsia="仿宋_GB2312"/>
          <w:color w:val="auto"/>
          <w:sz w:val="24"/>
          <w:highlight w:val="none"/>
        </w:rPr>
        <w:t>本条文的性能指标与现行行业标准《外墙外保温工程技术标准》</w:t>
      </w:r>
      <w:r>
        <w:rPr>
          <w:rFonts w:hint="eastAsia" w:ascii="仿宋_GB2312" w:eastAsia="仿宋_GB2312"/>
          <w:color w:val="auto"/>
          <w:sz w:val="24"/>
          <w:highlight w:val="none"/>
          <w:lang w:eastAsia="zh-CN"/>
        </w:rPr>
        <w:t>JGJ 144</w:t>
      </w:r>
      <w:r>
        <w:rPr>
          <w:rFonts w:hint="eastAsia" w:ascii="仿宋_GB2312" w:eastAsia="仿宋_GB2312"/>
          <w:color w:val="auto"/>
          <w:sz w:val="24"/>
          <w:highlight w:val="none"/>
        </w:rPr>
        <w:t>中系统性能指标要求相一致。</w:t>
      </w:r>
    </w:p>
    <w:p w14:paraId="2247306E">
      <w:pPr>
        <w:pStyle w:val="27"/>
        <w:numPr>
          <w:ilvl w:val="2"/>
          <w:numId w:val="2"/>
        </w:numPr>
        <w:spacing w:line="360" w:lineRule="auto"/>
        <w:ind w:left="0" w:firstLine="0" w:firstLineChars="0"/>
        <w:outlineLvl w:val="2"/>
        <w:rPr>
          <w:bCs/>
          <w:color w:val="auto"/>
          <w:sz w:val="24"/>
          <w:szCs w:val="24"/>
          <w:highlight w:val="none"/>
        </w:rPr>
      </w:pPr>
      <w:r>
        <w:rPr>
          <w:rFonts w:hint="eastAsia"/>
          <w:color w:val="auto"/>
          <w:sz w:val="24"/>
          <w:highlight w:val="none"/>
        </w:rPr>
        <w:t>非透明幕墙</w:t>
      </w:r>
      <w:r>
        <w:rPr>
          <w:color w:val="auto"/>
          <w:sz w:val="24"/>
          <w:highlight w:val="none"/>
        </w:rPr>
        <w:t>套装双真空保温隔热板薄抹灰外墙外保温系统</w:t>
      </w:r>
      <w:r>
        <w:rPr>
          <w:rFonts w:hint="eastAsia"/>
          <w:color w:val="auto"/>
          <w:sz w:val="24"/>
          <w:highlight w:val="none"/>
        </w:rPr>
        <w:t>中，幕墙性能及幕墙材料性能应符合现行行业标准《金属与石材幕墙工程技术规范》JGJ</w:t>
      </w:r>
      <w:r>
        <w:rPr>
          <w:color w:val="auto"/>
          <w:sz w:val="24"/>
          <w:highlight w:val="none"/>
        </w:rPr>
        <w:t xml:space="preserve"> 133</w:t>
      </w:r>
      <w:r>
        <w:rPr>
          <w:rFonts w:hint="eastAsia"/>
          <w:color w:val="auto"/>
          <w:sz w:val="24"/>
          <w:highlight w:val="none"/>
        </w:rPr>
        <w:t>的有关规定。非透明幕墙</w:t>
      </w:r>
      <w:r>
        <w:rPr>
          <w:color w:val="auto"/>
          <w:sz w:val="24"/>
          <w:highlight w:val="none"/>
        </w:rPr>
        <w:t>套装双真空保温隔热板薄抹灰外墙外保温系统</w:t>
      </w:r>
      <w:r>
        <w:rPr>
          <w:rFonts w:hint="eastAsia"/>
          <w:color w:val="auto"/>
          <w:sz w:val="24"/>
          <w:highlight w:val="none"/>
        </w:rPr>
        <w:t>性能应符合本规程表4</w:t>
      </w:r>
      <w:r>
        <w:rPr>
          <w:color w:val="auto"/>
          <w:sz w:val="24"/>
          <w:highlight w:val="none"/>
        </w:rPr>
        <w:t>.2.1</w:t>
      </w:r>
      <w:r>
        <w:rPr>
          <w:rFonts w:hint="eastAsia"/>
          <w:color w:val="auto"/>
          <w:sz w:val="24"/>
          <w:highlight w:val="none"/>
        </w:rPr>
        <w:t>的规定，且不包含抗冲击性能指标</w:t>
      </w:r>
      <w:r>
        <w:rPr>
          <w:bCs/>
          <w:color w:val="auto"/>
          <w:sz w:val="24"/>
          <w:szCs w:val="24"/>
          <w:highlight w:val="none"/>
        </w:rPr>
        <w:t>。</w:t>
      </w:r>
    </w:p>
    <w:p w14:paraId="13FE871E">
      <w:pPr>
        <w:pStyle w:val="27"/>
        <w:numPr>
          <w:ilvl w:val="2"/>
          <w:numId w:val="2"/>
        </w:numPr>
        <w:spacing w:line="360" w:lineRule="auto"/>
        <w:ind w:left="0" w:firstLine="0" w:firstLineChars="0"/>
        <w:outlineLvl w:val="2"/>
        <w:rPr>
          <w:bCs/>
          <w:color w:val="auto"/>
          <w:sz w:val="24"/>
          <w:szCs w:val="24"/>
          <w:highlight w:val="none"/>
        </w:rPr>
      </w:pPr>
      <w:r>
        <w:rPr>
          <w:bCs/>
          <w:color w:val="auto"/>
          <w:sz w:val="24"/>
          <w:szCs w:val="24"/>
          <w:highlight w:val="none"/>
        </w:rPr>
        <w:t>套装双真空保温隔热板薄抹灰外墙内保温系统性能指标应符合表4.2.</w:t>
      </w:r>
      <w:r>
        <w:rPr>
          <w:rFonts w:hint="eastAsia"/>
          <w:bCs/>
          <w:color w:val="auto"/>
          <w:sz w:val="24"/>
          <w:szCs w:val="24"/>
          <w:highlight w:val="none"/>
          <w:lang w:val="en-US" w:eastAsia="zh-CN"/>
        </w:rPr>
        <w:t>3</w:t>
      </w:r>
      <w:r>
        <w:rPr>
          <w:bCs/>
          <w:color w:val="auto"/>
          <w:sz w:val="24"/>
          <w:szCs w:val="24"/>
          <w:highlight w:val="none"/>
        </w:rPr>
        <w:t>的规定。</w:t>
      </w:r>
    </w:p>
    <w:p w14:paraId="1D9C345A">
      <w:pPr>
        <w:spacing w:line="400" w:lineRule="exact"/>
        <w:jc w:val="center"/>
        <w:rPr>
          <w:bCs/>
          <w:color w:val="auto"/>
          <w:highlight w:val="none"/>
        </w:rPr>
      </w:pPr>
      <w:r>
        <w:rPr>
          <w:bCs/>
          <w:color w:val="auto"/>
          <w:highlight w:val="none"/>
        </w:rPr>
        <w:t xml:space="preserve">表4.2.3  </w:t>
      </w:r>
      <w:bookmarkStart w:id="19" w:name="_Hlk142557419"/>
      <w:r>
        <w:rPr>
          <w:bCs/>
          <w:color w:val="auto"/>
          <w:highlight w:val="none"/>
        </w:rPr>
        <w:t>套装双真空保温隔热板薄抹灰外墙内保温系统</w:t>
      </w:r>
      <w:bookmarkEnd w:id="19"/>
      <w:r>
        <w:rPr>
          <w:bCs/>
          <w:color w:val="auto"/>
          <w:highlight w:val="none"/>
        </w:rPr>
        <w:t>性能指标</w:t>
      </w:r>
    </w:p>
    <w:tbl>
      <w:tblPr>
        <w:tblStyle w:val="18"/>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2977"/>
        <w:gridCol w:w="2953"/>
      </w:tblGrid>
      <w:tr w14:paraId="1EE9E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40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FC4B45F">
            <w:pPr>
              <w:jc w:val="center"/>
              <w:rPr>
                <w:color w:val="auto"/>
                <w:highlight w:val="none"/>
              </w:rPr>
            </w:pPr>
            <w:r>
              <w:rPr>
                <w:color w:val="auto"/>
                <w:highlight w:val="none"/>
              </w:rPr>
              <w:t>项  目</w:t>
            </w:r>
          </w:p>
        </w:tc>
        <w:tc>
          <w:tcPr>
            <w:tcW w:w="297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6F6EC13">
            <w:pPr>
              <w:jc w:val="center"/>
              <w:rPr>
                <w:color w:val="auto"/>
                <w:highlight w:val="none"/>
              </w:rPr>
            </w:pPr>
            <w:r>
              <w:rPr>
                <w:color w:val="auto"/>
                <w:highlight w:val="none"/>
              </w:rPr>
              <w:t>指  标</w:t>
            </w:r>
          </w:p>
        </w:tc>
        <w:tc>
          <w:tcPr>
            <w:tcW w:w="2953"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452AF4E">
            <w:pPr>
              <w:jc w:val="center"/>
              <w:rPr>
                <w:color w:val="auto"/>
                <w:highlight w:val="none"/>
              </w:rPr>
            </w:pPr>
            <w:r>
              <w:rPr>
                <w:color w:val="auto"/>
                <w:highlight w:val="none"/>
              </w:rPr>
              <w:t>试验方法</w:t>
            </w:r>
          </w:p>
        </w:tc>
      </w:tr>
      <w:tr w14:paraId="38E5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40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32AE47C9">
            <w:pPr>
              <w:jc w:val="center"/>
              <w:rPr>
                <w:color w:val="auto"/>
                <w:highlight w:val="none"/>
              </w:rPr>
            </w:pPr>
            <w:r>
              <w:rPr>
                <w:color w:val="auto"/>
                <w:highlight w:val="none"/>
              </w:rPr>
              <w:t>系统拉伸粘结强度（MPa）</w:t>
            </w:r>
          </w:p>
        </w:tc>
        <w:tc>
          <w:tcPr>
            <w:tcW w:w="297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677D392">
            <w:pPr>
              <w:jc w:val="center"/>
              <w:rPr>
                <w:color w:val="auto"/>
                <w:highlight w:val="none"/>
              </w:rPr>
            </w:pPr>
            <w:r>
              <w:rPr>
                <w:color w:val="auto"/>
                <w:highlight w:val="none"/>
              </w:rPr>
              <w:t>≥0.035</w:t>
            </w:r>
          </w:p>
        </w:tc>
        <w:tc>
          <w:tcPr>
            <w:tcW w:w="2953"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179B16DB">
            <w:pPr>
              <w:jc w:val="center"/>
              <w:rPr>
                <w:color w:val="auto"/>
                <w:highlight w:val="none"/>
              </w:rPr>
            </w:pPr>
            <w:r>
              <w:rPr>
                <w:color w:val="auto"/>
                <w:highlight w:val="none"/>
              </w:rPr>
              <w:t>现行行业标准《外墙外保温工程技术标准》JGJ 144</w:t>
            </w:r>
          </w:p>
        </w:tc>
      </w:tr>
      <w:tr w14:paraId="47150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40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5ABD215A">
            <w:pPr>
              <w:jc w:val="center"/>
              <w:rPr>
                <w:color w:val="auto"/>
                <w:highlight w:val="none"/>
              </w:rPr>
            </w:pPr>
            <w:r>
              <w:rPr>
                <w:color w:val="auto"/>
                <w:highlight w:val="none"/>
              </w:rPr>
              <w:t>单点锚固力（kN）</w:t>
            </w:r>
          </w:p>
        </w:tc>
        <w:tc>
          <w:tcPr>
            <w:tcW w:w="297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3F4E4B80">
            <w:pPr>
              <w:jc w:val="center"/>
              <w:rPr>
                <w:color w:val="auto"/>
                <w:highlight w:val="none"/>
              </w:rPr>
            </w:pPr>
            <w:r>
              <w:rPr>
                <w:color w:val="auto"/>
                <w:highlight w:val="none"/>
              </w:rPr>
              <w:t>≥0.30</w:t>
            </w:r>
          </w:p>
        </w:tc>
        <w:tc>
          <w:tcPr>
            <w:tcW w:w="2953"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E3ABD20">
            <w:pPr>
              <w:jc w:val="center"/>
              <w:rPr>
                <w:color w:val="auto"/>
                <w:highlight w:val="none"/>
              </w:rPr>
            </w:pPr>
            <w:r>
              <w:rPr>
                <w:color w:val="auto"/>
                <w:highlight w:val="none"/>
              </w:rPr>
              <w:t>现行行业标准</w:t>
            </w:r>
            <w:r>
              <w:rPr>
                <w:bCs/>
                <w:color w:val="auto"/>
                <w:highlight w:val="none"/>
              </w:rPr>
              <w:t>《保温装饰板外墙外保温系统材料》JG/T 287</w:t>
            </w:r>
          </w:p>
        </w:tc>
      </w:tr>
      <w:tr w14:paraId="19F7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40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13C1451">
            <w:pPr>
              <w:jc w:val="center"/>
              <w:rPr>
                <w:color w:val="auto"/>
                <w:highlight w:val="none"/>
              </w:rPr>
            </w:pPr>
            <w:r>
              <w:rPr>
                <w:color w:val="auto"/>
                <w:highlight w:val="none"/>
              </w:rPr>
              <w:t>抗冲击性（次）</w:t>
            </w:r>
          </w:p>
        </w:tc>
        <w:tc>
          <w:tcPr>
            <w:tcW w:w="297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B427DEA">
            <w:pPr>
              <w:jc w:val="center"/>
              <w:rPr>
                <w:color w:val="auto"/>
                <w:highlight w:val="none"/>
              </w:rPr>
            </w:pPr>
            <w:r>
              <w:rPr>
                <w:color w:val="auto"/>
                <w:highlight w:val="none"/>
              </w:rPr>
              <w:t>≥10</w:t>
            </w:r>
          </w:p>
        </w:tc>
        <w:tc>
          <w:tcPr>
            <w:tcW w:w="2953"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654B8A9B">
            <w:pPr>
              <w:jc w:val="center"/>
              <w:rPr>
                <w:color w:val="auto"/>
                <w:highlight w:val="none"/>
              </w:rPr>
            </w:pPr>
            <w:r>
              <w:rPr>
                <w:color w:val="auto"/>
                <w:highlight w:val="none"/>
              </w:rPr>
              <w:t>现行行业标准《外墙内保温板》JG/T 159</w:t>
            </w:r>
          </w:p>
        </w:tc>
      </w:tr>
      <w:tr w14:paraId="1DC8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40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2E014AA3">
            <w:pPr>
              <w:jc w:val="center"/>
              <w:rPr>
                <w:color w:val="auto"/>
                <w:highlight w:val="none"/>
              </w:rPr>
            </w:pPr>
            <w:r>
              <w:rPr>
                <w:color w:val="auto"/>
                <w:highlight w:val="none"/>
              </w:rPr>
              <w:t>吸水量（g/m</w:t>
            </w:r>
            <w:r>
              <w:rPr>
                <w:color w:val="auto"/>
                <w:highlight w:val="none"/>
                <w:vertAlign w:val="superscript"/>
              </w:rPr>
              <w:t>2</w:t>
            </w:r>
            <w:r>
              <w:rPr>
                <w:color w:val="auto"/>
                <w:highlight w:val="none"/>
              </w:rPr>
              <w:t>）</w:t>
            </w:r>
            <w:r>
              <w:rPr>
                <w:color w:val="auto"/>
                <w:highlight w:val="none"/>
                <w:vertAlign w:val="superscript"/>
              </w:rPr>
              <w:t>a</w:t>
            </w:r>
          </w:p>
        </w:tc>
        <w:tc>
          <w:tcPr>
            <w:tcW w:w="297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42114F9">
            <w:pPr>
              <w:jc w:val="center"/>
              <w:rPr>
                <w:color w:val="auto"/>
                <w:highlight w:val="none"/>
              </w:rPr>
            </w:pPr>
            <w:r>
              <w:rPr>
                <w:color w:val="auto"/>
                <w:highlight w:val="none"/>
              </w:rPr>
              <w:t>≤500</w:t>
            </w:r>
          </w:p>
        </w:tc>
        <w:tc>
          <w:tcPr>
            <w:tcW w:w="2953"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E7836AC">
            <w:pPr>
              <w:jc w:val="center"/>
              <w:rPr>
                <w:color w:val="auto"/>
                <w:highlight w:val="none"/>
              </w:rPr>
            </w:pPr>
            <w:r>
              <w:rPr>
                <w:color w:val="auto"/>
                <w:highlight w:val="none"/>
              </w:rPr>
              <w:t>现行行业标准《外墙外保温工程技术标准》JGJ 144</w:t>
            </w:r>
          </w:p>
        </w:tc>
      </w:tr>
      <w:tr w14:paraId="4F7D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40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835661B">
            <w:pPr>
              <w:jc w:val="center"/>
              <w:rPr>
                <w:color w:val="auto"/>
                <w:highlight w:val="none"/>
              </w:rPr>
            </w:pPr>
            <w:r>
              <w:rPr>
                <w:color w:val="auto"/>
                <w:highlight w:val="none"/>
              </w:rPr>
              <w:t>热阻</w:t>
            </w:r>
          </w:p>
        </w:tc>
        <w:tc>
          <w:tcPr>
            <w:tcW w:w="297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638CE4F">
            <w:pPr>
              <w:jc w:val="center"/>
              <w:rPr>
                <w:color w:val="auto"/>
                <w:highlight w:val="none"/>
              </w:rPr>
            </w:pPr>
            <w:r>
              <w:rPr>
                <w:color w:val="auto"/>
                <w:highlight w:val="none"/>
              </w:rPr>
              <w:t>应符合设计要求</w:t>
            </w:r>
          </w:p>
        </w:tc>
        <w:tc>
          <w:tcPr>
            <w:tcW w:w="2953"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642B867A">
            <w:pPr>
              <w:jc w:val="center"/>
              <w:rPr>
                <w:color w:val="auto"/>
                <w:highlight w:val="none"/>
              </w:rPr>
            </w:pPr>
            <w:r>
              <w:rPr>
                <w:color w:val="auto"/>
                <w:highlight w:val="none"/>
              </w:rPr>
              <w:t>现行国家标准《绝热稳态传热性质的测定 标定和防护热箱法》GB/T 13475</w:t>
            </w:r>
          </w:p>
        </w:tc>
      </w:tr>
      <w:tr w14:paraId="0D46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40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6837FA1B">
            <w:pPr>
              <w:jc w:val="center"/>
              <w:rPr>
                <w:color w:val="auto"/>
                <w:highlight w:val="none"/>
              </w:rPr>
            </w:pPr>
            <w:r>
              <w:rPr>
                <w:color w:val="auto"/>
                <w:highlight w:val="none"/>
              </w:rPr>
              <w:t>抹面层不透水性</w:t>
            </w:r>
            <w:r>
              <w:rPr>
                <w:color w:val="auto"/>
                <w:highlight w:val="none"/>
                <w:vertAlign w:val="superscript"/>
              </w:rPr>
              <w:t>a</w:t>
            </w:r>
          </w:p>
        </w:tc>
        <w:tc>
          <w:tcPr>
            <w:tcW w:w="297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F5C25FF">
            <w:pPr>
              <w:jc w:val="center"/>
              <w:rPr>
                <w:color w:val="auto"/>
                <w:highlight w:val="none"/>
              </w:rPr>
            </w:pPr>
            <w:r>
              <w:rPr>
                <w:color w:val="auto"/>
                <w:highlight w:val="none"/>
              </w:rPr>
              <w:t>2h 不透水</w:t>
            </w:r>
          </w:p>
        </w:tc>
        <w:tc>
          <w:tcPr>
            <w:tcW w:w="2953"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5FFC3CB5">
            <w:pPr>
              <w:jc w:val="center"/>
              <w:rPr>
                <w:color w:val="auto"/>
                <w:highlight w:val="none"/>
              </w:rPr>
            </w:pPr>
            <w:r>
              <w:rPr>
                <w:color w:val="auto"/>
                <w:highlight w:val="none"/>
              </w:rPr>
              <w:t>现行行业标准《外墙外保温工程技术标准》JGJ 144</w:t>
            </w:r>
          </w:p>
        </w:tc>
      </w:tr>
      <w:tr w14:paraId="3BA9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40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1B470161">
            <w:pPr>
              <w:jc w:val="center"/>
              <w:rPr>
                <w:color w:val="auto"/>
                <w:highlight w:val="none"/>
              </w:rPr>
            </w:pPr>
            <w:r>
              <w:rPr>
                <w:color w:val="auto"/>
                <w:highlight w:val="none"/>
              </w:rPr>
              <w:t>防护层水蒸气渗透阻</w:t>
            </w:r>
            <w:r>
              <w:rPr>
                <w:color w:val="auto"/>
                <w:highlight w:val="none"/>
                <w:vertAlign w:val="superscript"/>
              </w:rPr>
              <w:t>a</w:t>
            </w:r>
          </w:p>
        </w:tc>
        <w:tc>
          <w:tcPr>
            <w:tcW w:w="297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D67D4EF">
            <w:pPr>
              <w:jc w:val="center"/>
              <w:rPr>
                <w:color w:val="auto"/>
                <w:highlight w:val="none"/>
              </w:rPr>
            </w:pPr>
            <w:r>
              <w:rPr>
                <w:color w:val="auto"/>
                <w:highlight w:val="none"/>
              </w:rPr>
              <w:t>应符合设计要求</w:t>
            </w:r>
          </w:p>
        </w:tc>
        <w:tc>
          <w:tcPr>
            <w:tcW w:w="2953"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54E5E081">
            <w:pPr>
              <w:jc w:val="center"/>
              <w:rPr>
                <w:color w:val="auto"/>
                <w:highlight w:val="none"/>
              </w:rPr>
            </w:pPr>
            <w:r>
              <w:rPr>
                <w:color w:val="auto"/>
                <w:highlight w:val="none"/>
              </w:rPr>
              <w:t>现行行业标准《外墙外保温工程技术标准》JGJ 144</w:t>
            </w:r>
          </w:p>
        </w:tc>
      </w:tr>
    </w:tbl>
    <w:p w14:paraId="2F50EB40">
      <w:pPr>
        <w:spacing w:line="400" w:lineRule="exact"/>
        <w:jc w:val="left"/>
        <w:rPr>
          <w:bCs/>
          <w:color w:val="auto"/>
          <w:highlight w:val="none"/>
        </w:rPr>
      </w:pPr>
      <w:r>
        <w:rPr>
          <w:bCs/>
          <w:color w:val="auto"/>
          <w:highlight w:val="none"/>
        </w:rPr>
        <w:t>注：</w:t>
      </w:r>
      <w:r>
        <w:rPr>
          <w:color w:val="auto"/>
          <w:highlight w:val="none"/>
          <w:vertAlign w:val="superscript"/>
        </w:rPr>
        <w:t xml:space="preserve">a   </w:t>
      </w:r>
      <w:r>
        <w:rPr>
          <w:bCs/>
          <w:color w:val="auto"/>
          <w:highlight w:val="none"/>
        </w:rPr>
        <w:t>当用于厨房、卫生间等潮湿环境时，要求此指标。</w:t>
      </w:r>
    </w:p>
    <w:p w14:paraId="428F1914">
      <w:pPr>
        <w:spacing w:line="360" w:lineRule="auto"/>
        <w:rPr>
          <w:bCs/>
          <w:color w:val="auto"/>
          <w:sz w:val="24"/>
          <w:szCs w:val="24"/>
          <w:highlight w:val="none"/>
        </w:rPr>
      </w:pPr>
      <w:bookmarkStart w:id="20" w:name="_Hlk139999942"/>
      <w:r>
        <w:rPr>
          <w:rFonts w:hint="eastAsia" w:ascii="仿宋_GB2312" w:eastAsia="仿宋_GB2312"/>
          <w:color w:val="auto"/>
          <w:sz w:val="24"/>
          <w:highlight w:val="none"/>
        </w:rPr>
        <w:t>【条文说明】4.</w:t>
      </w:r>
      <w:r>
        <w:rPr>
          <w:rFonts w:ascii="仿宋_GB2312" w:eastAsia="仿宋_GB2312"/>
          <w:color w:val="auto"/>
          <w:sz w:val="24"/>
          <w:highlight w:val="none"/>
        </w:rPr>
        <w:t xml:space="preserve">2.2  </w:t>
      </w:r>
      <w:r>
        <w:rPr>
          <w:rFonts w:hint="eastAsia" w:ascii="仿宋_GB2312" w:eastAsia="仿宋_GB2312"/>
          <w:color w:val="auto"/>
          <w:sz w:val="24"/>
          <w:highlight w:val="none"/>
        </w:rPr>
        <w:t>本条文对套装双真空保温隔热板薄抹灰外墙内保温系统性能提出了要求，主要参考《外墙内保温工程技术规程》JGJ/T 261。</w:t>
      </w:r>
    </w:p>
    <w:p w14:paraId="5080C5AC">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套装双真空保温隔热装饰板外墙外保温系统</w:t>
      </w:r>
      <w:bookmarkEnd w:id="20"/>
      <w:r>
        <w:rPr>
          <w:bCs/>
          <w:color w:val="auto"/>
          <w:sz w:val="24"/>
          <w:szCs w:val="24"/>
          <w:highlight w:val="none"/>
        </w:rPr>
        <w:t>性能指标应符合表4.2.3的规定</w:t>
      </w:r>
      <w:r>
        <w:rPr>
          <w:rFonts w:hint="eastAsia"/>
          <w:bCs/>
          <w:color w:val="auto"/>
          <w:sz w:val="24"/>
          <w:szCs w:val="24"/>
          <w:highlight w:val="none"/>
        </w:rPr>
        <w:t>，其中Ⅰ型套装双真空保温隔热装饰板单位面积质量应小于20kg/m</w:t>
      </w:r>
      <w:r>
        <w:rPr>
          <w:rFonts w:hint="eastAsia"/>
          <w:bCs/>
          <w:color w:val="auto"/>
          <w:sz w:val="24"/>
          <w:szCs w:val="24"/>
          <w:highlight w:val="none"/>
          <w:vertAlign w:val="superscript"/>
        </w:rPr>
        <w:t>2</w:t>
      </w:r>
      <w:r>
        <w:rPr>
          <w:rFonts w:hint="eastAsia"/>
          <w:bCs/>
          <w:color w:val="auto"/>
          <w:sz w:val="24"/>
          <w:szCs w:val="24"/>
          <w:highlight w:val="none"/>
        </w:rPr>
        <w:t>，Ⅱ型套装双真空保温隔热装饰板单位面积质量不应小于20kg/m</w:t>
      </w:r>
      <w:r>
        <w:rPr>
          <w:rFonts w:hint="eastAsia"/>
          <w:bCs/>
          <w:color w:val="auto"/>
          <w:sz w:val="24"/>
          <w:szCs w:val="24"/>
          <w:highlight w:val="none"/>
          <w:vertAlign w:val="superscript"/>
        </w:rPr>
        <w:t>2</w:t>
      </w:r>
      <w:r>
        <w:rPr>
          <w:rFonts w:hint="eastAsia"/>
          <w:bCs/>
          <w:color w:val="auto"/>
          <w:sz w:val="24"/>
          <w:szCs w:val="24"/>
          <w:highlight w:val="none"/>
        </w:rPr>
        <w:t>，且不应大于30kg/m</w:t>
      </w:r>
      <w:r>
        <w:rPr>
          <w:rFonts w:hint="eastAsia"/>
          <w:bCs/>
          <w:color w:val="auto"/>
          <w:sz w:val="24"/>
          <w:szCs w:val="24"/>
          <w:highlight w:val="none"/>
          <w:vertAlign w:val="superscript"/>
        </w:rPr>
        <w:t>2</w:t>
      </w:r>
      <w:r>
        <w:rPr>
          <w:bCs/>
          <w:color w:val="auto"/>
          <w:sz w:val="24"/>
          <w:szCs w:val="24"/>
          <w:highlight w:val="none"/>
        </w:rPr>
        <w:t>。</w:t>
      </w:r>
    </w:p>
    <w:p w14:paraId="6B937775">
      <w:pPr>
        <w:pStyle w:val="27"/>
        <w:numPr>
          <w:ilvl w:val="0"/>
          <w:numId w:val="3"/>
        </w:numPr>
        <w:spacing w:line="400" w:lineRule="exact"/>
        <w:ind w:firstLine="0" w:firstLineChars="0"/>
        <w:jc w:val="center"/>
        <w:rPr>
          <w:bCs/>
          <w:color w:val="auto"/>
          <w:highlight w:val="none"/>
        </w:rPr>
      </w:pPr>
      <w:r>
        <w:rPr>
          <w:bCs/>
          <w:color w:val="auto"/>
          <w:highlight w:val="none"/>
        </w:rPr>
        <w:t>表4.2.2  套装双真空保温隔热装饰板外墙外保温系统性能指标</w:t>
      </w:r>
    </w:p>
    <w:tbl>
      <w:tblPr>
        <w:tblStyle w:val="18"/>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126"/>
        <w:gridCol w:w="1654"/>
        <w:gridCol w:w="57"/>
        <w:gridCol w:w="1408"/>
        <w:gridCol w:w="2244"/>
      </w:tblGrid>
      <w:tr w14:paraId="5514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972" w:type="dxa"/>
            <w:gridSpan w:val="2"/>
            <w:vMerge w:val="restart"/>
            <w:tcBorders>
              <w:top w:val="single" w:color="auto" w:sz="4" w:space="0"/>
              <w:left w:val="single" w:color="auto" w:sz="4" w:space="0"/>
              <w:right w:val="single" w:color="auto" w:sz="4" w:space="0"/>
            </w:tcBorders>
            <w:tcMar>
              <w:top w:w="57" w:type="dxa"/>
              <w:left w:w="108" w:type="dxa"/>
              <w:bottom w:w="57" w:type="dxa"/>
              <w:right w:w="108" w:type="dxa"/>
            </w:tcMar>
            <w:vAlign w:val="center"/>
          </w:tcPr>
          <w:p w14:paraId="227DD392">
            <w:pPr>
              <w:jc w:val="center"/>
              <w:rPr>
                <w:color w:val="auto"/>
                <w:highlight w:val="none"/>
              </w:rPr>
            </w:pPr>
            <w:r>
              <w:rPr>
                <w:color w:val="auto"/>
                <w:highlight w:val="none"/>
              </w:rPr>
              <w:t>项  目</w:t>
            </w:r>
          </w:p>
        </w:tc>
        <w:tc>
          <w:tcPr>
            <w:tcW w:w="3119"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1AD4708D">
            <w:pPr>
              <w:jc w:val="center"/>
              <w:rPr>
                <w:color w:val="auto"/>
                <w:highlight w:val="none"/>
              </w:rPr>
            </w:pPr>
            <w:r>
              <w:rPr>
                <w:color w:val="auto"/>
                <w:highlight w:val="none"/>
              </w:rPr>
              <w:t>指  标</w:t>
            </w:r>
          </w:p>
        </w:tc>
        <w:tc>
          <w:tcPr>
            <w:tcW w:w="2244" w:type="dxa"/>
            <w:vMerge w:val="restart"/>
            <w:tcBorders>
              <w:top w:val="single" w:color="auto" w:sz="4" w:space="0"/>
              <w:left w:val="single" w:color="auto" w:sz="4" w:space="0"/>
              <w:right w:val="single" w:color="auto" w:sz="4" w:space="0"/>
            </w:tcBorders>
            <w:tcMar>
              <w:top w:w="57" w:type="dxa"/>
              <w:left w:w="108" w:type="dxa"/>
              <w:bottom w:w="57" w:type="dxa"/>
              <w:right w:w="108" w:type="dxa"/>
            </w:tcMar>
            <w:vAlign w:val="center"/>
          </w:tcPr>
          <w:p w14:paraId="6FCFCE90">
            <w:pPr>
              <w:jc w:val="center"/>
              <w:rPr>
                <w:color w:val="auto"/>
                <w:highlight w:val="none"/>
              </w:rPr>
            </w:pPr>
            <w:r>
              <w:rPr>
                <w:color w:val="auto"/>
                <w:highlight w:val="none"/>
              </w:rPr>
              <w:t>试验方法</w:t>
            </w:r>
          </w:p>
        </w:tc>
      </w:tr>
      <w:tr w14:paraId="4BC7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972" w:type="dxa"/>
            <w:gridSpan w:val="2"/>
            <w:vMerge w:val="continue"/>
            <w:tcBorders>
              <w:left w:val="single" w:color="auto" w:sz="4" w:space="0"/>
              <w:bottom w:val="single" w:color="auto" w:sz="4" w:space="0"/>
              <w:right w:val="single" w:color="auto" w:sz="4" w:space="0"/>
            </w:tcBorders>
            <w:tcMar>
              <w:top w:w="57" w:type="dxa"/>
              <w:left w:w="108" w:type="dxa"/>
              <w:bottom w:w="57" w:type="dxa"/>
              <w:right w:w="108" w:type="dxa"/>
            </w:tcMar>
            <w:vAlign w:val="center"/>
          </w:tcPr>
          <w:p w14:paraId="324D5B38">
            <w:pPr>
              <w:jc w:val="center"/>
              <w:rPr>
                <w:color w:val="auto"/>
                <w:highlight w:val="none"/>
              </w:rPr>
            </w:pPr>
          </w:p>
        </w:tc>
        <w:tc>
          <w:tcPr>
            <w:tcW w:w="165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FED595C">
            <w:pPr>
              <w:jc w:val="center"/>
              <w:rPr>
                <w:color w:val="auto"/>
                <w:highlight w:val="none"/>
              </w:rPr>
            </w:pPr>
            <w:r>
              <w:rPr>
                <w:rFonts w:hint="eastAsia" w:ascii="仿宋" w:hAnsi="仿宋" w:eastAsia="仿宋" w:cs="仿宋"/>
                <w:bCs/>
                <w:color w:val="auto"/>
                <w:sz w:val="18"/>
                <w:szCs w:val="18"/>
                <w:highlight w:val="none"/>
              </w:rPr>
              <w:t>Ⅰ</w:t>
            </w:r>
            <w:r>
              <w:rPr>
                <w:rFonts w:hint="eastAsia" w:cs="宋体"/>
                <w:bCs/>
                <w:color w:val="auto"/>
                <w:sz w:val="18"/>
                <w:szCs w:val="18"/>
                <w:highlight w:val="none"/>
              </w:rPr>
              <w:t>型</w:t>
            </w:r>
          </w:p>
        </w:tc>
        <w:tc>
          <w:tcPr>
            <w:tcW w:w="1465" w:type="dxa"/>
            <w:gridSpan w:val="2"/>
            <w:tcBorders>
              <w:top w:val="single" w:color="auto" w:sz="4" w:space="0"/>
              <w:left w:val="single" w:color="auto" w:sz="4" w:space="0"/>
              <w:bottom w:val="single" w:color="auto" w:sz="4" w:space="0"/>
              <w:right w:val="single" w:color="auto" w:sz="4" w:space="0"/>
            </w:tcBorders>
            <w:vAlign w:val="center"/>
          </w:tcPr>
          <w:p w14:paraId="5FB8F117">
            <w:pPr>
              <w:jc w:val="center"/>
              <w:rPr>
                <w:color w:val="auto"/>
                <w:highlight w:val="none"/>
              </w:rPr>
            </w:pPr>
            <w:r>
              <w:rPr>
                <w:rFonts w:hint="eastAsia" w:ascii="仿宋" w:hAnsi="仿宋" w:eastAsia="仿宋" w:cs="仿宋"/>
                <w:bCs/>
                <w:color w:val="auto"/>
                <w:sz w:val="18"/>
                <w:szCs w:val="18"/>
                <w:highlight w:val="none"/>
              </w:rPr>
              <w:t>Ⅱ</w:t>
            </w:r>
            <w:r>
              <w:rPr>
                <w:rFonts w:hint="eastAsia" w:cs="宋体"/>
                <w:bCs/>
                <w:color w:val="auto"/>
                <w:sz w:val="18"/>
                <w:szCs w:val="18"/>
                <w:highlight w:val="none"/>
              </w:rPr>
              <w:t>型</w:t>
            </w:r>
          </w:p>
        </w:tc>
        <w:tc>
          <w:tcPr>
            <w:tcW w:w="2244" w:type="dxa"/>
            <w:vMerge w:val="continue"/>
            <w:tcBorders>
              <w:left w:val="single" w:color="auto" w:sz="4" w:space="0"/>
              <w:bottom w:val="single" w:color="auto" w:sz="4" w:space="0"/>
              <w:right w:val="single" w:color="auto" w:sz="4" w:space="0"/>
            </w:tcBorders>
            <w:tcMar>
              <w:top w:w="57" w:type="dxa"/>
              <w:left w:w="108" w:type="dxa"/>
              <w:bottom w:w="57" w:type="dxa"/>
              <w:right w:w="108" w:type="dxa"/>
            </w:tcMar>
            <w:vAlign w:val="center"/>
          </w:tcPr>
          <w:p w14:paraId="4C9E66E4">
            <w:pPr>
              <w:jc w:val="center"/>
              <w:rPr>
                <w:color w:val="auto"/>
                <w:highlight w:val="none"/>
              </w:rPr>
            </w:pPr>
          </w:p>
        </w:tc>
      </w:tr>
      <w:tr w14:paraId="2C77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6" w:type="dxa"/>
            <w:vMerge w:val="restart"/>
            <w:tcBorders>
              <w:top w:val="nil"/>
              <w:left w:val="single" w:color="auto" w:sz="4" w:space="0"/>
              <w:bottom w:val="single" w:color="auto" w:sz="4" w:space="0"/>
              <w:right w:val="single" w:color="auto" w:sz="4" w:space="0"/>
            </w:tcBorders>
            <w:tcMar>
              <w:top w:w="57" w:type="dxa"/>
              <w:left w:w="108" w:type="dxa"/>
              <w:bottom w:w="57" w:type="dxa"/>
              <w:right w:w="108" w:type="dxa"/>
            </w:tcMar>
            <w:vAlign w:val="center"/>
          </w:tcPr>
          <w:p w14:paraId="011943C1">
            <w:pPr>
              <w:jc w:val="center"/>
              <w:rPr>
                <w:color w:val="auto"/>
                <w:highlight w:val="none"/>
              </w:rPr>
            </w:pPr>
            <w:r>
              <w:rPr>
                <w:color w:val="auto"/>
                <w:highlight w:val="none"/>
              </w:rPr>
              <w:t>耐候性</w:t>
            </w:r>
          </w:p>
        </w:tc>
        <w:tc>
          <w:tcPr>
            <w:tcW w:w="2126" w:type="dxa"/>
            <w:tcBorders>
              <w:top w:val="single" w:color="auto" w:sz="4" w:space="0"/>
              <w:left w:val="nil"/>
              <w:bottom w:val="single" w:color="auto" w:sz="4" w:space="0"/>
              <w:right w:val="single" w:color="auto" w:sz="4" w:space="0"/>
            </w:tcBorders>
            <w:tcMar>
              <w:top w:w="57" w:type="dxa"/>
              <w:left w:w="108" w:type="dxa"/>
              <w:bottom w:w="57" w:type="dxa"/>
              <w:right w:w="108" w:type="dxa"/>
            </w:tcMar>
            <w:vAlign w:val="center"/>
          </w:tcPr>
          <w:p w14:paraId="24338243">
            <w:pPr>
              <w:jc w:val="center"/>
              <w:rPr>
                <w:color w:val="auto"/>
                <w:highlight w:val="none"/>
              </w:rPr>
            </w:pPr>
            <w:r>
              <w:rPr>
                <w:color w:val="auto"/>
                <w:highlight w:val="none"/>
              </w:rPr>
              <w:t>外观</w:t>
            </w:r>
          </w:p>
        </w:tc>
        <w:tc>
          <w:tcPr>
            <w:tcW w:w="3119"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1F6A84A5">
            <w:pPr>
              <w:jc w:val="center"/>
              <w:rPr>
                <w:color w:val="auto"/>
                <w:highlight w:val="none"/>
              </w:rPr>
            </w:pPr>
            <w:r>
              <w:rPr>
                <w:rFonts w:hint="eastAsia"/>
                <w:color w:val="auto"/>
                <w:highlight w:val="none"/>
              </w:rPr>
              <w:t>无粉化、起鼓、起泡、脱落现象，无宽度大于 0.1 mm 的裂缝</w:t>
            </w:r>
          </w:p>
        </w:tc>
        <w:tc>
          <w:tcPr>
            <w:tcW w:w="224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2B6AC154">
            <w:pPr>
              <w:jc w:val="center"/>
              <w:rPr>
                <w:bCs/>
                <w:color w:val="auto"/>
                <w:highlight w:val="none"/>
              </w:rPr>
            </w:pPr>
            <w:r>
              <w:rPr>
                <w:rFonts w:hint="eastAsia"/>
                <w:bCs/>
                <w:color w:val="auto"/>
                <w:highlight w:val="none"/>
              </w:rPr>
              <w:t>现行行业标准</w:t>
            </w:r>
            <w:r>
              <w:rPr>
                <w:bCs/>
                <w:color w:val="auto"/>
                <w:highlight w:val="none"/>
              </w:rPr>
              <w:t>《保温装饰板外墙外保温系统材料》JG/T 287</w:t>
            </w:r>
          </w:p>
        </w:tc>
      </w:tr>
      <w:tr w14:paraId="7B79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846" w:type="dxa"/>
            <w:vMerge w:val="continue"/>
            <w:tcBorders>
              <w:top w:val="nil"/>
              <w:left w:val="single" w:color="auto" w:sz="4" w:space="0"/>
              <w:bottom w:val="single" w:color="auto" w:sz="4" w:space="0"/>
              <w:right w:val="single" w:color="auto" w:sz="4" w:space="0"/>
            </w:tcBorders>
            <w:vAlign w:val="center"/>
          </w:tcPr>
          <w:p w14:paraId="69B1F99D">
            <w:pPr>
              <w:jc w:val="center"/>
              <w:rPr>
                <w:color w:val="auto"/>
                <w:kern w:val="2"/>
                <w:highlight w:val="none"/>
              </w:rPr>
            </w:pPr>
          </w:p>
        </w:tc>
        <w:tc>
          <w:tcPr>
            <w:tcW w:w="2126" w:type="dxa"/>
            <w:tcBorders>
              <w:top w:val="single" w:color="auto" w:sz="4" w:space="0"/>
              <w:left w:val="nil"/>
              <w:bottom w:val="single" w:color="auto" w:sz="4" w:space="0"/>
              <w:right w:val="single" w:color="auto" w:sz="4" w:space="0"/>
            </w:tcBorders>
            <w:tcMar>
              <w:top w:w="57" w:type="dxa"/>
              <w:left w:w="108" w:type="dxa"/>
              <w:bottom w:w="57" w:type="dxa"/>
              <w:right w:w="108" w:type="dxa"/>
            </w:tcMar>
            <w:vAlign w:val="center"/>
          </w:tcPr>
          <w:p w14:paraId="410CE0FB">
            <w:pPr>
              <w:jc w:val="center"/>
              <w:rPr>
                <w:color w:val="auto"/>
                <w:highlight w:val="none"/>
              </w:rPr>
            </w:pPr>
            <w:r>
              <w:rPr>
                <w:color w:val="auto"/>
                <w:highlight w:val="none"/>
              </w:rPr>
              <w:t>面板与保温层的拉伸粘结强度（MPa）</w:t>
            </w:r>
          </w:p>
        </w:tc>
        <w:tc>
          <w:tcPr>
            <w:tcW w:w="3119"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6FE83D18">
            <w:pPr>
              <w:jc w:val="center"/>
              <w:rPr>
                <w:color w:val="auto"/>
                <w:highlight w:val="none"/>
              </w:rPr>
            </w:pPr>
            <w:r>
              <w:rPr>
                <w:color w:val="auto"/>
                <w:highlight w:val="none"/>
              </w:rPr>
              <w:t>≥0.08</w:t>
            </w:r>
          </w:p>
        </w:tc>
        <w:tc>
          <w:tcPr>
            <w:tcW w:w="2244" w:type="dxa"/>
            <w:tcBorders>
              <w:top w:val="single" w:color="auto" w:sz="4" w:space="0"/>
              <w:left w:val="single" w:color="auto" w:sz="4" w:space="0"/>
              <w:bottom w:val="single" w:color="auto" w:sz="4" w:space="0"/>
              <w:right w:val="single" w:color="auto" w:sz="4" w:space="0"/>
            </w:tcBorders>
            <w:vAlign w:val="center"/>
          </w:tcPr>
          <w:p w14:paraId="55C5B893">
            <w:pPr>
              <w:jc w:val="center"/>
              <w:rPr>
                <w:bCs/>
                <w:color w:val="auto"/>
                <w:highlight w:val="none"/>
              </w:rPr>
            </w:pPr>
            <w:r>
              <w:rPr>
                <w:rFonts w:hint="eastAsia"/>
                <w:bCs/>
                <w:color w:val="auto"/>
                <w:highlight w:val="none"/>
              </w:rPr>
              <w:t>现行行业标准</w:t>
            </w:r>
            <w:r>
              <w:rPr>
                <w:bCs/>
                <w:color w:val="auto"/>
                <w:highlight w:val="none"/>
              </w:rPr>
              <w:t>《建筑用真空绝热板应用技术规程》JGJ/T 416</w:t>
            </w:r>
          </w:p>
        </w:tc>
      </w:tr>
      <w:tr w14:paraId="01EB1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72"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6553198F">
            <w:pPr>
              <w:jc w:val="center"/>
              <w:rPr>
                <w:color w:val="auto"/>
                <w:highlight w:val="none"/>
              </w:rPr>
            </w:pPr>
            <w:r>
              <w:rPr>
                <w:color w:val="auto"/>
                <w:highlight w:val="none"/>
              </w:rPr>
              <w:t>单点锚固力（kN）</w:t>
            </w:r>
          </w:p>
        </w:tc>
        <w:tc>
          <w:tcPr>
            <w:tcW w:w="1711"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15B5FEEC">
            <w:pPr>
              <w:jc w:val="center"/>
              <w:rPr>
                <w:color w:val="auto"/>
                <w:highlight w:val="none"/>
              </w:rPr>
            </w:pPr>
            <w:r>
              <w:rPr>
                <w:color w:val="auto"/>
                <w:highlight w:val="none"/>
              </w:rPr>
              <w:t>≥0.30</w:t>
            </w:r>
          </w:p>
        </w:tc>
        <w:tc>
          <w:tcPr>
            <w:tcW w:w="1408" w:type="dxa"/>
            <w:tcBorders>
              <w:top w:val="single" w:color="auto" w:sz="4" w:space="0"/>
              <w:left w:val="single" w:color="auto" w:sz="4" w:space="0"/>
              <w:bottom w:val="single" w:color="auto" w:sz="4" w:space="0"/>
              <w:right w:val="single" w:color="auto" w:sz="4" w:space="0"/>
            </w:tcBorders>
            <w:vAlign w:val="center"/>
          </w:tcPr>
          <w:p w14:paraId="54B35C70">
            <w:pPr>
              <w:jc w:val="center"/>
              <w:rPr>
                <w:color w:val="auto"/>
                <w:highlight w:val="none"/>
              </w:rPr>
            </w:pPr>
            <w:r>
              <w:rPr>
                <w:color w:val="auto"/>
                <w:highlight w:val="none"/>
              </w:rPr>
              <w:t>≥0.60</w:t>
            </w:r>
          </w:p>
        </w:tc>
        <w:tc>
          <w:tcPr>
            <w:tcW w:w="2244" w:type="dxa"/>
            <w:vMerge w:val="restart"/>
            <w:tcBorders>
              <w:top w:val="single" w:color="auto" w:sz="4" w:space="0"/>
              <w:left w:val="single" w:color="auto" w:sz="4" w:space="0"/>
              <w:right w:val="single" w:color="auto" w:sz="4" w:space="0"/>
            </w:tcBorders>
            <w:tcMar>
              <w:top w:w="57" w:type="dxa"/>
              <w:left w:w="108" w:type="dxa"/>
              <w:bottom w:w="57" w:type="dxa"/>
              <w:right w:w="108" w:type="dxa"/>
            </w:tcMar>
            <w:vAlign w:val="center"/>
          </w:tcPr>
          <w:p w14:paraId="76762565">
            <w:pPr>
              <w:jc w:val="center"/>
              <w:rPr>
                <w:color w:val="auto"/>
                <w:highlight w:val="none"/>
              </w:rPr>
            </w:pPr>
            <w:r>
              <w:rPr>
                <w:rFonts w:hint="eastAsia"/>
                <w:bCs/>
                <w:color w:val="auto"/>
                <w:highlight w:val="none"/>
              </w:rPr>
              <w:t>现行行业标准</w:t>
            </w:r>
            <w:r>
              <w:rPr>
                <w:bCs/>
                <w:color w:val="auto"/>
                <w:highlight w:val="none"/>
              </w:rPr>
              <w:t>《保温装饰板外墙外保温系统材料》JG/T 287</w:t>
            </w:r>
          </w:p>
        </w:tc>
      </w:tr>
      <w:tr w14:paraId="65D9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72"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6BB979B">
            <w:pPr>
              <w:jc w:val="center"/>
              <w:rPr>
                <w:color w:val="auto"/>
                <w:highlight w:val="none"/>
              </w:rPr>
            </w:pPr>
            <w:r>
              <w:rPr>
                <w:color w:val="auto"/>
                <w:highlight w:val="none"/>
              </w:rPr>
              <w:t>基墙与保温层的拉伸粘结强度（MPa）</w:t>
            </w:r>
          </w:p>
        </w:tc>
        <w:tc>
          <w:tcPr>
            <w:tcW w:w="3119"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31D18666">
            <w:pPr>
              <w:jc w:val="center"/>
              <w:rPr>
                <w:color w:val="auto"/>
                <w:highlight w:val="none"/>
              </w:rPr>
            </w:pPr>
            <w:r>
              <w:rPr>
                <w:color w:val="auto"/>
                <w:highlight w:val="none"/>
              </w:rPr>
              <w:t>≥0.08</w:t>
            </w:r>
          </w:p>
        </w:tc>
        <w:tc>
          <w:tcPr>
            <w:tcW w:w="2244" w:type="dxa"/>
            <w:vMerge w:val="continue"/>
            <w:tcBorders>
              <w:left w:val="single" w:color="auto" w:sz="4" w:space="0"/>
              <w:right w:val="single" w:color="auto" w:sz="4" w:space="0"/>
            </w:tcBorders>
            <w:tcMar>
              <w:top w:w="57" w:type="dxa"/>
              <w:left w:w="108" w:type="dxa"/>
              <w:bottom w:w="57" w:type="dxa"/>
              <w:right w:w="108" w:type="dxa"/>
            </w:tcMar>
            <w:vAlign w:val="center"/>
          </w:tcPr>
          <w:p w14:paraId="65B57C89">
            <w:pPr>
              <w:jc w:val="center"/>
              <w:rPr>
                <w:color w:val="auto"/>
                <w:highlight w:val="none"/>
              </w:rPr>
            </w:pPr>
          </w:p>
        </w:tc>
      </w:tr>
      <w:tr w14:paraId="4C99F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72"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C0C38EB">
            <w:pPr>
              <w:jc w:val="center"/>
              <w:rPr>
                <w:color w:val="auto"/>
                <w:highlight w:val="none"/>
              </w:rPr>
            </w:pPr>
            <w:r>
              <w:rPr>
                <w:rFonts w:hint="eastAsia"/>
                <w:color w:val="auto"/>
                <w:highlight w:val="none"/>
              </w:rPr>
              <w:t>热阻</w:t>
            </w:r>
          </w:p>
        </w:tc>
        <w:tc>
          <w:tcPr>
            <w:tcW w:w="3119"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D85A139">
            <w:pPr>
              <w:jc w:val="center"/>
              <w:rPr>
                <w:color w:val="auto"/>
                <w:highlight w:val="none"/>
              </w:rPr>
            </w:pPr>
            <w:r>
              <w:rPr>
                <w:rFonts w:hint="eastAsia"/>
                <w:color w:val="auto"/>
                <w:highlight w:val="none"/>
              </w:rPr>
              <w:t>给出热阻值</w:t>
            </w:r>
          </w:p>
        </w:tc>
        <w:tc>
          <w:tcPr>
            <w:tcW w:w="2244" w:type="dxa"/>
            <w:vMerge w:val="continue"/>
            <w:tcBorders>
              <w:left w:val="single" w:color="auto" w:sz="4" w:space="0"/>
              <w:bottom w:val="single" w:color="auto" w:sz="4" w:space="0"/>
              <w:right w:val="single" w:color="auto" w:sz="4" w:space="0"/>
            </w:tcBorders>
            <w:tcMar>
              <w:top w:w="57" w:type="dxa"/>
              <w:left w:w="108" w:type="dxa"/>
              <w:bottom w:w="57" w:type="dxa"/>
              <w:right w:w="108" w:type="dxa"/>
            </w:tcMar>
            <w:vAlign w:val="center"/>
          </w:tcPr>
          <w:p w14:paraId="7C7C14E2">
            <w:pPr>
              <w:jc w:val="center"/>
              <w:rPr>
                <w:color w:val="auto"/>
                <w:highlight w:val="none"/>
              </w:rPr>
            </w:pPr>
          </w:p>
        </w:tc>
      </w:tr>
      <w:tr w14:paraId="23CA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72"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C4FBD11">
            <w:pPr>
              <w:jc w:val="center"/>
              <w:rPr>
                <w:color w:val="auto"/>
                <w:highlight w:val="none"/>
              </w:rPr>
            </w:pPr>
            <w:r>
              <w:rPr>
                <w:color w:val="auto"/>
                <w:highlight w:val="none"/>
              </w:rPr>
              <w:t>抗风压值</w:t>
            </w:r>
          </w:p>
        </w:tc>
        <w:tc>
          <w:tcPr>
            <w:tcW w:w="3119"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1733A58">
            <w:pPr>
              <w:jc w:val="center"/>
              <w:rPr>
                <w:color w:val="auto"/>
                <w:highlight w:val="none"/>
              </w:rPr>
            </w:pPr>
            <w:r>
              <w:rPr>
                <w:color w:val="auto"/>
                <w:highlight w:val="none"/>
              </w:rPr>
              <w:t>不小于工程项目的风荷载标准值的1.5倍</w:t>
            </w:r>
          </w:p>
        </w:tc>
        <w:tc>
          <w:tcPr>
            <w:tcW w:w="224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13EE45D">
            <w:pPr>
              <w:jc w:val="center"/>
              <w:rPr>
                <w:color w:val="auto"/>
                <w:highlight w:val="none"/>
              </w:rPr>
            </w:pPr>
            <w:r>
              <w:rPr>
                <w:rFonts w:hint="eastAsia"/>
                <w:bCs/>
                <w:color w:val="auto"/>
                <w:highlight w:val="none"/>
              </w:rPr>
              <w:t>现行国家标准</w:t>
            </w:r>
            <w:r>
              <w:rPr>
                <w:bCs/>
                <w:color w:val="auto"/>
                <w:highlight w:val="none"/>
              </w:rPr>
              <w:t>《外墙外保温系统动态风压试验方法》GB/T 36585</w:t>
            </w:r>
          </w:p>
        </w:tc>
      </w:tr>
    </w:tbl>
    <w:p w14:paraId="4EE54785">
      <w:pPr>
        <w:pStyle w:val="27"/>
        <w:numPr>
          <w:ilvl w:val="2"/>
          <w:numId w:val="2"/>
        </w:numPr>
        <w:spacing w:line="360" w:lineRule="auto"/>
        <w:ind w:left="0" w:firstLine="0" w:firstLineChars="0"/>
        <w:outlineLvl w:val="2"/>
        <w:rPr>
          <w:bCs/>
          <w:color w:val="auto"/>
          <w:sz w:val="24"/>
          <w:szCs w:val="24"/>
          <w:highlight w:val="none"/>
        </w:rPr>
      </w:pPr>
      <w:r>
        <w:rPr>
          <w:bCs/>
          <w:color w:val="auto"/>
          <w:sz w:val="24"/>
          <w:szCs w:val="24"/>
          <w:highlight w:val="none"/>
        </w:rPr>
        <w:t>套装双真空保温隔热装饰板外墙内保温系统性能指标应符合表4.2.4的规定。</w:t>
      </w:r>
    </w:p>
    <w:p w14:paraId="34FA633F">
      <w:pPr>
        <w:spacing w:line="400" w:lineRule="exact"/>
        <w:jc w:val="center"/>
        <w:rPr>
          <w:bCs/>
          <w:color w:val="auto"/>
          <w:highlight w:val="none"/>
        </w:rPr>
      </w:pPr>
      <w:r>
        <w:rPr>
          <w:bCs/>
          <w:color w:val="auto"/>
          <w:highlight w:val="none"/>
        </w:rPr>
        <w:t>表4.2.4  套装双真空保温隔热装饰板外墙内保温系统性能指标</w:t>
      </w:r>
    </w:p>
    <w:tbl>
      <w:tblPr>
        <w:tblStyle w:val="18"/>
        <w:tblW w:w="8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2977"/>
        <w:gridCol w:w="2953"/>
      </w:tblGrid>
      <w:tr w14:paraId="762E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40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1337A31">
            <w:pPr>
              <w:jc w:val="center"/>
              <w:rPr>
                <w:color w:val="auto"/>
                <w:highlight w:val="none"/>
              </w:rPr>
            </w:pPr>
            <w:r>
              <w:rPr>
                <w:color w:val="auto"/>
                <w:highlight w:val="none"/>
              </w:rPr>
              <w:t>项  目</w:t>
            </w:r>
          </w:p>
        </w:tc>
        <w:tc>
          <w:tcPr>
            <w:tcW w:w="297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151CDB99">
            <w:pPr>
              <w:jc w:val="center"/>
              <w:rPr>
                <w:color w:val="auto"/>
                <w:highlight w:val="none"/>
              </w:rPr>
            </w:pPr>
            <w:r>
              <w:rPr>
                <w:color w:val="auto"/>
                <w:highlight w:val="none"/>
              </w:rPr>
              <w:t>指  标</w:t>
            </w:r>
          </w:p>
        </w:tc>
        <w:tc>
          <w:tcPr>
            <w:tcW w:w="2953"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E19FD37">
            <w:pPr>
              <w:jc w:val="center"/>
              <w:rPr>
                <w:color w:val="auto"/>
                <w:highlight w:val="none"/>
              </w:rPr>
            </w:pPr>
            <w:r>
              <w:rPr>
                <w:color w:val="auto"/>
                <w:highlight w:val="none"/>
              </w:rPr>
              <w:t>试验方法</w:t>
            </w:r>
          </w:p>
        </w:tc>
      </w:tr>
      <w:tr w14:paraId="1E2A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40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3C817DF5">
            <w:pPr>
              <w:jc w:val="center"/>
              <w:rPr>
                <w:color w:val="auto"/>
                <w:highlight w:val="none"/>
              </w:rPr>
            </w:pPr>
            <w:r>
              <w:rPr>
                <w:color w:val="auto"/>
                <w:highlight w:val="none"/>
              </w:rPr>
              <w:t>耐久性</w:t>
            </w:r>
          </w:p>
        </w:tc>
        <w:tc>
          <w:tcPr>
            <w:tcW w:w="297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3FCF5F19">
            <w:pPr>
              <w:jc w:val="center"/>
              <w:rPr>
                <w:color w:val="auto"/>
                <w:highlight w:val="none"/>
              </w:rPr>
            </w:pPr>
            <w:r>
              <w:rPr>
                <w:color w:val="auto"/>
                <w:highlight w:val="none"/>
              </w:rPr>
              <w:t>无可见裂缝、空鼓和剥离现象</w:t>
            </w:r>
          </w:p>
        </w:tc>
        <w:tc>
          <w:tcPr>
            <w:tcW w:w="2953"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7315137">
            <w:pPr>
              <w:jc w:val="center"/>
              <w:rPr>
                <w:color w:val="auto"/>
                <w:highlight w:val="none"/>
              </w:rPr>
            </w:pPr>
            <w:r>
              <w:rPr>
                <w:rFonts w:hint="eastAsia"/>
                <w:color w:val="auto"/>
                <w:highlight w:val="none"/>
              </w:rPr>
              <w:t>现行国家标准《外墙内保温复合板系统》</w:t>
            </w:r>
            <w:r>
              <w:rPr>
                <w:color w:val="auto"/>
                <w:highlight w:val="none"/>
              </w:rPr>
              <w:t>GB/T 30593</w:t>
            </w:r>
          </w:p>
        </w:tc>
      </w:tr>
      <w:tr w14:paraId="590A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40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67430148">
            <w:pPr>
              <w:jc w:val="center"/>
              <w:rPr>
                <w:color w:val="auto"/>
                <w:highlight w:val="none"/>
              </w:rPr>
            </w:pPr>
            <w:r>
              <w:rPr>
                <w:color w:val="auto"/>
                <w:highlight w:val="none"/>
              </w:rPr>
              <w:t>系统拉伸粘结强度（MPa）</w:t>
            </w:r>
          </w:p>
        </w:tc>
        <w:tc>
          <w:tcPr>
            <w:tcW w:w="297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48B077F">
            <w:pPr>
              <w:jc w:val="center"/>
              <w:rPr>
                <w:color w:val="auto"/>
                <w:highlight w:val="none"/>
              </w:rPr>
            </w:pPr>
            <w:r>
              <w:rPr>
                <w:color w:val="auto"/>
                <w:highlight w:val="none"/>
              </w:rPr>
              <w:t>≥0.04</w:t>
            </w:r>
          </w:p>
        </w:tc>
        <w:tc>
          <w:tcPr>
            <w:tcW w:w="2953"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F96A97A">
            <w:pPr>
              <w:jc w:val="center"/>
              <w:rPr>
                <w:color w:val="auto"/>
                <w:highlight w:val="none"/>
              </w:rPr>
            </w:pPr>
            <w:r>
              <w:rPr>
                <w:color w:val="auto"/>
                <w:highlight w:val="none"/>
              </w:rPr>
              <w:t>现行行业标准《外墙外保温工程技术标准》JGJ 144</w:t>
            </w:r>
          </w:p>
        </w:tc>
      </w:tr>
      <w:tr w14:paraId="10C0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40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5697744F">
            <w:pPr>
              <w:jc w:val="center"/>
              <w:rPr>
                <w:color w:val="auto"/>
                <w:highlight w:val="none"/>
              </w:rPr>
            </w:pPr>
            <w:r>
              <w:rPr>
                <w:color w:val="auto"/>
                <w:highlight w:val="none"/>
              </w:rPr>
              <w:t>吸水量</w:t>
            </w:r>
            <w:r>
              <w:rPr>
                <w:color w:val="auto"/>
                <w:highlight w:val="none"/>
                <w:vertAlign w:val="superscript"/>
              </w:rPr>
              <w:t>a</w:t>
            </w:r>
            <w:r>
              <w:rPr>
                <w:color w:val="auto"/>
                <w:highlight w:val="none"/>
              </w:rPr>
              <w:t>（g/m</w:t>
            </w:r>
            <w:r>
              <w:rPr>
                <w:color w:val="auto"/>
                <w:highlight w:val="none"/>
                <w:vertAlign w:val="superscript"/>
              </w:rPr>
              <w:t>2</w:t>
            </w:r>
            <w:r>
              <w:rPr>
                <w:color w:val="auto"/>
                <w:highlight w:val="none"/>
              </w:rPr>
              <w:t>）</w:t>
            </w:r>
          </w:p>
        </w:tc>
        <w:tc>
          <w:tcPr>
            <w:tcW w:w="297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52CA270A">
            <w:pPr>
              <w:jc w:val="center"/>
              <w:rPr>
                <w:color w:val="auto"/>
                <w:highlight w:val="none"/>
              </w:rPr>
            </w:pPr>
            <w:r>
              <w:rPr>
                <w:color w:val="auto"/>
                <w:highlight w:val="none"/>
              </w:rPr>
              <w:t>≤500</w:t>
            </w:r>
          </w:p>
        </w:tc>
        <w:tc>
          <w:tcPr>
            <w:tcW w:w="2953"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55D37D47">
            <w:pPr>
              <w:jc w:val="center"/>
              <w:rPr>
                <w:color w:val="auto"/>
                <w:highlight w:val="none"/>
              </w:rPr>
            </w:pPr>
            <w:r>
              <w:rPr>
                <w:color w:val="auto"/>
                <w:highlight w:val="none"/>
              </w:rPr>
              <w:t>现行行业标准《外墙外保温工程技术标准》JGJ 144</w:t>
            </w:r>
          </w:p>
        </w:tc>
      </w:tr>
      <w:tr w14:paraId="0F5B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40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13191E6">
            <w:pPr>
              <w:jc w:val="center"/>
              <w:rPr>
                <w:color w:val="auto"/>
                <w:highlight w:val="none"/>
              </w:rPr>
            </w:pPr>
            <w:r>
              <w:rPr>
                <w:color w:val="auto"/>
                <w:highlight w:val="none"/>
              </w:rPr>
              <w:t>热阻</w:t>
            </w:r>
          </w:p>
        </w:tc>
        <w:tc>
          <w:tcPr>
            <w:tcW w:w="297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109C7664">
            <w:pPr>
              <w:jc w:val="center"/>
              <w:rPr>
                <w:color w:val="auto"/>
                <w:highlight w:val="none"/>
              </w:rPr>
            </w:pPr>
            <w:r>
              <w:rPr>
                <w:color w:val="auto"/>
                <w:highlight w:val="none"/>
              </w:rPr>
              <w:t>应符合设计要求</w:t>
            </w:r>
          </w:p>
        </w:tc>
        <w:tc>
          <w:tcPr>
            <w:tcW w:w="2953"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F0AAC78">
            <w:pPr>
              <w:jc w:val="center"/>
              <w:rPr>
                <w:color w:val="auto"/>
                <w:highlight w:val="none"/>
              </w:rPr>
            </w:pPr>
            <w:r>
              <w:rPr>
                <w:color w:val="auto"/>
                <w:highlight w:val="none"/>
              </w:rPr>
              <w:t>现行国家标准《绝热稳态传热性质的测定 标定和防护热箱法》GB/T 13475</w:t>
            </w:r>
          </w:p>
        </w:tc>
      </w:tr>
      <w:tr w14:paraId="7A8E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40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0AB3C6A5">
            <w:pPr>
              <w:jc w:val="center"/>
              <w:rPr>
                <w:color w:val="auto"/>
                <w:highlight w:val="none"/>
              </w:rPr>
            </w:pPr>
            <w:r>
              <w:rPr>
                <w:color w:val="auto"/>
                <w:highlight w:val="none"/>
              </w:rPr>
              <w:t>不透水性</w:t>
            </w:r>
            <w:r>
              <w:rPr>
                <w:color w:val="auto"/>
                <w:highlight w:val="none"/>
                <w:vertAlign w:val="superscript"/>
              </w:rPr>
              <w:t>a</w:t>
            </w:r>
          </w:p>
        </w:tc>
        <w:tc>
          <w:tcPr>
            <w:tcW w:w="297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4252338B">
            <w:pPr>
              <w:jc w:val="center"/>
              <w:rPr>
                <w:color w:val="auto"/>
                <w:highlight w:val="none"/>
              </w:rPr>
            </w:pPr>
            <w:r>
              <w:rPr>
                <w:color w:val="auto"/>
                <w:highlight w:val="none"/>
              </w:rPr>
              <w:t>面板内侧2h不透水</w:t>
            </w:r>
          </w:p>
        </w:tc>
        <w:tc>
          <w:tcPr>
            <w:tcW w:w="2953"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C015E05">
            <w:pPr>
              <w:jc w:val="center"/>
              <w:rPr>
                <w:color w:val="auto"/>
                <w:highlight w:val="none"/>
              </w:rPr>
            </w:pPr>
            <w:r>
              <w:rPr>
                <w:color w:val="auto"/>
                <w:highlight w:val="none"/>
              </w:rPr>
              <w:t>现行行业标准《外墙外保温工程技术标准》JGJ 144</w:t>
            </w:r>
          </w:p>
        </w:tc>
      </w:tr>
      <w:tr w14:paraId="504AA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240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C8D8ABE">
            <w:pPr>
              <w:jc w:val="center"/>
              <w:rPr>
                <w:color w:val="auto"/>
                <w:highlight w:val="none"/>
              </w:rPr>
            </w:pPr>
            <w:r>
              <w:rPr>
                <w:color w:val="auto"/>
                <w:highlight w:val="none"/>
              </w:rPr>
              <w:t>防护层水蒸气渗透阻</w:t>
            </w:r>
            <w:r>
              <w:rPr>
                <w:color w:val="auto"/>
                <w:highlight w:val="none"/>
                <w:vertAlign w:val="superscript"/>
              </w:rPr>
              <w:t>a</w:t>
            </w:r>
          </w:p>
        </w:tc>
        <w:tc>
          <w:tcPr>
            <w:tcW w:w="297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5C19A181">
            <w:pPr>
              <w:jc w:val="center"/>
              <w:rPr>
                <w:color w:val="auto"/>
                <w:highlight w:val="none"/>
              </w:rPr>
            </w:pPr>
            <w:r>
              <w:rPr>
                <w:color w:val="auto"/>
                <w:highlight w:val="none"/>
              </w:rPr>
              <w:t>应符合设计要求</w:t>
            </w:r>
          </w:p>
        </w:tc>
        <w:tc>
          <w:tcPr>
            <w:tcW w:w="2953"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14:paraId="70EBA545">
            <w:pPr>
              <w:jc w:val="center"/>
              <w:rPr>
                <w:color w:val="auto"/>
                <w:highlight w:val="none"/>
              </w:rPr>
            </w:pPr>
            <w:r>
              <w:rPr>
                <w:color w:val="auto"/>
                <w:highlight w:val="none"/>
              </w:rPr>
              <w:t>现行行业标准《外墙外保温工程技术标准》JGJ 144</w:t>
            </w:r>
          </w:p>
        </w:tc>
      </w:tr>
    </w:tbl>
    <w:p w14:paraId="3CB0838B">
      <w:pPr>
        <w:spacing w:line="400" w:lineRule="exact"/>
        <w:jc w:val="left"/>
        <w:rPr>
          <w:bCs/>
          <w:color w:val="auto"/>
          <w:sz w:val="28"/>
          <w:szCs w:val="24"/>
          <w:highlight w:val="none"/>
        </w:rPr>
      </w:pPr>
      <w:r>
        <w:rPr>
          <w:bCs/>
          <w:color w:val="auto"/>
          <w:highlight w:val="none"/>
        </w:rPr>
        <w:t>注：</w:t>
      </w:r>
      <w:r>
        <w:rPr>
          <w:color w:val="auto"/>
          <w:highlight w:val="none"/>
          <w:vertAlign w:val="superscript"/>
        </w:rPr>
        <w:t xml:space="preserve">a   </w:t>
      </w:r>
      <w:r>
        <w:rPr>
          <w:bCs/>
          <w:color w:val="auto"/>
          <w:highlight w:val="none"/>
        </w:rPr>
        <w:t>当用于厨房、卫生间等潮湿环境时，要求此指标。</w:t>
      </w:r>
    </w:p>
    <w:p w14:paraId="1ABB8AD0">
      <w:pPr>
        <w:pStyle w:val="27"/>
        <w:numPr>
          <w:ilvl w:val="1"/>
          <w:numId w:val="2"/>
        </w:numPr>
        <w:ind w:left="567" w:firstLineChars="0"/>
        <w:jc w:val="center"/>
        <w:outlineLvl w:val="1"/>
        <w:rPr>
          <w:bCs/>
          <w:color w:val="auto"/>
          <w:sz w:val="28"/>
          <w:szCs w:val="24"/>
          <w:highlight w:val="none"/>
        </w:rPr>
      </w:pPr>
      <w:bookmarkStart w:id="21" w:name="_Toc141875138"/>
      <w:bookmarkStart w:id="22" w:name="_Toc17801"/>
      <w:r>
        <w:rPr>
          <w:bCs/>
          <w:color w:val="auto"/>
          <w:sz w:val="28"/>
          <w:szCs w:val="24"/>
          <w:highlight w:val="none"/>
        </w:rPr>
        <w:t>保温材料</w:t>
      </w:r>
      <w:bookmarkEnd w:id="21"/>
      <w:bookmarkEnd w:id="22"/>
    </w:p>
    <w:p w14:paraId="131173C7">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套装双真空保温隔热板应符合下列规定：</w:t>
      </w:r>
    </w:p>
    <w:p w14:paraId="2E97BBB9">
      <w:pPr>
        <w:spacing w:line="400" w:lineRule="exact"/>
        <w:ind w:firstLine="482" w:firstLineChars="200"/>
        <w:rPr>
          <w:bCs/>
          <w:color w:val="auto"/>
          <w:sz w:val="24"/>
          <w:szCs w:val="22"/>
          <w:highlight w:val="none"/>
        </w:rPr>
      </w:pPr>
      <w:r>
        <w:rPr>
          <w:b/>
          <w:color w:val="auto"/>
          <w:sz w:val="24"/>
          <w:szCs w:val="22"/>
          <w:highlight w:val="none"/>
        </w:rPr>
        <w:t xml:space="preserve">1  </w:t>
      </w:r>
      <w:r>
        <w:rPr>
          <w:bCs/>
          <w:color w:val="auto"/>
          <w:sz w:val="24"/>
          <w:szCs w:val="22"/>
          <w:highlight w:val="none"/>
        </w:rPr>
        <w:t>长热熔封边应设置在板的背面居中，另外两条短热熔封边应折起后粘到背面；</w:t>
      </w:r>
    </w:p>
    <w:p w14:paraId="247F4E12">
      <w:pPr>
        <w:spacing w:line="400" w:lineRule="exact"/>
        <w:ind w:firstLine="482" w:firstLineChars="200"/>
        <w:rPr>
          <w:bCs/>
          <w:color w:val="auto"/>
          <w:sz w:val="24"/>
          <w:szCs w:val="22"/>
          <w:highlight w:val="none"/>
        </w:rPr>
      </w:pPr>
      <w:r>
        <w:rPr>
          <w:b/>
          <w:color w:val="auto"/>
          <w:sz w:val="24"/>
          <w:szCs w:val="22"/>
          <w:highlight w:val="none"/>
        </w:rPr>
        <w:t>2</w:t>
      </w:r>
      <w:r>
        <w:rPr>
          <w:bCs/>
          <w:color w:val="auto"/>
          <w:sz w:val="24"/>
          <w:szCs w:val="22"/>
          <w:highlight w:val="none"/>
        </w:rPr>
        <w:t xml:space="preserve">  常用规格尺寸应符合表4.3.1的规定，其他尺寸由供需双方商定：</w:t>
      </w:r>
    </w:p>
    <w:p w14:paraId="5AEBBAFA">
      <w:pPr>
        <w:spacing w:line="400" w:lineRule="exact"/>
        <w:ind w:firstLine="482" w:firstLineChars="200"/>
        <w:rPr>
          <w:bCs/>
          <w:color w:val="auto"/>
          <w:sz w:val="24"/>
          <w:szCs w:val="22"/>
          <w:highlight w:val="none"/>
        </w:rPr>
      </w:pPr>
      <w:r>
        <w:rPr>
          <w:b/>
          <w:color w:val="auto"/>
          <w:sz w:val="24"/>
          <w:szCs w:val="22"/>
          <w:highlight w:val="none"/>
        </w:rPr>
        <w:t>3</w:t>
      </w:r>
      <w:r>
        <w:rPr>
          <w:bCs/>
          <w:color w:val="auto"/>
          <w:sz w:val="24"/>
          <w:szCs w:val="22"/>
          <w:highlight w:val="none"/>
        </w:rPr>
        <w:t xml:space="preserve">  尺寸允许偏差应符合表4.3.1-2的规定；</w:t>
      </w:r>
    </w:p>
    <w:p w14:paraId="468424AB">
      <w:pPr>
        <w:spacing w:line="400" w:lineRule="exact"/>
        <w:ind w:firstLine="482" w:firstLineChars="200"/>
        <w:rPr>
          <w:bCs/>
          <w:color w:val="auto"/>
          <w:sz w:val="24"/>
          <w:szCs w:val="22"/>
          <w:highlight w:val="none"/>
        </w:rPr>
      </w:pPr>
      <w:r>
        <w:rPr>
          <w:b/>
          <w:color w:val="auto"/>
          <w:sz w:val="24"/>
          <w:szCs w:val="22"/>
          <w:highlight w:val="none"/>
        </w:rPr>
        <w:t>4</w:t>
      </w:r>
      <w:r>
        <w:rPr>
          <w:bCs/>
          <w:color w:val="auto"/>
          <w:sz w:val="24"/>
          <w:szCs w:val="22"/>
          <w:highlight w:val="none"/>
        </w:rPr>
        <w:t xml:space="preserve">  单位面积质量应符合表4.3.1-3的规定；</w:t>
      </w:r>
    </w:p>
    <w:p w14:paraId="7F4F5856">
      <w:pPr>
        <w:spacing w:line="400" w:lineRule="exact"/>
        <w:ind w:firstLine="482" w:firstLineChars="200"/>
        <w:rPr>
          <w:bCs/>
          <w:color w:val="auto"/>
          <w:sz w:val="24"/>
          <w:szCs w:val="22"/>
          <w:highlight w:val="none"/>
        </w:rPr>
      </w:pPr>
      <w:r>
        <w:rPr>
          <w:b/>
          <w:color w:val="auto"/>
          <w:sz w:val="24"/>
          <w:szCs w:val="22"/>
          <w:highlight w:val="none"/>
        </w:rPr>
        <w:t>5</w:t>
      </w:r>
      <w:r>
        <w:rPr>
          <w:bCs/>
          <w:color w:val="auto"/>
          <w:sz w:val="24"/>
          <w:szCs w:val="22"/>
          <w:highlight w:val="none"/>
        </w:rPr>
        <w:t xml:space="preserve">  性能指标应符合表4.3.1-4的规定；</w:t>
      </w:r>
    </w:p>
    <w:p w14:paraId="13E3FECF">
      <w:pPr>
        <w:wordWrap w:val="0"/>
        <w:spacing w:line="360" w:lineRule="auto"/>
        <w:jc w:val="right"/>
        <w:rPr>
          <w:bCs/>
          <w:color w:val="auto"/>
          <w:highlight w:val="none"/>
        </w:rPr>
      </w:pPr>
      <w:r>
        <w:rPr>
          <w:bCs/>
          <w:color w:val="auto"/>
          <w:highlight w:val="none"/>
        </w:rPr>
        <w:t>表4.3.1-1  套装双真空保温隔热板常用规格尺寸          单位（mm）</w:t>
      </w:r>
    </w:p>
    <w:tbl>
      <w:tblPr>
        <w:tblStyle w:val="18"/>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gridCol w:w="4092"/>
      </w:tblGrid>
      <w:tr w14:paraId="47AF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248" w:type="dxa"/>
            <w:tcBorders>
              <w:top w:val="single" w:color="auto" w:sz="4" w:space="0"/>
              <w:left w:val="single" w:color="auto" w:sz="4" w:space="0"/>
              <w:bottom w:val="single" w:color="auto" w:sz="4" w:space="0"/>
              <w:right w:val="single" w:color="auto" w:sz="4" w:space="0"/>
            </w:tcBorders>
            <w:vAlign w:val="center"/>
          </w:tcPr>
          <w:p w14:paraId="3274CB8F">
            <w:pPr>
              <w:spacing w:line="360" w:lineRule="auto"/>
              <w:jc w:val="center"/>
              <w:rPr>
                <w:bCs/>
                <w:color w:val="auto"/>
                <w:highlight w:val="none"/>
              </w:rPr>
            </w:pPr>
            <w:r>
              <w:rPr>
                <w:bCs/>
                <w:color w:val="auto"/>
                <w:highlight w:val="none"/>
              </w:rPr>
              <w:t>项  目</w:t>
            </w:r>
          </w:p>
        </w:tc>
        <w:tc>
          <w:tcPr>
            <w:tcW w:w="4092" w:type="dxa"/>
            <w:tcBorders>
              <w:top w:val="single" w:color="auto" w:sz="4" w:space="0"/>
              <w:left w:val="single" w:color="auto" w:sz="4" w:space="0"/>
              <w:bottom w:val="single" w:color="auto" w:sz="4" w:space="0"/>
              <w:right w:val="single" w:color="auto" w:sz="4" w:space="0"/>
            </w:tcBorders>
            <w:vAlign w:val="center"/>
          </w:tcPr>
          <w:p w14:paraId="60C7A4DD">
            <w:pPr>
              <w:spacing w:line="360" w:lineRule="auto"/>
              <w:jc w:val="center"/>
              <w:rPr>
                <w:bCs/>
                <w:color w:val="auto"/>
                <w:highlight w:val="none"/>
              </w:rPr>
            </w:pPr>
            <w:r>
              <w:rPr>
                <w:bCs/>
                <w:color w:val="auto"/>
                <w:highlight w:val="none"/>
              </w:rPr>
              <w:t>规格</w:t>
            </w:r>
          </w:p>
        </w:tc>
      </w:tr>
      <w:tr w14:paraId="39EA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4248" w:type="dxa"/>
            <w:tcBorders>
              <w:top w:val="single" w:color="auto" w:sz="4" w:space="0"/>
              <w:left w:val="single" w:color="auto" w:sz="4" w:space="0"/>
              <w:bottom w:val="single" w:color="auto" w:sz="4" w:space="0"/>
              <w:right w:val="single" w:color="auto" w:sz="4" w:space="0"/>
            </w:tcBorders>
            <w:vAlign w:val="center"/>
          </w:tcPr>
          <w:p w14:paraId="100A90B3">
            <w:pPr>
              <w:spacing w:line="360" w:lineRule="auto"/>
              <w:jc w:val="center"/>
              <w:rPr>
                <w:bCs/>
                <w:color w:val="auto"/>
                <w:highlight w:val="none"/>
              </w:rPr>
            </w:pPr>
            <w:r>
              <w:rPr>
                <w:bCs/>
                <w:color w:val="auto"/>
                <w:highlight w:val="none"/>
              </w:rPr>
              <w:t>长度</w:t>
            </w:r>
          </w:p>
        </w:tc>
        <w:tc>
          <w:tcPr>
            <w:tcW w:w="4092" w:type="dxa"/>
            <w:tcBorders>
              <w:top w:val="single" w:color="auto" w:sz="4" w:space="0"/>
              <w:left w:val="single" w:color="auto" w:sz="4" w:space="0"/>
              <w:bottom w:val="single" w:color="auto" w:sz="4" w:space="0"/>
              <w:right w:val="single" w:color="auto" w:sz="4" w:space="0"/>
            </w:tcBorders>
            <w:vAlign w:val="center"/>
          </w:tcPr>
          <w:p w14:paraId="54D12BC3">
            <w:pPr>
              <w:spacing w:line="360" w:lineRule="auto"/>
              <w:jc w:val="center"/>
              <w:rPr>
                <w:bCs/>
                <w:color w:val="auto"/>
                <w:highlight w:val="none"/>
              </w:rPr>
            </w:pPr>
            <w:r>
              <w:rPr>
                <w:color w:val="auto"/>
                <w:highlight w:val="none"/>
              </w:rPr>
              <w:t>400，600</w:t>
            </w:r>
          </w:p>
        </w:tc>
      </w:tr>
      <w:tr w14:paraId="3BAE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248" w:type="dxa"/>
            <w:tcBorders>
              <w:top w:val="single" w:color="auto" w:sz="4" w:space="0"/>
              <w:left w:val="single" w:color="auto" w:sz="4" w:space="0"/>
              <w:bottom w:val="single" w:color="auto" w:sz="4" w:space="0"/>
              <w:right w:val="single" w:color="auto" w:sz="4" w:space="0"/>
            </w:tcBorders>
            <w:vAlign w:val="center"/>
          </w:tcPr>
          <w:p w14:paraId="761EC1CE">
            <w:pPr>
              <w:spacing w:line="360" w:lineRule="auto"/>
              <w:jc w:val="center"/>
              <w:rPr>
                <w:bCs/>
                <w:color w:val="auto"/>
                <w:highlight w:val="none"/>
              </w:rPr>
            </w:pPr>
            <w:r>
              <w:rPr>
                <w:bCs/>
                <w:color w:val="auto"/>
                <w:highlight w:val="none"/>
              </w:rPr>
              <w:t>宽度</w:t>
            </w:r>
          </w:p>
        </w:tc>
        <w:tc>
          <w:tcPr>
            <w:tcW w:w="4092" w:type="dxa"/>
            <w:tcBorders>
              <w:top w:val="single" w:color="auto" w:sz="4" w:space="0"/>
              <w:left w:val="single" w:color="auto" w:sz="4" w:space="0"/>
              <w:bottom w:val="single" w:color="auto" w:sz="4" w:space="0"/>
              <w:right w:val="single" w:color="auto" w:sz="4" w:space="0"/>
            </w:tcBorders>
            <w:vAlign w:val="center"/>
          </w:tcPr>
          <w:p w14:paraId="24C91B3F">
            <w:pPr>
              <w:spacing w:line="360" w:lineRule="auto"/>
              <w:jc w:val="center"/>
              <w:rPr>
                <w:bCs/>
                <w:color w:val="auto"/>
                <w:highlight w:val="none"/>
              </w:rPr>
            </w:pPr>
            <w:r>
              <w:rPr>
                <w:color w:val="auto"/>
                <w:highlight w:val="none"/>
              </w:rPr>
              <w:t>200，300，400，600</w:t>
            </w:r>
          </w:p>
        </w:tc>
      </w:tr>
      <w:tr w14:paraId="1397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248" w:type="dxa"/>
            <w:tcBorders>
              <w:top w:val="single" w:color="auto" w:sz="4" w:space="0"/>
              <w:left w:val="single" w:color="auto" w:sz="4" w:space="0"/>
              <w:bottom w:val="single" w:color="auto" w:sz="4" w:space="0"/>
              <w:right w:val="single" w:color="auto" w:sz="4" w:space="0"/>
            </w:tcBorders>
            <w:vAlign w:val="center"/>
          </w:tcPr>
          <w:p w14:paraId="14FB56A5">
            <w:pPr>
              <w:spacing w:line="360" w:lineRule="auto"/>
              <w:jc w:val="center"/>
              <w:rPr>
                <w:bCs/>
                <w:color w:val="auto"/>
                <w:highlight w:val="none"/>
              </w:rPr>
            </w:pPr>
            <w:r>
              <w:rPr>
                <w:bCs/>
                <w:color w:val="auto"/>
                <w:highlight w:val="none"/>
              </w:rPr>
              <w:t>厚度</w:t>
            </w:r>
          </w:p>
        </w:tc>
        <w:tc>
          <w:tcPr>
            <w:tcW w:w="4092" w:type="dxa"/>
            <w:tcBorders>
              <w:top w:val="single" w:color="auto" w:sz="4" w:space="0"/>
              <w:left w:val="single" w:color="auto" w:sz="4" w:space="0"/>
              <w:bottom w:val="single" w:color="auto" w:sz="4" w:space="0"/>
              <w:right w:val="single" w:color="auto" w:sz="4" w:space="0"/>
            </w:tcBorders>
            <w:vAlign w:val="center"/>
          </w:tcPr>
          <w:p w14:paraId="212FADE8">
            <w:pPr>
              <w:spacing w:line="360" w:lineRule="auto"/>
              <w:jc w:val="center"/>
              <w:rPr>
                <w:bCs/>
                <w:color w:val="auto"/>
                <w:highlight w:val="none"/>
              </w:rPr>
            </w:pPr>
            <w:r>
              <w:rPr>
                <w:color w:val="auto"/>
                <w:highlight w:val="none"/>
              </w:rPr>
              <w:t>10，15，20，25，30，35，40</w:t>
            </w:r>
          </w:p>
        </w:tc>
      </w:tr>
    </w:tbl>
    <w:p w14:paraId="6C8F99C8">
      <w:pPr>
        <w:spacing w:line="360" w:lineRule="auto"/>
        <w:jc w:val="right"/>
        <w:rPr>
          <w:bCs/>
          <w:color w:val="auto"/>
          <w:highlight w:val="none"/>
        </w:rPr>
      </w:pPr>
      <w:r>
        <w:rPr>
          <w:bCs/>
          <w:color w:val="auto"/>
          <w:highlight w:val="none"/>
        </w:rPr>
        <w:t>表4.3.1-2  套装双真空保温隔热板尺寸允许偏差          单位（mm）</w:t>
      </w:r>
    </w:p>
    <w:tbl>
      <w:tblPr>
        <w:tblStyle w:val="18"/>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843"/>
        <w:gridCol w:w="2835"/>
        <w:gridCol w:w="1966"/>
      </w:tblGrid>
      <w:tr w14:paraId="5687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539" w:type="dxa"/>
            <w:gridSpan w:val="2"/>
            <w:tcBorders>
              <w:top w:val="single" w:color="auto" w:sz="4" w:space="0"/>
              <w:left w:val="single" w:color="auto" w:sz="4" w:space="0"/>
              <w:bottom w:val="single" w:color="auto" w:sz="4" w:space="0"/>
              <w:right w:val="single" w:color="auto" w:sz="4" w:space="0"/>
            </w:tcBorders>
            <w:vAlign w:val="center"/>
          </w:tcPr>
          <w:p w14:paraId="051C48A7">
            <w:pPr>
              <w:spacing w:line="360" w:lineRule="auto"/>
              <w:jc w:val="center"/>
              <w:rPr>
                <w:bCs/>
                <w:color w:val="auto"/>
                <w:highlight w:val="none"/>
              </w:rPr>
            </w:pPr>
            <w:r>
              <w:rPr>
                <w:bCs/>
                <w:color w:val="auto"/>
                <w:highlight w:val="none"/>
              </w:rPr>
              <w:t>项  目</w:t>
            </w:r>
          </w:p>
        </w:tc>
        <w:tc>
          <w:tcPr>
            <w:tcW w:w="2835" w:type="dxa"/>
            <w:tcBorders>
              <w:top w:val="single" w:color="auto" w:sz="4" w:space="0"/>
              <w:left w:val="single" w:color="auto" w:sz="4" w:space="0"/>
              <w:bottom w:val="single" w:color="auto" w:sz="4" w:space="0"/>
              <w:right w:val="single" w:color="auto" w:sz="4" w:space="0"/>
            </w:tcBorders>
            <w:vAlign w:val="center"/>
          </w:tcPr>
          <w:p w14:paraId="3B195490">
            <w:pPr>
              <w:spacing w:line="360" w:lineRule="auto"/>
              <w:jc w:val="center"/>
              <w:rPr>
                <w:bCs/>
                <w:color w:val="auto"/>
                <w:highlight w:val="none"/>
              </w:rPr>
            </w:pPr>
            <w:r>
              <w:rPr>
                <w:bCs/>
                <w:color w:val="auto"/>
                <w:highlight w:val="none"/>
              </w:rPr>
              <w:t>允许偏差</w:t>
            </w:r>
          </w:p>
        </w:tc>
        <w:tc>
          <w:tcPr>
            <w:tcW w:w="1966" w:type="dxa"/>
            <w:tcBorders>
              <w:top w:val="single" w:color="auto" w:sz="4" w:space="0"/>
              <w:left w:val="single" w:color="auto" w:sz="4" w:space="0"/>
              <w:bottom w:val="single" w:color="auto" w:sz="4" w:space="0"/>
              <w:right w:val="single" w:color="auto" w:sz="4" w:space="0"/>
            </w:tcBorders>
            <w:vAlign w:val="center"/>
          </w:tcPr>
          <w:p w14:paraId="7EE2A822">
            <w:pPr>
              <w:spacing w:line="360" w:lineRule="auto"/>
              <w:jc w:val="center"/>
              <w:rPr>
                <w:bCs/>
                <w:color w:val="auto"/>
                <w:highlight w:val="none"/>
              </w:rPr>
            </w:pPr>
            <w:r>
              <w:rPr>
                <w:bCs/>
                <w:color w:val="auto"/>
                <w:highlight w:val="none"/>
              </w:rPr>
              <w:t>试验方法</w:t>
            </w:r>
          </w:p>
        </w:tc>
      </w:tr>
      <w:tr w14:paraId="661B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696" w:type="dxa"/>
            <w:vMerge w:val="restart"/>
            <w:tcBorders>
              <w:top w:val="single" w:color="auto" w:sz="4" w:space="0"/>
              <w:left w:val="single" w:color="auto" w:sz="4" w:space="0"/>
              <w:right w:val="single" w:color="auto" w:sz="4" w:space="0"/>
            </w:tcBorders>
            <w:vAlign w:val="center"/>
          </w:tcPr>
          <w:p w14:paraId="6859D509">
            <w:pPr>
              <w:spacing w:line="360" w:lineRule="auto"/>
              <w:jc w:val="center"/>
              <w:rPr>
                <w:bCs/>
                <w:color w:val="auto"/>
                <w:highlight w:val="none"/>
              </w:rPr>
            </w:pPr>
            <w:r>
              <w:rPr>
                <w:bCs/>
                <w:color w:val="auto"/>
                <w:highlight w:val="none"/>
              </w:rPr>
              <w:t>厚度</w:t>
            </w:r>
          </w:p>
        </w:tc>
        <w:tc>
          <w:tcPr>
            <w:tcW w:w="1843" w:type="dxa"/>
            <w:tcBorders>
              <w:top w:val="single" w:color="auto" w:sz="4" w:space="0"/>
              <w:left w:val="single" w:color="auto" w:sz="4" w:space="0"/>
              <w:bottom w:val="single" w:color="auto" w:sz="4" w:space="0"/>
              <w:right w:val="single" w:color="auto" w:sz="4" w:space="0"/>
            </w:tcBorders>
            <w:vAlign w:val="center"/>
          </w:tcPr>
          <w:p w14:paraId="330A5FE3">
            <w:pPr>
              <w:spacing w:line="360" w:lineRule="auto"/>
              <w:jc w:val="center"/>
              <w:rPr>
                <w:bCs/>
                <w:color w:val="auto"/>
                <w:highlight w:val="none"/>
              </w:rPr>
            </w:pPr>
            <w:r>
              <w:rPr>
                <w:bCs/>
                <w:color w:val="auto"/>
                <w:highlight w:val="none"/>
              </w:rPr>
              <w:t>＜15</w:t>
            </w:r>
          </w:p>
        </w:tc>
        <w:tc>
          <w:tcPr>
            <w:tcW w:w="2835" w:type="dxa"/>
            <w:tcBorders>
              <w:top w:val="single" w:color="auto" w:sz="4" w:space="0"/>
              <w:left w:val="single" w:color="auto" w:sz="4" w:space="0"/>
              <w:bottom w:val="single" w:color="auto" w:sz="4" w:space="0"/>
              <w:right w:val="single" w:color="auto" w:sz="4" w:space="0"/>
            </w:tcBorders>
            <w:vAlign w:val="center"/>
          </w:tcPr>
          <w:p w14:paraId="3658CDC9">
            <w:pPr>
              <w:spacing w:line="360" w:lineRule="auto"/>
              <w:jc w:val="center"/>
              <w:rPr>
                <w:bCs/>
                <w:color w:val="auto"/>
                <w:highlight w:val="none"/>
              </w:rPr>
            </w:pPr>
            <w:r>
              <w:rPr>
                <w:bCs/>
                <w:color w:val="auto"/>
                <w:highlight w:val="none"/>
              </w:rPr>
              <w:t>＋2.0</w:t>
            </w:r>
          </w:p>
        </w:tc>
        <w:tc>
          <w:tcPr>
            <w:tcW w:w="1966" w:type="dxa"/>
            <w:vMerge w:val="restart"/>
            <w:tcBorders>
              <w:top w:val="single" w:color="auto" w:sz="4" w:space="0"/>
              <w:left w:val="single" w:color="auto" w:sz="4" w:space="0"/>
              <w:right w:val="single" w:color="auto" w:sz="4" w:space="0"/>
            </w:tcBorders>
            <w:vAlign w:val="center"/>
          </w:tcPr>
          <w:p w14:paraId="1176739A">
            <w:pPr>
              <w:spacing w:line="360" w:lineRule="auto"/>
              <w:jc w:val="center"/>
              <w:rPr>
                <w:bCs/>
                <w:color w:val="auto"/>
                <w:highlight w:val="none"/>
              </w:rPr>
            </w:pPr>
            <w:r>
              <w:rPr>
                <w:bCs/>
                <w:color w:val="auto"/>
                <w:highlight w:val="none"/>
              </w:rPr>
              <w:t>现行行业标准《</w:t>
            </w:r>
            <w:r>
              <w:rPr>
                <w:rFonts w:hint="eastAsia"/>
                <w:bCs/>
                <w:color w:val="auto"/>
                <w:highlight w:val="none"/>
                <w:lang w:eastAsia="zh-CN"/>
              </w:rPr>
              <w:t>建筑用真空绝热板</w:t>
            </w:r>
            <w:r>
              <w:rPr>
                <w:bCs/>
                <w:color w:val="auto"/>
                <w:highlight w:val="none"/>
              </w:rPr>
              <w:t>》</w:t>
            </w:r>
            <w:r>
              <w:rPr>
                <w:rFonts w:hint="eastAsia"/>
                <w:bCs/>
                <w:color w:val="auto"/>
                <w:highlight w:val="none"/>
                <w:lang w:eastAsia="zh-CN"/>
              </w:rPr>
              <w:t>JG/T 438</w:t>
            </w:r>
          </w:p>
        </w:tc>
      </w:tr>
      <w:tr w14:paraId="40CC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696" w:type="dxa"/>
            <w:vMerge w:val="continue"/>
            <w:tcBorders>
              <w:left w:val="single" w:color="auto" w:sz="4" w:space="0"/>
              <w:bottom w:val="single" w:color="auto" w:sz="4" w:space="0"/>
              <w:right w:val="single" w:color="auto" w:sz="4" w:space="0"/>
            </w:tcBorders>
            <w:vAlign w:val="center"/>
          </w:tcPr>
          <w:p w14:paraId="2A2C8B97">
            <w:pPr>
              <w:spacing w:line="360" w:lineRule="auto"/>
              <w:jc w:val="center"/>
              <w:rPr>
                <w:bCs/>
                <w:color w:val="auto"/>
                <w:highlight w:val="none"/>
              </w:rPr>
            </w:pPr>
          </w:p>
        </w:tc>
        <w:tc>
          <w:tcPr>
            <w:tcW w:w="1843" w:type="dxa"/>
            <w:tcBorders>
              <w:top w:val="single" w:color="auto" w:sz="4" w:space="0"/>
              <w:left w:val="single" w:color="auto" w:sz="4" w:space="0"/>
              <w:bottom w:val="single" w:color="auto" w:sz="4" w:space="0"/>
              <w:right w:val="single" w:color="auto" w:sz="4" w:space="0"/>
            </w:tcBorders>
            <w:vAlign w:val="center"/>
          </w:tcPr>
          <w:p w14:paraId="5972B912">
            <w:pPr>
              <w:spacing w:line="360" w:lineRule="auto"/>
              <w:jc w:val="center"/>
              <w:rPr>
                <w:bCs/>
                <w:color w:val="auto"/>
                <w:highlight w:val="none"/>
              </w:rPr>
            </w:pPr>
            <w:r>
              <w:rPr>
                <w:bCs/>
                <w:color w:val="auto"/>
                <w:highlight w:val="none"/>
              </w:rPr>
              <w:t>≥15</w:t>
            </w:r>
          </w:p>
        </w:tc>
        <w:tc>
          <w:tcPr>
            <w:tcW w:w="2835" w:type="dxa"/>
            <w:tcBorders>
              <w:top w:val="single" w:color="auto" w:sz="4" w:space="0"/>
              <w:left w:val="single" w:color="auto" w:sz="4" w:space="0"/>
              <w:bottom w:val="single" w:color="auto" w:sz="4" w:space="0"/>
              <w:right w:val="single" w:color="auto" w:sz="4" w:space="0"/>
            </w:tcBorders>
            <w:vAlign w:val="center"/>
          </w:tcPr>
          <w:p w14:paraId="5851A081">
            <w:pPr>
              <w:spacing w:line="360" w:lineRule="auto"/>
              <w:jc w:val="center"/>
              <w:rPr>
                <w:bCs/>
                <w:color w:val="auto"/>
                <w:highlight w:val="none"/>
              </w:rPr>
            </w:pPr>
            <w:r>
              <w:rPr>
                <w:bCs/>
                <w:color w:val="auto"/>
                <w:highlight w:val="none"/>
              </w:rPr>
              <w:t>＋3.0</w:t>
            </w:r>
          </w:p>
        </w:tc>
        <w:tc>
          <w:tcPr>
            <w:tcW w:w="1966" w:type="dxa"/>
            <w:vMerge w:val="continue"/>
            <w:tcBorders>
              <w:left w:val="single" w:color="auto" w:sz="4" w:space="0"/>
              <w:right w:val="single" w:color="auto" w:sz="4" w:space="0"/>
            </w:tcBorders>
            <w:vAlign w:val="center"/>
          </w:tcPr>
          <w:p w14:paraId="5D06A68D">
            <w:pPr>
              <w:spacing w:line="360" w:lineRule="auto"/>
              <w:jc w:val="center"/>
              <w:rPr>
                <w:bCs/>
                <w:color w:val="auto"/>
                <w:highlight w:val="none"/>
              </w:rPr>
            </w:pPr>
          </w:p>
        </w:tc>
      </w:tr>
      <w:tr w14:paraId="1B77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539" w:type="dxa"/>
            <w:gridSpan w:val="2"/>
            <w:tcBorders>
              <w:top w:val="single" w:color="auto" w:sz="4" w:space="0"/>
              <w:left w:val="single" w:color="auto" w:sz="4" w:space="0"/>
              <w:bottom w:val="single" w:color="auto" w:sz="4" w:space="0"/>
              <w:right w:val="single" w:color="auto" w:sz="4" w:space="0"/>
            </w:tcBorders>
            <w:vAlign w:val="center"/>
          </w:tcPr>
          <w:p w14:paraId="747531E3">
            <w:pPr>
              <w:spacing w:line="360" w:lineRule="auto"/>
              <w:jc w:val="center"/>
              <w:rPr>
                <w:bCs/>
                <w:color w:val="auto"/>
                <w:highlight w:val="none"/>
              </w:rPr>
            </w:pPr>
            <w:r>
              <w:rPr>
                <w:bCs/>
                <w:color w:val="auto"/>
                <w:highlight w:val="none"/>
              </w:rPr>
              <w:t>长度</w:t>
            </w:r>
          </w:p>
        </w:tc>
        <w:tc>
          <w:tcPr>
            <w:tcW w:w="2835" w:type="dxa"/>
            <w:tcBorders>
              <w:top w:val="single" w:color="auto" w:sz="4" w:space="0"/>
              <w:left w:val="single" w:color="auto" w:sz="4" w:space="0"/>
              <w:bottom w:val="single" w:color="auto" w:sz="4" w:space="0"/>
              <w:right w:val="single" w:color="auto" w:sz="4" w:space="0"/>
            </w:tcBorders>
            <w:vAlign w:val="center"/>
          </w:tcPr>
          <w:p w14:paraId="2E8A568D">
            <w:pPr>
              <w:spacing w:line="360" w:lineRule="auto"/>
              <w:jc w:val="center"/>
              <w:rPr>
                <w:bCs/>
                <w:color w:val="auto"/>
                <w:highlight w:val="none"/>
              </w:rPr>
            </w:pPr>
            <w:r>
              <w:rPr>
                <w:bCs/>
                <w:color w:val="auto"/>
                <w:highlight w:val="none"/>
              </w:rPr>
              <w:t>±10</w:t>
            </w:r>
          </w:p>
        </w:tc>
        <w:tc>
          <w:tcPr>
            <w:tcW w:w="1966" w:type="dxa"/>
            <w:vMerge w:val="continue"/>
            <w:tcBorders>
              <w:left w:val="single" w:color="auto" w:sz="4" w:space="0"/>
              <w:right w:val="single" w:color="auto" w:sz="4" w:space="0"/>
            </w:tcBorders>
            <w:vAlign w:val="center"/>
          </w:tcPr>
          <w:p w14:paraId="620EB128">
            <w:pPr>
              <w:spacing w:line="360" w:lineRule="auto"/>
              <w:jc w:val="center"/>
              <w:rPr>
                <w:bCs/>
                <w:color w:val="auto"/>
                <w:highlight w:val="none"/>
              </w:rPr>
            </w:pPr>
          </w:p>
        </w:tc>
      </w:tr>
      <w:tr w14:paraId="38B6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539" w:type="dxa"/>
            <w:gridSpan w:val="2"/>
            <w:tcBorders>
              <w:top w:val="single" w:color="auto" w:sz="4" w:space="0"/>
              <w:left w:val="single" w:color="auto" w:sz="4" w:space="0"/>
              <w:bottom w:val="single" w:color="auto" w:sz="4" w:space="0"/>
              <w:right w:val="single" w:color="auto" w:sz="4" w:space="0"/>
            </w:tcBorders>
            <w:vAlign w:val="center"/>
          </w:tcPr>
          <w:p w14:paraId="6AFD0943">
            <w:pPr>
              <w:spacing w:line="360" w:lineRule="auto"/>
              <w:jc w:val="center"/>
              <w:rPr>
                <w:bCs/>
                <w:color w:val="auto"/>
                <w:highlight w:val="none"/>
              </w:rPr>
            </w:pPr>
            <w:r>
              <w:rPr>
                <w:bCs/>
                <w:color w:val="auto"/>
                <w:highlight w:val="none"/>
              </w:rPr>
              <w:t>宽度</w:t>
            </w:r>
          </w:p>
        </w:tc>
        <w:tc>
          <w:tcPr>
            <w:tcW w:w="2835" w:type="dxa"/>
            <w:tcBorders>
              <w:top w:val="single" w:color="auto" w:sz="4" w:space="0"/>
              <w:left w:val="single" w:color="auto" w:sz="4" w:space="0"/>
              <w:bottom w:val="single" w:color="auto" w:sz="4" w:space="0"/>
              <w:right w:val="single" w:color="auto" w:sz="4" w:space="0"/>
            </w:tcBorders>
            <w:vAlign w:val="center"/>
          </w:tcPr>
          <w:p w14:paraId="432BF00F">
            <w:pPr>
              <w:spacing w:line="360" w:lineRule="auto"/>
              <w:jc w:val="center"/>
              <w:rPr>
                <w:bCs/>
                <w:color w:val="auto"/>
                <w:highlight w:val="none"/>
              </w:rPr>
            </w:pPr>
            <w:r>
              <w:rPr>
                <w:bCs/>
                <w:color w:val="auto"/>
                <w:highlight w:val="none"/>
              </w:rPr>
              <w:t>±10</w:t>
            </w:r>
          </w:p>
        </w:tc>
        <w:tc>
          <w:tcPr>
            <w:tcW w:w="1966" w:type="dxa"/>
            <w:vMerge w:val="continue"/>
            <w:tcBorders>
              <w:left w:val="single" w:color="auto" w:sz="4" w:space="0"/>
              <w:right w:val="single" w:color="auto" w:sz="4" w:space="0"/>
            </w:tcBorders>
            <w:vAlign w:val="center"/>
          </w:tcPr>
          <w:p w14:paraId="661CE521">
            <w:pPr>
              <w:spacing w:line="360" w:lineRule="auto"/>
              <w:jc w:val="center"/>
              <w:rPr>
                <w:bCs/>
                <w:color w:val="auto"/>
                <w:highlight w:val="none"/>
              </w:rPr>
            </w:pPr>
          </w:p>
        </w:tc>
      </w:tr>
      <w:tr w14:paraId="7F073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539" w:type="dxa"/>
            <w:gridSpan w:val="2"/>
            <w:tcBorders>
              <w:top w:val="single" w:color="auto" w:sz="4" w:space="0"/>
              <w:left w:val="single" w:color="auto" w:sz="4" w:space="0"/>
              <w:bottom w:val="single" w:color="auto" w:sz="4" w:space="0"/>
              <w:right w:val="single" w:color="auto" w:sz="4" w:space="0"/>
            </w:tcBorders>
            <w:vAlign w:val="center"/>
          </w:tcPr>
          <w:p w14:paraId="3716B4D8">
            <w:pPr>
              <w:spacing w:line="360" w:lineRule="auto"/>
              <w:jc w:val="center"/>
              <w:rPr>
                <w:bCs/>
                <w:color w:val="auto"/>
                <w:highlight w:val="none"/>
              </w:rPr>
            </w:pPr>
            <w:r>
              <w:rPr>
                <w:bCs/>
                <w:color w:val="auto"/>
                <w:highlight w:val="none"/>
              </w:rPr>
              <w:t>板面平整度</w:t>
            </w:r>
          </w:p>
        </w:tc>
        <w:tc>
          <w:tcPr>
            <w:tcW w:w="2835" w:type="dxa"/>
            <w:tcBorders>
              <w:top w:val="single" w:color="auto" w:sz="4" w:space="0"/>
              <w:left w:val="single" w:color="auto" w:sz="4" w:space="0"/>
              <w:bottom w:val="single" w:color="auto" w:sz="4" w:space="0"/>
              <w:right w:val="single" w:color="auto" w:sz="4" w:space="0"/>
            </w:tcBorders>
            <w:vAlign w:val="center"/>
          </w:tcPr>
          <w:p w14:paraId="6F62B5E1">
            <w:pPr>
              <w:spacing w:line="360" w:lineRule="auto"/>
              <w:jc w:val="center"/>
              <w:rPr>
                <w:bCs/>
                <w:color w:val="auto"/>
                <w:highlight w:val="none"/>
              </w:rPr>
            </w:pPr>
            <w:r>
              <w:rPr>
                <w:bCs/>
                <w:color w:val="auto"/>
                <w:highlight w:val="none"/>
              </w:rPr>
              <w:t>2</w:t>
            </w:r>
          </w:p>
        </w:tc>
        <w:tc>
          <w:tcPr>
            <w:tcW w:w="1966" w:type="dxa"/>
            <w:vMerge w:val="continue"/>
            <w:tcBorders>
              <w:left w:val="single" w:color="auto" w:sz="4" w:space="0"/>
              <w:bottom w:val="single" w:color="auto" w:sz="4" w:space="0"/>
              <w:right w:val="single" w:color="auto" w:sz="4" w:space="0"/>
            </w:tcBorders>
            <w:vAlign w:val="center"/>
          </w:tcPr>
          <w:p w14:paraId="0E8F5AC1">
            <w:pPr>
              <w:spacing w:line="360" w:lineRule="auto"/>
              <w:jc w:val="center"/>
              <w:rPr>
                <w:bCs/>
                <w:color w:val="auto"/>
                <w:highlight w:val="none"/>
              </w:rPr>
            </w:pPr>
          </w:p>
        </w:tc>
      </w:tr>
    </w:tbl>
    <w:p w14:paraId="6A735EDC">
      <w:pPr>
        <w:spacing w:line="360" w:lineRule="auto"/>
        <w:jc w:val="left"/>
        <w:rPr>
          <w:bCs/>
          <w:color w:val="auto"/>
          <w:highlight w:val="none"/>
        </w:rPr>
      </w:pPr>
      <w:r>
        <w:rPr>
          <w:bCs/>
          <w:color w:val="auto"/>
          <w:highlight w:val="none"/>
        </w:rPr>
        <w:t>注：板面平整度不包括热熔封边的折起部分，检测时应测试无热熔封边折起的一面。</w:t>
      </w:r>
    </w:p>
    <w:p w14:paraId="07072D9F">
      <w:pPr>
        <w:spacing w:line="360" w:lineRule="auto"/>
        <w:jc w:val="right"/>
        <w:rPr>
          <w:bCs/>
          <w:color w:val="auto"/>
          <w:highlight w:val="none"/>
        </w:rPr>
      </w:pPr>
      <w:r>
        <w:rPr>
          <w:bCs/>
          <w:color w:val="auto"/>
          <w:highlight w:val="none"/>
        </w:rPr>
        <w:t>表4.3.1-3  套装双真空保温隔热板单位面积质量       单位（ kg/m</w:t>
      </w:r>
      <w:r>
        <w:rPr>
          <w:bCs/>
          <w:color w:val="auto"/>
          <w:highlight w:val="none"/>
          <w:vertAlign w:val="superscript"/>
        </w:rPr>
        <w:t>2</w:t>
      </w:r>
      <w:r>
        <w:rPr>
          <w:bCs/>
          <w:color w:val="auto"/>
          <w:highlight w:val="none"/>
        </w:rPr>
        <w:t>）</w:t>
      </w:r>
    </w:p>
    <w:tbl>
      <w:tblPr>
        <w:tblStyle w:val="1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9"/>
        <w:gridCol w:w="2835"/>
        <w:gridCol w:w="1985"/>
      </w:tblGrid>
      <w:tr w14:paraId="63DD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539" w:type="dxa"/>
            <w:tcBorders>
              <w:top w:val="single" w:color="auto" w:sz="4" w:space="0"/>
              <w:left w:val="single" w:color="auto" w:sz="4" w:space="0"/>
              <w:bottom w:val="single" w:color="auto" w:sz="4" w:space="0"/>
              <w:right w:val="single" w:color="auto" w:sz="4" w:space="0"/>
            </w:tcBorders>
            <w:vAlign w:val="center"/>
          </w:tcPr>
          <w:p w14:paraId="065F7DD4">
            <w:pPr>
              <w:spacing w:line="360" w:lineRule="auto"/>
              <w:jc w:val="center"/>
              <w:rPr>
                <w:bCs/>
                <w:color w:val="auto"/>
                <w:highlight w:val="none"/>
              </w:rPr>
            </w:pPr>
            <w:r>
              <w:rPr>
                <w:bCs/>
                <w:color w:val="auto"/>
                <w:highlight w:val="none"/>
              </w:rPr>
              <w:t>厚度</w:t>
            </w:r>
          </w:p>
        </w:tc>
        <w:tc>
          <w:tcPr>
            <w:tcW w:w="2835" w:type="dxa"/>
            <w:tcBorders>
              <w:top w:val="single" w:color="auto" w:sz="4" w:space="0"/>
              <w:left w:val="single" w:color="auto" w:sz="4" w:space="0"/>
              <w:bottom w:val="single" w:color="auto" w:sz="4" w:space="0"/>
              <w:right w:val="single" w:color="auto" w:sz="4" w:space="0"/>
            </w:tcBorders>
            <w:vAlign w:val="center"/>
          </w:tcPr>
          <w:p w14:paraId="1C46D79D">
            <w:pPr>
              <w:spacing w:line="360" w:lineRule="auto"/>
              <w:jc w:val="center"/>
              <w:rPr>
                <w:bCs/>
                <w:color w:val="auto"/>
                <w:highlight w:val="none"/>
              </w:rPr>
            </w:pPr>
            <w:r>
              <w:rPr>
                <w:bCs/>
                <w:color w:val="auto"/>
                <w:highlight w:val="none"/>
              </w:rPr>
              <w:t>性能指标</w:t>
            </w:r>
          </w:p>
        </w:tc>
        <w:tc>
          <w:tcPr>
            <w:tcW w:w="1985" w:type="dxa"/>
            <w:tcBorders>
              <w:top w:val="single" w:color="auto" w:sz="4" w:space="0"/>
              <w:left w:val="single" w:color="auto" w:sz="4" w:space="0"/>
              <w:bottom w:val="single" w:color="auto" w:sz="4" w:space="0"/>
              <w:right w:val="single" w:color="auto" w:sz="4" w:space="0"/>
            </w:tcBorders>
            <w:vAlign w:val="center"/>
          </w:tcPr>
          <w:p w14:paraId="2960F3BB">
            <w:pPr>
              <w:spacing w:line="360" w:lineRule="auto"/>
              <w:jc w:val="center"/>
              <w:rPr>
                <w:bCs/>
                <w:color w:val="auto"/>
                <w:highlight w:val="none"/>
              </w:rPr>
            </w:pPr>
            <w:r>
              <w:rPr>
                <w:bCs/>
                <w:color w:val="auto"/>
                <w:highlight w:val="none"/>
              </w:rPr>
              <w:t>试验方法</w:t>
            </w:r>
          </w:p>
        </w:tc>
      </w:tr>
      <w:tr w14:paraId="2A1D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539" w:type="dxa"/>
            <w:tcBorders>
              <w:top w:val="single" w:color="auto" w:sz="4" w:space="0"/>
              <w:left w:val="single" w:color="auto" w:sz="4" w:space="0"/>
              <w:bottom w:val="single" w:color="auto" w:sz="4" w:space="0"/>
              <w:right w:val="single" w:color="auto" w:sz="4" w:space="0"/>
            </w:tcBorders>
            <w:vAlign w:val="center"/>
          </w:tcPr>
          <w:p w14:paraId="24FF685B">
            <w:pPr>
              <w:spacing w:line="360" w:lineRule="auto"/>
              <w:jc w:val="center"/>
              <w:rPr>
                <w:bCs/>
                <w:color w:val="auto"/>
                <w:highlight w:val="none"/>
              </w:rPr>
            </w:pPr>
            <w:r>
              <w:rPr>
                <w:bCs/>
                <w:color w:val="auto"/>
                <w:highlight w:val="none"/>
              </w:rPr>
              <w:t>10mm</w:t>
            </w:r>
          </w:p>
        </w:tc>
        <w:tc>
          <w:tcPr>
            <w:tcW w:w="2835" w:type="dxa"/>
            <w:tcBorders>
              <w:top w:val="single" w:color="auto" w:sz="4" w:space="0"/>
              <w:left w:val="single" w:color="auto" w:sz="4" w:space="0"/>
              <w:bottom w:val="single" w:color="auto" w:sz="4" w:space="0"/>
              <w:right w:val="single" w:color="auto" w:sz="4" w:space="0"/>
            </w:tcBorders>
          </w:tcPr>
          <w:p w14:paraId="4491BF5E">
            <w:pPr>
              <w:spacing w:line="360" w:lineRule="auto"/>
              <w:jc w:val="center"/>
              <w:rPr>
                <w:bCs/>
                <w:color w:val="auto"/>
                <w:highlight w:val="none"/>
              </w:rPr>
            </w:pPr>
            <w:r>
              <w:rPr>
                <w:bCs/>
                <w:color w:val="auto"/>
                <w:highlight w:val="none"/>
              </w:rPr>
              <w:t>≤3.5</w:t>
            </w:r>
          </w:p>
        </w:tc>
        <w:tc>
          <w:tcPr>
            <w:tcW w:w="1985" w:type="dxa"/>
            <w:vMerge w:val="restart"/>
            <w:tcBorders>
              <w:top w:val="single" w:color="auto" w:sz="4" w:space="0"/>
              <w:left w:val="single" w:color="auto" w:sz="4" w:space="0"/>
              <w:right w:val="single" w:color="auto" w:sz="4" w:space="0"/>
            </w:tcBorders>
          </w:tcPr>
          <w:p w14:paraId="636E3D04">
            <w:pPr>
              <w:spacing w:line="360" w:lineRule="auto"/>
              <w:jc w:val="center"/>
              <w:rPr>
                <w:bCs/>
                <w:color w:val="auto"/>
                <w:highlight w:val="none"/>
              </w:rPr>
            </w:pPr>
            <w:r>
              <w:rPr>
                <w:bCs/>
                <w:color w:val="auto"/>
                <w:highlight w:val="none"/>
              </w:rPr>
              <w:t>现行行业标准《保温装饰板外墙外保温系统材料》JG/T 287</w:t>
            </w:r>
          </w:p>
        </w:tc>
      </w:tr>
      <w:tr w14:paraId="35DF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539" w:type="dxa"/>
            <w:tcBorders>
              <w:top w:val="single" w:color="auto" w:sz="4" w:space="0"/>
              <w:left w:val="single" w:color="auto" w:sz="4" w:space="0"/>
              <w:bottom w:val="single" w:color="auto" w:sz="4" w:space="0"/>
              <w:right w:val="single" w:color="auto" w:sz="4" w:space="0"/>
            </w:tcBorders>
            <w:vAlign w:val="center"/>
          </w:tcPr>
          <w:p w14:paraId="69F3D49A">
            <w:pPr>
              <w:spacing w:line="360" w:lineRule="auto"/>
              <w:jc w:val="center"/>
              <w:rPr>
                <w:bCs/>
                <w:color w:val="auto"/>
                <w:highlight w:val="none"/>
              </w:rPr>
            </w:pPr>
            <w:r>
              <w:rPr>
                <w:bCs/>
                <w:color w:val="auto"/>
                <w:highlight w:val="none"/>
              </w:rPr>
              <w:t>15mm</w:t>
            </w:r>
          </w:p>
        </w:tc>
        <w:tc>
          <w:tcPr>
            <w:tcW w:w="2835" w:type="dxa"/>
            <w:tcBorders>
              <w:top w:val="single" w:color="auto" w:sz="4" w:space="0"/>
              <w:left w:val="single" w:color="auto" w:sz="4" w:space="0"/>
              <w:bottom w:val="single" w:color="auto" w:sz="4" w:space="0"/>
              <w:right w:val="single" w:color="auto" w:sz="4" w:space="0"/>
            </w:tcBorders>
          </w:tcPr>
          <w:p w14:paraId="6E4A12A0">
            <w:pPr>
              <w:spacing w:line="360" w:lineRule="auto"/>
              <w:jc w:val="center"/>
              <w:rPr>
                <w:bCs/>
                <w:color w:val="auto"/>
                <w:highlight w:val="none"/>
              </w:rPr>
            </w:pPr>
            <w:r>
              <w:rPr>
                <w:bCs/>
                <w:color w:val="auto"/>
                <w:highlight w:val="none"/>
              </w:rPr>
              <w:t>≤5.5</w:t>
            </w:r>
          </w:p>
        </w:tc>
        <w:tc>
          <w:tcPr>
            <w:tcW w:w="1985" w:type="dxa"/>
            <w:vMerge w:val="continue"/>
            <w:tcBorders>
              <w:left w:val="single" w:color="auto" w:sz="4" w:space="0"/>
              <w:right w:val="single" w:color="auto" w:sz="4" w:space="0"/>
            </w:tcBorders>
          </w:tcPr>
          <w:p w14:paraId="7150F6F0">
            <w:pPr>
              <w:spacing w:line="360" w:lineRule="auto"/>
              <w:jc w:val="center"/>
              <w:rPr>
                <w:bCs/>
                <w:color w:val="auto"/>
                <w:highlight w:val="none"/>
              </w:rPr>
            </w:pPr>
          </w:p>
        </w:tc>
      </w:tr>
      <w:tr w14:paraId="0B3EA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539" w:type="dxa"/>
            <w:tcBorders>
              <w:top w:val="single" w:color="auto" w:sz="4" w:space="0"/>
              <w:left w:val="single" w:color="auto" w:sz="4" w:space="0"/>
              <w:bottom w:val="single" w:color="auto" w:sz="4" w:space="0"/>
              <w:right w:val="single" w:color="auto" w:sz="4" w:space="0"/>
            </w:tcBorders>
            <w:vAlign w:val="center"/>
          </w:tcPr>
          <w:p w14:paraId="3C44C43E">
            <w:pPr>
              <w:spacing w:line="360" w:lineRule="auto"/>
              <w:jc w:val="center"/>
              <w:rPr>
                <w:bCs/>
                <w:color w:val="auto"/>
                <w:highlight w:val="none"/>
              </w:rPr>
            </w:pPr>
            <w:r>
              <w:rPr>
                <w:bCs/>
                <w:color w:val="auto"/>
                <w:highlight w:val="none"/>
              </w:rPr>
              <w:t>20mm</w:t>
            </w:r>
          </w:p>
        </w:tc>
        <w:tc>
          <w:tcPr>
            <w:tcW w:w="2835" w:type="dxa"/>
            <w:tcBorders>
              <w:top w:val="single" w:color="auto" w:sz="4" w:space="0"/>
              <w:left w:val="single" w:color="auto" w:sz="4" w:space="0"/>
              <w:bottom w:val="single" w:color="auto" w:sz="4" w:space="0"/>
              <w:right w:val="single" w:color="auto" w:sz="4" w:space="0"/>
            </w:tcBorders>
          </w:tcPr>
          <w:p w14:paraId="0845FC99">
            <w:pPr>
              <w:spacing w:line="360" w:lineRule="auto"/>
              <w:jc w:val="center"/>
              <w:rPr>
                <w:bCs/>
                <w:color w:val="auto"/>
                <w:highlight w:val="none"/>
              </w:rPr>
            </w:pPr>
            <w:r>
              <w:rPr>
                <w:bCs/>
                <w:color w:val="auto"/>
                <w:highlight w:val="none"/>
              </w:rPr>
              <w:t>≤7.5</w:t>
            </w:r>
          </w:p>
        </w:tc>
        <w:tc>
          <w:tcPr>
            <w:tcW w:w="1985" w:type="dxa"/>
            <w:vMerge w:val="continue"/>
            <w:tcBorders>
              <w:left w:val="single" w:color="auto" w:sz="4" w:space="0"/>
              <w:right w:val="single" w:color="auto" w:sz="4" w:space="0"/>
            </w:tcBorders>
          </w:tcPr>
          <w:p w14:paraId="38C8CCAB">
            <w:pPr>
              <w:spacing w:line="360" w:lineRule="auto"/>
              <w:jc w:val="center"/>
              <w:rPr>
                <w:bCs/>
                <w:color w:val="auto"/>
                <w:highlight w:val="none"/>
              </w:rPr>
            </w:pPr>
          </w:p>
        </w:tc>
      </w:tr>
      <w:tr w14:paraId="0F97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539" w:type="dxa"/>
            <w:tcBorders>
              <w:top w:val="single" w:color="auto" w:sz="4" w:space="0"/>
              <w:left w:val="single" w:color="auto" w:sz="4" w:space="0"/>
              <w:bottom w:val="single" w:color="auto" w:sz="4" w:space="0"/>
              <w:right w:val="single" w:color="auto" w:sz="4" w:space="0"/>
            </w:tcBorders>
            <w:vAlign w:val="center"/>
          </w:tcPr>
          <w:p w14:paraId="7E5653AC">
            <w:pPr>
              <w:spacing w:line="360" w:lineRule="auto"/>
              <w:jc w:val="center"/>
              <w:rPr>
                <w:bCs/>
                <w:color w:val="auto"/>
                <w:highlight w:val="none"/>
              </w:rPr>
            </w:pPr>
            <w:r>
              <w:rPr>
                <w:bCs/>
                <w:color w:val="auto"/>
                <w:highlight w:val="none"/>
              </w:rPr>
              <w:t>25mm</w:t>
            </w:r>
          </w:p>
        </w:tc>
        <w:tc>
          <w:tcPr>
            <w:tcW w:w="2835" w:type="dxa"/>
            <w:tcBorders>
              <w:top w:val="single" w:color="auto" w:sz="4" w:space="0"/>
              <w:left w:val="single" w:color="auto" w:sz="4" w:space="0"/>
              <w:bottom w:val="single" w:color="auto" w:sz="4" w:space="0"/>
              <w:right w:val="single" w:color="auto" w:sz="4" w:space="0"/>
            </w:tcBorders>
          </w:tcPr>
          <w:p w14:paraId="49865902">
            <w:pPr>
              <w:spacing w:line="360" w:lineRule="auto"/>
              <w:jc w:val="center"/>
              <w:rPr>
                <w:bCs/>
                <w:color w:val="auto"/>
                <w:highlight w:val="none"/>
              </w:rPr>
            </w:pPr>
            <w:r>
              <w:rPr>
                <w:bCs/>
                <w:color w:val="auto"/>
                <w:highlight w:val="none"/>
              </w:rPr>
              <w:t>≤9.5</w:t>
            </w:r>
          </w:p>
        </w:tc>
        <w:tc>
          <w:tcPr>
            <w:tcW w:w="1985" w:type="dxa"/>
            <w:vMerge w:val="continue"/>
            <w:tcBorders>
              <w:left w:val="single" w:color="auto" w:sz="4" w:space="0"/>
              <w:right w:val="single" w:color="auto" w:sz="4" w:space="0"/>
            </w:tcBorders>
          </w:tcPr>
          <w:p w14:paraId="7BB5F14B">
            <w:pPr>
              <w:spacing w:line="360" w:lineRule="auto"/>
              <w:jc w:val="center"/>
              <w:rPr>
                <w:bCs/>
                <w:color w:val="auto"/>
                <w:highlight w:val="none"/>
              </w:rPr>
            </w:pPr>
          </w:p>
        </w:tc>
      </w:tr>
      <w:tr w14:paraId="30EC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539" w:type="dxa"/>
            <w:tcBorders>
              <w:top w:val="single" w:color="auto" w:sz="4" w:space="0"/>
              <w:left w:val="single" w:color="auto" w:sz="4" w:space="0"/>
              <w:bottom w:val="single" w:color="auto" w:sz="4" w:space="0"/>
              <w:right w:val="single" w:color="auto" w:sz="4" w:space="0"/>
            </w:tcBorders>
            <w:vAlign w:val="center"/>
          </w:tcPr>
          <w:p w14:paraId="64116897">
            <w:pPr>
              <w:spacing w:line="360" w:lineRule="auto"/>
              <w:jc w:val="center"/>
              <w:rPr>
                <w:bCs/>
                <w:color w:val="auto"/>
                <w:highlight w:val="none"/>
              </w:rPr>
            </w:pPr>
            <w:r>
              <w:rPr>
                <w:bCs/>
                <w:color w:val="auto"/>
                <w:highlight w:val="none"/>
              </w:rPr>
              <w:t>30mm</w:t>
            </w:r>
          </w:p>
        </w:tc>
        <w:tc>
          <w:tcPr>
            <w:tcW w:w="2835" w:type="dxa"/>
            <w:tcBorders>
              <w:top w:val="single" w:color="auto" w:sz="4" w:space="0"/>
              <w:left w:val="single" w:color="auto" w:sz="4" w:space="0"/>
              <w:bottom w:val="single" w:color="auto" w:sz="4" w:space="0"/>
              <w:right w:val="single" w:color="auto" w:sz="4" w:space="0"/>
            </w:tcBorders>
          </w:tcPr>
          <w:p w14:paraId="50B245F3">
            <w:pPr>
              <w:spacing w:line="360" w:lineRule="auto"/>
              <w:jc w:val="center"/>
              <w:rPr>
                <w:bCs/>
                <w:color w:val="auto"/>
                <w:highlight w:val="none"/>
              </w:rPr>
            </w:pPr>
            <w:r>
              <w:rPr>
                <w:bCs/>
                <w:color w:val="auto"/>
                <w:highlight w:val="none"/>
              </w:rPr>
              <w:t>≤11.5</w:t>
            </w:r>
          </w:p>
        </w:tc>
        <w:tc>
          <w:tcPr>
            <w:tcW w:w="1985" w:type="dxa"/>
            <w:vMerge w:val="continue"/>
            <w:tcBorders>
              <w:left w:val="single" w:color="auto" w:sz="4" w:space="0"/>
              <w:right w:val="single" w:color="auto" w:sz="4" w:space="0"/>
            </w:tcBorders>
          </w:tcPr>
          <w:p w14:paraId="52A24B3F">
            <w:pPr>
              <w:spacing w:line="360" w:lineRule="auto"/>
              <w:jc w:val="center"/>
              <w:rPr>
                <w:bCs/>
                <w:color w:val="auto"/>
                <w:highlight w:val="none"/>
              </w:rPr>
            </w:pPr>
          </w:p>
        </w:tc>
      </w:tr>
      <w:tr w14:paraId="2587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539" w:type="dxa"/>
            <w:tcBorders>
              <w:top w:val="single" w:color="auto" w:sz="4" w:space="0"/>
              <w:left w:val="single" w:color="auto" w:sz="4" w:space="0"/>
              <w:bottom w:val="single" w:color="auto" w:sz="4" w:space="0"/>
              <w:right w:val="single" w:color="auto" w:sz="4" w:space="0"/>
            </w:tcBorders>
            <w:vAlign w:val="center"/>
          </w:tcPr>
          <w:p w14:paraId="59F4BED6">
            <w:pPr>
              <w:spacing w:line="360" w:lineRule="auto"/>
              <w:jc w:val="center"/>
              <w:rPr>
                <w:bCs/>
                <w:color w:val="auto"/>
                <w:highlight w:val="none"/>
              </w:rPr>
            </w:pPr>
            <w:r>
              <w:rPr>
                <w:bCs/>
                <w:color w:val="auto"/>
                <w:highlight w:val="none"/>
              </w:rPr>
              <w:t>35mm</w:t>
            </w:r>
          </w:p>
        </w:tc>
        <w:tc>
          <w:tcPr>
            <w:tcW w:w="2835" w:type="dxa"/>
            <w:tcBorders>
              <w:top w:val="single" w:color="auto" w:sz="4" w:space="0"/>
              <w:left w:val="single" w:color="auto" w:sz="4" w:space="0"/>
              <w:bottom w:val="single" w:color="auto" w:sz="4" w:space="0"/>
              <w:right w:val="single" w:color="auto" w:sz="4" w:space="0"/>
            </w:tcBorders>
          </w:tcPr>
          <w:p w14:paraId="5A270582">
            <w:pPr>
              <w:spacing w:line="360" w:lineRule="auto"/>
              <w:jc w:val="center"/>
              <w:rPr>
                <w:bCs/>
                <w:color w:val="auto"/>
                <w:highlight w:val="none"/>
              </w:rPr>
            </w:pPr>
            <w:r>
              <w:rPr>
                <w:bCs/>
                <w:color w:val="auto"/>
                <w:highlight w:val="none"/>
              </w:rPr>
              <w:t>≤13.0</w:t>
            </w:r>
          </w:p>
        </w:tc>
        <w:tc>
          <w:tcPr>
            <w:tcW w:w="1985" w:type="dxa"/>
            <w:vMerge w:val="continue"/>
            <w:tcBorders>
              <w:left w:val="single" w:color="auto" w:sz="4" w:space="0"/>
              <w:right w:val="single" w:color="auto" w:sz="4" w:space="0"/>
            </w:tcBorders>
          </w:tcPr>
          <w:p w14:paraId="0017B82A">
            <w:pPr>
              <w:spacing w:line="360" w:lineRule="auto"/>
              <w:jc w:val="center"/>
              <w:rPr>
                <w:bCs/>
                <w:color w:val="auto"/>
                <w:highlight w:val="none"/>
              </w:rPr>
            </w:pPr>
          </w:p>
        </w:tc>
      </w:tr>
      <w:tr w14:paraId="1C39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539" w:type="dxa"/>
            <w:tcBorders>
              <w:top w:val="single" w:color="auto" w:sz="4" w:space="0"/>
              <w:left w:val="single" w:color="auto" w:sz="4" w:space="0"/>
              <w:bottom w:val="single" w:color="auto" w:sz="4" w:space="0"/>
              <w:right w:val="single" w:color="auto" w:sz="4" w:space="0"/>
            </w:tcBorders>
            <w:vAlign w:val="center"/>
          </w:tcPr>
          <w:p w14:paraId="2C6AF7AF">
            <w:pPr>
              <w:spacing w:line="360" w:lineRule="auto"/>
              <w:jc w:val="center"/>
              <w:rPr>
                <w:bCs/>
                <w:color w:val="auto"/>
                <w:highlight w:val="none"/>
              </w:rPr>
            </w:pPr>
            <w:r>
              <w:rPr>
                <w:bCs/>
                <w:color w:val="auto"/>
                <w:highlight w:val="none"/>
              </w:rPr>
              <w:t>40mm</w:t>
            </w:r>
          </w:p>
        </w:tc>
        <w:tc>
          <w:tcPr>
            <w:tcW w:w="2835" w:type="dxa"/>
            <w:tcBorders>
              <w:top w:val="single" w:color="auto" w:sz="4" w:space="0"/>
              <w:left w:val="single" w:color="auto" w:sz="4" w:space="0"/>
              <w:bottom w:val="single" w:color="auto" w:sz="4" w:space="0"/>
              <w:right w:val="single" w:color="auto" w:sz="4" w:space="0"/>
            </w:tcBorders>
          </w:tcPr>
          <w:p w14:paraId="13936B6A">
            <w:pPr>
              <w:spacing w:line="360" w:lineRule="auto"/>
              <w:jc w:val="center"/>
              <w:rPr>
                <w:bCs/>
                <w:color w:val="auto"/>
                <w:highlight w:val="none"/>
              </w:rPr>
            </w:pPr>
            <w:r>
              <w:rPr>
                <w:bCs/>
                <w:color w:val="auto"/>
                <w:highlight w:val="none"/>
              </w:rPr>
              <w:t>≤15.0</w:t>
            </w:r>
          </w:p>
        </w:tc>
        <w:tc>
          <w:tcPr>
            <w:tcW w:w="1985" w:type="dxa"/>
            <w:vMerge w:val="continue"/>
            <w:tcBorders>
              <w:left w:val="single" w:color="auto" w:sz="4" w:space="0"/>
              <w:bottom w:val="single" w:color="auto" w:sz="4" w:space="0"/>
              <w:right w:val="single" w:color="auto" w:sz="4" w:space="0"/>
            </w:tcBorders>
          </w:tcPr>
          <w:p w14:paraId="2FF83B1E">
            <w:pPr>
              <w:spacing w:line="360" w:lineRule="auto"/>
              <w:jc w:val="center"/>
              <w:rPr>
                <w:bCs/>
                <w:color w:val="auto"/>
                <w:highlight w:val="none"/>
              </w:rPr>
            </w:pPr>
          </w:p>
        </w:tc>
      </w:tr>
    </w:tbl>
    <w:p w14:paraId="05E2E818">
      <w:pPr>
        <w:spacing w:line="360" w:lineRule="auto"/>
        <w:jc w:val="center"/>
        <w:rPr>
          <w:bCs/>
          <w:color w:val="auto"/>
          <w:highlight w:val="none"/>
        </w:rPr>
      </w:pPr>
      <w:r>
        <w:rPr>
          <w:bCs/>
          <w:color w:val="auto"/>
          <w:highlight w:val="none"/>
        </w:rPr>
        <w:t>表4.3.1-4  套装双真空保温隔热板性能指标</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690"/>
        <w:gridCol w:w="1020"/>
        <w:gridCol w:w="922"/>
        <w:gridCol w:w="77"/>
        <w:gridCol w:w="981"/>
        <w:gridCol w:w="910"/>
        <w:gridCol w:w="1576"/>
      </w:tblGrid>
      <w:tr w14:paraId="50CC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31" w:type="dxa"/>
            <w:gridSpan w:val="2"/>
            <w:vMerge w:val="restart"/>
            <w:tcBorders>
              <w:top w:val="single" w:color="auto" w:sz="4" w:space="0"/>
              <w:left w:val="single" w:color="auto" w:sz="4" w:space="0"/>
              <w:right w:val="single" w:color="auto" w:sz="4" w:space="0"/>
            </w:tcBorders>
            <w:vAlign w:val="center"/>
          </w:tcPr>
          <w:p w14:paraId="116BE3F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项  目</w:t>
            </w:r>
          </w:p>
        </w:tc>
        <w:tc>
          <w:tcPr>
            <w:tcW w:w="3910" w:type="dxa"/>
            <w:gridSpan w:val="5"/>
            <w:tcBorders>
              <w:top w:val="single" w:color="auto" w:sz="4" w:space="0"/>
              <w:left w:val="single" w:color="auto" w:sz="4" w:space="0"/>
              <w:right w:val="single" w:color="auto" w:sz="4" w:space="0"/>
            </w:tcBorders>
          </w:tcPr>
          <w:p w14:paraId="6ED4D9E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性能指标</w:t>
            </w:r>
          </w:p>
        </w:tc>
        <w:tc>
          <w:tcPr>
            <w:tcW w:w="1576" w:type="dxa"/>
            <w:vMerge w:val="restart"/>
            <w:tcBorders>
              <w:top w:val="single" w:color="auto" w:sz="4" w:space="0"/>
              <w:left w:val="single" w:color="auto" w:sz="4" w:space="0"/>
              <w:right w:val="single" w:color="auto" w:sz="4" w:space="0"/>
            </w:tcBorders>
            <w:vAlign w:val="center"/>
          </w:tcPr>
          <w:p w14:paraId="68A9496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试验方法</w:t>
            </w:r>
          </w:p>
        </w:tc>
      </w:tr>
      <w:tr w14:paraId="3D23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31" w:type="dxa"/>
            <w:gridSpan w:val="2"/>
            <w:vMerge w:val="continue"/>
            <w:tcBorders>
              <w:left w:val="single" w:color="auto" w:sz="4" w:space="0"/>
              <w:bottom w:val="single" w:color="auto" w:sz="4" w:space="0"/>
              <w:right w:val="single" w:color="auto" w:sz="4" w:space="0"/>
            </w:tcBorders>
            <w:vAlign w:val="center"/>
          </w:tcPr>
          <w:p w14:paraId="592FA29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p>
        </w:tc>
        <w:tc>
          <w:tcPr>
            <w:tcW w:w="1020" w:type="dxa"/>
            <w:tcBorders>
              <w:left w:val="single" w:color="auto" w:sz="4" w:space="0"/>
              <w:bottom w:val="single" w:color="auto" w:sz="4" w:space="0"/>
              <w:right w:val="single" w:color="auto" w:sz="4" w:space="0"/>
            </w:tcBorders>
            <w:vAlign w:val="center"/>
          </w:tcPr>
          <w:p w14:paraId="0E848FF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Ⅰ型</w:t>
            </w:r>
          </w:p>
        </w:tc>
        <w:tc>
          <w:tcPr>
            <w:tcW w:w="922" w:type="dxa"/>
            <w:tcBorders>
              <w:top w:val="single" w:color="auto" w:sz="4" w:space="0"/>
              <w:left w:val="single" w:color="auto" w:sz="4" w:space="0"/>
              <w:bottom w:val="single" w:color="auto" w:sz="4" w:space="0"/>
              <w:right w:val="single" w:color="auto" w:sz="4" w:space="0"/>
            </w:tcBorders>
            <w:vAlign w:val="center"/>
          </w:tcPr>
          <w:p w14:paraId="055BC43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Ⅱ型</w:t>
            </w:r>
          </w:p>
        </w:tc>
        <w:tc>
          <w:tcPr>
            <w:tcW w:w="1058" w:type="dxa"/>
            <w:gridSpan w:val="2"/>
            <w:tcBorders>
              <w:top w:val="single" w:color="auto" w:sz="4" w:space="0"/>
              <w:left w:val="single" w:color="auto" w:sz="4" w:space="0"/>
              <w:bottom w:val="single" w:color="auto" w:sz="4" w:space="0"/>
              <w:right w:val="single" w:color="auto" w:sz="4" w:space="0"/>
            </w:tcBorders>
            <w:vAlign w:val="center"/>
          </w:tcPr>
          <w:p w14:paraId="43595E3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Ⅲ型</w:t>
            </w:r>
          </w:p>
        </w:tc>
        <w:tc>
          <w:tcPr>
            <w:tcW w:w="910" w:type="dxa"/>
            <w:tcBorders>
              <w:top w:val="single" w:color="auto" w:sz="4" w:space="0"/>
              <w:left w:val="single" w:color="auto" w:sz="4" w:space="0"/>
              <w:bottom w:val="single" w:color="auto" w:sz="4" w:space="0"/>
              <w:right w:val="single" w:color="auto" w:sz="4" w:space="0"/>
            </w:tcBorders>
            <w:vAlign w:val="center"/>
          </w:tcPr>
          <w:p w14:paraId="4D7473F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Times New Roman" w:hAnsi="Times New Roman"/>
                <w:bCs/>
                <w:color w:val="auto"/>
                <w:highlight w:val="none"/>
              </w:rPr>
              <w:t>Ⅳ</w:t>
            </w:r>
            <w:r>
              <w:rPr>
                <w:rFonts w:hint="eastAsia"/>
                <w:bCs/>
                <w:color w:val="auto"/>
                <w:highlight w:val="none"/>
              </w:rPr>
              <w:t>型</w:t>
            </w:r>
          </w:p>
        </w:tc>
        <w:tc>
          <w:tcPr>
            <w:tcW w:w="1576" w:type="dxa"/>
            <w:vMerge w:val="continue"/>
            <w:tcBorders>
              <w:left w:val="single" w:color="auto" w:sz="4" w:space="0"/>
              <w:bottom w:val="single" w:color="auto" w:sz="4" w:space="0"/>
              <w:right w:val="single" w:color="auto" w:sz="4" w:space="0"/>
            </w:tcBorders>
            <w:vAlign w:val="center"/>
          </w:tcPr>
          <w:p w14:paraId="692B18E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p>
        </w:tc>
      </w:tr>
      <w:tr w14:paraId="1102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31" w:type="dxa"/>
            <w:gridSpan w:val="2"/>
            <w:tcBorders>
              <w:top w:val="single" w:color="auto" w:sz="4" w:space="0"/>
              <w:left w:val="single" w:color="auto" w:sz="4" w:space="0"/>
              <w:bottom w:val="single" w:color="auto" w:sz="4" w:space="0"/>
              <w:right w:val="single" w:color="auto" w:sz="4" w:space="0"/>
            </w:tcBorders>
            <w:vAlign w:val="center"/>
          </w:tcPr>
          <w:p w14:paraId="32A7F35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bCs/>
                <w:color w:val="auto"/>
                <w:highlight w:val="none"/>
              </w:rPr>
              <w:t>中心区域当量</w:t>
            </w:r>
            <w:r>
              <w:rPr>
                <w:bCs/>
                <w:color w:val="auto"/>
                <w:highlight w:val="none"/>
              </w:rPr>
              <w:t>导热系数（平均温度25℃±2℃）[W/(m·K)]</w:t>
            </w:r>
          </w:p>
        </w:tc>
        <w:tc>
          <w:tcPr>
            <w:tcW w:w="1020" w:type="dxa"/>
            <w:tcBorders>
              <w:top w:val="single" w:color="auto" w:sz="4" w:space="0"/>
              <w:left w:val="single" w:color="auto" w:sz="4" w:space="0"/>
              <w:bottom w:val="single" w:color="auto" w:sz="4" w:space="0"/>
              <w:right w:val="single" w:color="auto" w:sz="4" w:space="0"/>
            </w:tcBorders>
            <w:vAlign w:val="center"/>
          </w:tcPr>
          <w:p w14:paraId="21DFFDF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宋体" w:hAnsi="宋体" w:eastAsia="宋体" w:cs="宋体"/>
                <w:color w:val="auto"/>
                <w:highlight w:val="none"/>
              </w:rPr>
              <w:t>≤</w:t>
            </w:r>
            <w:r>
              <w:rPr>
                <w:bCs/>
                <w:color w:val="auto"/>
                <w:highlight w:val="none"/>
              </w:rPr>
              <w:t>0.0</w:t>
            </w:r>
            <w:r>
              <w:rPr>
                <w:rFonts w:hint="eastAsia"/>
                <w:bCs/>
                <w:color w:val="auto"/>
                <w:highlight w:val="none"/>
                <w:lang w:val="en-US" w:eastAsia="zh-CN"/>
              </w:rPr>
              <w:t>0</w:t>
            </w:r>
            <w:r>
              <w:rPr>
                <w:bCs/>
                <w:color w:val="auto"/>
                <w:highlight w:val="none"/>
              </w:rPr>
              <w:t>25</w:t>
            </w:r>
          </w:p>
        </w:tc>
        <w:tc>
          <w:tcPr>
            <w:tcW w:w="922" w:type="dxa"/>
            <w:tcBorders>
              <w:top w:val="single" w:color="auto" w:sz="4" w:space="0"/>
              <w:left w:val="single" w:color="auto" w:sz="4" w:space="0"/>
              <w:bottom w:val="single" w:color="auto" w:sz="4" w:space="0"/>
              <w:right w:val="single" w:color="auto" w:sz="4" w:space="0"/>
            </w:tcBorders>
            <w:vAlign w:val="center"/>
          </w:tcPr>
          <w:p w14:paraId="285CDDD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宋体" w:hAnsi="宋体" w:eastAsia="宋体" w:cs="宋体"/>
                <w:color w:val="auto"/>
                <w:highlight w:val="none"/>
              </w:rPr>
              <w:t>≤</w:t>
            </w:r>
            <w:r>
              <w:rPr>
                <w:bCs/>
                <w:color w:val="auto"/>
                <w:highlight w:val="none"/>
              </w:rPr>
              <w:t>0.005</w:t>
            </w:r>
          </w:p>
        </w:tc>
        <w:tc>
          <w:tcPr>
            <w:tcW w:w="1058" w:type="dxa"/>
            <w:gridSpan w:val="2"/>
            <w:tcBorders>
              <w:top w:val="single" w:color="auto" w:sz="4" w:space="0"/>
              <w:left w:val="single" w:color="auto" w:sz="4" w:space="0"/>
              <w:bottom w:val="single" w:color="auto" w:sz="4" w:space="0"/>
              <w:right w:val="single" w:color="auto" w:sz="4" w:space="0"/>
            </w:tcBorders>
            <w:vAlign w:val="center"/>
          </w:tcPr>
          <w:p w14:paraId="7F03AFD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宋体" w:hAnsi="宋体" w:eastAsia="宋体" w:cs="宋体"/>
                <w:color w:val="auto"/>
                <w:highlight w:val="none"/>
              </w:rPr>
              <w:t>≤</w:t>
            </w:r>
            <w:r>
              <w:rPr>
                <w:bCs/>
                <w:color w:val="auto"/>
                <w:highlight w:val="none"/>
              </w:rPr>
              <w:t>0.008</w:t>
            </w:r>
          </w:p>
        </w:tc>
        <w:tc>
          <w:tcPr>
            <w:tcW w:w="910" w:type="dxa"/>
            <w:tcBorders>
              <w:top w:val="single" w:color="auto" w:sz="4" w:space="0"/>
              <w:left w:val="single" w:color="auto" w:sz="4" w:space="0"/>
              <w:bottom w:val="single" w:color="auto" w:sz="4" w:space="0"/>
              <w:right w:val="single" w:color="auto" w:sz="4" w:space="0"/>
            </w:tcBorders>
            <w:vAlign w:val="center"/>
          </w:tcPr>
          <w:p w14:paraId="3494A65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宋体" w:hAnsi="宋体" w:eastAsia="宋体" w:cs="宋体"/>
                <w:color w:val="auto"/>
                <w:highlight w:val="none"/>
              </w:rPr>
              <w:t>≤</w:t>
            </w:r>
            <w:r>
              <w:rPr>
                <w:bCs/>
                <w:color w:val="auto"/>
                <w:highlight w:val="none"/>
              </w:rPr>
              <w:t>0.012</w:t>
            </w:r>
          </w:p>
        </w:tc>
        <w:tc>
          <w:tcPr>
            <w:tcW w:w="1576" w:type="dxa"/>
            <w:tcBorders>
              <w:top w:val="single" w:color="auto" w:sz="4" w:space="0"/>
              <w:left w:val="single" w:color="auto" w:sz="4" w:space="0"/>
              <w:right w:val="single" w:color="auto" w:sz="4" w:space="0"/>
            </w:tcBorders>
            <w:vAlign w:val="center"/>
          </w:tcPr>
          <w:p w14:paraId="1A3B993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现行国家标准《真空绝热板》GB/T 37608</w:t>
            </w:r>
          </w:p>
        </w:tc>
      </w:tr>
      <w:tr w14:paraId="1A97D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31" w:type="dxa"/>
            <w:gridSpan w:val="2"/>
            <w:tcBorders>
              <w:top w:val="single" w:color="auto" w:sz="4" w:space="0"/>
              <w:left w:val="single" w:color="auto" w:sz="4" w:space="0"/>
              <w:bottom w:val="single" w:color="auto" w:sz="4" w:space="0"/>
              <w:right w:val="single" w:color="auto" w:sz="4" w:space="0"/>
            </w:tcBorders>
            <w:vAlign w:val="center"/>
          </w:tcPr>
          <w:p w14:paraId="2494DFC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穿刺强度（N）</w:t>
            </w:r>
          </w:p>
        </w:tc>
        <w:tc>
          <w:tcPr>
            <w:tcW w:w="3910" w:type="dxa"/>
            <w:gridSpan w:val="5"/>
            <w:tcBorders>
              <w:top w:val="single" w:color="auto" w:sz="4" w:space="0"/>
              <w:left w:val="single" w:color="auto" w:sz="4" w:space="0"/>
              <w:bottom w:val="single" w:color="auto" w:sz="4" w:space="0"/>
              <w:right w:val="single" w:color="auto" w:sz="4" w:space="0"/>
            </w:tcBorders>
            <w:vAlign w:val="center"/>
          </w:tcPr>
          <w:p w14:paraId="19D86F6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Cs/>
                <w:color w:val="auto"/>
                <w:highlight w:val="none"/>
                <w:lang w:val="en-US" w:eastAsia="zh-CN"/>
              </w:rPr>
            </w:pPr>
            <w:r>
              <w:rPr>
                <w:rFonts w:hint="eastAsia" w:ascii="宋体" w:hAnsi="宋体" w:eastAsia="宋体" w:cs="宋体"/>
                <w:color w:val="auto"/>
                <w:highlight w:val="none"/>
              </w:rPr>
              <w:t>≥</w:t>
            </w:r>
            <w:r>
              <w:rPr>
                <w:color w:val="auto"/>
                <w:highlight w:val="none"/>
              </w:rPr>
              <w:t>1</w:t>
            </w:r>
            <w:r>
              <w:rPr>
                <w:rFonts w:hint="eastAsia"/>
                <w:color w:val="auto"/>
                <w:highlight w:val="none"/>
                <w:lang w:val="en-US" w:eastAsia="zh-CN"/>
              </w:rPr>
              <w:t>5</w:t>
            </w:r>
          </w:p>
        </w:tc>
        <w:tc>
          <w:tcPr>
            <w:tcW w:w="1576" w:type="dxa"/>
            <w:tcBorders>
              <w:left w:val="single" w:color="auto" w:sz="4" w:space="0"/>
              <w:right w:val="single" w:color="auto" w:sz="4" w:space="0"/>
            </w:tcBorders>
            <w:vAlign w:val="center"/>
          </w:tcPr>
          <w:p w14:paraId="58BCE74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Cs/>
                <w:color w:val="auto"/>
                <w:highlight w:val="none"/>
                <w:lang w:val="en-US"/>
              </w:rPr>
            </w:pPr>
            <w:r>
              <w:rPr>
                <w:bCs/>
                <w:color w:val="auto"/>
                <w:highlight w:val="none"/>
              </w:rPr>
              <w:t>现行国家标准《真空绝热板》GB/T 37608</w:t>
            </w:r>
          </w:p>
        </w:tc>
      </w:tr>
      <w:tr w14:paraId="38DE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31" w:type="dxa"/>
            <w:gridSpan w:val="2"/>
            <w:tcBorders>
              <w:top w:val="single" w:color="auto" w:sz="4" w:space="0"/>
              <w:left w:val="single" w:color="auto" w:sz="4" w:space="0"/>
              <w:bottom w:val="single" w:color="auto" w:sz="4" w:space="0"/>
              <w:right w:val="single" w:color="auto" w:sz="4" w:space="0"/>
            </w:tcBorders>
            <w:vAlign w:val="center"/>
          </w:tcPr>
          <w:p w14:paraId="179608C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表层穿刺后导热系数（平均温度25℃±2℃）[W/(m·K)]</w:t>
            </w:r>
          </w:p>
        </w:tc>
        <w:tc>
          <w:tcPr>
            <w:tcW w:w="1020" w:type="dxa"/>
            <w:tcBorders>
              <w:top w:val="single" w:color="auto" w:sz="4" w:space="0"/>
              <w:left w:val="single" w:color="auto" w:sz="4" w:space="0"/>
              <w:bottom w:val="single" w:color="auto" w:sz="4" w:space="0"/>
              <w:right w:val="single" w:color="auto" w:sz="4" w:space="0"/>
            </w:tcBorders>
            <w:vAlign w:val="center"/>
          </w:tcPr>
          <w:p w14:paraId="55BA42A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highlight w:val="none"/>
              </w:rPr>
            </w:pPr>
            <w:r>
              <w:rPr>
                <w:rFonts w:hint="eastAsia" w:ascii="宋体" w:hAnsi="宋体" w:eastAsia="宋体" w:cs="宋体"/>
                <w:color w:val="auto"/>
                <w:highlight w:val="none"/>
              </w:rPr>
              <w:t>≤</w:t>
            </w:r>
            <w:r>
              <w:rPr>
                <w:color w:val="auto"/>
                <w:highlight w:val="none"/>
              </w:rPr>
              <w:t>0.0</w:t>
            </w:r>
            <w:r>
              <w:rPr>
                <w:rFonts w:hint="eastAsia"/>
                <w:color w:val="auto"/>
                <w:highlight w:val="none"/>
                <w:lang w:val="en-US" w:eastAsia="zh-CN"/>
              </w:rPr>
              <w:t>0</w:t>
            </w:r>
            <w:r>
              <w:rPr>
                <w:color w:val="auto"/>
                <w:highlight w:val="none"/>
              </w:rPr>
              <w:t>35</w:t>
            </w:r>
          </w:p>
        </w:tc>
        <w:tc>
          <w:tcPr>
            <w:tcW w:w="999" w:type="dxa"/>
            <w:gridSpan w:val="2"/>
            <w:tcBorders>
              <w:top w:val="single" w:color="auto" w:sz="4" w:space="0"/>
              <w:left w:val="single" w:color="auto" w:sz="4" w:space="0"/>
              <w:bottom w:val="single" w:color="auto" w:sz="4" w:space="0"/>
              <w:right w:val="single" w:color="auto" w:sz="4" w:space="0"/>
            </w:tcBorders>
            <w:vAlign w:val="center"/>
          </w:tcPr>
          <w:p w14:paraId="50D4415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宋体" w:hAnsi="宋体" w:eastAsia="宋体" w:cs="宋体"/>
                <w:color w:val="auto"/>
                <w:highlight w:val="none"/>
              </w:rPr>
              <w:t>≤</w:t>
            </w:r>
            <w:r>
              <w:rPr>
                <w:color w:val="auto"/>
                <w:highlight w:val="none"/>
              </w:rPr>
              <w:t>0.007</w:t>
            </w:r>
          </w:p>
        </w:tc>
        <w:tc>
          <w:tcPr>
            <w:tcW w:w="981" w:type="dxa"/>
            <w:tcBorders>
              <w:top w:val="single" w:color="auto" w:sz="4" w:space="0"/>
              <w:left w:val="single" w:color="auto" w:sz="4" w:space="0"/>
              <w:bottom w:val="single" w:color="auto" w:sz="4" w:space="0"/>
              <w:right w:val="single" w:color="auto" w:sz="4" w:space="0"/>
            </w:tcBorders>
            <w:vAlign w:val="center"/>
          </w:tcPr>
          <w:p w14:paraId="38B9081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宋体" w:hAnsi="宋体" w:eastAsia="宋体" w:cs="宋体"/>
                <w:color w:val="auto"/>
                <w:highlight w:val="none"/>
              </w:rPr>
              <w:t>≤</w:t>
            </w:r>
            <w:r>
              <w:rPr>
                <w:color w:val="auto"/>
                <w:highlight w:val="none"/>
              </w:rPr>
              <w:t>0.011</w:t>
            </w:r>
          </w:p>
        </w:tc>
        <w:tc>
          <w:tcPr>
            <w:tcW w:w="910" w:type="dxa"/>
            <w:tcBorders>
              <w:top w:val="single" w:color="auto" w:sz="4" w:space="0"/>
              <w:left w:val="single" w:color="auto" w:sz="4" w:space="0"/>
              <w:bottom w:val="single" w:color="auto" w:sz="4" w:space="0"/>
              <w:right w:val="single" w:color="auto" w:sz="4" w:space="0"/>
            </w:tcBorders>
            <w:vAlign w:val="center"/>
          </w:tcPr>
          <w:p w14:paraId="00F96D9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宋体" w:hAnsi="宋体" w:eastAsia="宋体" w:cs="宋体"/>
                <w:color w:val="auto"/>
                <w:highlight w:val="none"/>
              </w:rPr>
              <w:t>≤</w:t>
            </w:r>
            <w:r>
              <w:rPr>
                <w:color w:val="auto"/>
                <w:highlight w:val="none"/>
              </w:rPr>
              <w:t>0.017</w:t>
            </w:r>
          </w:p>
        </w:tc>
        <w:tc>
          <w:tcPr>
            <w:tcW w:w="1576" w:type="dxa"/>
            <w:tcBorders>
              <w:left w:val="single" w:color="auto" w:sz="4" w:space="0"/>
              <w:right w:val="single" w:color="auto" w:sz="4" w:space="0"/>
            </w:tcBorders>
            <w:vAlign w:val="center"/>
          </w:tcPr>
          <w:p w14:paraId="342FE8B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bCs/>
                <w:color w:val="auto"/>
                <w:highlight w:val="none"/>
                <w:lang w:val="en-US"/>
              </w:rPr>
            </w:pPr>
            <w:r>
              <w:rPr>
                <w:bCs/>
                <w:color w:val="auto"/>
                <w:highlight w:val="none"/>
              </w:rPr>
              <w:t>现行国家标准《真空绝热板》GB/T 37608</w:t>
            </w:r>
            <w:r>
              <w:rPr>
                <w:rFonts w:hint="eastAsia"/>
                <w:bCs/>
                <w:color w:val="auto"/>
                <w:highlight w:val="none"/>
                <w:lang w:val="en-US" w:eastAsia="zh-CN"/>
              </w:rPr>
              <w:t>，仅刺穿表面第一层复合阻气膜。</w:t>
            </w:r>
          </w:p>
        </w:tc>
      </w:tr>
      <w:tr w14:paraId="083F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31" w:type="dxa"/>
            <w:gridSpan w:val="2"/>
            <w:tcBorders>
              <w:top w:val="single" w:color="auto" w:sz="4" w:space="0"/>
              <w:left w:val="single" w:color="auto" w:sz="4" w:space="0"/>
              <w:bottom w:val="single" w:color="auto" w:sz="4" w:space="0"/>
              <w:right w:val="single" w:color="auto" w:sz="4" w:space="0"/>
            </w:tcBorders>
            <w:vAlign w:val="center"/>
          </w:tcPr>
          <w:p w14:paraId="05E03C8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垂直于板面方向的抗拉强度（MPa）</w:t>
            </w:r>
          </w:p>
        </w:tc>
        <w:tc>
          <w:tcPr>
            <w:tcW w:w="3910" w:type="dxa"/>
            <w:gridSpan w:val="5"/>
            <w:tcBorders>
              <w:top w:val="single" w:color="auto" w:sz="4" w:space="0"/>
              <w:left w:val="single" w:color="auto" w:sz="4" w:space="0"/>
              <w:bottom w:val="single" w:color="auto" w:sz="4" w:space="0"/>
              <w:right w:val="single" w:color="auto" w:sz="4" w:space="0"/>
            </w:tcBorders>
            <w:vAlign w:val="center"/>
          </w:tcPr>
          <w:p w14:paraId="1DDAFF8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宋体" w:hAnsi="宋体" w:eastAsia="宋体" w:cs="宋体"/>
                <w:color w:val="auto"/>
                <w:highlight w:val="none"/>
              </w:rPr>
              <w:t>≥</w:t>
            </w:r>
            <w:r>
              <w:rPr>
                <w:color w:val="auto"/>
                <w:highlight w:val="none"/>
              </w:rPr>
              <w:t>0.08</w:t>
            </w:r>
          </w:p>
        </w:tc>
        <w:tc>
          <w:tcPr>
            <w:tcW w:w="1576" w:type="dxa"/>
            <w:vMerge w:val="restart"/>
            <w:tcBorders>
              <w:left w:val="single" w:color="auto" w:sz="4" w:space="0"/>
              <w:right w:val="single" w:color="auto" w:sz="4" w:space="0"/>
            </w:tcBorders>
            <w:vAlign w:val="center"/>
          </w:tcPr>
          <w:p w14:paraId="77C2412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现行国家标准《真空绝热板》GB/T 37608</w:t>
            </w:r>
          </w:p>
        </w:tc>
      </w:tr>
      <w:tr w14:paraId="4B35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41" w:type="dxa"/>
            <w:vMerge w:val="restart"/>
            <w:tcBorders>
              <w:top w:val="single" w:color="auto" w:sz="4" w:space="0"/>
              <w:left w:val="single" w:color="auto" w:sz="4" w:space="0"/>
              <w:right w:val="single" w:color="auto" w:sz="4" w:space="0"/>
            </w:tcBorders>
            <w:vAlign w:val="center"/>
          </w:tcPr>
          <w:p w14:paraId="48320C1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尺寸稳定性（%）</w:t>
            </w:r>
          </w:p>
        </w:tc>
        <w:tc>
          <w:tcPr>
            <w:tcW w:w="1690" w:type="dxa"/>
            <w:tcBorders>
              <w:top w:val="single" w:color="auto" w:sz="4" w:space="0"/>
              <w:left w:val="single" w:color="auto" w:sz="4" w:space="0"/>
              <w:bottom w:val="single" w:color="auto" w:sz="4" w:space="0"/>
              <w:right w:val="single" w:color="auto" w:sz="4" w:space="0"/>
            </w:tcBorders>
            <w:vAlign w:val="center"/>
          </w:tcPr>
          <w:p w14:paraId="1EC7B52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长度、宽度</w:t>
            </w:r>
          </w:p>
        </w:tc>
        <w:tc>
          <w:tcPr>
            <w:tcW w:w="3910" w:type="dxa"/>
            <w:gridSpan w:val="5"/>
            <w:tcBorders>
              <w:top w:val="single" w:color="auto" w:sz="4" w:space="0"/>
              <w:left w:val="single" w:color="auto" w:sz="4" w:space="0"/>
              <w:bottom w:val="single" w:color="auto" w:sz="4" w:space="0"/>
              <w:right w:val="single" w:color="auto" w:sz="4" w:space="0"/>
            </w:tcBorders>
            <w:vAlign w:val="center"/>
          </w:tcPr>
          <w:p w14:paraId="1652DD2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宋体" w:hAnsi="宋体" w:eastAsia="宋体" w:cs="宋体"/>
                <w:color w:val="auto"/>
                <w:highlight w:val="none"/>
              </w:rPr>
              <w:t>≤</w:t>
            </w:r>
            <w:r>
              <w:rPr>
                <w:color w:val="auto"/>
                <w:highlight w:val="none"/>
              </w:rPr>
              <w:t>0.5</w:t>
            </w:r>
          </w:p>
        </w:tc>
        <w:tc>
          <w:tcPr>
            <w:tcW w:w="1576" w:type="dxa"/>
            <w:vMerge w:val="continue"/>
            <w:tcBorders>
              <w:left w:val="single" w:color="auto" w:sz="4" w:space="0"/>
              <w:right w:val="single" w:color="auto" w:sz="4" w:space="0"/>
            </w:tcBorders>
            <w:vAlign w:val="center"/>
          </w:tcPr>
          <w:p w14:paraId="31E731D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p>
        </w:tc>
      </w:tr>
      <w:tr w14:paraId="7D38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1041" w:type="dxa"/>
            <w:vMerge w:val="continue"/>
            <w:tcBorders>
              <w:left w:val="single" w:color="auto" w:sz="4" w:space="0"/>
              <w:bottom w:val="single" w:color="auto" w:sz="4" w:space="0"/>
              <w:right w:val="single" w:color="auto" w:sz="4" w:space="0"/>
            </w:tcBorders>
            <w:vAlign w:val="center"/>
          </w:tcPr>
          <w:p w14:paraId="389F8BB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p>
        </w:tc>
        <w:tc>
          <w:tcPr>
            <w:tcW w:w="1690" w:type="dxa"/>
            <w:tcBorders>
              <w:top w:val="single" w:color="auto" w:sz="4" w:space="0"/>
              <w:left w:val="single" w:color="auto" w:sz="4" w:space="0"/>
              <w:bottom w:val="single" w:color="auto" w:sz="4" w:space="0"/>
              <w:right w:val="single" w:color="auto" w:sz="4" w:space="0"/>
            </w:tcBorders>
            <w:vAlign w:val="center"/>
          </w:tcPr>
          <w:p w14:paraId="65A517A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厚度</w:t>
            </w:r>
          </w:p>
        </w:tc>
        <w:tc>
          <w:tcPr>
            <w:tcW w:w="3910" w:type="dxa"/>
            <w:gridSpan w:val="5"/>
            <w:tcBorders>
              <w:top w:val="single" w:color="auto" w:sz="4" w:space="0"/>
              <w:left w:val="single" w:color="auto" w:sz="4" w:space="0"/>
              <w:bottom w:val="single" w:color="auto" w:sz="4" w:space="0"/>
              <w:right w:val="single" w:color="auto" w:sz="4" w:space="0"/>
            </w:tcBorders>
            <w:vAlign w:val="center"/>
          </w:tcPr>
          <w:p w14:paraId="1204EE3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宋体" w:hAnsi="宋体" w:eastAsia="宋体" w:cs="宋体"/>
                <w:color w:val="auto"/>
                <w:highlight w:val="none"/>
              </w:rPr>
              <w:t>≤</w:t>
            </w:r>
            <w:r>
              <w:rPr>
                <w:color w:val="auto"/>
                <w:highlight w:val="none"/>
              </w:rPr>
              <w:t>3.0</w:t>
            </w:r>
          </w:p>
        </w:tc>
        <w:tc>
          <w:tcPr>
            <w:tcW w:w="1576" w:type="dxa"/>
            <w:vMerge w:val="continue"/>
            <w:tcBorders>
              <w:left w:val="single" w:color="auto" w:sz="4" w:space="0"/>
              <w:right w:val="single" w:color="auto" w:sz="4" w:space="0"/>
            </w:tcBorders>
            <w:vAlign w:val="center"/>
          </w:tcPr>
          <w:p w14:paraId="35C51EB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p>
        </w:tc>
      </w:tr>
      <w:tr w14:paraId="499D8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31" w:type="dxa"/>
            <w:gridSpan w:val="2"/>
            <w:tcBorders>
              <w:top w:val="single" w:color="auto" w:sz="4" w:space="0"/>
              <w:left w:val="single" w:color="auto" w:sz="4" w:space="0"/>
              <w:bottom w:val="single" w:color="auto" w:sz="4" w:space="0"/>
              <w:right w:val="single" w:color="auto" w:sz="4" w:space="0"/>
            </w:tcBorders>
            <w:vAlign w:val="center"/>
          </w:tcPr>
          <w:p w14:paraId="7A9764E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压缩强度（kPa）</w:t>
            </w:r>
          </w:p>
        </w:tc>
        <w:tc>
          <w:tcPr>
            <w:tcW w:w="3910" w:type="dxa"/>
            <w:gridSpan w:val="5"/>
            <w:tcBorders>
              <w:top w:val="single" w:color="auto" w:sz="4" w:space="0"/>
              <w:left w:val="single" w:color="auto" w:sz="4" w:space="0"/>
              <w:bottom w:val="single" w:color="auto" w:sz="4" w:space="0"/>
              <w:right w:val="single" w:color="auto" w:sz="4" w:space="0"/>
            </w:tcBorders>
            <w:vAlign w:val="center"/>
          </w:tcPr>
          <w:p w14:paraId="1509744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宋体" w:hAnsi="宋体" w:eastAsia="宋体" w:cs="宋体"/>
                <w:color w:val="auto"/>
                <w:highlight w:val="none"/>
              </w:rPr>
              <w:t>≥</w:t>
            </w:r>
            <w:r>
              <w:rPr>
                <w:color w:val="auto"/>
                <w:highlight w:val="none"/>
              </w:rPr>
              <w:t>150</w:t>
            </w:r>
          </w:p>
        </w:tc>
        <w:tc>
          <w:tcPr>
            <w:tcW w:w="1576" w:type="dxa"/>
            <w:vMerge w:val="continue"/>
            <w:tcBorders>
              <w:left w:val="single" w:color="auto" w:sz="4" w:space="0"/>
              <w:right w:val="single" w:color="auto" w:sz="4" w:space="0"/>
            </w:tcBorders>
            <w:vAlign w:val="center"/>
          </w:tcPr>
          <w:p w14:paraId="4DB9B6A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p>
        </w:tc>
      </w:tr>
      <w:tr w14:paraId="17E8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31" w:type="dxa"/>
            <w:gridSpan w:val="2"/>
            <w:tcBorders>
              <w:top w:val="single" w:color="auto" w:sz="4" w:space="0"/>
              <w:left w:val="single" w:color="auto" w:sz="4" w:space="0"/>
              <w:bottom w:val="single" w:color="auto" w:sz="4" w:space="0"/>
              <w:right w:val="single" w:color="auto" w:sz="4" w:space="0"/>
            </w:tcBorders>
            <w:vAlign w:val="center"/>
          </w:tcPr>
          <w:p w14:paraId="6A7B0B1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表层穿刺后垂直于板面方向的膨胀率（%）</w:t>
            </w:r>
          </w:p>
        </w:tc>
        <w:tc>
          <w:tcPr>
            <w:tcW w:w="3910" w:type="dxa"/>
            <w:gridSpan w:val="5"/>
            <w:tcBorders>
              <w:top w:val="single" w:color="auto" w:sz="4" w:space="0"/>
              <w:left w:val="single" w:color="auto" w:sz="4" w:space="0"/>
              <w:bottom w:val="single" w:color="auto" w:sz="4" w:space="0"/>
              <w:right w:val="single" w:color="auto" w:sz="4" w:space="0"/>
            </w:tcBorders>
            <w:vAlign w:val="center"/>
          </w:tcPr>
          <w:p w14:paraId="4A3FC52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Cs/>
                <w:color w:val="auto"/>
                <w:highlight w:val="none"/>
                <w:lang w:val="en-US" w:eastAsia="zh-CN"/>
              </w:rPr>
            </w:pPr>
            <w:r>
              <w:rPr>
                <w:rFonts w:hint="eastAsia" w:ascii="宋体" w:hAnsi="宋体" w:eastAsia="宋体" w:cs="宋体"/>
                <w:color w:val="auto"/>
                <w:highlight w:val="none"/>
              </w:rPr>
              <w:t>≤</w:t>
            </w:r>
            <w:r>
              <w:rPr>
                <w:rFonts w:hint="eastAsia"/>
                <w:color w:val="auto"/>
                <w:highlight w:val="none"/>
                <w:lang w:val="en-US" w:eastAsia="zh-CN"/>
              </w:rPr>
              <w:t>5</w:t>
            </w:r>
          </w:p>
        </w:tc>
        <w:tc>
          <w:tcPr>
            <w:tcW w:w="1576" w:type="dxa"/>
            <w:tcBorders>
              <w:left w:val="single" w:color="auto" w:sz="4" w:space="0"/>
              <w:right w:val="single" w:color="auto" w:sz="4" w:space="0"/>
            </w:tcBorders>
            <w:vAlign w:val="center"/>
          </w:tcPr>
          <w:p w14:paraId="79D54DF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现行国家标准《真空绝热板》GB/T 37608</w:t>
            </w:r>
            <w:r>
              <w:rPr>
                <w:rFonts w:hint="eastAsia"/>
                <w:bCs/>
                <w:color w:val="auto"/>
                <w:highlight w:val="none"/>
                <w:lang w:val="en-US" w:eastAsia="zh-CN"/>
              </w:rPr>
              <w:t>，仅刺穿表面第一层复合阻气膜。</w:t>
            </w:r>
          </w:p>
        </w:tc>
      </w:tr>
      <w:tr w14:paraId="4858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31" w:type="dxa"/>
            <w:gridSpan w:val="2"/>
            <w:tcBorders>
              <w:top w:val="single" w:color="auto" w:sz="4" w:space="0"/>
              <w:left w:val="single" w:color="auto" w:sz="4" w:space="0"/>
              <w:bottom w:val="single" w:color="auto" w:sz="4" w:space="0"/>
              <w:right w:val="single" w:color="auto" w:sz="4" w:space="0"/>
            </w:tcBorders>
            <w:vAlign w:val="center"/>
          </w:tcPr>
          <w:p w14:paraId="2C411FF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表面吸水量（g/m</w:t>
            </w:r>
            <w:r>
              <w:rPr>
                <w:bCs/>
                <w:color w:val="auto"/>
                <w:highlight w:val="none"/>
                <w:vertAlign w:val="superscript"/>
              </w:rPr>
              <w:t>2</w:t>
            </w:r>
            <w:r>
              <w:rPr>
                <w:bCs/>
                <w:color w:val="auto"/>
                <w:highlight w:val="none"/>
              </w:rPr>
              <w:t>）</w:t>
            </w:r>
          </w:p>
        </w:tc>
        <w:tc>
          <w:tcPr>
            <w:tcW w:w="3910" w:type="dxa"/>
            <w:gridSpan w:val="5"/>
            <w:tcBorders>
              <w:top w:val="single" w:color="auto" w:sz="4" w:space="0"/>
              <w:left w:val="single" w:color="auto" w:sz="4" w:space="0"/>
              <w:bottom w:val="single" w:color="auto" w:sz="4" w:space="0"/>
              <w:right w:val="single" w:color="auto" w:sz="4" w:space="0"/>
            </w:tcBorders>
          </w:tcPr>
          <w:p w14:paraId="23C161A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宋体" w:hAnsi="宋体" w:eastAsia="宋体" w:cs="宋体"/>
                <w:color w:val="auto"/>
                <w:highlight w:val="none"/>
              </w:rPr>
              <w:t>≤</w:t>
            </w:r>
            <w:r>
              <w:rPr>
                <w:color w:val="auto"/>
                <w:highlight w:val="none"/>
              </w:rPr>
              <w:t>70</w:t>
            </w:r>
          </w:p>
        </w:tc>
        <w:tc>
          <w:tcPr>
            <w:tcW w:w="1576" w:type="dxa"/>
            <w:vMerge w:val="restart"/>
            <w:tcBorders>
              <w:left w:val="single" w:color="auto" w:sz="4" w:space="0"/>
              <w:right w:val="single" w:color="auto" w:sz="4" w:space="0"/>
            </w:tcBorders>
            <w:vAlign w:val="center"/>
          </w:tcPr>
          <w:p w14:paraId="62B810A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现行行业标准《建筑用真空绝热板》JG/T 438</w:t>
            </w:r>
          </w:p>
        </w:tc>
      </w:tr>
      <w:tr w14:paraId="2EFF6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41" w:type="dxa"/>
            <w:vMerge w:val="restart"/>
            <w:tcBorders>
              <w:top w:val="single" w:color="auto" w:sz="4" w:space="0"/>
              <w:left w:val="single" w:color="auto" w:sz="4" w:space="0"/>
              <w:right w:val="single" w:color="auto" w:sz="4" w:space="0"/>
            </w:tcBorders>
            <w:vAlign w:val="center"/>
          </w:tcPr>
          <w:p w14:paraId="098B6C4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耐久性</w:t>
            </w:r>
          </w:p>
          <w:p w14:paraId="4C177C4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（30次循环）</w:t>
            </w:r>
          </w:p>
        </w:tc>
        <w:tc>
          <w:tcPr>
            <w:tcW w:w="1690" w:type="dxa"/>
            <w:tcBorders>
              <w:top w:val="single" w:color="auto" w:sz="4" w:space="0"/>
              <w:left w:val="single" w:color="auto" w:sz="4" w:space="0"/>
              <w:bottom w:val="single" w:color="auto" w:sz="4" w:space="0"/>
              <w:right w:val="single" w:color="auto" w:sz="4" w:space="0"/>
            </w:tcBorders>
            <w:vAlign w:val="center"/>
          </w:tcPr>
          <w:p w14:paraId="23317AF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导热系数[W/(m·K)]</w:t>
            </w:r>
          </w:p>
        </w:tc>
        <w:tc>
          <w:tcPr>
            <w:tcW w:w="1020" w:type="dxa"/>
            <w:tcBorders>
              <w:top w:val="single" w:color="auto" w:sz="4" w:space="0"/>
              <w:left w:val="single" w:color="auto" w:sz="4" w:space="0"/>
              <w:bottom w:val="single" w:color="auto" w:sz="4" w:space="0"/>
              <w:right w:val="single" w:color="auto" w:sz="4" w:space="0"/>
            </w:tcBorders>
            <w:vAlign w:val="center"/>
          </w:tcPr>
          <w:p w14:paraId="2F84C63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highlight w:val="none"/>
              </w:rPr>
            </w:pPr>
            <w:r>
              <w:rPr>
                <w:rFonts w:hint="eastAsia" w:ascii="宋体" w:hAnsi="宋体" w:eastAsia="宋体" w:cs="宋体"/>
                <w:color w:val="auto"/>
                <w:highlight w:val="none"/>
              </w:rPr>
              <w:t>≤</w:t>
            </w:r>
            <w:r>
              <w:rPr>
                <w:color w:val="auto"/>
                <w:highlight w:val="none"/>
              </w:rPr>
              <w:t>0.0025</w:t>
            </w:r>
          </w:p>
        </w:tc>
        <w:tc>
          <w:tcPr>
            <w:tcW w:w="922" w:type="dxa"/>
            <w:tcBorders>
              <w:top w:val="single" w:color="auto" w:sz="4" w:space="0"/>
              <w:left w:val="single" w:color="auto" w:sz="4" w:space="0"/>
              <w:bottom w:val="single" w:color="auto" w:sz="4" w:space="0"/>
              <w:right w:val="single" w:color="auto" w:sz="4" w:space="0"/>
            </w:tcBorders>
            <w:vAlign w:val="center"/>
          </w:tcPr>
          <w:p w14:paraId="771A54A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宋体" w:hAnsi="宋体" w:eastAsia="宋体" w:cs="宋体"/>
                <w:color w:val="auto"/>
                <w:highlight w:val="none"/>
              </w:rPr>
              <w:t>≤</w:t>
            </w:r>
            <w:r>
              <w:rPr>
                <w:color w:val="auto"/>
                <w:highlight w:val="none"/>
              </w:rPr>
              <w:t>0.005</w:t>
            </w:r>
          </w:p>
        </w:tc>
        <w:tc>
          <w:tcPr>
            <w:tcW w:w="1058" w:type="dxa"/>
            <w:gridSpan w:val="2"/>
            <w:tcBorders>
              <w:top w:val="single" w:color="auto" w:sz="4" w:space="0"/>
              <w:left w:val="single" w:color="auto" w:sz="4" w:space="0"/>
              <w:bottom w:val="single" w:color="auto" w:sz="4" w:space="0"/>
              <w:right w:val="single" w:color="auto" w:sz="4" w:space="0"/>
            </w:tcBorders>
            <w:vAlign w:val="center"/>
          </w:tcPr>
          <w:p w14:paraId="6147009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宋体" w:hAnsi="宋体" w:eastAsia="宋体" w:cs="宋体"/>
                <w:color w:val="auto"/>
                <w:highlight w:val="none"/>
              </w:rPr>
              <w:t>≤</w:t>
            </w:r>
            <w:r>
              <w:rPr>
                <w:color w:val="auto"/>
                <w:highlight w:val="none"/>
              </w:rPr>
              <w:t>0.008</w:t>
            </w:r>
          </w:p>
        </w:tc>
        <w:tc>
          <w:tcPr>
            <w:tcW w:w="910" w:type="dxa"/>
            <w:tcBorders>
              <w:top w:val="single" w:color="auto" w:sz="4" w:space="0"/>
              <w:left w:val="single" w:color="auto" w:sz="4" w:space="0"/>
              <w:bottom w:val="single" w:color="auto" w:sz="4" w:space="0"/>
              <w:right w:val="single" w:color="auto" w:sz="4" w:space="0"/>
            </w:tcBorders>
            <w:vAlign w:val="center"/>
          </w:tcPr>
          <w:p w14:paraId="1B8E583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宋体" w:hAnsi="宋体" w:eastAsia="宋体" w:cs="宋体"/>
                <w:color w:val="auto"/>
                <w:highlight w:val="none"/>
              </w:rPr>
              <w:t>≤</w:t>
            </w:r>
            <w:r>
              <w:rPr>
                <w:color w:val="auto"/>
                <w:highlight w:val="none"/>
              </w:rPr>
              <w:t>0.012</w:t>
            </w:r>
          </w:p>
        </w:tc>
        <w:tc>
          <w:tcPr>
            <w:tcW w:w="1576" w:type="dxa"/>
            <w:vMerge w:val="continue"/>
            <w:tcBorders>
              <w:left w:val="single" w:color="auto" w:sz="4" w:space="0"/>
              <w:right w:val="single" w:color="auto" w:sz="4" w:space="0"/>
            </w:tcBorders>
            <w:vAlign w:val="center"/>
          </w:tcPr>
          <w:p w14:paraId="343C65A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p>
        </w:tc>
      </w:tr>
      <w:tr w14:paraId="657F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41" w:type="dxa"/>
            <w:vMerge w:val="continue"/>
            <w:tcBorders>
              <w:left w:val="single" w:color="auto" w:sz="4" w:space="0"/>
              <w:right w:val="single" w:color="auto" w:sz="4" w:space="0"/>
            </w:tcBorders>
            <w:vAlign w:val="center"/>
          </w:tcPr>
          <w:p w14:paraId="6B05ADC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p>
        </w:tc>
        <w:tc>
          <w:tcPr>
            <w:tcW w:w="1690" w:type="dxa"/>
            <w:tcBorders>
              <w:top w:val="single" w:color="auto" w:sz="4" w:space="0"/>
              <w:left w:val="single" w:color="auto" w:sz="4" w:space="0"/>
              <w:bottom w:val="single" w:color="auto" w:sz="4" w:space="0"/>
              <w:right w:val="single" w:color="auto" w:sz="4" w:space="0"/>
            </w:tcBorders>
            <w:vAlign w:val="center"/>
          </w:tcPr>
          <w:p w14:paraId="363F1A1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垂直于板面方向的抗拉强度（MPa）</w:t>
            </w:r>
          </w:p>
        </w:tc>
        <w:tc>
          <w:tcPr>
            <w:tcW w:w="3910" w:type="dxa"/>
            <w:gridSpan w:val="5"/>
            <w:tcBorders>
              <w:top w:val="single" w:color="auto" w:sz="4" w:space="0"/>
              <w:left w:val="single" w:color="auto" w:sz="4" w:space="0"/>
              <w:bottom w:val="single" w:color="auto" w:sz="4" w:space="0"/>
              <w:right w:val="single" w:color="auto" w:sz="4" w:space="0"/>
            </w:tcBorders>
            <w:vAlign w:val="center"/>
          </w:tcPr>
          <w:p w14:paraId="59FB5D1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rFonts w:hint="eastAsia" w:ascii="宋体" w:hAnsi="宋体" w:eastAsia="宋体" w:cs="宋体"/>
                <w:color w:val="auto"/>
                <w:highlight w:val="none"/>
              </w:rPr>
              <w:t>≥</w:t>
            </w:r>
            <w:r>
              <w:rPr>
                <w:bCs/>
                <w:color w:val="auto"/>
                <w:highlight w:val="none"/>
              </w:rPr>
              <w:t>0.08</w:t>
            </w:r>
          </w:p>
        </w:tc>
        <w:tc>
          <w:tcPr>
            <w:tcW w:w="1576" w:type="dxa"/>
            <w:vMerge w:val="continue"/>
            <w:tcBorders>
              <w:left w:val="single" w:color="auto" w:sz="4" w:space="0"/>
              <w:bottom w:val="single" w:color="auto" w:sz="4" w:space="0"/>
              <w:right w:val="single" w:color="auto" w:sz="4" w:space="0"/>
            </w:tcBorders>
            <w:vAlign w:val="center"/>
          </w:tcPr>
          <w:p w14:paraId="1B52A3D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p>
        </w:tc>
      </w:tr>
      <w:tr w14:paraId="62D6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31" w:type="dxa"/>
            <w:gridSpan w:val="2"/>
            <w:tcBorders>
              <w:left w:val="single" w:color="auto" w:sz="4" w:space="0"/>
              <w:bottom w:val="single" w:color="auto" w:sz="4" w:space="0"/>
              <w:right w:val="single" w:color="auto" w:sz="4" w:space="0"/>
            </w:tcBorders>
            <w:vAlign w:val="center"/>
          </w:tcPr>
          <w:p w14:paraId="5656007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燃烧性能等级</w:t>
            </w:r>
          </w:p>
        </w:tc>
        <w:tc>
          <w:tcPr>
            <w:tcW w:w="3910" w:type="dxa"/>
            <w:gridSpan w:val="5"/>
            <w:tcBorders>
              <w:left w:val="single" w:color="auto" w:sz="4" w:space="0"/>
              <w:bottom w:val="single" w:color="auto" w:sz="4" w:space="0"/>
              <w:right w:val="single" w:color="auto" w:sz="4" w:space="0"/>
            </w:tcBorders>
            <w:vAlign w:val="center"/>
          </w:tcPr>
          <w:p w14:paraId="0668E13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A（A</w:t>
            </w:r>
            <w:r>
              <w:rPr>
                <w:bCs/>
                <w:color w:val="auto"/>
                <w:highlight w:val="none"/>
                <w:vertAlign w:val="baseline"/>
              </w:rPr>
              <w:t>2</w:t>
            </w:r>
            <w:r>
              <w:rPr>
                <w:bCs/>
                <w:color w:val="auto"/>
                <w:highlight w:val="none"/>
              </w:rPr>
              <w:t>）级</w:t>
            </w:r>
          </w:p>
        </w:tc>
        <w:tc>
          <w:tcPr>
            <w:tcW w:w="1576" w:type="dxa"/>
            <w:tcBorders>
              <w:top w:val="single" w:color="auto" w:sz="4" w:space="0"/>
              <w:left w:val="single" w:color="auto" w:sz="4" w:space="0"/>
              <w:bottom w:val="single" w:color="auto" w:sz="4" w:space="0"/>
              <w:right w:val="single" w:color="auto" w:sz="4" w:space="0"/>
            </w:tcBorders>
            <w:vAlign w:val="center"/>
          </w:tcPr>
          <w:p w14:paraId="51643BD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Cs/>
                <w:color w:val="auto"/>
                <w:highlight w:val="none"/>
              </w:rPr>
            </w:pPr>
            <w:r>
              <w:rPr>
                <w:bCs/>
                <w:color w:val="auto"/>
                <w:highlight w:val="none"/>
              </w:rPr>
              <w:t>现行国家标准《建筑材料及制品燃烧性能分级》GB 8624</w:t>
            </w:r>
          </w:p>
        </w:tc>
      </w:tr>
    </w:tbl>
    <w:p w14:paraId="796593D2">
      <w:pPr>
        <w:pStyle w:val="27"/>
        <w:numPr>
          <w:ilvl w:val="0"/>
          <w:numId w:val="0"/>
        </w:numPr>
        <w:spacing w:line="360" w:lineRule="auto"/>
        <w:ind w:leftChars="0"/>
        <w:jc w:val="left"/>
        <w:outlineLvl w:val="2"/>
        <w:rPr>
          <w:rFonts w:hint="default" w:ascii="仿宋_GB2312" w:eastAsia="仿宋_GB2312"/>
          <w:color w:val="auto"/>
          <w:sz w:val="24"/>
          <w:highlight w:val="none"/>
          <w:lang w:val="en-US" w:eastAsia="zh-CN"/>
        </w:rPr>
      </w:pPr>
      <w:r>
        <w:rPr>
          <w:rFonts w:hint="eastAsia" w:ascii="仿宋_GB2312" w:eastAsia="仿宋_GB2312"/>
          <w:color w:val="auto"/>
          <w:sz w:val="24"/>
          <w:highlight w:val="none"/>
        </w:rPr>
        <w:t>【条文说明】4.</w:t>
      </w:r>
      <w:r>
        <w:rPr>
          <w:rFonts w:hint="eastAsia" w:ascii="仿宋_GB2312" w:eastAsia="仿宋_GB2312"/>
          <w:color w:val="auto"/>
          <w:sz w:val="24"/>
          <w:highlight w:val="none"/>
          <w:lang w:val="en-US" w:eastAsia="zh-CN"/>
        </w:rPr>
        <w:t>3</w:t>
      </w:r>
      <w:r>
        <w:rPr>
          <w:rFonts w:ascii="仿宋_GB2312" w:eastAsia="仿宋_GB2312"/>
          <w:color w:val="auto"/>
          <w:sz w:val="24"/>
          <w:highlight w:val="none"/>
        </w:rPr>
        <w:t>.</w:t>
      </w:r>
      <w:r>
        <w:rPr>
          <w:rFonts w:hint="eastAsia" w:ascii="仿宋_GB2312" w:eastAsia="仿宋_GB2312"/>
          <w:color w:val="auto"/>
          <w:sz w:val="24"/>
          <w:highlight w:val="none"/>
          <w:lang w:val="en-US" w:eastAsia="zh-CN"/>
        </w:rPr>
        <w:t>1</w:t>
      </w:r>
      <w:r>
        <w:rPr>
          <w:rFonts w:ascii="仿宋_GB2312" w:eastAsia="仿宋_GB2312"/>
          <w:color w:val="auto"/>
          <w:sz w:val="24"/>
          <w:highlight w:val="none"/>
        </w:rPr>
        <w:t xml:space="preserve">  </w:t>
      </w:r>
      <w:r>
        <w:rPr>
          <w:rFonts w:hint="eastAsia" w:ascii="仿宋_GB2312" w:eastAsia="仿宋_GB2312"/>
          <w:color w:val="auto"/>
          <w:sz w:val="24"/>
          <w:highlight w:val="none"/>
          <w:lang w:val="en-US" w:eastAsia="zh-CN"/>
        </w:rPr>
        <w:t>套装双真空保温隔热板是在传统</w:t>
      </w:r>
      <w:r>
        <w:rPr>
          <w:rFonts w:hint="default" w:ascii="仿宋_GB2312" w:eastAsia="仿宋_GB2312"/>
          <w:color w:val="auto"/>
          <w:sz w:val="24"/>
          <w:highlight w:val="none"/>
          <w:lang w:val="en-US" w:eastAsia="zh-CN"/>
        </w:rPr>
        <w:t>真空绝热板</w:t>
      </w:r>
      <w:r>
        <w:rPr>
          <w:rFonts w:hint="eastAsia" w:ascii="仿宋_GB2312" w:eastAsia="仿宋_GB2312"/>
          <w:color w:val="auto"/>
          <w:sz w:val="24"/>
          <w:highlight w:val="none"/>
          <w:lang w:val="en-US" w:eastAsia="zh-CN"/>
        </w:rPr>
        <w:t>的内外表面复合轻质纤维材料，并二次抽真空封装，形成双层防护构造。工程中如发生破损，一般仅是表层失真空，内部真空绝热板失真空的情况较少。为结合实际工程情况有效控制套装双真空保温隔热板质量，通过试验，本条文给出表层穿刺后热工性能和垂直于板面方向膨胀率。如内部真空绝热板也失真空，则性能指标与现行国家标准《真空绝热板》GB/T 37608中穿刺后导热系数、穿刺后垂直于板面方向的膨胀率指标要求相一致。</w:t>
      </w:r>
    </w:p>
    <w:p w14:paraId="7B53C570">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套装双真空保温隔热装饰板应符合下列规定：</w:t>
      </w:r>
    </w:p>
    <w:p w14:paraId="67BE756B">
      <w:pPr>
        <w:spacing w:line="360" w:lineRule="auto"/>
        <w:ind w:firstLine="482" w:firstLineChars="200"/>
        <w:rPr>
          <w:bCs/>
          <w:color w:val="auto"/>
          <w:sz w:val="24"/>
          <w:szCs w:val="22"/>
          <w:highlight w:val="none"/>
        </w:rPr>
      </w:pPr>
      <w:r>
        <w:rPr>
          <w:b/>
          <w:color w:val="auto"/>
          <w:sz w:val="24"/>
          <w:szCs w:val="22"/>
          <w:highlight w:val="none"/>
        </w:rPr>
        <w:t xml:space="preserve">1  </w:t>
      </w:r>
      <w:r>
        <w:rPr>
          <w:bCs/>
          <w:color w:val="auto"/>
          <w:sz w:val="24"/>
          <w:szCs w:val="22"/>
          <w:highlight w:val="none"/>
        </w:rPr>
        <w:t>面板宽度不宜大于600mm，长度不宜大于900mm，单板面积不宜大于1m</w:t>
      </w:r>
      <w:r>
        <w:rPr>
          <w:bCs/>
          <w:color w:val="auto"/>
          <w:sz w:val="24"/>
          <w:szCs w:val="22"/>
          <w:highlight w:val="none"/>
          <w:vertAlign w:val="superscript"/>
        </w:rPr>
        <w:t>2</w:t>
      </w:r>
      <w:r>
        <w:rPr>
          <w:bCs/>
          <w:color w:val="auto"/>
          <w:sz w:val="24"/>
          <w:szCs w:val="22"/>
          <w:highlight w:val="none"/>
        </w:rPr>
        <w:t>，其规格尺寸可根据工程实际要求加工；</w:t>
      </w:r>
    </w:p>
    <w:p w14:paraId="043B9E9A">
      <w:pPr>
        <w:spacing w:line="360" w:lineRule="auto"/>
        <w:ind w:firstLine="482" w:firstLineChars="200"/>
        <w:rPr>
          <w:bCs/>
          <w:color w:val="auto"/>
          <w:sz w:val="24"/>
          <w:szCs w:val="22"/>
          <w:highlight w:val="none"/>
        </w:rPr>
      </w:pPr>
      <w:r>
        <w:rPr>
          <w:b/>
          <w:color w:val="auto"/>
          <w:sz w:val="24"/>
          <w:szCs w:val="22"/>
          <w:highlight w:val="none"/>
        </w:rPr>
        <w:t>2</w:t>
      </w:r>
      <w:r>
        <w:rPr>
          <w:bCs/>
          <w:color w:val="auto"/>
          <w:highlight w:val="none"/>
        </w:rPr>
        <w:t xml:space="preserve">  </w:t>
      </w:r>
      <w:r>
        <w:rPr>
          <w:bCs/>
          <w:color w:val="auto"/>
          <w:sz w:val="24"/>
          <w:szCs w:val="22"/>
          <w:highlight w:val="none"/>
        </w:rPr>
        <w:t>尺寸允许偏差应符合表4.3.2-1的规定</w:t>
      </w:r>
      <w:r>
        <w:rPr>
          <w:rFonts w:hint="eastAsia"/>
          <w:bCs/>
          <w:color w:val="auto"/>
          <w:sz w:val="24"/>
          <w:szCs w:val="22"/>
          <w:highlight w:val="none"/>
        </w:rPr>
        <w:t>；</w:t>
      </w:r>
    </w:p>
    <w:p w14:paraId="3D0B1C6C">
      <w:pPr>
        <w:spacing w:line="360" w:lineRule="auto"/>
        <w:ind w:firstLine="482" w:firstLineChars="200"/>
        <w:rPr>
          <w:bCs/>
          <w:color w:val="auto"/>
          <w:highlight w:val="none"/>
        </w:rPr>
      </w:pPr>
      <w:r>
        <w:rPr>
          <w:b/>
          <w:color w:val="auto"/>
          <w:sz w:val="24"/>
          <w:szCs w:val="22"/>
          <w:highlight w:val="none"/>
        </w:rPr>
        <w:t xml:space="preserve">3 </w:t>
      </w:r>
      <w:r>
        <w:rPr>
          <w:b/>
          <w:color w:val="auto"/>
          <w:highlight w:val="none"/>
        </w:rPr>
        <w:t xml:space="preserve"> </w:t>
      </w:r>
      <w:r>
        <w:rPr>
          <w:bCs/>
          <w:color w:val="auto"/>
          <w:sz w:val="24"/>
          <w:szCs w:val="22"/>
          <w:highlight w:val="none"/>
        </w:rPr>
        <w:t>性能指标应符合表4.3.2-2的规定。</w:t>
      </w:r>
    </w:p>
    <w:p w14:paraId="67675174">
      <w:pPr>
        <w:spacing w:line="360" w:lineRule="auto"/>
        <w:jc w:val="center"/>
        <w:rPr>
          <w:bCs/>
          <w:color w:val="auto"/>
          <w:highlight w:val="none"/>
        </w:rPr>
      </w:pPr>
      <w:r>
        <w:rPr>
          <w:bCs/>
          <w:color w:val="auto"/>
          <w:highlight w:val="none"/>
        </w:rPr>
        <w:t>表4.3.2-1    套装双真空保温隔热装饰板尺寸允许偏差</w:t>
      </w:r>
    </w:p>
    <w:tbl>
      <w:tblPr>
        <w:tblStyle w:val="18"/>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693"/>
        <w:gridCol w:w="2533"/>
      </w:tblGrid>
      <w:tr w14:paraId="6DBB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114" w:type="dxa"/>
            <w:tcBorders>
              <w:top w:val="single" w:color="auto" w:sz="4" w:space="0"/>
              <w:left w:val="single" w:color="auto" w:sz="4" w:space="0"/>
              <w:bottom w:val="single" w:color="auto" w:sz="4" w:space="0"/>
              <w:right w:val="single" w:color="auto" w:sz="4" w:space="0"/>
            </w:tcBorders>
            <w:vAlign w:val="center"/>
          </w:tcPr>
          <w:p w14:paraId="419F52DA">
            <w:pPr>
              <w:spacing w:line="360" w:lineRule="auto"/>
              <w:jc w:val="center"/>
              <w:rPr>
                <w:bCs/>
                <w:color w:val="auto"/>
                <w:highlight w:val="none"/>
              </w:rPr>
            </w:pPr>
            <w:r>
              <w:rPr>
                <w:bCs/>
                <w:color w:val="auto"/>
                <w:highlight w:val="none"/>
              </w:rPr>
              <w:t>项  目</w:t>
            </w:r>
          </w:p>
        </w:tc>
        <w:tc>
          <w:tcPr>
            <w:tcW w:w="2693" w:type="dxa"/>
            <w:tcBorders>
              <w:top w:val="single" w:color="auto" w:sz="4" w:space="0"/>
              <w:left w:val="single" w:color="auto" w:sz="4" w:space="0"/>
              <w:bottom w:val="single" w:color="auto" w:sz="4" w:space="0"/>
              <w:right w:val="single" w:color="auto" w:sz="4" w:space="0"/>
            </w:tcBorders>
            <w:vAlign w:val="center"/>
          </w:tcPr>
          <w:p w14:paraId="3BD43309">
            <w:pPr>
              <w:spacing w:line="360" w:lineRule="auto"/>
              <w:jc w:val="center"/>
              <w:rPr>
                <w:bCs/>
                <w:color w:val="auto"/>
                <w:highlight w:val="none"/>
              </w:rPr>
            </w:pPr>
            <w:r>
              <w:rPr>
                <w:bCs/>
                <w:color w:val="auto"/>
                <w:highlight w:val="none"/>
              </w:rPr>
              <w:t>允许偏差</w:t>
            </w:r>
          </w:p>
        </w:tc>
        <w:tc>
          <w:tcPr>
            <w:tcW w:w="2533" w:type="dxa"/>
            <w:tcBorders>
              <w:top w:val="single" w:color="auto" w:sz="4" w:space="0"/>
              <w:left w:val="single" w:color="auto" w:sz="4" w:space="0"/>
              <w:bottom w:val="single" w:color="auto" w:sz="4" w:space="0"/>
              <w:right w:val="single" w:color="auto" w:sz="4" w:space="0"/>
            </w:tcBorders>
            <w:vAlign w:val="center"/>
          </w:tcPr>
          <w:p w14:paraId="294228C8">
            <w:pPr>
              <w:spacing w:line="360" w:lineRule="auto"/>
              <w:jc w:val="center"/>
              <w:rPr>
                <w:bCs/>
                <w:color w:val="auto"/>
                <w:highlight w:val="none"/>
              </w:rPr>
            </w:pPr>
            <w:r>
              <w:rPr>
                <w:bCs/>
                <w:color w:val="auto"/>
                <w:highlight w:val="none"/>
              </w:rPr>
              <w:t>试验方法</w:t>
            </w:r>
          </w:p>
        </w:tc>
      </w:tr>
      <w:tr w14:paraId="4CAE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114" w:type="dxa"/>
            <w:tcBorders>
              <w:top w:val="single" w:color="auto" w:sz="4" w:space="0"/>
              <w:left w:val="single" w:color="auto" w:sz="4" w:space="0"/>
              <w:bottom w:val="single" w:color="auto" w:sz="4" w:space="0"/>
              <w:right w:val="single" w:color="auto" w:sz="4" w:space="0"/>
            </w:tcBorders>
            <w:vAlign w:val="center"/>
          </w:tcPr>
          <w:p w14:paraId="453C42EC">
            <w:pPr>
              <w:spacing w:line="360" w:lineRule="auto"/>
              <w:jc w:val="center"/>
              <w:rPr>
                <w:bCs/>
                <w:color w:val="auto"/>
                <w:highlight w:val="none"/>
              </w:rPr>
            </w:pPr>
            <w:r>
              <w:rPr>
                <w:bCs/>
                <w:color w:val="auto"/>
                <w:highlight w:val="none"/>
              </w:rPr>
              <w:t>长度</w:t>
            </w:r>
          </w:p>
        </w:tc>
        <w:tc>
          <w:tcPr>
            <w:tcW w:w="2693" w:type="dxa"/>
            <w:tcBorders>
              <w:top w:val="single" w:color="auto" w:sz="4" w:space="0"/>
              <w:left w:val="single" w:color="auto" w:sz="4" w:space="0"/>
              <w:bottom w:val="single" w:color="auto" w:sz="4" w:space="0"/>
              <w:right w:val="single" w:color="auto" w:sz="4" w:space="0"/>
            </w:tcBorders>
            <w:vAlign w:val="center"/>
          </w:tcPr>
          <w:p w14:paraId="0B1AD871">
            <w:pPr>
              <w:spacing w:line="360" w:lineRule="auto"/>
              <w:jc w:val="center"/>
              <w:rPr>
                <w:bCs/>
                <w:color w:val="auto"/>
                <w:highlight w:val="none"/>
              </w:rPr>
            </w:pPr>
            <w:r>
              <w:rPr>
                <w:bCs/>
                <w:color w:val="auto"/>
                <w:highlight w:val="none"/>
              </w:rPr>
              <w:t>±2</w:t>
            </w:r>
          </w:p>
        </w:tc>
        <w:tc>
          <w:tcPr>
            <w:tcW w:w="2533" w:type="dxa"/>
            <w:vMerge w:val="restart"/>
            <w:tcBorders>
              <w:top w:val="single" w:color="auto" w:sz="4" w:space="0"/>
              <w:left w:val="single" w:color="auto" w:sz="4" w:space="0"/>
              <w:right w:val="single" w:color="auto" w:sz="4" w:space="0"/>
            </w:tcBorders>
            <w:vAlign w:val="center"/>
          </w:tcPr>
          <w:p w14:paraId="1C884D92">
            <w:pPr>
              <w:spacing w:line="360" w:lineRule="auto"/>
              <w:jc w:val="center"/>
              <w:rPr>
                <w:bCs/>
                <w:color w:val="auto"/>
                <w:highlight w:val="none"/>
              </w:rPr>
            </w:pPr>
            <w:r>
              <w:rPr>
                <w:bCs/>
                <w:color w:val="auto"/>
                <w:highlight w:val="none"/>
              </w:rPr>
              <w:t>现行行业标准《保温装饰板外墙外保温系统材料》JG/T 287</w:t>
            </w:r>
          </w:p>
        </w:tc>
      </w:tr>
      <w:tr w14:paraId="09E0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114" w:type="dxa"/>
            <w:tcBorders>
              <w:top w:val="single" w:color="auto" w:sz="4" w:space="0"/>
              <w:left w:val="single" w:color="auto" w:sz="4" w:space="0"/>
              <w:bottom w:val="single" w:color="auto" w:sz="4" w:space="0"/>
              <w:right w:val="single" w:color="auto" w:sz="4" w:space="0"/>
            </w:tcBorders>
            <w:vAlign w:val="center"/>
          </w:tcPr>
          <w:p w14:paraId="4F70F4D2">
            <w:pPr>
              <w:spacing w:line="360" w:lineRule="auto"/>
              <w:jc w:val="center"/>
              <w:rPr>
                <w:bCs/>
                <w:color w:val="auto"/>
                <w:highlight w:val="none"/>
              </w:rPr>
            </w:pPr>
            <w:r>
              <w:rPr>
                <w:bCs/>
                <w:color w:val="auto"/>
                <w:highlight w:val="none"/>
              </w:rPr>
              <w:t>宽度</w:t>
            </w:r>
          </w:p>
        </w:tc>
        <w:tc>
          <w:tcPr>
            <w:tcW w:w="2693" w:type="dxa"/>
            <w:tcBorders>
              <w:top w:val="single" w:color="auto" w:sz="4" w:space="0"/>
              <w:left w:val="single" w:color="auto" w:sz="4" w:space="0"/>
              <w:bottom w:val="single" w:color="auto" w:sz="4" w:space="0"/>
              <w:right w:val="single" w:color="auto" w:sz="4" w:space="0"/>
            </w:tcBorders>
            <w:vAlign w:val="center"/>
          </w:tcPr>
          <w:p w14:paraId="14AF5BF6">
            <w:pPr>
              <w:spacing w:line="360" w:lineRule="auto"/>
              <w:jc w:val="center"/>
              <w:rPr>
                <w:bCs/>
                <w:color w:val="auto"/>
                <w:highlight w:val="none"/>
              </w:rPr>
            </w:pPr>
            <w:r>
              <w:rPr>
                <w:bCs/>
                <w:color w:val="auto"/>
                <w:highlight w:val="none"/>
              </w:rPr>
              <w:t>±2</w:t>
            </w:r>
          </w:p>
        </w:tc>
        <w:tc>
          <w:tcPr>
            <w:tcW w:w="2533" w:type="dxa"/>
            <w:vMerge w:val="continue"/>
            <w:tcBorders>
              <w:left w:val="single" w:color="auto" w:sz="4" w:space="0"/>
              <w:right w:val="single" w:color="auto" w:sz="4" w:space="0"/>
            </w:tcBorders>
            <w:vAlign w:val="center"/>
          </w:tcPr>
          <w:p w14:paraId="03CFD03A">
            <w:pPr>
              <w:spacing w:line="360" w:lineRule="auto"/>
              <w:jc w:val="center"/>
              <w:rPr>
                <w:bCs/>
                <w:color w:val="auto"/>
                <w:highlight w:val="none"/>
              </w:rPr>
            </w:pPr>
          </w:p>
        </w:tc>
      </w:tr>
      <w:tr w14:paraId="259D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114" w:type="dxa"/>
            <w:tcBorders>
              <w:top w:val="single" w:color="auto" w:sz="4" w:space="0"/>
              <w:left w:val="single" w:color="auto" w:sz="4" w:space="0"/>
              <w:bottom w:val="single" w:color="auto" w:sz="4" w:space="0"/>
              <w:right w:val="single" w:color="auto" w:sz="4" w:space="0"/>
            </w:tcBorders>
            <w:vAlign w:val="center"/>
          </w:tcPr>
          <w:p w14:paraId="53B86DCD">
            <w:pPr>
              <w:spacing w:line="360" w:lineRule="auto"/>
              <w:jc w:val="center"/>
              <w:rPr>
                <w:bCs/>
                <w:color w:val="auto"/>
                <w:highlight w:val="none"/>
              </w:rPr>
            </w:pPr>
            <w:r>
              <w:rPr>
                <w:bCs/>
                <w:color w:val="auto"/>
                <w:highlight w:val="none"/>
              </w:rPr>
              <w:t>厚度</w:t>
            </w:r>
          </w:p>
        </w:tc>
        <w:tc>
          <w:tcPr>
            <w:tcW w:w="2693" w:type="dxa"/>
            <w:tcBorders>
              <w:top w:val="single" w:color="auto" w:sz="4" w:space="0"/>
              <w:left w:val="single" w:color="auto" w:sz="4" w:space="0"/>
              <w:bottom w:val="single" w:color="auto" w:sz="4" w:space="0"/>
              <w:right w:val="single" w:color="auto" w:sz="4" w:space="0"/>
            </w:tcBorders>
            <w:vAlign w:val="center"/>
          </w:tcPr>
          <w:p w14:paraId="31AB817D">
            <w:pPr>
              <w:spacing w:line="360" w:lineRule="auto"/>
              <w:jc w:val="center"/>
              <w:rPr>
                <w:bCs/>
                <w:color w:val="auto"/>
                <w:highlight w:val="none"/>
              </w:rPr>
            </w:pPr>
            <w:r>
              <w:rPr>
                <w:bCs/>
                <w:color w:val="auto"/>
                <w:highlight w:val="none"/>
              </w:rPr>
              <w:t>＋2.0</w:t>
            </w:r>
          </w:p>
        </w:tc>
        <w:tc>
          <w:tcPr>
            <w:tcW w:w="2533" w:type="dxa"/>
            <w:vMerge w:val="continue"/>
            <w:tcBorders>
              <w:left w:val="single" w:color="auto" w:sz="4" w:space="0"/>
              <w:right w:val="single" w:color="auto" w:sz="4" w:space="0"/>
            </w:tcBorders>
            <w:vAlign w:val="center"/>
          </w:tcPr>
          <w:p w14:paraId="69E1304F">
            <w:pPr>
              <w:spacing w:line="360" w:lineRule="auto"/>
              <w:jc w:val="center"/>
              <w:rPr>
                <w:bCs/>
                <w:color w:val="auto"/>
                <w:highlight w:val="none"/>
              </w:rPr>
            </w:pPr>
          </w:p>
        </w:tc>
      </w:tr>
      <w:tr w14:paraId="16FF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114" w:type="dxa"/>
            <w:tcBorders>
              <w:top w:val="single" w:color="auto" w:sz="4" w:space="0"/>
              <w:left w:val="single" w:color="auto" w:sz="4" w:space="0"/>
              <w:bottom w:val="single" w:color="auto" w:sz="4" w:space="0"/>
              <w:right w:val="single" w:color="auto" w:sz="4" w:space="0"/>
            </w:tcBorders>
            <w:vAlign w:val="center"/>
          </w:tcPr>
          <w:p w14:paraId="1D8E58D7">
            <w:pPr>
              <w:spacing w:line="360" w:lineRule="auto"/>
              <w:jc w:val="center"/>
              <w:rPr>
                <w:bCs/>
                <w:color w:val="auto"/>
                <w:highlight w:val="none"/>
              </w:rPr>
            </w:pPr>
            <w:r>
              <w:rPr>
                <w:bCs/>
                <w:color w:val="auto"/>
                <w:highlight w:val="none"/>
              </w:rPr>
              <w:t>对角线差</w:t>
            </w:r>
          </w:p>
        </w:tc>
        <w:tc>
          <w:tcPr>
            <w:tcW w:w="2693" w:type="dxa"/>
            <w:tcBorders>
              <w:top w:val="single" w:color="auto" w:sz="4" w:space="0"/>
              <w:left w:val="single" w:color="auto" w:sz="4" w:space="0"/>
              <w:bottom w:val="single" w:color="auto" w:sz="4" w:space="0"/>
              <w:right w:val="single" w:color="auto" w:sz="4" w:space="0"/>
            </w:tcBorders>
            <w:vAlign w:val="center"/>
          </w:tcPr>
          <w:p w14:paraId="6CAC7E9C">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3</w:t>
            </w:r>
          </w:p>
        </w:tc>
        <w:tc>
          <w:tcPr>
            <w:tcW w:w="2533" w:type="dxa"/>
            <w:vMerge w:val="continue"/>
            <w:tcBorders>
              <w:left w:val="single" w:color="auto" w:sz="4" w:space="0"/>
              <w:right w:val="single" w:color="auto" w:sz="4" w:space="0"/>
            </w:tcBorders>
            <w:vAlign w:val="center"/>
          </w:tcPr>
          <w:p w14:paraId="403F29FB">
            <w:pPr>
              <w:spacing w:line="360" w:lineRule="auto"/>
              <w:jc w:val="center"/>
              <w:rPr>
                <w:bCs/>
                <w:color w:val="auto"/>
                <w:highlight w:val="none"/>
              </w:rPr>
            </w:pPr>
          </w:p>
        </w:tc>
      </w:tr>
      <w:tr w14:paraId="2E28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114" w:type="dxa"/>
            <w:tcBorders>
              <w:top w:val="single" w:color="auto" w:sz="4" w:space="0"/>
              <w:left w:val="single" w:color="auto" w:sz="4" w:space="0"/>
              <w:bottom w:val="single" w:color="auto" w:sz="4" w:space="0"/>
              <w:right w:val="single" w:color="auto" w:sz="4" w:space="0"/>
            </w:tcBorders>
            <w:vAlign w:val="center"/>
          </w:tcPr>
          <w:p w14:paraId="5F84972A">
            <w:pPr>
              <w:spacing w:line="360" w:lineRule="auto"/>
              <w:jc w:val="center"/>
              <w:rPr>
                <w:bCs/>
                <w:color w:val="auto"/>
                <w:highlight w:val="none"/>
              </w:rPr>
            </w:pPr>
            <w:r>
              <w:rPr>
                <w:bCs/>
                <w:color w:val="auto"/>
                <w:highlight w:val="none"/>
              </w:rPr>
              <w:t>平整度偏差</w:t>
            </w:r>
          </w:p>
        </w:tc>
        <w:tc>
          <w:tcPr>
            <w:tcW w:w="2693" w:type="dxa"/>
            <w:tcBorders>
              <w:top w:val="single" w:color="auto" w:sz="4" w:space="0"/>
              <w:left w:val="single" w:color="auto" w:sz="4" w:space="0"/>
              <w:bottom w:val="single" w:color="auto" w:sz="4" w:space="0"/>
              <w:right w:val="single" w:color="auto" w:sz="4" w:space="0"/>
            </w:tcBorders>
            <w:vAlign w:val="center"/>
          </w:tcPr>
          <w:p w14:paraId="27B7DC31">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2.0</w:t>
            </w:r>
          </w:p>
        </w:tc>
        <w:tc>
          <w:tcPr>
            <w:tcW w:w="2533" w:type="dxa"/>
            <w:vMerge w:val="continue"/>
            <w:tcBorders>
              <w:left w:val="single" w:color="auto" w:sz="4" w:space="0"/>
              <w:bottom w:val="single" w:color="auto" w:sz="4" w:space="0"/>
              <w:right w:val="single" w:color="auto" w:sz="4" w:space="0"/>
            </w:tcBorders>
            <w:vAlign w:val="center"/>
          </w:tcPr>
          <w:p w14:paraId="2EC6D2F6">
            <w:pPr>
              <w:spacing w:line="360" w:lineRule="auto"/>
              <w:jc w:val="center"/>
              <w:rPr>
                <w:bCs/>
                <w:color w:val="auto"/>
                <w:highlight w:val="none"/>
              </w:rPr>
            </w:pPr>
          </w:p>
        </w:tc>
      </w:tr>
    </w:tbl>
    <w:p w14:paraId="41C382C7">
      <w:pPr>
        <w:spacing w:line="360" w:lineRule="auto"/>
        <w:jc w:val="left"/>
        <w:rPr>
          <w:bCs/>
          <w:color w:val="auto"/>
          <w:highlight w:val="none"/>
        </w:rPr>
      </w:pPr>
      <w:r>
        <w:rPr>
          <w:bCs/>
          <w:color w:val="auto"/>
          <w:highlight w:val="none"/>
        </w:rPr>
        <w:t>注：板面平整度不包括热熔封边的折起</w:t>
      </w:r>
      <w:r>
        <w:rPr>
          <w:rFonts w:hint="eastAsia"/>
          <w:bCs/>
          <w:color w:val="auto"/>
          <w:highlight w:val="none"/>
          <w:lang w:eastAsia="zh-CN"/>
        </w:rPr>
        <w:t>部分</w:t>
      </w:r>
      <w:r>
        <w:rPr>
          <w:bCs/>
          <w:color w:val="auto"/>
          <w:highlight w:val="none"/>
        </w:rPr>
        <w:t>，检测时应测试无热熔封边折起的一面。</w:t>
      </w:r>
    </w:p>
    <w:p w14:paraId="6A76F039">
      <w:pPr>
        <w:spacing w:line="360" w:lineRule="auto"/>
        <w:jc w:val="center"/>
        <w:rPr>
          <w:bCs/>
          <w:color w:val="auto"/>
          <w:highlight w:val="none"/>
        </w:rPr>
      </w:pPr>
      <w:r>
        <w:rPr>
          <w:bCs/>
          <w:color w:val="auto"/>
          <w:highlight w:val="none"/>
        </w:rPr>
        <w:t>表4.3.2-2    套装双真空保温隔热装饰板性能指标</w:t>
      </w:r>
    </w:p>
    <w:tbl>
      <w:tblPr>
        <w:tblStyle w:val="18"/>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851"/>
        <w:gridCol w:w="1276"/>
        <w:gridCol w:w="2409"/>
        <w:gridCol w:w="2675"/>
      </w:tblGrid>
      <w:tr w14:paraId="40F1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256" w:type="dxa"/>
            <w:gridSpan w:val="3"/>
            <w:tcBorders>
              <w:top w:val="single" w:color="auto" w:sz="4" w:space="0"/>
              <w:left w:val="single" w:color="auto" w:sz="4" w:space="0"/>
              <w:right w:val="single" w:color="auto" w:sz="4" w:space="0"/>
            </w:tcBorders>
            <w:vAlign w:val="center"/>
          </w:tcPr>
          <w:p w14:paraId="7B38F6F3">
            <w:pPr>
              <w:jc w:val="center"/>
              <w:rPr>
                <w:bCs/>
                <w:color w:val="auto"/>
                <w:highlight w:val="none"/>
              </w:rPr>
            </w:pPr>
            <w:r>
              <w:rPr>
                <w:bCs/>
                <w:color w:val="auto"/>
                <w:highlight w:val="none"/>
              </w:rPr>
              <w:t>项  目</w:t>
            </w:r>
          </w:p>
        </w:tc>
        <w:tc>
          <w:tcPr>
            <w:tcW w:w="2409" w:type="dxa"/>
            <w:tcBorders>
              <w:top w:val="single" w:color="auto" w:sz="4" w:space="0"/>
              <w:left w:val="single" w:color="auto" w:sz="4" w:space="0"/>
              <w:right w:val="single" w:color="auto" w:sz="4" w:space="0"/>
            </w:tcBorders>
            <w:vAlign w:val="center"/>
          </w:tcPr>
          <w:p w14:paraId="2C1038A2">
            <w:pPr>
              <w:jc w:val="center"/>
              <w:rPr>
                <w:bCs/>
                <w:color w:val="auto"/>
                <w:highlight w:val="none"/>
              </w:rPr>
            </w:pPr>
            <w:r>
              <w:rPr>
                <w:bCs/>
                <w:color w:val="auto"/>
                <w:highlight w:val="none"/>
              </w:rPr>
              <w:t>性能指标</w:t>
            </w:r>
          </w:p>
        </w:tc>
        <w:tc>
          <w:tcPr>
            <w:tcW w:w="2675" w:type="dxa"/>
            <w:tcBorders>
              <w:top w:val="single" w:color="auto" w:sz="4" w:space="0"/>
              <w:left w:val="single" w:color="auto" w:sz="4" w:space="0"/>
              <w:right w:val="single" w:color="auto" w:sz="4" w:space="0"/>
            </w:tcBorders>
            <w:vAlign w:val="center"/>
          </w:tcPr>
          <w:p w14:paraId="770CA9D0">
            <w:pPr>
              <w:jc w:val="center"/>
              <w:rPr>
                <w:bCs/>
                <w:color w:val="auto"/>
                <w:highlight w:val="none"/>
              </w:rPr>
            </w:pPr>
            <w:r>
              <w:rPr>
                <w:bCs/>
                <w:color w:val="auto"/>
                <w:highlight w:val="none"/>
              </w:rPr>
              <w:t>试验方法</w:t>
            </w:r>
          </w:p>
        </w:tc>
      </w:tr>
      <w:tr w14:paraId="59B0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256" w:type="dxa"/>
            <w:gridSpan w:val="3"/>
            <w:tcBorders>
              <w:top w:val="single" w:color="auto" w:sz="4" w:space="0"/>
              <w:left w:val="single" w:color="auto" w:sz="4" w:space="0"/>
              <w:bottom w:val="single" w:color="auto" w:sz="4" w:space="0"/>
              <w:right w:val="single" w:color="auto" w:sz="4" w:space="0"/>
            </w:tcBorders>
            <w:vAlign w:val="center"/>
          </w:tcPr>
          <w:p w14:paraId="5D2FF589">
            <w:pPr>
              <w:spacing w:line="360" w:lineRule="auto"/>
              <w:jc w:val="center"/>
              <w:rPr>
                <w:bCs/>
                <w:color w:val="auto"/>
                <w:highlight w:val="none"/>
              </w:rPr>
            </w:pPr>
            <w:r>
              <w:rPr>
                <w:bCs/>
                <w:color w:val="auto"/>
                <w:highlight w:val="none"/>
              </w:rPr>
              <w:t>单位面积质量[kg/m</w:t>
            </w:r>
            <w:r>
              <w:rPr>
                <w:bCs/>
                <w:color w:val="auto"/>
                <w:highlight w:val="none"/>
                <w:vertAlign w:val="superscript"/>
              </w:rPr>
              <w:t>2</w:t>
            </w:r>
            <w:r>
              <w:rPr>
                <w:bCs/>
                <w:color w:val="auto"/>
                <w:highlight w:val="none"/>
              </w:rPr>
              <w:t>]</w:t>
            </w:r>
          </w:p>
        </w:tc>
        <w:tc>
          <w:tcPr>
            <w:tcW w:w="2409" w:type="dxa"/>
            <w:tcBorders>
              <w:top w:val="single" w:color="auto" w:sz="4" w:space="0"/>
              <w:left w:val="single" w:color="auto" w:sz="4" w:space="0"/>
              <w:bottom w:val="single" w:color="auto" w:sz="4" w:space="0"/>
              <w:right w:val="single" w:color="auto" w:sz="4" w:space="0"/>
            </w:tcBorders>
            <w:vAlign w:val="center"/>
          </w:tcPr>
          <w:p w14:paraId="46EA6B8A">
            <w:pPr>
              <w:spacing w:line="360" w:lineRule="auto"/>
              <w:jc w:val="center"/>
              <w:rPr>
                <w:bCs/>
                <w:color w:val="auto"/>
                <w:highlight w:val="none"/>
              </w:rPr>
            </w:pPr>
            <w:r>
              <w:rPr>
                <w:rFonts w:hint="eastAsia" w:ascii="宋体" w:hAnsi="宋体" w:eastAsia="宋体" w:cs="宋体"/>
                <w:color w:val="auto"/>
                <w:highlight w:val="none"/>
              </w:rPr>
              <w:t>≤3</w:t>
            </w:r>
            <w:r>
              <w:rPr>
                <w:bCs/>
                <w:color w:val="auto"/>
                <w:highlight w:val="none"/>
              </w:rPr>
              <w:t>0</w:t>
            </w:r>
          </w:p>
        </w:tc>
        <w:tc>
          <w:tcPr>
            <w:tcW w:w="2675" w:type="dxa"/>
            <w:vMerge w:val="restart"/>
            <w:tcBorders>
              <w:top w:val="single" w:color="auto" w:sz="4" w:space="0"/>
              <w:left w:val="single" w:color="auto" w:sz="4" w:space="0"/>
              <w:right w:val="single" w:color="auto" w:sz="4" w:space="0"/>
            </w:tcBorders>
            <w:vAlign w:val="center"/>
          </w:tcPr>
          <w:p w14:paraId="7D526E6F">
            <w:pPr>
              <w:spacing w:line="360" w:lineRule="auto"/>
              <w:jc w:val="center"/>
              <w:rPr>
                <w:bCs/>
                <w:color w:val="auto"/>
                <w:highlight w:val="none"/>
              </w:rPr>
            </w:pPr>
            <w:r>
              <w:rPr>
                <w:bCs/>
                <w:color w:val="auto"/>
                <w:highlight w:val="none"/>
              </w:rPr>
              <w:t>现行行业标准《保温装饰板外墙外保温系统材料》JG/T 287</w:t>
            </w:r>
          </w:p>
        </w:tc>
      </w:tr>
      <w:tr w14:paraId="5E82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256" w:type="dxa"/>
            <w:gridSpan w:val="3"/>
            <w:tcBorders>
              <w:top w:val="single" w:color="auto" w:sz="4" w:space="0"/>
              <w:left w:val="single" w:color="auto" w:sz="4" w:space="0"/>
              <w:bottom w:val="single" w:color="auto" w:sz="4" w:space="0"/>
              <w:right w:val="single" w:color="auto" w:sz="4" w:space="0"/>
            </w:tcBorders>
            <w:vAlign w:val="center"/>
          </w:tcPr>
          <w:p w14:paraId="132A4CAE">
            <w:pPr>
              <w:spacing w:line="360" w:lineRule="auto"/>
              <w:jc w:val="center"/>
              <w:rPr>
                <w:bCs/>
                <w:color w:val="auto"/>
                <w:highlight w:val="none"/>
              </w:rPr>
            </w:pPr>
            <w:r>
              <w:rPr>
                <w:bCs/>
                <w:color w:val="auto"/>
                <w:highlight w:val="none"/>
              </w:rPr>
              <w:t>外观</w:t>
            </w:r>
          </w:p>
        </w:tc>
        <w:tc>
          <w:tcPr>
            <w:tcW w:w="2409" w:type="dxa"/>
            <w:tcBorders>
              <w:top w:val="single" w:color="auto" w:sz="4" w:space="0"/>
              <w:left w:val="single" w:color="auto" w:sz="4" w:space="0"/>
              <w:bottom w:val="single" w:color="auto" w:sz="4" w:space="0"/>
              <w:right w:val="single" w:color="auto" w:sz="4" w:space="0"/>
            </w:tcBorders>
            <w:vAlign w:val="center"/>
          </w:tcPr>
          <w:p w14:paraId="45068814">
            <w:pPr>
              <w:spacing w:line="360" w:lineRule="auto"/>
              <w:jc w:val="center"/>
              <w:rPr>
                <w:bCs/>
                <w:color w:val="auto"/>
                <w:highlight w:val="none"/>
              </w:rPr>
            </w:pPr>
            <w:r>
              <w:rPr>
                <w:bCs/>
                <w:color w:val="auto"/>
                <w:highlight w:val="none"/>
              </w:rPr>
              <w:t>颜色均匀一致，无破损</w:t>
            </w:r>
          </w:p>
        </w:tc>
        <w:tc>
          <w:tcPr>
            <w:tcW w:w="2675" w:type="dxa"/>
            <w:vMerge w:val="continue"/>
            <w:tcBorders>
              <w:left w:val="single" w:color="auto" w:sz="4" w:space="0"/>
              <w:right w:val="single" w:color="auto" w:sz="4" w:space="0"/>
            </w:tcBorders>
            <w:vAlign w:val="center"/>
          </w:tcPr>
          <w:p w14:paraId="42198A4E">
            <w:pPr>
              <w:spacing w:line="360" w:lineRule="auto"/>
              <w:jc w:val="center"/>
              <w:rPr>
                <w:bCs/>
                <w:color w:val="auto"/>
                <w:highlight w:val="none"/>
              </w:rPr>
            </w:pPr>
          </w:p>
        </w:tc>
      </w:tr>
      <w:tr w14:paraId="40B0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80" w:type="dxa"/>
            <w:gridSpan w:val="2"/>
            <w:vMerge w:val="restart"/>
            <w:tcBorders>
              <w:top w:val="single" w:color="auto" w:sz="4" w:space="0"/>
              <w:left w:val="single" w:color="auto" w:sz="4" w:space="0"/>
              <w:right w:val="single" w:color="auto" w:sz="4" w:space="0"/>
            </w:tcBorders>
            <w:vAlign w:val="center"/>
          </w:tcPr>
          <w:p w14:paraId="62F9E0F5">
            <w:pPr>
              <w:spacing w:line="360" w:lineRule="auto"/>
              <w:jc w:val="center"/>
              <w:rPr>
                <w:bCs/>
                <w:color w:val="auto"/>
                <w:highlight w:val="none"/>
              </w:rPr>
            </w:pPr>
            <w:r>
              <w:rPr>
                <w:bCs/>
                <w:color w:val="auto"/>
                <w:highlight w:val="none"/>
              </w:rPr>
              <w:t>面板与套装双真空保温隔热装饰板拉伸粘结强度（MPa）</w:t>
            </w:r>
          </w:p>
        </w:tc>
        <w:tc>
          <w:tcPr>
            <w:tcW w:w="1276" w:type="dxa"/>
            <w:tcBorders>
              <w:top w:val="single" w:color="auto" w:sz="4" w:space="0"/>
              <w:left w:val="single" w:color="auto" w:sz="4" w:space="0"/>
              <w:bottom w:val="single" w:color="auto" w:sz="4" w:space="0"/>
              <w:right w:val="single" w:color="auto" w:sz="4" w:space="0"/>
            </w:tcBorders>
            <w:vAlign w:val="center"/>
          </w:tcPr>
          <w:p w14:paraId="57481AF1">
            <w:pPr>
              <w:spacing w:line="360" w:lineRule="auto"/>
              <w:jc w:val="center"/>
              <w:rPr>
                <w:bCs/>
                <w:color w:val="auto"/>
                <w:highlight w:val="none"/>
              </w:rPr>
            </w:pPr>
            <w:r>
              <w:rPr>
                <w:bCs/>
                <w:color w:val="auto"/>
                <w:highlight w:val="none"/>
              </w:rPr>
              <w:t>原强度</w:t>
            </w:r>
          </w:p>
        </w:tc>
        <w:tc>
          <w:tcPr>
            <w:tcW w:w="2409" w:type="dxa"/>
            <w:tcBorders>
              <w:top w:val="single" w:color="auto" w:sz="4" w:space="0"/>
              <w:left w:val="single" w:color="auto" w:sz="4" w:space="0"/>
              <w:bottom w:val="single" w:color="auto" w:sz="4" w:space="0"/>
              <w:right w:val="single" w:color="auto" w:sz="4" w:space="0"/>
            </w:tcBorders>
            <w:vAlign w:val="center"/>
          </w:tcPr>
          <w:p w14:paraId="23BBE05E">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0.08，破坏发生在保温材料中</w:t>
            </w:r>
          </w:p>
        </w:tc>
        <w:tc>
          <w:tcPr>
            <w:tcW w:w="2675" w:type="dxa"/>
            <w:vMerge w:val="restart"/>
            <w:tcBorders>
              <w:left w:val="single" w:color="auto" w:sz="4" w:space="0"/>
              <w:right w:val="single" w:color="auto" w:sz="4" w:space="0"/>
            </w:tcBorders>
            <w:vAlign w:val="center"/>
          </w:tcPr>
          <w:p w14:paraId="17AFCD0E">
            <w:pPr>
              <w:spacing w:line="360" w:lineRule="auto"/>
              <w:jc w:val="center"/>
              <w:rPr>
                <w:color w:val="auto"/>
                <w:sz w:val="24"/>
                <w:szCs w:val="24"/>
                <w:highlight w:val="none"/>
              </w:rPr>
            </w:pPr>
            <w:r>
              <w:rPr>
                <w:bCs/>
                <w:color w:val="auto"/>
                <w:highlight w:val="none"/>
              </w:rPr>
              <w:t>现行行业标准《建筑用真空绝热板应用技术规程》JGJ/T 416</w:t>
            </w:r>
          </w:p>
        </w:tc>
      </w:tr>
      <w:tr w14:paraId="19D5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80" w:type="dxa"/>
            <w:gridSpan w:val="2"/>
            <w:vMerge w:val="continue"/>
            <w:tcBorders>
              <w:left w:val="single" w:color="auto" w:sz="4" w:space="0"/>
              <w:right w:val="single" w:color="auto" w:sz="4" w:space="0"/>
            </w:tcBorders>
            <w:vAlign w:val="center"/>
          </w:tcPr>
          <w:p w14:paraId="1E6D8AAD">
            <w:pPr>
              <w:spacing w:line="360" w:lineRule="auto"/>
              <w:jc w:val="center"/>
              <w:rPr>
                <w:bCs/>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48720CDE">
            <w:pPr>
              <w:spacing w:line="360" w:lineRule="auto"/>
              <w:jc w:val="center"/>
              <w:rPr>
                <w:bCs/>
                <w:color w:val="auto"/>
                <w:highlight w:val="none"/>
              </w:rPr>
            </w:pPr>
            <w:r>
              <w:rPr>
                <w:bCs/>
                <w:color w:val="auto"/>
                <w:highlight w:val="none"/>
              </w:rPr>
              <w:t>耐水强度</w:t>
            </w:r>
          </w:p>
        </w:tc>
        <w:tc>
          <w:tcPr>
            <w:tcW w:w="2409" w:type="dxa"/>
            <w:tcBorders>
              <w:top w:val="single" w:color="auto" w:sz="4" w:space="0"/>
              <w:left w:val="single" w:color="auto" w:sz="4" w:space="0"/>
              <w:bottom w:val="single" w:color="auto" w:sz="4" w:space="0"/>
              <w:right w:val="single" w:color="auto" w:sz="4" w:space="0"/>
            </w:tcBorders>
            <w:vAlign w:val="center"/>
          </w:tcPr>
          <w:p w14:paraId="210E7EED">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0.08</w:t>
            </w:r>
          </w:p>
        </w:tc>
        <w:tc>
          <w:tcPr>
            <w:tcW w:w="2675" w:type="dxa"/>
            <w:vMerge w:val="continue"/>
            <w:tcBorders>
              <w:left w:val="single" w:color="auto" w:sz="4" w:space="0"/>
              <w:right w:val="single" w:color="auto" w:sz="4" w:space="0"/>
            </w:tcBorders>
            <w:vAlign w:val="center"/>
          </w:tcPr>
          <w:p w14:paraId="12C96566">
            <w:pPr>
              <w:spacing w:line="360" w:lineRule="auto"/>
              <w:jc w:val="center"/>
              <w:rPr>
                <w:bCs/>
                <w:color w:val="auto"/>
                <w:highlight w:val="none"/>
              </w:rPr>
            </w:pPr>
          </w:p>
        </w:tc>
      </w:tr>
      <w:tr w14:paraId="65AE5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80" w:type="dxa"/>
            <w:gridSpan w:val="2"/>
            <w:vMerge w:val="continue"/>
            <w:tcBorders>
              <w:left w:val="single" w:color="auto" w:sz="4" w:space="0"/>
              <w:right w:val="single" w:color="auto" w:sz="4" w:space="0"/>
            </w:tcBorders>
            <w:vAlign w:val="center"/>
          </w:tcPr>
          <w:p w14:paraId="3C41AC83">
            <w:pPr>
              <w:spacing w:line="360" w:lineRule="auto"/>
              <w:jc w:val="center"/>
              <w:rPr>
                <w:bCs/>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1D00423A">
            <w:pPr>
              <w:spacing w:line="360" w:lineRule="auto"/>
              <w:jc w:val="center"/>
              <w:rPr>
                <w:bCs/>
                <w:color w:val="auto"/>
                <w:highlight w:val="none"/>
              </w:rPr>
            </w:pPr>
            <w:r>
              <w:rPr>
                <w:bCs/>
                <w:color w:val="auto"/>
                <w:highlight w:val="none"/>
              </w:rPr>
              <w:t>耐冻融强度</w:t>
            </w:r>
          </w:p>
        </w:tc>
        <w:tc>
          <w:tcPr>
            <w:tcW w:w="2409" w:type="dxa"/>
            <w:tcBorders>
              <w:top w:val="single" w:color="auto" w:sz="4" w:space="0"/>
              <w:left w:val="single" w:color="auto" w:sz="4" w:space="0"/>
              <w:bottom w:val="single" w:color="auto" w:sz="4" w:space="0"/>
              <w:right w:val="single" w:color="auto" w:sz="4" w:space="0"/>
            </w:tcBorders>
            <w:vAlign w:val="center"/>
          </w:tcPr>
          <w:p w14:paraId="35015BC9">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0.08</w:t>
            </w:r>
          </w:p>
        </w:tc>
        <w:tc>
          <w:tcPr>
            <w:tcW w:w="2675" w:type="dxa"/>
            <w:vMerge w:val="continue"/>
            <w:tcBorders>
              <w:left w:val="single" w:color="auto" w:sz="4" w:space="0"/>
              <w:right w:val="single" w:color="auto" w:sz="4" w:space="0"/>
            </w:tcBorders>
            <w:vAlign w:val="center"/>
          </w:tcPr>
          <w:p w14:paraId="5C67B100">
            <w:pPr>
              <w:spacing w:line="360" w:lineRule="auto"/>
              <w:jc w:val="center"/>
              <w:rPr>
                <w:bCs/>
                <w:color w:val="auto"/>
                <w:highlight w:val="none"/>
              </w:rPr>
            </w:pPr>
          </w:p>
        </w:tc>
      </w:tr>
      <w:tr w14:paraId="3934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256" w:type="dxa"/>
            <w:gridSpan w:val="3"/>
            <w:tcBorders>
              <w:left w:val="single" w:color="auto" w:sz="4" w:space="0"/>
              <w:right w:val="single" w:color="auto" w:sz="4" w:space="0"/>
            </w:tcBorders>
            <w:vAlign w:val="center"/>
          </w:tcPr>
          <w:p w14:paraId="7DC685C4">
            <w:pPr>
              <w:spacing w:line="360" w:lineRule="auto"/>
              <w:jc w:val="center"/>
              <w:rPr>
                <w:bCs/>
                <w:color w:val="auto"/>
                <w:highlight w:val="none"/>
              </w:rPr>
            </w:pPr>
            <w:r>
              <w:rPr>
                <w:bCs/>
                <w:color w:val="auto"/>
                <w:highlight w:val="none"/>
              </w:rPr>
              <w:t>抗冲击性（J）</w:t>
            </w:r>
          </w:p>
        </w:tc>
        <w:tc>
          <w:tcPr>
            <w:tcW w:w="2409" w:type="dxa"/>
            <w:tcBorders>
              <w:top w:val="single" w:color="auto" w:sz="4" w:space="0"/>
              <w:left w:val="single" w:color="auto" w:sz="4" w:space="0"/>
              <w:bottom w:val="single" w:color="auto" w:sz="4" w:space="0"/>
              <w:right w:val="single" w:color="auto" w:sz="4" w:space="0"/>
            </w:tcBorders>
            <w:vAlign w:val="center"/>
          </w:tcPr>
          <w:p w14:paraId="4DB3966D">
            <w:pPr>
              <w:spacing w:line="360" w:lineRule="auto"/>
              <w:jc w:val="center"/>
              <w:rPr>
                <w:bCs/>
                <w:color w:val="auto"/>
                <w:highlight w:val="none"/>
              </w:rPr>
            </w:pPr>
            <w:r>
              <w:rPr>
                <w:bCs/>
                <w:color w:val="auto"/>
                <w:highlight w:val="none"/>
              </w:rPr>
              <w:t>用于建筑物首层10J冲击合格，其他层3J冲击合格</w:t>
            </w:r>
          </w:p>
        </w:tc>
        <w:tc>
          <w:tcPr>
            <w:tcW w:w="2675" w:type="dxa"/>
            <w:vMerge w:val="restart"/>
            <w:tcBorders>
              <w:left w:val="single" w:color="auto" w:sz="4" w:space="0"/>
              <w:right w:val="single" w:color="auto" w:sz="4" w:space="0"/>
            </w:tcBorders>
            <w:vAlign w:val="center"/>
          </w:tcPr>
          <w:p w14:paraId="76CA1865">
            <w:pPr>
              <w:spacing w:line="360" w:lineRule="auto"/>
              <w:jc w:val="center"/>
              <w:rPr>
                <w:bCs/>
                <w:color w:val="auto"/>
                <w:highlight w:val="none"/>
              </w:rPr>
            </w:pPr>
            <w:r>
              <w:rPr>
                <w:bCs/>
                <w:color w:val="auto"/>
                <w:highlight w:val="none"/>
              </w:rPr>
              <w:t>现行行业标准《保温装饰板外墙外保温系统材料》JG/T 287</w:t>
            </w:r>
          </w:p>
        </w:tc>
      </w:tr>
      <w:tr w14:paraId="746A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256" w:type="dxa"/>
            <w:gridSpan w:val="3"/>
            <w:tcBorders>
              <w:left w:val="single" w:color="auto" w:sz="4" w:space="0"/>
              <w:right w:val="single" w:color="auto" w:sz="4" w:space="0"/>
            </w:tcBorders>
            <w:vAlign w:val="center"/>
          </w:tcPr>
          <w:p w14:paraId="0AF3196A">
            <w:pPr>
              <w:spacing w:line="360" w:lineRule="auto"/>
              <w:jc w:val="center"/>
              <w:rPr>
                <w:bCs/>
                <w:color w:val="auto"/>
                <w:highlight w:val="none"/>
              </w:rPr>
            </w:pPr>
            <w:r>
              <w:rPr>
                <w:bCs/>
                <w:color w:val="auto"/>
                <w:highlight w:val="none"/>
              </w:rPr>
              <w:t>抗弯荷载（N）</w:t>
            </w:r>
          </w:p>
        </w:tc>
        <w:tc>
          <w:tcPr>
            <w:tcW w:w="2409" w:type="dxa"/>
            <w:tcBorders>
              <w:top w:val="single" w:color="auto" w:sz="4" w:space="0"/>
              <w:left w:val="single" w:color="auto" w:sz="4" w:space="0"/>
              <w:bottom w:val="single" w:color="auto" w:sz="4" w:space="0"/>
              <w:right w:val="single" w:color="auto" w:sz="4" w:space="0"/>
            </w:tcBorders>
            <w:vAlign w:val="center"/>
          </w:tcPr>
          <w:p w14:paraId="03E4E36E">
            <w:pPr>
              <w:spacing w:line="360" w:lineRule="auto"/>
              <w:jc w:val="center"/>
              <w:rPr>
                <w:bCs/>
                <w:color w:val="auto"/>
                <w:highlight w:val="none"/>
              </w:rPr>
            </w:pPr>
            <w:r>
              <w:rPr>
                <w:bCs/>
                <w:color w:val="auto"/>
                <w:highlight w:val="none"/>
              </w:rPr>
              <w:t>不小于板材自重</w:t>
            </w:r>
          </w:p>
        </w:tc>
        <w:tc>
          <w:tcPr>
            <w:tcW w:w="2675" w:type="dxa"/>
            <w:vMerge w:val="continue"/>
            <w:tcBorders>
              <w:left w:val="single" w:color="auto" w:sz="4" w:space="0"/>
              <w:right w:val="single" w:color="auto" w:sz="4" w:space="0"/>
            </w:tcBorders>
            <w:vAlign w:val="center"/>
          </w:tcPr>
          <w:p w14:paraId="6709BE46">
            <w:pPr>
              <w:spacing w:line="360" w:lineRule="auto"/>
              <w:jc w:val="center"/>
              <w:rPr>
                <w:bCs/>
                <w:color w:val="auto"/>
                <w:highlight w:val="none"/>
              </w:rPr>
            </w:pPr>
          </w:p>
        </w:tc>
      </w:tr>
      <w:tr w14:paraId="4E60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256" w:type="dxa"/>
            <w:gridSpan w:val="3"/>
            <w:tcBorders>
              <w:left w:val="single" w:color="auto" w:sz="4" w:space="0"/>
              <w:right w:val="single" w:color="auto" w:sz="4" w:space="0"/>
            </w:tcBorders>
            <w:vAlign w:val="center"/>
          </w:tcPr>
          <w:p w14:paraId="67D80FDF">
            <w:pPr>
              <w:spacing w:line="360" w:lineRule="auto"/>
              <w:jc w:val="center"/>
              <w:rPr>
                <w:bCs/>
                <w:color w:val="auto"/>
                <w:highlight w:val="none"/>
              </w:rPr>
            </w:pPr>
            <w:r>
              <w:rPr>
                <w:bCs/>
                <w:color w:val="auto"/>
                <w:highlight w:val="none"/>
              </w:rPr>
              <w:t>吸水率（g/m</w:t>
            </w:r>
            <w:r>
              <w:rPr>
                <w:bCs/>
                <w:color w:val="auto"/>
                <w:highlight w:val="none"/>
                <w:vertAlign w:val="superscript"/>
              </w:rPr>
              <w:t>2</w:t>
            </w:r>
            <w:r>
              <w:rPr>
                <w:bCs/>
                <w:color w:val="auto"/>
                <w:highlight w:val="none"/>
              </w:rPr>
              <w:t>）</w:t>
            </w:r>
          </w:p>
        </w:tc>
        <w:tc>
          <w:tcPr>
            <w:tcW w:w="2409" w:type="dxa"/>
            <w:tcBorders>
              <w:top w:val="single" w:color="auto" w:sz="4" w:space="0"/>
              <w:left w:val="single" w:color="auto" w:sz="4" w:space="0"/>
              <w:bottom w:val="single" w:color="auto" w:sz="4" w:space="0"/>
              <w:right w:val="single" w:color="auto" w:sz="4" w:space="0"/>
            </w:tcBorders>
            <w:vAlign w:val="center"/>
          </w:tcPr>
          <w:p w14:paraId="139CA9C4">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500</w:t>
            </w:r>
          </w:p>
        </w:tc>
        <w:tc>
          <w:tcPr>
            <w:tcW w:w="2675" w:type="dxa"/>
            <w:vMerge w:val="continue"/>
            <w:tcBorders>
              <w:left w:val="single" w:color="auto" w:sz="4" w:space="0"/>
              <w:right w:val="single" w:color="auto" w:sz="4" w:space="0"/>
            </w:tcBorders>
            <w:vAlign w:val="center"/>
          </w:tcPr>
          <w:p w14:paraId="3732638D">
            <w:pPr>
              <w:spacing w:line="360" w:lineRule="auto"/>
              <w:jc w:val="center"/>
              <w:rPr>
                <w:bCs/>
                <w:color w:val="auto"/>
                <w:highlight w:val="none"/>
              </w:rPr>
            </w:pPr>
          </w:p>
        </w:tc>
      </w:tr>
      <w:tr w14:paraId="3867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256" w:type="dxa"/>
            <w:gridSpan w:val="3"/>
            <w:tcBorders>
              <w:left w:val="single" w:color="auto" w:sz="4" w:space="0"/>
              <w:right w:val="single" w:color="auto" w:sz="4" w:space="0"/>
            </w:tcBorders>
            <w:vAlign w:val="center"/>
          </w:tcPr>
          <w:p w14:paraId="0F584CFA">
            <w:pPr>
              <w:spacing w:line="360" w:lineRule="auto"/>
              <w:jc w:val="center"/>
              <w:rPr>
                <w:bCs/>
                <w:color w:val="auto"/>
                <w:highlight w:val="none"/>
              </w:rPr>
            </w:pPr>
            <w:r>
              <w:rPr>
                <w:bCs/>
                <w:color w:val="auto"/>
                <w:highlight w:val="none"/>
              </w:rPr>
              <w:t>不透水性</w:t>
            </w:r>
          </w:p>
        </w:tc>
        <w:tc>
          <w:tcPr>
            <w:tcW w:w="2409" w:type="dxa"/>
            <w:tcBorders>
              <w:top w:val="single" w:color="auto" w:sz="4" w:space="0"/>
              <w:left w:val="single" w:color="auto" w:sz="4" w:space="0"/>
              <w:bottom w:val="single" w:color="auto" w:sz="4" w:space="0"/>
              <w:right w:val="single" w:color="auto" w:sz="4" w:space="0"/>
            </w:tcBorders>
            <w:vAlign w:val="center"/>
          </w:tcPr>
          <w:p w14:paraId="272E1931">
            <w:pPr>
              <w:spacing w:line="360" w:lineRule="auto"/>
              <w:jc w:val="center"/>
              <w:rPr>
                <w:bCs/>
                <w:color w:val="auto"/>
                <w:highlight w:val="none"/>
              </w:rPr>
            </w:pPr>
            <w:r>
              <w:rPr>
                <w:bCs/>
                <w:color w:val="auto"/>
                <w:highlight w:val="none"/>
              </w:rPr>
              <w:t>面板内侧无水渗透</w:t>
            </w:r>
          </w:p>
        </w:tc>
        <w:tc>
          <w:tcPr>
            <w:tcW w:w="2675" w:type="dxa"/>
            <w:vMerge w:val="continue"/>
            <w:tcBorders>
              <w:left w:val="single" w:color="auto" w:sz="4" w:space="0"/>
              <w:right w:val="single" w:color="auto" w:sz="4" w:space="0"/>
            </w:tcBorders>
            <w:vAlign w:val="center"/>
          </w:tcPr>
          <w:p w14:paraId="0DA94A17">
            <w:pPr>
              <w:spacing w:line="360" w:lineRule="auto"/>
              <w:jc w:val="center"/>
              <w:rPr>
                <w:bCs/>
                <w:color w:val="auto"/>
                <w:highlight w:val="none"/>
              </w:rPr>
            </w:pPr>
          </w:p>
        </w:tc>
      </w:tr>
      <w:tr w14:paraId="5DA3B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256" w:type="dxa"/>
            <w:gridSpan w:val="3"/>
            <w:tcBorders>
              <w:left w:val="single" w:color="auto" w:sz="4" w:space="0"/>
              <w:right w:val="single" w:color="auto" w:sz="4" w:space="0"/>
            </w:tcBorders>
            <w:vAlign w:val="center"/>
          </w:tcPr>
          <w:p w14:paraId="2F6CCDA2">
            <w:pPr>
              <w:spacing w:line="360" w:lineRule="auto"/>
              <w:jc w:val="center"/>
              <w:rPr>
                <w:bCs/>
                <w:color w:val="auto"/>
                <w:highlight w:val="none"/>
              </w:rPr>
            </w:pPr>
            <w:r>
              <w:rPr>
                <w:bCs/>
                <w:color w:val="auto"/>
                <w:highlight w:val="none"/>
              </w:rPr>
              <w:t>燃烧性能等级</w:t>
            </w:r>
          </w:p>
        </w:tc>
        <w:tc>
          <w:tcPr>
            <w:tcW w:w="2409" w:type="dxa"/>
            <w:tcBorders>
              <w:top w:val="single" w:color="auto" w:sz="4" w:space="0"/>
              <w:left w:val="single" w:color="auto" w:sz="4" w:space="0"/>
              <w:bottom w:val="single" w:color="auto" w:sz="4" w:space="0"/>
              <w:right w:val="single" w:color="auto" w:sz="4" w:space="0"/>
            </w:tcBorders>
            <w:vAlign w:val="center"/>
          </w:tcPr>
          <w:p w14:paraId="7F54FC9F">
            <w:pPr>
              <w:spacing w:line="360" w:lineRule="auto"/>
              <w:jc w:val="center"/>
              <w:rPr>
                <w:bCs/>
                <w:color w:val="auto"/>
                <w:highlight w:val="none"/>
              </w:rPr>
            </w:pPr>
            <w:r>
              <w:rPr>
                <w:bCs/>
                <w:color w:val="auto"/>
                <w:highlight w:val="none"/>
              </w:rPr>
              <w:t>A（A</w:t>
            </w:r>
            <w:r>
              <w:rPr>
                <w:rFonts w:hint="eastAsia"/>
                <w:bCs/>
                <w:color w:val="auto"/>
                <w:highlight w:val="none"/>
                <w:vertAlign w:val="baseline"/>
                <w:lang w:val="en-US" w:eastAsia="zh-CN"/>
              </w:rPr>
              <w:t>2</w:t>
            </w:r>
            <w:r>
              <w:rPr>
                <w:bCs/>
                <w:color w:val="auto"/>
                <w:highlight w:val="none"/>
              </w:rPr>
              <w:t>）级</w:t>
            </w:r>
          </w:p>
        </w:tc>
        <w:tc>
          <w:tcPr>
            <w:tcW w:w="2675" w:type="dxa"/>
            <w:tcBorders>
              <w:left w:val="single" w:color="auto" w:sz="4" w:space="0"/>
              <w:right w:val="single" w:color="auto" w:sz="4" w:space="0"/>
            </w:tcBorders>
            <w:vAlign w:val="center"/>
          </w:tcPr>
          <w:p w14:paraId="08174167">
            <w:pPr>
              <w:spacing w:line="360" w:lineRule="auto"/>
              <w:jc w:val="center"/>
              <w:rPr>
                <w:bCs/>
                <w:color w:val="auto"/>
                <w:highlight w:val="none"/>
              </w:rPr>
            </w:pPr>
            <w:r>
              <w:rPr>
                <w:bCs/>
                <w:color w:val="auto"/>
                <w:highlight w:val="none"/>
              </w:rPr>
              <w:t>现行国家标准《建筑材料及制品燃烧性能分级》GB 8624</w:t>
            </w:r>
          </w:p>
        </w:tc>
      </w:tr>
      <w:tr w14:paraId="56A3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29" w:type="dxa"/>
            <w:vMerge w:val="restart"/>
            <w:tcBorders>
              <w:left w:val="single" w:color="auto" w:sz="4" w:space="0"/>
              <w:right w:val="single" w:color="auto" w:sz="4" w:space="0"/>
            </w:tcBorders>
            <w:vAlign w:val="center"/>
          </w:tcPr>
          <w:p w14:paraId="4E60236F">
            <w:pPr>
              <w:spacing w:line="360" w:lineRule="auto"/>
              <w:jc w:val="center"/>
              <w:rPr>
                <w:bCs/>
                <w:color w:val="auto"/>
                <w:highlight w:val="none"/>
              </w:rPr>
            </w:pPr>
            <w:r>
              <w:rPr>
                <w:bCs/>
                <w:color w:val="auto"/>
                <w:highlight w:val="none"/>
              </w:rPr>
              <w:t>放射性核素限量</w:t>
            </w:r>
          </w:p>
        </w:tc>
        <w:tc>
          <w:tcPr>
            <w:tcW w:w="2127" w:type="dxa"/>
            <w:gridSpan w:val="2"/>
            <w:tcBorders>
              <w:left w:val="single" w:color="auto" w:sz="4" w:space="0"/>
              <w:right w:val="single" w:color="auto" w:sz="4" w:space="0"/>
            </w:tcBorders>
            <w:vAlign w:val="center"/>
          </w:tcPr>
          <w:p w14:paraId="40070ACB">
            <w:pPr>
              <w:spacing w:line="360" w:lineRule="auto"/>
              <w:jc w:val="center"/>
              <w:rPr>
                <w:bCs/>
                <w:color w:val="auto"/>
                <w:highlight w:val="none"/>
              </w:rPr>
            </w:pPr>
            <w:r>
              <w:rPr>
                <w:bCs/>
                <w:color w:val="auto"/>
                <w:highlight w:val="none"/>
              </w:rPr>
              <w:t>内照射指数</w:t>
            </w:r>
            <w:r>
              <w:rPr>
                <w:bCs/>
                <w:color w:val="auto"/>
                <w:position w:val="-12"/>
                <w:highlight w:val="none"/>
              </w:rPr>
              <w:object>
                <v:shape id="_x0000_i1025" o:spt="75" type="#_x0000_t75" style="height:18pt;width:17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p>
        </w:tc>
        <w:tc>
          <w:tcPr>
            <w:tcW w:w="2409" w:type="dxa"/>
            <w:tcBorders>
              <w:top w:val="single" w:color="auto" w:sz="4" w:space="0"/>
              <w:left w:val="single" w:color="auto" w:sz="4" w:space="0"/>
              <w:bottom w:val="single" w:color="auto" w:sz="4" w:space="0"/>
              <w:right w:val="single" w:color="auto" w:sz="4" w:space="0"/>
            </w:tcBorders>
            <w:vAlign w:val="center"/>
          </w:tcPr>
          <w:p w14:paraId="08A388A0">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1.0</w:t>
            </w:r>
          </w:p>
        </w:tc>
        <w:tc>
          <w:tcPr>
            <w:tcW w:w="2675" w:type="dxa"/>
            <w:vMerge w:val="restart"/>
            <w:tcBorders>
              <w:left w:val="single" w:color="auto" w:sz="4" w:space="0"/>
              <w:right w:val="single" w:color="auto" w:sz="4" w:space="0"/>
            </w:tcBorders>
            <w:vAlign w:val="center"/>
          </w:tcPr>
          <w:p w14:paraId="13B55D8A">
            <w:pPr>
              <w:spacing w:line="360" w:lineRule="auto"/>
              <w:jc w:val="center"/>
              <w:rPr>
                <w:bCs/>
                <w:color w:val="auto"/>
                <w:highlight w:val="none"/>
              </w:rPr>
            </w:pPr>
            <w:r>
              <w:rPr>
                <w:bCs/>
                <w:color w:val="auto"/>
                <w:highlight w:val="none"/>
              </w:rPr>
              <w:t>现行国家标准《建筑材料放射性核素限量》GB 6566</w:t>
            </w:r>
          </w:p>
        </w:tc>
      </w:tr>
      <w:tr w14:paraId="099F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29" w:type="dxa"/>
            <w:vMerge w:val="continue"/>
            <w:tcBorders>
              <w:left w:val="single" w:color="auto" w:sz="4" w:space="0"/>
              <w:bottom w:val="single" w:color="auto" w:sz="4" w:space="0"/>
              <w:right w:val="single" w:color="auto" w:sz="4" w:space="0"/>
            </w:tcBorders>
            <w:vAlign w:val="center"/>
          </w:tcPr>
          <w:p w14:paraId="3D35D77B">
            <w:pPr>
              <w:spacing w:line="360" w:lineRule="auto"/>
              <w:jc w:val="center"/>
              <w:rPr>
                <w:bCs/>
                <w:color w:val="auto"/>
                <w:highlight w:val="none"/>
              </w:rPr>
            </w:pPr>
          </w:p>
        </w:tc>
        <w:tc>
          <w:tcPr>
            <w:tcW w:w="2127" w:type="dxa"/>
            <w:gridSpan w:val="2"/>
            <w:tcBorders>
              <w:left w:val="single" w:color="auto" w:sz="4" w:space="0"/>
              <w:bottom w:val="single" w:color="auto" w:sz="4" w:space="0"/>
              <w:right w:val="single" w:color="auto" w:sz="4" w:space="0"/>
            </w:tcBorders>
            <w:vAlign w:val="center"/>
          </w:tcPr>
          <w:p w14:paraId="4BA1688D">
            <w:pPr>
              <w:spacing w:line="360" w:lineRule="auto"/>
              <w:jc w:val="center"/>
              <w:rPr>
                <w:bCs/>
                <w:color w:val="auto"/>
                <w:highlight w:val="none"/>
              </w:rPr>
            </w:pPr>
            <w:r>
              <w:rPr>
                <w:bCs/>
                <w:color w:val="auto"/>
                <w:highlight w:val="none"/>
              </w:rPr>
              <w:t>外照射指数</w:t>
            </w:r>
            <w:r>
              <w:rPr>
                <w:bCs/>
                <w:color w:val="auto"/>
                <w:position w:val="-12"/>
                <w:highlight w:val="none"/>
              </w:rPr>
              <w:object>
                <v:shape id="_x0000_i1026" o:spt="75" type="#_x0000_t75" style="height:18pt;width:12pt;" o:ole="t"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6" r:id="rId11">
                  <o:LockedField>false</o:LockedField>
                </o:OLEObject>
              </w:object>
            </w:r>
          </w:p>
        </w:tc>
        <w:tc>
          <w:tcPr>
            <w:tcW w:w="2409" w:type="dxa"/>
            <w:tcBorders>
              <w:top w:val="single" w:color="auto" w:sz="4" w:space="0"/>
              <w:left w:val="single" w:color="auto" w:sz="4" w:space="0"/>
              <w:bottom w:val="single" w:color="auto" w:sz="4" w:space="0"/>
              <w:right w:val="single" w:color="auto" w:sz="4" w:space="0"/>
            </w:tcBorders>
            <w:vAlign w:val="center"/>
          </w:tcPr>
          <w:p w14:paraId="403360F7">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1.0</w:t>
            </w:r>
          </w:p>
        </w:tc>
        <w:tc>
          <w:tcPr>
            <w:tcW w:w="2675" w:type="dxa"/>
            <w:vMerge w:val="continue"/>
            <w:tcBorders>
              <w:left w:val="single" w:color="auto" w:sz="4" w:space="0"/>
              <w:bottom w:val="single" w:color="auto" w:sz="4" w:space="0"/>
              <w:right w:val="single" w:color="auto" w:sz="4" w:space="0"/>
            </w:tcBorders>
            <w:vAlign w:val="center"/>
          </w:tcPr>
          <w:p w14:paraId="106DC883">
            <w:pPr>
              <w:spacing w:line="360" w:lineRule="auto"/>
              <w:jc w:val="center"/>
              <w:rPr>
                <w:bCs/>
                <w:color w:val="auto"/>
                <w:highlight w:val="none"/>
              </w:rPr>
            </w:pPr>
          </w:p>
        </w:tc>
      </w:tr>
    </w:tbl>
    <w:p w14:paraId="79EA4F0A">
      <w:pPr>
        <w:spacing w:line="360" w:lineRule="auto"/>
        <w:jc w:val="left"/>
        <w:rPr>
          <w:bCs/>
          <w:color w:val="auto"/>
          <w:highlight w:val="none"/>
        </w:rPr>
      </w:pPr>
      <w:r>
        <w:rPr>
          <w:bCs/>
          <w:color w:val="auto"/>
          <w:highlight w:val="none"/>
        </w:rPr>
        <w:t>注：金属面板不检验不透水性；薄型陶瓷面板不检查抗冲击、吸水率和不透水性；用于室内时，检测放射性核素限量。</w:t>
      </w:r>
    </w:p>
    <w:p w14:paraId="7BFC1CE2">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保温隔热装饰板饰面板应符合下列规定：</w:t>
      </w:r>
    </w:p>
    <w:p w14:paraId="0F395E63">
      <w:pPr>
        <w:spacing w:line="360" w:lineRule="auto"/>
        <w:ind w:firstLine="482" w:firstLineChars="200"/>
        <w:rPr>
          <w:bCs/>
          <w:color w:val="auto"/>
          <w:sz w:val="24"/>
          <w:szCs w:val="24"/>
          <w:highlight w:val="none"/>
        </w:rPr>
      </w:pPr>
      <w:r>
        <w:rPr>
          <w:b/>
          <w:color w:val="auto"/>
          <w:sz w:val="24"/>
          <w:szCs w:val="24"/>
          <w:highlight w:val="none"/>
        </w:rPr>
        <w:t>1</w:t>
      </w:r>
      <w:r>
        <w:rPr>
          <w:bCs/>
          <w:color w:val="auto"/>
          <w:sz w:val="24"/>
          <w:szCs w:val="24"/>
          <w:highlight w:val="none"/>
        </w:rPr>
        <w:t xml:space="preserve">  饰面板采用增强纤维硅酸钙板，且应用于外墙外保温系统时，应符合现行行业标准《</w:t>
      </w:r>
      <w:r>
        <w:rPr>
          <w:rFonts w:hint="eastAsia"/>
          <w:bCs/>
          <w:color w:val="auto"/>
          <w:sz w:val="24"/>
          <w:szCs w:val="24"/>
          <w:highlight w:val="none"/>
          <w:lang w:eastAsia="zh-CN"/>
        </w:rPr>
        <w:t>纤维增强硅酸钙板 第1部分：无石棉硅酸钙板</w:t>
      </w:r>
      <w:r>
        <w:rPr>
          <w:bCs/>
          <w:color w:val="auto"/>
          <w:sz w:val="24"/>
          <w:szCs w:val="24"/>
          <w:highlight w:val="none"/>
        </w:rPr>
        <w:t>》</w:t>
      </w:r>
      <w:r>
        <w:rPr>
          <w:rFonts w:hint="eastAsia"/>
          <w:bCs/>
          <w:color w:val="auto"/>
          <w:sz w:val="24"/>
          <w:szCs w:val="24"/>
          <w:highlight w:val="none"/>
          <w:lang w:eastAsia="zh-CN"/>
        </w:rPr>
        <w:t>JC/T 564.1</w:t>
      </w:r>
      <w:r>
        <w:rPr>
          <w:bCs/>
          <w:color w:val="auto"/>
          <w:sz w:val="24"/>
          <w:szCs w:val="24"/>
          <w:highlight w:val="none"/>
        </w:rPr>
        <w:t>中A类板的有关规定；应用于外墙内保温系统时，应符合现行行业标准《</w:t>
      </w:r>
      <w:r>
        <w:rPr>
          <w:rFonts w:hint="eastAsia"/>
          <w:bCs/>
          <w:color w:val="auto"/>
          <w:sz w:val="24"/>
          <w:szCs w:val="24"/>
          <w:highlight w:val="none"/>
          <w:lang w:eastAsia="zh-CN"/>
        </w:rPr>
        <w:t>纤维增强硅酸钙板 第1部分：无石棉硅酸钙板</w:t>
      </w:r>
      <w:r>
        <w:rPr>
          <w:bCs/>
          <w:color w:val="auto"/>
          <w:sz w:val="24"/>
          <w:szCs w:val="24"/>
          <w:highlight w:val="none"/>
        </w:rPr>
        <w:t>》</w:t>
      </w:r>
      <w:r>
        <w:rPr>
          <w:rFonts w:hint="eastAsia"/>
          <w:bCs/>
          <w:color w:val="auto"/>
          <w:sz w:val="24"/>
          <w:szCs w:val="24"/>
          <w:highlight w:val="none"/>
          <w:lang w:eastAsia="zh-CN"/>
        </w:rPr>
        <w:t>JC/T 564.1</w:t>
      </w:r>
      <w:r>
        <w:rPr>
          <w:bCs/>
          <w:color w:val="auto"/>
          <w:sz w:val="24"/>
          <w:szCs w:val="24"/>
          <w:highlight w:val="none"/>
        </w:rPr>
        <w:t>中C类板的有关规定；</w:t>
      </w:r>
    </w:p>
    <w:p w14:paraId="53B307F3">
      <w:pPr>
        <w:spacing w:line="360" w:lineRule="auto"/>
        <w:ind w:firstLine="482" w:firstLineChars="200"/>
        <w:rPr>
          <w:bCs/>
          <w:color w:val="auto"/>
          <w:sz w:val="24"/>
          <w:szCs w:val="24"/>
          <w:highlight w:val="none"/>
        </w:rPr>
      </w:pPr>
      <w:r>
        <w:rPr>
          <w:b/>
          <w:color w:val="auto"/>
          <w:sz w:val="24"/>
          <w:szCs w:val="24"/>
          <w:highlight w:val="none"/>
        </w:rPr>
        <w:t xml:space="preserve">2 </w:t>
      </w:r>
      <w:r>
        <w:rPr>
          <w:bCs/>
          <w:color w:val="auto"/>
          <w:sz w:val="24"/>
          <w:szCs w:val="24"/>
          <w:highlight w:val="none"/>
        </w:rPr>
        <w:t xml:space="preserve"> 饰面板采用纤维水泥板时，应符合现行行业标准《外墙用非承重纤维增强水泥板》JG/T 396和《纤维水泥平板第 1 部分：无石棉纤维水泥平板》JC/T 412.1中的有关规定；</w:t>
      </w:r>
    </w:p>
    <w:p w14:paraId="5252249B">
      <w:pPr>
        <w:spacing w:line="360" w:lineRule="auto"/>
        <w:ind w:firstLine="482" w:firstLineChars="200"/>
        <w:rPr>
          <w:bCs/>
          <w:color w:val="auto"/>
          <w:sz w:val="24"/>
          <w:szCs w:val="24"/>
          <w:highlight w:val="none"/>
        </w:rPr>
      </w:pPr>
      <w:r>
        <w:rPr>
          <w:b/>
          <w:color w:val="auto"/>
          <w:sz w:val="24"/>
          <w:szCs w:val="24"/>
          <w:highlight w:val="none"/>
        </w:rPr>
        <w:t xml:space="preserve">3 </w:t>
      </w:r>
      <w:r>
        <w:rPr>
          <w:bCs/>
          <w:color w:val="auto"/>
          <w:sz w:val="24"/>
          <w:szCs w:val="24"/>
          <w:highlight w:val="none"/>
        </w:rPr>
        <w:t xml:space="preserve"> 饰面板采用薄型陶瓷板时，薄型陶瓷板性能应符合</w:t>
      </w:r>
      <w:r>
        <w:rPr>
          <w:rFonts w:hint="eastAsia"/>
          <w:bCs/>
          <w:color w:val="auto"/>
          <w:sz w:val="24"/>
          <w:szCs w:val="24"/>
          <w:highlight w:val="none"/>
        </w:rPr>
        <w:t>现行团体标准《薄型陶瓷饰面保温装饰板应用技术规程》T</w:t>
      </w:r>
      <w:r>
        <w:rPr>
          <w:bCs/>
          <w:color w:val="auto"/>
          <w:sz w:val="24"/>
          <w:szCs w:val="24"/>
          <w:highlight w:val="none"/>
        </w:rPr>
        <w:t>/</w:t>
      </w:r>
      <w:r>
        <w:rPr>
          <w:rFonts w:hint="eastAsia"/>
          <w:bCs/>
          <w:color w:val="auto"/>
          <w:sz w:val="24"/>
          <w:szCs w:val="24"/>
          <w:highlight w:val="none"/>
        </w:rPr>
        <w:t>CECS 555</w:t>
      </w:r>
      <w:r>
        <w:rPr>
          <w:bCs/>
          <w:color w:val="auto"/>
          <w:sz w:val="24"/>
          <w:szCs w:val="24"/>
          <w:highlight w:val="none"/>
        </w:rPr>
        <w:t>的有关规定</w:t>
      </w:r>
      <w:r>
        <w:rPr>
          <w:rFonts w:hint="eastAsia"/>
          <w:bCs/>
          <w:color w:val="auto"/>
          <w:sz w:val="24"/>
          <w:szCs w:val="24"/>
          <w:highlight w:val="none"/>
        </w:rPr>
        <w:t>；</w:t>
      </w:r>
    </w:p>
    <w:p w14:paraId="5C2D77B0">
      <w:pPr>
        <w:spacing w:line="360" w:lineRule="auto"/>
        <w:ind w:firstLine="480" w:firstLineChars="200"/>
        <w:rPr>
          <w:bCs/>
          <w:color w:val="auto"/>
          <w:sz w:val="24"/>
          <w:szCs w:val="24"/>
          <w:highlight w:val="none"/>
        </w:rPr>
      </w:pPr>
      <w:r>
        <w:rPr>
          <w:bCs/>
          <w:color w:val="auto"/>
          <w:sz w:val="24"/>
          <w:szCs w:val="24"/>
          <w:highlight w:val="none"/>
        </w:rPr>
        <w:t>4  饰面板采用薄石材板时，花岗岩面板的性能应符合现行国家标准《</w:t>
      </w:r>
      <w:r>
        <w:rPr>
          <w:rFonts w:hint="eastAsia"/>
          <w:bCs/>
          <w:color w:val="auto"/>
          <w:sz w:val="24"/>
          <w:szCs w:val="24"/>
          <w:highlight w:val="none"/>
          <w:lang w:eastAsia="zh-CN"/>
        </w:rPr>
        <w:t>天然花岗石建筑板材</w:t>
      </w:r>
      <w:r>
        <w:rPr>
          <w:bCs/>
          <w:color w:val="auto"/>
          <w:sz w:val="24"/>
          <w:szCs w:val="24"/>
          <w:highlight w:val="none"/>
        </w:rPr>
        <w:t>》</w:t>
      </w:r>
      <w:r>
        <w:rPr>
          <w:rFonts w:hint="eastAsia"/>
          <w:bCs/>
          <w:color w:val="auto"/>
          <w:sz w:val="24"/>
          <w:szCs w:val="24"/>
          <w:highlight w:val="none"/>
          <w:lang w:eastAsia="zh-CN"/>
        </w:rPr>
        <w:t>GB/T 18601</w:t>
      </w:r>
      <w:r>
        <w:rPr>
          <w:bCs/>
          <w:color w:val="auto"/>
          <w:sz w:val="24"/>
          <w:szCs w:val="24"/>
          <w:highlight w:val="none"/>
        </w:rPr>
        <w:t>的有关规定；大理石面板性能应符合现行国家标准《天然大理石建筑板材》GB/T 19766的有关规定；</w:t>
      </w:r>
    </w:p>
    <w:p w14:paraId="3966F31B">
      <w:pPr>
        <w:spacing w:line="360" w:lineRule="auto"/>
        <w:ind w:firstLine="480" w:firstLineChars="200"/>
        <w:rPr>
          <w:color w:val="auto"/>
          <w:sz w:val="24"/>
          <w:highlight w:val="none"/>
        </w:rPr>
      </w:pPr>
      <w:r>
        <w:rPr>
          <w:bCs/>
          <w:color w:val="auto"/>
          <w:sz w:val="24"/>
          <w:szCs w:val="24"/>
          <w:highlight w:val="none"/>
        </w:rPr>
        <w:t>5  饰面板采用金属板时，铝合金涂层面板厚度不应小于1.2mm，其性能应符合现行行业标准《</w:t>
      </w:r>
      <w:r>
        <w:rPr>
          <w:rFonts w:hint="eastAsia"/>
          <w:bCs/>
          <w:color w:val="auto"/>
          <w:sz w:val="24"/>
          <w:szCs w:val="24"/>
          <w:highlight w:val="none"/>
          <w:lang w:eastAsia="zh-CN"/>
        </w:rPr>
        <w:t>铝及铝合金彩色涂层板、带材</w:t>
      </w:r>
      <w:r>
        <w:rPr>
          <w:bCs/>
          <w:color w:val="auto"/>
          <w:sz w:val="24"/>
          <w:szCs w:val="24"/>
          <w:highlight w:val="none"/>
        </w:rPr>
        <w:t>》</w:t>
      </w:r>
      <w:r>
        <w:rPr>
          <w:rFonts w:hint="eastAsia"/>
          <w:bCs/>
          <w:color w:val="auto"/>
          <w:sz w:val="24"/>
          <w:szCs w:val="24"/>
          <w:highlight w:val="none"/>
          <w:lang w:eastAsia="zh-CN"/>
        </w:rPr>
        <w:t>YS/T 431</w:t>
      </w:r>
      <w:r>
        <w:rPr>
          <w:bCs/>
          <w:color w:val="auto"/>
          <w:sz w:val="24"/>
          <w:szCs w:val="24"/>
          <w:highlight w:val="none"/>
        </w:rPr>
        <w:t>的有关规定；彩色涂层钢板厚度不应小于0.8mm，其性能应符合现行国家标准《彩色涂层钢板及钢带》GB/T 12754的有关规定。</w:t>
      </w:r>
    </w:p>
    <w:p w14:paraId="31F78AF8">
      <w:pPr>
        <w:pStyle w:val="27"/>
        <w:numPr>
          <w:ilvl w:val="1"/>
          <w:numId w:val="2"/>
        </w:numPr>
        <w:ind w:left="567" w:firstLineChars="0"/>
        <w:jc w:val="center"/>
        <w:outlineLvl w:val="1"/>
        <w:rPr>
          <w:bCs/>
          <w:color w:val="auto"/>
          <w:sz w:val="28"/>
          <w:szCs w:val="24"/>
          <w:highlight w:val="none"/>
        </w:rPr>
      </w:pPr>
      <w:bookmarkStart w:id="23" w:name="_Toc141875139"/>
      <w:bookmarkStart w:id="24" w:name="_Toc24865"/>
      <w:r>
        <w:rPr>
          <w:bCs/>
          <w:color w:val="auto"/>
          <w:sz w:val="28"/>
          <w:szCs w:val="24"/>
          <w:highlight w:val="none"/>
        </w:rPr>
        <w:t>配套材料</w:t>
      </w:r>
      <w:bookmarkEnd w:id="23"/>
      <w:bookmarkEnd w:id="24"/>
    </w:p>
    <w:p w14:paraId="3464688F">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套装双真空保温隔热板薄抹灰外墙外保温系统配套材料应符合下列规定：</w:t>
      </w:r>
    </w:p>
    <w:p w14:paraId="70BD715F">
      <w:pPr>
        <w:spacing w:line="360" w:lineRule="auto"/>
        <w:jc w:val="left"/>
        <w:rPr>
          <w:bCs/>
          <w:color w:val="auto"/>
          <w:sz w:val="24"/>
          <w:szCs w:val="22"/>
          <w:highlight w:val="none"/>
        </w:rPr>
      </w:pPr>
      <w:r>
        <w:rPr>
          <w:bCs/>
          <w:color w:val="auto"/>
          <w:sz w:val="24"/>
          <w:szCs w:val="22"/>
          <w:highlight w:val="none"/>
        </w:rPr>
        <w:t xml:space="preserve">   </w:t>
      </w:r>
      <w:r>
        <w:rPr>
          <w:b/>
          <w:color w:val="auto"/>
          <w:sz w:val="24"/>
          <w:szCs w:val="22"/>
          <w:highlight w:val="none"/>
        </w:rPr>
        <w:t>1</w:t>
      </w:r>
      <w:r>
        <w:rPr>
          <w:bCs/>
          <w:color w:val="auto"/>
          <w:sz w:val="24"/>
          <w:szCs w:val="22"/>
          <w:highlight w:val="none"/>
        </w:rPr>
        <w:t xml:space="preserve">  粘结砂浆性能指标应符合表4.4.1-1的规定；</w:t>
      </w:r>
    </w:p>
    <w:p w14:paraId="4F1EB678">
      <w:pPr>
        <w:spacing w:line="360" w:lineRule="auto"/>
        <w:jc w:val="left"/>
        <w:rPr>
          <w:bCs/>
          <w:color w:val="auto"/>
          <w:sz w:val="24"/>
          <w:szCs w:val="22"/>
          <w:highlight w:val="none"/>
        </w:rPr>
      </w:pPr>
      <w:r>
        <w:rPr>
          <w:bCs/>
          <w:color w:val="auto"/>
          <w:sz w:val="24"/>
          <w:szCs w:val="22"/>
          <w:highlight w:val="none"/>
        </w:rPr>
        <w:t xml:space="preserve">  </w:t>
      </w:r>
      <w:r>
        <w:rPr>
          <w:b/>
          <w:color w:val="auto"/>
          <w:sz w:val="24"/>
          <w:szCs w:val="22"/>
          <w:highlight w:val="none"/>
        </w:rPr>
        <w:t xml:space="preserve"> 2</w:t>
      </w:r>
      <w:r>
        <w:rPr>
          <w:bCs/>
          <w:color w:val="auto"/>
          <w:sz w:val="24"/>
          <w:szCs w:val="22"/>
          <w:highlight w:val="none"/>
        </w:rPr>
        <w:t xml:space="preserve">  抹面胶浆采用的砂粒最大粒径不应大于抹灰层厚度的三分之一，其性能指标应符合表4.4.1-2的规定；</w:t>
      </w:r>
    </w:p>
    <w:p w14:paraId="20D98477">
      <w:pPr>
        <w:spacing w:line="360" w:lineRule="auto"/>
        <w:jc w:val="left"/>
        <w:rPr>
          <w:bCs/>
          <w:color w:val="auto"/>
          <w:sz w:val="24"/>
          <w:szCs w:val="22"/>
          <w:highlight w:val="none"/>
        </w:rPr>
      </w:pPr>
      <w:r>
        <w:rPr>
          <w:bCs/>
          <w:color w:val="auto"/>
          <w:sz w:val="24"/>
          <w:szCs w:val="22"/>
          <w:highlight w:val="none"/>
        </w:rPr>
        <w:t xml:space="preserve">   </w:t>
      </w:r>
      <w:r>
        <w:rPr>
          <w:b/>
          <w:color w:val="auto"/>
          <w:sz w:val="24"/>
          <w:szCs w:val="22"/>
          <w:highlight w:val="none"/>
        </w:rPr>
        <w:t>3</w:t>
      </w:r>
      <w:r>
        <w:rPr>
          <w:bCs/>
          <w:color w:val="auto"/>
          <w:sz w:val="24"/>
          <w:szCs w:val="22"/>
          <w:highlight w:val="none"/>
        </w:rPr>
        <w:t xml:space="preserve">  玻纤网性能指标应符合表4.4.1-3的规定；</w:t>
      </w:r>
    </w:p>
    <w:p w14:paraId="07495A61">
      <w:pPr>
        <w:spacing w:line="360" w:lineRule="auto"/>
        <w:jc w:val="left"/>
        <w:rPr>
          <w:b/>
          <w:color w:val="auto"/>
          <w:sz w:val="24"/>
          <w:szCs w:val="22"/>
          <w:highlight w:val="none"/>
        </w:rPr>
      </w:pPr>
      <w:r>
        <w:rPr>
          <w:bCs/>
          <w:color w:val="auto"/>
          <w:sz w:val="24"/>
          <w:szCs w:val="22"/>
          <w:highlight w:val="none"/>
        </w:rPr>
        <w:t xml:space="preserve">   </w:t>
      </w:r>
      <w:r>
        <w:rPr>
          <w:b/>
          <w:color w:val="auto"/>
          <w:sz w:val="24"/>
          <w:szCs w:val="22"/>
          <w:highlight w:val="none"/>
        </w:rPr>
        <w:t xml:space="preserve">4  </w:t>
      </w:r>
      <w:r>
        <w:rPr>
          <w:bCs/>
          <w:color w:val="auto"/>
          <w:sz w:val="24"/>
          <w:szCs w:val="22"/>
          <w:highlight w:val="none"/>
        </w:rPr>
        <w:t>锚栓应符合现行行业标准《外墙保温用锚栓》JG/T 366的有关规定，主要性能指标应符合表4.4.1-4的规定。</w:t>
      </w:r>
    </w:p>
    <w:p w14:paraId="76F3A2D6">
      <w:pPr>
        <w:widowControl/>
        <w:autoSpaceDE w:val="0"/>
        <w:autoSpaceDN w:val="0"/>
        <w:spacing w:before="156" w:beforeLines="50" w:after="156" w:afterLines="50"/>
        <w:jc w:val="center"/>
        <w:rPr>
          <w:color w:val="auto"/>
          <w:highlight w:val="none"/>
        </w:rPr>
      </w:pPr>
      <w:r>
        <w:rPr>
          <w:color w:val="auto"/>
          <w:highlight w:val="none"/>
        </w:rPr>
        <w:t>表4.4.1-1 粘结砂浆性能指标</w:t>
      </w:r>
    </w:p>
    <w:tbl>
      <w:tblPr>
        <w:tblStyle w:val="18"/>
        <w:tblW w:w="8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708"/>
        <w:gridCol w:w="2127"/>
        <w:gridCol w:w="1559"/>
        <w:gridCol w:w="2126"/>
      </w:tblGrid>
      <w:tr w14:paraId="1BC38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80" w:type="dxa"/>
            <w:gridSpan w:val="3"/>
            <w:tcBorders>
              <w:top w:val="single" w:color="auto" w:sz="12" w:space="0"/>
              <w:left w:val="single" w:color="auto" w:sz="12" w:space="0"/>
              <w:bottom w:val="single" w:color="auto" w:sz="4" w:space="0"/>
              <w:right w:val="single" w:color="auto" w:sz="4" w:space="0"/>
            </w:tcBorders>
            <w:vAlign w:val="center"/>
          </w:tcPr>
          <w:p w14:paraId="30B145E9">
            <w:pPr>
              <w:jc w:val="center"/>
              <w:rPr>
                <w:color w:val="auto"/>
                <w:kern w:val="2"/>
                <w:highlight w:val="none"/>
              </w:rPr>
            </w:pPr>
            <w:r>
              <w:rPr>
                <w:color w:val="auto"/>
                <w:highlight w:val="none"/>
              </w:rPr>
              <w:t>项目</w:t>
            </w:r>
          </w:p>
        </w:tc>
        <w:tc>
          <w:tcPr>
            <w:tcW w:w="1559" w:type="dxa"/>
            <w:tcBorders>
              <w:top w:val="single" w:color="auto" w:sz="12" w:space="0"/>
              <w:left w:val="nil"/>
              <w:bottom w:val="single" w:color="auto" w:sz="4" w:space="0"/>
              <w:right w:val="single" w:color="auto" w:sz="4" w:space="0"/>
            </w:tcBorders>
            <w:vAlign w:val="center"/>
          </w:tcPr>
          <w:p w14:paraId="7E2B5D61">
            <w:pPr>
              <w:jc w:val="center"/>
              <w:rPr>
                <w:color w:val="auto"/>
                <w:highlight w:val="none"/>
              </w:rPr>
            </w:pPr>
            <w:r>
              <w:rPr>
                <w:color w:val="auto"/>
                <w:highlight w:val="none"/>
              </w:rPr>
              <w:t>指标</w:t>
            </w:r>
          </w:p>
        </w:tc>
        <w:tc>
          <w:tcPr>
            <w:tcW w:w="2126" w:type="dxa"/>
            <w:tcBorders>
              <w:top w:val="single" w:color="auto" w:sz="12" w:space="0"/>
              <w:left w:val="nil"/>
              <w:bottom w:val="single" w:color="auto" w:sz="4" w:space="0"/>
              <w:right w:val="single" w:color="auto" w:sz="12" w:space="0"/>
            </w:tcBorders>
            <w:vAlign w:val="center"/>
          </w:tcPr>
          <w:p w14:paraId="3B05E0A2">
            <w:pPr>
              <w:jc w:val="center"/>
              <w:rPr>
                <w:color w:val="auto"/>
                <w:highlight w:val="none"/>
              </w:rPr>
            </w:pPr>
            <w:r>
              <w:rPr>
                <w:color w:val="auto"/>
                <w:highlight w:val="none"/>
              </w:rPr>
              <w:t>试验方法</w:t>
            </w:r>
          </w:p>
        </w:tc>
      </w:tr>
      <w:tr w14:paraId="0C8F1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545" w:type="dxa"/>
            <w:vMerge w:val="restart"/>
            <w:tcBorders>
              <w:top w:val="nil"/>
              <w:left w:val="single" w:color="auto" w:sz="12" w:space="0"/>
              <w:bottom w:val="single" w:color="auto" w:sz="4" w:space="0"/>
              <w:right w:val="single" w:color="auto" w:sz="4" w:space="0"/>
            </w:tcBorders>
            <w:vAlign w:val="center"/>
          </w:tcPr>
          <w:p w14:paraId="0ECA9355">
            <w:pPr>
              <w:jc w:val="center"/>
              <w:rPr>
                <w:color w:val="auto"/>
                <w:highlight w:val="none"/>
              </w:rPr>
            </w:pPr>
            <w:r>
              <w:rPr>
                <w:color w:val="auto"/>
                <w:highlight w:val="none"/>
              </w:rPr>
              <w:t>与水泥砂浆拉伸粘结强度</w:t>
            </w:r>
            <w:r>
              <w:rPr>
                <w:rFonts w:hint="eastAsia"/>
                <w:color w:val="auto"/>
                <w:highlight w:val="none"/>
                <w:lang w:eastAsia="zh-CN"/>
              </w:rPr>
              <w:t>（</w:t>
            </w:r>
            <w:r>
              <w:rPr>
                <w:color w:val="auto"/>
                <w:highlight w:val="none"/>
              </w:rPr>
              <w:t>MPa</w:t>
            </w:r>
            <w:r>
              <w:rPr>
                <w:rFonts w:hint="eastAsia"/>
                <w:color w:val="auto"/>
                <w:highlight w:val="none"/>
                <w:lang w:eastAsia="zh-CN"/>
              </w:rPr>
              <w:t>）</w:t>
            </w:r>
          </w:p>
        </w:tc>
        <w:tc>
          <w:tcPr>
            <w:tcW w:w="2835" w:type="dxa"/>
            <w:gridSpan w:val="2"/>
            <w:tcBorders>
              <w:top w:val="single" w:color="auto" w:sz="4" w:space="0"/>
              <w:left w:val="nil"/>
              <w:bottom w:val="single" w:color="auto" w:sz="4" w:space="0"/>
              <w:right w:val="single" w:color="auto" w:sz="4" w:space="0"/>
            </w:tcBorders>
            <w:vAlign w:val="center"/>
          </w:tcPr>
          <w:p w14:paraId="56267FEF">
            <w:pPr>
              <w:jc w:val="center"/>
              <w:rPr>
                <w:color w:val="auto"/>
                <w:highlight w:val="none"/>
              </w:rPr>
            </w:pPr>
            <w:r>
              <w:rPr>
                <w:color w:val="auto"/>
                <w:highlight w:val="none"/>
              </w:rPr>
              <w:t>原强度</w:t>
            </w:r>
          </w:p>
        </w:tc>
        <w:tc>
          <w:tcPr>
            <w:tcW w:w="1559" w:type="dxa"/>
            <w:tcBorders>
              <w:top w:val="single" w:color="auto" w:sz="4" w:space="0"/>
              <w:left w:val="nil"/>
              <w:bottom w:val="single" w:color="auto" w:sz="4" w:space="0"/>
              <w:right w:val="single" w:color="auto" w:sz="4" w:space="0"/>
            </w:tcBorders>
            <w:vAlign w:val="center"/>
          </w:tcPr>
          <w:p w14:paraId="7F3081CB">
            <w:pPr>
              <w:jc w:val="center"/>
              <w:rPr>
                <w:color w:val="auto"/>
                <w:highlight w:val="none"/>
              </w:rPr>
            </w:pPr>
            <w:r>
              <w:rPr>
                <w:rFonts w:hint="eastAsia" w:ascii="宋体" w:hAnsi="宋体" w:eastAsia="宋体" w:cs="宋体"/>
                <w:color w:val="auto"/>
                <w:highlight w:val="none"/>
              </w:rPr>
              <w:t>≥</w:t>
            </w:r>
            <w:r>
              <w:rPr>
                <w:color w:val="auto"/>
                <w:highlight w:val="none"/>
              </w:rPr>
              <w:t>0.60</w:t>
            </w:r>
          </w:p>
        </w:tc>
        <w:tc>
          <w:tcPr>
            <w:tcW w:w="2126" w:type="dxa"/>
            <w:vMerge w:val="restart"/>
            <w:tcBorders>
              <w:top w:val="single" w:color="auto" w:sz="4" w:space="0"/>
              <w:left w:val="nil"/>
              <w:right w:val="single" w:color="auto" w:sz="12" w:space="0"/>
            </w:tcBorders>
            <w:vAlign w:val="center"/>
          </w:tcPr>
          <w:p w14:paraId="62F816D5">
            <w:pPr>
              <w:jc w:val="center"/>
              <w:rPr>
                <w:color w:val="auto"/>
                <w:highlight w:val="none"/>
              </w:rPr>
            </w:pPr>
            <w:r>
              <w:rPr>
                <w:color w:val="auto"/>
                <w:highlight w:val="none"/>
              </w:rPr>
              <w:t>现行国家标准《模塑聚苯板薄抹灰外墙外保温系统材料》GB/T 29906</w:t>
            </w:r>
          </w:p>
        </w:tc>
      </w:tr>
      <w:tr w14:paraId="28C6C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545" w:type="dxa"/>
            <w:vMerge w:val="continue"/>
            <w:tcBorders>
              <w:top w:val="nil"/>
              <w:left w:val="single" w:color="auto" w:sz="12" w:space="0"/>
              <w:bottom w:val="single" w:color="auto" w:sz="4" w:space="0"/>
              <w:right w:val="single" w:color="auto" w:sz="4" w:space="0"/>
            </w:tcBorders>
            <w:vAlign w:val="center"/>
          </w:tcPr>
          <w:p w14:paraId="2E23188E">
            <w:pPr>
              <w:widowControl/>
              <w:jc w:val="center"/>
              <w:rPr>
                <w:color w:val="auto"/>
                <w:kern w:val="2"/>
                <w:highlight w:val="none"/>
              </w:rPr>
            </w:pPr>
          </w:p>
        </w:tc>
        <w:tc>
          <w:tcPr>
            <w:tcW w:w="708" w:type="dxa"/>
            <w:vMerge w:val="restart"/>
            <w:tcBorders>
              <w:top w:val="nil"/>
              <w:left w:val="nil"/>
              <w:right w:val="single" w:color="auto" w:sz="4" w:space="0"/>
            </w:tcBorders>
            <w:vAlign w:val="center"/>
          </w:tcPr>
          <w:p w14:paraId="6A51A353">
            <w:pPr>
              <w:jc w:val="center"/>
              <w:rPr>
                <w:color w:val="auto"/>
                <w:highlight w:val="none"/>
              </w:rPr>
            </w:pPr>
            <w:r>
              <w:rPr>
                <w:color w:val="auto"/>
                <w:highlight w:val="none"/>
              </w:rPr>
              <w:t>耐水强度</w:t>
            </w:r>
          </w:p>
        </w:tc>
        <w:tc>
          <w:tcPr>
            <w:tcW w:w="2127" w:type="dxa"/>
            <w:tcBorders>
              <w:top w:val="single" w:color="auto" w:sz="4" w:space="0"/>
              <w:left w:val="nil"/>
              <w:bottom w:val="single" w:color="auto" w:sz="4" w:space="0"/>
              <w:right w:val="single" w:color="auto" w:sz="4" w:space="0"/>
            </w:tcBorders>
            <w:vAlign w:val="center"/>
          </w:tcPr>
          <w:p w14:paraId="1462AB7F">
            <w:pPr>
              <w:jc w:val="center"/>
              <w:rPr>
                <w:color w:val="auto"/>
                <w:highlight w:val="none"/>
              </w:rPr>
            </w:pPr>
            <w:r>
              <w:rPr>
                <w:color w:val="auto"/>
                <w:highlight w:val="none"/>
              </w:rPr>
              <w:t>浸水48h，干燥2h</w:t>
            </w:r>
          </w:p>
        </w:tc>
        <w:tc>
          <w:tcPr>
            <w:tcW w:w="1559" w:type="dxa"/>
            <w:tcBorders>
              <w:top w:val="single" w:color="auto" w:sz="4" w:space="0"/>
              <w:left w:val="nil"/>
              <w:bottom w:val="single" w:color="auto" w:sz="4" w:space="0"/>
              <w:right w:val="single" w:color="auto" w:sz="4" w:space="0"/>
            </w:tcBorders>
            <w:vAlign w:val="center"/>
          </w:tcPr>
          <w:p w14:paraId="6F680653">
            <w:pPr>
              <w:jc w:val="center"/>
              <w:rPr>
                <w:color w:val="auto"/>
                <w:highlight w:val="none"/>
              </w:rPr>
            </w:pPr>
            <w:r>
              <w:rPr>
                <w:rFonts w:hint="eastAsia" w:ascii="宋体" w:hAnsi="宋体" w:eastAsia="宋体" w:cs="宋体"/>
                <w:color w:val="auto"/>
                <w:highlight w:val="none"/>
              </w:rPr>
              <w:t>≥</w:t>
            </w:r>
            <w:r>
              <w:rPr>
                <w:color w:val="auto"/>
                <w:highlight w:val="none"/>
              </w:rPr>
              <w:t>0.30</w:t>
            </w:r>
          </w:p>
        </w:tc>
        <w:tc>
          <w:tcPr>
            <w:tcW w:w="2126" w:type="dxa"/>
            <w:vMerge w:val="continue"/>
            <w:tcBorders>
              <w:left w:val="nil"/>
              <w:right w:val="single" w:color="auto" w:sz="12" w:space="0"/>
            </w:tcBorders>
            <w:vAlign w:val="center"/>
          </w:tcPr>
          <w:p w14:paraId="7E194033">
            <w:pPr>
              <w:widowControl/>
              <w:jc w:val="center"/>
              <w:rPr>
                <w:color w:val="auto"/>
                <w:kern w:val="2"/>
                <w:highlight w:val="none"/>
              </w:rPr>
            </w:pPr>
          </w:p>
        </w:tc>
      </w:tr>
      <w:tr w14:paraId="2DA5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545" w:type="dxa"/>
            <w:vMerge w:val="continue"/>
            <w:tcBorders>
              <w:top w:val="nil"/>
              <w:left w:val="single" w:color="auto" w:sz="12" w:space="0"/>
              <w:bottom w:val="single" w:color="auto" w:sz="4" w:space="0"/>
              <w:right w:val="single" w:color="auto" w:sz="4" w:space="0"/>
            </w:tcBorders>
            <w:vAlign w:val="center"/>
          </w:tcPr>
          <w:p w14:paraId="38230FC3">
            <w:pPr>
              <w:widowControl/>
              <w:jc w:val="center"/>
              <w:rPr>
                <w:color w:val="auto"/>
                <w:kern w:val="2"/>
                <w:highlight w:val="none"/>
              </w:rPr>
            </w:pPr>
          </w:p>
        </w:tc>
        <w:tc>
          <w:tcPr>
            <w:tcW w:w="708" w:type="dxa"/>
            <w:vMerge w:val="continue"/>
            <w:tcBorders>
              <w:left w:val="nil"/>
              <w:bottom w:val="single" w:color="auto" w:sz="4" w:space="0"/>
              <w:right w:val="single" w:color="auto" w:sz="4" w:space="0"/>
            </w:tcBorders>
            <w:vAlign w:val="center"/>
          </w:tcPr>
          <w:p w14:paraId="4A699FEC">
            <w:pPr>
              <w:widowControl/>
              <w:jc w:val="center"/>
              <w:rPr>
                <w:color w:val="auto"/>
                <w:kern w:val="2"/>
                <w:highlight w:val="none"/>
              </w:rPr>
            </w:pPr>
          </w:p>
        </w:tc>
        <w:tc>
          <w:tcPr>
            <w:tcW w:w="2127" w:type="dxa"/>
            <w:tcBorders>
              <w:top w:val="single" w:color="auto" w:sz="4" w:space="0"/>
              <w:left w:val="nil"/>
              <w:bottom w:val="single" w:color="auto" w:sz="4" w:space="0"/>
              <w:right w:val="single" w:color="auto" w:sz="4" w:space="0"/>
            </w:tcBorders>
            <w:vAlign w:val="center"/>
          </w:tcPr>
          <w:p w14:paraId="28B1CD22">
            <w:pPr>
              <w:jc w:val="center"/>
              <w:rPr>
                <w:color w:val="auto"/>
                <w:highlight w:val="none"/>
              </w:rPr>
            </w:pPr>
            <w:r>
              <w:rPr>
                <w:color w:val="auto"/>
                <w:highlight w:val="none"/>
              </w:rPr>
              <w:t>浸水48h，干燥7d</w:t>
            </w:r>
          </w:p>
        </w:tc>
        <w:tc>
          <w:tcPr>
            <w:tcW w:w="1559" w:type="dxa"/>
            <w:tcBorders>
              <w:top w:val="single" w:color="auto" w:sz="4" w:space="0"/>
              <w:left w:val="nil"/>
              <w:bottom w:val="nil"/>
              <w:right w:val="single" w:color="auto" w:sz="4" w:space="0"/>
            </w:tcBorders>
            <w:vAlign w:val="center"/>
          </w:tcPr>
          <w:p w14:paraId="27549022">
            <w:pPr>
              <w:jc w:val="center"/>
              <w:rPr>
                <w:color w:val="auto"/>
                <w:highlight w:val="none"/>
              </w:rPr>
            </w:pPr>
            <w:r>
              <w:rPr>
                <w:rFonts w:hint="eastAsia" w:ascii="宋体" w:hAnsi="宋体" w:eastAsia="宋体" w:cs="宋体"/>
                <w:color w:val="auto"/>
                <w:highlight w:val="none"/>
              </w:rPr>
              <w:t>≥</w:t>
            </w:r>
            <w:r>
              <w:rPr>
                <w:color w:val="auto"/>
                <w:highlight w:val="none"/>
              </w:rPr>
              <w:t>0.60</w:t>
            </w:r>
          </w:p>
        </w:tc>
        <w:tc>
          <w:tcPr>
            <w:tcW w:w="2126" w:type="dxa"/>
            <w:vMerge w:val="continue"/>
            <w:tcBorders>
              <w:left w:val="nil"/>
              <w:bottom w:val="single" w:color="auto" w:sz="4" w:space="0"/>
              <w:right w:val="single" w:color="auto" w:sz="12" w:space="0"/>
            </w:tcBorders>
            <w:vAlign w:val="center"/>
          </w:tcPr>
          <w:p w14:paraId="79D57CC9">
            <w:pPr>
              <w:widowControl/>
              <w:jc w:val="center"/>
              <w:rPr>
                <w:color w:val="auto"/>
                <w:kern w:val="2"/>
                <w:highlight w:val="none"/>
              </w:rPr>
            </w:pPr>
          </w:p>
        </w:tc>
      </w:tr>
      <w:tr w14:paraId="76F3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45" w:type="dxa"/>
            <w:vMerge w:val="restart"/>
            <w:tcBorders>
              <w:top w:val="nil"/>
              <w:left w:val="single" w:color="auto" w:sz="12" w:space="0"/>
              <w:bottom w:val="single" w:color="auto" w:sz="4" w:space="0"/>
              <w:right w:val="single" w:color="auto" w:sz="4" w:space="0"/>
            </w:tcBorders>
            <w:vAlign w:val="center"/>
          </w:tcPr>
          <w:p w14:paraId="168C38DC">
            <w:pPr>
              <w:jc w:val="center"/>
              <w:rPr>
                <w:color w:val="auto"/>
                <w:highlight w:val="none"/>
              </w:rPr>
            </w:pPr>
            <w:r>
              <w:rPr>
                <w:color w:val="auto"/>
                <w:highlight w:val="none"/>
              </w:rPr>
              <w:t>与套装双真空保温隔热板拉伸粘结强度</w:t>
            </w:r>
            <w:r>
              <w:rPr>
                <w:rFonts w:hint="eastAsia"/>
                <w:color w:val="auto"/>
                <w:highlight w:val="none"/>
                <w:lang w:eastAsia="zh-CN"/>
              </w:rPr>
              <w:t>（</w:t>
            </w:r>
            <w:r>
              <w:rPr>
                <w:color w:val="auto"/>
                <w:highlight w:val="none"/>
              </w:rPr>
              <w:t>MPa</w:t>
            </w:r>
            <w:r>
              <w:rPr>
                <w:rFonts w:hint="eastAsia"/>
                <w:color w:val="auto"/>
                <w:highlight w:val="none"/>
                <w:lang w:eastAsia="zh-CN"/>
              </w:rPr>
              <w:t>）</w:t>
            </w:r>
          </w:p>
        </w:tc>
        <w:tc>
          <w:tcPr>
            <w:tcW w:w="2835" w:type="dxa"/>
            <w:gridSpan w:val="2"/>
            <w:tcBorders>
              <w:top w:val="single" w:color="auto" w:sz="4" w:space="0"/>
              <w:left w:val="nil"/>
              <w:bottom w:val="single" w:color="auto" w:sz="4" w:space="0"/>
              <w:right w:val="single" w:color="auto" w:sz="4" w:space="0"/>
            </w:tcBorders>
            <w:vAlign w:val="center"/>
          </w:tcPr>
          <w:p w14:paraId="3554908B">
            <w:pPr>
              <w:jc w:val="center"/>
              <w:rPr>
                <w:color w:val="auto"/>
                <w:highlight w:val="none"/>
              </w:rPr>
            </w:pPr>
            <w:r>
              <w:rPr>
                <w:color w:val="auto"/>
                <w:highlight w:val="none"/>
              </w:rPr>
              <w:t>原强度</w:t>
            </w:r>
          </w:p>
        </w:tc>
        <w:tc>
          <w:tcPr>
            <w:tcW w:w="1559" w:type="dxa"/>
            <w:tcBorders>
              <w:top w:val="single" w:color="auto" w:sz="4" w:space="0"/>
              <w:left w:val="nil"/>
              <w:bottom w:val="single" w:color="auto" w:sz="4" w:space="0"/>
              <w:right w:val="single" w:color="auto" w:sz="4" w:space="0"/>
            </w:tcBorders>
            <w:vAlign w:val="center"/>
          </w:tcPr>
          <w:p w14:paraId="5460BD4A">
            <w:pPr>
              <w:jc w:val="center"/>
              <w:rPr>
                <w:rFonts w:hint="eastAsia"/>
                <w:color w:val="auto"/>
                <w:highlight w:val="none"/>
              </w:rPr>
            </w:pPr>
            <w:r>
              <w:rPr>
                <w:rFonts w:hint="eastAsia" w:ascii="宋体" w:hAnsi="宋体" w:eastAsia="宋体" w:cs="宋体"/>
                <w:color w:val="auto"/>
                <w:highlight w:val="none"/>
              </w:rPr>
              <w:t>≥</w:t>
            </w:r>
            <w:r>
              <w:rPr>
                <w:color w:val="auto"/>
                <w:highlight w:val="none"/>
              </w:rPr>
              <w:t>0.08</w:t>
            </w:r>
          </w:p>
        </w:tc>
        <w:tc>
          <w:tcPr>
            <w:tcW w:w="2126" w:type="dxa"/>
            <w:vMerge w:val="restart"/>
            <w:tcBorders>
              <w:top w:val="single" w:color="auto" w:sz="4" w:space="0"/>
              <w:left w:val="nil"/>
              <w:right w:val="single" w:color="auto" w:sz="12" w:space="0"/>
            </w:tcBorders>
            <w:vAlign w:val="center"/>
          </w:tcPr>
          <w:p w14:paraId="355646F4">
            <w:pPr>
              <w:jc w:val="center"/>
              <w:rPr>
                <w:color w:val="auto"/>
                <w:kern w:val="2"/>
                <w:highlight w:val="none"/>
              </w:rPr>
            </w:pPr>
            <w:r>
              <w:rPr>
                <w:color w:val="auto"/>
                <w:highlight w:val="none"/>
              </w:rPr>
              <w:t>现行行业标准《建筑用真空绝热板应用技术规程》JGJ/T 416</w:t>
            </w:r>
          </w:p>
        </w:tc>
      </w:tr>
      <w:tr w14:paraId="3DCFD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545" w:type="dxa"/>
            <w:vMerge w:val="continue"/>
            <w:tcBorders>
              <w:top w:val="nil"/>
              <w:left w:val="single" w:color="auto" w:sz="12" w:space="0"/>
              <w:bottom w:val="single" w:color="auto" w:sz="4" w:space="0"/>
              <w:right w:val="single" w:color="auto" w:sz="4" w:space="0"/>
            </w:tcBorders>
            <w:vAlign w:val="center"/>
          </w:tcPr>
          <w:p w14:paraId="3C21284C">
            <w:pPr>
              <w:widowControl/>
              <w:jc w:val="center"/>
              <w:rPr>
                <w:color w:val="auto"/>
                <w:kern w:val="2"/>
                <w:highlight w:val="none"/>
              </w:rPr>
            </w:pPr>
          </w:p>
        </w:tc>
        <w:tc>
          <w:tcPr>
            <w:tcW w:w="708" w:type="dxa"/>
            <w:vMerge w:val="restart"/>
            <w:tcBorders>
              <w:top w:val="nil"/>
              <w:left w:val="nil"/>
              <w:bottom w:val="single" w:color="auto" w:sz="4" w:space="0"/>
              <w:right w:val="single" w:color="auto" w:sz="4" w:space="0"/>
            </w:tcBorders>
            <w:vAlign w:val="center"/>
          </w:tcPr>
          <w:p w14:paraId="29D6ED26">
            <w:pPr>
              <w:jc w:val="center"/>
              <w:rPr>
                <w:color w:val="auto"/>
                <w:highlight w:val="none"/>
              </w:rPr>
            </w:pPr>
            <w:r>
              <w:rPr>
                <w:color w:val="auto"/>
                <w:highlight w:val="none"/>
              </w:rPr>
              <w:t>耐水强度</w:t>
            </w:r>
          </w:p>
        </w:tc>
        <w:tc>
          <w:tcPr>
            <w:tcW w:w="2127" w:type="dxa"/>
            <w:tcBorders>
              <w:top w:val="single" w:color="auto" w:sz="4" w:space="0"/>
              <w:left w:val="nil"/>
              <w:bottom w:val="single" w:color="auto" w:sz="4" w:space="0"/>
              <w:right w:val="single" w:color="auto" w:sz="4" w:space="0"/>
            </w:tcBorders>
            <w:vAlign w:val="center"/>
          </w:tcPr>
          <w:p w14:paraId="668FC48C">
            <w:pPr>
              <w:jc w:val="center"/>
              <w:rPr>
                <w:color w:val="auto"/>
                <w:highlight w:val="none"/>
              </w:rPr>
            </w:pPr>
            <w:r>
              <w:rPr>
                <w:color w:val="auto"/>
                <w:highlight w:val="none"/>
              </w:rPr>
              <w:t>浸水48h，干燥2h</w:t>
            </w:r>
          </w:p>
        </w:tc>
        <w:tc>
          <w:tcPr>
            <w:tcW w:w="1559" w:type="dxa"/>
            <w:tcBorders>
              <w:top w:val="single" w:color="auto" w:sz="4" w:space="0"/>
              <w:left w:val="nil"/>
              <w:bottom w:val="single" w:color="auto" w:sz="4" w:space="0"/>
              <w:right w:val="single" w:color="auto" w:sz="4" w:space="0"/>
            </w:tcBorders>
            <w:vAlign w:val="center"/>
          </w:tcPr>
          <w:p w14:paraId="7CE441B5">
            <w:pPr>
              <w:jc w:val="center"/>
              <w:rPr>
                <w:color w:val="auto"/>
                <w:highlight w:val="none"/>
              </w:rPr>
            </w:pPr>
            <w:r>
              <w:rPr>
                <w:rFonts w:hint="eastAsia" w:ascii="宋体" w:hAnsi="宋体" w:eastAsia="宋体" w:cs="宋体"/>
                <w:color w:val="auto"/>
                <w:highlight w:val="none"/>
              </w:rPr>
              <w:t>≥</w:t>
            </w:r>
            <w:r>
              <w:rPr>
                <w:color w:val="auto"/>
                <w:highlight w:val="none"/>
              </w:rPr>
              <w:t>0.06</w:t>
            </w:r>
          </w:p>
        </w:tc>
        <w:tc>
          <w:tcPr>
            <w:tcW w:w="2126" w:type="dxa"/>
            <w:vMerge w:val="continue"/>
            <w:tcBorders>
              <w:left w:val="nil"/>
              <w:right w:val="single" w:color="auto" w:sz="12" w:space="0"/>
            </w:tcBorders>
            <w:vAlign w:val="center"/>
          </w:tcPr>
          <w:p w14:paraId="7FC3DF8D">
            <w:pPr>
              <w:jc w:val="center"/>
              <w:rPr>
                <w:color w:val="auto"/>
                <w:kern w:val="2"/>
                <w:highlight w:val="none"/>
              </w:rPr>
            </w:pPr>
          </w:p>
        </w:tc>
      </w:tr>
      <w:tr w14:paraId="4D10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545" w:type="dxa"/>
            <w:vMerge w:val="continue"/>
            <w:tcBorders>
              <w:top w:val="nil"/>
              <w:left w:val="single" w:color="auto" w:sz="12" w:space="0"/>
              <w:bottom w:val="single" w:color="auto" w:sz="4" w:space="0"/>
              <w:right w:val="single" w:color="auto" w:sz="4" w:space="0"/>
            </w:tcBorders>
            <w:vAlign w:val="center"/>
          </w:tcPr>
          <w:p w14:paraId="2A041C26">
            <w:pPr>
              <w:widowControl/>
              <w:jc w:val="center"/>
              <w:rPr>
                <w:color w:val="auto"/>
                <w:kern w:val="2"/>
                <w:highlight w:val="none"/>
              </w:rPr>
            </w:pPr>
          </w:p>
        </w:tc>
        <w:tc>
          <w:tcPr>
            <w:tcW w:w="708" w:type="dxa"/>
            <w:vMerge w:val="continue"/>
            <w:tcBorders>
              <w:top w:val="nil"/>
              <w:left w:val="nil"/>
              <w:bottom w:val="single" w:color="auto" w:sz="4" w:space="0"/>
              <w:right w:val="single" w:color="auto" w:sz="4" w:space="0"/>
            </w:tcBorders>
            <w:vAlign w:val="center"/>
          </w:tcPr>
          <w:p w14:paraId="7E1FA6FD">
            <w:pPr>
              <w:widowControl/>
              <w:jc w:val="center"/>
              <w:rPr>
                <w:color w:val="auto"/>
                <w:kern w:val="2"/>
                <w:highlight w:val="none"/>
              </w:rPr>
            </w:pPr>
          </w:p>
        </w:tc>
        <w:tc>
          <w:tcPr>
            <w:tcW w:w="2127" w:type="dxa"/>
            <w:tcBorders>
              <w:top w:val="single" w:color="auto" w:sz="4" w:space="0"/>
              <w:left w:val="nil"/>
              <w:bottom w:val="nil"/>
              <w:right w:val="single" w:color="auto" w:sz="4" w:space="0"/>
            </w:tcBorders>
            <w:vAlign w:val="center"/>
          </w:tcPr>
          <w:p w14:paraId="253615D2">
            <w:pPr>
              <w:jc w:val="center"/>
              <w:rPr>
                <w:color w:val="auto"/>
                <w:highlight w:val="none"/>
              </w:rPr>
            </w:pPr>
            <w:r>
              <w:rPr>
                <w:color w:val="auto"/>
                <w:highlight w:val="none"/>
              </w:rPr>
              <w:t>浸水48h，干燥7d</w:t>
            </w:r>
          </w:p>
        </w:tc>
        <w:tc>
          <w:tcPr>
            <w:tcW w:w="1559" w:type="dxa"/>
            <w:tcBorders>
              <w:top w:val="single" w:color="auto" w:sz="4" w:space="0"/>
              <w:left w:val="nil"/>
              <w:bottom w:val="single" w:color="auto" w:sz="4" w:space="0"/>
              <w:right w:val="single" w:color="auto" w:sz="4" w:space="0"/>
            </w:tcBorders>
            <w:vAlign w:val="center"/>
          </w:tcPr>
          <w:p w14:paraId="21254DF4">
            <w:pPr>
              <w:jc w:val="center"/>
              <w:rPr>
                <w:color w:val="auto"/>
                <w:highlight w:val="none"/>
              </w:rPr>
            </w:pPr>
            <w:r>
              <w:rPr>
                <w:rFonts w:hint="eastAsia" w:ascii="宋体" w:hAnsi="宋体" w:eastAsia="宋体" w:cs="宋体"/>
                <w:color w:val="auto"/>
                <w:highlight w:val="none"/>
              </w:rPr>
              <w:t>≥</w:t>
            </w:r>
            <w:r>
              <w:rPr>
                <w:color w:val="auto"/>
                <w:highlight w:val="none"/>
              </w:rPr>
              <w:t>0.08</w:t>
            </w:r>
          </w:p>
        </w:tc>
        <w:tc>
          <w:tcPr>
            <w:tcW w:w="2126" w:type="dxa"/>
            <w:vMerge w:val="continue"/>
            <w:tcBorders>
              <w:left w:val="nil"/>
              <w:bottom w:val="single" w:color="auto" w:sz="4" w:space="0"/>
              <w:right w:val="single" w:color="auto" w:sz="12" w:space="0"/>
            </w:tcBorders>
            <w:vAlign w:val="center"/>
          </w:tcPr>
          <w:p w14:paraId="1B9FF1EB">
            <w:pPr>
              <w:widowControl/>
              <w:jc w:val="center"/>
              <w:rPr>
                <w:color w:val="auto"/>
                <w:kern w:val="2"/>
                <w:highlight w:val="none"/>
              </w:rPr>
            </w:pPr>
          </w:p>
        </w:tc>
      </w:tr>
      <w:tr w14:paraId="37A8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380" w:type="dxa"/>
            <w:gridSpan w:val="3"/>
            <w:tcBorders>
              <w:top w:val="single" w:color="auto" w:sz="4" w:space="0"/>
              <w:left w:val="single" w:color="auto" w:sz="12" w:space="0"/>
              <w:bottom w:val="single" w:color="auto" w:sz="12" w:space="0"/>
              <w:right w:val="single" w:color="auto" w:sz="4" w:space="0"/>
            </w:tcBorders>
            <w:vAlign w:val="center"/>
          </w:tcPr>
          <w:p w14:paraId="44343CBE">
            <w:pPr>
              <w:jc w:val="center"/>
              <w:rPr>
                <w:rFonts w:hint="eastAsia" w:eastAsia="宋体"/>
                <w:color w:val="auto"/>
                <w:highlight w:val="none"/>
                <w:lang w:eastAsia="zh-CN"/>
              </w:rPr>
            </w:pPr>
            <w:r>
              <w:rPr>
                <w:color w:val="auto"/>
                <w:highlight w:val="none"/>
              </w:rPr>
              <w:t>可操作时间</w:t>
            </w:r>
            <w:r>
              <w:rPr>
                <w:rFonts w:hint="eastAsia"/>
                <w:color w:val="auto"/>
                <w:highlight w:val="none"/>
                <w:lang w:eastAsia="zh-CN"/>
              </w:rPr>
              <w:t>（</w:t>
            </w:r>
            <w:r>
              <w:rPr>
                <w:rFonts w:hint="eastAsia"/>
                <w:color w:val="auto"/>
                <w:highlight w:val="none"/>
                <w:lang w:val="en-US" w:eastAsia="zh-CN"/>
              </w:rPr>
              <w:t>h</w:t>
            </w:r>
            <w:r>
              <w:rPr>
                <w:rFonts w:hint="eastAsia"/>
                <w:color w:val="auto"/>
                <w:highlight w:val="none"/>
                <w:lang w:eastAsia="zh-CN"/>
              </w:rPr>
              <w:t>）</w:t>
            </w:r>
          </w:p>
        </w:tc>
        <w:tc>
          <w:tcPr>
            <w:tcW w:w="1559" w:type="dxa"/>
            <w:tcBorders>
              <w:top w:val="single" w:color="auto" w:sz="4" w:space="0"/>
              <w:left w:val="nil"/>
              <w:bottom w:val="single" w:color="auto" w:sz="12" w:space="0"/>
              <w:right w:val="single" w:color="auto" w:sz="4" w:space="0"/>
            </w:tcBorders>
            <w:vAlign w:val="center"/>
          </w:tcPr>
          <w:p w14:paraId="4625F18D">
            <w:pPr>
              <w:jc w:val="center"/>
              <w:rPr>
                <w:color w:val="auto"/>
                <w:highlight w:val="none"/>
              </w:rPr>
            </w:pPr>
            <w:r>
              <w:rPr>
                <w:color w:val="auto"/>
                <w:highlight w:val="none"/>
              </w:rPr>
              <w:t>1.5～4.0</w:t>
            </w:r>
          </w:p>
        </w:tc>
        <w:tc>
          <w:tcPr>
            <w:tcW w:w="2126" w:type="dxa"/>
            <w:tcBorders>
              <w:top w:val="single" w:color="auto" w:sz="4" w:space="0"/>
              <w:left w:val="nil"/>
              <w:bottom w:val="single" w:color="auto" w:sz="4" w:space="0"/>
              <w:right w:val="single" w:color="auto" w:sz="12" w:space="0"/>
            </w:tcBorders>
            <w:vAlign w:val="center"/>
          </w:tcPr>
          <w:p w14:paraId="1BEC1395">
            <w:pPr>
              <w:jc w:val="center"/>
              <w:rPr>
                <w:color w:val="auto"/>
                <w:kern w:val="2"/>
                <w:highlight w:val="none"/>
              </w:rPr>
            </w:pPr>
            <w:r>
              <w:rPr>
                <w:color w:val="auto"/>
                <w:highlight w:val="none"/>
              </w:rPr>
              <w:t>现行国家标准《模塑聚苯板薄抹灰外墙外保温系统材料》GB/T 29906</w:t>
            </w:r>
          </w:p>
        </w:tc>
      </w:tr>
    </w:tbl>
    <w:p w14:paraId="2D04AA63">
      <w:pPr>
        <w:widowControl/>
        <w:autoSpaceDE w:val="0"/>
        <w:autoSpaceDN w:val="0"/>
        <w:spacing w:before="156" w:beforeLines="50" w:after="156" w:afterLines="50"/>
        <w:jc w:val="center"/>
        <w:rPr>
          <w:color w:val="auto"/>
          <w:highlight w:val="none"/>
        </w:rPr>
      </w:pPr>
      <w:r>
        <w:rPr>
          <w:color w:val="auto"/>
          <w:highlight w:val="none"/>
        </w:rPr>
        <w:t>表4.4.1-2  抹面胶浆性能指标</w:t>
      </w:r>
    </w:p>
    <w:tbl>
      <w:tblPr>
        <w:tblStyle w:val="18"/>
        <w:tblW w:w="8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747"/>
        <w:gridCol w:w="1620"/>
        <w:gridCol w:w="1319"/>
        <w:gridCol w:w="2693"/>
      </w:tblGrid>
      <w:tr w14:paraId="418E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4053" w:type="dxa"/>
            <w:gridSpan w:val="3"/>
            <w:tcBorders>
              <w:top w:val="single" w:color="auto" w:sz="12" w:space="0"/>
              <w:left w:val="single" w:color="auto" w:sz="12" w:space="0"/>
              <w:bottom w:val="single" w:color="auto" w:sz="4" w:space="0"/>
              <w:right w:val="single" w:color="auto" w:sz="4" w:space="0"/>
            </w:tcBorders>
            <w:vAlign w:val="center"/>
          </w:tcPr>
          <w:p w14:paraId="11B0B3E3">
            <w:pPr>
              <w:jc w:val="center"/>
              <w:rPr>
                <w:color w:val="auto"/>
                <w:kern w:val="2"/>
                <w:highlight w:val="none"/>
              </w:rPr>
            </w:pPr>
            <w:r>
              <w:rPr>
                <w:color w:val="auto"/>
                <w:highlight w:val="none"/>
              </w:rPr>
              <w:t>项目</w:t>
            </w:r>
          </w:p>
        </w:tc>
        <w:tc>
          <w:tcPr>
            <w:tcW w:w="1319" w:type="dxa"/>
            <w:tcBorders>
              <w:top w:val="single" w:color="auto" w:sz="12" w:space="0"/>
              <w:left w:val="nil"/>
              <w:bottom w:val="single" w:color="auto" w:sz="4" w:space="0"/>
              <w:right w:val="single" w:color="auto" w:sz="4" w:space="0"/>
            </w:tcBorders>
            <w:vAlign w:val="center"/>
          </w:tcPr>
          <w:p w14:paraId="153604F5">
            <w:pPr>
              <w:jc w:val="center"/>
              <w:rPr>
                <w:color w:val="auto"/>
                <w:highlight w:val="none"/>
              </w:rPr>
            </w:pPr>
            <w:r>
              <w:rPr>
                <w:color w:val="auto"/>
                <w:highlight w:val="none"/>
              </w:rPr>
              <w:t>指标</w:t>
            </w:r>
          </w:p>
        </w:tc>
        <w:tc>
          <w:tcPr>
            <w:tcW w:w="2693" w:type="dxa"/>
            <w:tcBorders>
              <w:top w:val="single" w:color="auto" w:sz="12" w:space="0"/>
              <w:left w:val="nil"/>
              <w:bottom w:val="single" w:color="auto" w:sz="4" w:space="0"/>
              <w:right w:val="single" w:color="auto" w:sz="12" w:space="0"/>
            </w:tcBorders>
            <w:vAlign w:val="center"/>
          </w:tcPr>
          <w:p w14:paraId="0759074E">
            <w:pPr>
              <w:jc w:val="center"/>
              <w:rPr>
                <w:color w:val="auto"/>
                <w:highlight w:val="none"/>
              </w:rPr>
            </w:pPr>
            <w:r>
              <w:rPr>
                <w:color w:val="auto"/>
                <w:highlight w:val="none"/>
              </w:rPr>
              <w:t>试验方法</w:t>
            </w:r>
          </w:p>
        </w:tc>
      </w:tr>
      <w:tr w14:paraId="1516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686" w:type="dxa"/>
            <w:vMerge w:val="restart"/>
            <w:tcBorders>
              <w:top w:val="nil"/>
              <w:left w:val="single" w:color="auto" w:sz="12" w:space="0"/>
              <w:bottom w:val="single" w:color="auto" w:sz="4" w:space="0"/>
              <w:right w:val="single" w:color="auto" w:sz="4" w:space="0"/>
            </w:tcBorders>
            <w:vAlign w:val="center"/>
          </w:tcPr>
          <w:p w14:paraId="00FAE6CC">
            <w:pPr>
              <w:jc w:val="center"/>
              <w:rPr>
                <w:color w:val="auto"/>
                <w:highlight w:val="none"/>
              </w:rPr>
            </w:pPr>
            <w:r>
              <w:rPr>
                <w:color w:val="auto"/>
                <w:highlight w:val="none"/>
              </w:rPr>
              <w:t>与套装双真空保温隔热板拉伸粘结强度（MPa）</w:t>
            </w:r>
          </w:p>
        </w:tc>
        <w:tc>
          <w:tcPr>
            <w:tcW w:w="2367" w:type="dxa"/>
            <w:gridSpan w:val="2"/>
            <w:tcBorders>
              <w:top w:val="single" w:color="auto" w:sz="4" w:space="0"/>
              <w:left w:val="nil"/>
              <w:bottom w:val="single" w:color="auto" w:sz="4" w:space="0"/>
              <w:right w:val="single" w:color="auto" w:sz="4" w:space="0"/>
            </w:tcBorders>
            <w:vAlign w:val="center"/>
          </w:tcPr>
          <w:p w14:paraId="4D44554F">
            <w:pPr>
              <w:jc w:val="center"/>
              <w:rPr>
                <w:color w:val="auto"/>
                <w:highlight w:val="none"/>
              </w:rPr>
            </w:pPr>
            <w:r>
              <w:rPr>
                <w:color w:val="auto"/>
                <w:highlight w:val="none"/>
              </w:rPr>
              <w:t>原强度</w:t>
            </w:r>
          </w:p>
        </w:tc>
        <w:tc>
          <w:tcPr>
            <w:tcW w:w="1319" w:type="dxa"/>
            <w:tcBorders>
              <w:top w:val="single" w:color="auto" w:sz="4" w:space="0"/>
              <w:left w:val="nil"/>
              <w:bottom w:val="single" w:color="auto" w:sz="4" w:space="0"/>
              <w:right w:val="single" w:color="auto" w:sz="4" w:space="0"/>
            </w:tcBorders>
            <w:vAlign w:val="center"/>
          </w:tcPr>
          <w:p w14:paraId="4F5B3F80">
            <w:pPr>
              <w:jc w:val="center"/>
              <w:rPr>
                <w:color w:val="auto"/>
                <w:highlight w:val="none"/>
              </w:rPr>
            </w:pPr>
            <w:r>
              <w:rPr>
                <w:rFonts w:hint="eastAsia" w:ascii="宋体" w:hAnsi="宋体" w:eastAsia="宋体" w:cs="宋体"/>
                <w:color w:val="auto"/>
                <w:highlight w:val="none"/>
              </w:rPr>
              <w:t>≥</w:t>
            </w:r>
            <w:r>
              <w:rPr>
                <w:color w:val="auto"/>
                <w:highlight w:val="none"/>
              </w:rPr>
              <w:t>0.08</w:t>
            </w:r>
          </w:p>
        </w:tc>
        <w:tc>
          <w:tcPr>
            <w:tcW w:w="2693" w:type="dxa"/>
            <w:vMerge w:val="restart"/>
            <w:tcBorders>
              <w:top w:val="single" w:color="auto" w:sz="4" w:space="0"/>
              <w:left w:val="nil"/>
              <w:bottom w:val="single" w:color="auto" w:sz="4" w:space="0"/>
              <w:right w:val="single" w:color="auto" w:sz="12" w:space="0"/>
            </w:tcBorders>
            <w:vAlign w:val="center"/>
          </w:tcPr>
          <w:p w14:paraId="76C80DA2">
            <w:pPr>
              <w:rPr>
                <w:color w:val="auto"/>
                <w:highlight w:val="none"/>
              </w:rPr>
            </w:pPr>
            <w:r>
              <w:rPr>
                <w:color w:val="auto"/>
                <w:highlight w:val="none"/>
              </w:rPr>
              <w:t>现行行业标准《建筑用真空绝热板应用技术规程》JGJ/T 416</w:t>
            </w:r>
          </w:p>
        </w:tc>
      </w:tr>
      <w:tr w14:paraId="4E3E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686" w:type="dxa"/>
            <w:vMerge w:val="continue"/>
            <w:tcBorders>
              <w:top w:val="nil"/>
              <w:left w:val="single" w:color="auto" w:sz="12" w:space="0"/>
              <w:bottom w:val="single" w:color="auto" w:sz="4" w:space="0"/>
              <w:right w:val="single" w:color="auto" w:sz="4" w:space="0"/>
            </w:tcBorders>
            <w:vAlign w:val="center"/>
          </w:tcPr>
          <w:p w14:paraId="35235397">
            <w:pPr>
              <w:widowControl/>
              <w:jc w:val="center"/>
              <w:rPr>
                <w:color w:val="auto"/>
                <w:kern w:val="2"/>
                <w:highlight w:val="none"/>
              </w:rPr>
            </w:pPr>
          </w:p>
        </w:tc>
        <w:tc>
          <w:tcPr>
            <w:tcW w:w="747" w:type="dxa"/>
            <w:vMerge w:val="restart"/>
            <w:tcBorders>
              <w:top w:val="nil"/>
              <w:left w:val="nil"/>
              <w:bottom w:val="single" w:color="auto" w:sz="4" w:space="0"/>
              <w:right w:val="single" w:color="auto" w:sz="4" w:space="0"/>
            </w:tcBorders>
            <w:vAlign w:val="center"/>
          </w:tcPr>
          <w:p w14:paraId="768BEA04">
            <w:pPr>
              <w:jc w:val="center"/>
              <w:rPr>
                <w:color w:val="auto"/>
                <w:highlight w:val="none"/>
              </w:rPr>
            </w:pPr>
            <w:r>
              <w:rPr>
                <w:color w:val="auto"/>
                <w:highlight w:val="none"/>
              </w:rPr>
              <w:t>耐水强度</w:t>
            </w:r>
          </w:p>
        </w:tc>
        <w:tc>
          <w:tcPr>
            <w:tcW w:w="1620" w:type="dxa"/>
            <w:tcBorders>
              <w:top w:val="single" w:color="auto" w:sz="4" w:space="0"/>
              <w:left w:val="nil"/>
              <w:bottom w:val="single" w:color="auto" w:sz="4" w:space="0"/>
              <w:right w:val="single" w:color="auto" w:sz="4" w:space="0"/>
            </w:tcBorders>
            <w:vAlign w:val="center"/>
          </w:tcPr>
          <w:p w14:paraId="30204CF7">
            <w:pPr>
              <w:jc w:val="center"/>
              <w:rPr>
                <w:color w:val="auto"/>
                <w:highlight w:val="none"/>
              </w:rPr>
            </w:pPr>
            <w:r>
              <w:rPr>
                <w:color w:val="auto"/>
                <w:highlight w:val="none"/>
              </w:rPr>
              <w:t>浸水48h，干燥2h</w:t>
            </w:r>
          </w:p>
        </w:tc>
        <w:tc>
          <w:tcPr>
            <w:tcW w:w="1319" w:type="dxa"/>
            <w:tcBorders>
              <w:top w:val="single" w:color="auto" w:sz="4" w:space="0"/>
              <w:left w:val="nil"/>
              <w:bottom w:val="single" w:color="auto" w:sz="4" w:space="0"/>
              <w:right w:val="single" w:color="auto" w:sz="4" w:space="0"/>
            </w:tcBorders>
            <w:vAlign w:val="center"/>
          </w:tcPr>
          <w:p w14:paraId="4DC85560">
            <w:pPr>
              <w:jc w:val="center"/>
              <w:rPr>
                <w:color w:val="auto"/>
                <w:highlight w:val="none"/>
              </w:rPr>
            </w:pPr>
            <w:r>
              <w:rPr>
                <w:rFonts w:hint="eastAsia" w:ascii="宋体" w:hAnsi="宋体" w:eastAsia="宋体" w:cs="宋体"/>
                <w:color w:val="auto"/>
                <w:highlight w:val="none"/>
              </w:rPr>
              <w:t>≥</w:t>
            </w:r>
            <w:r>
              <w:rPr>
                <w:color w:val="auto"/>
                <w:highlight w:val="none"/>
              </w:rPr>
              <w:t>0.06</w:t>
            </w:r>
          </w:p>
        </w:tc>
        <w:tc>
          <w:tcPr>
            <w:tcW w:w="2693" w:type="dxa"/>
            <w:vMerge w:val="continue"/>
            <w:tcBorders>
              <w:top w:val="single" w:color="auto" w:sz="4" w:space="0"/>
              <w:left w:val="nil"/>
              <w:bottom w:val="single" w:color="auto" w:sz="4" w:space="0"/>
              <w:right w:val="single" w:color="auto" w:sz="12" w:space="0"/>
            </w:tcBorders>
            <w:vAlign w:val="center"/>
          </w:tcPr>
          <w:p w14:paraId="1AFE560D">
            <w:pPr>
              <w:widowControl/>
              <w:rPr>
                <w:color w:val="auto"/>
                <w:kern w:val="2"/>
                <w:highlight w:val="none"/>
              </w:rPr>
            </w:pPr>
          </w:p>
        </w:tc>
      </w:tr>
      <w:tr w14:paraId="1598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686" w:type="dxa"/>
            <w:vMerge w:val="continue"/>
            <w:tcBorders>
              <w:top w:val="nil"/>
              <w:left w:val="single" w:color="auto" w:sz="12" w:space="0"/>
              <w:bottom w:val="single" w:color="auto" w:sz="4" w:space="0"/>
              <w:right w:val="single" w:color="auto" w:sz="4" w:space="0"/>
            </w:tcBorders>
            <w:vAlign w:val="center"/>
          </w:tcPr>
          <w:p w14:paraId="48D0793A">
            <w:pPr>
              <w:widowControl/>
              <w:jc w:val="center"/>
              <w:rPr>
                <w:color w:val="auto"/>
                <w:kern w:val="2"/>
                <w:highlight w:val="none"/>
              </w:rPr>
            </w:pPr>
          </w:p>
        </w:tc>
        <w:tc>
          <w:tcPr>
            <w:tcW w:w="747" w:type="dxa"/>
            <w:vMerge w:val="continue"/>
            <w:tcBorders>
              <w:top w:val="nil"/>
              <w:left w:val="nil"/>
              <w:bottom w:val="single" w:color="auto" w:sz="4" w:space="0"/>
              <w:right w:val="single" w:color="auto" w:sz="4" w:space="0"/>
            </w:tcBorders>
            <w:vAlign w:val="center"/>
          </w:tcPr>
          <w:p w14:paraId="0DADCC8B">
            <w:pPr>
              <w:widowControl/>
              <w:jc w:val="center"/>
              <w:rPr>
                <w:color w:val="auto"/>
                <w:kern w:val="2"/>
                <w:highlight w:val="none"/>
              </w:rPr>
            </w:pPr>
          </w:p>
        </w:tc>
        <w:tc>
          <w:tcPr>
            <w:tcW w:w="1620" w:type="dxa"/>
            <w:tcBorders>
              <w:top w:val="single" w:color="auto" w:sz="4" w:space="0"/>
              <w:left w:val="nil"/>
              <w:bottom w:val="single" w:color="auto" w:sz="4" w:space="0"/>
              <w:right w:val="single" w:color="auto" w:sz="4" w:space="0"/>
            </w:tcBorders>
            <w:vAlign w:val="center"/>
          </w:tcPr>
          <w:p w14:paraId="1172D401">
            <w:pPr>
              <w:jc w:val="center"/>
              <w:rPr>
                <w:color w:val="auto"/>
                <w:highlight w:val="none"/>
              </w:rPr>
            </w:pPr>
            <w:r>
              <w:rPr>
                <w:color w:val="auto"/>
                <w:highlight w:val="none"/>
              </w:rPr>
              <w:t>浸水48h，干燥7d</w:t>
            </w:r>
          </w:p>
        </w:tc>
        <w:tc>
          <w:tcPr>
            <w:tcW w:w="1319" w:type="dxa"/>
            <w:tcBorders>
              <w:top w:val="single" w:color="auto" w:sz="4" w:space="0"/>
              <w:left w:val="nil"/>
              <w:bottom w:val="nil"/>
              <w:right w:val="single" w:color="auto" w:sz="4" w:space="0"/>
            </w:tcBorders>
            <w:vAlign w:val="center"/>
          </w:tcPr>
          <w:p w14:paraId="46441D4B">
            <w:pPr>
              <w:jc w:val="center"/>
              <w:rPr>
                <w:color w:val="auto"/>
                <w:highlight w:val="none"/>
              </w:rPr>
            </w:pPr>
            <w:r>
              <w:rPr>
                <w:rFonts w:hint="eastAsia" w:ascii="宋体" w:hAnsi="宋体" w:eastAsia="宋体" w:cs="宋体"/>
                <w:color w:val="auto"/>
                <w:highlight w:val="none"/>
              </w:rPr>
              <w:t>≥</w:t>
            </w:r>
            <w:r>
              <w:rPr>
                <w:color w:val="auto"/>
                <w:highlight w:val="none"/>
              </w:rPr>
              <w:t>0.08</w:t>
            </w:r>
          </w:p>
        </w:tc>
        <w:tc>
          <w:tcPr>
            <w:tcW w:w="2693" w:type="dxa"/>
            <w:vMerge w:val="continue"/>
            <w:tcBorders>
              <w:top w:val="single" w:color="auto" w:sz="4" w:space="0"/>
              <w:left w:val="nil"/>
              <w:bottom w:val="single" w:color="auto" w:sz="4" w:space="0"/>
              <w:right w:val="single" w:color="auto" w:sz="12" w:space="0"/>
            </w:tcBorders>
            <w:vAlign w:val="center"/>
          </w:tcPr>
          <w:p w14:paraId="65A7F1CD">
            <w:pPr>
              <w:widowControl/>
              <w:rPr>
                <w:color w:val="auto"/>
                <w:kern w:val="2"/>
                <w:highlight w:val="none"/>
              </w:rPr>
            </w:pPr>
          </w:p>
        </w:tc>
      </w:tr>
      <w:tr w14:paraId="060E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686" w:type="dxa"/>
            <w:vMerge w:val="continue"/>
            <w:tcBorders>
              <w:top w:val="nil"/>
              <w:left w:val="single" w:color="auto" w:sz="12" w:space="0"/>
              <w:bottom w:val="single" w:color="auto" w:sz="4" w:space="0"/>
              <w:right w:val="single" w:color="auto" w:sz="4" w:space="0"/>
            </w:tcBorders>
            <w:vAlign w:val="center"/>
          </w:tcPr>
          <w:p w14:paraId="494FAD66">
            <w:pPr>
              <w:widowControl/>
              <w:jc w:val="center"/>
              <w:rPr>
                <w:color w:val="auto"/>
                <w:kern w:val="2"/>
                <w:highlight w:val="none"/>
              </w:rPr>
            </w:pPr>
          </w:p>
        </w:tc>
        <w:tc>
          <w:tcPr>
            <w:tcW w:w="2367" w:type="dxa"/>
            <w:gridSpan w:val="2"/>
            <w:tcBorders>
              <w:top w:val="single" w:color="auto" w:sz="4" w:space="0"/>
              <w:left w:val="nil"/>
              <w:bottom w:val="single" w:color="auto" w:sz="4" w:space="0"/>
              <w:right w:val="single" w:color="auto" w:sz="4" w:space="0"/>
            </w:tcBorders>
            <w:vAlign w:val="center"/>
          </w:tcPr>
          <w:p w14:paraId="016F89C7">
            <w:pPr>
              <w:jc w:val="center"/>
              <w:rPr>
                <w:color w:val="auto"/>
                <w:highlight w:val="none"/>
              </w:rPr>
            </w:pPr>
            <w:r>
              <w:rPr>
                <w:color w:val="auto"/>
                <w:highlight w:val="none"/>
              </w:rPr>
              <w:t>耐冻融强度</w:t>
            </w:r>
          </w:p>
        </w:tc>
        <w:tc>
          <w:tcPr>
            <w:tcW w:w="1319" w:type="dxa"/>
            <w:tcBorders>
              <w:top w:val="single" w:color="auto" w:sz="4" w:space="0"/>
              <w:left w:val="nil"/>
              <w:bottom w:val="nil"/>
              <w:right w:val="single" w:color="auto" w:sz="4" w:space="0"/>
            </w:tcBorders>
            <w:vAlign w:val="center"/>
          </w:tcPr>
          <w:p w14:paraId="0F4DD3F0">
            <w:pPr>
              <w:jc w:val="center"/>
              <w:rPr>
                <w:color w:val="auto"/>
                <w:highlight w:val="none"/>
              </w:rPr>
            </w:pPr>
            <w:r>
              <w:rPr>
                <w:rFonts w:hint="eastAsia" w:ascii="宋体" w:hAnsi="宋体" w:eastAsia="宋体" w:cs="宋体"/>
                <w:color w:val="auto"/>
                <w:highlight w:val="none"/>
              </w:rPr>
              <w:t>≥</w:t>
            </w:r>
            <w:r>
              <w:rPr>
                <w:color w:val="auto"/>
                <w:highlight w:val="none"/>
              </w:rPr>
              <w:t>0.08</w:t>
            </w:r>
          </w:p>
        </w:tc>
        <w:tc>
          <w:tcPr>
            <w:tcW w:w="2693" w:type="dxa"/>
            <w:vMerge w:val="continue"/>
            <w:tcBorders>
              <w:top w:val="single" w:color="auto" w:sz="4" w:space="0"/>
              <w:left w:val="nil"/>
              <w:bottom w:val="single" w:color="auto" w:sz="4" w:space="0"/>
              <w:right w:val="single" w:color="auto" w:sz="12" w:space="0"/>
            </w:tcBorders>
            <w:vAlign w:val="center"/>
          </w:tcPr>
          <w:p w14:paraId="0EE315D0">
            <w:pPr>
              <w:widowControl/>
              <w:rPr>
                <w:color w:val="auto"/>
                <w:kern w:val="2"/>
                <w:highlight w:val="none"/>
              </w:rPr>
            </w:pPr>
          </w:p>
        </w:tc>
      </w:tr>
      <w:tr w14:paraId="1879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4053" w:type="dxa"/>
            <w:gridSpan w:val="3"/>
            <w:tcBorders>
              <w:top w:val="single" w:color="auto" w:sz="4" w:space="0"/>
              <w:left w:val="single" w:color="auto" w:sz="12" w:space="0"/>
              <w:bottom w:val="single" w:color="auto" w:sz="4" w:space="0"/>
              <w:right w:val="single" w:color="auto" w:sz="4" w:space="0"/>
            </w:tcBorders>
            <w:vAlign w:val="center"/>
          </w:tcPr>
          <w:p w14:paraId="79CDA0A9">
            <w:pPr>
              <w:jc w:val="center"/>
              <w:rPr>
                <w:color w:val="auto"/>
                <w:highlight w:val="none"/>
              </w:rPr>
            </w:pPr>
            <w:r>
              <w:rPr>
                <w:color w:val="auto"/>
                <w:highlight w:val="none"/>
              </w:rPr>
              <w:t>压折比</w:t>
            </w:r>
          </w:p>
        </w:tc>
        <w:tc>
          <w:tcPr>
            <w:tcW w:w="1319" w:type="dxa"/>
            <w:tcBorders>
              <w:top w:val="single" w:color="auto" w:sz="4" w:space="0"/>
              <w:left w:val="nil"/>
              <w:bottom w:val="single" w:color="auto" w:sz="4" w:space="0"/>
              <w:right w:val="single" w:color="auto" w:sz="4" w:space="0"/>
            </w:tcBorders>
            <w:vAlign w:val="center"/>
          </w:tcPr>
          <w:p w14:paraId="5682E450">
            <w:pPr>
              <w:jc w:val="center"/>
              <w:rPr>
                <w:color w:val="auto"/>
                <w:highlight w:val="none"/>
              </w:rPr>
            </w:pPr>
            <w:r>
              <w:rPr>
                <w:rFonts w:hint="eastAsia" w:ascii="宋体" w:hAnsi="宋体" w:eastAsia="宋体" w:cs="宋体"/>
                <w:color w:val="auto"/>
                <w:highlight w:val="none"/>
              </w:rPr>
              <w:t>≤</w:t>
            </w:r>
            <w:r>
              <w:rPr>
                <w:color w:val="auto"/>
                <w:highlight w:val="none"/>
              </w:rPr>
              <w:t>3.0</w:t>
            </w:r>
          </w:p>
        </w:tc>
        <w:tc>
          <w:tcPr>
            <w:tcW w:w="2693" w:type="dxa"/>
            <w:vMerge w:val="restart"/>
            <w:tcBorders>
              <w:top w:val="single" w:color="auto" w:sz="4" w:space="0"/>
              <w:left w:val="nil"/>
              <w:bottom w:val="single" w:color="auto" w:sz="4" w:space="0"/>
              <w:right w:val="single" w:color="auto" w:sz="12" w:space="0"/>
            </w:tcBorders>
            <w:vAlign w:val="center"/>
          </w:tcPr>
          <w:p w14:paraId="3418BBF7">
            <w:pPr>
              <w:rPr>
                <w:color w:val="auto"/>
                <w:kern w:val="2"/>
                <w:highlight w:val="none"/>
              </w:rPr>
            </w:pPr>
            <w:r>
              <w:rPr>
                <w:color w:val="auto"/>
                <w:highlight w:val="none"/>
              </w:rPr>
              <w:t>现行国家标准《模塑聚苯板薄抹灰外墙外保温系统材料》GB/T 29906</w:t>
            </w:r>
          </w:p>
        </w:tc>
      </w:tr>
      <w:tr w14:paraId="4DA2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053" w:type="dxa"/>
            <w:gridSpan w:val="3"/>
            <w:tcBorders>
              <w:top w:val="single" w:color="auto" w:sz="4" w:space="0"/>
              <w:left w:val="single" w:color="auto" w:sz="12" w:space="0"/>
              <w:bottom w:val="single" w:color="auto" w:sz="12" w:space="0"/>
              <w:right w:val="single" w:color="auto" w:sz="4" w:space="0"/>
            </w:tcBorders>
            <w:vAlign w:val="center"/>
          </w:tcPr>
          <w:p w14:paraId="323A99F9">
            <w:pPr>
              <w:jc w:val="center"/>
              <w:rPr>
                <w:color w:val="auto"/>
                <w:highlight w:val="none"/>
              </w:rPr>
            </w:pPr>
            <w:r>
              <w:rPr>
                <w:color w:val="auto"/>
                <w:highlight w:val="none"/>
              </w:rPr>
              <w:t>可操作时间（h）</w:t>
            </w:r>
          </w:p>
        </w:tc>
        <w:tc>
          <w:tcPr>
            <w:tcW w:w="1319" w:type="dxa"/>
            <w:tcBorders>
              <w:top w:val="single" w:color="auto" w:sz="4" w:space="0"/>
              <w:left w:val="nil"/>
              <w:bottom w:val="single" w:color="auto" w:sz="12" w:space="0"/>
              <w:right w:val="single" w:color="auto" w:sz="4" w:space="0"/>
            </w:tcBorders>
            <w:vAlign w:val="center"/>
          </w:tcPr>
          <w:p w14:paraId="7A30A2F0">
            <w:pPr>
              <w:jc w:val="center"/>
              <w:rPr>
                <w:color w:val="auto"/>
                <w:highlight w:val="none"/>
              </w:rPr>
            </w:pPr>
            <w:r>
              <w:rPr>
                <w:color w:val="auto"/>
                <w:highlight w:val="none"/>
              </w:rPr>
              <w:t>1.5～4.0</w:t>
            </w:r>
          </w:p>
        </w:tc>
        <w:tc>
          <w:tcPr>
            <w:tcW w:w="2693" w:type="dxa"/>
            <w:vMerge w:val="continue"/>
            <w:tcBorders>
              <w:top w:val="single" w:color="auto" w:sz="4" w:space="0"/>
              <w:left w:val="nil"/>
              <w:bottom w:val="single" w:color="auto" w:sz="4" w:space="0"/>
              <w:right w:val="single" w:color="auto" w:sz="12" w:space="0"/>
            </w:tcBorders>
            <w:vAlign w:val="center"/>
          </w:tcPr>
          <w:p w14:paraId="3F2F8183">
            <w:pPr>
              <w:widowControl/>
              <w:rPr>
                <w:color w:val="auto"/>
                <w:kern w:val="2"/>
                <w:highlight w:val="none"/>
              </w:rPr>
            </w:pPr>
          </w:p>
        </w:tc>
      </w:tr>
    </w:tbl>
    <w:p w14:paraId="7B0749C7">
      <w:pPr>
        <w:widowControl/>
        <w:autoSpaceDE w:val="0"/>
        <w:autoSpaceDN w:val="0"/>
        <w:spacing w:before="156" w:beforeLines="50" w:after="156" w:afterLines="50"/>
        <w:jc w:val="center"/>
        <w:rPr>
          <w:color w:val="auto"/>
          <w:highlight w:val="none"/>
        </w:rPr>
      </w:pPr>
      <w:r>
        <w:rPr>
          <w:color w:val="auto"/>
          <w:highlight w:val="none"/>
        </w:rPr>
        <w:t>表4.4.1-4 玻纤网性能指标</w:t>
      </w:r>
    </w:p>
    <w:tbl>
      <w:tblPr>
        <w:tblStyle w:val="18"/>
        <w:tblW w:w="8080" w:type="dxa"/>
        <w:tblInd w:w="12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04"/>
        <w:gridCol w:w="1999"/>
        <w:gridCol w:w="2977"/>
      </w:tblGrid>
      <w:tr w14:paraId="737D3B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7" w:hRule="atLeast"/>
        </w:trPr>
        <w:tc>
          <w:tcPr>
            <w:tcW w:w="3104" w:type="dxa"/>
            <w:vAlign w:val="center"/>
          </w:tcPr>
          <w:p w14:paraId="1196B138">
            <w:pPr>
              <w:spacing w:line="360" w:lineRule="auto"/>
              <w:jc w:val="center"/>
              <w:rPr>
                <w:bCs/>
                <w:color w:val="auto"/>
                <w:highlight w:val="none"/>
              </w:rPr>
            </w:pPr>
            <w:r>
              <w:rPr>
                <w:bCs/>
                <w:color w:val="auto"/>
                <w:highlight w:val="none"/>
              </w:rPr>
              <w:t>项目</w:t>
            </w:r>
          </w:p>
        </w:tc>
        <w:tc>
          <w:tcPr>
            <w:tcW w:w="1999" w:type="dxa"/>
            <w:vAlign w:val="center"/>
          </w:tcPr>
          <w:p w14:paraId="7444FD2F">
            <w:pPr>
              <w:spacing w:line="360" w:lineRule="auto"/>
              <w:jc w:val="center"/>
              <w:rPr>
                <w:bCs/>
                <w:color w:val="auto"/>
                <w:highlight w:val="none"/>
              </w:rPr>
            </w:pPr>
            <w:r>
              <w:rPr>
                <w:bCs/>
                <w:color w:val="auto"/>
                <w:highlight w:val="none"/>
              </w:rPr>
              <w:t>性能指标</w:t>
            </w:r>
          </w:p>
        </w:tc>
        <w:tc>
          <w:tcPr>
            <w:tcW w:w="2977" w:type="dxa"/>
            <w:vAlign w:val="center"/>
          </w:tcPr>
          <w:p w14:paraId="5DD0FEE5">
            <w:pPr>
              <w:spacing w:line="360" w:lineRule="auto"/>
              <w:jc w:val="center"/>
              <w:rPr>
                <w:bCs/>
                <w:color w:val="auto"/>
                <w:highlight w:val="none"/>
              </w:rPr>
            </w:pPr>
            <w:r>
              <w:rPr>
                <w:bCs/>
                <w:color w:val="auto"/>
                <w:highlight w:val="none"/>
              </w:rPr>
              <w:t>检验方法</w:t>
            </w:r>
          </w:p>
        </w:tc>
      </w:tr>
      <w:tr w14:paraId="6F8FC8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2" w:hRule="atLeast"/>
        </w:trPr>
        <w:tc>
          <w:tcPr>
            <w:tcW w:w="3104" w:type="dxa"/>
            <w:vAlign w:val="center"/>
          </w:tcPr>
          <w:p w14:paraId="7609050E">
            <w:pPr>
              <w:spacing w:line="360" w:lineRule="auto"/>
              <w:jc w:val="center"/>
              <w:rPr>
                <w:bCs/>
                <w:color w:val="auto"/>
                <w:highlight w:val="none"/>
              </w:rPr>
            </w:pPr>
            <w:r>
              <w:rPr>
                <w:bCs/>
                <w:color w:val="auto"/>
                <w:highlight w:val="none"/>
              </w:rPr>
              <w:t>单位面积质量（g/m</w:t>
            </w:r>
            <w:r>
              <w:rPr>
                <w:bCs/>
                <w:color w:val="auto"/>
                <w:highlight w:val="none"/>
                <w:vertAlign w:val="superscript"/>
              </w:rPr>
              <w:t>2</w:t>
            </w:r>
            <w:r>
              <w:rPr>
                <w:bCs/>
                <w:color w:val="auto"/>
                <w:highlight w:val="none"/>
              </w:rPr>
              <w:t>）</w:t>
            </w:r>
          </w:p>
        </w:tc>
        <w:tc>
          <w:tcPr>
            <w:tcW w:w="1999" w:type="dxa"/>
            <w:vAlign w:val="center"/>
          </w:tcPr>
          <w:p w14:paraId="0D0B9E3B">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160</w:t>
            </w:r>
          </w:p>
        </w:tc>
        <w:tc>
          <w:tcPr>
            <w:tcW w:w="2977" w:type="dxa"/>
            <w:vAlign w:val="center"/>
          </w:tcPr>
          <w:p w14:paraId="0E4817C4">
            <w:pPr>
              <w:spacing w:line="360" w:lineRule="auto"/>
              <w:jc w:val="center"/>
              <w:rPr>
                <w:bCs/>
                <w:color w:val="auto"/>
                <w:highlight w:val="none"/>
              </w:rPr>
            </w:pPr>
            <w:bookmarkStart w:id="25" w:name="_Hlk131712832"/>
            <w:r>
              <w:rPr>
                <w:bCs/>
                <w:color w:val="auto"/>
                <w:highlight w:val="none"/>
              </w:rPr>
              <w:t>现行国家标准《增强制品试验方法第3部分:单位面积质量的测定》GB/T 9914.3</w:t>
            </w:r>
            <w:bookmarkEnd w:id="25"/>
          </w:p>
        </w:tc>
      </w:tr>
      <w:tr w14:paraId="0A4B87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3104" w:type="dxa"/>
            <w:vAlign w:val="center"/>
          </w:tcPr>
          <w:p w14:paraId="382845E5">
            <w:pPr>
              <w:spacing w:line="360" w:lineRule="auto"/>
              <w:jc w:val="center"/>
              <w:rPr>
                <w:bCs/>
                <w:color w:val="auto"/>
                <w:highlight w:val="none"/>
              </w:rPr>
            </w:pPr>
            <w:r>
              <w:rPr>
                <w:bCs/>
                <w:color w:val="auto"/>
                <w:highlight w:val="none"/>
              </w:rPr>
              <w:t>耐碱拉伸断裂强力（经、纬向）（N/50mm）</w:t>
            </w:r>
          </w:p>
        </w:tc>
        <w:tc>
          <w:tcPr>
            <w:tcW w:w="1999" w:type="dxa"/>
            <w:vAlign w:val="center"/>
          </w:tcPr>
          <w:p w14:paraId="2C4661CD">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1300</w:t>
            </w:r>
          </w:p>
        </w:tc>
        <w:tc>
          <w:tcPr>
            <w:tcW w:w="2977" w:type="dxa"/>
            <w:vMerge w:val="restart"/>
            <w:vAlign w:val="center"/>
          </w:tcPr>
          <w:p w14:paraId="2E82D2A5">
            <w:pPr>
              <w:spacing w:line="360" w:lineRule="auto"/>
              <w:jc w:val="center"/>
              <w:rPr>
                <w:bCs/>
                <w:color w:val="auto"/>
                <w:highlight w:val="none"/>
              </w:rPr>
            </w:pPr>
            <w:bookmarkStart w:id="26" w:name="_Hlk131712844"/>
            <w:r>
              <w:rPr>
                <w:bCs/>
                <w:color w:val="auto"/>
                <w:highlight w:val="none"/>
              </w:rPr>
              <w:t>现行国家标准《玻璃纤维网布耐碱性试验方法氢氧化钠溶液浸泡法》GB/T 20102</w:t>
            </w:r>
            <w:bookmarkEnd w:id="26"/>
          </w:p>
        </w:tc>
      </w:tr>
      <w:tr w14:paraId="050423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 w:hRule="atLeast"/>
        </w:trPr>
        <w:tc>
          <w:tcPr>
            <w:tcW w:w="3104" w:type="dxa"/>
            <w:vAlign w:val="center"/>
          </w:tcPr>
          <w:p w14:paraId="3FA13508">
            <w:pPr>
              <w:spacing w:line="360" w:lineRule="auto"/>
              <w:jc w:val="center"/>
              <w:rPr>
                <w:bCs/>
                <w:color w:val="auto"/>
                <w:highlight w:val="none"/>
              </w:rPr>
            </w:pPr>
            <w:r>
              <w:rPr>
                <w:bCs/>
                <w:color w:val="auto"/>
                <w:highlight w:val="none"/>
              </w:rPr>
              <w:t>耐碱拉伸断裂强力保留率（经、纬向）（%）</w:t>
            </w:r>
          </w:p>
        </w:tc>
        <w:tc>
          <w:tcPr>
            <w:tcW w:w="1999" w:type="dxa"/>
            <w:vAlign w:val="center"/>
          </w:tcPr>
          <w:p w14:paraId="3D4F2D78">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50</w:t>
            </w:r>
          </w:p>
        </w:tc>
        <w:tc>
          <w:tcPr>
            <w:tcW w:w="2977" w:type="dxa"/>
            <w:vMerge w:val="continue"/>
            <w:vAlign w:val="center"/>
          </w:tcPr>
          <w:p w14:paraId="2B505ACD">
            <w:pPr>
              <w:spacing w:line="360" w:lineRule="auto"/>
              <w:jc w:val="center"/>
              <w:rPr>
                <w:bCs/>
                <w:color w:val="auto"/>
                <w:highlight w:val="none"/>
              </w:rPr>
            </w:pPr>
          </w:p>
        </w:tc>
      </w:tr>
      <w:tr w14:paraId="0CCDFB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 w:hRule="atLeast"/>
        </w:trPr>
        <w:tc>
          <w:tcPr>
            <w:tcW w:w="3104" w:type="dxa"/>
            <w:vAlign w:val="center"/>
          </w:tcPr>
          <w:p w14:paraId="74129E6B">
            <w:pPr>
              <w:spacing w:line="360" w:lineRule="auto"/>
              <w:jc w:val="center"/>
              <w:rPr>
                <w:bCs/>
                <w:color w:val="auto"/>
                <w:highlight w:val="none"/>
              </w:rPr>
            </w:pPr>
            <w:r>
              <w:rPr>
                <w:bCs/>
                <w:color w:val="auto"/>
                <w:highlight w:val="none"/>
              </w:rPr>
              <w:t>断裂伸长率（经、纬向）（%）</w:t>
            </w:r>
          </w:p>
        </w:tc>
        <w:tc>
          <w:tcPr>
            <w:tcW w:w="1999" w:type="dxa"/>
            <w:vAlign w:val="center"/>
          </w:tcPr>
          <w:p w14:paraId="5BD2572F">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5.0</w:t>
            </w:r>
          </w:p>
        </w:tc>
        <w:tc>
          <w:tcPr>
            <w:tcW w:w="2977" w:type="dxa"/>
            <w:vAlign w:val="center"/>
          </w:tcPr>
          <w:p w14:paraId="6A2E1FAB">
            <w:pPr>
              <w:spacing w:line="360" w:lineRule="auto"/>
              <w:jc w:val="center"/>
              <w:rPr>
                <w:bCs/>
                <w:color w:val="auto"/>
                <w:highlight w:val="none"/>
              </w:rPr>
            </w:pPr>
            <w:bookmarkStart w:id="27" w:name="_Hlk131712852"/>
            <w:r>
              <w:rPr>
                <w:bCs/>
                <w:color w:val="auto"/>
                <w:highlight w:val="none"/>
              </w:rPr>
              <w:t>现行国家标准《增强材料机织物试验方法第5部分：玻璃纤维拉伸断裂强力和断裂伸长的测定》GB/T 7689.5</w:t>
            </w:r>
            <w:bookmarkEnd w:id="27"/>
          </w:p>
        </w:tc>
      </w:tr>
      <w:tr w14:paraId="4499A9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 w:hRule="atLeast"/>
        </w:trPr>
        <w:tc>
          <w:tcPr>
            <w:tcW w:w="3104" w:type="dxa"/>
            <w:vAlign w:val="center"/>
          </w:tcPr>
          <w:p w14:paraId="0F5694E7">
            <w:pPr>
              <w:spacing w:line="360" w:lineRule="auto"/>
              <w:jc w:val="center"/>
              <w:rPr>
                <w:bCs/>
                <w:color w:val="auto"/>
                <w:highlight w:val="none"/>
              </w:rPr>
            </w:pPr>
            <w:r>
              <w:rPr>
                <w:bCs/>
                <w:color w:val="auto"/>
                <w:highlight w:val="none"/>
              </w:rPr>
              <w:t>氧化锆（ZrO</w:t>
            </w:r>
            <w:r>
              <w:rPr>
                <w:bCs/>
                <w:color w:val="auto"/>
                <w:highlight w:val="none"/>
                <w:vertAlign w:val="subscript"/>
              </w:rPr>
              <w:t>2</w:t>
            </w:r>
            <w:r>
              <w:rPr>
                <w:bCs/>
                <w:color w:val="auto"/>
                <w:highlight w:val="none"/>
              </w:rPr>
              <w:t>）、氧化钛（TiO</w:t>
            </w:r>
            <w:r>
              <w:rPr>
                <w:bCs/>
                <w:color w:val="auto"/>
                <w:highlight w:val="none"/>
                <w:vertAlign w:val="subscript"/>
              </w:rPr>
              <w:t>2</w:t>
            </w:r>
            <w:r>
              <w:rPr>
                <w:bCs/>
                <w:color w:val="auto"/>
                <w:highlight w:val="none"/>
              </w:rPr>
              <w:t>）含量（%）</w:t>
            </w:r>
          </w:p>
        </w:tc>
        <w:tc>
          <w:tcPr>
            <w:tcW w:w="1999" w:type="dxa"/>
            <w:vAlign w:val="center"/>
          </w:tcPr>
          <w:p w14:paraId="5F5233F2">
            <w:pPr>
              <w:spacing w:line="360" w:lineRule="auto"/>
              <w:jc w:val="center"/>
              <w:rPr>
                <w:bCs/>
                <w:color w:val="auto"/>
                <w:sz w:val="18"/>
                <w:szCs w:val="18"/>
                <w:highlight w:val="none"/>
              </w:rPr>
            </w:pPr>
            <w:r>
              <w:rPr>
                <w:bCs/>
                <w:color w:val="auto"/>
                <w:sz w:val="18"/>
                <w:szCs w:val="18"/>
                <w:highlight w:val="none"/>
              </w:rPr>
              <w:t>ZrO</w:t>
            </w:r>
            <w:r>
              <w:rPr>
                <w:bCs/>
                <w:color w:val="auto"/>
                <w:sz w:val="18"/>
                <w:szCs w:val="18"/>
                <w:highlight w:val="none"/>
                <w:vertAlign w:val="subscript"/>
              </w:rPr>
              <w:t>2</w:t>
            </w:r>
            <w:r>
              <w:rPr>
                <w:bCs/>
                <w:color w:val="auto"/>
                <w:sz w:val="18"/>
                <w:szCs w:val="18"/>
                <w:highlight w:val="none"/>
              </w:rPr>
              <w:t>含量14.5±0.8，</w:t>
            </w:r>
          </w:p>
          <w:p w14:paraId="0CBB0275">
            <w:pPr>
              <w:spacing w:line="360" w:lineRule="auto"/>
              <w:jc w:val="center"/>
              <w:rPr>
                <w:bCs/>
                <w:color w:val="auto"/>
                <w:highlight w:val="none"/>
              </w:rPr>
            </w:pPr>
            <w:r>
              <w:rPr>
                <w:bCs/>
                <w:color w:val="auto"/>
                <w:sz w:val="18"/>
                <w:szCs w:val="18"/>
                <w:highlight w:val="none"/>
              </w:rPr>
              <w:t>TiO</w:t>
            </w:r>
            <w:r>
              <w:rPr>
                <w:bCs/>
                <w:color w:val="auto"/>
                <w:sz w:val="18"/>
                <w:szCs w:val="18"/>
                <w:highlight w:val="none"/>
                <w:vertAlign w:val="subscript"/>
              </w:rPr>
              <w:t>2</w:t>
            </w:r>
            <w:r>
              <w:rPr>
                <w:bCs/>
                <w:color w:val="auto"/>
                <w:sz w:val="18"/>
                <w:szCs w:val="18"/>
                <w:highlight w:val="none"/>
              </w:rPr>
              <w:t>含量6.0±0.5或ZrO</w:t>
            </w:r>
            <w:r>
              <w:rPr>
                <w:bCs/>
                <w:color w:val="auto"/>
                <w:sz w:val="18"/>
                <w:szCs w:val="18"/>
                <w:highlight w:val="none"/>
                <w:vertAlign w:val="subscript"/>
              </w:rPr>
              <w:t>2</w:t>
            </w:r>
            <w:r>
              <w:rPr>
                <w:bCs/>
                <w:color w:val="auto"/>
                <w:sz w:val="18"/>
                <w:szCs w:val="18"/>
                <w:highlight w:val="none"/>
              </w:rPr>
              <w:t>和TiO</w:t>
            </w:r>
            <w:r>
              <w:rPr>
                <w:bCs/>
                <w:color w:val="auto"/>
                <w:sz w:val="18"/>
                <w:szCs w:val="18"/>
                <w:highlight w:val="none"/>
                <w:vertAlign w:val="subscript"/>
              </w:rPr>
              <w:t>2</w:t>
            </w:r>
            <w:r>
              <w:rPr>
                <w:bCs/>
                <w:color w:val="auto"/>
                <w:sz w:val="18"/>
                <w:szCs w:val="18"/>
                <w:highlight w:val="none"/>
              </w:rPr>
              <w:t>的含量</w:t>
            </w:r>
            <w:r>
              <w:rPr>
                <w:rFonts w:hint="eastAsia" w:ascii="宋体" w:hAnsi="宋体" w:eastAsia="宋体" w:cs="宋体"/>
                <w:color w:val="auto"/>
                <w:highlight w:val="none"/>
              </w:rPr>
              <w:t>≥</w:t>
            </w:r>
            <w:r>
              <w:rPr>
                <w:bCs/>
                <w:color w:val="auto"/>
                <w:sz w:val="18"/>
                <w:szCs w:val="18"/>
                <w:highlight w:val="none"/>
              </w:rPr>
              <w:t>19.2，同时ZrO</w:t>
            </w:r>
            <w:r>
              <w:rPr>
                <w:bCs/>
                <w:color w:val="auto"/>
                <w:sz w:val="18"/>
                <w:szCs w:val="18"/>
                <w:highlight w:val="none"/>
                <w:vertAlign w:val="subscript"/>
              </w:rPr>
              <w:t>2</w:t>
            </w:r>
            <w:r>
              <w:rPr>
                <w:bCs/>
                <w:color w:val="auto"/>
                <w:sz w:val="18"/>
                <w:szCs w:val="18"/>
                <w:highlight w:val="none"/>
              </w:rPr>
              <w:t>含量</w:t>
            </w:r>
            <w:r>
              <w:rPr>
                <w:rFonts w:hint="eastAsia" w:ascii="宋体" w:hAnsi="宋体" w:eastAsia="宋体" w:cs="宋体"/>
                <w:color w:val="auto"/>
                <w:highlight w:val="none"/>
              </w:rPr>
              <w:t>≥</w:t>
            </w:r>
            <w:r>
              <w:rPr>
                <w:bCs/>
                <w:color w:val="auto"/>
                <w:sz w:val="18"/>
                <w:szCs w:val="18"/>
                <w:highlight w:val="none"/>
              </w:rPr>
              <w:t>13.7；或ZrO</w:t>
            </w:r>
            <w:r>
              <w:rPr>
                <w:bCs/>
                <w:color w:val="auto"/>
                <w:sz w:val="18"/>
                <w:szCs w:val="18"/>
                <w:highlight w:val="none"/>
                <w:vertAlign w:val="subscript"/>
              </w:rPr>
              <w:t>2</w:t>
            </w:r>
            <w:r>
              <w:rPr>
                <w:bCs/>
                <w:color w:val="auto"/>
                <w:sz w:val="18"/>
                <w:szCs w:val="18"/>
                <w:highlight w:val="none"/>
              </w:rPr>
              <w:t>含量</w:t>
            </w:r>
            <w:r>
              <w:rPr>
                <w:rFonts w:hint="eastAsia" w:ascii="宋体" w:hAnsi="宋体" w:eastAsia="宋体" w:cs="宋体"/>
                <w:color w:val="auto"/>
                <w:highlight w:val="none"/>
              </w:rPr>
              <w:t>≥</w:t>
            </w:r>
            <w:r>
              <w:rPr>
                <w:bCs/>
                <w:color w:val="auto"/>
                <w:sz w:val="18"/>
                <w:szCs w:val="18"/>
                <w:highlight w:val="none"/>
              </w:rPr>
              <w:t>16.0</w:t>
            </w:r>
          </w:p>
        </w:tc>
        <w:tc>
          <w:tcPr>
            <w:tcW w:w="2977" w:type="dxa"/>
            <w:vAlign w:val="center"/>
          </w:tcPr>
          <w:p w14:paraId="3B3CCEAC">
            <w:pPr>
              <w:spacing w:line="360" w:lineRule="auto"/>
              <w:jc w:val="center"/>
              <w:rPr>
                <w:bCs/>
                <w:color w:val="auto"/>
                <w:highlight w:val="none"/>
              </w:rPr>
            </w:pPr>
            <w:r>
              <w:rPr>
                <w:bCs/>
                <w:color w:val="auto"/>
                <w:highlight w:val="none"/>
              </w:rPr>
              <w:t>现行行业标准《耐碱玻璃纤维网布》JC/T 841</w:t>
            </w:r>
          </w:p>
        </w:tc>
      </w:tr>
      <w:tr w14:paraId="41052A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 w:hRule="atLeast"/>
        </w:trPr>
        <w:tc>
          <w:tcPr>
            <w:tcW w:w="3104" w:type="dxa"/>
            <w:vAlign w:val="center"/>
          </w:tcPr>
          <w:p w14:paraId="368BB5B3">
            <w:pPr>
              <w:spacing w:line="360" w:lineRule="auto"/>
              <w:jc w:val="center"/>
              <w:rPr>
                <w:bCs/>
                <w:color w:val="auto"/>
                <w:highlight w:val="none"/>
              </w:rPr>
            </w:pPr>
            <w:r>
              <w:rPr>
                <w:bCs/>
                <w:color w:val="auto"/>
                <w:highlight w:val="none"/>
              </w:rPr>
              <w:t>可燃物含量（%）</w:t>
            </w:r>
          </w:p>
        </w:tc>
        <w:tc>
          <w:tcPr>
            <w:tcW w:w="1999" w:type="dxa"/>
            <w:vAlign w:val="center"/>
          </w:tcPr>
          <w:p w14:paraId="0A22A7AE">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12</w:t>
            </w:r>
          </w:p>
        </w:tc>
        <w:tc>
          <w:tcPr>
            <w:tcW w:w="2977" w:type="dxa"/>
            <w:vAlign w:val="center"/>
          </w:tcPr>
          <w:p w14:paraId="1924EEFF">
            <w:pPr>
              <w:spacing w:line="360" w:lineRule="auto"/>
              <w:jc w:val="center"/>
              <w:rPr>
                <w:bCs/>
                <w:color w:val="auto"/>
                <w:highlight w:val="none"/>
              </w:rPr>
            </w:pPr>
            <w:r>
              <w:rPr>
                <w:bCs/>
                <w:color w:val="auto"/>
                <w:highlight w:val="none"/>
              </w:rPr>
              <w:t>现行国家标准《</w:t>
            </w:r>
            <w:r>
              <w:rPr>
                <w:rFonts w:hint="eastAsia"/>
                <w:bCs/>
                <w:color w:val="auto"/>
                <w:highlight w:val="none"/>
                <w:lang w:eastAsia="zh-CN"/>
              </w:rPr>
              <w:t>增强制品试验方法 第3部分：单位面积质量的测定</w:t>
            </w:r>
            <w:r>
              <w:rPr>
                <w:bCs/>
                <w:color w:val="auto"/>
                <w:highlight w:val="none"/>
              </w:rPr>
              <w:t>》</w:t>
            </w:r>
            <w:r>
              <w:rPr>
                <w:rFonts w:hint="eastAsia"/>
                <w:bCs/>
                <w:color w:val="auto"/>
                <w:highlight w:val="none"/>
                <w:lang w:eastAsia="zh-CN"/>
              </w:rPr>
              <w:t>GB/T 9914.3</w:t>
            </w:r>
          </w:p>
        </w:tc>
      </w:tr>
    </w:tbl>
    <w:p w14:paraId="3C4640D9">
      <w:pPr>
        <w:widowControl/>
        <w:autoSpaceDE w:val="0"/>
        <w:autoSpaceDN w:val="0"/>
        <w:spacing w:before="156" w:beforeLines="50" w:after="156" w:afterLines="50"/>
        <w:jc w:val="center"/>
        <w:rPr>
          <w:color w:val="auto"/>
          <w:highlight w:val="none"/>
        </w:rPr>
      </w:pPr>
      <w:r>
        <w:rPr>
          <w:color w:val="auto"/>
          <w:highlight w:val="none"/>
        </w:rPr>
        <w:t>表4.4.1-5 锚栓主要性能指标</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993"/>
        <w:gridCol w:w="1031"/>
        <w:gridCol w:w="1380"/>
        <w:gridCol w:w="1380"/>
        <w:gridCol w:w="1380"/>
      </w:tblGrid>
      <w:tr w14:paraId="53FE8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112" w:type="dxa"/>
            <w:vMerge w:val="restart"/>
            <w:vAlign w:val="center"/>
          </w:tcPr>
          <w:p w14:paraId="5BBC63C2">
            <w:pPr>
              <w:spacing w:line="360" w:lineRule="auto"/>
              <w:jc w:val="center"/>
              <w:rPr>
                <w:bCs/>
                <w:color w:val="auto"/>
                <w:szCs w:val="20"/>
                <w:highlight w:val="none"/>
              </w:rPr>
            </w:pPr>
            <w:r>
              <w:rPr>
                <w:bCs/>
                <w:color w:val="auto"/>
                <w:szCs w:val="20"/>
                <w:highlight w:val="none"/>
              </w:rPr>
              <w:t>项目</w:t>
            </w:r>
          </w:p>
        </w:tc>
        <w:tc>
          <w:tcPr>
            <w:tcW w:w="6164" w:type="dxa"/>
            <w:gridSpan w:val="5"/>
            <w:vAlign w:val="center"/>
          </w:tcPr>
          <w:p w14:paraId="6A60B67B">
            <w:pPr>
              <w:spacing w:line="360" w:lineRule="auto"/>
              <w:jc w:val="center"/>
              <w:rPr>
                <w:bCs/>
                <w:color w:val="auto"/>
                <w:szCs w:val="20"/>
                <w:highlight w:val="none"/>
              </w:rPr>
            </w:pPr>
            <w:r>
              <w:rPr>
                <w:bCs/>
                <w:color w:val="auto"/>
                <w:szCs w:val="20"/>
                <w:highlight w:val="none"/>
              </w:rPr>
              <w:t>性能指标</w:t>
            </w:r>
          </w:p>
        </w:tc>
      </w:tr>
      <w:tr w14:paraId="2F586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12" w:type="dxa"/>
            <w:vMerge w:val="continue"/>
            <w:vAlign w:val="center"/>
          </w:tcPr>
          <w:p w14:paraId="4549C077">
            <w:pPr>
              <w:spacing w:line="360" w:lineRule="auto"/>
              <w:jc w:val="center"/>
              <w:rPr>
                <w:bCs/>
                <w:color w:val="auto"/>
                <w:szCs w:val="20"/>
                <w:highlight w:val="none"/>
              </w:rPr>
            </w:pPr>
          </w:p>
        </w:tc>
        <w:tc>
          <w:tcPr>
            <w:tcW w:w="993" w:type="dxa"/>
            <w:vAlign w:val="center"/>
          </w:tcPr>
          <w:p w14:paraId="26C0C798">
            <w:pPr>
              <w:spacing w:line="360" w:lineRule="auto"/>
              <w:jc w:val="center"/>
              <w:rPr>
                <w:bCs/>
                <w:color w:val="auto"/>
                <w:szCs w:val="20"/>
                <w:highlight w:val="none"/>
              </w:rPr>
            </w:pPr>
            <w:r>
              <w:rPr>
                <w:bCs/>
                <w:color w:val="auto"/>
                <w:szCs w:val="20"/>
                <w:highlight w:val="none"/>
              </w:rPr>
              <w:t>混凝土</w:t>
            </w:r>
          </w:p>
        </w:tc>
        <w:tc>
          <w:tcPr>
            <w:tcW w:w="1031" w:type="dxa"/>
            <w:vAlign w:val="center"/>
          </w:tcPr>
          <w:p w14:paraId="4304DF16">
            <w:pPr>
              <w:spacing w:line="360" w:lineRule="auto"/>
              <w:jc w:val="center"/>
              <w:rPr>
                <w:bCs/>
                <w:color w:val="auto"/>
                <w:szCs w:val="20"/>
                <w:highlight w:val="none"/>
              </w:rPr>
            </w:pPr>
            <w:r>
              <w:rPr>
                <w:bCs/>
                <w:color w:val="auto"/>
                <w:szCs w:val="20"/>
                <w:highlight w:val="none"/>
              </w:rPr>
              <w:t>实心砖</w:t>
            </w:r>
          </w:p>
        </w:tc>
        <w:tc>
          <w:tcPr>
            <w:tcW w:w="1380" w:type="dxa"/>
            <w:vAlign w:val="center"/>
          </w:tcPr>
          <w:p w14:paraId="3E5FDA3A">
            <w:pPr>
              <w:spacing w:line="360" w:lineRule="auto"/>
              <w:jc w:val="center"/>
              <w:rPr>
                <w:bCs/>
                <w:color w:val="auto"/>
                <w:szCs w:val="20"/>
                <w:highlight w:val="none"/>
              </w:rPr>
            </w:pPr>
            <w:r>
              <w:rPr>
                <w:bCs/>
                <w:color w:val="auto"/>
                <w:szCs w:val="20"/>
                <w:highlight w:val="none"/>
              </w:rPr>
              <w:t>多孔砖</w:t>
            </w:r>
          </w:p>
        </w:tc>
        <w:tc>
          <w:tcPr>
            <w:tcW w:w="1380" w:type="dxa"/>
            <w:vAlign w:val="center"/>
          </w:tcPr>
          <w:p w14:paraId="74053F31">
            <w:pPr>
              <w:spacing w:line="360" w:lineRule="auto"/>
              <w:jc w:val="center"/>
              <w:rPr>
                <w:bCs/>
                <w:color w:val="auto"/>
                <w:szCs w:val="20"/>
                <w:highlight w:val="none"/>
              </w:rPr>
            </w:pPr>
            <w:r>
              <w:rPr>
                <w:bCs/>
                <w:color w:val="auto"/>
                <w:szCs w:val="20"/>
                <w:highlight w:val="none"/>
              </w:rPr>
              <w:t>混凝土小型空心砌块</w:t>
            </w:r>
          </w:p>
        </w:tc>
        <w:tc>
          <w:tcPr>
            <w:tcW w:w="1380" w:type="dxa"/>
            <w:vAlign w:val="center"/>
          </w:tcPr>
          <w:p w14:paraId="39B6BA05">
            <w:pPr>
              <w:spacing w:line="360" w:lineRule="auto"/>
              <w:jc w:val="center"/>
              <w:rPr>
                <w:bCs/>
                <w:color w:val="auto"/>
                <w:szCs w:val="20"/>
                <w:highlight w:val="none"/>
              </w:rPr>
            </w:pPr>
            <w:r>
              <w:rPr>
                <w:bCs/>
                <w:color w:val="auto"/>
                <w:szCs w:val="20"/>
                <w:highlight w:val="none"/>
              </w:rPr>
              <w:t>加气混凝土</w:t>
            </w:r>
          </w:p>
        </w:tc>
      </w:tr>
      <w:tr w14:paraId="55719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12" w:type="dxa"/>
            <w:vAlign w:val="center"/>
          </w:tcPr>
          <w:p w14:paraId="32E3C7CB">
            <w:pPr>
              <w:spacing w:line="360" w:lineRule="auto"/>
              <w:jc w:val="center"/>
              <w:rPr>
                <w:bCs/>
                <w:color w:val="auto"/>
                <w:szCs w:val="20"/>
                <w:highlight w:val="none"/>
              </w:rPr>
            </w:pPr>
            <w:r>
              <w:rPr>
                <w:bCs/>
                <w:color w:val="auto"/>
                <w:szCs w:val="20"/>
                <w:highlight w:val="none"/>
              </w:rPr>
              <w:t>单个锚栓抗拉承载力标准值（kN）</w:t>
            </w:r>
          </w:p>
        </w:tc>
        <w:tc>
          <w:tcPr>
            <w:tcW w:w="993" w:type="dxa"/>
            <w:vAlign w:val="center"/>
          </w:tcPr>
          <w:p w14:paraId="44D50E96">
            <w:pPr>
              <w:spacing w:line="360" w:lineRule="auto"/>
              <w:jc w:val="center"/>
              <w:rPr>
                <w:bCs/>
                <w:color w:val="auto"/>
                <w:szCs w:val="20"/>
                <w:highlight w:val="none"/>
              </w:rPr>
            </w:pPr>
            <w:r>
              <w:rPr>
                <w:rFonts w:hint="eastAsia" w:ascii="宋体" w:hAnsi="宋体" w:eastAsia="宋体" w:cs="宋体"/>
                <w:color w:val="auto"/>
                <w:highlight w:val="none"/>
              </w:rPr>
              <w:t>≥</w:t>
            </w:r>
            <w:r>
              <w:rPr>
                <w:bCs/>
                <w:color w:val="auto"/>
                <w:szCs w:val="20"/>
                <w:highlight w:val="none"/>
              </w:rPr>
              <w:t>0.60</w:t>
            </w:r>
          </w:p>
        </w:tc>
        <w:tc>
          <w:tcPr>
            <w:tcW w:w="1031" w:type="dxa"/>
            <w:vAlign w:val="center"/>
          </w:tcPr>
          <w:p w14:paraId="7B5AD2B6">
            <w:pPr>
              <w:spacing w:line="360" w:lineRule="auto"/>
              <w:jc w:val="center"/>
              <w:rPr>
                <w:bCs/>
                <w:color w:val="auto"/>
                <w:szCs w:val="20"/>
                <w:highlight w:val="none"/>
              </w:rPr>
            </w:pPr>
            <w:r>
              <w:rPr>
                <w:rFonts w:hint="eastAsia" w:ascii="宋体" w:hAnsi="宋体" w:eastAsia="宋体" w:cs="宋体"/>
                <w:color w:val="auto"/>
                <w:highlight w:val="none"/>
              </w:rPr>
              <w:t>≥</w:t>
            </w:r>
            <w:r>
              <w:rPr>
                <w:bCs/>
                <w:color w:val="auto"/>
                <w:szCs w:val="20"/>
                <w:highlight w:val="none"/>
              </w:rPr>
              <w:t>0.50</w:t>
            </w:r>
          </w:p>
        </w:tc>
        <w:tc>
          <w:tcPr>
            <w:tcW w:w="1380" w:type="dxa"/>
            <w:vAlign w:val="center"/>
          </w:tcPr>
          <w:p w14:paraId="2CC240AD">
            <w:pPr>
              <w:spacing w:line="360" w:lineRule="auto"/>
              <w:jc w:val="center"/>
              <w:rPr>
                <w:bCs/>
                <w:color w:val="auto"/>
                <w:szCs w:val="20"/>
                <w:highlight w:val="none"/>
              </w:rPr>
            </w:pPr>
            <w:r>
              <w:rPr>
                <w:rFonts w:hint="eastAsia" w:ascii="宋体" w:hAnsi="宋体" w:eastAsia="宋体" w:cs="宋体"/>
                <w:color w:val="auto"/>
                <w:highlight w:val="none"/>
              </w:rPr>
              <w:t>≥</w:t>
            </w:r>
            <w:r>
              <w:rPr>
                <w:bCs/>
                <w:color w:val="auto"/>
                <w:szCs w:val="20"/>
                <w:highlight w:val="none"/>
              </w:rPr>
              <w:t>0.40</w:t>
            </w:r>
          </w:p>
        </w:tc>
        <w:tc>
          <w:tcPr>
            <w:tcW w:w="1380" w:type="dxa"/>
            <w:vAlign w:val="center"/>
          </w:tcPr>
          <w:p w14:paraId="675520E4">
            <w:pPr>
              <w:spacing w:line="360" w:lineRule="auto"/>
              <w:jc w:val="center"/>
              <w:rPr>
                <w:bCs/>
                <w:color w:val="auto"/>
                <w:szCs w:val="20"/>
                <w:highlight w:val="none"/>
              </w:rPr>
            </w:pPr>
            <w:r>
              <w:rPr>
                <w:rFonts w:hint="eastAsia" w:ascii="宋体" w:hAnsi="宋体" w:eastAsia="宋体" w:cs="宋体"/>
                <w:color w:val="auto"/>
                <w:highlight w:val="none"/>
              </w:rPr>
              <w:t>≥</w:t>
            </w:r>
            <w:r>
              <w:rPr>
                <w:bCs/>
                <w:color w:val="auto"/>
                <w:szCs w:val="20"/>
                <w:highlight w:val="none"/>
              </w:rPr>
              <w:t>0.30</w:t>
            </w:r>
          </w:p>
        </w:tc>
        <w:tc>
          <w:tcPr>
            <w:tcW w:w="1380" w:type="dxa"/>
            <w:vAlign w:val="center"/>
          </w:tcPr>
          <w:p w14:paraId="49B9C841">
            <w:pPr>
              <w:spacing w:line="360" w:lineRule="auto"/>
              <w:jc w:val="center"/>
              <w:rPr>
                <w:bCs/>
                <w:color w:val="auto"/>
                <w:szCs w:val="20"/>
                <w:highlight w:val="none"/>
              </w:rPr>
            </w:pPr>
            <w:r>
              <w:rPr>
                <w:rFonts w:hint="eastAsia" w:ascii="宋体" w:hAnsi="宋体" w:eastAsia="宋体" w:cs="宋体"/>
                <w:color w:val="auto"/>
                <w:highlight w:val="none"/>
              </w:rPr>
              <w:t>≥</w:t>
            </w:r>
            <w:r>
              <w:rPr>
                <w:bCs/>
                <w:color w:val="auto"/>
                <w:szCs w:val="20"/>
                <w:highlight w:val="none"/>
              </w:rPr>
              <w:t>0.30</w:t>
            </w:r>
          </w:p>
        </w:tc>
      </w:tr>
    </w:tbl>
    <w:p w14:paraId="727A32E4">
      <w:pPr>
        <w:pStyle w:val="27"/>
        <w:spacing w:line="360" w:lineRule="auto"/>
        <w:ind w:firstLine="0" w:firstLineChars="0"/>
        <w:jc w:val="left"/>
        <w:rPr>
          <w:bCs/>
          <w:color w:val="auto"/>
          <w:sz w:val="24"/>
          <w:szCs w:val="24"/>
          <w:highlight w:val="none"/>
        </w:rPr>
      </w:pPr>
      <w:r>
        <w:rPr>
          <w:rFonts w:hint="eastAsia" w:ascii="仿宋_GB2312" w:eastAsia="仿宋_GB2312"/>
          <w:color w:val="auto"/>
          <w:sz w:val="24"/>
          <w:highlight w:val="none"/>
        </w:rPr>
        <w:t>【条文说明】</w:t>
      </w:r>
      <w:r>
        <w:rPr>
          <w:rFonts w:ascii="仿宋_GB2312" w:eastAsia="仿宋_GB2312"/>
          <w:color w:val="auto"/>
          <w:sz w:val="24"/>
          <w:highlight w:val="none"/>
        </w:rPr>
        <w:t>4.4.1</w:t>
      </w:r>
      <w:r>
        <w:rPr>
          <w:rFonts w:hint="eastAsia" w:ascii="仿宋_GB2312" w:eastAsia="仿宋_GB2312"/>
          <w:color w:val="auto"/>
          <w:sz w:val="24"/>
          <w:highlight w:val="none"/>
        </w:rPr>
        <w:t>本条对</w:t>
      </w:r>
      <w:r>
        <w:rPr>
          <w:rFonts w:ascii="仿宋_GB2312" w:eastAsia="仿宋_GB2312"/>
          <w:color w:val="auto"/>
          <w:sz w:val="24"/>
          <w:highlight w:val="none"/>
        </w:rPr>
        <w:t>套装双真空保温隔热板</w:t>
      </w:r>
      <w:r>
        <w:rPr>
          <w:rFonts w:hint="eastAsia" w:ascii="仿宋_GB2312" w:eastAsia="仿宋_GB2312"/>
          <w:color w:val="auto"/>
          <w:sz w:val="24"/>
          <w:highlight w:val="none"/>
        </w:rPr>
        <w:t>用于薄抹灰外墙外保温系统时的粘接砂浆、抹面砂浆、玻纤网、板缝填充保温浆料的性能做出了规定。除参考现行行业标准《建筑用真空绝热板应用技术规程》JGJ/T</w:t>
      </w:r>
      <w:r>
        <w:rPr>
          <w:rFonts w:ascii="仿宋_GB2312" w:eastAsia="仿宋_GB2312"/>
          <w:color w:val="auto"/>
          <w:sz w:val="24"/>
          <w:highlight w:val="none"/>
        </w:rPr>
        <w:t xml:space="preserve"> 416</w:t>
      </w:r>
      <w:r>
        <w:rPr>
          <w:rFonts w:hint="eastAsia" w:ascii="仿宋_GB2312" w:eastAsia="仿宋_GB2312"/>
          <w:color w:val="auto"/>
          <w:sz w:val="24"/>
          <w:highlight w:val="none"/>
        </w:rPr>
        <w:t>的规定，粘接砂浆、抹面砂浆的性能参数主要参照了国家现行标准《模塑聚苯板薄抹灰外墙外保温系统材料》GB/T 29906、《</w:t>
      </w:r>
      <w:r>
        <w:rPr>
          <w:rFonts w:hint="eastAsia" w:ascii="仿宋_GB2312" w:eastAsia="仿宋_GB2312"/>
          <w:color w:val="auto"/>
          <w:sz w:val="24"/>
          <w:highlight w:val="none"/>
          <w:lang w:eastAsia="zh-CN"/>
        </w:rPr>
        <w:t>外墙外保温工程技术标准</w:t>
      </w:r>
      <w:r>
        <w:rPr>
          <w:rFonts w:hint="eastAsia" w:ascii="仿宋_GB2312" w:eastAsia="仿宋_GB2312"/>
          <w:color w:val="auto"/>
          <w:sz w:val="24"/>
          <w:highlight w:val="none"/>
        </w:rPr>
        <w:t>》</w:t>
      </w:r>
      <w:r>
        <w:rPr>
          <w:rFonts w:hint="eastAsia" w:ascii="仿宋_GB2312" w:eastAsia="仿宋_GB2312"/>
          <w:color w:val="auto"/>
          <w:sz w:val="24"/>
          <w:highlight w:val="none"/>
          <w:lang w:eastAsia="zh-CN"/>
        </w:rPr>
        <w:t>JGJ 144</w:t>
      </w:r>
      <w:r>
        <w:rPr>
          <w:rFonts w:hint="eastAsia" w:ascii="仿宋_GB2312" w:eastAsia="仿宋_GB2312"/>
          <w:color w:val="auto"/>
          <w:sz w:val="24"/>
          <w:highlight w:val="none"/>
        </w:rPr>
        <w:t>制定，仅将与</w:t>
      </w:r>
      <w:r>
        <w:rPr>
          <w:rFonts w:ascii="仿宋_GB2312" w:eastAsia="仿宋_GB2312"/>
          <w:color w:val="auto"/>
          <w:sz w:val="24"/>
          <w:highlight w:val="none"/>
        </w:rPr>
        <w:t>套装双真空保温隔热板</w:t>
      </w:r>
      <w:r>
        <w:rPr>
          <w:rFonts w:hint="eastAsia" w:ascii="仿宋_GB2312" w:eastAsia="仿宋_GB2312"/>
          <w:color w:val="auto"/>
          <w:sz w:val="24"/>
          <w:highlight w:val="none"/>
        </w:rPr>
        <w:t>表面的拉伸粘接强度指标做了统一调整，以符合</w:t>
      </w:r>
      <w:r>
        <w:rPr>
          <w:rFonts w:ascii="仿宋_GB2312" w:eastAsia="仿宋_GB2312"/>
          <w:color w:val="auto"/>
          <w:sz w:val="24"/>
          <w:highlight w:val="none"/>
        </w:rPr>
        <w:t>套装双真空保温隔热板</w:t>
      </w:r>
      <w:r>
        <w:rPr>
          <w:rFonts w:hint="eastAsia" w:ascii="仿宋_GB2312" w:eastAsia="仿宋_GB2312"/>
          <w:color w:val="auto"/>
          <w:sz w:val="24"/>
          <w:highlight w:val="none"/>
        </w:rPr>
        <w:t>的实际应用情况；对于抹面胶浆中砂粒直径的规定，主要是为防止抹面时抹面胶浆中的砂粒对</w:t>
      </w:r>
      <w:r>
        <w:rPr>
          <w:rFonts w:ascii="仿宋_GB2312" w:eastAsia="仿宋_GB2312"/>
          <w:color w:val="auto"/>
          <w:sz w:val="24"/>
          <w:highlight w:val="none"/>
        </w:rPr>
        <w:t>套装双真空保温隔热板</w:t>
      </w:r>
      <w:r>
        <w:rPr>
          <w:rFonts w:hint="eastAsia" w:ascii="仿宋_GB2312" w:eastAsia="仿宋_GB2312"/>
          <w:color w:val="auto"/>
          <w:sz w:val="24"/>
          <w:highlight w:val="none"/>
        </w:rPr>
        <w:t>的膜材划伤。</w:t>
      </w:r>
    </w:p>
    <w:p w14:paraId="2250B70F">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套装双真空保温隔热板薄抹灰外墙内保温系统配套材料应符合下列规定：</w:t>
      </w:r>
    </w:p>
    <w:p w14:paraId="74ECBC37">
      <w:pPr>
        <w:pStyle w:val="27"/>
        <w:numPr>
          <w:ilvl w:val="0"/>
          <w:numId w:val="4"/>
        </w:numPr>
        <w:spacing w:line="360" w:lineRule="auto"/>
        <w:ind w:left="0" w:firstLine="480"/>
        <w:jc w:val="left"/>
        <w:rPr>
          <w:bCs/>
          <w:color w:val="auto"/>
          <w:sz w:val="24"/>
          <w:szCs w:val="22"/>
          <w:highlight w:val="none"/>
        </w:rPr>
      </w:pPr>
      <w:r>
        <w:rPr>
          <w:bCs/>
          <w:color w:val="auto"/>
          <w:sz w:val="24"/>
          <w:szCs w:val="22"/>
          <w:highlight w:val="none"/>
        </w:rPr>
        <w:t>粘结砂浆性能指标应符合表4.4.1-1的规定。</w:t>
      </w:r>
    </w:p>
    <w:p w14:paraId="5A440E7C">
      <w:pPr>
        <w:pStyle w:val="27"/>
        <w:numPr>
          <w:ilvl w:val="0"/>
          <w:numId w:val="4"/>
        </w:numPr>
        <w:spacing w:line="360" w:lineRule="auto"/>
        <w:ind w:left="0" w:firstLine="480"/>
        <w:jc w:val="left"/>
        <w:rPr>
          <w:bCs/>
          <w:color w:val="auto"/>
          <w:sz w:val="24"/>
          <w:szCs w:val="22"/>
          <w:highlight w:val="none"/>
        </w:rPr>
      </w:pPr>
      <w:bookmarkStart w:id="28" w:name="_Hlk140587695"/>
      <w:r>
        <w:rPr>
          <w:bCs/>
          <w:color w:val="auto"/>
          <w:sz w:val="24"/>
          <w:szCs w:val="22"/>
          <w:highlight w:val="none"/>
        </w:rPr>
        <w:t>抹面胶浆</w:t>
      </w:r>
      <w:bookmarkEnd w:id="28"/>
      <w:r>
        <w:rPr>
          <w:bCs/>
          <w:color w:val="auto"/>
          <w:sz w:val="24"/>
          <w:szCs w:val="22"/>
          <w:highlight w:val="none"/>
        </w:rPr>
        <w:t>可不检验耐冻融强度指标，且其他性能指标应符合表4.4.2-1的规定。</w:t>
      </w:r>
    </w:p>
    <w:p w14:paraId="217B93E0">
      <w:pPr>
        <w:pStyle w:val="27"/>
        <w:numPr>
          <w:ilvl w:val="0"/>
          <w:numId w:val="4"/>
        </w:numPr>
        <w:spacing w:line="360" w:lineRule="auto"/>
        <w:ind w:left="0" w:firstLine="480"/>
        <w:jc w:val="left"/>
        <w:rPr>
          <w:bCs/>
          <w:color w:val="auto"/>
          <w:sz w:val="24"/>
          <w:szCs w:val="22"/>
          <w:highlight w:val="none"/>
        </w:rPr>
      </w:pPr>
      <w:r>
        <w:rPr>
          <w:bCs/>
          <w:color w:val="auto"/>
          <w:sz w:val="24"/>
          <w:szCs w:val="22"/>
          <w:highlight w:val="none"/>
        </w:rPr>
        <w:t>玻纤网性能指标应符合表4.4.2-2的规定。</w:t>
      </w:r>
    </w:p>
    <w:p w14:paraId="0EBE8C67">
      <w:pPr>
        <w:pStyle w:val="27"/>
        <w:numPr>
          <w:ilvl w:val="0"/>
          <w:numId w:val="4"/>
        </w:numPr>
        <w:spacing w:line="360" w:lineRule="auto"/>
        <w:ind w:left="0" w:firstLine="480"/>
        <w:jc w:val="left"/>
        <w:rPr>
          <w:bCs/>
          <w:color w:val="auto"/>
          <w:sz w:val="24"/>
          <w:szCs w:val="22"/>
          <w:highlight w:val="none"/>
        </w:rPr>
      </w:pPr>
      <w:r>
        <w:rPr>
          <w:bCs/>
          <w:color w:val="auto"/>
          <w:sz w:val="24"/>
          <w:szCs w:val="22"/>
          <w:highlight w:val="none"/>
        </w:rPr>
        <w:t>应采用塑料膨胀套管、金属膨胀件圆盘锚栓。单个锚栓抗拉承载力标准值不应小于0.30kN，试验方法应符合现行行业标准《</w:t>
      </w:r>
      <w:r>
        <w:rPr>
          <w:rFonts w:hint="eastAsia"/>
          <w:bCs/>
          <w:color w:val="auto"/>
          <w:sz w:val="24"/>
          <w:szCs w:val="22"/>
          <w:highlight w:val="none"/>
          <w:lang w:eastAsia="zh-CN"/>
        </w:rPr>
        <w:t>外墙保温用锚栓</w:t>
      </w:r>
      <w:r>
        <w:rPr>
          <w:bCs/>
          <w:color w:val="auto"/>
          <w:sz w:val="24"/>
          <w:szCs w:val="22"/>
          <w:highlight w:val="none"/>
        </w:rPr>
        <w:t xml:space="preserve">》 </w:t>
      </w:r>
      <w:r>
        <w:rPr>
          <w:rFonts w:hint="eastAsia"/>
          <w:bCs/>
          <w:color w:val="auto"/>
          <w:sz w:val="24"/>
          <w:szCs w:val="22"/>
          <w:highlight w:val="none"/>
          <w:lang w:eastAsia="zh-CN"/>
        </w:rPr>
        <w:t>JG/T 366</w:t>
      </w:r>
      <w:r>
        <w:rPr>
          <w:bCs/>
          <w:color w:val="auto"/>
          <w:sz w:val="24"/>
          <w:szCs w:val="22"/>
          <w:highlight w:val="none"/>
        </w:rPr>
        <w:t>的规定。</w:t>
      </w:r>
    </w:p>
    <w:p w14:paraId="20E89485">
      <w:pPr>
        <w:pStyle w:val="27"/>
        <w:numPr>
          <w:ilvl w:val="0"/>
          <w:numId w:val="4"/>
        </w:numPr>
        <w:spacing w:line="360" w:lineRule="auto"/>
        <w:ind w:left="0" w:firstLine="480"/>
        <w:jc w:val="left"/>
        <w:rPr>
          <w:bCs/>
          <w:color w:val="auto"/>
          <w:sz w:val="24"/>
          <w:szCs w:val="22"/>
          <w:highlight w:val="none"/>
        </w:rPr>
      </w:pPr>
      <w:r>
        <w:rPr>
          <w:bCs/>
          <w:color w:val="auto"/>
          <w:sz w:val="24"/>
          <w:szCs w:val="22"/>
          <w:highlight w:val="none"/>
        </w:rPr>
        <w:t>腻子有害物质限量性能指标应符合现行国家标准《建筑用墙面涂料中有害物质限量》GB 18582中水性墙面腻子的规定，其他性能指标应符合表4.4.2-4的规定。</w:t>
      </w:r>
    </w:p>
    <w:p w14:paraId="3B195A45">
      <w:pPr>
        <w:widowControl/>
        <w:autoSpaceDE w:val="0"/>
        <w:autoSpaceDN w:val="0"/>
        <w:spacing w:before="156" w:beforeLines="50" w:after="156" w:afterLines="50"/>
        <w:jc w:val="center"/>
        <w:rPr>
          <w:color w:val="auto"/>
          <w:highlight w:val="none"/>
        </w:rPr>
      </w:pPr>
      <w:r>
        <w:rPr>
          <w:color w:val="auto"/>
          <w:highlight w:val="none"/>
        </w:rPr>
        <w:t>表4.4.2-1  抹面胶浆性能指标</w:t>
      </w:r>
    </w:p>
    <w:tbl>
      <w:tblPr>
        <w:tblStyle w:val="18"/>
        <w:tblW w:w="8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7"/>
        <w:gridCol w:w="15"/>
        <w:gridCol w:w="545"/>
        <w:gridCol w:w="1276"/>
        <w:gridCol w:w="2126"/>
        <w:gridCol w:w="2693"/>
      </w:tblGrid>
      <w:tr w14:paraId="417B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246" w:type="dxa"/>
            <w:gridSpan w:val="5"/>
            <w:tcBorders>
              <w:top w:val="single" w:color="auto" w:sz="12" w:space="0"/>
              <w:left w:val="single" w:color="auto" w:sz="12" w:space="0"/>
              <w:bottom w:val="single" w:color="auto" w:sz="4" w:space="0"/>
              <w:right w:val="single" w:color="auto" w:sz="4" w:space="0"/>
            </w:tcBorders>
            <w:vAlign w:val="center"/>
          </w:tcPr>
          <w:p w14:paraId="1842690D">
            <w:pPr>
              <w:jc w:val="center"/>
              <w:rPr>
                <w:color w:val="auto"/>
                <w:kern w:val="2"/>
                <w:highlight w:val="none"/>
              </w:rPr>
            </w:pPr>
            <w:r>
              <w:rPr>
                <w:color w:val="auto"/>
                <w:highlight w:val="none"/>
              </w:rPr>
              <w:t>项目</w:t>
            </w:r>
          </w:p>
        </w:tc>
        <w:tc>
          <w:tcPr>
            <w:tcW w:w="2126" w:type="dxa"/>
            <w:tcBorders>
              <w:top w:val="single" w:color="auto" w:sz="12" w:space="0"/>
              <w:left w:val="nil"/>
              <w:bottom w:val="single" w:color="auto" w:sz="4" w:space="0"/>
              <w:right w:val="single" w:color="auto" w:sz="4" w:space="0"/>
            </w:tcBorders>
            <w:vAlign w:val="center"/>
          </w:tcPr>
          <w:p w14:paraId="35D08E53">
            <w:pPr>
              <w:jc w:val="center"/>
              <w:rPr>
                <w:color w:val="auto"/>
                <w:highlight w:val="none"/>
              </w:rPr>
            </w:pPr>
            <w:r>
              <w:rPr>
                <w:color w:val="auto"/>
                <w:highlight w:val="none"/>
              </w:rPr>
              <w:t>指标</w:t>
            </w:r>
          </w:p>
        </w:tc>
        <w:tc>
          <w:tcPr>
            <w:tcW w:w="2693" w:type="dxa"/>
            <w:tcBorders>
              <w:top w:val="single" w:color="auto" w:sz="12" w:space="0"/>
              <w:left w:val="nil"/>
              <w:bottom w:val="single" w:color="auto" w:sz="4" w:space="0"/>
              <w:right w:val="single" w:color="auto" w:sz="12" w:space="0"/>
            </w:tcBorders>
            <w:vAlign w:val="center"/>
          </w:tcPr>
          <w:p w14:paraId="188C7CB0">
            <w:pPr>
              <w:jc w:val="center"/>
              <w:rPr>
                <w:color w:val="auto"/>
                <w:highlight w:val="none"/>
              </w:rPr>
            </w:pPr>
            <w:r>
              <w:rPr>
                <w:color w:val="auto"/>
                <w:highlight w:val="none"/>
              </w:rPr>
              <w:t>试验方法</w:t>
            </w:r>
          </w:p>
        </w:tc>
      </w:tr>
      <w:tr w14:paraId="721D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03" w:type="dxa"/>
            <w:vMerge w:val="restart"/>
            <w:tcBorders>
              <w:top w:val="nil"/>
              <w:left w:val="single" w:color="auto" w:sz="12" w:space="0"/>
              <w:bottom w:val="single" w:color="auto" w:sz="4" w:space="0"/>
              <w:right w:val="single" w:color="auto" w:sz="4" w:space="0"/>
            </w:tcBorders>
            <w:vAlign w:val="center"/>
          </w:tcPr>
          <w:p w14:paraId="190AA4BF">
            <w:pPr>
              <w:jc w:val="center"/>
              <w:rPr>
                <w:color w:val="auto"/>
                <w:highlight w:val="none"/>
              </w:rPr>
            </w:pPr>
            <w:r>
              <w:rPr>
                <w:color w:val="auto"/>
                <w:highlight w:val="none"/>
              </w:rPr>
              <w:t>与套装双真空保温隔热板拉伸粘结强度（MPa）</w:t>
            </w:r>
          </w:p>
        </w:tc>
        <w:tc>
          <w:tcPr>
            <w:tcW w:w="1843" w:type="dxa"/>
            <w:gridSpan w:val="4"/>
            <w:tcBorders>
              <w:top w:val="single" w:color="auto" w:sz="4" w:space="0"/>
              <w:left w:val="nil"/>
              <w:bottom w:val="single" w:color="auto" w:sz="4" w:space="0"/>
              <w:right w:val="single" w:color="auto" w:sz="4" w:space="0"/>
            </w:tcBorders>
            <w:vAlign w:val="center"/>
          </w:tcPr>
          <w:p w14:paraId="1031128B">
            <w:pPr>
              <w:jc w:val="center"/>
              <w:rPr>
                <w:color w:val="auto"/>
                <w:highlight w:val="none"/>
              </w:rPr>
            </w:pPr>
            <w:r>
              <w:rPr>
                <w:color w:val="auto"/>
                <w:highlight w:val="none"/>
              </w:rPr>
              <w:t>原强度</w:t>
            </w:r>
          </w:p>
        </w:tc>
        <w:tc>
          <w:tcPr>
            <w:tcW w:w="2126" w:type="dxa"/>
            <w:tcBorders>
              <w:top w:val="single" w:color="auto" w:sz="4" w:space="0"/>
              <w:left w:val="nil"/>
              <w:bottom w:val="single" w:color="auto" w:sz="4" w:space="0"/>
              <w:right w:val="single" w:color="auto" w:sz="4" w:space="0"/>
            </w:tcBorders>
            <w:vAlign w:val="center"/>
          </w:tcPr>
          <w:p w14:paraId="10CC9805">
            <w:pPr>
              <w:jc w:val="center"/>
              <w:rPr>
                <w:color w:val="auto"/>
                <w:highlight w:val="none"/>
              </w:rPr>
            </w:pPr>
            <w:r>
              <w:rPr>
                <w:rFonts w:hint="eastAsia" w:ascii="宋体" w:hAnsi="宋体" w:eastAsia="宋体" w:cs="宋体"/>
                <w:color w:val="auto"/>
                <w:highlight w:val="none"/>
              </w:rPr>
              <w:t>≥</w:t>
            </w:r>
            <w:r>
              <w:rPr>
                <w:color w:val="auto"/>
                <w:highlight w:val="none"/>
              </w:rPr>
              <w:t>0.08</w:t>
            </w:r>
          </w:p>
        </w:tc>
        <w:tc>
          <w:tcPr>
            <w:tcW w:w="2693" w:type="dxa"/>
            <w:vMerge w:val="restart"/>
            <w:tcBorders>
              <w:top w:val="single" w:color="auto" w:sz="4" w:space="0"/>
              <w:left w:val="nil"/>
              <w:bottom w:val="single" w:color="auto" w:sz="4" w:space="0"/>
              <w:right w:val="single" w:color="auto" w:sz="12" w:space="0"/>
            </w:tcBorders>
            <w:vAlign w:val="center"/>
          </w:tcPr>
          <w:p w14:paraId="50184587">
            <w:pPr>
              <w:rPr>
                <w:color w:val="auto"/>
                <w:highlight w:val="none"/>
              </w:rPr>
            </w:pPr>
            <w:r>
              <w:rPr>
                <w:color w:val="auto"/>
                <w:highlight w:val="none"/>
              </w:rPr>
              <w:t>现行行业标准《建筑用真空绝热板应用技术规程》JGJ/T 416</w:t>
            </w:r>
          </w:p>
        </w:tc>
      </w:tr>
      <w:tr w14:paraId="3376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03" w:type="dxa"/>
            <w:vMerge w:val="continue"/>
            <w:tcBorders>
              <w:top w:val="nil"/>
              <w:left w:val="single" w:color="auto" w:sz="12" w:space="0"/>
              <w:bottom w:val="single" w:color="auto" w:sz="4" w:space="0"/>
              <w:right w:val="single" w:color="auto" w:sz="4" w:space="0"/>
            </w:tcBorders>
            <w:vAlign w:val="center"/>
          </w:tcPr>
          <w:p w14:paraId="0CF40DF1">
            <w:pPr>
              <w:widowControl/>
              <w:rPr>
                <w:color w:val="auto"/>
                <w:kern w:val="2"/>
                <w:highlight w:val="none"/>
              </w:rPr>
            </w:pPr>
          </w:p>
        </w:tc>
        <w:tc>
          <w:tcPr>
            <w:tcW w:w="567" w:type="dxa"/>
            <w:gridSpan w:val="3"/>
            <w:vMerge w:val="restart"/>
            <w:tcBorders>
              <w:top w:val="nil"/>
              <w:left w:val="nil"/>
              <w:bottom w:val="single" w:color="auto" w:sz="4" w:space="0"/>
              <w:right w:val="single" w:color="auto" w:sz="4" w:space="0"/>
            </w:tcBorders>
            <w:vAlign w:val="center"/>
          </w:tcPr>
          <w:p w14:paraId="7C2C9E7B">
            <w:pPr>
              <w:rPr>
                <w:color w:val="auto"/>
                <w:highlight w:val="none"/>
              </w:rPr>
            </w:pPr>
            <w:r>
              <w:rPr>
                <w:color w:val="auto"/>
                <w:highlight w:val="none"/>
              </w:rPr>
              <w:t>耐水强度</w:t>
            </w:r>
          </w:p>
        </w:tc>
        <w:tc>
          <w:tcPr>
            <w:tcW w:w="1276" w:type="dxa"/>
            <w:tcBorders>
              <w:top w:val="single" w:color="auto" w:sz="4" w:space="0"/>
              <w:left w:val="nil"/>
              <w:bottom w:val="single" w:color="auto" w:sz="4" w:space="0"/>
              <w:right w:val="single" w:color="auto" w:sz="4" w:space="0"/>
            </w:tcBorders>
            <w:vAlign w:val="center"/>
          </w:tcPr>
          <w:p w14:paraId="4FD493AB">
            <w:pPr>
              <w:rPr>
                <w:color w:val="auto"/>
                <w:highlight w:val="none"/>
              </w:rPr>
            </w:pPr>
            <w:r>
              <w:rPr>
                <w:color w:val="auto"/>
                <w:highlight w:val="none"/>
              </w:rPr>
              <w:t>浸水48h，干燥2h</w:t>
            </w:r>
          </w:p>
        </w:tc>
        <w:tc>
          <w:tcPr>
            <w:tcW w:w="2126" w:type="dxa"/>
            <w:tcBorders>
              <w:top w:val="single" w:color="auto" w:sz="4" w:space="0"/>
              <w:left w:val="nil"/>
              <w:bottom w:val="single" w:color="auto" w:sz="4" w:space="0"/>
              <w:right w:val="single" w:color="auto" w:sz="4" w:space="0"/>
            </w:tcBorders>
            <w:vAlign w:val="center"/>
          </w:tcPr>
          <w:p w14:paraId="3B9F9C1A">
            <w:pPr>
              <w:jc w:val="center"/>
              <w:rPr>
                <w:color w:val="auto"/>
                <w:highlight w:val="none"/>
              </w:rPr>
            </w:pPr>
            <w:r>
              <w:rPr>
                <w:rFonts w:hint="eastAsia" w:ascii="宋体" w:hAnsi="宋体" w:eastAsia="宋体" w:cs="宋体"/>
                <w:color w:val="auto"/>
                <w:highlight w:val="none"/>
              </w:rPr>
              <w:t>≥</w:t>
            </w:r>
            <w:r>
              <w:rPr>
                <w:color w:val="auto"/>
                <w:highlight w:val="none"/>
              </w:rPr>
              <w:t>0.06</w:t>
            </w:r>
          </w:p>
        </w:tc>
        <w:tc>
          <w:tcPr>
            <w:tcW w:w="2693" w:type="dxa"/>
            <w:vMerge w:val="continue"/>
            <w:tcBorders>
              <w:top w:val="single" w:color="auto" w:sz="4" w:space="0"/>
              <w:left w:val="nil"/>
              <w:bottom w:val="single" w:color="auto" w:sz="4" w:space="0"/>
              <w:right w:val="single" w:color="auto" w:sz="12" w:space="0"/>
            </w:tcBorders>
            <w:vAlign w:val="center"/>
          </w:tcPr>
          <w:p w14:paraId="5F8DAB0D">
            <w:pPr>
              <w:widowControl/>
              <w:rPr>
                <w:color w:val="auto"/>
                <w:kern w:val="2"/>
                <w:highlight w:val="none"/>
              </w:rPr>
            </w:pPr>
          </w:p>
        </w:tc>
      </w:tr>
      <w:tr w14:paraId="6D43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403" w:type="dxa"/>
            <w:vMerge w:val="continue"/>
            <w:tcBorders>
              <w:top w:val="nil"/>
              <w:left w:val="single" w:color="auto" w:sz="12" w:space="0"/>
              <w:bottom w:val="single" w:color="auto" w:sz="4" w:space="0"/>
              <w:right w:val="single" w:color="auto" w:sz="4" w:space="0"/>
            </w:tcBorders>
            <w:vAlign w:val="center"/>
          </w:tcPr>
          <w:p w14:paraId="7A1002DB">
            <w:pPr>
              <w:widowControl/>
              <w:rPr>
                <w:color w:val="auto"/>
                <w:kern w:val="2"/>
                <w:highlight w:val="none"/>
              </w:rPr>
            </w:pPr>
          </w:p>
        </w:tc>
        <w:tc>
          <w:tcPr>
            <w:tcW w:w="567" w:type="dxa"/>
            <w:gridSpan w:val="3"/>
            <w:vMerge w:val="continue"/>
            <w:tcBorders>
              <w:top w:val="nil"/>
              <w:left w:val="nil"/>
              <w:bottom w:val="single" w:color="auto" w:sz="4" w:space="0"/>
              <w:right w:val="single" w:color="auto" w:sz="4" w:space="0"/>
            </w:tcBorders>
            <w:vAlign w:val="center"/>
          </w:tcPr>
          <w:p w14:paraId="144DE636">
            <w:pPr>
              <w:widowControl/>
              <w:rPr>
                <w:color w:val="auto"/>
                <w:kern w:val="2"/>
                <w:highlight w:val="none"/>
              </w:rPr>
            </w:pPr>
          </w:p>
        </w:tc>
        <w:tc>
          <w:tcPr>
            <w:tcW w:w="1276" w:type="dxa"/>
            <w:tcBorders>
              <w:top w:val="single" w:color="auto" w:sz="4" w:space="0"/>
              <w:left w:val="nil"/>
              <w:bottom w:val="single" w:color="auto" w:sz="4" w:space="0"/>
              <w:right w:val="single" w:color="auto" w:sz="4" w:space="0"/>
            </w:tcBorders>
            <w:vAlign w:val="center"/>
          </w:tcPr>
          <w:p w14:paraId="33B9DDF4">
            <w:pPr>
              <w:rPr>
                <w:color w:val="auto"/>
                <w:highlight w:val="none"/>
              </w:rPr>
            </w:pPr>
            <w:r>
              <w:rPr>
                <w:color w:val="auto"/>
                <w:highlight w:val="none"/>
              </w:rPr>
              <w:t>浸水48h，干燥7d</w:t>
            </w:r>
          </w:p>
        </w:tc>
        <w:tc>
          <w:tcPr>
            <w:tcW w:w="2126" w:type="dxa"/>
            <w:tcBorders>
              <w:top w:val="single" w:color="auto" w:sz="4" w:space="0"/>
              <w:left w:val="nil"/>
              <w:bottom w:val="nil"/>
              <w:right w:val="single" w:color="auto" w:sz="4" w:space="0"/>
            </w:tcBorders>
            <w:vAlign w:val="center"/>
          </w:tcPr>
          <w:p w14:paraId="2B3A251F">
            <w:pPr>
              <w:jc w:val="center"/>
              <w:rPr>
                <w:color w:val="auto"/>
                <w:highlight w:val="none"/>
              </w:rPr>
            </w:pPr>
            <w:r>
              <w:rPr>
                <w:rFonts w:hint="eastAsia" w:ascii="宋体" w:hAnsi="宋体" w:eastAsia="宋体" w:cs="宋体"/>
                <w:color w:val="auto"/>
                <w:highlight w:val="none"/>
              </w:rPr>
              <w:t>≥</w:t>
            </w:r>
            <w:r>
              <w:rPr>
                <w:color w:val="auto"/>
                <w:highlight w:val="none"/>
              </w:rPr>
              <w:t>0.08</w:t>
            </w:r>
          </w:p>
        </w:tc>
        <w:tc>
          <w:tcPr>
            <w:tcW w:w="2693" w:type="dxa"/>
            <w:vMerge w:val="continue"/>
            <w:tcBorders>
              <w:top w:val="single" w:color="auto" w:sz="4" w:space="0"/>
              <w:left w:val="nil"/>
              <w:bottom w:val="single" w:color="auto" w:sz="4" w:space="0"/>
              <w:right w:val="single" w:color="auto" w:sz="12" w:space="0"/>
            </w:tcBorders>
            <w:vAlign w:val="center"/>
          </w:tcPr>
          <w:p w14:paraId="65B6F8A1">
            <w:pPr>
              <w:widowControl/>
              <w:rPr>
                <w:color w:val="auto"/>
                <w:kern w:val="2"/>
                <w:highlight w:val="none"/>
              </w:rPr>
            </w:pPr>
          </w:p>
        </w:tc>
      </w:tr>
      <w:tr w14:paraId="54BC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410" w:type="dxa"/>
            <w:gridSpan w:val="2"/>
            <w:vMerge w:val="restart"/>
            <w:tcBorders>
              <w:top w:val="single" w:color="auto" w:sz="4" w:space="0"/>
              <w:left w:val="single" w:color="auto" w:sz="12" w:space="0"/>
              <w:right w:val="single" w:color="auto" w:sz="4" w:space="0"/>
            </w:tcBorders>
            <w:vAlign w:val="center"/>
          </w:tcPr>
          <w:p w14:paraId="56CD9940">
            <w:pPr>
              <w:jc w:val="center"/>
              <w:rPr>
                <w:color w:val="auto"/>
                <w:highlight w:val="none"/>
              </w:rPr>
            </w:pPr>
            <w:r>
              <w:rPr>
                <w:color w:val="auto"/>
                <w:highlight w:val="none"/>
              </w:rPr>
              <w:t>与水泥砂浆拉伸粘结强度（MPa）</w:t>
            </w:r>
            <w:r>
              <w:rPr>
                <w:rFonts w:hint="eastAsia"/>
                <w:color w:val="auto"/>
                <w:highlight w:val="none"/>
                <w:vertAlign w:val="superscript"/>
              </w:rPr>
              <w:t>a</w:t>
            </w:r>
          </w:p>
        </w:tc>
        <w:tc>
          <w:tcPr>
            <w:tcW w:w="1836" w:type="dxa"/>
            <w:gridSpan w:val="3"/>
            <w:tcBorders>
              <w:top w:val="single" w:color="auto" w:sz="4" w:space="0"/>
              <w:left w:val="single" w:color="auto" w:sz="4" w:space="0"/>
              <w:bottom w:val="single" w:color="auto" w:sz="4" w:space="0"/>
              <w:right w:val="single" w:color="auto" w:sz="4" w:space="0"/>
            </w:tcBorders>
            <w:vAlign w:val="center"/>
          </w:tcPr>
          <w:p w14:paraId="76B97BCF">
            <w:pPr>
              <w:jc w:val="center"/>
              <w:rPr>
                <w:color w:val="auto"/>
                <w:highlight w:val="none"/>
              </w:rPr>
            </w:pPr>
            <w:r>
              <w:rPr>
                <w:color w:val="auto"/>
                <w:highlight w:val="none"/>
              </w:rPr>
              <w:t>原强度</w:t>
            </w:r>
          </w:p>
        </w:tc>
        <w:tc>
          <w:tcPr>
            <w:tcW w:w="2126" w:type="dxa"/>
            <w:tcBorders>
              <w:top w:val="single" w:color="auto" w:sz="4" w:space="0"/>
              <w:left w:val="nil"/>
              <w:bottom w:val="single" w:color="auto" w:sz="4" w:space="0"/>
              <w:right w:val="single" w:color="auto" w:sz="4" w:space="0"/>
            </w:tcBorders>
            <w:vAlign w:val="center"/>
          </w:tcPr>
          <w:p w14:paraId="4235AFD7">
            <w:pPr>
              <w:jc w:val="center"/>
              <w:rPr>
                <w:color w:val="auto"/>
                <w:highlight w:val="none"/>
              </w:rPr>
            </w:pPr>
            <w:r>
              <w:rPr>
                <w:rFonts w:hint="eastAsia" w:ascii="宋体" w:hAnsi="宋体" w:eastAsia="宋体" w:cs="宋体"/>
                <w:color w:val="auto"/>
                <w:highlight w:val="none"/>
              </w:rPr>
              <w:t>≥</w:t>
            </w:r>
            <w:r>
              <w:rPr>
                <w:color w:val="auto"/>
                <w:highlight w:val="none"/>
              </w:rPr>
              <w:t xml:space="preserve">0.5 </w:t>
            </w:r>
          </w:p>
        </w:tc>
        <w:tc>
          <w:tcPr>
            <w:tcW w:w="2693" w:type="dxa"/>
            <w:vMerge w:val="restart"/>
            <w:tcBorders>
              <w:top w:val="single" w:color="auto" w:sz="4" w:space="0"/>
              <w:left w:val="nil"/>
              <w:bottom w:val="single" w:color="auto" w:sz="4" w:space="0"/>
              <w:right w:val="single" w:color="auto" w:sz="12" w:space="0"/>
            </w:tcBorders>
            <w:vAlign w:val="center"/>
          </w:tcPr>
          <w:p w14:paraId="5BACAE57">
            <w:pPr>
              <w:rPr>
                <w:color w:val="auto"/>
                <w:kern w:val="2"/>
                <w:highlight w:val="none"/>
              </w:rPr>
            </w:pPr>
            <w:r>
              <w:rPr>
                <w:color w:val="auto"/>
                <w:highlight w:val="none"/>
              </w:rPr>
              <w:t>现行国家标准《模塑聚苯板薄抹灰外墙外保温系统材料》GB/T 29906</w:t>
            </w:r>
          </w:p>
        </w:tc>
      </w:tr>
      <w:tr w14:paraId="105A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410" w:type="dxa"/>
            <w:gridSpan w:val="2"/>
            <w:vMerge w:val="continue"/>
            <w:tcBorders>
              <w:left w:val="single" w:color="auto" w:sz="12" w:space="0"/>
              <w:right w:val="single" w:color="auto" w:sz="4" w:space="0"/>
            </w:tcBorders>
            <w:vAlign w:val="center"/>
          </w:tcPr>
          <w:p w14:paraId="1732C757">
            <w:pPr>
              <w:jc w:val="center"/>
              <w:rPr>
                <w:color w:val="auto"/>
                <w:highlight w:val="none"/>
              </w:rPr>
            </w:pPr>
          </w:p>
        </w:tc>
        <w:tc>
          <w:tcPr>
            <w:tcW w:w="560" w:type="dxa"/>
            <w:gridSpan w:val="2"/>
            <w:vMerge w:val="restart"/>
            <w:tcBorders>
              <w:top w:val="single" w:color="auto" w:sz="4" w:space="0"/>
              <w:left w:val="single" w:color="auto" w:sz="4" w:space="0"/>
              <w:right w:val="single" w:color="auto" w:sz="4" w:space="0"/>
            </w:tcBorders>
            <w:vAlign w:val="center"/>
          </w:tcPr>
          <w:p w14:paraId="28B99BEE">
            <w:pPr>
              <w:jc w:val="center"/>
              <w:rPr>
                <w:color w:val="auto"/>
                <w:highlight w:val="none"/>
              </w:rPr>
            </w:pPr>
            <w:r>
              <w:rPr>
                <w:color w:val="auto"/>
                <w:highlight w:val="none"/>
              </w:rPr>
              <w:t>耐水强度</w:t>
            </w:r>
          </w:p>
        </w:tc>
        <w:tc>
          <w:tcPr>
            <w:tcW w:w="1276" w:type="dxa"/>
            <w:tcBorders>
              <w:top w:val="single" w:color="auto" w:sz="4" w:space="0"/>
              <w:left w:val="single" w:color="auto" w:sz="4" w:space="0"/>
              <w:bottom w:val="single" w:color="auto" w:sz="4" w:space="0"/>
              <w:right w:val="single" w:color="auto" w:sz="4" w:space="0"/>
            </w:tcBorders>
            <w:vAlign w:val="center"/>
          </w:tcPr>
          <w:p w14:paraId="631BE22A">
            <w:pPr>
              <w:jc w:val="center"/>
              <w:rPr>
                <w:color w:val="auto"/>
                <w:highlight w:val="none"/>
              </w:rPr>
            </w:pPr>
            <w:r>
              <w:rPr>
                <w:color w:val="auto"/>
                <w:highlight w:val="none"/>
              </w:rPr>
              <w:t>浸水48h，干燥2h</w:t>
            </w:r>
          </w:p>
        </w:tc>
        <w:tc>
          <w:tcPr>
            <w:tcW w:w="2126" w:type="dxa"/>
            <w:tcBorders>
              <w:top w:val="single" w:color="auto" w:sz="4" w:space="0"/>
              <w:left w:val="nil"/>
              <w:bottom w:val="single" w:color="auto" w:sz="4" w:space="0"/>
              <w:right w:val="single" w:color="auto" w:sz="4" w:space="0"/>
            </w:tcBorders>
            <w:vAlign w:val="center"/>
          </w:tcPr>
          <w:p w14:paraId="6FE67909">
            <w:pPr>
              <w:jc w:val="center"/>
              <w:rPr>
                <w:color w:val="auto"/>
                <w:highlight w:val="none"/>
              </w:rPr>
            </w:pPr>
            <w:r>
              <w:rPr>
                <w:rFonts w:hint="eastAsia" w:ascii="宋体" w:hAnsi="宋体" w:eastAsia="宋体" w:cs="宋体"/>
                <w:color w:val="auto"/>
                <w:highlight w:val="none"/>
              </w:rPr>
              <w:t>≥</w:t>
            </w:r>
            <w:r>
              <w:rPr>
                <w:color w:val="auto"/>
                <w:highlight w:val="none"/>
              </w:rPr>
              <w:t xml:space="preserve">0.3 </w:t>
            </w:r>
          </w:p>
        </w:tc>
        <w:tc>
          <w:tcPr>
            <w:tcW w:w="2693" w:type="dxa"/>
            <w:vMerge w:val="continue"/>
            <w:tcBorders>
              <w:top w:val="single" w:color="auto" w:sz="4" w:space="0"/>
              <w:left w:val="nil"/>
              <w:bottom w:val="single" w:color="auto" w:sz="4" w:space="0"/>
              <w:right w:val="single" w:color="auto" w:sz="12" w:space="0"/>
            </w:tcBorders>
            <w:vAlign w:val="center"/>
          </w:tcPr>
          <w:p w14:paraId="63A33145">
            <w:pPr>
              <w:rPr>
                <w:color w:val="auto"/>
                <w:highlight w:val="none"/>
              </w:rPr>
            </w:pPr>
          </w:p>
        </w:tc>
      </w:tr>
      <w:tr w14:paraId="66E6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410" w:type="dxa"/>
            <w:gridSpan w:val="2"/>
            <w:vMerge w:val="continue"/>
            <w:tcBorders>
              <w:left w:val="single" w:color="auto" w:sz="12" w:space="0"/>
              <w:bottom w:val="single" w:color="auto" w:sz="4" w:space="0"/>
              <w:right w:val="single" w:color="auto" w:sz="4" w:space="0"/>
            </w:tcBorders>
            <w:vAlign w:val="center"/>
          </w:tcPr>
          <w:p w14:paraId="3782343E">
            <w:pPr>
              <w:jc w:val="center"/>
              <w:rPr>
                <w:color w:val="auto"/>
                <w:highlight w:val="none"/>
              </w:rPr>
            </w:pPr>
          </w:p>
        </w:tc>
        <w:tc>
          <w:tcPr>
            <w:tcW w:w="560" w:type="dxa"/>
            <w:gridSpan w:val="2"/>
            <w:vMerge w:val="continue"/>
            <w:tcBorders>
              <w:left w:val="single" w:color="auto" w:sz="4" w:space="0"/>
              <w:bottom w:val="single" w:color="auto" w:sz="4" w:space="0"/>
              <w:right w:val="single" w:color="auto" w:sz="4" w:space="0"/>
            </w:tcBorders>
            <w:vAlign w:val="center"/>
          </w:tcPr>
          <w:p w14:paraId="437EC2A8">
            <w:pPr>
              <w:jc w:val="center"/>
              <w:rPr>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1F1B4BAC">
            <w:pPr>
              <w:jc w:val="center"/>
              <w:rPr>
                <w:color w:val="auto"/>
                <w:highlight w:val="none"/>
              </w:rPr>
            </w:pPr>
            <w:r>
              <w:rPr>
                <w:color w:val="auto"/>
                <w:highlight w:val="none"/>
              </w:rPr>
              <w:t>浸水48h，干燥7d</w:t>
            </w:r>
          </w:p>
        </w:tc>
        <w:tc>
          <w:tcPr>
            <w:tcW w:w="2126" w:type="dxa"/>
            <w:tcBorders>
              <w:top w:val="single" w:color="auto" w:sz="4" w:space="0"/>
              <w:left w:val="nil"/>
              <w:bottom w:val="single" w:color="auto" w:sz="4" w:space="0"/>
              <w:right w:val="single" w:color="auto" w:sz="4" w:space="0"/>
            </w:tcBorders>
            <w:vAlign w:val="center"/>
          </w:tcPr>
          <w:p w14:paraId="34141D7E">
            <w:pPr>
              <w:jc w:val="center"/>
              <w:rPr>
                <w:color w:val="auto"/>
                <w:highlight w:val="none"/>
              </w:rPr>
            </w:pPr>
            <w:r>
              <w:rPr>
                <w:rFonts w:hint="eastAsia" w:ascii="宋体" w:hAnsi="宋体" w:eastAsia="宋体" w:cs="宋体"/>
                <w:color w:val="auto"/>
                <w:highlight w:val="none"/>
              </w:rPr>
              <w:t>≥</w:t>
            </w:r>
            <w:r>
              <w:rPr>
                <w:color w:val="auto"/>
                <w:highlight w:val="none"/>
              </w:rPr>
              <w:t xml:space="preserve">0.5 </w:t>
            </w:r>
          </w:p>
        </w:tc>
        <w:tc>
          <w:tcPr>
            <w:tcW w:w="2693" w:type="dxa"/>
            <w:vMerge w:val="continue"/>
            <w:tcBorders>
              <w:top w:val="single" w:color="auto" w:sz="4" w:space="0"/>
              <w:left w:val="nil"/>
              <w:bottom w:val="single" w:color="auto" w:sz="4" w:space="0"/>
              <w:right w:val="single" w:color="auto" w:sz="12" w:space="0"/>
            </w:tcBorders>
            <w:vAlign w:val="center"/>
          </w:tcPr>
          <w:p w14:paraId="38873C5B">
            <w:pPr>
              <w:rPr>
                <w:color w:val="auto"/>
                <w:highlight w:val="none"/>
              </w:rPr>
            </w:pPr>
          </w:p>
        </w:tc>
      </w:tr>
      <w:tr w14:paraId="652D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246" w:type="dxa"/>
            <w:gridSpan w:val="5"/>
            <w:tcBorders>
              <w:top w:val="single" w:color="auto" w:sz="4" w:space="0"/>
              <w:left w:val="single" w:color="auto" w:sz="12" w:space="0"/>
              <w:bottom w:val="single" w:color="auto" w:sz="4" w:space="0"/>
              <w:right w:val="single" w:color="auto" w:sz="4" w:space="0"/>
            </w:tcBorders>
            <w:vAlign w:val="center"/>
          </w:tcPr>
          <w:p w14:paraId="5C652A67">
            <w:pPr>
              <w:jc w:val="center"/>
              <w:rPr>
                <w:color w:val="auto"/>
                <w:highlight w:val="none"/>
              </w:rPr>
            </w:pPr>
            <w:r>
              <w:rPr>
                <w:color w:val="auto"/>
                <w:highlight w:val="none"/>
              </w:rPr>
              <w:t>压折比</w:t>
            </w:r>
          </w:p>
        </w:tc>
        <w:tc>
          <w:tcPr>
            <w:tcW w:w="2126" w:type="dxa"/>
            <w:tcBorders>
              <w:top w:val="single" w:color="auto" w:sz="4" w:space="0"/>
              <w:left w:val="nil"/>
              <w:bottom w:val="single" w:color="auto" w:sz="4" w:space="0"/>
              <w:right w:val="single" w:color="auto" w:sz="4" w:space="0"/>
            </w:tcBorders>
            <w:vAlign w:val="center"/>
          </w:tcPr>
          <w:p w14:paraId="5CBDC039">
            <w:pPr>
              <w:jc w:val="center"/>
              <w:rPr>
                <w:color w:val="auto"/>
                <w:highlight w:val="none"/>
              </w:rPr>
            </w:pPr>
            <w:r>
              <w:rPr>
                <w:rFonts w:hint="eastAsia" w:ascii="宋体" w:hAnsi="宋体" w:eastAsia="宋体" w:cs="宋体"/>
                <w:color w:val="auto"/>
                <w:highlight w:val="none"/>
              </w:rPr>
              <w:t>≤</w:t>
            </w:r>
            <w:r>
              <w:rPr>
                <w:color w:val="auto"/>
                <w:highlight w:val="none"/>
              </w:rPr>
              <w:t>3.0</w:t>
            </w:r>
          </w:p>
        </w:tc>
        <w:tc>
          <w:tcPr>
            <w:tcW w:w="2693" w:type="dxa"/>
            <w:vMerge w:val="continue"/>
            <w:tcBorders>
              <w:top w:val="single" w:color="auto" w:sz="4" w:space="0"/>
              <w:left w:val="nil"/>
              <w:bottom w:val="single" w:color="auto" w:sz="4" w:space="0"/>
              <w:right w:val="single" w:color="auto" w:sz="12" w:space="0"/>
            </w:tcBorders>
            <w:vAlign w:val="center"/>
          </w:tcPr>
          <w:p w14:paraId="0546B624">
            <w:pPr>
              <w:rPr>
                <w:color w:val="auto"/>
                <w:highlight w:val="none"/>
              </w:rPr>
            </w:pPr>
          </w:p>
        </w:tc>
      </w:tr>
      <w:tr w14:paraId="7689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246" w:type="dxa"/>
            <w:gridSpan w:val="5"/>
            <w:tcBorders>
              <w:top w:val="single" w:color="auto" w:sz="4" w:space="0"/>
              <w:left w:val="single" w:color="auto" w:sz="12" w:space="0"/>
              <w:bottom w:val="single" w:color="auto" w:sz="4" w:space="0"/>
              <w:right w:val="single" w:color="auto" w:sz="4" w:space="0"/>
            </w:tcBorders>
            <w:vAlign w:val="center"/>
          </w:tcPr>
          <w:p w14:paraId="62C4043F">
            <w:pPr>
              <w:jc w:val="center"/>
              <w:rPr>
                <w:color w:val="auto"/>
                <w:highlight w:val="none"/>
              </w:rPr>
            </w:pPr>
            <w:r>
              <w:rPr>
                <w:bCs/>
                <w:color w:val="auto"/>
                <w:highlight w:val="none"/>
              </w:rPr>
              <w:t>吸水率（g/m</w:t>
            </w:r>
            <w:r>
              <w:rPr>
                <w:bCs/>
                <w:color w:val="auto"/>
                <w:highlight w:val="none"/>
                <w:vertAlign w:val="superscript"/>
              </w:rPr>
              <w:t>2</w:t>
            </w:r>
            <w:r>
              <w:rPr>
                <w:bCs/>
                <w:color w:val="auto"/>
                <w:highlight w:val="none"/>
              </w:rPr>
              <w:t>）</w:t>
            </w:r>
            <w:r>
              <w:rPr>
                <w:rFonts w:hint="eastAsia"/>
                <w:bCs/>
                <w:color w:val="auto"/>
                <w:highlight w:val="none"/>
                <w:vertAlign w:val="superscript"/>
              </w:rPr>
              <w:t>b</w:t>
            </w:r>
          </w:p>
        </w:tc>
        <w:tc>
          <w:tcPr>
            <w:tcW w:w="2126" w:type="dxa"/>
            <w:tcBorders>
              <w:top w:val="single" w:color="auto" w:sz="4" w:space="0"/>
              <w:left w:val="nil"/>
              <w:bottom w:val="single" w:color="auto" w:sz="4" w:space="0"/>
              <w:right w:val="single" w:color="auto" w:sz="4" w:space="0"/>
            </w:tcBorders>
            <w:vAlign w:val="center"/>
          </w:tcPr>
          <w:p w14:paraId="7B430CAE">
            <w:pPr>
              <w:jc w:val="center"/>
              <w:rPr>
                <w:color w:val="auto"/>
                <w:highlight w:val="none"/>
              </w:rPr>
            </w:pPr>
            <w:r>
              <w:rPr>
                <w:rFonts w:hint="eastAsia" w:ascii="宋体" w:hAnsi="宋体" w:eastAsia="宋体" w:cs="宋体"/>
                <w:color w:val="auto"/>
                <w:highlight w:val="none"/>
              </w:rPr>
              <w:t>≤</w:t>
            </w:r>
            <w:r>
              <w:rPr>
                <w:bCs/>
                <w:color w:val="auto"/>
                <w:highlight w:val="none"/>
              </w:rPr>
              <w:t>500</w:t>
            </w:r>
          </w:p>
        </w:tc>
        <w:tc>
          <w:tcPr>
            <w:tcW w:w="2693" w:type="dxa"/>
            <w:vMerge w:val="continue"/>
            <w:tcBorders>
              <w:top w:val="single" w:color="auto" w:sz="4" w:space="0"/>
              <w:left w:val="nil"/>
              <w:bottom w:val="single" w:color="auto" w:sz="4" w:space="0"/>
              <w:right w:val="single" w:color="auto" w:sz="12" w:space="0"/>
            </w:tcBorders>
            <w:vAlign w:val="center"/>
          </w:tcPr>
          <w:p w14:paraId="08CD3391">
            <w:pPr>
              <w:rPr>
                <w:color w:val="auto"/>
                <w:highlight w:val="none"/>
              </w:rPr>
            </w:pPr>
          </w:p>
        </w:tc>
      </w:tr>
      <w:tr w14:paraId="0A3D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246" w:type="dxa"/>
            <w:gridSpan w:val="5"/>
            <w:tcBorders>
              <w:top w:val="single" w:color="auto" w:sz="4" w:space="0"/>
              <w:left w:val="single" w:color="auto" w:sz="12" w:space="0"/>
              <w:bottom w:val="single" w:color="auto" w:sz="4" w:space="0"/>
              <w:right w:val="single" w:color="auto" w:sz="4" w:space="0"/>
            </w:tcBorders>
            <w:vAlign w:val="center"/>
          </w:tcPr>
          <w:p w14:paraId="1D5952AB">
            <w:pPr>
              <w:jc w:val="center"/>
              <w:rPr>
                <w:color w:val="auto"/>
                <w:highlight w:val="none"/>
              </w:rPr>
            </w:pPr>
            <w:r>
              <w:rPr>
                <w:bCs/>
                <w:color w:val="auto"/>
                <w:highlight w:val="none"/>
              </w:rPr>
              <w:t>不透水性</w:t>
            </w:r>
            <w:r>
              <w:rPr>
                <w:rFonts w:hint="eastAsia"/>
                <w:bCs/>
                <w:color w:val="auto"/>
                <w:highlight w:val="none"/>
                <w:vertAlign w:val="superscript"/>
              </w:rPr>
              <w:t>b</w:t>
            </w:r>
          </w:p>
        </w:tc>
        <w:tc>
          <w:tcPr>
            <w:tcW w:w="2126" w:type="dxa"/>
            <w:tcBorders>
              <w:top w:val="single" w:color="auto" w:sz="4" w:space="0"/>
              <w:left w:val="nil"/>
              <w:bottom w:val="single" w:color="auto" w:sz="4" w:space="0"/>
              <w:right w:val="single" w:color="auto" w:sz="4" w:space="0"/>
            </w:tcBorders>
            <w:vAlign w:val="center"/>
          </w:tcPr>
          <w:p w14:paraId="59EAA61D">
            <w:pPr>
              <w:jc w:val="center"/>
              <w:rPr>
                <w:color w:val="auto"/>
                <w:highlight w:val="none"/>
              </w:rPr>
            </w:pPr>
            <w:r>
              <w:rPr>
                <w:bCs/>
                <w:color w:val="auto"/>
                <w:highlight w:val="none"/>
              </w:rPr>
              <w:t>面板内侧无水渗透</w:t>
            </w:r>
          </w:p>
        </w:tc>
        <w:tc>
          <w:tcPr>
            <w:tcW w:w="2693" w:type="dxa"/>
            <w:vMerge w:val="continue"/>
            <w:tcBorders>
              <w:top w:val="single" w:color="auto" w:sz="4" w:space="0"/>
              <w:left w:val="nil"/>
              <w:bottom w:val="single" w:color="auto" w:sz="4" w:space="0"/>
              <w:right w:val="single" w:color="auto" w:sz="12" w:space="0"/>
            </w:tcBorders>
            <w:vAlign w:val="center"/>
          </w:tcPr>
          <w:p w14:paraId="0710591C">
            <w:pPr>
              <w:rPr>
                <w:color w:val="auto"/>
                <w:highlight w:val="none"/>
              </w:rPr>
            </w:pPr>
          </w:p>
        </w:tc>
      </w:tr>
      <w:tr w14:paraId="7142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246" w:type="dxa"/>
            <w:gridSpan w:val="5"/>
            <w:tcBorders>
              <w:top w:val="single" w:color="auto" w:sz="4" w:space="0"/>
              <w:left w:val="single" w:color="auto" w:sz="12" w:space="0"/>
              <w:bottom w:val="single" w:color="auto" w:sz="4" w:space="0"/>
              <w:right w:val="single" w:color="auto" w:sz="4" w:space="0"/>
            </w:tcBorders>
            <w:vAlign w:val="center"/>
          </w:tcPr>
          <w:p w14:paraId="6F34EA0B">
            <w:pPr>
              <w:jc w:val="center"/>
              <w:rPr>
                <w:color w:val="auto"/>
                <w:highlight w:val="none"/>
              </w:rPr>
            </w:pPr>
            <w:r>
              <w:rPr>
                <w:color w:val="auto"/>
                <w:highlight w:val="none"/>
              </w:rPr>
              <w:t>可操作时间（h）</w:t>
            </w:r>
          </w:p>
        </w:tc>
        <w:tc>
          <w:tcPr>
            <w:tcW w:w="2126" w:type="dxa"/>
            <w:tcBorders>
              <w:top w:val="single" w:color="auto" w:sz="4" w:space="0"/>
              <w:left w:val="nil"/>
              <w:bottom w:val="single" w:color="auto" w:sz="4" w:space="0"/>
              <w:right w:val="single" w:color="auto" w:sz="4" w:space="0"/>
            </w:tcBorders>
            <w:vAlign w:val="center"/>
          </w:tcPr>
          <w:p w14:paraId="0613A5BC">
            <w:pPr>
              <w:jc w:val="center"/>
              <w:rPr>
                <w:color w:val="auto"/>
                <w:highlight w:val="none"/>
              </w:rPr>
            </w:pPr>
            <w:r>
              <w:rPr>
                <w:color w:val="auto"/>
                <w:highlight w:val="none"/>
              </w:rPr>
              <w:t>1.5～4.0</w:t>
            </w:r>
          </w:p>
        </w:tc>
        <w:tc>
          <w:tcPr>
            <w:tcW w:w="2693" w:type="dxa"/>
            <w:vMerge w:val="continue"/>
            <w:tcBorders>
              <w:top w:val="single" w:color="auto" w:sz="4" w:space="0"/>
              <w:left w:val="nil"/>
              <w:bottom w:val="single" w:color="auto" w:sz="4" w:space="0"/>
              <w:right w:val="single" w:color="auto" w:sz="12" w:space="0"/>
            </w:tcBorders>
            <w:vAlign w:val="center"/>
          </w:tcPr>
          <w:p w14:paraId="3CED7BD9">
            <w:pPr>
              <w:widowControl/>
              <w:rPr>
                <w:color w:val="auto"/>
                <w:kern w:val="2"/>
                <w:highlight w:val="none"/>
              </w:rPr>
            </w:pPr>
          </w:p>
        </w:tc>
      </w:tr>
      <w:tr w14:paraId="1505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25" w:type="dxa"/>
            <w:gridSpan w:val="3"/>
            <w:vMerge w:val="restart"/>
            <w:tcBorders>
              <w:top w:val="single" w:color="auto" w:sz="4" w:space="0"/>
              <w:left w:val="single" w:color="auto" w:sz="12" w:space="0"/>
              <w:right w:val="single" w:color="auto" w:sz="4" w:space="0"/>
            </w:tcBorders>
            <w:vAlign w:val="center"/>
          </w:tcPr>
          <w:p w14:paraId="11C24BDE">
            <w:pPr>
              <w:jc w:val="center"/>
              <w:rPr>
                <w:color w:val="auto"/>
                <w:highlight w:val="none"/>
              </w:rPr>
            </w:pPr>
            <w:r>
              <w:rPr>
                <w:bCs/>
                <w:color w:val="auto"/>
                <w:highlight w:val="none"/>
              </w:rPr>
              <w:t>放射性核素限量</w:t>
            </w:r>
          </w:p>
        </w:tc>
        <w:tc>
          <w:tcPr>
            <w:tcW w:w="1821" w:type="dxa"/>
            <w:gridSpan w:val="2"/>
            <w:tcBorders>
              <w:top w:val="single" w:color="auto" w:sz="4" w:space="0"/>
              <w:left w:val="single" w:color="auto" w:sz="4" w:space="0"/>
              <w:bottom w:val="single" w:color="auto" w:sz="4" w:space="0"/>
              <w:right w:val="single" w:color="auto" w:sz="4" w:space="0"/>
            </w:tcBorders>
            <w:vAlign w:val="center"/>
          </w:tcPr>
          <w:p w14:paraId="0A2F190B">
            <w:pPr>
              <w:jc w:val="center"/>
              <w:rPr>
                <w:color w:val="auto"/>
                <w:highlight w:val="none"/>
              </w:rPr>
            </w:pPr>
            <w:r>
              <w:rPr>
                <w:bCs/>
                <w:color w:val="auto"/>
                <w:highlight w:val="none"/>
              </w:rPr>
              <w:t>内照射指数</w:t>
            </w:r>
            <w:r>
              <w:rPr>
                <w:bCs/>
                <w:color w:val="auto"/>
                <w:position w:val="-12"/>
                <w:highlight w:val="none"/>
              </w:rPr>
              <w:object>
                <v:shape id="_x0000_i1027" o:spt="75" type="#_x0000_t75" style="height:18pt;width:17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13">
                  <o:LockedField>false</o:LockedField>
                </o:OLEObject>
              </w:object>
            </w:r>
          </w:p>
        </w:tc>
        <w:tc>
          <w:tcPr>
            <w:tcW w:w="2126" w:type="dxa"/>
            <w:tcBorders>
              <w:top w:val="single" w:color="auto" w:sz="4" w:space="0"/>
              <w:left w:val="nil"/>
              <w:bottom w:val="single" w:color="auto" w:sz="4" w:space="0"/>
              <w:right w:val="single" w:color="auto" w:sz="4" w:space="0"/>
            </w:tcBorders>
            <w:vAlign w:val="center"/>
          </w:tcPr>
          <w:p w14:paraId="1B617770">
            <w:pPr>
              <w:jc w:val="center"/>
              <w:rPr>
                <w:color w:val="auto"/>
                <w:highlight w:val="none"/>
              </w:rPr>
            </w:pPr>
            <w:r>
              <w:rPr>
                <w:rFonts w:hint="eastAsia" w:ascii="宋体" w:hAnsi="宋体" w:eastAsia="宋体" w:cs="宋体"/>
                <w:color w:val="auto"/>
                <w:highlight w:val="none"/>
              </w:rPr>
              <w:t>≤</w:t>
            </w:r>
            <w:r>
              <w:rPr>
                <w:bCs/>
                <w:color w:val="auto"/>
                <w:highlight w:val="none"/>
              </w:rPr>
              <w:t>1.0</w:t>
            </w:r>
          </w:p>
        </w:tc>
        <w:tc>
          <w:tcPr>
            <w:tcW w:w="2693" w:type="dxa"/>
            <w:vMerge w:val="restart"/>
            <w:tcBorders>
              <w:top w:val="single" w:color="auto" w:sz="4" w:space="0"/>
              <w:left w:val="nil"/>
              <w:right w:val="single" w:color="auto" w:sz="12" w:space="0"/>
            </w:tcBorders>
            <w:vAlign w:val="center"/>
          </w:tcPr>
          <w:p w14:paraId="2FDD65C1">
            <w:pPr>
              <w:widowControl/>
              <w:rPr>
                <w:color w:val="auto"/>
                <w:kern w:val="2"/>
                <w:highlight w:val="none"/>
              </w:rPr>
            </w:pPr>
            <w:r>
              <w:rPr>
                <w:bCs/>
                <w:color w:val="auto"/>
                <w:highlight w:val="none"/>
              </w:rPr>
              <w:t>现行国家标准《建筑材料放射性核素限量》GB 6566</w:t>
            </w:r>
          </w:p>
        </w:tc>
      </w:tr>
      <w:tr w14:paraId="1B76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25" w:type="dxa"/>
            <w:gridSpan w:val="3"/>
            <w:vMerge w:val="continue"/>
            <w:tcBorders>
              <w:left w:val="single" w:color="auto" w:sz="12" w:space="0"/>
              <w:bottom w:val="single" w:color="auto" w:sz="12" w:space="0"/>
              <w:right w:val="single" w:color="auto" w:sz="4" w:space="0"/>
            </w:tcBorders>
            <w:vAlign w:val="center"/>
          </w:tcPr>
          <w:p w14:paraId="10D51E19">
            <w:pPr>
              <w:jc w:val="center"/>
              <w:rPr>
                <w:color w:val="auto"/>
                <w:highlight w:val="none"/>
              </w:rPr>
            </w:pPr>
          </w:p>
        </w:tc>
        <w:tc>
          <w:tcPr>
            <w:tcW w:w="1821" w:type="dxa"/>
            <w:gridSpan w:val="2"/>
            <w:tcBorders>
              <w:top w:val="single" w:color="auto" w:sz="4" w:space="0"/>
              <w:left w:val="single" w:color="auto" w:sz="4" w:space="0"/>
              <w:bottom w:val="single" w:color="auto" w:sz="12" w:space="0"/>
              <w:right w:val="single" w:color="auto" w:sz="4" w:space="0"/>
            </w:tcBorders>
            <w:vAlign w:val="center"/>
          </w:tcPr>
          <w:p w14:paraId="1598910A">
            <w:pPr>
              <w:jc w:val="center"/>
              <w:rPr>
                <w:color w:val="auto"/>
                <w:highlight w:val="none"/>
              </w:rPr>
            </w:pPr>
            <w:r>
              <w:rPr>
                <w:bCs/>
                <w:color w:val="auto"/>
                <w:highlight w:val="none"/>
              </w:rPr>
              <w:t>外照射指数</w:t>
            </w:r>
            <w:r>
              <w:rPr>
                <w:bCs/>
                <w:color w:val="auto"/>
                <w:position w:val="-12"/>
                <w:highlight w:val="none"/>
              </w:rPr>
              <w:object>
                <v:shape id="_x0000_i1028" o:spt="75" type="#_x0000_t75" style="height:18pt;width:12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4">
                  <o:LockedField>false</o:LockedField>
                </o:OLEObject>
              </w:object>
            </w:r>
          </w:p>
        </w:tc>
        <w:tc>
          <w:tcPr>
            <w:tcW w:w="2126" w:type="dxa"/>
            <w:tcBorders>
              <w:top w:val="single" w:color="auto" w:sz="4" w:space="0"/>
              <w:left w:val="nil"/>
              <w:bottom w:val="single" w:color="auto" w:sz="12" w:space="0"/>
              <w:right w:val="single" w:color="auto" w:sz="4" w:space="0"/>
            </w:tcBorders>
            <w:vAlign w:val="center"/>
          </w:tcPr>
          <w:p w14:paraId="0ECB53A3">
            <w:pPr>
              <w:jc w:val="center"/>
              <w:rPr>
                <w:color w:val="auto"/>
                <w:highlight w:val="none"/>
              </w:rPr>
            </w:pPr>
            <w:r>
              <w:rPr>
                <w:rFonts w:hint="eastAsia" w:ascii="宋体" w:hAnsi="宋体" w:eastAsia="宋体" w:cs="宋体"/>
                <w:color w:val="auto"/>
                <w:highlight w:val="none"/>
              </w:rPr>
              <w:t>≤</w:t>
            </w:r>
            <w:r>
              <w:rPr>
                <w:bCs/>
                <w:color w:val="auto"/>
                <w:highlight w:val="none"/>
              </w:rPr>
              <w:t>1.0</w:t>
            </w:r>
          </w:p>
        </w:tc>
        <w:tc>
          <w:tcPr>
            <w:tcW w:w="2693" w:type="dxa"/>
            <w:vMerge w:val="continue"/>
            <w:tcBorders>
              <w:left w:val="nil"/>
              <w:bottom w:val="single" w:color="auto" w:sz="4" w:space="0"/>
              <w:right w:val="single" w:color="auto" w:sz="12" w:space="0"/>
            </w:tcBorders>
            <w:vAlign w:val="center"/>
          </w:tcPr>
          <w:p w14:paraId="1BE0E88E">
            <w:pPr>
              <w:widowControl/>
              <w:rPr>
                <w:color w:val="auto"/>
                <w:kern w:val="2"/>
                <w:highlight w:val="none"/>
              </w:rPr>
            </w:pPr>
          </w:p>
        </w:tc>
      </w:tr>
    </w:tbl>
    <w:p w14:paraId="382F4C67">
      <w:pPr>
        <w:widowControl/>
        <w:ind w:firstLine="360" w:firstLineChars="200"/>
        <w:jc w:val="left"/>
        <w:rPr>
          <w:color w:val="auto"/>
          <w:sz w:val="24"/>
          <w:szCs w:val="24"/>
          <w:highlight w:val="none"/>
        </w:rPr>
      </w:pPr>
      <w:r>
        <w:rPr>
          <w:color w:val="auto"/>
          <w:sz w:val="18"/>
          <w:szCs w:val="18"/>
          <w:highlight w:val="none"/>
        </w:rPr>
        <w:t xml:space="preserve">注：1  </w:t>
      </w:r>
      <w:r>
        <w:rPr>
          <w:rFonts w:hint="eastAsia"/>
          <w:color w:val="auto"/>
          <w:sz w:val="18"/>
          <w:szCs w:val="18"/>
          <w:highlight w:val="none"/>
          <w:vertAlign w:val="superscript"/>
        </w:rPr>
        <w:t>a</w:t>
      </w:r>
      <w:r>
        <w:rPr>
          <w:rFonts w:hint="eastAsia"/>
          <w:color w:val="auto"/>
          <w:sz w:val="18"/>
          <w:szCs w:val="18"/>
          <w:highlight w:val="none"/>
        </w:rPr>
        <w:t xml:space="preserve"> </w:t>
      </w:r>
      <w:r>
        <w:rPr>
          <w:color w:val="auto"/>
          <w:sz w:val="18"/>
          <w:szCs w:val="18"/>
          <w:highlight w:val="none"/>
        </w:rPr>
        <w:t xml:space="preserve"> 用于面砖饰面时，</w:t>
      </w:r>
      <w:r>
        <w:rPr>
          <w:rFonts w:hint="eastAsia"/>
          <w:color w:val="auto"/>
          <w:sz w:val="18"/>
          <w:szCs w:val="18"/>
          <w:highlight w:val="none"/>
        </w:rPr>
        <w:t>应检查此项</w:t>
      </w:r>
      <w:r>
        <w:rPr>
          <w:color w:val="auto"/>
          <w:sz w:val="18"/>
          <w:szCs w:val="18"/>
          <w:highlight w:val="none"/>
        </w:rPr>
        <w:t xml:space="preserve">。 </w:t>
      </w:r>
    </w:p>
    <w:p w14:paraId="2202B548">
      <w:pPr>
        <w:widowControl/>
        <w:autoSpaceDE w:val="0"/>
        <w:autoSpaceDN w:val="0"/>
        <w:jc w:val="left"/>
        <w:rPr>
          <w:color w:val="auto"/>
          <w:highlight w:val="none"/>
        </w:rPr>
      </w:pPr>
      <w:r>
        <w:rPr>
          <w:color w:val="auto"/>
          <w:sz w:val="18"/>
          <w:szCs w:val="18"/>
          <w:highlight w:val="none"/>
        </w:rPr>
        <w:t xml:space="preserve">        2  </w:t>
      </w:r>
      <w:r>
        <w:rPr>
          <w:rFonts w:hint="eastAsia"/>
          <w:color w:val="auto"/>
          <w:sz w:val="18"/>
          <w:szCs w:val="18"/>
          <w:highlight w:val="none"/>
          <w:vertAlign w:val="superscript"/>
        </w:rPr>
        <w:t>b</w:t>
      </w:r>
      <w:r>
        <w:rPr>
          <w:rFonts w:hint="eastAsia"/>
          <w:color w:val="auto"/>
          <w:sz w:val="18"/>
          <w:szCs w:val="18"/>
          <w:highlight w:val="none"/>
        </w:rPr>
        <w:t xml:space="preserve"> </w:t>
      </w:r>
      <w:r>
        <w:rPr>
          <w:color w:val="auto"/>
          <w:sz w:val="18"/>
          <w:szCs w:val="18"/>
          <w:highlight w:val="none"/>
        </w:rPr>
        <w:t xml:space="preserve"> 当用于厨房、卫生间等潮湿环境时，</w:t>
      </w:r>
      <w:r>
        <w:rPr>
          <w:rFonts w:hint="eastAsia"/>
          <w:color w:val="auto"/>
          <w:sz w:val="18"/>
          <w:szCs w:val="18"/>
          <w:highlight w:val="none"/>
        </w:rPr>
        <w:t>应检查此项</w:t>
      </w:r>
      <w:r>
        <w:rPr>
          <w:color w:val="auto"/>
          <w:sz w:val="18"/>
          <w:szCs w:val="18"/>
          <w:highlight w:val="none"/>
        </w:rPr>
        <w:t>。</w:t>
      </w:r>
    </w:p>
    <w:p w14:paraId="79FA61F0">
      <w:pPr>
        <w:widowControl/>
        <w:autoSpaceDE w:val="0"/>
        <w:autoSpaceDN w:val="0"/>
        <w:spacing w:before="156" w:beforeLines="50" w:after="156" w:afterLines="50"/>
        <w:jc w:val="center"/>
        <w:rPr>
          <w:color w:val="auto"/>
          <w:highlight w:val="none"/>
        </w:rPr>
      </w:pPr>
      <w:r>
        <w:rPr>
          <w:color w:val="auto"/>
          <w:highlight w:val="none"/>
        </w:rPr>
        <w:t>表4.4.2-2  玻纤网性能指标</w:t>
      </w:r>
    </w:p>
    <w:tbl>
      <w:tblPr>
        <w:tblStyle w:val="18"/>
        <w:tblW w:w="8080" w:type="dxa"/>
        <w:tblInd w:w="12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52"/>
        <w:gridCol w:w="2268"/>
        <w:gridCol w:w="3260"/>
      </w:tblGrid>
      <w:tr w14:paraId="47B884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7" w:hRule="atLeast"/>
        </w:trPr>
        <w:tc>
          <w:tcPr>
            <w:tcW w:w="2552" w:type="dxa"/>
            <w:vAlign w:val="center"/>
          </w:tcPr>
          <w:p w14:paraId="1E2F751A">
            <w:pPr>
              <w:spacing w:line="360" w:lineRule="auto"/>
              <w:jc w:val="center"/>
              <w:rPr>
                <w:bCs/>
                <w:color w:val="auto"/>
                <w:highlight w:val="none"/>
              </w:rPr>
            </w:pPr>
            <w:r>
              <w:rPr>
                <w:bCs/>
                <w:color w:val="auto"/>
                <w:highlight w:val="none"/>
              </w:rPr>
              <w:t>项目</w:t>
            </w:r>
          </w:p>
        </w:tc>
        <w:tc>
          <w:tcPr>
            <w:tcW w:w="2268" w:type="dxa"/>
            <w:vAlign w:val="center"/>
          </w:tcPr>
          <w:p w14:paraId="13634B12">
            <w:pPr>
              <w:spacing w:line="360" w:lineRule="auto"/>
              <w:jc w:val="center"/>
              <w:rPr>
                <w:bCs/>
                <w:color w:val="auto"/>
                <w:highlight w:val="none"/>
              </w:rPr>
            </w:pPr>
            <w:r>
              <w:rPr>
                <w:bCs/>
                <w:color w:val="auto"/>
                <w:highlight w:val="none"/>
              </w:rPr>
              <w:t>性能指标</w:t>
            </w:r>
          </w:p>
        </w:tc>
        <w:tc>
          <w:tcPr>
            <w:tcW w:w="3260" w:type="dxa"/>
            <w:vAlign w:val="center"/>
          </w:tcPr>
          <w:p w14:paraId="4165CE8F">
            <w:pPr>
              <w:spacing w:line="360" w:lineRule="auto"/>
              <w:jc w:val="center"/>
              <w:rPr>
                <w:bCs/>
                <w:color w:val="auto"/>
                <w:highlight w:val="none"/>
              </w:rPr>
            </w:pPr>
            <w:r>
              <w:rPr>
                <w:bCs/>
                <w:color w:val="auto"/>
                <w:highlight w:val="none"/>
              </w:rPr>
              <w:t>检验方法</w:t>
            </w:r>
          </w:p>
        </w:tc>
      </w:tr>
      <w:tr w14:paraId="7B312D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2" w:hRule="atLeast"/>
        </w:trPr>
        <w:tc>
          <w:tcPr>
            <w:tcW w:w="2552" w:type="dxa"/>
            <w:vAlign w:val="center"/>
          </w:tcPr>
          <w:p w14:paraId="3B1D7B27">
            <w:pPr>
              <w:spacing w:line="360" w:lineRule="auto"/>
              <w:jc w:val="center"/>
              <w:rPr>
                <w:bCs/>
                <w:color w:val="auto"/>
                <w:highlight w:val="none"/>
              </w:rPr>
            </w:pPr>
            <w:r>
              <w:rPr>
                <w:bCs/>
                <w:color w:val="auto"/>
                <w:highlight w:val="none"/>
              </w:rPr>
              <w:t>单位面积质量（g/m</w:t>
            </w:r>
            <w:r>
              <w:rPr>
                <w:bCs/>
                <w:color w:val="auto"/>
                <w:highlight w:val="none"/>
                <w:vertAlign w:val="superscript"/>
              </w:rPr>
              <w:t>2</w:t>
            </w:r>
            <w:r>
              <w:rPr>
                <w:bCs/>
                <w:color w:val="auto"/>
                <w:highlight w:val="none"/>
              </w:rPr>
              <w:t>）</w:t>
            </w:r>
          </w:p>
        </w:tc>
        <w:tc>
          <w:tcPr>
            <w:tcW w:w="2268" w:type="dxa"/>
            <w:vAlign w:val="center"/>
          </w:tcPr>
          <w:p w14:paraId="6300B0D3">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130</w:t>
            </w:r>
          </w:p>
        </w:tc>
        <w:tc>
          <w:tcPr>
            <w:tcW w:w="3260" w:type="dxa"/>
            <w:vAlign w:val="center"/>
          </w:tcPr>
          <w:p w14:paraId="6ECBBA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Cs/>
                <w:color w:val="auto"/>
                <w:highlight w:val="none"/>
              </w:rPr>
            </w:pPr>
            <w:r>
              <w:rPr>
                <w:bCs/>
                <w:color w:val="auto"/>
                <w:highlight w:val="none"/>
              </w:rPr>
              <w:t>现行国家标准《增强制品试验方法第3部分:单位面积质量的测定》GB/T 9914.3</w:t>
            </w:r>
          </w:p>
        </w:tc>
      </w:tr>
      <w:tr w14:paraId="0B85BD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2552" w:type="dxa"/>
            <w:vAlign w:val="center"/>
          </w:tcPr>
          <w:p w14:paraId="528C25AB">
            <w:pPr>
              <w:spacing w:line="360" w:lineRule="auto"/>
              <w:jc w:val="center"/>
              <w:rPr>
                <w:bCs/>
                <w:color w:val="auto"/>
                <w:highlight w:val="none"/>
              </w:rPr>
            </w:pPr>
            <w:r>
              <w:rPr>
                <w:bCs/>
                <w:color w:val="auto"/>
                <w:highlight w:val="none"/>
              </w:rPr>
              <w:t>耐碱拉伸断裂强力（经、纬向）（N/50mm）</w:t>
            </w:r>
          </w:p>
        </w:tc>
        <w:tc>
          <w:tcPr>
            <w:tcW w:w="2268" w:type="dxa"/>
            <w:vAlign w:val="center"/>
          </w:tcPr>
          <w:p w14:paraId="06744584">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1000</w:t>
            </w:r>
          </w:p>
        </w:tc>
        <w:tc>
          <w:tcPr>
            <w:tcW w:w="3260" w:type="dxa"/>
            <w:vMerge w:val="restart"/>
            <w:vAlign w:val="center"/>
          </w:tcPr>
          <w:p w14:paraId="46C3DCF6">
            <w:pPr>
              <w:spacing w:line="360" w:lineRule="auto"/>
              <w:jc w:val="center"/>
              <w:rPr>
                <w:bCs/>
                <w:color w:val="auto"/>
                <w:highlight w:val="none"/>
              </w:rPr>
            </w:pPr>
            <w:r>
              <w:rPr>
                <w:color w:val="auto"/>
                <w:highlight w:val="none"/>
              </w:rPr>
              <w:t>现行国家标准</w:t>
            </w:r>
            <w:r>
              <w:rPr>
                <w:bCs/>
                <w:color w:val="auto"/>
                <w:highlight w:val="none"/>
              </w:rPr>
              <w:t>《玻璃纤维网布耐碱性试验方法氢氧化钠溶液浸泡法》GB/T 20102</w:t>
            </w:r>
          </w:p>
        </w:tc>
      </w:tr>
      <w:tr w14:paraId="772419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 w:hRule="atLeast"/>
        </w:trPr>
        <w:tc>
          <w:tcPr>
            <w:tcW w:w="2552" w:type="dxa"/>
            <w:vAlign w:val="center"/>
          </w:tcPr>
          <w:p w14:paraId="7FDFD634">
            <w:pPr>
              <w:spacing w:line="360" w:lineRule="auto"/>
              <w:jc w:val="center"/>
              <w:rPr>
                <w:bCs/>
                <w:color w:val="auto"/>
                <w:highlight w:val="none"/>
              </w:rPr>
            </w:pPr>
            <w:r>
              <w:rPr>
                <w:bCs/>
                <w:color w:val="auto"/>
                <w:highlight w:val="none"/>
              </w:rPr>
              <w:t>耐碱拉伸断裂强力保留率（经、纬向）（%）</w:t>
            </w:r>
          </w:p>
        </w:tc>
        <w:tc>
          <w:tcPr>
            <w:tcW w:w="2268" w:type="dxa"/>
            <w:vAlign w:val="center"/>
          </w:tcPr>
          <w:p w14:paraId="2A8586CA">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50</w:t>
            </w:r>
          </w:p>
        </w:tc>
        <w:tc>
          <w:tcPr>
            <w:tcW w:w="3260" w:type="dxa"/>
            <w:vMerge w:val="continue"/>
            <w:vAlign w:val="center"/>
          </w:tcPr>
          <w:p w14:paraId="76CC6348">
            <w:pPr>
              <w:spacing w:line="360" w:lineRule="auto"/>
              <w:jc w:val="center"/>
              <w:rPr>
                <w:bCs/>
                <w:color w:val="auto"/>
                <w:highlight w:val="none"/>
              </w:rPr>
            </w:pPr>
          </w:p>
        </w:tc>
      </w:tr>
      <w:tr w14:paraId="10D32C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 w:hRule="atLeast"/>
        </w:trPr>
        <w:tc>
          <w:tcPr>
            <w:tcW w:w="2552" w:type="dxa"/>
            <w:vAlign w:val="center"/>
          </w:tcPr>
          <w:p w14:paraId="4CD826CD">
            <w:pPr>
              <w:spacing w:line="360" w:lineRule="auto"/>
              <w:jc w:val="center"/>
              <w:rPr>
                <w:bCs/>
                <w:color w:val="auto"/>
                <w:highlight w:val="none"/>
              </w:rPr>
            </w:pPr>
            <w:r>
              <w:rPr>
                <w:bCs/>
                <w:color w:val="auto"/>
                <w:highlight w:val="none"/>
              </w:rPr>
              <w:t>断裂伸长率（经、纬向）（%）</w:t>
            </w:r>
          </w:p>
        </w:tc>
        <w:tc>
          <w:tcPr>
            <w:tcW w:w="2268" w:type="dxa"/>
            <w:vAlign w:val="center"/>
          </w:tcPr>
          <w:p w14:paraId="2376E712">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5.0</w:t>
            </w:r>
          </w:p>
        </w:tc>
        <w:tc>
          <w:tcPr>
            <w:tcW w:w="3260" w:type="dxa"/>
            <w:vAlign w:val="center"/>
          </w:tcPr>
          <w:p w14:paraId="4ABE4C7A">
            <w:pPr>
              <w:spacing w:line="360" w:lineRule="auto"/>
              <w:jc w:val="center"/>
              <w:rPr>
                <w:bCs/>
                <w:color w:val="auto"/>
                <w:highlight w:val="none"/>
              </w:rPr>
            </w:pPr>
            <w:r>
              <w:rPr>
                <w:color w:val="auto"/>
                <w:highlight w:val="none"/>
              </w:rPr>
              <w:t>现行国家标准</w:t>
            </w:r>
            <w:r>
              <w:rPr>
                <w:bCs/>
                <w:color w:val="auto"/>
                <w:highlight w:val="none"/>
              </w:rPr>
              <w:t>《增强材料机织物试验方法第5部分：玻璃纤维拉伸断裂强力和断裂伸长的测定》GB/T 7689.5</w:t>
            </w:r>
          </w:p>
        </w:tc>
      </w:tr>
      <w:tr w14:paraId="2F259B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 w:hRule="atLeast"/>
        </w:trPr>
        <w:tc>
          <w:tcPr>
            <w:tcW w:w="2552" w:type="dxa"/>
            <w:vAlign w:val="center"/>
          </w:tcPr>
          <w:p w14:paraId="75317A34">
            <w:pPr>
              <w:spacing w:line="360" w:lineRule="auto"/>
              <w:jc w:val="center"/>
              <w:rPr>
                <w:bCs/>
                <w:color w:val="auto"/>
                <w:highlight w:val="none"/>
              </w:rPr>
            </w:pPr>
            <w:r>
              <w:rPr>
                <w:bCs/>
                <w:color w:val="auto"/>
                <w:highlight w:val="none"/>
              </w:rPr>
              <w:t>氧化锆（ZrO</w:t>
            </w:r>
            <w:r>
              <w:rPr>
                <w:bCs/>
                <w:color w:val="auto"/>
                <w:highlight w:val="none"/>
                <w:vertAlign w:val="subscript"/>
              </w:rPr>
              <w:t>2</w:t>
            </w:r>
            <w:r>
              <w:rPr>
                <w:bCs/>
                <w:color w:val="auto"/>
                <w:highlight w:val="none"/>
              </w:rPr>
              <w:t>）、氧化钛（TiO</w:t>
            </w:r>
            <w:r>
              <w:rPr>
                <w:bCs/>
                <w:color w:val="auto"/>
                <w:highlight w:val="none"/>
                <w:vertAlign w:val="subscript"/>
              </w:rPr>
              <w:t>2</w:t>
            </w:r>
            <w:r>
              <w:rPr>
                <w:bCs/>
                <w:color w:val="auto"/>
                <w:highlight w:val="none"/>
              </w:rPr>
              <w:t>）含量（%）</w:t>
            </w:r>
          </w:p>
        </w:tc>
        <w:tc>
          <w:tcPr>
            <w:tcW w:w="2268" w:type="dxa"/>
            <w:vAlign w:val="center"/>
          </w:tcPr>
          <w:p w14:paraId="06118F6A">
            <w:pPr>
              <w:spacing w:line="360" w:lineRule="auto"/>
              <w:jc w:val="center"/>
              <w:rPr>
                <w:bCs/>
                <w:color w:val="auto"/>
                <w:sz w:val="18"/>
                <w:szCs w:val="18"/>
                <w:highlight w:val="none"/>
              </w:rPr>
            </w:pPr>
            <w:r>
              <w:rPr>
                <w:bCs/>
                <w:color w:val="auto"/>
                <w:sz w:val="18"/>
                <w:szCs w:val="18"/>
                <w:highlight w:val="none"/>
              </w:rPr>
              <w:t>ZrO</w:t>
            </w:r>
            <w:r>
              <w:rPr>
                <w:bCs/>
                <w:color w:val="auto"/>
                <w:sz w:val="18"/>
                <w:szCs w:val="18"/>
                <w:highlight w:val="none"/>
                <w:vertAlign w:val="subscript"/>
              </w:rPr>
              <w:t>2</w:t>
            </w:r>
            <w:r>
              <w:rPr>
                <w:bCs/>
                <w:color w:val="auto"/>
                <w:sz w:val="18"/>
                <w:szCs w:val="18"/>
                <w:highlight w:val="none"/>
              </w:rPr>
              <w:t>含量14.5±0.8，</w:t>
            </w:r>
          </w:p>
          <w:p w14:paraId="58D09FFC">
            <w:pPr>
              <w:spacing w:line="360" w:lineRule="auto"/>
              <w:jc w:val="center"/>
              <w:rPr>
                <w:bCs/>
                <w:color w:val="auto"/>
                <w:highlight w:val="none"/>
              </w:rPr>
            </w:pPr>
            <w:r>
              <w:rPr>
                <w:bCs/>
                <w:color w:val="auto"/>
                <w:sz w:val="18"/>
                <w:szCs w:val="18"/>
                <w:highlight w:val="none"/>
              </w:rPr>
              <w:t>TiO</w:t>
            </w:r>
            <w:r>
              <w:rPr>
                <w:bCs/>
                <w:color w:val="auto"/>
                <w:sz w:val="18"/>
                <w:szCs w:val="18"/>
                <w:highlight w:val="none"/>
                <w:vertAlign w:val="subscript"/>
              </w:rPr>
              <w:t>2</w:t>
            </w:r>
            <w:r>
              <w:rPr>
                <w:bCs/>
                <w:color w:val="auto"/>
                <w:sz w:val="18"/>
                <w:szCs w:val="18"/>
                <w:highlight w:val="none"/>
              </w:rPr>
              <w:t>含量6.0±0.5或ZrO</w:t>
            </w:r>
            <w:r>
              <w:rPr>
                <w:bCs/>
                <w:color w:val="auto"/>
                <w:sz w:val="18"/>
                <w:szCs w:val="18"/>
                <w:highlight w:val="none"/>
                <w:vertAlign w:val="subscript"/>
              </w:rPr>
              <w:t>2</w:t>
            </w:r>
            <w:r>
              <w:rPr>
                <w:bCs/>
                <w:color w:val="auto"/>
                <w:sz w:val="18"/>
                <w:szCs w:val="18"/>
                <w:highlight w:val="none"/>
              </w:rPr>
              <w:t>和TiO</w:t>
            </w:r>
            <w:r>
              <w:rPr>
                <w:bCs/>
                <w:color w:val="auto"/>
                <w:sz w:val="18"/>
                <w:szCs w:val="18"/>
                <w:highlight w:val="none"/>
                <w:vertAlign w:val="subscript"/>
              </w:rPr>
              <w:t>2</w:t>
            </w:r>
            <w:r>
              <w:rPr>
                <w:bCs/>
                <w:color w:val="auto"/>
                <w:sz w:val="18"/>
                <w:szCs w:val="18"/>
                <w:highlight w:val="none"/>
              </w:rPr>
              <w:t>的含量</w:t>
            </w:r>
            <w:r>
              <w:rPr>
                <w:rFonts w:hint="eastAsia" w:ascii="宋体" w:hAnsi="宋体" w:eastAsia="宋体" w:cs="宋体"/>
                <w:color w:val="auto"/>
                <w:highlight w:val="none"/>
              </w:rPr>
              <w:t>≥</w:t>
            </w:r>
            <w:r>
              <w:rPr>
                <w:bCs/>
                <w:color w:val="auto"/>
                <w:sz w:val="18"/>
                <w:szCs w:val="18"/>
                <w:highlight w:val="none"/>
              </w:rPr>
              <w:t>19.2，同时ZrO</w:t>
            </w:r>
            <w:r>
              <w:rPr>
                <w:bCs/>
                <w:color w:val="auto"/>
                <w:sz w:val="18"/>
                <w:szCs w:val="18"/>
                <w:highlight w:val="none"/>
                <w:vertAlign w:val="subscript"/>
              </w:rPr>
              <w:t>2</w:t>
            </w:r>
            <w:r>
              <w:rPr>
                <w:bCs/>
                <w:color w:val="auto"/>
                <w:sz w:val="18"/>
                <w:szCs w:val="18"/>
                <w:highlight w:val="none"/>
              </w:rPr>
              <w:t>含量</w:t>
            </w:r>
            <w:r>
              <w:rPr>
                <w:rFonts w:hint="eastAsia" w:ascii="宋体" w:hAnsi="宋体" w:eastAsia="宋体" w:cs="宋体"/>
                <w:color w:val="auto"/>
                <w:highlight w:val="none"/>
              </w:rPr>
              <w:t>≥</w:t>
            </w:r>
            <w:r>
              <w:rPr>
                <w:bCs/>
                <w:color w:val="auto"/>
                <w:sz w:val="18"/>
                <w:szCs w:val="18"/>
                <w:highlight w:val="none"/>
              </w:rPr>
              <w:t>13.7；或ZrO</w:t>
            </w:r>
            <w:r>
              <w:rPr>
                <w:bCs/>
                <w:color w:val="auto"/>
                <w:sz w:val="18"/>
                <w:szCs w:val="18"/>
                <w:highlight w:val="none"/>
                <w:vertAlign w:val="subscript"/>
              </w:rPr>
              <w:t>2</w:t>
            </w:r>
            <w:r>
              <w:rPr>
                <w:bCs/>
                <w:color w:val="auto"/>
                <w:sz w:val="18"/>
                <w:szCs w:val="18"/>
                <w:highlight w:val="none"/>
              </w:rPr>
              <w:t>含量</w:t>
            </w:r>
            <w:r>
              <w:rPr>
                <w:rFonts w:hint="eastAsia" w:ascii="宋体" w:hAnsi="宋体" w:eastAsia="宋体" w:cs="宋体"/>
                <w:color w:val="auto"/>
                <w:highlight w:val="none"/>
              </w:rPr>
              <w:t>≥</w:t>
            </w:r>
            <w:r>
              <w:rPr>
                <w:bCs/>
                <w:color w:val="auto"/>
                <w:sz w:val="18"/>
                <w:szCs w:val="18"/>
                <w:highlight w:val="none"/>
              </w:rPr>
              <w:t>16.0</w:t>
            </w:r>
          </w:p>
        </w:tc>
        <w:tc>
          <w:tcPr>
            <w:tcW w:w="3260" w:type="dxa"/>
            <w:vAlign w:val="center"/>
          </w:tcPr>
          <w:p w14:paraId="562D791F">
            <w:pPr>
              <w:spacing w:line="360" w:lineRule="auto"/>
              <w:jc w:val="center"/>
              <w:rPr>
                <w:bCs/>
                <w:color w:val="auto"/>
                <w:highlight w:val="none"/>
              </w:rPr>
            </w:pPr>
            <w:bookmarkStart w:id="29" w:name="_Hlk131712874"/>
            <w:r>
              <w:rPr>
                <w:color w:val="auto"/>
                <w:highlight w:val="none"/>
              </w:rPr>
              <w:t>现行</w:t>
            </w:r>
            <w:r>
              <w:rPr>
                <w:rFonts w:hint="eastAsia"/>
                <w:color w:val="auto"/>
                <w:highlight w:val="none"/>
              </w:rPr>
              <w:t>行业</w:t>
            </w:r>
            <w:r>
              <w:rPr>
                <w:color w:val="auto"/>
                <w:highlight w:val="none"/>
              </w:rPr>
              <w:t>标准</w:t>
            </w:r>
            <w:r>
              <w:rPr>
                <w:bCs/>
                <w:color w:val="auto"/>
                <w:highlight w:val="none"/>
              </w:rPr>
              <w:t>《耐碱玻璃纤维网布》JC/T 841</w:t>
            </w:r>
            <w:bookmarkEnd w:id="29"/>
          </w:p>
        </w:tc>
      </w:tr>
      <w:tr w14:paraId="7BF796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 w:hRule="atLeast"/>
        </w:trPr>
        <w:tc>
          <w:tcPr>
            <w:tcW w:w="2552" w:type="dxa"/>
            <w:vAlign w:val="center"/>
          </w:tcPr>
          <w:p w14:paraId="26EF51D5">
            <w:pPr>
              <w:spacing w:line="360" w:lineRule="auto"/>
              <w:jc w:val="center"/>
              <w:rPr>
                <w:bCs/>
                <w:color w:val="auto"/>
                <w:highlight w:val="none"/>
              </w:rPr>
            </w:pPr>
            <w:r>
              <w:rPr>
                <w:bCs/>
                <w:color w:val="auto"/>
                <w:highlight w:val="none"/>
              </w:rPr>
              <w:t>可燃物含量（%）</w:t>
            </w:r>
          </w:p>
        </w:tc>
        <w:tc>
          <w:tcPr>
            <w:tcW w:w="2268" w:type="dxa"/>
            <w:vAlign w:val="center"/>
          </w:tcPr>
          <w:p w14:paraId="18EF36B8">
            <w:pPr>
              <w:spacing w:line="360" w:lineRule="auto"/>
              <w:jc w:val="center"/>
              <w:rPr>
                <w:bCs/>
                <w:color w:val="auto"/>
                <w:highlight w:val="none"/>
              </w:rPr>
            </w:pPr>
            <w:r>
              <w:rPr>
                <w:rFonts w:hint="eastAsia" w:ascii="宋体" w:hAnsi="宋体" w:eastAsia="宋体" w:cs="宋体"/>
                <w:color w:val="auto"/>
                <w:highlight w:val="none"/>
              </w:rPr>
              <w:t>≥</w:t>
            </w:r>
            <w:r>
              <w:rPr>
                <w:bCs/>
                <w:color w:val="auto"/>
                <w:highlight w:val="none"/>
              </w:rPr>
              <w:t>12</w:t>
            </w:r>
          </w:p>
        </w:tc>
        <w:tc>
          <w:tcPr>
            <w:tcW w:w="3260" w:type="dxa"/>
            <w:vAlign w:val="center"/>
          </w:tcPr>
          <w:p w14:paraId="28EF6E43">
            <w:pPr>
              <w:spacing w:line="360" w:lineRule="auto"/>
              <w:jc w:val="center"/>
              <w:rPr>
                <w:bCs/>
                <w:color w:val="auto"/>
                <w:highlight w:val="none"/>
              </w:rPr>
            </w:pPr>
            <w:r>
              <w:rPr>
                <w:color w:val="auto"/>
                <w:highlight w:val="none"/>
              </w:rPr>
              <w:t>现行国家标准</w:t>
            </w:r>
            <w:r>
              <w:rPr>
                <w:bCs/>
                <w:color w:val="auto"/>
                <w:highlight w:val="none"/>
              </w:rPr>
              <w:t>《</w:t>
            </w:r>
            <w:r>
              <w:rPr>
                <w:rFonts w:hint="eastAsia"/>
                <w:bCs/>
                <w:color w:val="auto"/>
                <w:highlight w:val="none"/>
                <w:lang w:eastAsia="zh-CN"/>
              </w:rPr>
              <w:t>增强制品试验方法 第3部分：单位面积质量的测定</w:t>
            </w:r>
            <w:r>
              <w:rPr>
                <w:bCs/>
                <w:color w:val="auto"/>
                <w:highlight w:val="none"/>
              </w:rPr>
              <w:t>》</w:t>
            </w:r>
            <w:r>
              <w:rPr>
                <w:rFonts w:hint="eastAsia"/>
                <w:bCs/>
                <w:color w:val="auto"/>
                <w:highlight w:val="none"/>
                <w:lang w:eastAsia="zh-CN"/>
              </w:rPr>
              <w:t>GB/T 9914.3</w:t>
            </w:r>
          </w:p>
        </w:tc>
      </w:tr>
    </w:tbl>
    <w:p w14:paraId="69F10435">
      <w:pPr>
        <w:widowControl/>
        <w:autoSpaceDE w:val="0"/>
        <w:autoSpaceDN w:val="0"/>
        <w:spacing w:before="156" w:beforeLines="50" w:after="156" w:afterLines="50"/>
        <w:jc w:val="center"/>
        <w:rPr>
          <w:color w:val="auto"/>
          <w:highlight w:val="none"/>
        </w:rPr>
      </w:pPr>
      <w:r>
        <w:rPr>
          <w:color w:val="auto"/>
          <w:highlight w:val="none"/>
        </w:rPr>
        <w:t>表4.4.2-4  腻子性能指标</w:t>
      </w:r>
    </w:p>
    <w:tbl>
      <w:tblPr>
        <w:tblStyle w:val="18"/>
        <w:tblW w:w="8364"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53"/>
        <w:gridCol w:w="1985"/>
        <w:gridCol w:w="1701"/>
        <w:gridCol w:w="67"/>
        <w:gridCol w:w="1350"/>
        <w:gridCol w:w="2108"/>
      </w:tblGrid>
      <w:tr w14:paraId="1404C6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3138" w:type="dxa"/>
            <w:gridSpan w:val="2"/>
            <w:vMerge w:val="restart"/>
            <w:noWrap/>
            <w:vAlign w:val="center"/>
          </w:tcPr>
          <w:p w14:paraId="1AC73C02">
            <w:pPr>
              <w:spacing w:line="360" w:lineRule="auto"/>
              <w:jc w:val="center"/>
              <w:rPr>
                <w:bCs/>
                <w:color w:val="auto"/>
                <w:highlight w:val="none"/>
              </w:rPr>
            </w:pPr>
            <w:r>
              <w:rPr>
                <w:bCs/>
                <w:color w:val="auto"/>
                <w:highlight w:val="none"/>
              </w:rPr>
              <w:t>项目</w:t>
            </w:r>
          </w:p>
        </w:tc>
        <w:tc>
          <w:tcPr>
            <w:tcW w:w="3118" w:type="dxa"/>
            <w:gridSpan w:val="3"/>
            <w:noWrap/>
            <w:vAlign w:val="center"/>
          </w:tcPr>
          <w:p w14:paraId="04102D8B">
            <w:pPr>
              <w:spacing w:line="360" w:lineRule="auto"/>
              <w:jc w:val="center"/>
              <w:rPr>
                <w:bCs/>
                <w:color w:val="auto"/>
                <w:highlight w:val="none"/>
              </w:rPr>
            </w:pPr>
            <w:r>
              <w:rPr>
                <w:bCs/>
                <w:color w:val="auto"/>
                <w:highlight w:val="none"/>
              </w:rPr>
              <w:t>性能指标</w:t>
            </w:r>
          </w:p>
        </w:tc>
        <w:tc>
          <w:tcPr>
            <w:tcW w:w="2108" w:type="dxa"/>
            <w:vMerge w:val="restart"/>
            <w:noWrap/>
            <w:vAlign w:val="center"/>
          </w:tcPr>
          <w:p w14:paraId="36705747">
            <w:pPr>
              <w:spacing w:line="360" w:lineRule="auto"/>
              <w:jc w:val="center"/>
              <w:rPr>
                <w:bCs/>
                <w:color w:val="auto"/>
                <w:highlight w:val="none"/>
              </w:rPr>
            </w:pPr>
            <w:r>
              <w:rPr>
                <w:bCs/>
                <w:color w:val="auto"/>
                <w:highlight w:val="none"/>
              </w:rPr>
              <w:t>试验方法</w:t>
            </w:r>
          </w:p>
        </w:tc>
      </w:tr>
      <w:tr w14:paraId="22EE66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3138" w:type="dxa"/>
            <w:gridSpan w:val="2"/>
            <w:vMerge w:val="continue"/>
            <w:noWrap/>
            <w:vAlign w:val="center"/>
          </w:tcPr>
          <w:p w14:paraId="17F20062">
            <w:pPr>
              <w:spacing w:line="360" w:lineRule="auto"/>
              <w:jc w:val="center"/>
              <w:rPr>
                <w:bCs/>
                <w:color w:val="auto"/>
                <w:highlight w:val="none"/>
              </w:rPr>
            </w:pPr>
          </w:p>
        </w:tc>
        <w:tc>
          <w:tcPr>
            <w:tcW w:w="1701" w:type="dxa"/>
            <w:tcBorders>
              <w:right w:val="single" w:color="auto" w:sz="4" w:space="0"/>
            </w:tcBorders>
            <w:noWrap/>
            <w:vAlign w:val="center"/>
          </w:tcPr>
          <w:p w14:paraId="4008DE28">
            <w:pPr>
              <w:spacing w:line="360" w:lineRule="auto"/>
              <w:jc w:val="center"/>
              <w:rPr>
                <w:bCs/>
                <w:color w:val="auto"/>
                <w:highlight w:val="none"/>
              </w:rPr>
            </w:pPr>
            <w:r>
              <w:rPr>
                <w:bCs/>
                <w:color w:val="auto"/>
                <w:highlight w:val="none"/>
              </w:rPr>
              <w:t>普通型（P）</w:t>
            </w:r>
          </w:p>
        </w:tc>
        <w:tc>
          <w:tcPr>
            <w:tcW w:w="1417" w:type="dxa"/>
            <w:gridSpan w:val="2"/>
            <w:tcBorders>
              <w:left w:val="single" w:color="auto" w:sz="4" w:space="0"/>
            </w:tcBorders>
            <w:vAlign w:val="center"/>
          </w:tcPr>
          <w:p w14:paraId="157A8020">
            <w:pPr>
              <w:spacing w:line="360" w:lineRule="auto"/>
              <w:jc w:val="center"/>
              <w:rPr>
                <w:bCs/>
                <w:color w:val="auto"/>
                <w:highlight w:val="none"/>
              </w:rPr>
            </w:pPr>
            <w:r>
              <w:rPr>
                <w:bCs/>
                <w:color w:val="auto"/>
                <w:highlight w:val="none"/>
              </w:rPr>
              <w:t>弹性（T）</w:t>
            </w:r>
          </w:p>
        </w:tc>
        <w:tc>
          <w:tcPr>
            <w:tcW w:w="2108" w:type="dxa"/>
            <w:vMerge w:val="continue"/>
            <w:noWrap/>
            <w:vAlign w:val="center"/>
          </w:tcPr>
          <w:p w14:paraId="436F0DCD">
            <w:pPr>
              <w:spacing w:line="360" w:lineRule="auto"/>
              <w:jc w:val="center"/>
              <w:rPr>
                <w:bCs/>
                <w:color w:val="auto"/>
                <w:highlight w:val="none"/>
              </w:rPr>
            </w:pPr>
          </w:p>
        </w:tc>
      </w:tr>
      <w:tr w14:paraId="1C6445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3138" w:type="dxa"/>
            <w:gridSpan w:val="2"/>
            <w:noWrap/>
            <w:vAlign w:val="center"/>
          </w:tcPr>
          <w:p w14:paraId="4830D66F">
            <w:pPr>
              <w:spacing w:line="360" w:lineRule="auto"/>
              <w:jc w:val="center"/>
              <w:rPr>
                <w:bCs/>
                <w:color w:val="auto"/>
                <w:highlight w:val="none"/>
              </w:rPr>
            </w:pPr>
            <w:r>
              <w:rPr>
                <w:color w:val="auto"/>
                <w:highlight w:val="none"/>
              </w:rPr>
              <w:t>容器中状态</w:t>
            </w:r>
          </w:p>
        </w:tc>
        <w:tc>
          <w:tcPr>
            <w:tcW w:w="3118" w:type="dxa"/>
            <w:gridSpan w:val="3"/>
            <w:noWrap/>
            <w:vAlign w:val="center"/>
          </w:tcPr>
          <w:p w14:paraId="31C42BB0">
            <w:pPr>
              <w:spacing w:line="360" w:lineRule="auto"/>
              <w:jc w:val="center"/>
              <w:rPr>
                <w:bCs/>
                <w:color w:val="auto"/>
                <w:highlight w:val="none"/>
              </w:rPr>
            </w:pPr>
            <w:r>
              <w:rPr>
                <w:color w:val="auto"/>
                <w:highlight w:val="none"/>
              </w:rPr>
              <w:t>无结块、均匀</w:t>
            </w:r>
          </w:p>
        </w:tc>
        <w:tc>
          <w:tcPr>
            <w:tcW w:w="2108" w:type="dxa"/>
            <w:vMerge w:val="restart"/>
            <w:noWrap/>
            <w:vAlign w:val="center"/>
          </w:tcPr>
          <w:p w14:paraId="57B4F1B4">
            <w:pPr>
              <w:spacing w:line="360" w:lineRule="auto"/>
              <w:jc w:val="center"/>
              <w:rPr>
                <w:bCs/>
                <w:color w:val="auto"/>
                <w:highlight w:val="none"/>
              </w:rPr>
            </w:pPr>
            <w:r>
              <w:rPr>
                <w:bCs/>
                <w:color w:val="auto"/>
                <w:highlight w:val="none"/>
              </w:rPr>
              <w:t>现行行业标准《建筑室内用腻子》JG/T 298</w:t>
            </w:r>
          </w:p>
        </w:tc>
      </w:tr>
      <w:tr w14:paraId="4EFC1D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3138" w:type="dxa"/>
            <w:gridSpan w:val="2"/>
            <w:noWrap/>
            <w:vAlign w:val="center"/>
          </w:tcPr>
          <w:p w14:paraId="6027D32A">
            <w:pPr>
              <w:spacing w:line="360" w:lineRule="auto"/>
              <w:jc w:val="center"/>
              <w:rPr>
                <w:bCs/>
                <w:color w:val="auto"/>
                <w:highlight w:val="none"/>
              </w:rPr>
            </w:pPr>
            <w:r>
              <w:rPr>
                <w:color w:val="auto"/>
                <w:highlight w:val="none"/>
              </w:rPr>
              <w:t>施工性</w:t>
            </w:r>
          </w:p>
        </w:tc>
        <w:tc>
          <w:tcPr>
            <w:tcW w:w="3118" w:type="dxa"/>
            <w:gridSpan w:val="3"/>
            <w:noWrap/>
            <w:vAlign w:val="center"/>
          </w:tcPr>
          <w:p w14:paraId="0BC0853E">
            <w:pPr>
              <w:spacing w:line="360" w:lineRule="auto"/>
              <w:jc w:val="center"/>
              <w:rPr>
                <w:bCs/>
                <w:color w:val="auto"/>
                <w:highlight w:val="none"/>
              </w:rPr>
            </w:pPr>
            <w:r>
              <w:rPr>
                <w:color w:val="auto"/>
                <w:highlight w:val="none"/>
              </w:rPr>
              <w:t>刮涂无障碍</w:t>
            </w:r>
          </w:p>
        </w:tc>
        <w:tc>
          <w:tcPr>
            <w:tcW w:w="2108" w:type="dxa"/>
            <w:vMerge w:val="continue"/>
            <w:noWrap/>
            <w:vAlign w:val="center"/>
          </w:tcPr>
          <w:p w14:paraId="27728557">
            <w:pPr>
              <w:spacing w:line="360" w:lineRule="auto"/>
              <w:jc w:val="center"/>
              <w:rPr>
                <w:bCs/>
                <w:color w:val="auto"/>
                <w:highlight w:val="none"/>
              </w:rPr>
            </w:pPr>
          </w:p>
        </w:tc>
      </w:tr>
      <w:tr w14:paraId="02C52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1153" w:type="dxa"/>
            <w:vMerge w:val="restart"/>
            <w:tcBorders>
              <w:right w:val="single" w:color="auto" w:sz="4" w:space="0"/>
            </w:tcBorders>
            <w:noWrap/>
            <w:vAlign w:val="center"/>
          </w:tcPr>
          <w:p w14:paraId="7E2A70DF">
            <w:pPr>
              <w:widowControl/>
              <w:jc w:val="center"/>
              <w:rPr>
                <w:color w:val="auto"/>
                <w:highlight w:val="none"/>
              </w:rPr>
            </w:pPr>
            <w:r>
              <w:rPr>
                <w:color w:val="auto"/>
                <w:highlight w:val="none"/>
              </w:rPr>
              <w:t>干燥时间</w:t>
            </w:r>
          </w:p>
          <w:p w14:paraId="4246AC86">
            <w:pPr>
              <w:widowControl/>
              <w:jc w:val="center"/>
              <w:rPr>
                <w:color w:val="auto"/>
                <w:highlight w:val="none"/>
              </w:rPr>
            </w:pPr>
            <w:r>
              <w:rPr>
                <w:color w:val="auto"/>
                <w:highlight w:val="none"/>
              </w:rPr>
              <w:t>（表干），h</w:t>
            </w:r>
          </w:p>
        </w:tc>
        <w:tc>
          <w:tcPr>
            <w:tcW w:w="1985" w:type="dxa"/>
            <w:tcBorders>
              <w:left w:val="single" w:color="auto" w:sz="4" w:space="0"/>
            </w:tcBorders>
            <w:vAlign w:val="center"/>
          </w:tcPr>
          <w:p w14:paraId="7B86E1A9">
            <w:pPr>
              <w:spacing w:line="360" w:lineRule="auto"/>
              <w:jc w:val="center"/>
              <w:rPr>
                <w:color w:val="auto"/>
                <w:highlight w:val="none"/>
              </w:rPr>
            </w:pPr>
            <w:r>
              <w:rPr>
                <w:color w:val="auto"/>
                <w:highlight w:val="none"/>
              </w:rPr>
              <w:t>单道施工厚度＜2mm 的产品</w:t>
            </w:r>
          </w:p>
        </w:tc>
        <w:tc>
          <w:tcPr>
            <w:tcW w:w="3118" w:type="dxa"/>
            <w:gridSpan w:val="3"/>
            <w:noWrap/>
            <w:vAlign w:val="center"/>
          </w:tcPr>
          <w:p w14:paraId="34732AEA">
            <w:pPr>
              <w:spacing w:line="360" w:lineRule="auto"/>
              <w:jc w:val="center"/>
              <w:rPr>
                <w:bCs/>
                <w:color w:val="auto"/>
                <w:highlight w:val="none"/>
              </w:rPr>
            </w:pPr>
            <w:r>
              <w:rPr>
                <w:color w:val="auto"/>
                <w:highlight w:val="none"/>
              </w:rPr>
              <w:t>＜2</w:t>
            </w:r>
          </w:p>
        </w:tc>
        <w:tc>
          <w:tcPr>
            <w:tcW w:w="2108" w:type="dxa"/>
            <w:vMerge w:val="restart"/>
            <w:noWrap/>
            <w:vAlign w:val="center"/>
          </w:tcPr>
          <w:p w14:paraId="3278D266">
            <w:pPr>
              <w:spacing w:line="360" w:lineRule="auto"/>
              <w:jc w:val="center"/>
              <w:rPr>
                <w:bCs/>
                <w:color w:val="auto"/>
                <w:highlight w:val="none"/>
              </w:rPr>
            </w:pPr>
            <w:r>
              <w:rPr>
                <w:bCs/>
                <w:color w:val="auto"/>
                <w:highlight w:val="none"/>
              </w:rPr>
              <w:t>现行国家标准《漆膜、腻子膜干燥时间测定法》GB/T 1728</w:t>
            </w:r>
          </w:p>
        </w:tc>
      </w:tr>
      <w:tr w14:paraId="435CF5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1153" w:type="dxa"/>
            <w:vMerge w:val="continue"/>
            <w:tcBorders>
              <w:right w:val="single" w:color="auto" w:sz="4" w:space="0"/>
            </w:tcBorders>
            <w:noWrap/>
            <w:vAlign w:val="center"/>
          </w:tcPr>
          <w:p w14:paraId="3CE13B54">
            <w:pPr>
              <w:spacing w:line="360" w:lineRule="auto"/>
              <w:jc w:val="center"/>
              <w:rPr>
                <w:color w:val="auto"/>
                <w:highlight w:val="none"/>
              </w:rPr>
            </w:pPr>
          </w:p>
        </w:tc>
        <w:tc>
          <w:tcPr>
            <w:tcW w:w="1985" w:type="dxa"/>
            <w:tcBorders>
              <w:left w:val="single" w:color="auto" w:sz="4" w:space="0"/>
            </w:tcBorders>
            <w:vAlign w:val="center"/>
          </w:tcPr>
          <w:p w14:paraId="405DCC67">
            <w:pPr>
              <w:spacing w:line="360" w:lineRule="auto"/>
              <w:jc w:val="center"/>
              <w:rPr>
                <w:color w:val="auto"/>
                <w:highlight w:val="none"/>
              </w:rPr>
            </w:pPr>
            <w:r>
              <w:rPr>
                <w:color w:val="auto"/>
                <w:highlight w:val="none"/>
              </w:rPr>
              <w:t>单道施工厚度≥2mm 的产品</w:t>
            </w:r>
          </w:p>
        </w:tc>
        <w:tc>
          <w:tcPr>
            <w:tcW w:w="3118" w:type="dxa"/>
            <w:gridSpan w:val="3"/>
            <w:noWrap/>
            <w:vAlign w:val="center"/>
          </w:tcPr>
          <w:p w14:paraId="5C8F63FE">
            <w:pPr>
              <w:spacing w:line="360" w:lineRule="auto"/>
              <w:jc w:val="center"/>
              <w:rPr>
                <w:bCs/>
                <w:color w:val="auto"/>
                <w:highlight w:val="none"/>
              </w:rPr>
            </w:pPr>
            <w:r>
              <w:rPr>
                <w:color w:val="auto"/>
                <w:highlight w:val="none"/>
              </w:rPr>
              <w:t>＜5</w:t>
            </w:r>
          </w:p>
        </w:tc>
        <w:tc>
          <w:tcPr>
            <w:tcW w:w="2108" w:type="dxa"/>
            <w:vMerge w:val="continue"/>
            <w:noWrap/>
            <w:vAlign w:val="center"/>
          </w:tcPr>
          <w:p w14:paraId="6E66A763">
            <w:pPr>
              <w:spacing w:line="360" w:lineRule="auto"/>
              <w:jc w:val="center"/>
              <w:rPr>
                <w:bCs/>
                <w:color w:val="auto"/>
                <w:highlight w:val="none"/>
              </w:rPr>
            </w:pPr>
          </w:p>
        </w:tc>
      </w:tr>
      <w:tr w14:paraId="7AF21E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1153" w:type="dxa"/>
            <w:vMerge w:val="restart"/>
            <w:tcBorders>
              <w:right w:val="single" w:color="auto" w:sz="4" w:space="0"/>
            </w:tcBorders>
            <w:noWrap/>
            <w:vAlign w:val="center"/>
          </w:tcPr>
          <w:p w14:paraId="5F0BEBA9">
            <w:pPr>
              <w:widowControl/>
              <w:jc w:val="center"/>
              <w:rPr>
                <w:color w:val="auto"/>
                <w:highlight w:val="none"/>
              </w:rPr>
            </w:pPr>
            <w:r>
              <w:rPr>
                <w:color w:val="auto"/>
                <w:highlight w:val="none"/>
              </w:rPr>
              <w:t>初期干燥抗裂性</w:t>
            </w:r>
          </w:p>
        </w:tc>
        <w:tc>
          <w:tcPr>
            <w:tcW w:w="1985" w:type="dxa"/>
            <w:tcBorders>
              <w:left w:val="single" w:color="auto" w:sz="4" w:space="0"/>
            </w:tcBorders>
            <w:vAlign w:val="center"/>
          </w:tcPr>
          <w:p w14:paraId="39F64395">
            <w:pPr>
              <w:spacing w:line="360" w:lineRule="auto"/>
              <w:jc w:val="center"/>
              <w:rPr>
                <w:color w:val="auto"/>
                <w:highlight w:val="none"/>
              </w:rPr>
            </w:pPr>
            <w:r>
              <w:rPr>
                <w:color w:val="auto"/>
                <w:highlight w:val="none"/>
              </w:rPr>
              <w:t>单道施工厚度＜2mm 的产品</w:t>
            </w:r>
          </w:p>
        </w:tc>
        <w:tc>
          <w:tcPr>
            <w:tcW w:w="3118" w:type="dxa"/>
            <w:gridSpan w:val="3"/>
            <w:vMerge w:val="restart"/>
            <w:noWrap/>
            <w:vAlign w:val="center"/>
          </w:tcPr>
          <w:p w14:paraId="235DFF5C">
            <w:pPr>
              <w:spacing w:line="360" w:lineRule="auto"/>
              <w:jc w:val="center"/>
              <w:rPr>
                <w:bCs/>
                <w:color w:val="auto"/>
                <w:highlight w:val="none"/>
              </w:rPr>
            </w:pPr>
            <w:r>
              <w:rPr>
                <w:color w:val="auto"/>
                <w:highlight w:val="none"/>
              </w:rPr>
              <w:t>3h 无裂纹</w:t>
            </w:r>
          </w:p>
        </w:tc>
        <w:tc>
          <w:tcPr>
            <w:tcW w:w="2108" w:type="dxa"/>
            <w:vMerge w:val="restart"/>
            <w:noWrap/>
            <w:vAlign w:val="center"/>
          </w:tcPr>
          <w:p w14:paraId="62806B01">
            <w:pPr>
              <w:spacing w:line="360" w:lineRule="auto"/>
              <w:jc w:val="center"/>
              <w:rPr>
                <w:bCs/>
                <w:color w:val="auto"/>
                <w:highlight w:val="none"/>
              </w:rPr>
            </w:pPr>
            <w:r>
              <w:rPr>
                <w:bCs/>
                <w:color w:val="auto"/>
                <w:highlight w:val="none"/>
              </w:rPr>
              <w:t>现行行业标准《合成树脂乳液砂壁状建筑涂料》JG/T 24</w:t>
            </w:r>
          </w:p>
        </w:tc>
      </w:tr>
      <w:tr w14:paraId="10AE45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1153" w:type="dxa"/>
            <w:vMerge w:val="continue"/>
            <w:tcBorders>
              <w:right w:val="single" w:color="auto" w:sz="4" w:space="0"/>
            </w:tcBorders>
            <w:noWrap/>
            <w:vAlign w:val="center"/>
          </w:tcPr>
          <w:p w14:paraId="53DB99DE">
            <w:pPr>
              <w:spacing w:line="360" w:lineRule="auto"/>
              <w:jc w:val="center"/>
              <w:rPr>
                <w:color w:val="auto"/>
                <w:highlight w:val="none"/>
              </w:rPr>
            </w:pPr>
          </w:p>
        </w:tc>
        <w:tc>
          <w:tcPr>
            <w:tcW w:w="1985" w:type="dxa"/>
            <w:tcBorders>
              <w:left w:val="single" w:color="auto" w:sz="4" w:space="0"/>
            </w:tcBorders>
            <w:vAlign w:val="center"/>
          </w:tcPr>
          <w:p w14:paraId="4CE3E6AD">
            <w:pPr>
              <w:spacing w:line="360" w:lineRule="auto"/>
              <w:jc w:val="center"/>
              <w:rPr>
                <w:color w:val="auto"/>
                <w:highlight w:val="none"/>
              </w:rPr>
            </w:pPr>
            <w:r>
              <w:rPr>
                <w:color w:val="auto"/>
                <w:highlight w:val="none"/>
              </w:rPr>
              <w:t>单道施工厚度≥2mm 的产品</w:t>
            </w:r>
          </w:p>
        </w:tc>
        <w:tc>
          <w:tcPr>
            <w:tcW w:w="3118" w:type="dxa"/>
            <w:gridSpan w:val="3"/>
            <w:vMerge w:val="continue"/>
            <w:noWrap/>
            <w:vAlign w:val="center"/>
          </w:tcPr>
          <w:p w14:paraId="3F370E3F">
            <w:pPr>
              <w:spacing w:line="360" w:lineRule="auto"/>
              <w:jc w:val="center"/>
              <w:rPr>
                <w:bCs/>
                <w:color w:val="auto"/>
                <w:highlight w:val="none"/>
              </w:rPr>
            </w:pPr>
          </w:p>
        </w:tc>
        <w:tc>
          <w:tcPr>
            <w:tcW w:w="2108" w:type="dxa"/>
            <w:vMerge w:val="continue"/>
            <w:noWrap/>
            <w:vAlign w:val="center"/>
          </w:tcPr>
          <w:p w14:paraId="192CEC72">
            <w:pPr>
              <w:spacing w:line="360" w:lineRule="auto"/>
              <w:jc w:val="center"/>
              <w:rPr>
                <w:bCs/>
                <w:color w:val="auto"/>
                <w:highlight w:val="none"/>
              </w:rPr>
            </w:pPr>
          </w:p>
        </w:tc>
      </w:tr>
      <w:tr w14:paraId="6BA4F6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3138" w:type="dxa"/>
            <w:gridSpan w:val="2"/>
            <w:noWrap/>
            <w:vAlign w:val="center"/>
          </w:tcPr>
          <w:p w14:paraId="68227A81">
            <w:pPr>
              <w:spacing w:line="360" w:lineRule="auto"/>
              <w:jc w:val="center"/>
              <w:rPr>
                <w:bCs/>
                <w:color w:val="auto"/>
                <w:highlight w:val="none"/>
              </w:rPr>
            </w:pPr>
            <w:r>
              <w:rPr>
                <w:color w:val="auto"/>
                <w:highlight w:val="none"/>
              </w:rPr>
              <w:t>打磨性</w:t>
            </w:r>
          </w:p>
        </w:tc>
        <w:tc>
          <w:tcPr>
            <w:tcW w:w="3118" w:type="dxa"/>
            <w:gridSpan w:val="3"/>
            <w:noWrap/>
            <w:vAlign w:val="center"/>
          </w:tcPr>
          <w:p w14:paraId="4F7F987A">
            <w:pPr>
              <w:spacing w:line="360" w:lineRule="auto"/>
              <w:jc w:val="center"/>
              <w:rPr>
                <w:bCs/>
                <w:color w:val="auto"/>
                <w:highlight w:val="none"/>
              </w:rPr>
            </w:pPr>
            <w:r>
              <w:rPr>
                <w:color w:val="auto"/>
                <w:highlight w:val="none"/>
              </w:rPr>
              <w:t>手工可打磨</w:t>
            </w:r>
          </w:p>
        </w:tc>
        <w:tc>
          <w:tcPr>
            <w:tcW w:w="2108" w:type="dxa"/>
            <w:noWrap/>
            <w:vAlign w:val="center"/>
          </w:tcPr>
          <w:p w14:paraId="4716E176">
            <w:pPr>
              <w:spacing w:line="360" w:lineRule="auto"/>
              <w:jc w:val="center"/>
              <w:rPr>
                <w:bCs/>
                <w:color w:val="auto"/>
                <w:highlight w:val="none"/>
              </w:rPr>
            </w:pPr>
            <w:r>
              <w:rPr>
                <w:bCs/>
                <w:color w:val="auto"/>
                <w:highlight w:val="none"/>
              </w:rPr>
              <w:t>现行行业标准《建筑室内用腻子》JG/T 298</w:t>
            </w:r>
          </w:p>
        </w:tc>
      </w:tr>
      <w:tr w14:paraId="4EB75E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3138" w:type="dxa"/>
            <w:gridSpan w:val="2"/>
            <w:noWrap/>
            <w:vAlign w:val="center"/>
          </w:tcPr>
          <w:p w14:paraId="0B151AC1">
            <w:pPr>
              <w:spacing w:line="360" w:lineRule="auto"/>
              <w:jc w:val="center"/>
              <w:rPr>
                <w:bCs/>
                <w:color w:val="auto"/>
                <w:highlight w:val="none"/>
              </w:rPr>
            </w:pPr>
            <w:r>
              <w:rPr>
                <w:color w:val="auto"/>
                <w:highlight w:val="none"/>
              </w:rPr>
              <w:t>耐水性</w:t>
            </w:r>
          </w:p>
        </w:tc>
        <w:tc>
          <w:tcPr>
            <w:tcW w:w="3118" w:type="dxa"/>
            <w:gridSpan w:val="3"/>
            <w:noWrap/>
            <w:vAlign w:val="center"/>
          </w:tcPr>
          <w:p w14:paraId="19425FC4">
            <w:pPr>
              <w:spacing w:line="360" w:lineRule="auto"/>
              <w:jc w:val="center"/>
              <w:rPr>
                <w:color w:val="auto"/>
                <w:highlight w:val="none"/>
              </w:rPr>
            </w:pPr>
            <w:r>
              <w:rPr>
                <w:color w:val="auto"/>
                <w:highlight w:val="none"/>
              </w:rPr>
              <w:t>4h 无起泡、开裂及明显掉粉</w:t>
            </w:r>
          </w:p>
        </w:tc>
        <w:tc>
          <w:tcPr>
            <w:tcW w:w="2108" w:type="dxa"/>
            <w:noWrap/>
            <w:vAlign w:val="center"/>
          </w:tcPr>
          <w:p w14:paraId="51BEBBC1">
            <w:pPr>
              <w:spacing w:line="360" w:lineRule="auto"/>
              <w:jc w:val="center"/>
              <w:rPr>
                <w:bCs/>
                <w:color w:val="auto"/>
                <w:highlight w:val="none"/>
              </w:rPr>
            </w:pPr>
            <w:r>
              <w:rPr>
                <w:bCs/>
                <w:color w:val="auto"/>
                <w:highlight w:val="none"/>
              </w:rPr>
              <w:t>现行国家标准《漆膜耐水性测定法》GB/T 1733和《分析实验室用水规格和试验方法》GB/T 6682</w:t>
            </w:r>
          </w:p>
        </w:tc>
      </w:tr>
      <w:tr w14:paraId="23485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3138" w:type="dxa"/>
            <w:gridSpan w:val="2"/>
            <w:noWrap/>
            <w:vAlign w:val="center"/>
          </w:tcPr>
          <w:p w14:paraId="298E7A23">
            <w:pPr>
              <w:spacing w:line="360" w:lineRule="auto"/>
              <w:jc w:val="center"/>
              <w:rPr>
                <w:bCs/>
                <w:color w:val="auto"/>
                <w:highlight w:val="none"/>
              </w:rPr>
            </w:pPr>
            <w:r>
              <w:rPr>
                <w:color w:val="auto"/>
                <w:highlight w:val="none"/>
              </w:rPr>
              <w:t>标准状态下粘结强度（MPa）</w:t>
            </w:r>
          </w:p>
        </w:tc>
        <w:tc>
          <w:tcPr>
            <w:tcW w:w="3118" w:type="dxa"/>
            <w:gridSpan w:val="3"/>
            <w:noWrap/>
            <w:vAlign w:val="center"/>
          </w:tcPr>
          <w:p w14:paraId="2E7F7868">
            <w:pPr>
              <w:spacing w:line="360" w:lineRule="auto"/>
              <w:jc w:val="center"/>
              <w:rPr>
                <w:color w:val="auto"/>
                <w:highlight w:val="none"/>
              </w:rPr>
            </w:pPr>
            <w:r>
              <w:rPr>
                <w:color w:val="auto"/>
                <w:highlight w:val="none"/>
              </w:rPr>
              <w:t>＞0.60</w:t>
            </w:r>
          </w:p>
        </w:tc>
        <w:tc>
          <w:tcPr>
            <w:tcW w:w="2108" w:type="dxa"/>
            <w:noWrap/>
            <w:vAlign w:val="center"/>
          </w:tcPr>
          <w:p w14:paraId="20C92927">
            <w:pPr>
              <w:spacing w:line="360" w:lineRule="auto"/>
              <w:jc w:val="center"/>
              <w:rPr>
                <w:bCs/>
                <w:color w:val="auto"/>
                <w:highlight w:val="none"/>
              </w:rPr>
            </w:pPr>
            <w:r>
              <w:rPr>
                <w:color w:val="auto"/>
                <w:highlight w:val="none"/>
              </w:rPr>
              <w:t>现行行业标准《合成树脂乳液砂壁状建筑涂料》JG/T 24</w:t>
            </w:r>
          </w:p>
        </w:tc>
      </w:tr>
      <w:tr w14:paraId="02CDD5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3138" w:type="dxa"/>
            <w:gridSpan w:val="2"/>
            <w:noWrap/>
            <w:vAlign w:val="center"/>
          </w:tcPr>
          <w:p w14:paraId="13EC3BB9">
            <w:pPr>
              <w:spacing w:line="360" w:lineRule="auto"/>
              <w:jc w:val="center"/>
              <w:rPr>
                <w:color w:val="auto"/>
                <w:highlight w:val="none"/>
              </w:rPr>
            </w:pPr>
            <w:r>
              <w:rPr>
                <w:color w:val="auto"/>
                <w:highlight w:val="none"/>
              </w:rPr>
              <w:t>腻子膜柔韧性</w:t>
            </w:r>
          </w:p>
        </w:tc>
        <w:tc>
          <w:tcPr>
            <w:tcW w:w="1768" w:type="dxa"/>
            <w:gridSpan w:val="2"/>
            <w:tcBorders>
              <w:right w:val="single" w:color="auto" w:sz="4" w:space="0"/>
            </w:tcBorders>
            <w:noWrap/>
            <w:vAlign w:val="center"/>
          </w:tcPr>
          <w:p w14:paraId="1543327E">
            <w:pPr>
              <w:spacing w:line="360" w:lineRule="auto"/>
              <w:jc w:val="center"/>
              <w:rPr>
                <w:color w:val="auto"/>
                <w:highlight w:val="none"/>
              </w:rPr>
            </w:pPr>
            <w:r>
              <w:rPr>
                <w:color w:val="auto"/>
                <w:highlight w:val="none"/>
              </w:rPr>
              <w:t>直径 100mm，无裂纹</w:t>
            </w:r>
          </w:p>
        </w:tc>
        <w:tc>
          <w:tcPr>
            <w:tcW w:w="1350" w:type="dxa"/>
            <w:tcBorders>
              <w:left w:val="single" w:color="auto" w:sz="4" w:space="0"/>
            </w:tcBorders>
            <w:vAlign w:val="center"/>
          </w:tcPr>
          <w:p w14:paraId="715E6B56">
            <w:pPr>
              <w:spacing w:line="360" w:lineRule="auto"/>
              <w:jc w:val="center"/>
              <w:rPr>
                <w:color w:val="auto"/>
                <w:highlight w:val="none"/>
              </w:rPr>
            </w:pPr>
            <w:r>
              <w:rPr>
                <w:color w:val="auto"/>
                <w:highlight w:val="none"/>
              </w:rPr>
              <w:t>—</w:t>
            </w:r>
          </w:p>
        </w:tc>
        <w:tc>
          <w:tcPr>
            <w:tcW w:w="2108" w:type="dxa"/>
            <w:vMerge w:val="restart"/>
            <w:noWrap/>
            <w:vAlign w:val="center"/>
          </w:tcPr>
          <w:p w14:paraId="409106E2">
            <w:pPr>
              <w:spacing w:line="360" w:lineRule="auto"/>
              <w:jc w:val="center"/>
              <w:rPr>
                <w:bCs/>
                <w:color w:val="auto"/>
                <w:highlight w:val="none"/>
              </w:rPr>
            </w:pPr>
            <w:r>
              <w:rPr>
                <w:color w:val="auto"/>
                <w:highlight w:val="none"/>
              </w:rPr>
              <w:t>现行行业标准《建筑外墙用腻子》JG/T 157</w:t>
            </w:r>
          </w:p>
        </w:tc>
      </w:tr>
      <w:tr w14:paraId="671A49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3138" w:type="dxa"/>
            <w:gridSpan w:val="2"/>
            <w:noWrap/>
            <w:vAlign w:val="center"/>
          </w:tcPr>
          <w:p w14:paraId="123910E2">
            <w:pPr>
              <w:spacing w:line="360" w:lineRule="auto"/>
              <w:jc w:val="center"/>
              <w:rPr>
                <w:color w:val="auto"/>
                <w:highlight w:val="none"/>
              </w:rPr>
            </w:pPr>
            <w:r>
              <w:rPr>
                <w:color w:val="auto"/>
                <w:highlight w:val="none"/>
              </w:rPr>
              <w:t>动态抗开裂性（mm）</w:t>
            </w:r>
          </w:p>
        </w:tc>
        <w:tc>
          <w:tcPr>
            <w:tcW w:w="1768" w:type="dxa"/>
            <w:gridSpan w:val="2"/>
            <w:tcBorders>
              <w:right w:val="single" w:color="auto" w:sz="4" w:space="0"/>
            </w:tcBorders>
            <w:noWrap/>
            <w:vAlign w:val="center"/>
          </w:tcPr>
          <w:p w14:paraId="75FB6F92">
            <w:pPr>
              <w:spacing w:line="360" w:lineRule="auto"/>
              <w:jc w:val="center"/>
              <w:rPr>
                <w:color w:val="auto"/>
                <w:highlight w:val="none"/>
              </w:rPr>
            </w:pPr>
            <w:r>
              <w:rPr>
                <w:color w:val="auto"/>
                <w:highlight w:val="none"/>
              </w:rPr>
              <w:t>≥0.04，</w:t>
            </w:r>
            <w:r>
              <w:rPr>
                <w:rFonts w:hint="eastAsia"/>
                <w:color w:val="auto"/>
                <w:highlight w:val="none"/>
                <w:lang w:val="en-US" w:eastAsia="zh-CN"/>
              </w:rPr>
              <w:t>且</w:t>
            </w:r>
            <w:r>
              <w:rPr>
                <w:color w:val="auto"/>
                <w:highlight w:val="none"/>
              </w:rPr>
              <w:t>＜0.08</w:t>
            </w:r>
          </w:p>
        </w:tc>
        <w:tc>
          <w:tcPr>
            <w:tcW w:w="1350" w:type="dxa"/>
            <w:tcBorders>
              <w:left w:val="single" w:color="auto" w:sz="4" w:space="0"/>
            </w:tcBorders>
            <w:vAlign w:val="center"/>
          </w:tcPr>
          <w:p w14:paraId="1C38BACE">
            <w:pPr>
              <w:spacing w:line="360" w:lineRule="auto"/>
              <w:jc w:val="center"/>
              <w:rPr>
                <w:color w:val="auto"/>
                <w:highlight w:val="none"/>
              </w:rPr>
            </w:pPr>
            <w:r>
              <w:rPr>
                <w:color w:val="auto"/>
                <w:highlight w:val="none"/>
              </w:rPr>
              <w:t>≥0.3</w:t>
            </w:r>
          </w:p>
        </w:tc>
        <w:tc>
          <w:tcPr>
            <w:tcW w:w="2108" w:type="dxa"/>
            <w:vMerge w:val="continue"/>
            <w:noWrap/>
            <w:vAlign w:val="center"/>
          </w:tcPr>
          <w:p w14:paraId="2CCB8C1B">
            <w:pPr>
              <w:spacing w:line="360" w:lineRule="auto"/>
              <w:jc w:val="center"/>
              <w:rPr>
                <w:bCs/>
                <w:color w:val="auto"/>
                <w:highlight w:val="none"/>
              </w:rPr>
            </w:pPr>
          </w:p>
        </w:tc>
      </w:tr>
      <w:tr w14:paraId="3DB7E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3138" w:type="dxa"/>
            <w:gridSpan w:val="2"/>
            <w:noWrap/>
            <w:vAlign w:val="center"/>
          </w:tcPr>
          <w:p w14:paraId="2222E40B">
            <w:pPr>
              <w:spacing w:line="360" w:lineRule="auto"/>
              <w:jc w:val="center"/>
              <w:rPr>
                <w:color w:val="auto"/>
                <w:highlight w:val="none"/>
              </w:rPr>
            </w:pPr>
            <w:r>
              <w:rPr>
                <w:color w:val="auto"/>
                <w:highlight w:val="none"/>
              </w:rPr>
              <w:t>低温贮存稳定性</w:t>
            </w:r>
          </w:p>
        </w:tc>
        <w:tc>
          <w:tcPr>
            <w:tcW w:w="3118" w:type="dxa"/>
            <w:gridSpan w:val="3"/>
            <w:noWrap/>
            <w:vAlign w:val="center"/>
          </w:tcPr>
          <w:p w14:paraId="7371BC71">
            <w:pPr>
              <w:spacing w:line="360" w:lineRule="auto"/>
              <w:jc w:val="center"/>
              <w:rPr>
                <w:color w:val="auto"/>
                <w:highlight w:val="none"/>
              </w:rPr>
            </w:pPr>
            <w:r>
              <w:rPr>
                <w:color w:val="auto"/>
                <w:highlight w:val="none"/>
              </w:rPr>
              <w:t>三次循环不变质</w:t>
            </w:r>
          </w:p>
        </w:tc>
        <w:tc>
          <w:tcPr>
            <w:tcW w:w="2108" w:type="dxa"/>
            <w:noWrap/>
            <w:vAlign w:val="center"/>
          </w:tcPr>
          <w:p w14:paraId="32C417F0">
            <w:pPr>
              <w:widowControl/>
              <w:jc w:val="left"/>
              <w:rPr>
                <w:bCs/>
                <w:color w:val="auto"/>
                <w:highlight w:val="none"/>
              </w:rPr>
            </w:pPr>
            <w:r>
              <w:rPr>
                <w:color w:val="auto"/>
                <w:highlight w:val="none"/>
              </w:rPr>
              <w:t>现行国家标准《乳胶漆耐冻融性的测定》 GB/T 9268</w:t>
            </w:r>
          </w:p>
        </w:tc>
      </w:tr>
    </w:tbl>
    <w:p w14:paraId="474A7C36">
      <w:pPr>
        <w:pStyle w:val="27"/>
        <w:spacing w:line="360" w:lineRule="auto"/>
        <w:ind w:firstLine="0" w:firstLineChars="0"/>
        <w:rPr>
          <w:bCs/>
          <w:color w:val="auto"/>
          <w:sz w:val="24"/>
          <w:szCs w:val="24"/>
          <w:highlight w:val="none"/>
        </w:rPr>
      </w:pPr>
      <w:r>
        <w:rPr>
          <w:rFonts w:hint="eastAsia" w:ascii="仿宋_GB2312" w:eastAsia="仿宋_GB2312"/>
          <w:color w:val="auto"/>
          <w:sz w:val="24"/>
          <w:highlight w:val="none"/>
        </w:rPr>
        <w:t>【条文说明】</w:t>
      </w:r>
      <w:r>
        <w:rPr>
          <w:rFonts w:ascii="仿宋_GB2312" w:eastAsia="仿宋_GB2312"/>
          <w:color w:val="auto"/>
          <w:sz w:val="24"/>
          <w:highlight w:val="none"/>
        </w:rPr>
        <w:t xml:space="preserve">4.4.2  </w:t>
      </w:r>
      <w:r>
        <w:rPr>
          <w:rFonts w:hint="eastAsia" w:ascii="仿宋_GB2312" w:eastAsia="仿宋_GB2312"/>
          <w:color w:val="auto"/>
          <w:sz w:val="24"/>
          <w:highlight w:val="none"/>
        </w:rPr>
        <w:t>本条对套装双真空保温隔热板用于外墙内保温系统时的粘结剂、粘结石膏、抹面胶浆、玻纤网、粉刷石膏的性能指标做出了规定。各性能参数主要参照了现行行业标准《外墙内保温工程技术规程》JGJ/T 261以及套装双真空保温隔热板的自身特性制定。其中粘结石膏和粉刷石膏是用于室内非潮湿条件下的外墙内保温系统的材料，其作用是替代粘结砂浆和抹面胶浆的，各地尤其是在长江流域及以南地区已有成熟的应用经验，值得推广，因此本规程将其列入。石膏基胶凝材料是目前在工程建设上非常好的低碳、节能、环保和可循环的绿色建筑材料；石膏材料在我国资源充足，加工成本低，耗能少，可重复利用；用于内墙墙体和保温工程优势巨大，它不但导热系数低，热容量大，而且具有呼吸功能，可以自动调节室内的湿度，同时还有很好的防火功能，因此应大力推广应用。粘结石膏选取了《粘结石膏》JC/T 1025 中的普通型粘结石膏，粉刷石膏选取了《抹灰石膏》GB/T 28627 中的底层粉刷石膏。</w:t>
      </w:r>
    </w:p>
    <w:p w14:paraId="6B2FBEFD">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套装双真空保温隔热装饰板外墙外保温系统配套材料应符合下列规定：</w:t>
      </w:r>
    </w:p>
    <w:p w14:paraId="4E03DD8E">
      <w:pPr>
        <w:pStyle w:val="27"/>
        <w:numPr>
          <w:ilvl w:val="0"/>
          <w:numId w:val="5"/>
        </w:numPr>
        <w:spacing w:line="360" w:lineRule="auto"/>
        <w:ind w:firstLineChars="0"/>
        <w:rPr>
          <w:bCs/>
          <w:color w:val="auto"/>
          <w:sz w:val="24"/>
          <w:szCs w:val="22"/>
          <w:highlight w:val="none"/>
        </w:rPr>
      </w:pPr>
      <w:r>
        <w:rPr>
          <w:bCs/>
          <w:color w:val="auto"/>
          <w:sz w:val="24"/>
          <w:szCs w:val="22"/>
          <w:highlight w:val="none"/>
        </w:rPr>
        <w:t>粘结砂浆性能应符合表4.4.3-1的规定；</w:t>
      </w:r>
    </w:p>
    <w:p w14:paraId="41522C1C">
      <w:pPr>
        <w:pStyle w:val="27"/>
        <w:numPr>
          <w:ilvl w:val="0"/>
          <w:numId w:val="5"/>
        </w:numPr>
        <w:spacing w:line="360" w:lineRule="auto"/>
        <w:ind w:left="0" w:firstLine="480"/>
        <w:rPr>
          <w:bCs/>
          <w:color w:val="auto"/>
          <w:sz w:val="24"/>
          <w:szCs w:val="22"/>
          <w:highlight w:val="none"/>
        </w:rPr>
      </w:pPr>
      <w:r>
        <w:rPr>
          <w:bCs/>
          <w:color w:val="auto"/>
          <w:sz w:val="24"/>
          <w:szCs w:val="22"/>
          <w:highlight w:val="none"/>
        </w:rPr>
        <w:t>锚固组件中的锚栓应符合现行行业标准《外墙保温用锚栓》JG/T 366 的有关规定；金属承托件和挂件应采用不锈钢板、热镀铝锌钢板或其他铝合金材料，其中不锈钢板连接件技术性能应符合现行行业标准《</w:t>
      </w:r>
      <w:r>
        <w:rPr>
          <w:rFonts w:hint="eastAsia"/>
          <w:bCs/>
          <w:color w:val="auto"/>
          <w:sz w:val="24"/>
          <w:szCs w:val="22"/>
          <w:highlight w:val="none"/>
          <w:lang w:eastAsia="zh-CN"/>
        </w:rPr>
        <w:t>建筑用钢门窗型材</w:t>
      </w:r>
      <w:r>
        <w:rPr>
          <w:bCs/>
          <w:color w:val="auto"/>
          <w:sz w:val="24"/>
          <w:szCs w:val="22"/>
          <w:highlight w:val="none"/>
        </w:rPr>
        <w:t>》</w:t>
      </w:r>
      <w:r>
        <w:rPr>
          <w:rFonts w:hint="eastAsia"/>
          <w:bCs/>
          <w:color w:val="auto"/>
          <w:sz w:val="24"/>
          <w:szCs w:val="22"/>
          <w:highlight w:val="none"/>
          <w:lang w:eastAsia="zh-CN"/>
        </w:rPr>
        <w:t>JG/T 115</w:t>
      </w:r>
      <w:r>
        <w:rPr>
          <w:bCs/>
          <w:color w:val="auto"/>
          <w:sz w:val="24"/>
          <w:szCs w:val="22"/>
          <w:highlight w:val="none"/>
        </w:rPr>
        <w:t>的规定，热镀铝锌钢板连接件技术性能应符合现行行业标准《冷轧高强度建筑结构用薄钢板》JG/T 378的规定，铝合金连接件技术性能应符合现行国家标准《一般工业用铝及铝合金板、带材 第2部分：力学性能》GB/T 3880.2 的</w:t>
      </w:r>
      <w:r>
        <w:rPr>
          <w:rFonts w:hint="eastAsia"/>
          <w:bCs/>
          <w:color w:val="auto"/>
          <w:sz w:val="24"/>
          <w:szCs w:val="22"/>
          <w:highlight w:val="none"/>
        </w:rPr>
        <w:t>有关</w:t>
      </w:r>
      <w:r>
        <w:rPr>
          <w:bCs/>
          <w:color w:val="auto"/>
          <w:sz w:val="24"/>
          <w:szCs w:val="22"/>
          <w:highlight w:val="none"/>
        </w:rPr>
        <w:t>规定。</w:t>
      </w:r>
    </w:p>
    <w:p w14:paraId="21C1EA57">
      <w:pPr>
        <w:spacing w:line="360" w:lineRule="auto"/>
        <w:rPr>
          <w:bCs/>
          <w:color w:val="auto"/>
          <w:sz w:val="24"/>
          <w:szCs w:val="22"/>
          <w:highlight w:val="none"/>
        </w:rPr>
      </w:pPr>
      <w:r>
        <w:rPr>
          <w:rFonts w:hint="eastAsia" w:ascii="仿宋_GB2312" w:eastAsia="仿宋_GB2312"/>
          <w:color w:val="auto"/>
          <w:sz w:val="24"/>
          <w:highlight w:val="none"/>
        </w:rPr>
        <w:t>【条文说明】</w:t>
      </w:r>
      <w:r>
        <w:rPr>
          <w:rFonts w:ascii="仿宋_GB2312" w:eastAsia="仿宋_GB2312"/>
          <w:color w:val="auto"/>
          <w:sz w:val="24"/>
          <w:highlight w:val="none"/>
        </w:rPr>
        <w:t xml:space="preserve">4.4.3  </w:t>
      </w:r>
      <w:r>
        <w:rPr>
          <w:rFonts w:hint="eastAsia" w:ascii="仿宋_GB2312" w:eastAsia="仿宋_GB2312"/>
          <w:color w:val="auto"/>
          <w:sz w:val="24"/>
          <w:highlight w:val="none"/>
        </w:rPr>
        <w:t>本条对套装双真空保温隔热装饰板用于外墙外保温系统时的粘结砂浆、锚固件的性能做出了规定，主要是参照了现行行业标准《保温装饰板外墙外保温系统材料》JG/T 287、《保温防火复合板应用技术规程》JGJ</w:t>
      </w:r>
      <w:r>
        <w:rPr>
          <w:rFonts w:ascii="仿宋_GB2312" w:eastAsia="仿宋_GB2312"/>
          <w:color w:val="auto"/>
          <w:sz w:val="24"/>
          <w:highlight w:val="none"/>
        </w:rPr>
        <w:t>/</w:t>
      </w:r>
      <w:r>
        <w:rPr>
          <w:rFonts w:hint="eastAsia" w:ascii="仿宋_GB2312" w:eastAsia="仿宋_GB2312"/>
          <w:color w:val="auto"/>
          <w:sz w:val="24"/>
          <w:highlight w:val="none"/>
        </w:rPr>
        <w:t>T 350的有关内容制定。</w:t>
      </w:r>
    </w:p>
    <w:p w14:paraId="275E5B8F">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套装双真空保温隔热装饰板外墙内保温系统配套材料应符合下列规定：</w:t>
      </w:r>
    </w:p>
    <w:p w14:paraId="764616BA">
      <w:pPr>
        <w:pStyle w:val="27"/>
        <w:numPr>
          <w:ilvl w:val="0"/>
          <w:numId w:val="6"/>
        </w:numPr>
        <w:spacing w:line="360" w:lineRule="auto"/>
        <w:ind w:left="0" w:firstLine="567" w:firstLineChars="0"/>
        <w:jc w:val="left"/>
        <w:rPr>
          <w:bCs/>
          <w:color w:val="auto"/>
          <w:sz w:val="24"/>
          <w:szCs w:val="22"/>
          <w:highlight w:val="none"/>
        </w:rPr>
      </w:pPr>
      <w:r>
        <w:rPr>
          <w:bCs/>
          <w:color w:val="auto"/>
          <w:sz w:val="24"/>
          <w:szCs w:val="22"/>
          <w:highlight w:val="none"/>
        </w:rPr>
        <w:t xml:space="preserve"> 粘结砂浆性能应符合表4.4.1-1的规定；</w:t>
      </w:r>
    </w:p>
    <w:p w14:paraId="74A77386">
      <w:pPr>
        <w:pStyle w:val="27"/>
        <w:numPr>
          <w:ilvl w:val="0"/>
          <w:numId w:val="6"/>
        </w:numPr>
        <w:spacing w:line="360" w:lineRule="auto"/>
        <w:ind w:left="0" w:firstLine="567" w:firstLineChars="0"/>
        <w:jc w:val="left"/>
        <w:rPr>
          <w:bCs/>
          <w:color w:val="auto"/>
          <w:sz w:val="24"/>
          <w:szCs w:val="22"/>
          <w:highlight w:val="none"/>
        </w:rPr>
      </w:pPr>
      <w:r>
        <w:rPr>
          <w:bCs/>
          <w:color w:val="auto"/>
          <w:sz w:val="24"/>
          <w:szCs w:val="22"/>
          <w:highlight w:val="none"/>
        </w:rPr>
        <w:t xml:space="preserve"> 粘结石膏性能应符合表4.4.2-1的规定；</w:t>
      </w:r>
    </w:p>
    <w:p w14:paraId="4C8480D5">
      <w:pPr>
        <w:pStyle w:val="27"/>
        <w:numPr>
          <w:ilvl w:val="0"/>
          <w:numId w:val="6"/>
        </w:numPr>
        <w:spacing w:line="360" w:lineRule="auto"/>
        <w:ind w:left="0" w:firstLine="567" w:firstLineChars="0"/>
        <w:jc w:val="left"/>
        <w:rPr>
          <w:bCs/>
          <w:color w:val="auto"/>
          <w:sz w:val="24"/>
          <w:szCs w:val="22"/>
          <w:highlight w:val="none"/>
        </w:rPr>
      </w:pPr>
      <w:r>
        <w:rPr>
          <w:bCs/>
          <w:color w:val="auto"/>
          <w:sz w:val="24"/>
          <w:szCs w:val="22"/>
          <w:highlight w:val="none"/>
        </w:rPr>
        <w:t xml:space="preserve"> </w:t>
      </w:r>
      <w:r>
        <w:rPr>
          <w:rFonts w:hint="eastAsia"/>
          <w:bCs/>
          <w:color w:val="auto"/>
          <w:sz w:val="24"/>
          <w:szCs w:val="22"/>
          <w:highlight w:val="none"/>
        </w:rPr>
        <w:t>锚固组件用锚栓</w:t>
      </w:r>
      <w:r>
        <w:rPr>
          <w:bCs/>
          <w:color w:val="auto"/>
          <w:sz w:val="24"/>
          <w:szCs w:val="22"/>
          <w:highlight w:val="none"/>
        </w:rPr>
        <w:t>应采用塑料膨胀套管、金属膨胀件凸缘锚栓。单个锚栓抗拉承载力标准值不小于0.30kN，试验方法应符合现行行业标准《</w:t>
      </w:r>
      <w:r>
        <w:rPr>
          <w:rFonts w:hint="eastAsia"/>
          <w:bCs/>
          <w:color w:val="auto"/>
          <w:sz w:val="24"/>
          <w:szCs w:val="22"/>
          <w:highlight w:val="none"/>
          <w:lang w:eastAsia="zh-CN"/>
        </w:rPr>
        <w:t>外墙保温用锚栓</w:t>
      </w:r>
      <w:r>
        <w:rPr>
          <w:bCs/>
          <w:color w:val="auto"/>
          <w:sz w:val="24"/>
          <w:szCs w:val="22"/>
          <w:highlight w:val="none"/>
        </w:rPr>
        <w:t>》</w:t>
      </w:r>
      <w:r>
        <w:rPr>
          <w:rFonts w:hint="eastAsia"/>
          <w:bCs/>
          <w:color w:val="auto"/>
          <w:sz w:val="24"/>
          <w:szCs w:val="22"/>
          <w:highlight w:val="none"/>
          <w:lang w:eastAsia="zh-CN"/>
        </w:rPr>
        <w:t>JG/T 366</w:t>
      </w:r>
      <w:r>
        <w:rPr>
          <w:bCs/>
          <w:color w:val="auto"/>
          <w:sz w:val="24"/>
          <w:szCs w:val="22"/>
          <w:highlight w:val="none"/>
        </w:rPr>
        <w:t>的</w:t>
      </w:r>
      <w:r>
        <w:rPr>
          <w:rFonts w:hint="eastAsia"/>
          <w:bCs/>
          <w:color w:val="auto"/>
          <w:sz w:val="24"/>
          <w:szCs w:val="22"/>
          <w:highlight w:val="none"/>
        </w:rPr>
        <w:t>有关</w:t>
      </w:r>
      <w:r>
        <w:rPr>
          <w:bCs/>
          <w:color w:val="auto"/>
          <w:sz w:val="24"/>
          <w:szCs w:val="22"/>
          <w:highlight w:val="none"/>
        </w:rPr>
        <w:t>规定。</w:t>
      </w:r>
    </w:p>
    <w:p w14:paraId="38694D86">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用于板缝填充的保温浆料应符合现行行业标准《胶粉聚苯颗粒外墙外保温系统材料》JG/T 158的有关规定。</w:t>
      </w:r>
    </w:p>
    <w:p w14:paraId="00303235">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基层墙体用界面材料应符合下列规定：</w:t>
      </w:r>
    </w:p>
    <w:p w14:paraId="6AD962CA">
      <w:pPr>
        <w:pStyle w:val="27"/>
        <w:numPr>
          <w:ilvl w:val="0"/>
          <w:numId w:val="7"/>
        </w:numPr>
        <w:spacing w:line="360" w:lineRule="auto"/>
        <w:ind w:left="0" w:firstLine="480"/>
        <w:jc w:val="left"/>
        <w:rPr>
          <w:bCs/>
          <w:color w:val="auto"/>
          <w:sz w:val="24"/>
          <w:szCs w:val="24"/>
          <w:highlight w:val="none"/>
        </w:rPr>
      </w:pPr>
      <w:r>
        <w:rPr>
          <w:bCs/>
          <w:color w:val="auto"/>
          <w:sz w:val="24"/>
          <w:szCs w:val="24"/>
          <w:highlight w:val="none"/>
        </w:rPr>
        <w:t>砂浆类界面剂应符合现行行业标准《混凝土界面处理剂》JC/T 907 的有关规定；</w:t>
      </w:r>
    </w:p>
    <w:p w14:paraId="0511D23E">
      <w:pPr>
        <w:pStyle w:val="27"/>
        <w:numPr>
          <w:ilvl w:val="0"/>
          <w:numId w:val="7"/>
        </w:numPr>
        <w:spacing w:line="360" w:lineRule="auto"/>
        <w:ind w:left="0" w:firstLine="480"/>
        <w:jc w:val="left"/>
        <w:rPr>
          <w:color w:val="auto"/>
          <w:sz w:val="24"/>
          <w:highlight w:val="none"/>
        </w:rPr>
      </w:pPr>
      <w:r>
        <w:rPr>
          <w:bCs/>
          <w:color w:val="auto"/>
          <w:sz w:val="24"/>
          <w:szCs w:val="24"/>
          <w:highlight w:val="none"/>
        </w:rPr>
        <w:t>乳液类界面剂应符合表4.4.6的规定。</w:t>
      </w:r>
    </w:p>
    <w:p w14:paraId="68D0EA4B">
      <w:pPr>
        <w:widowControl/>
        <w:autoSpaceDE w:val="0"/>
        <w:autoSpaceDN w:val="0"/>
        <w:spacing w:before="156" w:beforeLines="50" w:after="156" w:afterLines="50"/>
        <w:jc w:val="center"/>
        <w:rPr>
          <w:color w:val="auto"/>
          <w:highlight w:val="none"/>
        </w:rPr>
      </w:pPr>
      <w:r>
        <w:rPr>
          <w:color w:val="auto"/>
          <w:highlight w:val="none"/>
        </w:rPr>
        <w:t>表4.4.6 乳液类界面剂性能指标</w:t>
      </w:r>
    </w:p>
    <w:tbl>
      <w:tblPr>
        <w:tblStyle w:val="18"/>
        <w:tblW w:w="8080" w:type="dxa"/>
        <w:tblInd w:w="12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2835"/>
        <w:gridCol w:w="2835"/>
      </w:tblGrid>
      <w:tr w14:paraId="712B8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410" w:type="dxa"/>
            <w:vAlign w:val="center"/>
          </w:tcPr>
          <w:p w14:paraId="5FBDA0A8">
            <w:pPr>
              <w:spacing w:line="360" w:lineRule="auto"/>
              <w:jc w:val="center"/>
              <w:rPr>
                <w:bCs/>
                <w:color w:val="auto"/>
                <w:highlight w:val="none"/>
              </w:rPr>
            </w:pPr>
            <w:r>
              <w:rPr>
                <w:bCs/>
                <w:color w:val="auto"/>
                <w:highlight w:val="none"/>
              </w:rPr>
              <w:t>项目</w:t>
            </w:r>
          </w:p>
        </w:tc>
        <w:tc>
          <w:tcPr>
            <w:tcW w:w="2835" w:type="dxa"/>
            <w:vAlign w:val="center"/>
          </w:tcPr>
          <w:p w14:paraId="49613709">
            <w:pPr>
              <w:spacing w:line="360" w:lineRule="auto"/>
              <w:jc w:val="center"/>
              <w:rPr>
                <w:bCs/>
                <w:color w:val="auto"/>
                <w:highlight w:val="none"/>
              </w:rPr>
            </w:pPr>
            <w:r>
              <w:rPr>
                <w:bCs/>
                <w:color w:val="auto"/>
                <w:highlight w:val="none"/>
              </w:rPr>
              <w:t>性能指标</w:t>
            </w:r>
          </w:p>
        </w:tc>
        <w:tc>
          <w:tcPr>
            <w:tcW w:w="2835" w:type="dxa"/>
            <w:vAlign w:val="center"/>
          </w:tcPr>
          <w:p w14:paraId="57C70A7E">
            <w:pPr>
              <w:spacing w:line="360" w:lineRule="auto"/>
              <w:jc w:val="center"/>
              <w:rPr>
                <w:bCs/>
                <w:color w:val="auto"/>
                <w:highlight w:val="none"/>
              </w:rPr>
            </w:pPr>
            <w:r>
              <w:rPr>
                <w:bCs/>
                <w:color w:val="auto"/>
                <w:highlight w:val="none"/>
              </w:rPr>
              <w:t>检验方法</w:t>
            </w:r>
          </w:p>
        </w:tc>
      </w:tr>
      <w:tr w14:paraId="29CA2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410" w:type="dxa"/>
            <w:vAlign w:val="center"/>
          </w:tcPr>
          <w:p w14:paraId="10E053DA">
            <w:pPr>
              <w:spacing w:line="360" w:lineRule="auto"/>
              <w:jc w:val="center"/>
              <w:rPr>
                <w:bCs/>
                <w:color w:val="auto"/>
                <w:highlight w:val="none"/>
              </w:rPr>
            </w:pPr>
            <w:r>
              <w:rPr>
                <w:bCs/>
                <w:color w:val="auto"/>
                <w:highlight w:val="none"/>
              </w:rPr>
              <w:t>容器中状态</w:t>
            </w:r>
          </w:p>
        </w:tc>
        <w:tc>
          <w:tcPr>
            <w:tcW w:w="2835" w:type="dxa"/>
            <w:vAlign w:val="center"/>
          </w:tcPr>
          <w:p w14:paraId="44C202F7">
            <w:pPr>
              <w:spacing w:line="360" w:lineRule="auto"/>
              <w:jc w:val="center"/>
              <w:rPr>
                <w:bCs/>
                <w:color w:val="auto"/>
                <w:highlight w:val="none"/>
              </w:rPr>
            </w:pPr>
            <w:r>
              <w:rPr>
                <w:bCs/>
                <w:color w:val="auto"/>
                <w:highlight w:val="none"/>
              </w:rPr>
              <w:t>色泽均匀，无杂质，无沉淀，不分层</w:t>
            </w:r>
          </w:p>
        </w:tc>
        <w:tc>
          <w:tcPr>
            <w:tcW w:w="2835" w:type="dxa"/>
            <w:vMerge w:val="restart"/>
            <w:vAlign w:val="center"/>
          </w:tcPr>
          <w:p w14:paraId="24D8EAF1">
            <w:pPr>
              <w:spacing w:line="360" w:lineRule="auto"/>
              <w:jc w:val="center"/>
              <w:rPr>
                <w:bCs/>
                <w:color w:val="auto"/>
                <w:highlight w:val="none"/>
              </w:rPr>
            </w:pPr>
            <w:r>
              <w:rPr>
                <w:bCs/>
                <w:color w:val="auto"/>
                <w:highlight w:val="none"/>
              </w:rPr>
              <w:t>现行国家标准《建筑涂料用乳液》GB/T 20623</w:t>
            </w:r>
          </w:p>
        </w:tc>
      </w:tr>
      <w:tr w14:paraId="5ACD47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410" w:type="dxa"/>
            <w:vAlign w:val="center"/>
          </w:tcPr>
          <w:p w14:paraId="0995C1C3">
            <w:pPr>
              <w:spacing w:line="360" w:lineRule="auto"/>
              <w:jc w:val="center"/>
              <w:rPr>
                <w:bCs/>
                <w:color w:val="auto"/>
                <w:highlight w:val="none"/>
              </w:rPr>
            </w:pPr>
            <w:r>
              <w:rPr>
                <w:bCs/>
                <w:color w:val="auto"/>
                <w:highlight w:val="none"/>
              </w:rPr>
              <w:t>冻融稳定性（3 次）</w:t>
            </w:r>
          </w:p>
        </w:tc>
        <w:tc>
          <w:tcPr>
            <w:tcW w:w="2835" w:type="dxa"/>
            <w:vAlign w:val="center"/>
          </w:tcPr>
          <w:p w14:paraId="27667156">
            <w:pPr>
              <w:spacing w:line="360" w:lineRule="auto"/>
              <w:jc w:val="center"/>
              <w:rPr>
                <w:bCs/>
                <w:color w:val="auto"/>
                <w:highlight w:val="none"/>
              </w:rPr>
            </w:pPr>
            <w:r>
              <w:rPr>
                <w:bCs/>
                <w:color w:val="auto"/>
                <w:highlight w:val="none"/>
              </w:rPr>
              <w:t>无异常</w:t>
            </w:r>
          </w:p>
        </w:tc>
        <w:tc>
          <w:tcPr>
            <w:tcW w:w="2835" w:type="dxa"/>
            <w:vMerge w:val="continue"/>
            <w:vAlign w:val="center"/>
          </w:tcPr>
          <w:p w14:paraId="4C7EDF26">
            <w:pPr>
              <w:spacing w:line="360" w:lineRule="auto"/>
              <w:jc w:val="center"/>
              <w:rPr>
                <w:bCs/>
                <w:color w:val="auto"/>
                <w:highlight w:val="none"/>
              </w:rPr>
            </w:pPr>
          </w:p>
        </w:tc>
      </w:tr>
      <w:tr w14:paraId="13023C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410" w:type="dxa"/>
            <w:vAlign w:val="center"/>
          </w:tcPr>
          <w:p w14:paraId="7B41210D">
            <w:pPr>
              <w:spacing w:line="360" w:lineRule="auto"/>
              <w:jc w:val="center"/>
              <w:rPr>
                <w:bCs/>
                <w:color w:val="auto"/>
                <w:highlight w:val="none"/>
              </w:rPr>
            </w:pPr>
            <w:r>
              <w:rPr>
                <w:bCs/>
                <w:color w:val="auto"/>
                <w:highlight w:val="none"/>
              </w:rPr>
              <w:t>储存稳定性</w:t>
            </w:r>
          </w:p>
        </w:tc>
        <w:tc>
          <w:tcPr>
            <w:tcW w:w="2835" w:type="dxa"/>
            <w:vAlign w:val="center"/>
          </w:tcPr>
          <w:p w14:paraId="61AABF82">
            <w:pPr>
              <w:spacing w:line="360" w:lineRule="auto"/>
              <w:jc w:val="center"/>
              <w:rPr>
                <w:bCs/>
                <w:color w:val="auto"/>
                <w:highlight w:val="none"/>
              </w:rPr>
            </w:pPr>
            <w:r>
              <w:rPr>
                <w:bCs/>
                <w:color w:val="auto"/>
                <w:highlight w:val="none"/>
              </w:rPr>
              <w:t>无硬块，无絮凝，无明显分层和结皮</w:t>
            </w:r>
          </w:p>
        </w:tc>
        <w:tc>
          <w:tcPr>
            <w:tcW w:w="2835" w:type="dxa"/>
            <w:vMerge w:val="continue"/>
            <w:vAlign w:val="center"/>
          </w:tcPr>
          <w:p w14:paraId="02AEC9B5">
            <w:pPr>
              <w:spacing w:line="360" w:lineRule="auto"/>
              <w:jc w:val="center"/>
              <w:rPr>
                <w:bCs/>
                <w:color w:val="auto"/>
                <w:highlight w:val="none"/>
              </w:rPr>
            </w:pPr>
          </w:p>
        </w:tc>
      </w:tr>
      <w:tr w14:paraId="00B5A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410" w:type="dxa"/>
            <w:vAlign w:val="center"/>
          </w:tcPr>
          <w:p w14:paraId="5B8CEFC1">
            <w:pPr>
              <w:spacing w:line="360" w:lineRule="auto"/>
              <w:jc w:val="center"/>
              <w:rPr>
                <w:bCs/>
                <w:color w:val="auto"/>
                <w:highlight w:val="none"/>
              </w:rPr>
            </w:pPr>
            <w:r>
              <w:rPr>
                <w:bCs/>
                <w:color w:val="auto"/>
                <w:highlight w:val="none"/>
              </w:rPr>
              <w:t>不挥发物含量（%）</w:t>
            </w:r>
          </w:p>
        </w:tc>
        <w:tc>
          <w:tcPr>
            <w:tcW w:w="2835" w:type="dxa"/>
            <w:vAlign w:val="center"/>
          </w:tcPr>
          <w:p w14:paraId="5FEC6276">
            <w:pPr>
              <w:spacing w:line="360" w:lineRule="auto"/>
              <w:jc w:val="center"/>
              <w:rPr>
                <w:bCs/>
                <w:color w:val="auto"/>
                <w:highlight w:val="none"/>
              </w:rPr>
            </w:pPr>
            <w:r>
              <w:rPr>
                <w:rFonts w:hint="eastAsia" w:ascii="宋体" w:hAnsi="宋体" w:eastAsia="宋体" w:cs="宋体"/>
                <w:bCs/>
                <w:color w:val="auto"/>
                <w:highlight w:val="none"/>
              </w:rPr>
              <w:t>≥</w:t>
            </w:r>
            <w:r>
              <w:rPr>
                <w:bCs/>
                <w:color w:val="auto"/>
                <w:highlight w:val="none"/>
              </w:rPr>
              <w:t>18</w:t>
            </w:r>
          </w:p>
        </w:tc>
        <w:tc>
          <w:tcPr>
            <w:tcW w:w="2835" w:type="dxa"/>
            <w:vMerge w:val="continue"/>
            <w:vAlign w:val="center"/>
          </w:tcPr>
          <w:p w14:paraId="3025893E">
            <w:pPr>
              <w:spacing w:line="360" w:lineRule="auto"/>
              <w:jc w:val="center"/>
              <w:rPr>
                <w:bCs/>
                <w:color w:val="auto"/>
                <w:highlight w:val="none"/>
              </w:rPr>
            </w:pPr>
          </w:p>
        </w:tc>
      </w:tr>
      <w:tr w14:paraId="12E798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410" w:type="dxa"/>
            <w:vAlign w:val="center"/>
          </w:tcPr>
          <w:p w14:paraId="49ADE3F8">
            <w:pPr>
              <w:spacing w:line="360" w:lineRule="auto"/>
              <w:jc w:val="center"/>
              <w:rPr>
                <w:bCs/>
                <w:color w:val="auto"/>
                <w:highlight w:val="none"/>
              </w:rPr>
            </w:pPr>
            <w:r>
              <w:rPr>
                <w:bCs/>
                <w:color w:val="auto"/>
                <w:highlight w:val="none"/>
              </w:rPr>
              <w:t>最低成膜温度（℃）</w:t>
            </w:r>
          </w:p>
        </w:tc>
        <w:tc>
          <w:tcPr>
            <w:tcW w:w="2835" w:type="dxa"/>
            <w:vAlign w:val="center"/>
          </w:tcPr>
          <w:p w14:paraId="0368A4E7">
            <w:pPr>
              <w:spacing w:line="360" w:lineRule="auto"/>
              <w:jc w:val="center"/>
              <w:rPr>
                <w:bCs/>
                <w:color w:val="auto"/>
                <w:highlight w:val="none"/>
              </w:rPr>
            </w:pPr>
            <w:r>
              <w:rPr>
                <w:rFonts w:hint="eastAsia" w:ascii="宋体" w:hAnsi="宋体" w:eastAsia="宋体" w:cs="宋体"/>
                <w:bCs/>
                <w:color w:val="auto"/>
                <w:highlight w:val="none"/>
              </w:rPr>
              <w:t>≤</w:t>
            </w:r>
            <w:r>
              <w:rPr>
                <w:bCs/>
                <w:color w:val="auto"/>
                <w:highlight w:val="none"/>
              </w:rPr>
              <w:t>0</w:t>
            </w:r>
          </w:p>
        </w:tc>
        <w:tc>
          <w:tcPr>
            <w:tcW w:w="2835" w:type="dxa"/>
            <w:vAlign w:val="center"/>
          </w:tcPr>
          <w:p w14:paraId="3DE8ACC6">
            <w:pPr>
              <w:widowControl/>
              <w:jc w:val="left"/>
              <w:rPr>
                <w:bCs/>
                <w:color w:val="auto"/>
                <w:highlight w:val="none"/>
              </w:rPr>
            </w:pPr>
            <w:r>
              <w:rPr>
                <w:bCs/>
                <w:color w:val="auto"/>
                <w:highlight w:val="none"/>
              </w:rPr>
              <w:t>现行国家标准《涂料用乳液和涂料、塑料用聚合物分散体 白点温度和最低成膜温度的测定》GB/T 9267</w:t>
            </w:r>
          </w:p>
        </w:tc>
      </w:tr>
    </w:tbl>
    <w:p w14:paraId="007DF9F5">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套装双真空保温隔热板外保温系统用防水材料应符合下列规定：</w:t>
      </w:r>
    </w:p>
    <w:p w14:paraId="4ABC90C9">
      <w:pPr>
        <w:pStyle w:val="27"/>
        <w:numPr>
          <w:ilvl w:val="0"/>
          <w:numId w:val="8"/>
        </w:numPr>
        <w:spacing w:line="360" w:lineRule="auto"/>
        <w:ind w:left="0" w:firstLine="480"/>
        <w:jc w:val="left"/>
        <w:rPr>
          <w:bCs/>
          <w:color w:val="auto"/>
          <w:sz w:val="24"/>
          <w:szCs w:val="22"/>
          <w:highlight w:val="none"/>
        </w:rPr>
      </w:pPr>
      <w:r>
        <w:rPr>
          <w:bCs/>
          <w:color w:val="auto"/>
          <w:sz w:val="24"/>
          <w:szCs w:val="24"/>
          <w:highlight w:val="none"/>
        </w:rPr>
        <w:t>聚合物水泥防水涂料性能应符合现行国家标准《聚合物水泥防水涂料》GB/T 23445中Ⅰ型的</w:t>
      </w:r>
      <w:r>
        <w:rPr>
          <w:rFonts w:hint="eastAsia"/>
          <w:bCs/>
          <w:color w:val="auto"/>
          <w:sz w:val="24"/>
          <w:szCs w:val="24"/>
          <w:highlight w:val="none"/>
        </w:rPr>
        <w:t>有关</w:t>
      </w:r>
      <w:r>
        <w:rPr>
          <w:bCs/>
          <w:color w:val="auto"/>
          <w:sz w:val="24"/>
          <w:szCs w:val="24"/>
          <w:highlight w:val="none"/>
        </w:rPr>
        <w:t>规定</w:t>
      </w:r>
      <w:r>
        <w:rPr>
          <w:bCs/>
          <w:color w:val="auto"/>
          <w:sz w:val="24"/>
          <w:szCs w:val="22"/>
          <w:highlight w:val="none"/>
        </w:rPr>
        <w:t>；</w:t>
      </w:r>
    </w:p>
    <w:p w14:paraId="0B329127">
      <w:pPr>
        <w:pStyle w:val="27"/>
        <w:numPr>
          <w:ilvl w:val="0"/>
          <w:numId w:val="8"/>
        </w:numPr>
        <w:spacing w:line="360" w:lineRule="auto"/>
        <w:ind w:left="0" w:firstLine="480"/>
        <w:jc w:val="left"/>
        <w:rPr>
          <w:bCs/>
          <w:color w:val="auto"/>
          <w:sz w:val="24"/>
          <w:szCs w:val="22"/>
          <w:highlight w:val="none"/>
        </w:rPr>
      </w:pPr>
      <w:r>
        <w:rPr>
          <w:bCs/>
          <w:color w:val="auto"/>
          <w:sz w:val="24"/>
          <w:szCs w:val="22"/>
          <w:highlight w:val="none"/>
        </w:rPr>
        <w:t>普通防水砂浆宜采用预拌干混砂浆，其原材料和性能应符合现行国家标准《预拌砂浆》GB/T 25181中代号为DW的干混普通防水砂浆的有关规定。</w:t>
      </w:r>
    </w:p>
    <w:p w14:paraId="1349017E">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套装双真空保温隔热板外保温系统接缝处应采用建筑密封胶嵌缝密封，密封胶耐候性应满足设计要求。系统填缝</w:t>
      </w:r>
      <w:r>
        <w:rPr>
          <w:rFonts w:hint="eastAsia"/>
          <w:bCs/>
          <w:color w:val="auto"/>
          <w:sz w:val="24"/>
          <w:szCs w:val="24"/>
          <w:highlight w:val="none"/>
        </w:rPr>
        <w:t>与密封材料</w:t>
      </w:r>
      <w:r>
        <w:rPr>
          <w:bCs/>
          <w:color w:val="auto"/>
          <w:sz w:val="24"/>
          <w:szCs w:val="24"/>
          <w:highlight w:val="none"/>
        </w:rPr>
        <w:t xml:space="preserve">应符合下列规定： </w:t>
      </w:r>
    </w:p>
    <w:p w14:paraId="31129D0E">
      <w:pPr>
        <w:pStyle w:val="27"/>
        <w:numPr>
          <w:ilvl w:val="0"/>
          <w:numId w:val="9"/>
        </w:numPr>
        <w:spacing w:line="360" w:lineRule="auto"/>
        <w:ind w:left="0" w:firstLine="480"/>
        <w:jc w:val="left"/>
        <w:rPr>
          <w:bCs/>
          <w:color w:val="auto"/>
          <w:sz w:val="24"/>
          <w:szCs w:val="22"/>
          <w:highlight w:val="none"/>
        </w:rPr>
      </w:pPr>
      <w:r>
        <w:rPr>
          <w:bCs/>
          <w:color w:val="auto"/>
          <w:sz w:val="24"/>
          <w:szCs w:val="24"/>
          <w:highlight w:val="none"/>
        </w:rPr>
        <w:t>套装双真空保温隔热装饰板接缝处填缝材料可采用</w:t>
      </w:r>
      <w:r>
        <w:rPr>
          <w:rFonts w:hint="eastAsia"/>
          <w:bCs/>
          <w:color w:val="auto"/>
          <w:sz w:val="24"/>
          <w:szCs w:val="24"/>
          <w:highlight w:val="none"/>
          <w:lang w:eastAsia="zh-CN"/>
        </w:rPr>
        <w:t>聚氨酯</w:t>
      </w:r>
      <w:r>
        <w:rPr>
          <w:bCs/>
          <w:color w:val="auto"/>
          <w:sz w:val="24"/>
          <w:szCs w:val="24"/>
          <w:highlight w:val="none"/>
        </w:rPr>
        <w:t xml:space="preserve"> （PU）和聚乙烯（PE）泡沫条等。PE泡沫条的宽度宜为缝宽的1.3倍</w:t>
      </w:r>
      <w:r>
        <w:rPr>
          <w:rFonts w:hint="eastAsia"/>
          <w:bCs/>
          <w:color w:val="auto"/>
          <w:sz w:val="24"/>
          <w:szCs w:val="24"/>
          <w:highlight w:val="none"/>
          <w:lang w:eastAsia="zh-CN"/>
        </w:rPr>
        <w:t>～</w:t>
      </w:r>
      <w:r>
        <w:rPr>
          <w:bCs/>
          <w:color w:val="auto"/>
          <w:sz w:val="24"/>
          <w:szCs w:val="24"/>
          <w:highlight w:val="none"/>
        </w:rPr>
        <w:t>1.5倍。</w:t>
      </w:r>
    </w:p>
    <w:p w14:paraId="262406BC">
      <w:pPr>
        <w:pStyle w:val="27"/>
        <w:numPr>
          <w:ilvl w:val="0"/>
          <w:numId w:val="9"/>
        </w:numPr>
        <w:spacing w:line="360" w:lineRule="auto"/>
        <w:ind w:left="0" w:firstLine="480"/>
        <w:jc w:val="left"/>
        <w:rPr>
          <w:bCs/>
          <w:color w:val="auto"/>
          <w:sz w:val="24"/>
          <w:szCs w:val="22"/>
          <w:highlight w:val="none"/>
        </w:rPr>
      </w:pPr>
      <w:r>
        <w:rPr>
          <w:bCs/>
          <w:color w:val="auto"/>
          <w:sz w:val="24"/>
          <w:szCs w:val="22"/>
          <w:highlight w:val="none"/>
        </w:rPr>
        <w:t>阻燃密封胶性能应符合现行国家标准《建筑用阻燃密封胶》GB/T 24267的有关规定；</w:t>
      </w:r>
    </w:p>
    <w:p w14:paraId="319E8D8E">
      <w:pPr>
        <w:pStyle w:val="27"/>
        <w:numPr>
          <w:ilvl w:val="0"/>
          <w:numId w:val="9"/>
        </w:numPr>
        <w:spacing w:line="360" w:lineRule="auto"/>
        <w:ind w:left="0" w:firstLine="480"/>
        <w:jc w:val="left"/>
        <w:rPr>
          <w:bCs/>
          <w:color w:val="auto"/>
          <w:sz w:val="24"/>
          <w:szCs w:val="22"/>
          <w:highlight w:val="none"/>
        </w:rPr>
      </w:pPr>
      <w:r>
        <w:rPr>
          <w:bCs/>
          <w:color w:val="auto"/>
          <w:sz w:val="24"/>
          <w:szCs w:val="22"/>
          <w:highlight w:val="none"/>
        </w:rPr>
        <w:t>硅酮密封胶应符合现行国家标准《硅酮和改性硅酮建筑密封胶》</w:t>
      </w:r>
      <w:r>
        <w:rPr>
          <w:rFonts w:hint="eastAsia"/>
          <w:bCs/>
          <w:color w:val="auto"/>
          <w:sz w:val="24"/>
          <w:szCs w:val="22"/>
          <w:highlight w:val="none"/>
          <w:lang w:eastAsia="zh-CN"/>
        </w:rPr>
        <w:t>GB/T 14683</w:t>
      </w:r>
      <w:r>
        <w:rPr>
          <w:bCs/>
          <w:color w:val="auto"/>
          <w:sz w:val="24"/>
          <w:szCs w:val="22"/>
          <w:highlight w:val="none"/>
        </w:rPr>
        <w:t>的相关规定。</w:t>
      </w:r>
    </w:p>
    <w:p w14:paraId="2F72BD93">
      <w:pPr>
        <w:spacing w:line="360" w:lineRule="auto"/>
        <w:rPr>
          <w:bCs/>
          <w:color w:val="auto"/>
          <w:sz w:val="24"/>
          <w:szCs w:val="22"/>
          <w:highlight w:val="none"/>
        </w:rPr>
      </w:pPr>
      <w:r>
        <w:rPr>
          <w:rFonts w:hint="eastAsia" w:ascii="仿宋_GB2312" w:eastAsia="仿宋_GB2312"/>
          <w:color w:val="auto"/>
          <w:sz w:val="24"/>
          <w:highlight w:val="none"/>
        </w:rPr>
        <w:t>【条文说明】4.</w:t>
      </w:r>
      <w:r>
        <w:rPr>
          <w:rFonts w:ascii="仿宋_GB2312" w:eastAsia="仿宋_GB2312"/>
          <w:color w:val="auto"/>
          <w:sz w:val="24"/>
          <w:highlight w:val="none"/>
        </w:rPr>
        <w:t xml:space="preserve">3.8 </w:t>
      </w:r>
      <w:r>
        <w:rPr>
          <w:rFonts w:hint="eastAsia" w:ascii="仿宋_GB2312" w:eastAsia="仿宋_GB2312"/>
          <w:color w:val="auto"/>
          <w:sz w:val="24"/>
          <w:highlight w:val="none"/>
        </w:rPr>
        <w:t xml:space="preserve"> 背衬材料用于调整胶缝深度，使之达到设计要求，截面多为圆形或方形；为保证胶缝防水性能及与基材粘结性能不受影响，背衬材料应与密封胶具有相容性。</w:t>
      </w:r>
    </w:p>
    <w:p w14:paraId="0CFF12F0">
      <w:pPr>
        <w:pStyle w:val="27"/>
        <w:numPr>
          <w:ilvl w:val="2"/>
          <w:numId w:val="2"/>
        </w:numPr>
        <w:spacing w:line="360" w:lineRule="auto"/>
        <w:ind w:left="0" w:firstLine="0" w:firstLineChars="0"/>
        <w:jc w:val="left"/>
        <w:outlineLvl w:val="2"/>
        <w:rPr>
          <w:color w:val="auto"/>
          <w:sz w:val="24"/>
          <w:szCs w:val="24"/>
          <w:highlight w:val="none"/>
        </w:rPr>
      </w:pPr>
      <w:r>
        <w:rPr>
          <w:rFonts w:hint="eastAsia"/>
          <w:bCs/>
          <w:color w:val="auto"/>
          <w:sz w:val="24"/>
          <w:szCs w:val="24"/>
          <w:highlight w:val="none"/>
        </w:rPr>
        <w:t>套装双真空保温隔热装饰板外墙外保温系统用</w:t>
      </w:r>
      <w:r>
        <w:rPr>
          <w:bCs/>
          <w:color w:val="auto"/>
          <w:sz w:val="24"/>
          <w:szCs w:val="24"/>
          <w:highlight w:val="none"/>
        </w:rPr>
        <w:t>透气件的材质宜为聚丙烯或聚氯乙烯材质，不得使用再生材料制作。</w:t>
      </w:r>
    </w:p>
    <w:p w14:paraId="3EE5E253">
      <w:pPr>
        <w:spacing w:line="360" w:lineRule="auto"/>
        <w:rPr>
          <w:rFonts w:ascii="仿宋_GB2312" w:eastAsia="仿宋_GB2312"/>
          <w:color w:val="auto"/>
          <w:sz w:val="24"/>
          <w:highlight w:val="none"/>
        </w:rPr>
      </w:pPr>
      <w:r>
        <w:rPr>
          <w:rFonts w:hint="eastAsia" w:ascii="仿宋_GB2312" w:eastAsia="仿宋_GB2312"/>
          <w:color w:val="auto"/>
          <w:sz w:val="24"/>
          <w:highlight w:val="none"/>
        </w:rPr>
        <w:t>【条文说明】4.</w:t>
      </w:r>
      <w:r>
        <w:rPr>
          <w:rFonts w:ascii="仿宋_GB2312" w:eastAsia="仿宋_GB2312"/>
          <w:color w:val="auto"/>
          <w:sz w:val="24"/>
          <w:highlight w:val="none"/>
        </w:rPr>
        <w:t xml:space="preserve">3.9 </w:t>
      </w:r>
      <w:r>
        <w:rPr>
          <w:rFonts w:hint="eastAsia" w:ascii="仿宋_GB2312" w:eastAsia="仿宋_GB2312"/>
          <w:color w:val="auto"/>
          <w:sz w:val="24"/>
          <w:highlight w:val="none"/>
        </w:rPr>
        <w:t xml:space="preserve"> 透气件除塑料材质外，也有不锈钢材质，都要求具有使用耐久性。</w:t>
      </w:r>
    </w:p>
    <w:p w14:paraId="0E533DDA">
      <w:pPr>
        <w:spacing w:line="360" w:lineRule="auto"/>
        <w:rPr>
          <w:bCs/>
          <w:color w:val="auto"/>
          <w:sz w:val="24"/>
          <w:szCs w:val="22"/>
          <w:highlight w:val="none"/>
        </w:rPr>
      </w:pPr>
    </w:p>
    <w:p w14:paraId="57A25573">
      <w:pPr>
        <w:tabs>
          <w:tab w:val="left" w:pos="1036"/>
        </w:tabs>
        <w:rPr>
          <w:color w:val="auto"/>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color w:val="auto"/>
          <w:sz w:val="24"/>
          <w:highlight w:val="none"/>
        </w:rPr>
        <w:tab/>
      </w:r>
    </w:p>
    <w:p w14:paraId="48012C70">
      <w:pPr>
        <w:pStyle w:val="27"/>
        <w:numPr>
          <w:ilvl w:val="0"/>
          <w:numId w:val="2"/>
        </w:numPr>
        <w:spacing w:after="240"/>
        <w:ind w:firstLineChars="0"/>
        <w:jc w:val="center"/>
        <w:outlineLvl w:val="0"/>
        <w:rPr>
          <w:b/>
          <w:bCs w:val="0"/>
          <w:color w:val="auto"/>
          <w:sz w:val="36"/>
          <w:szCs w:val="32"/>
          <w:highlight w:val="none"/>
        </w:rPr>
      </w:pPr>
      <w:bookmarkStart w:id="30" w:name="_Toc11999"/>
      <w:bookmarkStart w:id="31" w:name="_Toc141875140"/>
      <w:r>
        <w:rPr>
          <w:rFonts w:hint="eastAsia"/>
          <w:b/>
          <w:bCs w:val="0"/>
          <w:color w:val="auto"/>
          <w:sz w:val="36"/>
          <w:szCs w:val="32"/>
          <w:highlight w:val="none"/>
        </w:rPr>
        <w:t>设计</w:t>
      </w:r>
      <w:bookmarkEnd w:id="30"/>
      <w:bookmarkEnd w:id="31"/>
    </w:p>
    <w:p w14:paraId="01BF0199">
      <w:pPr>
        <w:pStyle w:val="27"/>
        <w:numPr>
          <w:ilvl w:val="1"/>
          <w:numId w:val="2"/>
        </w:numPr>
        <w:ind w:left="567" w:firstLineChars="0"/>
        <w:jc w:val="center"/>
        <w:outlineLvl w:val="1"/>
        <w:rPr>
          <w:b/>
          <w:bCs w:val="0"/>
          <w:color w:val="auto"/>
          <w:sz w:val="28"/>
          <w:szCs w:val="24"/>
          <w:highlight w:val="none"/>
        </w:rPr>
      </w:pPr>
      <w:bookmarkStart w:id="32" w:name="_Toc141875141"/>
      <w:bookmarkStart w:id="33" w:name="_Toc27775"/>
      <w:r>
        <w:rPr>
          <w:rFonts w:hint="eastAsia"/>
          <w:b/>
          <w:bCs w:val="0"/>
          <w:color w:val="auto"/>
          <w:sz w:val="28"/>
          <w:szCs w:val="24"/>
          <w:highlight w:val="none"/>
        </w:rPr>
        <w:t>一般规定</w:t>
      </w:r>
      <w:bookmarkEnd w:id="32"/>
      <w:bookmarkEnd w:id="33"/>
    </w:p>
    <w:p w14:paraId="60EA67B0">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外保温工程设计选用套装双真空保温隔热板外保温系统时，不应更改组成材料、系统构造和配套材料。</w:t>
      </w:r>
    </w:p>
    <w:p w14:paraId="309C64D7">
      <w:pPr>
        <w:spacing w:line="360" w:lineRule="auto"/>
        <w:rPr>
          <w:rFonts w:ascii="仿宋_GB2312" w:eastAsia="仿宋_GB2312"/>
          <w:color w:val="auto"/>
          <w:sz w:val="24"/>
          <w:highlight w:val="none"/>
        </w:rPr>
      </w:pPr>
      <w:r>
        <w:rPr>
          <w:rFonts w:hint="eastAsia" w:ascii="仿宋_GB2312" w:eastAsia="仿宋_GB2312"/>
          <w:color w:val="auto"/>
          <w:sz w:val="24"/>
          <w:highlight w:val="none"/>
        </w:rPr>
        <w:t>【条文说明】</w:t>
      </w:r>
      <w:r>
        <w:rPr>
          <w:rFonts w:ascii="仿宋_GB2312" w:eastAsia="仿宋_GB2312"/>
          <w:color w:val="auto"/>
          <w:sz w:val="24"/>
          <w:highlight w:val="none"/>
        </w:rPr>
        <w:t>5.1.1</w:t>
      </w:r>
      <w:r>
        <w:rPr>
          <w:rFonts w:hint="eastAsia" w:ascii="仿宋_GB2312" w:eastAsia="仿宋_GB2312"/>
          <w:color w:val="auto"/>
          <w:sz w:val="24"/>
          <w:highlight w:val="none"/>
        </w:rPr>
        <w:t xml:space="preserve">  建筑类型、所在地区是选择套装双真空保温隔热板外保温系统构造做法的技术条件，其中涉及外墙类别、建筑用途、安全性等因素。不得更改系统构造和组成材料，主要从安全方面考虑，更改系统构造和组成材料可能会带来安全隐患。</w:t>
      </w:r>
    </w:p>
    <w:p w14:paraId="76417366">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套装双真空保温隔热板外墙保温系统的热工性能应符合国家现行标准《建筑节能与可再生能源利用通用规范》GB 55015和《民用建筑热工设计规范》GB 50176的有关规定。</w:t>
      </w:r>
    </w:p>
    <w:p w14:paraId="6CD6F5FE">
      <w:pPr>
        <w:pStyle w:val="27"/>
        <w:numPr>
          <w:ilvl w:val="2"/>
          <w:numId w:val="2"/>
        </w:numPr>
        <w:spacing w:line="360" w:lineRule="auto"/>
        <w:ind w:left="0" w:firstLine="0" w:firstLineChars="0"/>
        <w:jc w:val="left"/>
        <w:outlineLvl w:val="2"/>
        <w:rPr>
          <w:bCs/>
          <w:color w:val="auto"/>
          <w:sz w:val="24"/>
          <w:szCs w:val="24"/>
          <w:highlight w:val="none"/>
        </w:rPr>
      </w:pPr>
      <w:r>
        <w:rPr>
          <w:rFonts w:hint="eastAsia" w:ascii="Times New Roman" w:hAnsi="Times New Roman"/>
          <w:bCs/>
          <w:color w:val="auto"/>
          <w:sz w:val="24"/>
          <w:szCs w:val="24"/>
          <w:highlight w:val="none"/>
        </w:rPr>
        <w:t>建筑热工计算传热系数时，真空绝热</w:t>
      </w:r>
      <w:r>
        <w:rPr>
          <w:rFonts w:ascii="Times New Roman" w:hAnsi="Times New Roman"/>
          <w:bCs/>
          <w:color w:val="auto"/>
          <w:sz w:val="24"/>
          <w:szCs w:val="24"/>
          <w:highlight w:val="none"/>
        </w:rPr>
        <w:t>板</w:t>
      </w:r>
      <w:r>
        <w:rPr>
          <w:rFonts w:hint="eastAsia" w:ascii="Times New Roman" w:hAnsi="Times New Roman"/>
          <w:bCs/>
          <w:color w:val="auto"/>
          <w:sz w:val="24"/>
          <w:szCs w:val="24"/>
          <w:highlight w:val="none"/>
        </w:rPr>
        <w:t>导热系数的</w:t>
      </w:r>
      <w:r>
        <w:rPr>
          <w:rFonts w:ascii="Times New Roman" w:hAnsi="Times New Roman"/>
          <w:bCs/>
          <w:color w:val="auto"/>
          <w:sz w:val="24"/>
          <w:szCs w:val="24"/>
          <w:highlight w:val="none"/>
        </w:rPr>
        <w:t>修正系数α</w:t>
      </w:r>
      <w:r>
        <w:rPr>
          <w:rFonts w:hint="eastAsia" w:ascii="Times New Roman" w:hAnsi="Times New Roman"/>
          <w:bCs/>
          <w:color w:val="auto"/>
          <w:sz w:val="24"/>
          <w:szCs w:val="24"/>
          <w:highlight w:val="none"/>
        </w:rPr>
        <w:t>宜取值为</w:t>
      </w:r>
      <w:r>
        <w:rPr>
          <w:rFonts w:hint="eastAsia"/>
          <w:bCs/>
          <w:color w:val="auto"/>
          <w:sz w:val="24"/>
          <w:szCs w:val="24"/>
          <w:highlight w:val="none"/>
        </w:rPr>
        <w:t>1.10</w:t>
      </w:r>
      <w:r>
        <w:rPr>
          <w:rFonts w:hint="eastAsia" w:ascii="Times New Roman" w:hAnsi="Times New Roman"/>
          <w:bCs/>
          <w:color w:val="auto"/>
          <w:sz w:val="24"/>
          <w:szCs w:val="24"/>
          <w:highlight w:val="none"/>
        </w:rPr>
        <w:t>；同时考虑真空绝热</w:t>
      </w:r>
      <w:r>
        <w:rPr>
          <w:rFonts w:ascii="Times New Roman" w:hAnsi="Times New Roman"/>
          <w:bCs/>
          <w:color w:val="auto"/>
          <w:sz w:val="24"/>
          <w:szCs w:val="24"/>
          <w:highlight w:val="none"/>
        </w:rPr>
        <w:t>板</w:t>
      </w:r>
      <w:r>
        <w:rPr>
          <w:rFonts w:hint="eastAsia" w:ascii="Times New Roman" w:hAnsi="Times New Roman"/>
          <w:bCs/>
          <w:color w:val="auto"/>
          <w:sz w:val="24"/>
          <w:szCs w:val="24"/>
          <w:highlight w:val="none"/>
        </w:rPr>
        <w:t>产品自身及其施工过程中板材平均板缝宽度对传热系数的影响时，应采用综合</w:t>
      </w:r>
      <w:r>
        <w:rPr>
          <w:rFonts w:ascii="Times New Roman" w:hAnsi="Times New Roman"/>
          <w:bCs/>
          <w:color w:val="auto"/>
          <w:sz w:val="24"/>
          <w:szCs w:val="24"/>
          <w:highlight w:val="none"/>
        </w:rPr>
        <w:t>修正系数</w:t>
      </w:r>
      <w:r>
        <w:rPr>
          <w:rFonts w:hint="eastAsia" w:eastAsia="宋体"/>
          <w:color w:val="auto"/>
          <w:position w:val="-10"/>
          <w:sz w:val="24"/>
          <w:szCs w:val="24"/>
          <w:highlight w:val="none"/>
          <w:lang w:eastAsia="zh-CN"/>
        </w:rPr>
        <w:object>
          <v:shape id="_x0000_i1029" o:spt="75" type="#_x0000_t75" style="height:16pt;width:12pt;" o:ole="t" filled="f" o:preferrelative="t" stroked="f" coordsize="21600,21600">
            <v:path/>
            <v:fill on="f" focussize="0,0"/>
            <v:stroke on="f"/>
            <v:imagedata r:id="rId16" o:title=""/>
            <o:lock v:ext="edit" aspectratio="t"/>
            <w10:wrap type="none"/>
            <w10:anchorlock/>
          </v:shape>
          <o:OLEObject Type="Embed" ProgID="Equation.KSEE3" ShapeID="_x0000_i1029" DrawAspect="Content" ObjectID="_1468075729" r:id="rId15">
            <o:LockedField>false</o:LockedField>
          </o:OLEObject>
        </w:object>
      </w:r>
      <w:r>
        <w:rPr>
          <w:rFonts w:hint="eastAsia" w:ascii="Times New Roman" w:hAnsi="Times New Roman"/>
          <w:bCs/>
          <w:color w:val="auto"/>
          <w:sz w:val="24"/>
          <w:szCs w:val="24"/>
          <w:highlight w:val="none"/>
        </w:rPr>
        <w:t>对真空绝热</w:t>
      </w:r>
      <w:r>
        <w:rPr>
          <w:rFonts w:ascii="Times New Roman" w:hAnsi="Times New Roman"/>
          <w:bCs/>
          <w:color w:val="auto"/>
          <w:sz w:val="24"/>
          <w:szCs w:val="24"/>
          <w:highlight w:val="none"/>
        </w:rPr>
        <w:t>板</w:t>
      </w:r>
      <w:r>
        <w:rPr>
          <w:rFonts w:hint="eastAsia" w:ascii="Times New Roman" w:hAnsi="Times New Roman"/>
          <w:bCs/>
          <w:color w:val="auto"/>
          <w:sz w:val="24"/>
          <w:szCs w:val="24"/>
          <w:highlight w:val="none"/>
        </w:rPr>
        <w:t>导热系数进行修正，并应按表</w:t>
      </w:r>
      <w:r>
        <w:rPr>
          <w:bCs/>
          <w:color w:val="auto"/>
          <w:sz w:val="24"/>
          <w:szCs w:val="24"/>
          <w:highlight w:val="none"/>
        </w:rPr>
        <w:t>5.1.3</w:t>
      </w:r>
      <w:r>
        <w:rPr>
          <w:rFonts w:hint="eastAsia" w:ascii="Times New Roman" w:hAnsi="Times New Roman"/>
          <w:bCs/>
          <w:color w:val="auto"/>
          <w:sz w:val="24"/>
          <w:szCs w:val="24"/>
          <w:highlight w:val="none"/>
        </w:rPr>
        <w:t>取值。</w:t>
      </w:r>
    </w:p>
    <w:p w14:paraId="0C170A37">
      <w:pPr>
        <w:pStyle w:val="27"/>
        <w:spacing w:line="360" w:lineRule="auto"/>
        <w:ind w:firstLine="0" w:firstLineChars="0"/>
        <w:jc w:val="center"/>
        <w:outlineLvl w:val="2"/>
        <w:rPr>
          <w:rFonts w:hint="eastAsia"/>
          <w:bCs/>
          <w:color w:val="auto"/>
          <w:sz w:val="24"/>
          <w:szCs w:val="24"/>
          <w:highlight w:val="none"/>
        </w:rPr>
      </w:pPr>
      <w:r>
        <w:rPr>
          <w:rFonts w:hint="eastAsia"/>
          <w:color w:val="auto"/>
          <w:highlight w:val="none"/>
        </w:rPr>
        <w:t>表</w:t>
      </w:r>
      <w:r>
        <w:rPr>
          <w:color w:val="auto"/>
          <w:highlight w:val="none"/>
        </w:rPr>
        <w:t xml:space="preserve">5.1.3 </w:t>
      </w:r>
      <w:r>
        <w:rPr>
          <w:rFonts w:hint="eastAsia"/>
          <w:color w:val="auto"/>
          <w:highlight w:val="none"/>
        </w:rPr>
        <w:t xml:space="preserve"> 真空绝热</w:t>
      </w:r>
      <w:r>
        <w:rPr>
          <w:color w:val="auto"/>
          <w:highlight w:val="none"/>
        </w:rPr>
        <w:t>板</w:t>
      </w:r>
      <w:r>
        <w:rPr>
          <w:rFonts w:hint="eastAsia"/>
          <w:color w:val="auto"/>
          <w:highlight w:val="none"/>
        </w:rPr>
        <w:t>导热系数的</w:t>
      </w:r>
      <w:r>
        <w:rPr>
          <w:color w:val="auto"/>
          <w:highlight w:val="none"/>
        </w:rPr>
        <w:t>修正系数</w:t>
      </w:r>
    </w:p>
    <w:tbl>
      <w:tblPr>
        <w:tblStyle w:val="18"/>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7"/>
        <w:gridCol w:w="1187"/>
        <w:gridCol w:w="2551"/>
        <w:gridCol w:w="3096"/>
      </w:tblGrid>
      <w:tr w14:paraId="35DC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687" w:type="dxa"/>
            <w:vMerge w:val="restart"/>
            <w:tcBorders>
              <w:top w:val="single" w:color="auto" w:sz="12" w:space="0"/>
              <w:left w:val="single" w:color="auto" w:sz="12" w:space="0"/>
              <w:bottom w:val="single" w:color="auto" w:sz="4" w:space="0"/>
              <w:right w:val="single" w:color="auto" w:sz="4" w:space="0"/>
            </w:tcBorders>
            <w:vAlign w:val="center"/>
          </w:tcPr>
          <w:p w14:paraId="4F02A4EB">
            <w:pPr>
              <w:jc w:val="center"/>
              <w:rPr>
                <w:rFonts w:hint="eastAsia"/>
                <w:color w:val="auto"/>
                <w:sz w:val="24"/>
                <w:szCs w:val="24"/>
                <w:highlight w:val="none"/>
              </w:rPr>
            </w:pPr>
            <w:r>
              <w:rPr>
                <w:rFonts w:ascii="宋体" w:hAnsi="宋体"/>
                <w:color w:val="auto"/>
                <w:sz w:val="24"/>
                <w:szCs w:val="24"/>
                <w:highlight w:val="none"/>
              </w:rPr>
              <w:t>项目</w:t>
            </w:r>
          </w:p>
        </w:tc>
        <w:tc>
          <w:tcPr>
            <w:tcW w:w="6834" w:type="dxa"/>
            <w:gridSpan w:val="3"/>
            <w:tcBorders>
              <w:top w:val="single" w:color="auto" w:sz="12" w:space="0"/>
              <w:left w:val="single" w:color="auto" w:sz="4" w:space="0"/>
              <w:bottom w:val="single" w:color="auto" w:sz="4" w:space="0"/>
              <w:right w:val="single" w:color="auto" w:sz="4" w:space="0"/>
            </w:tcBorders>
            <w:vAlign w:val="center"/>
          </w:tcPr>
          <w:p w14:paraId="13CCD83F">
            <w:pPr>
              <w:jc w:val="center"/>
              <w:rPr>
                <w:rFonts w:ascii="宋体" w:hAnsi="宋体"/>
                <w:color w:val="auto"/>
                <w:sz w:val="24"/>
                <w:szCs w:val="24"/>
                <w:highlight w:val="none"/>
              </w:rPr>
            </w:pPr>
            <w:r>
              <w:rPr>
                <w:rFonts w:ascii="宋体" w:hAnsi="宋体"/>
                <w:color w:val="auto"/>
                <w:sz w:val="24"/>
                <w:szCs w:val="24"/>
                <w:highlight w:val="none"/>
              </w:rPr>
              <w:t>平均板缝宽带（</w:t>
            </w:r>
            <w:r>
              <w:rPr>
                <w:color w:val="auto"/>
                <w:highlight w:val="none"/>
              </w:rPr>
              <w:drawing>
                <wp:inline distT="0" distB="0" distL="114300" distR="114300">
                  <wp:extent cx="133350" cy="171450"/>
                  <wp:effectExtent l="0" t="0" r="3810" b="12065"/>
                  <wp:docPr id="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
                          <pic:cNvPicPr>
                            <a:picLocks noChangeAspect="1"/>
                          </pic:cNvPicPr>
                        </pic:nvPicPr>
                        <pic:blipFill>
                          <a:blip r:embed="rId17"/>
                          <a:stretch>
                            <a:fillRect/>
                          </a:stretch>
                        </pic:blipFill>
                        <pic:spPr>
                          <a:xfrm>
                            <a:off x="0" y="0"/>
                            <a:ext cx="133350" cy="171450"/>
                          </a:xfrm>
                          <a:prstGeom prst="rect">
                            <a:avLst/>
                          </a:prstGeom>
                          <a:noFill/>
                          <a:ln>
                            <a:noFill/>
                          </a:ln>
                        </pic:spPr>
                      </pic:pic>
                    </a:graphicData>
                  </a:graphic>
                </wp:inline>
              </w:drawing>
            </w:r>
            <w:r>
              <w:rPr>
                <w:rFonts w:ascii="宋体" w:hAnsi="宋体"/>
                <w:color w:val="auto"/>
                <w:sz w:val="24"/>
                <w:szCs w:val="24"/>
                <w:highlight w:val="none"/>
              </w:rPr>
              <w:t>）</w:t>
            </w:r>
          </w:p>
        </w:tc>
      </w:tr>
      <w:tr w14:paraId="4122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687" w:type="dxa"/>
            <w:vMerge w:val="continue"/>
            <w:tcBorders>
              <w:top w:val="single" w:color="auto" w:sz="12" w:space="0"/>
              <w:left w:val="single" w:color="auto" w:sz="12" w:space="0"/>
              <w:bottom w:val="single" w:color="auto" w:sz="4" w:space="0"/>
              <w:right w:val="single" w:color="auto" w:sz="4" w:space="0"/>
            </w:tcBorders>
            <w:vAlign w:val="center"/>
          </w:tcPr>
          <w:p w14:paraId="4AE2BC24">
            <w:pPr>
              <w:widowControl/>
              <w:rPr>
                <w:color w:val="auto"/>
                <w:kern w:val="2"/>
                <w:sz w:val="24"/>
                <w:szCs w:val="24"/>
                <w:highlight w:val="none"/>
              </w:rPr>
            </w:pPr>
          </w:p>
        </w:tc>
        <w:tc>
          <w:tcPr>
            <w:tcW w:w="1187" w:type="dxa"/>
            <w:tcBorders>
              <w:top w:val="single" w:color="auto" w:sz="4" w:space="0"/>
              <w:left w:val="single" w:color="auto" w:sz="4" w:space="0"/>
              <w:bottom w:val="single" w:color="auto" w:sz="4" w:space="0"/>
              <w:right w:val="single" w:color="auto" w:sz="4" w:space="0"/>
            </w:tcBorders>
            <w:vAlign w:val="center"/>
          </w:tcPr>
          <w:p w14:paraId="6471F0C2">
            <w:pPr>
              <w:jc w:val="center"/>
              <w:rPr>
                <w:color w:val="auto"/>
                <w:sz w:val="24"/>
                <w:szCs w:val="24"/>
                <w:highlight w:val="none"/>
              </w:rPr>
            </w:pPr>
            <w:r>
              <w:rPr>
                <w:color w:val="auto"/>
                <w:sz w:val="24"/>
                <w:szCs w:val="24"/>
                <w:highlight w:val="none"/>
              </w:rPr>
              <w:t>≤5mm</w:t>
            </w:r>
          </w:p>
        </w:tc>
        <w:tc>
          <w:tcPr>
            <w:tcW w:w="2551" w:type="dxa"/>
            <w:tcBorders>
              <w:top w:val="single" w:color="auto" w:sz="4" w:space="0"/>
              <w:left w:val="single" w:color="auto" w:sz="4" w:space="0"/>
              <w:bottom w:val="single" w:color="auto" w:sz="4" w:space="0"/>
              <w:right w:val="single" w:color="auto" w:sz="4" w:space="0"/>
            </w:tcBorders>
            <w:vAlign w:val="center"/>
          </w:tcPr>
          <w:p w14:paraId="08377115">
            <w:pPr>
              <w:jc w:val="center"/>
              <w:rPr>
                <w:color w:val="auto"/>
                <w:sz w:val="24"/>
                <w:szCs w:val="24"/>
                <w:highlight w:val="none"/>
              </w:rPr>
            </w:pPr>
            <w:r>
              <w:rPr>
                <w:color w:val="auto"/>
                <w:sz w:val="24"/>
                <w:szCs w:val="24"/>
                <w:highlight w:val="none"/>
              </w:rPr>
              <w:t>5mm~10mm</w:t>
            </w:r>
          </w:p>
        </w:tc>
        <w:tc>
          <w:tcPr>
            <w:tcW w:w="3096" w:type="dxa"/>
            <w:tcBorders>
              <w:top w:val="single" w:color="auto" w:sz="4" w:space="0"/>
              <w:left w:val="single" w:color="auto" w:sz="4" w:space="0"/>
              <w:bottom w:val="single" w:color="auto" w:sz="4" w:space="0"/>
              <w:right w:val="single" w:color="auto" w:sz="4" w:space="0"/>
            </w:tcBorders>
            <w:vAlign w:val="center"/>
          </w:tcPr>
          <w:p w14:paraId="69EF8A17">
            <w:pPr>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10</w:t>
            </w:r>
            <w:r>
              <w:rPr>
                <w:color w:val="auto"/>
                <w:sz w:val="24"/>
                <w:szCs w:val="24"/>
                <w:highlight w:val="none"/>
              </w:rPr>
              <w:t>mm~</w:t>
            </w:r>
            <w:r>
              <w:rPr>
                <w:rFonts w:hint="eastAsia"/>
                <w:color w:val="auto"/>
                <w:sz w:val="24"/>
                <w:szCs w:val="24"/>
                <w:highlight w:val="none"/>
                <w:lang w:val="en-US" w:eastAsia="zh-CN"/>
              </w:rPr>
              <w:t>15</w:t>
            </w:r>
            <w:r>
              <w:rPr>
                <w:color w:val="auto"/>
                <w:sz w:val="24"/>
                <w:szCs w:val="24"/>
                <w:highlight w:val="none"/>
              </w:rPr>
              <w:t>mm</w:t>
            </w:r>
          </w:p>
        </w:tc>
      </w:tr>
      <w:tr w14:paraId="2EF8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687" w:type="dxa"/>
            <w:tcBorders>
              <w:top w:val="single" w:color="auto" w:sz="4" w:space="0"/>
              <w:left w:val="single" w:color="auto" w:sz="12" w:space="0"/>
              <w:bottom w:val="single" w:color="auto" w:sz="12" w:space="0"/>
              <w:right w:val="single" w:color="auto" w:sz="4" w:space="0"/>
            </w:tcBorders>
            <w:vAlign w:val="center"/>
          </w:tcPr>
          <w:p w14:paraId="4C37A8E3">
            <w:pPr>
              <w:jc w:val="center"/>
              <w:rPr>
                <w:color w:val="auto"/>
                <w:sz w:val="24"/>
                <w:szCs w:val="24"/>
                <w:highlight w:val="none"/>
              </w:rPr>
            </w:pPr>
            <w:r>
              <w:rPr>
                <w:rFonts w:ascii="宋体" w:hAnsi="宋体"/>
                <w:color w:val="auto"/>
                <w:sz w:val="24"/>
                <w:szCs w:val="24"/>
                <w:highlight w:val="none"/>
              </w:rPr>
              <w:t>修正系数</w:t>
            </w:r>
            <w:r>
              <w:rPr>
                <w:rFonts w:hint="eastAsia" w:eastAsia="宋体"/>
                <w:color w:val="auto"/>
                <w:position w:val="-10"/>
                <w:sz w:val="24"/>
                <w:szCs w:val="24"/>
                <w:highlight w:val="none"/>
                <w:lang w:eastAsia="zh-CN"/>
              </w:rPr>
              <w:object>
                <v:shape id="_x0000_i1030" o:spt="75" type="#_x0000_t75" style="height:16pt;width:12pt;" o:ole="t" filled="f" o:preferrelative="t" stroked="f" coordsize="21600,21600">
                  <v:path/>
                  <v:fill on="f" focussize="0,0"/>
                  <v:stroke on="f"/>
                  <v:imagedata r:id="rId16" o:title=""/>
                  <o:lock v:ext="edit" aspectratio="t"/>
                  <w10:wrap type="none"/>
                  <w10:anchorlock/>
                </v:shape>
                <o:OLEObject Type="Embed" ProgID="Equation.KSEE3" ShapeID="_x0000_i1030" DrawAspect="Content" ObjectID="_1468075730" r:id="rId18">
                  <o:LockedField>false</o:LockedField>
                </o:OLEObject>
              </w:object>
            </w:r>
          </w:p>
        </w:tc>
        <w:tc>
          <w:tcPr>
            <w:tcW w:w="1187" w:type="dxa"/>
            <w:tcBorders>
              <w:top w:val="single" w:color="auto" w:sz="4" w:space="0"/>
              <w:left w:val="single" w:color="auto" w:sz="4" w:space="0"/>
              <w:bottom w:val="single" w:color="auto" w:sz="12" w:space="0"/>
              <w:right w:val="single" w:color="auto" w:sz="4" w:space="0"/>
            </w:tcBorders>
            <w:vAlign w:val="center"/>
          </w:tcPr>
          <w:p w14:paraId="48DBA4DB">
            <w:pPr>
              <w:jc w:val="center"/>
              <w:rPr>
                <w:color w:val="auto"/>
                <w:sz w:val="24"/>
                <w:szCs w:val="24"/>
                <w:highlight w:val="none"/>
              </w:rPr>
            </w:pPr>
            <w:r>
              <w:rPr>
                <w:color w:val="auto"/>
                <w:sz w:val="24"/>
                <w:szCs w:val="24"/>
                <w:highlight w:val="none"/>
              </w:rPr>
              <w:t>1.2</w:t>
            </w:r>
          </w:p>
        </w:tc>
        <w:tc>
          <w:tcPr>
            <w:tcW w:w="2551" w:type="dxa"/>
            <w:tcBorders>
              <w:top w:val="single" w:color="auto" w:sz="4" w:space="0"/>
              <w:left w:val="single" w:color="auto" w:sz="4" w:space="0"/>
              <w:bottom w:val="single" w:color="auto" w:sz="12" w:space="0"/>
              <w:right w:val="single" w:color="auto" w:sz="4" w:space="0"/>
            </w:tcBorders>
            <w:vAlign w:val="center"/>
          </w:tcPr>
          <w:p w14:paraId="498E53D1">
            <w:pPr>
              <w:jc w:val="center"/>
              <w:rPr>
                <w:rFonts w:hint="eastAsia" w:eastAsia="宋体"/>
                <w:color w:val="auto"/>
                <w:sz w:val="24"/>
                <w:szCs w:val="24"/>
                <w:highlight w:val="none"/>
                <w:lang w:eastAsia="zh-CN"/>
              </w:rPr>
            </w:pPr>
            <w:r>
              <w:rPr>
                <w:rFonts w:hint="eastAsia" w:eastAsia="宋体"/>
                <w:color w:val="auto"/>
                <w:position w:val="-28"/>
                <w:sz w:val="24"/>
                <w:szCs w:val="24"/>
                <w:highlight w:val="none"/>
                <w:lang w:eastAsia="zh-CN"/>
              </w:rPr>
              <w:object>
                <v:shape id="_x0000_i1031" o:spt="75" type="#_x0000_t75" style="height:34pt;width:88pt;" o:ole="t" filled="f" o:preferrelative="t" stroked="f" coordsize="21600,21600">
                  <v:path/>
                  <v:fill on="f" focussize="0,0"/>
                  <v:stroke on="f"/>
                  <v:imagedata r:id="rId20" o:title=""/>
                  <o:lock v:ext="edit" aspectratio="t"/>
                  <w10:wrap type="none"/>
                  <w10:anchorlock/>
                </v:shape>
                <o:OLEObject Type="Embed" ProgID="Equation.KSEE3" ShapeID="_x0000_i1031" DrawAspect="Content" ObjectID="_1468075731" r:id="rId19">
                  <o:LockedField>false</o:LockedField>
                </o:OLEObject>
              </w:object>
            </w:r>
          </w:p>
        </w:tc>
        <w:tc>
          <w:tcPr>
            <w:tcW w:w="3096" w:type="dxa"/>
            <w:tcBorders>
              <w:top w:val="single" w:color="auto" w:sz="4" w:space="0"/>
              <w:left w:val="single" w:color="auto" w:sz="4" w:space="0"/>
              <w:bottom w:val="single" w:color="auto" w:sz="12" w:space="0"/>
              <w:right w:val="single" w:color="auto" w:sz="4" w:space="0"/>
            </w:tcBorders>
            <w:vAlign w:val="center"/>
          </w:tcPr>
          <w:p w14:paraId="65055DED">
            <w:pPr>
              <w:jc w:val="center"/>
              <w:rPr>
                <w:color w:val="auto"/>
                <w:sz w:val="24"/>
                <w:szCs w:val="24"/>
                <w:highlight w:val="none"/>
              </w:rPr>
            </w:pPr>
            <w:r>
              <w:rPr>
                <w:rFonts w:hint="eastAsia" w:eastAsia="宋体"/>
                <w:color w:val="auto"/>
                <w:position w:val="-28"/>
                <w:sz w:val="24"/>
                <w:szCs w:val="24"/>
                <w:highlight w:val="none"/>
                <w:lang w:eastAsia="zh-CN"/>
              </w:rPr>
              <w:object>
                <v:shape id="_x0000_i1032" o:spt="75" type="#_x0000_t75" style="height:34pt;width:94pt;" o:ole="t" filled="f" o:preferrelative="t" stroked="f" coordsize="21600,21600">
                  <v:path/>
                  <v:fill on="f" focussize="0,0"/>
                  <v:stroke on="f"/>
                  <v:imagedata r:id="rId22" o:title=""/>
                  <o:lock v:ext="edit" aspectratio="t"/>
                  <w10:wrap type="none"/>
                  <w10:anchorlock/>
                </v:shape>
                <o:OLEObject Type="Embed" ProgID="Equation.KSEE3" ShapeID="_x0000_i1032" DrawAspect="Content" ObjectID="_1468075732" r:id="rId21">
                  <o:LockedField>false</o:LockedField>
                </o:OLEObject>
              </w:object>
            </w:r>
          </w:p>
        </w:tc>
      </w:tr>
    </w:tbl>
    <w:p w14:paraId="4E9EFC07">
      <w:pPr>
        <w:pStyle w:val="27"/>
        <w:numPr>
          <w:ilvl w:val="2"/>
          <w:numId w:val="2"/>
        </w:numPr>
        <w:spacing w:line="360" w:lineRule="auto"/>
        <w:ind w:left="0" w:firstLine="0" w:firstLineChars="0"/>
        <w:jc w:val="left"/>
        <w:outlineLvl w:val="2"/>
        <w:rPr>
          <w:bCs/>
          <w:color w:val="auto"/>
          <w:sz w:val="24"/>
          <w:szCs w:val="24"/>
          <w:highlight w:val="none"/>
        </w:rPr>
      </w:pPr>
      <w:bookmarkStart w:id="34" w:name="_Hlk141992708"/>
      <w:r>
        <w:rPr>
          <w:bCs/>
          <w:color w:val="auto"/>
          <w:sz w:val="24"/>
          <w:szCs w:val="24"/>
          <w:highlight w:val="none"/>
        </w:rPr>
        <w:t>套装双真空保温隔热板外保温系统</w:t>
      </w:r>
      <w:bookmarkEnd w:id="34"/>
      <w:r>
        <w:rPr>
          <w:bCs/>
          <w:color w:val="auto"/>
          <w:sz w:val="24"/>
          <w:szCs w:val="24"/>
          <w:highlight w:val="none"/>
        </w:rPr>
        <w:t xml:space="preserve">的热工能设计除应符合本规程第3.0.3条的规定外，尚应符合下列规定： </w:t>
      </w:r>
    </w:p>
    <w:p w14:paraId="29561CB2">
      <w:pPr>
        <w:pStyle w:val="27"/>
        <w:numPr>
          <w:ilvl w:val="0"/>
          <w:numId w:val="10"/>
        </w:numPr>
        <w:spacing w:line="360" w:lineRule="auto"/>
        <w:ind w:left="0" w:firstLine="480"/>
        <w:jc w:val="left"/>
        <w:rPr>
          <w:bCs/>
          <w:color w:val="auto"/>
          <w:sz w:val="24"/>
          <w:szCs w:val="22"/>
          <w:highlight w:val="none"/>
        </w:rPr>
      </w:pPr>
      <w:r>
        <w:rPr>
          <w:bCs/>
          <w:color w:val="auto"/>
          <w:sz w:val="24"/>
          <w:szCs w:val="24"/>
          <w:highlight w:val="none"/>
        </w:rPr>
        <w:t>套装双真空保温隔热板或套装双真空保温隔热装饰板内表面温度</w:t>
      </w:r>
      <w:r>
        <w:rPr>
          <w:bCs/>
          <w:color w:val="auto"/>
          <w:sz w:val="24"/>
          <w:szCs w:val="22"/>
          <w:highlight w:val="none"/>
        </w:rPr>
        <w:t>不应低于室内空气在设计</w:t>
      </w:r>
      <w:r>
        <w:rPr>
          <w:rFonts w:hint="eastAsia"/>
          <w:bCs/>
          <w:color w:val="auto"/>
          <w:sz w:val="24"/>
          <w:szCs w:val="22"/>
          <w:highlight w:val="none"/>
        </w:rPr>
        <w:t>温度与</w:t>
      </w:r>
      <w:r>
        <w:rPr>
          <w:bCs/>
          <w:color w:val="auto"/>
          <w:sz w:val="24"/>
          <w:szCs w:val="22"/>
          <w:highlight w:val="none"/>
        </w:rPr>
        <w:t>湿度条件下的露点温度；</w:t>
      </w:r>
    </w:p>
    <w:p w14:paraId="3F9D6FDA">
      <w:pPr>
        <w:pStyle w:val="27"/>
        <w:numPr>
          <w:ilvl w:val="0"/>
          <w:numId w:val="10"/>
        </w:numPr>
        <w:spacing w:line="360" w:lineRule="auto"/>
        <w:ind w:left="0" w:firstLine="480"/>
        <w:jc w:val="left"/>
        <w:rPr>
          <w:bCs/>
          <w:color w:val="auto"/>
          <w:sz w:val="24"/>
          <w:szCs w:val="22"/>
          <w:highlight w:val="none"/>
        </w:rPr>
      </w:pPr>
      <w:r>
        <w:rPr>
          <w:bCs/>
          <w:color w:val="auto"/>
          <w:sz w:val="24"/>
          <w:szCs w:val="22"/>
          <w:highlight w:val="none"/>
        </w:rPr>
        <w:t>应进行削弱或消除热桥的专项设计，保温层应连续，热桥内表面温度应高于房间空气露点温度。</w:t>
      </w:r>
    </w:p>
    <w:p w14:paraId="7C1B6331">
      <w:pPr>
        <w:pStyle w:val="27"/>
        <w:numPr>
          <w:ilvl w:val="0"/>
          <w:numId w:val="10"/>
        </w:numPr>
        <w:spacing w:line="360" w:lineRule="auto"/>
        <w:ind w:left="0" w:firstLine="480"/>
        <w:rPr>
          <w:bCs/>
          <w:color w:val="auto"/>
          <w:sz w:val="24"/>
          <w:szCs w:val="22"/>
          <w:highlight w:val="none"/>
        </w:rPr>
      </w:pPr>
      <w:r>
        <w:rPr>
          <w:bCs/>
          <w:color w:val="auto"/>
          <w:sz w:val="24"/>
          <w:szCs w:val="24"/>
          <w:highlight w:val="none"/>
        </w:rPr>
        <w:t>套装双真空保温隔热板外墙保温系统</w:t>
      </w:r>
      <w:r>
        <w:rPr>
          <w:bCs/>
          <w:color w:val="auto"/>
          <w:sz w:val="24"/>
          <w:szCs w:val="22"/>
          <w:highlight w:val="none"/>
        </w:rPr>
        <w:t>应考虑金属锚固件、承托件热桥的影响。</w:t>
      </w:r>
    </w:p>
    <w:p w14:paraId="6BAD7DF4">
      <w:pPr>
        <w:pStyle w:val="27"/>
        <w:numPr>
          <w:ilvl w:val="0"/>
          <w:numId w:val="10"/>
        </w:numPr>
        <w:spacing w:line="360" w:lineRule="auto"/>
        <w:ind w:left="0" w:firstLine="480"/>
        <w:rPr>
          <w:bCs/>
          <w:color w:val="auto"/>
          <w:sz w:val="24"/>
          <w:szCs w:val="22"/>
          <w:highlight w:val="none"/>
        </w:rPr>
      </w:pPr>
      <w:r>
        <w:rPr>
          <w:bCs/>
          <w:color w:val="auto"/>
          <w:sz w:val="24"/>
          <w:szCs w:val="22"/>
          <w:highlight w:val="none"/>
        </w:rPr>
        <w:t>外墙内部有可能出现冷凝时，应进行冷凝验算。经内部冷凝受潮验算有冷凝风险时，应设置隔汽层。</w:t>
      </w:r>
    </w:p>
    <w:p w14:paraId="617BDDB3">
      <w:pPr>
        <w:spacing w:line="360" w:lineRule="auto"/>
        <w:rPr>
          <w:bCs/>
          <w:color w:val="auto"/>
          <w:sz w:val="24"/>
          <w:szCs w:val="22"/>
          <w:highlight w:val="none"/>
        </w:rPr>
      </w:pPr>
      <w:r>
        <w:rPr>
          <w:rFonts w:hint="eastAsia" w:ascii="仿宋_GB2312" w:eastAsia="仿宋_GB2312"/>
          <w:color w:val="auto"/>
          <w:sz w:val="24"/>
          <w:highlight w:val="none"/>
        </w:rPr>
        <w:t>【条文说明】5</w:t>
      </w:r>
      <w:r>
        <w:rPr>
          <w:rFonts w:ascii="仿宋_GB2312" w:eastAsia="仿宋_GB2312"/>
          <w:color w:val="auto"/>
          <w:sz w:val="24"/>
          <w:highlight w:val="none"/>
        </w:rPr>
        <w:t xml:space="preserve">.1.4  </w:t>
      </w:r>
      <w:r>
        <w:rPr>
          <w:rFonts w:hint="eastAsia" w:ascii="仿宋_GB2312" w:eastAsia="仿宋_GB2312"/>
          <w:color w:val="auto"/>
          <w:sz w:val="24"/>
          <w:highlight w:val="none"/>
        </w:rPr>
        <w:t>套装双真空保温隔热板外保温系统及其基层墙体组成的复合墙体的热工性能应符合现行国家标准《民用建筑热工设计规范》GB50176的要求。保温装饰板系统板块间存在板缝，且在板缝内安装有锚固组件和层间角型承托架，节能设计应考虑板缝和连接构件的热桥影响，还应防止系统结露破坏。</w:t>
      </w:r>
    </w:p>
    <w:p w14:paraId="28CA8022">
      <w:pPr>
        <w:pStyle w:val="27"/>
        <w:numPr>
          <w:ilvl w:val="2"/>
          <w:numId w:val="2"/>
        </w:numPr>
        <w:spacing w:line="360" w:lineRule="auto"/>
        <w:ind w:left="0" w:firstLine="0" w:firstLineChars="0"/>
        <w:jc w:val="left"/>
        <w:outlineLvl w:val="2"/>
        <w:rPr>
          <w:bCs/>
          <w:color w:val="auto"/>
          <w:sz w:val="24"/>
          <w:szCs w:val="22"/>
          <w:highlight w:val="none"/>
        </w:rPr>
      </w:pPr>
      <w:r>
        <w:rPr>
          <w:bCs/>
          <w:color w:val="auto"/>
          <w:sz w:val="24"/>
          <w:szCs w:val="24"/>
          <w:highlight w:val="none"/>
        </w:rPr>
        <w:t>套装双真空保温隔热板外保温系统用锚栓锚入钢筋混凝土墙体的有效深度不应小于</w:t>
      </w:r>
      <w:r>
        <w:rPr>
          <w:rFonts w:hint="eastAsia"/>
          <w:bCs/>
          <w:color w:val="auto"/>
          <w:sz w:val="24"/>
          <w:szCs w:val="24"/>
          <w:highlight w:val="none"/>
          <w:lang w:val="en-US" w:eastAsia="zh-CN"/>
        </w:rPr>
        <w:t>35</w:t>
      </w:r>
      <w:r>
        <w:rPr>
          <w:bCs/>
          <w:color w:val="auto"/>
          <w:sz w:val="24"/>
          <w:szCs w:val="24"/>
          <w:highlight w:val="none"/>
        </w:rPr>
        <w:t>mm，锚入其他</w:t>
      </w:r>
      <w:r>
        <w:rPr>
          <w:rFonts w:hint="eastAsia"/>
          <w:bCs/>
          <w:color w:val="auto"/>
          <w:sz w:val="24"/>
          <w:szCs w:val="24"/>
          <w:highlight w:val="none"/>
          <w:lang w:val="en-US" w:eastAsia="zh-CN"/>
        </w:rPr>
        <w:t>基层墙体</w:t>
      </w:r>
      <w:r>
        <w:rPr>
          <w:bCs/>
          <w:color w:val="auto"/>
          <w:sz w:val="24"/>
          <w:szCs w:val="24"/>
          <w:highlight w:val="none"/>
        </w:rPr>
        <w:t>的有效锚固深度不应小于50mm；对于空心砌块、多孔砖等砌体应采用回拧打结型锚栓。</w:t>
      </w:r>
    </w:p>
    <w:p w14:paraId="48FA8402">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套装双真空保温隔热板外保温系统</w:t>
      </w:r>
      <w:r>
        <w:rPr>
          <w:rFonts w:hint="eastAsia"/>
          <w:bCs/>
          <w:color w:val="auto"/>
          <w:sz w:val="24"/>
          <w:szCs w:val="24"/>
          <w:highlight w:val="none"/>
        </w:rPr>
        <w:t>防水设计应符合现行国家标准《建筑与市政工程防水通用规范》GB 55030和《建筑外墙防水工程技术规程》JGJ/T 235的有关规定。</w:t>
      </w:r>
    </w:p>
    <w:p w14:paraId="7C4D1970">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外门窗洞口部位的构造设计应符合下列规定：</w:t>
      </w:r>
    </w:p>
    <w:p w14:paraId="22246D45">
      <w:pPr>
        <w:pStyle w:val="27"/>
        <w:numPr>
          <w:ilvl w:val="0"/>
          <w:numId w:val="11"/>
        </w:numPr>
        <w:spacing w:line="360" w:lineRule="auto"/>
        <w:ind w:firstLineChars="0"/>
        <w:rPr>
          <w:bCs/>
          <w:color w:val="auto"/>
          <w:sz w:val="24"/>
          <w:szCs w:val="24"/>
          <w:highlight w:val="none"/>
        </w:rPr>
      </w:pPr>
      <w:bookmarkStart w:id="35" w:name="_Hlk140849545"/>
      <w:r>
        <w:rPr>
          <w:bCs/>
          <w:color w:val="auto"/>
          <w:sz w:val="24"/>
          <w:szCs w:val="24"/>
          <w:highlight w:val="none"/>
        </w:rPr>
        <w:t>门窗洞口上檐口应做滴水处理；</w:t>
      </w:r>
    </w:p>
    <w:p w14:paraId="7C91D09C">
      <w:pPr>
        <w:pStyle w:val="27"/>
        <w:numPr>
          <w:ilvl w:val="0"/>
          <w:numId w:val="11"/>
        </w:numPr>
        <w:spacing w:line="360" w:lineRule="auto"/>
        <w:ind w:left="0" w:firstLine="480"/>
        <w:rPr>
          <w:bCs/>
          <w:color w:val="auto"/>
          <w:sz w:val="24"/>
          <w:szCs w:val="24"/>
          <w:highlight w:val="none"/>
        </w:rPr>
      </w:pPr>
      <w:r>
        <w:rPr>
          <w:bCs/>
          <w:color w:val="auto"/>
          <w:sz w:val="24"/>
          <w:szCs w:val="24"/>
          <w:highlight w:val="none"/>
        </w:rPr>
        <w:t>门窗洞口侧边等热桥部位可选用套装双真空保温隔热板或套装双真空保温隔热装饰板，也可选用保温浆料处理；</w:t>
      </w:r>
    </w:p>
    <w:p w14:paraId="057D7808">
      <w:pPr>
        <w:pStyle w:val="27"/>
        <w:numPr>
          <w:ilvl w:val="0"/>
          <w:numId w:val="11"/>
        </w:numPr>
        <w:spacing w:line="360" w:lineRule="auto"/>
        <w:ind w:left="0" w:firstLine="480"/>
        <w:rPr>
          <w:bCs/>
          <w:color w:val="auto"/>
          <w:sz w:val="24"/>
          <w:szCs w:val="24"/>
          <w:highlight w:val="none"/>
        </w:rPr>
      </w:pPr>
      <w:r>
        <w:rPr>
          <w:bCs/>
          <w:color w:val="auto"/>
          <w:sz w:val="24"/>
          <w:szCs w:val="24"/>
          <w:highlight w:val="none"/>
        </w:rPr>
        <w:t>窗台水平部位宜安装披水板，并应设置排水构造，排水坡度不应小于 5%；</w:t>
      </w:r>
    </w:p>
    <w:p w14:paraId="0502F42E">
      <w:pPr>
        <w:pStyle w:val="27"/>
        <w:numPr>
          <w:ilvl w:val="0"/>
          <w:numId w:val="11"/>
        </w:numPr>
        <w:spacing w:line="360" w:lineRule="auto"/>
        <w:ind w:left="0" w:firstLine="480"/>
        <w:rPr>
          <w:bCs/>
          <w:color w:val="auto"/>
          <w:sz w:val="24"/>
          <w:szCs w:val="24"/>
          <w:highlight w:val="none"/>
        </w:rPr>
      </w:pPr>
      <w:r>
        <w:rPr>
          <w:bCs/>
          <w:color w:val="auto"/>
          <w:sz w:val="24"/>
          <w:szCs w:val="24"/>
          <w:highlight w:val="none"/>
        </w:rPr>
        <w:t>门窗洞口侧边等部位应做好密封和防水构造设计；</w:t>
      </w:r>
    </w:p>
    <w:p w14:paraId="793A3DEA">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窗台部位应采取防踩踏破坏的措施。</w:t>
      </w:r>
      <w:bookmarkEnd w:id="35"/>
    </w:p>
    <w:p w14:paraId="512D45E8">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女儿墙部位的构造设计应符合下列规定：</w:t>
      </w:r>
    </w:p>
    <w:p w14:paraId="1E3ACDAD">
      <w:pPr>
        <w:pStyle w:val="27"/>
        <w:numPr>
          <w:ilvl w:val="0"/>
          <w:numId w:val="12"/>
        </w:numPr>
        <w:spacing w:line="360" w:lineRule="auto"/>
        <w:ind w:left="0" w:firstLine="480"/>
        <w:rPr>
          <w:bCs/>
          <w:color w:val="auto"/>
          <w:sz w:val="24"/>
          <w:szCs w:val="24"/>
          <w:highlight w:val="none"/>
        </w:rPr>
      </w:pPr>
      <w:r>
        <w:rPr>
          <w:bCs/>
          <w:color w:val="auto"/>
          <w:sz w:val="24"/>
          <w:szCs w:val="24"/>
          <w:highlight w:val="none"/>
        </w:rPr>
        <w:t>女儿墙顶面应设置金属盖板或混凝土压顶板，顶面应向屋面一侧排水，坡度不应小于5%。压顶内侧下端应做滴水；</w:t>
      </w:r>
    </w:p>
    <w:p w14:paraId="249F0980">
      <w:pPr>
        <w:pStyle w:val="27"/>
        <w:numPr>
          <w:ilvl w:val="0"/>
          <w:numId w:val="12"/>
        </w:numPr>
        <w:spacing w:line="360" w:lineRule="auto"/>
        <w:ind w:left="0" w:firstLine="480"/>
        <w:rPr>
          <w:bCs/>
          <w:color w:val="auto"/>
          <w:sz w:val="24"/>
          <w:szCs w:val="24"/>
          <w:highlight w:val="none"/>
        </w:rPr>
      </w:pPr>
      <w:r>
        <w:rPr>
          <w:bCs/>
          <w:color w:val="auto"/>
          <w:sz w:val="24"/>
          <w:szCs w:val="24"/>
          <w:highlight w:val="none"/>
        </w:rPr>
        <w:t>女儿墙外保温与屋面交接部位应做密封及防水处理；</w:t>
      </w:r>
    </w:p>
    <w:p w14:paraId="2DDE9061">
      <w:pPr>
        <w:pStyle w:val="27"/>
        <w:numPr>
          <w:ilvl w:val="0"/>
          <w:numId w:val="12"/>
        </w:numPr>
        <w:spacing w:line="360" w:lineRule="auto"/>
        <w:ind w:left="0" w:firstLine="480"/>
        <w:rPr>
          <w:bCs/>
          <w:color w:val="auto"/>
          <w:sz w:val="24"/>
          <w:szCs w:val="24"/>
          <w:highlight w:val="none"/>
        </w:rPr>
      </w:pPr>
      <w:r>
        <w:rPr>
          <w:bCs/>
          <w:color w:val="auto"/>
          <w:sz w:val="24"/>
          <w:szCs w:val="24"/>
          <w:highlight w:val="none"/>
        </w:rPr>
        <w:t>避雷针等穿孔部位套装双真空保温隔热板或套装双真空保温隔热装饰板粘贴时，粘结砂浆应填实，</w:t>
      </w:r>
      <w:r>
        <w:rPr>
          <w:rFonts w:hint="eastAsia"/>
          <w:bCs/>
          <w:color w:val="auto"/>
          <w:sz w:val="24"/>
          <w:szCs w:val="24"/>
          <w:highlight w:val="none"/>
          <w:lang w:val="en-US" w:eastAsia="zh-CN"/>
        </w:rPr>
        <w:t>且缝隙处应</w:t>
      </w:r>
      <w:r>
        <w:rPr>
          <w:bCs/>
          <w:color w:val="auto"/>
          <w:sz w:val="24"/>
          <w:szCs w:val="24"/>
          <w:highlight w:val="none"/>
        </w:rPr>
        <w:t>密封处理。</w:t>
      </w:r>
    </w:p>
    <w:p w14:paraId="7BE14FFF">
      <w:pPr>
        <w:spacing w:line="360" w:lineRule="auto"/>
        <w:rPr>
          <w:bCs/>
          <w:color w:val="auto"/>
          <w:sz w:val="24"/>
          <w:szCs w:val="24"/>
          <w:highlight w:val="none"/>
        </w:rPr>
      </w:pPr>
      <w:r>
        <w:rPr>
          <w:rFonts w:hint="eastAsia" w:ascii="仿宋_GB2312" w:eastAsia="仿宋_GB2312"/>
          <w:color w:val="auto"/>
          <w:sz w:val="24"/>
          <w:highlight w:val="none"/>
        </w:rPr>
        <w:t>【条文说明】5</w:t>
      </w:r>
      <w:r>
        <w:rPr>
          <w:rFonts w:ascii="仿宋_GB2312" w:eastAsia="仿宋_GB2312"/>
          <w:color w:val="auto"/>
          <w:sz w:val="24"/>
          <w:highlight w:val="none"/>
        </w:rPr>
        <w:t xml:space="preserve">.1.9  </w:t>
      </w:r>
      <w:r>
        <w:rPr>
          <w:rFonts w:hint="eastAsia" w:ascii="仿宋_GB2312" w:eastAsia="仿宋_GB2312"/>
          <w:color w:val="auto"/>
          <w:sz w:val="24"/>
          <w:highlight w:val="none"/>
        </w:rPr>
        <w:t>女儿墙处的压顶建议采用金属盖板进行处理，以保证其完整性，防止使用过程中由于压顶处渗水导致保温系统的渗漏问题。</w:t>
      </w:r>
    </w:p>
    <w:p w14:paraId="5B3732F4">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变形缝部位的套装双真空保温隔热板外保温系统构造应符合下列规定：</w:t>
      </w:r>
    </w:p>
    <w:p w14:paraId="4AB3820D">
      <w:pPr>
        <w:pStyle w:val="27"/>
        <w:numPr>
          <w:ilvl w:val="0"/>
          <w:numId w:val="13"/>
        </w:numPr>
        <w:spacing w:line="360" w:lineRule="auto"/>
        <w:ind w:left="0" w:firstLine="480"/>
        <w:rPr>
          <w:bCs/>
          <w:color w:val="auto"/>
          <w:sz w:val="24"/>
          <w:szCs w:val="24"/>
          <w:highlight w:val="none"/>
        </w:rPr>
      </w:pPr>
      <w:r>
        <w:rPr>
          <w:bCs/>
          <w:color w:val="auto"/>
          <w:sz w:val="24"/>
          <w:szCs w:val="24"/>
          <w:highlight w:val="none"/>
        </w:rPr>
        <w:t>套装双真空保温隔热板外保温系统不应覆盖变形缝，并应做好防水、密封和保温构造处理；</w:t>
      </w:r>
    </w:p>
    <w:p w14:paraId="57393CE2">
      <w:pPr>
        <w:pStyle w:val="27"/>
        <w:numPr>
          <w:ilvl w:val="0"/>
          <w:numId w:val="13"/>
        </w:numPr>
        <w:spacing w:line="360" w:lineRule="auto"/>
        <w:ind w:left="0" w:firstLine="480"/>
        <w:rPr>
          <w:bCs/>
          <w:color w:val="auto"/>
          <w:sz w:val="24"/>
          <w:szCs w:val="24"/>
          <w:highlight w:val="none"/>
        </w:rPr>
      </w:pPr>
      <w:r>
        <w:rPr>
          <w:bCs/>
          <w:color w:val="auto"/>
          <w:sz w:val="24"/>
          <w:szCs w:val="24"/>
          <w:highlight w:val="none"/>
        </w:rPr>
        <w:t>变形缝处应填充保温材料，填塞深度应大于缝宽的3倍；</w:t>
      </w:r>
    </w:p>
    <w:p w14:paraId="02A9B95C">
      <w:pPr>
        <w:pStyle w:val="27"/>
        <w:numPr>
          <w:ilvl w:val="0"/>
          <w:numId w:val="13"/>
        </w:numPr>
        <w:spacing w:line="360" w:lineRule="auto"/>
        <w:ind w:left="0" w:firstLine="480"/>
        <w:rPr>
          <w:bCs/>
          <w:color w:val="auto"/>
          <w:sz w:val="24"/>
          <w:szCs w:val="24"/>
          <w:highlight w:val="none"/>
        </w:rPr>
      </w:pPr>
      <w:r>
        <w:rPr>
          <w:bCs/>
          <w:color w:val="auto"/>
          <w:sz w:val="24"/>
          <w:szCs w:val="24"/>
          <w:highlight w:val="none"/>
        </w:rPr>
        <w:t>应采用金属盖缝板，宜采用铝板或不锈钢板，对变形缝应进行封盖处理；</w:t>
      </w:r>
    </w:p>
    <w:p w14:paraId="344521A4">
      <w:pPr>
        <w:pStyle w:val="27"/>
        <w:numPr>
          <w:ilvl w:val="0"/>
          <w:numId w:val="13"/>
        </w:numPr>
        <w:spacing w:line="360" w:lineRule="auto"/>
        <w:ind w:left="0" w:firstLine="480"/>
        <w:rPr>
          <w:bCs/>
          <w:color w:val="auto"/>
          <w:sz w:val="24"/>
          <w:szCs w:val="24"/>
          <w:highlight w:val="none"/>
        </w:rPr>
      </w:pPr>
      <w:r>
        <w:rPr>
          <w:bCs/>
          <w:color w:val="auto"/>
          <w:sz w:val="24"/>
          <w:szCs w:val="24"/>
          <w:highlight w:val="none"/>
        </w:rPr>
        <w:t>金属盖缝板固定件应与系统用锚栓或锚固组件错开。</w:t>
      </w:r>
    </w:p>
    <w:p w14:paraId="42D82D8B">
      <w:pPr>
        <w:spacing w:line="360" w:lineRule="auto"/>
        <w:rPr>
          <w:bCs/>
          <w:color w:val="auto"/>
          <w:sz w:val="24"/>
          <w:szCs w:val="24"/>
          <w:highlight w:val="none"/>
        </w:rPr>
      </w:pPr>
      <w:r>
        <w:rPr>
          <w:rFonts w:hint="eastAsia" w:ascii="仿宋_GB2312" w:eastAsia="仿宋_GB2312"/>
          <w:color w:val="auto"/>
          <w:sz w:val="24"/>
          <w:highlight w:val="none"/>
        </w:rPr>
        <w:t>【条文说明】5</w:t>
      </w:r>
      <w:r>
        <w:rPr>
          <w:rFonts w:ascii="仿宋_GB2312" w:eastAsia="仿宋_GB2312"/>
          <w:color w:val="auto"/>
          <w:sz w:val="24"/>
          <w:highlight w:val="none"/>
        </w:rPr>
        <w:t xml:space="preserve">.1.10  </w:t>
      </w:r>
      <w:r>
        <w:rPr>
          <w:rFonts w:hint="eastAsia" w:ascii="仿宋_GB2312" w:eastAsia="仿宋_GB2312"/>
          <w:color w:val="auto"/>
          <w:sz w:val="24"/>
          <w:highlight w:val="none"/>
        </w:rPr>
        <w:t>变形缝部位应采用防水渗透处理措施，同时填充保温材料，消除该部位处的热桥效应。</w:t>
      </w:r>
    </w:p>
    <w:p w14:paraId="47FB25C0">
      <w:pPr>
        <w:pStyle w:val="27"/>
        <w:numPr>
          <w:ilvl w:val="1"/>
          <w:numId w:val="2"/>
        </w:numPr>
        <w:ind w:left="567" w:firstLineChars="0"/>
        <w:jc w:val="center"/>
        <w:outlineLvl w:val="1"/>
        <w:rPr>
          <w:b/>
          <w:bCs w:val="0"/>
          <w:color w:val="auto"/>
          <w:sz w:val="28"/>
          <w:szCs w:val="24"/>
          <w:highlight w:val="none"/>
        </w:rPr>
      </w:pPr>
      <w:bookmarkStart w:id="36" w:name="_Toc141875142"/>
      <w:bookmarkStart w:id="37" w:name="_Toc26051"/>
      <w:r>
        <w:rPr>
          <w:rFonts w:hint="eastAsia"/>
          <w:b/>
          <w:bCs w:val="0"/>
          <w:color w:val="auto"/>
          <w:sz w:val="28"/>
          <w:szCs w:val="24"/>
          <w:highlight w:val="none"/>
        </w:rPr>
        <w:t>抗风荷载设计</w:t>
      </w:r>
      <w:bookmarkEnd w:id="36"/>
      <w:bookmarkEnd w:id="37"/>
    </w:p>
    <w:p w14:paraId="0395E35A">
      <w:pPr>
        <w:pStyle w:val="27"/>
        <w:numPr>
          <w:ilvl w:val="2"/>
          <w:numId w:val="2"/>
        </w:numPr>
        <w:spacing w:line="360" w:lineRule="auto"/>
        <w:ind w:left="0" w:firstLine="0" w:firstLineChars="0"/>
        <w:jc w:val="left"/>
        <w:outlineLvl w:val="2"/>
        <w:rPr>
          <w:bCs/>
          <w:color w:val="auto"/>
          <w:sz w:val="24"/>
          <w:szCs w:val="22"/>
          <w:highlight w:val="none"/>
        </w:rPr>
      </w:pPr>
      <w:r>
        <w:rPr>
          <w:bCs/>
          <w:color w:val="auto"/>
          <w:sz w:val="24"/>
          <w:szCs w:val="22"/>
          <w:highlight w:val="none"/>
        </w:rPr>
        <w:t>套装双真空保温隔热板外墙外保温系统的结构分析、承载力计算、变形验算及构造要求除应符合本规程的规定外，尚应符合国家现行标准《建筑结构荷载规范》GB 50009、《混凝土结构设计规范》</w:t>
      </w:r>
      <w:r>
        <w:rPr>
          <w:rFonts w:hint="eastAsia"/>
          <w:bCs/>
          <w:color w:val="auto"/>
          <w:sz w:val="24"/>
          <w:szCs w:val="22"/>
          <w:highlight w:val="none"/>
          <w:lang w:eastAsia="zh-CN"/>
        </w:rPr>
        <w:t>GB 50010-</w:t>
      </w:r>
      <w:r>
        <w:rPr>
          <w:bCs/>
          <w:color w:val="auto"/>
          <w:sz w:val="24"/>
          <w:szCs w:val="22"/>
          <w:highlight w:val="none"/>
        </w:rPr>
        <w:t>和《建筑抗震设计规范》GB 50011</w:t>
      </w:r>
      <w:r>
        <w:rPr>
          <w:rFonts w:hint="eastAsia"/>
          <w:bCs/>
          <w:color w:val="auto"/>
          <w:sz w:val="24"/>
          <w:szCs w:val="22"/>
          <w:highlight w:val="none"/>
        </w:rPr>
        <w:t>的有关规定</w:t>
      </w:r>
      <w:r>
        <w:rPr>
          <w:bCs/>
          <w:color w:val="auto"/>
          <w:sz w:val="24"/>
          <w:szCs w:val="22"/>
          <w:highlight w:val="none"/>
        </w:rPr>
        <w:t>。</w:t>
      </w:r>
    </w:p>
    <w:p w14:paraId="396EB862">
      <w:pPr>
        <w:pStyle w:val="27"/>
        <w:numPr>
          <w:ilvl w:val="2"/>
          <w:numId w:val="2"/>
        </w:numPr>
        <w:spacing w:line="360" w:lineRule="auto"/>
        <w:ind w:left="0" w:firstLine="0" w:firstLineChars="0"/>
        <w:jc w:val="left"/>
        <w:outlineLvl w:val="2"/>
        <w:rPr>
          <w:bCs/>
          <w:color w:val="auto"/>
          <w:sz w:val="24"/>
          <w:szCs w:val="22"/>
          <w:highlight w:val="none"/>
        </w:rPr>
      </w:pPr>
      <w:r>
        <w:rPr>
          <w:bCs/>
          <w:color w:val="auto"/>
          <w:sz w:val="24"/>
          <w:szCs w:val="22"/>
          <w:highlight w:val="none"/>
        </w:rPr>
        <w:t>套装双真空保温隔热板外墙外保温系统应进行风荷载作用下承载能力极限状态验算，其中风荷载作用下效应设计值应按下式计算：</w:t>
      </w:r>
    </w:p>
    <w:p w14:paraId="272716A7">
      <w:pPr>
        <w:pStyle w:val="27"/>
        <w:spacing w:line="360" w:lineRule="auto"/>
        <w:ind w:firstLine="0" w:firstLineChars="0"/>
        <w:jc w:val="right"/>
        <w:rPr>
          <w:bCs/>
          <w:color w:val="auto"/>
          <w:sz w:val="24"/>
          <w:szCs w:val="22"/>
          <w:highlight w:val="none"/>
        </w:rPr>
      </w:pPr>
      <w:r>
        <w:rPr>
          <w:color w:val="auto"/>
          <w:position w:val="-10"/>
          <w:highlight w:val="none"/>
        </w:rPr>
        <w:object>
          <v:shape id="_x0000_i1033" o:spt="75" type="#_x0000_t75" style="height:15pt;width:46.8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r>
        <w:rPr>
          <w:color w:val="auto"/>
          <w:highlight w:val="none"/>
        </w:rPr>
        <w:t xml:space="preserve">    </w:t>
      </w:r>
      <w:r>
        <w:rPr>
          <w:bCs/>
          <w:color w:val="auto"/>
          <w:sz w:val="24"/>
          <w:szCs w:val="22"/>
          <w:highlight w:val="none"/>
        </w:rPr>
        <w:t xml:space="preserve">                    （5.2.2）</w:t>
      </w:r>
    </w:p>
    <w:tbl>
      <w:tblPr>
        <w:tblStyle w:val="18"/>
        <w:tblW w:w="7650" w:type="dxa"/>
        <w:tblInd w:w="851" w:type="dxa"/>
        <w:tblLayout w:type="fixed"/>
        <w:tblCellMar>
          <w:top w:w="0" w:type="dxa"/>
          <w:left w:w="0" w:type="dxa"/>
          <w:bottom w:w="0" w:type="dxa"/>
          <w:right w:w="0" w:type="dxa"/>
        </w:tblCellMar>
      </w:tblPr>
      <w:tblGrid>
        <w:gridCol w:w="849"/>
        <w:gridCol w:w="415"/>
        <w:gridCol w:w="322"/>
        <w:gridCol w:w="6064"/>
      </w:tblGrid>
      <w:tr w14:paraId="11175BBF">
        <w:tblPrEx>
          <w:tblCellMar>
            <w:top w:w="0" w:type="dxa"/>
            <w:left w:w="0" w:type="dxa"/>
            <w:bottom w:w="0" w:type="dxa"/>
            <w:right w:w="0" w:type="dxa"/>
          </w:tblCellMar>
        </w:tblPrEx>
        <w:tc>
          <w:tcPr>
            <w:tcW w:w="849" w:type="dxa"/>
          </w:tcPr>
          <w:p w14:paraId="0FADC5AC">
            <w:pPr>
              <w:spacing w:line="360" w:lineRule="auto"/>
              <w:rPr>
                <w:color w:val="auto"/>
                <w:sz w:val="24"/>
                <w:szCs w:val="24"/>
                <w:highlight w:val="none"/>
              </w:rPr>
            </w:pPr>
            <w:r>
              <w:rPr>
                <w:color w:val="auto"/>
                <w:sz w:val="24"/>
                <w:szCs w:val="24"/>
                <w:highlight w:val="none"/>
              </w:rPr>
              <w:t>式中：</w:t>
            </w:r>
          </w:p>
        </w:tc>
        <w:tc>
          <w:tcPr>
            <w:tcW w:w="415" w:type="dxa"/>
          </w:tcPr>
          <w:p w14:paraId="1C7611A0">
            <w:pPr>
              <w:spacing w:line="360" w:lineRule="auto"/>
              <w:rPr>
                <w:color w:val="auto"/>
                <w:sz w:val="24"/>
                <w:szCs w:val="24"/>
                <w:highlight w:val="none"/>
              </w:rPr>
            </w:pPr>
            <w:bookmarkStart w:id="38" w:name="MTBlankEqn"/>
            <w:r>
              <w:rPr>
                <w:color w:val="auto"/>
                <w:position w:val="-10"/>
                <w:highlight w:val="none"/>
              </w:rPr>
              <w:object>
                <v:shape id="_x0000_i1034" o:spt="75" type="#_x0000_t75" style="height:15pt;width:16.8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bookmarkEnd w:id="38"/>
            <w:r>
              <w:rPr>
                <w:color w:val="auto"/>
                <w:sz w:val="24"/>
                <w:szCs w:val="24"/>
                <w:highlight w:val="none"/>
              </w:rPr>
              <w:t xml:space="preserve"> </w:t>
            </w:r>
          </w:p>
        </w:tc>
        <w:tc>
          <w:tcPr>
            <w:tcW w:w="322" w:type="dxa"/>
          </w:tcPr>
          <w:p w14:paraId="16788E83">
            <w:pPr>
              <w:spacing w:line="360" w:lineRule="auto"/>
              <w:rPr>
                <w:color w:val="auto"/>
                <w:sz w:val="24"/>
                <w:szCs w:val="24"/>
                <w:highlight w:val="none"/>
              </w:rPr>
            </w:pPr>
            <w:r>
              <w:rPr>
                <w:color w:val="auto"/>
                <w:sz w:val="24"/>
                <w:szCs w:val="24"/>
                <w:highlight w:val="none"/>
              </w:rPr>
              <w:t>—</w:t>
            </w:r>
          </w:p>
        </w:tc>
        <w:tc>
          <w:tcPr>
            <w:tcW w:w="6064" w:type="dxa"/>
          </w:tcPr>
          <w:p w14:paraId="70D5A7BD">
            <w:pPr>
              <w:spacing w:line="360" w:lineRule="auto"/>
              <w:rPr>
                <w:color w:val="auto"/>
                <w:sz w:val="24"/>
                <w:szCs w:val="24"/>
                <w:highlight w:val="none"/>
              </w:rPr>
            </w:pPr>
            <w:r>
              <w:rPr>
                <w:bCs/>
                <w:color w:val="auto"/>
                <w:sz w:val="24"/>
                <w:szCs w:val="24"/>
                <w:highlight w:val="none"/>
              </w:rPr>
              <w:t>风荷载作用组合的效应设计值</w:t>
            </w:r>
            <w:r>
              <w:rPr>
                <w:color w:val="auto"/>
                <w:sz w:val="24"/>
                <w:szCs w:val="24"/>
                <w:highlight w:val="none"/>
              </w:rPr>
              <w:t>；</w:t>
            </w:r>
          </w:p>
        </w:tc>
      </w:tr>
      <w:tr w14:paraId="300E3C95">
        <w:tblPrEx>
          <w:tblCellMar>
            <w:top w:w="0" w:type="dxa"/>
            <w:left w:w="0" w:type="dxa"/>
            <w:bottom w:w="0" w:type="dxa"/>
            <w:right w:w="0" w:type="dxa"/>
          </w:tblCellMar>
        </w:tblPrEx>
        <w:tc>
          <w:tcPr>
            <w:tcW w:w="849" w:type="dxa"/>
          </w:tcPr>
          <w:p w14:paraId="774BBEEC">
            <w:pPr>
              <w:spacing w:line="360" w:lineRule="auto"/>
              <w:rPr>
                <w:color w:val="auto"/>
                <w:sz w:val="24"/>
                <w:szCs w:val="24"/>
                <w:highlight w:val="none"/>
              </w:rPr>
            </w:pPr>
          </w:p>
        </w:tc>
        <w:tc>
          <w:tcPr>
            <w:tcW w:w="415" w:type="dxa"/>
          </w:tcPr>
          <w:p w14:paraId="53E0BE96">
            <w:pPr>
              <w:spacing w:line="360" w:lineRule="auto"/>
              <w:rPr>
                <w:color w:val="auto"/>
                <w:highlight w:val="none"/>
              </w:rPr>
            </w:pPr>
            <w:r>
              <w:rPr>
                <w:color w:val="auto"/>
                <w:position w:val="-10"/>
                <w:sz w:val="24"/>
                <w:szCs w:val="24"/>
                <w:highlight w:val="none"/>
              </w:rPr>
              <w:object>
                <v:shape id="_x0000_i1035" o:spt="75" type="#_x0000_t75" style="height:15pt;width:16.8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p>
        </w:tc>
        <w:tc>
          <w:tcPr>
            <w:tcW w:w="322" w:type="dxa"/>
          </w:tcPr>
          <w:p w14:paraId="0183B3D4">
            <w:pPr>
              <w:spacing w:line="360" w:lineRule="auto"/>
              <w:rPr>
                <w:color w:val="auto"/>
                <w:sz w:val="24"/>
                <w:szCs w:val="24"/>
                <w:highlight w:val="none"/>
              </w:rPr>
            </w:pPr>
            <w:r>
              <w:rPr>
                <w:color w:val="auto"/>
                <w:sz w:val="24"/>
                <w:szCs w:val="24"/>
                <w:highlight w:val="none"/>
              </w:rPr>
              <w:t>—</w:t>
            </w:r>
          </w:p>
        </w:tc>
        <w:tc>
          <w:tcPr>
            <w:tcW w:w="6064" w:type="dxa"/>
          </w:tcPr>
          <w:p w14:paraId="1DF8DC0E">
            <w:pPr>
              <w:spacing w:line="360" w:lineRule="auto"/>
              <w:rPr>
                <w:bCs/>
                <w:color w:val="auto"/>
                <w:sz w:val="24"/>
                <w:szCs w:val="24"/>
                <w:highlight w:val="none"/>
              </w:rPr>
            </w:pPr>
            <w:r>
              <w:rPr>
                <w:color w:val="auto"/>
                <w:sz w:val="24"/>
                <w:szCs w:val="24"/>
                <w:highlight w:val="none"/>
              </w:rPr>
              <w:t>风荷载</w:t>
            </w:r>
            <w:r>
              <w:rPr>
                <w:bCs/>
                <w:color w:val="auto"/>
                <w:sz w:val="24"/>
                <w:szCs w:val="24"/>
                <w:highlight w:val="none"/>
              </w:rPr>
              <w:t>效应</w:t>
            </w:r>
            <w:r>
              <w:rPr>
                <w:color w:val="auto"/>
                <w:sz w:val="24"/>
                <w:szCs w:val="24"/>
                <w:highlight w:val="none"/>
              </w:rPr>
              <w:t>标准值；</w:t>
            </w:r>
          </w:p>
        </w:tc>
      </w:tr>
      <w:tr w14:paraId="09B414DD">
        <w:tblPrEx>
          <w:tblCellMar>
            <w:top w:w="0" w:type="dxa"/>
            <w:left w:w="0" w:type="dxa"/>
            <w:bottom w:w="0" w:type="dxa"/>
            <w:right w:w="0" w:type="dxa"/>
          </w:tblCellMar>
        </w:tblPrEx>
        <w:tc>
          <w:tcPr>
            <w:tcW w:w="849" w:type="dxa"/>
          </w:tcPr>
          <w:p w14:paraId="1C0F3923">
            <w:pPr>
              <w:spacing w:line="360" w:lineRule="auto"/>
              <w:rPr>
                <w:color w:val="auto"/>
                <w:sz w:val="24"/>
                <w:szCs w:val="24"/>
                <w:highlight w:val="none"/>
              </w:rPr>
            </w:pPr>
          </w:p>
        </w:tc>
        <w:tc>
          <w:tcPr>
            <w:tcW w:w="415" w:type="dxa"/>
          </w:tcPr>
          <w:p w14:paraId="31F9A8D7">
            <w:pPr>
              <w:spacing w:line="360" w:lineRule="auto"/>
              <w:rPr>
                <w:color w:val="auto"/>
                <w:sz w:val="24"/>
                <w:szCs w:val="24"/>
                <w:highlight w:val="none"/>
              </w:rPr>
            </w:pPr>
            <w:r>
              <w:rPr>
                <w:color w:val="auto"/>
                <w:position w:val="-10"/>
                <w:highlight w:val="none"/>
              </w:rPr>
              <w:object>
                <v:shape id="_x0000_i1036" o:spt="75" type="#_x0000_t75" style="height:15.6pt;width:15.6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p>
        </w:tc>
        <w:tc>
          <w:tcPr>
            <w:tcW w:w="322" w:type="dxa"/>
          </w:tcPr>
          <w:p w14:paraId="14DB3052">
            <w:pPr>
              <w:spacing w:line="360" w:lineRule="auto"/>
              <w:rPr>
                <w:color w:val="auto"/>
                <w:sz w:val="24"/>
                <w:szCs w:val="24"/>
                <w:highlight w:val="none"/>
              </w:rPr>
            </w:pPr>
            <w:r>
              <w:rPr>
                <w:color w:val="auto"/>
                <w:sz w:val="24"/>
                <w:szCs w:val="24"/>
                <w:highlight w:val="none"/>
              </w:rPr>
              <w:t>—</w:t>
            </w:r>
          </w:p>
        </w:tc>
        <w:tc>
          <w:tcPr>
            <w:tcW w:w="6064" w:type="dxa"/>
          </w:tcPr>
          <w:p w14:paraId="70CC0D64">
            <w:pPr>
              <w:spacing w:line="360" w:lineRule="auto"/>
              <w:rPr>
                <w:color w:val="auto"/>
                <w:sz w:val="24"/>
                <w:szCs w:val="24"/>
                <w:highlight w:val="none"/>
              </w:rPr>
            </w:pPr>
            <w:r>
              <w:rPr>
                <w:color w:val="auto"/>
                <w:sz w:val="24"/>
                <w:szCs w:val="24"/>
                <w:highlight w:val="none"/>
              </w:rPr>
              <w:t>风荷载分项系数，取1.5。</w:t>
            </w:r>
          </w:p>
        </w:tc>
      </w:tr>
    </w:tbl>
    <w:p w14:paraId="0D246331">
      <w:pPr>
        <w:pStyle w:val="27"/>
        <w:numPr>
          <w:ilvl w:val="2"/>
          <w:numId w:val="2"/>
        </w:numPr>
        <w:spacing w:line="360" w:lineRule="auto"/>
        <w:ind w:left="0" w:firstLine="0" w:firstLineChars="0"/>
        <w:jc w:val="left"/>
        <w:outlineLvl w:val="2"/>
        <w:rPr>
          <w:bCs/>
          <w:color w:val="auto"/>
          <w:sz w:val="24"/>
          <w:szCs w:val="22"/>
          <w:highlight w:val="none"/>
        </w:rPr>
      </w:pPr>
      <w:r>
        <w:rPr>
          <w:bCs/>
          <w:color w:val="auto"/>
          <w:sz w:val="24"/>
          <w:szCs w:val="22"/>
          <w:highlight w:val="none"/>
        </w:rPr>
        <w:t>套装双真空保温隔热板外墙外保温系统风荷载标准值应按下式计算</w:t>
      </w:r>
      <w:r>
        <w:rPr>
          <w:rFonts w:hint="eastAsia"/>
          <w:bCs/>
          <w:color w:val="auto"/>
          <w:sz w:val="24"/>
          <w:szCs w:val="22"/>
          <w:highlight w:val="none"/>
        </w:rPr>
        <w:t>：</w:t>
      </w:r>
    </w:p>
    <w:p w14:paraId="3B239087">
      <w:pPr>
        <w:spacing w:line="360" w:lineRule="auto"/>
        <w:jc w:val="right"/>
        <w:rPr>
          <w:color w:val="auto"/>
          <w:highlight w:val="none"/>
        </w:rPr>
      </w:pPr>
      <w:r>
        <w:rPr>
          <w:color w:val="auto"/>
          <w:position w:val="-16"/>
          <w:highlight w:val="none"/>
        </w:rPr>
        <w:object>
          <v:shape id="_x0000_i1037" o:spt="75" type="#_x0000_t75" style="height:21pt;width:85.8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color w:val="auto"/>
          <w:sz w:val="24"/>
          <w:highlight w:val="none"/>
        </w:rPr>
        <w:t xml:space="preserve">                  </w:t>
      </w:r>
      <w:r>
        <w:rPr>
          <w:color w:val="auto"/>
          <w:sz w:val="24"/>
          <w:szCs w:val="24"/>
          <w:highlight w:val="none"/>
        </w:rPr>
        <w:t xml:space="preserve"> （5.2.3）</w:t>
      </w:r>
    </w:p>
    <w:tbl>
      <w:tblPr>
        <w:tblStyle w:val="19"/>
        <w:tblW w:w="82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0"/>
        <w:gridCol w:w="6662"/>
      </w:tblGrid>
      <w:tr w14:paraId="744FF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14:paraId="43994BAD">
            <w:pPr>
              <w:spacing w:line="400" w:lineRule="exact"/>
              <w:jc w:val="right"/>
              <w:rPr>
                <w:bCs/>
                <w:color w:val="auto"/>
                <w:sz w:val="24"/>
                <w:szCs w:val="24"/>
                <w:highlight w:val="none"/>
              </w:rPr>
            </w:pPr>
            <w:r>
              <w:rPr>
                <w:bCs/>
                <w:color w:val="auto"/>
                <w:sz w:val="24"/>
                <w:szCs w:val="24"/>
                <w:highlight w:val="none"/>
              </w:rPr>
              <w:t>式中：</w:t>
            </w:r>
            <w:r>
              <w:rPr>
                <w:bCs/>
                <w:color w:val="auto"/>
                <w:sz w:val="24"/>
                <w:szCs w:val="24"/>
                <w:highlight w:val="none"/>
              </w:rPr>
              <w:object>
                <v:shape id="_x0000_i1038" o:spt="75" type="#_x0000_t75" style="height:18.6pt;width:18.6pt;" o:ole="t" filled="f" o:preferrelative="t" stroked="f" coordsize="21600,21600">
                  <v:path/>
                  <v:fill on="f" focussize="0,0"/>
                  <v:stroke on="f" joinstyle="miter"/>
                  <v:imagedata r:id="rId34" o:title=""/>
                  <o:lock v:ext="edit" aspectratio="t"/>
                  <w10:wrap type="none"/>
                  <w10:anchorlock/>
                </v:shape>
                <o:OLEObject Type="Embed" ProgID="Equation.3" ShapeID="_x0000_i1038" DrawAspect="Content" ObjectID="_1468075738" r:id="rId33">
                  <o:LockedField>false</o:LockedField>
                </o:OLEObject>
              </w:object>
            </w:r>
          </w:p>
        </w:tc>
        <w:tc>
          <w:tcPr>
            <w:tcW w:w="6662" w:type="dxa"/>
          </w:tcPr>
          <w:p w14:paraId="6D64C72B">
            <w:pPr>
              <w:spacing w:line="400" w:lineRule="exact"/>
              <w:rPr>
                <w:bCs/>
                <w:color w:val="auto"/>
                <w:sz w:val="24"/>
                <w:szCs w:val="24"/>
                <w:highlight w:val="none"/>
              </w:rPr>
            </w:pPr>
            <w:r>
              <w:rPr>
                <w:bCs/>
                <w:color w:val="auto"/>
                <w:sz w:val="24"/>
                <w:szCs w:val="24"/>
                <w:highlight w:val="none"/>
              </w:rPr>
              <w:t>——风荷载标准值（kN/m</w:t>
            </w:r>
            <w:r>
              <w:rPr>
                <w:bCs/>
                <w:color w:val="auto"/>
                <w:sz w:val="24"/>
                <w:szCs w:val="24"/>
                <w:highlight w:val="none"/>
                <w:vertAlign w:val="superscript"/>
              </w:rPr>
              <w:t>2</w:t>
            </w:r>
            <w:r>
              <w:rPr>
                <w:bCs/>
                <w:color w:val="auto"/>
                <w:sz w:val="24"/>
                <w:szCs w:val="24"/>
                <w:highlight w:val="none"/>
              </w:rPr>
              <w:t>）；</w:t>
            </w:r>
          </w:p>
        </w:tc>
      </w:tr>
      <w:tr w14:paraId="20ED7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14:paraId="4A14A4CA">
            <w:pPr>
              <w:spacing w:line="400" w:lineRule="exact"/>
              <w:jc w:val="right"/>
              <w:rPr>
                <w:bCs/>
                <w:color w:val="auto"/>
                <w:sz w:val="24"/>
                <w:szCs w:val="24"/>
                <w:highlight w:val="none"/>
              </w:rPr>
            </w:pPr>
            <w:r>
              <w:rPr>
                <w:bCs/>
                <w:color w:val="auto"/>
                <w:sz w:val="24"/>
                <w:szCs w:val="24"/>
                <w:highlight w:val="none"/>
              </w:rPr>
              <w:object>
                <v:shape id="_x0000_i1039" o:spt="75" type="#_x0000_t75" style="height:21.6pt;width:18.6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p>
        </w:tc>
        <w:tc>
          <w:tcPr>
            <w:tcW w:w="6662" w:type="dxa"/>
          </w:tcPr>
          <w:p w14:paraId="2017E002">
            <w:pPr>
              <w:spacing w:line="400" w:lineRule="exact"/>
              <w:ind w:left="480" w:hanging="480" w:hangingChars="200"/>
              <w:rPr>
                <w:bCs/>
                <w:color w:val="auto"/>
                <w:sz w:val="24"/>
                <w:szCs w:val="24"/>
                <w:highlight w:val="none"/>
              </w:rPr>
            </w:pPr>
            <w:r>
              <w:rPr>
                <w:bCs/>
                <w:color w:val="auto"/>
                <w:sz w:val="24"/>
                <w:szCs w:val="24"/>
                <w:highlight w:val="none"/>
              </w:rPr>
              <w:t>——高度z处的阵风系数，应按现行国家标准《建筑结构荷载规范》GB 50009取值；</w:t>
            </w:r>
          </w:p>
        </w:tc>
      </w:tr>
      <w:tr w14:paraId="15CE9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14:paraId="5A33629F">
            <w:pPr>
              <w:spacing w:line="400" w:lineRule="exact"/>
              <w:jc w:val="right"/>
              <w:rPr>
                <w:bCs/>
                <w:color w:val="auto"/>
                <w:sz w:val="24"/>
                <w:szCs w:val="24"/>
                <w:highlight w:val="none"/>
              </w:rPr>
            </w:pPr>
            <w:r>
              <w:rPr>
                <w:bCs/>
                <w:color w:val="auto"/>
                <w:sz w:val="24"/>
                <w:szCs w:val="24"/>
                <w:highlight w:val="none"/>
              </w:rPr>
              <w:object>
                <v:shape id="_x0000_i1040" o:spt="75" type="#_x0000_t75" style="height:18.6pt;width:18pt;" o:ole="t" filled="f" o:preferrelative="t" stroked="f" coordsize="21600,21600">
                  <v:path/>
                  <v:fill on="f" focussize="0,0"/>
                  <v:stroke on="f" joinstyle="miter"/>
                  <v:imagedata r:id="rId38" o:title=""/>
                  <o:lock v:ext="edit" aspectratio="t"/>
                  <w10:wrap type="none"/>
                  <w10:anchorlock/>
                </v:shape>
                <o:OLEObject Type="Embed" ProgID="Equation.3" ShapeID="_x0000_i1040" DrawAspect="Content" ObjectID="_1468075740" r:id="rId37">
                  <o:LockedField>false</o:LockedField>
                </o:OLEObject>
              </w:object>
            </w:r>
          </w:p>
        </w:tc>
        <w:tc>
          <w:tcPr>
            <w:tcW w:w="6662" w:type="dxa"/>
          </w:tcPr>
          <w:p w14:paraId="4C585EA3">
            <w:pPr>
              <w:spacing w:line="400" w:lineRule="exact"/>
              <w:ind w:left="480" w:hanging="480" w:hangingChars="200"/>
              <w:rPr>
                <w:bCs/>
                <w:color w:val="auto"/>
                <w:sz w:val="24"/>
                <w:szCs w:val="24"/>
                <w:highlight w:val="none"/>
              </w:rPr>
            </w:pPr>
            <w:r>
              <w:rPr>
                <w:bCs/>
                <w:color w:val="auto"/>
                <w:sz w:val="24"/>
                <w:szCs w:val="24"/>
                <w:highlight w:val="none"/>
              </w:rPr>
              <w:t>——风荷载局部体型系数，应按现行国家标准《建筑结构荷载规范》GB 50009取值，按表5.2.3取值；</w:t>
            </w:r>
          </w:p>
        </w:tc>
      </w:tr>
      <w:tr w14:paraId="7A0D4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14:paraId="4FBC82D4">
            <w:pPr>
              <w:spacing w:line="400" w:lineRule="exact"/>
              <w:jc w:val="right"/>
              <w:rPr>
                <w:bCs/>
                <w:color w:val="auto"/>
                <w:sz w:val="24"/>
                <w:szCs w:val="24"/>
                <w:highlight w:val="none"/>
              </w:rPr>
            </w:pPr>
            <w:r>
              <w:rPr>
                <w:bCs/>
                <w:color w:val="auto"/>
                <w:sz w:val="24"/>
                <w:szCs w:val="24"/>
                <w:highlight w:val="none"/>
              </w:rPr>
              <w:object>
                <v:shape id="_x0000_i1041" o:spt="75" type="#_x0000_t75" style="height:18.6pt;width:15.6pt;" o:ole="t" filled="f" o:preferrelative="t" stroked="f" coordsize="21600,21600">
                  <v:path/>
                  <v:fill on="f" focussize="0,0"/>
                  <v:stroke on="f" joinstyle="miter"/>
                  <v:imagedata r:id="rId40" o:title=""/>
                  <o:lock v:ext="edit" aspectratio="t"/>
                  <w10:wrap type="none"/>
                  <w10:anchorlock/>
                </v:shape>
                <o:OLEObject Type="Embed" ProgID="Equation.3" ShapeID="_x0000_i1041" DrawAspect="Content" ObjectID="_1468075741" r:id="rId39">
                  <o:LockedField>false</o:LockedField>
                </o:OLEObject>
              </w:object>
            </w:r>
          </w:p>
        </w:tc>
        <w:tc>
          <w:tcPr>
            <w:tcW w:w="6662" w:type="dxa"/>
          </w:tcPr>
          <w:p w14:paraId="40C2E64E">
            <w:pPr>
              <w:spacing w:line="400" w:lineRule="exact"/>
              <w:ind w:left="480" w:hanging="480" w:hangingChars="200"/>
              <w:rPr>
                <w:bCs/>
                <w:color w:val="auto"/>
                <w:sz w:val="24"/>
                <w:szCs w:val="24"/>
                <w:highlight w:val="none"/>
              </w:rPr>
            </w:pPr>
            <w:r>
              <w:rPr>
                <w:bCs/>
                <w:color w:val="auto"/>
                <w:sz w:val="24"/>
                <w:szCs w:val="24"/>
                <w:highlight w:val="none"/>
              </w:rPr>
              <w:t>——风压高度变化系数，应按现行国家标准《建筑结构荷载规范》GB 50009取值；建筑物高度一半及以上部位的离地面高度取建筑物离地面最大高度，建筑物高度一半以下部位取建筑物离地面最大高度的一半；建筑物高度指室外地面至建筑物主要屋面的高度，不包括突出屋面的电梯机房、水箱、构架等高度；</w:t>
            </w:r>
          </w:p>
        </w:tc>
      </w:tr>
      <w:tr w14:paraId="050C7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14:paraId="35B775BC">
            <w:pPr>
              <w:spacing w:line="400" w:lineRule="exact"/>
              <w:ind w:left="1" w:leftChars="-52" w:hanging="110" w:hangingChars="46"/>
              <w:jc w:val="right"/>
              <w:rPr>
                <w:bCs/>
                <w:color w:val="auto"/>
                <w:sz w:val="24"/>
                <w:szCs w:val="24"/>
                <w:highlight w:val="none"/>
              </w:rPr>
            </w:pPr>
            <w:r>
              <w:rPr>
                <w:bCs/>
                <w:color w:val="auto"/>
                <w:sz w:val="24"/>
                <w:szCs w:val="24"/>
                <w:highlight w:val="none"/>
              </w:rPr>
              <w:object>
                <v:shape id="_x0000_i1042" o:spt="75" type="#_x0000_t75" style="height:18.6pt;width:15.6pt;" o:ole="t" filled="f" o:preferrelative="t" stroked="f" coordsize="21600,21600">
                  <v:path/>
                  <v:fill on="f" focussize="0,0"/>
                  <v:stroke on="f" joinstyle="miter"/>
                  <v:imagedata r:id="rId42" o:title=""/>
                  <o:lock v:ext="edit" aspectratio="t"/>
                  <w10:wrap type="none"/>
                  <w10:anchorlock/>
                </v:shape>
                <o:OLEObject Type="Embed" ProgID="Equation.3" ShapeID="_x0000_i1042" DrawAspect="Content" ObjectID="_1468075742" r:id="rId41">
                  <o:LockedField>false</o:LockedField>
                </o:OLEObject>
              </w:object>
            </w:r>
          </w:p>
        </w:tc>
        <w:tc>
          <w:tcPr>
            <w:tcW w:w="6662" w:type="dxa"/>
          </w:tcPr>
          <w:p w14:paraId="6908CADF">
            <w:pPr>
              <w:spacing w:line="400" w:lineRule="exact"/>
              <w:ind w:left="480" w:hanging="480" w:hangingChars="200"/>
              <w:rPr>
                <w:bCs/>
                <w:color w:val="auto"/>
                <w:sz w:val="24"/>
                <w:szCs w:val="24"/>
                <w:highlight w:val="none"/>
              </w:rPr>
            </w:pPr>
            <w:r>
              <w:rPr>
                <w:bCs/>
                <w:color w:val="auto"/>
                <w:sz w:val="24"/>
                <w:szCs w:val="24"/>
                <w:highlight w:val="none"/>
              </w:rPr>
              <w:t>——基本风压（kN/m</w:t>
            </w:r>
            <w:r>
              <w:rPr>
                <w:bCs/>
                <w:color w:val="auto"/>
                <w:sz w:val="24"/>
                <w:szCs w:val="24"/>
                <w:highlight w:val="none"/>
                <w:vertAlign w:val="superscript"/>
              </w:rPr>
              <w:t>2</w:t>
            </w:r>
            <w:r>
              <w:rPr>
                <w:bCs/>
                <w:color w:val="auto"/>
                <w:sz w:val="24"/>
                <w:szCs w:val="24"/>
                <w:highlight w:val="none"/>
              </w:rPr>
              <w:t>），应按现行国家标准《建筑结构荷载规范》GB 50009取值。</w:t>
            </w:r>
          </w:p>
        </w:tc>
      </w:tr>
    </w:tbl>
    <w:p w14:paraId="2C6DE0C1">
      <w:pPr>
        <w:jc w:val="center"/>
        <w:rPr>
          <w:bCs/>
          <w:color w:val="auto"/>
          <w:highlight w:val="none"/>
        </w:rPr>
      </w:pPr>
      <w:r>
        <w:rPr>
          <w:bCs/>
          <w:color w:val="auto"/>
          <w:highlight w:val="none"/>
        </w:rPr>
        <w:t>表5.2.3  风荷载局部体型系数</w:t>
      </w:r>
      <w:r>
        <w:rPr>
          <w:bCs/>
          <w:color w:val="auto"/>
          <w:position w:val="-6"/>
          <w:highlight w:val="none"/>
        </w:rPr>
        <w:object>
          <v:shape id="_x0000_i1043" o:spt="75" type="#_x0000_t75" style="height:18.6pt;width:18pt;" o:ole="t" filled="f" o:preferrelative="t" stroked="f" coordsize="21600,21600">
            <v:path/>
            <v:fill on="f" focussize="0,0"/>
            <v:stroke on="f" joinstyle="miter"/>
            <v:imagedata r:id="rId38" o:title=""/>
            <o:lock v:ext="edit" aspectratio="t"/>
            <w10:wrap type="none"/>
            <w10:anchorlock/>
          </v:shape>
          <o:OLEObject Type="Embed" ProgID="Equation.3" ShapeID="_x0000_i1043" DrawAspect="Content" ObjectID="_1468075743" r:id="rId43">
            <o:LockedField>false</o:LockedField>
          </o:OLEObject>
        </w:object>
      </w:r>
      <w:r>
        <w:rPr>
          <w:bCs/>
          <w:color w:val="auto"/>
          <w:highlight w:val="none"/>
        </w:rPr>
        <w:t>取值</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9"/>
        <w:gridCol w:w="2347"/>
      </w:tblGrid>
      <w:tr w14:paraId="5B950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vAlign w:val="center"/>
          </w:tcPr>
          <w:p w14:paraId="77D1F6A7">
            <w:pPr>
              <w:jc w:val="center"/>
              <w:rPr>
                <w:bCs/>
                <w:color w:val="auto"/>
                <w:highlight w:val="none"/>
              </w:rPr>
            </w:pPr>
            <w:r>
              <w:rPr>
                <w:bCs/>
                <w:color w:val="auto"/>
                <w:highlight w:val="none"/>
              </w:rPr>
              <w:t>类别</w:t>
            </w:r>
          </w:p>
        </w:tc>
        <w:tc>
          <w:tcPr>
            <w:tcW w:w="2347" w:type="dxa"/>
            <w:vAlign w:val="center"/>
          </w:tcPr>
          <w:p w14:paraId="2F095D2F">
            <w:pPr>
              <w:jc w:val="center"/>
              <w:rPr>
                <w:bCs/>
                <w:color w:val="auto"/>
                <w:highlight w:val="none"/>
              </w:rPr>
            </w:pPr>
            <w:r>
              <w:rPr>
                <w:bCs/>
                <w:color w:val="auto"/>
                <w:highlight w:val="none"/>
              </w:rPr>
              <w:t>局部体型系数</w:t>
            </w:r>
            <w:r>
              <w:rPr>
                <w:bCs/>
                <w:color w:val="auto"/>
                <w:position w:val="-6"/>
                <w:highlight w:val="none"/>
              </w:rPr>
              <w:object>
                <v:shape id="_x0000_i1044" o:spt="75" type="#_x0000_t75" style="height:18.6pt;width:18pt;" o:ole="t" filled="f" o:preferrelative="t" stroked="f" coordsize="21600,21600">
                  <v:path/>
                  <v:fill on="f" focussize="0,0"/>
                  <v:stroke on="f" joinstyle="miter"/>
                  <v:imagedata r:id="rId38" o:title=""/>
                  <o:lock v:ext="edit" aspectratio="t"/>
                  <w10:wrap type="none"/>
                  <w10:anchorlock/>
                </v:shape>
                <o:OLEObject Type="Embed" ProgID="Equation.3" ShapeID="_x0000_i1044" DrawAspect="Content" ObjectID="_1468075744" r:id="rId44">
                  <o:LockedField>false</o:LockedField>
                </o:OLEObject>
              </w:object>
            </w:r>
          </w:p>
        </w:tc>
      </w:tr>
      <w:tr w14:paraId="3914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vAlign w:val="center"/>
          </w:tcPr>
          <w:p w14:paraId="7347A879">
            <w:pPr>
              <w:jc w:val="center"/>
              <w:rPr>
                <w:bCs/>
                <w:color w:val="auto"/>
                <w:highlight w:val="none"/>
              </w:rPr>
            </w:pPr>
            <w:r>
              <w:rPr>
                <w:bCs/>
                <w:color w:val="auto"/>
                <w:highlight w:val="none"/>
              </w:rPr>
              <w:t>墙面（含山墙）</w:t>
            </w:r>
          </w:p>
        </w:tc>
        <w:tc>
          <w:tcPr>
            <w:tcW w:w="2347" w:type="dxa"/>
            <w:vAlign w:val="center"/>
          </w:tcPr>
          <w:p w14:paraId="64187042">
            <w:pPr>
              <w:jc w:val="center"/>
              <w:rPr>
                <w:bCs/>
                <w:color w:val="auto"/>
                <w:highlight w:val="none"/>
              </w:rPr>
            </w:pPr>
            <w:r>
              <w:rPr>
                <w:bCs/>
                <w:color w:val="auto"/>
                <w:highlight w:val="none"/>
              </w:rPr>
              <w:t>-1.4</w:t>
            </w:r>
          </w:p>
        </w:tc>
      </w:tr>
      <w:tr w14:paraId="14D3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9" w:type="dxa"/>
            <w:vAlign w:val="center"/>
          </w:tcPr>
          <w:p w14:paraId="08731AB4">
            <w:pPr>
              <w:jc w:val="center"/>
              <w:rPr>
                <w:bCs/>
                <w:color w:val="auto"/>
                <w:highlight w:val="none"/>
              </w:rPr>
            </w:pPr>
            <w:r>
              <w:rPr>
                <w:bCs/>
                <w:color w:val="auto"/>
                <w:highlight w:val="none"/>
              </w:rPr>
              <w:t>墙角、墙边、阳台、雨篷、檐口、遮阳板、空调板、边棱处的装饰线条等突出构件</w:t>
            </w:r>
          </w:p>
        </w:tc>
        <w:tc>
          <w:tcPr>
            <w:tcW w:w="2347" w:type="dxa"/>
            <w:vAlign w:val="center"/>
          </w:tcPr>
          <w:p w14:paraId="601CEB13">
            <w:pPr>
              <w:jc w:val="center"/>
              <w:rPr>
                <w:bCs/>
                <w:color w:val="auto"/>
                <w:highlight w:val="none"/>
              </w:rPr>
            </w:pPr>
            <w:r>
              <w:rPr>
                <w:bCs/>
                <w:color w:val="auto"/>
                <w:highlight w:val="none"/>
              </w:rPr>
              <w:t>-2.0</w:t>
            </w:r>
          </w:p>
        </w:tc>
      </w:tr>
    </w:tbl>
    <w:p w14:paraId="462015F2">
      <w:pPr>
        <w:pStyle w:val="27"/>
        <w:numPr>
          <w:ilvl w:val="2"/>
          <w:numId w:val="2"/>
        </w:numPr>
        <w:spacing w:line="360" w:lineRule="auto"/>
        <w:ind w:left="0" w:firstLine="0" w:firstLineChars="0"/>
        <w:jc w:val="left"/>
        <w:outlineLvl w:val="2"/>
        <w:rPr>
          <w:bCs/>
          <w:color w:val="auto"/>
          <w:sz w:val="24"/>
          <w:szCs w:val="22"/>
          <w:highlight w:val="none"/>
        </w:rPr>
      </w:pPr>
      <w:r>
        <w:rPr>
          <w:bCs/>
          <w:color w:val="auto"/>
          <w:sz w:val="24"/>
          <w:szCs w:val="22"/>
          <w:highlight w:val="none"/>
        </w:rPr>
        <w:t>套装双真空保温隔热板</w:t>
      </w:r>
      <w:r>
        <w:rPr>
          <w:rFonts w:hint="eastAsia"/>
          <w:bCs/>
          <w:color w:val="auto"/>
          <w:sz w:val="24"/>
          <w:szCs w:val="22"/>
          <w:highlight w:val="none"/>
        </w:rPr>
        <w:t>薄抹灰</w:t>
      </w:r>
      <w:r>
        <w:rPr>
          <w:bCs/>
          <w:color w:val="auto"/>
          <w:sz w:val="24"/>
          <w:szCs w:val="22"/>
          <w:highlight w:val="none"/>
        </w:rPr>
        <w:t>外墙外保温系统的抗风荷载承载</w:t>
      </w:r>
      <w:r>
        <w:rPr>
          <w:rFonts w:hint="eastAsia"/>
          <w:bCs/>
          <w:color w:val="auto"/>
          <w:sz w:val="24"/>
          <w:szCs w:val="22"/>
          <w:highlight w:val="none"/>
        </w:rPr>
        <w:t>力验算时仅计入系统有效粘结面积部分的抗拉承载力；</w:t>
      </w:r>
      <w:r>
        <w:rPr>
          <w:bCs/>
          <w:color w:val="auto"/>
          <w:sz w:val="24"/>
          <w:szCs w:val="22"/>
          <w:highlight w:val="none"/>
        </w:rPr>
        <w:t>套装双真空保温隔热装饰板</w:t>
      </w:r>
      <w:r>
        <w:rPr>
          <w:rFonts w:hint="eastAsia"/>
          <w:bCs/>
          <w:color w:val="auto"/>
          <w:sz w:val="24"/>
          <w:szCs w:val="22"/>
          <w:highlight w:val="none"/>
        </w:rPr>
        <w:t>薄抹灰</w:t>
      </w:r>
      <w:r>
        <w:rPr>
          <w:bCs/>
          <w:color w:val="auto"/>
          <w:sz w:val="24"/>
          <w:szCs w:val="22"/>
          <w:highlight w:val="none"/>
        </w:rPr>
        <w:t>外墙外保温系统的抗风荷载承载</w:t>
      </w:r>
      <w:r>
        <w:rPr>
          <w:rFonts w:hint="eastAsia"/>
          <w:bCs/>
          <w:color w:val="auto"/>
          <w:sz w:val="24"/>
          <w:szCs w:val="22"/>
          <w:highlight w:val="none"/>
        </w:rPr>
        <w:t>力验算时，应分别验算系统有效粘结面积部分的抗拉承载力和</w:t>
      </w:r>
      <w:r>
        <w:rPr>
          <w:bCs/>
          <w:color w:val="auto"/>
          <w:sz w:val="24"/>
          <w:szCs w:val="22"/>
          <w:highlight w:val="none"/>
        </w:rPr>
        <w:t>锚固抗拉承载力。</w:t>
      </w:r>
    </w:p>
    <w:p w14:paraId="6CDC49BE">
      <w:pPr>
        <w:pStyle w:val="27"/>
        <w:numPr>
          <w:ilvl w:val="2"/>
          <w:numId w:val="2"/>
        </w:numPr>
        <w:spacing w:line="360" w:lineRule="auto"/>
        <w:ind w:left="0" w:firstLine="0" w:firstLineChars="0"/>
        <w:jc w:val="left"/>
        <w:outlineLvl w:val="2"/>
        <w:rPr>
          <w:bCs/>
          <w:color w:val="auto"/>
          <w:sz w:val="24"/>
          <w:szCs w:val="22"/>
          <w:highlight w:val="none"/>
        </w:rPr>
      </w:pPr>
      <w:r>
        <w:rPr>
          <w:bCs/>
          <w:color w:val="auto"/>
          <w:sz w:val="24"/>
          <w:szCs w:val="22"/>
          <w:highlight w:val="none"/>
        </w:rPr>
        <w:t>套装双真空保温隔热板外保温系统抗风荷载承载力应符合下列规定：</w:t>
      </w:r>
    </w:p>
    <w:p w14:paraId="0F33C416">
      <w:pPr>
        <w:spacing w:line="360" w:lineRule="auto"/>
        <w:jc w:val="right"/>
        <w:rPr>
          <w:bCs/>
          <w:color w:val="auto"/>
          <w:sz w:val="24"/>
          <w:szCs w:val="22"/>
          <w:highlight w:val="none"/>
        </w:rPr>
      </w:pPr>
      <w:r>
        <w:rPr>
          <w:color w:val="auto"/>
          <w:position w:val="-22"/>
          <w:highlight w:val="none"/>
        </w:rPr>
        <w:object>
          <v:shape id="_x0000_i1045" o:spt="75" type="#_x0000_t75" style="height:35.4pt;width:49.8pt;" o:ole="t" filled="f" o:preferrelative="t" stroked="f" coordsize="21600,21600">
            <v:path/>
            <v:fill on="f" focussize="0,0"/>
            <v:stroke on="f" joinstyle="miter"/>
            <v:imagedata r:id="rId46" o:title=""/>
            <o:lock v:ext="edit" aspectratio="t"/>
            <w10:wrap type="none"/>
            <w10:anchorlock/>
          </v:shape>
          <o:OLEObject Type="Embed" ProgID="Equation.DSMT4" ShapeID="_x0000_i1045" DrawAspect="Content" ObjectID="_1468075745" r:id="rId45">
            <o:LockedField>false</o:LockedField>
          </o:OLEObject>
        </w:object>
      </w:r>
      <w:r>
        <w:rPr>
          <w:color w:val="auto"/>
          <w:sz w:val="24"/>
          <w:highlight w:val="none"/>
        </w:rPr>
        <w:t xml:space="preserve">                    </w:t>
      </w:r>
      <w:r>
        <w:rPr>
          <w:color w:val="auto"/>
          <w:sz w:val="24"/>
          <w:szCs w:val="24"/>
          <w:highlight w:val="none"/>
        </w:rPr>
        <w:t xml:space="preserve"> （5.2.5）</w:t>
      </w:r>
    </w:p>
    <w:tbl>
      <w:tblPr>
        <w:tblStyle w:val="19"/>
        <w:tblW w:w="82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0"/>
        <w:gridCol w:w="6662"/>
      </w:tblGrid>
      <w:tr w14:paraId="7C8AB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14:paraId="4FE49F6E">
            <w:pPr>
              <w:spacing w:line="400" w:lineRule="exact"/>
              <w:jc w:val="right"/>
              <w:rPr>
                <w:bCs/>
                <w:color w:val="auto"/>
                <w:sz w:val="24"/>
                <w:szCs w:val="24"/>
                <w:highlight w:val="none"/>
              </w:rPr>
            </w:pPr>
            <w:r>
              <w:rPr>
                <w:bCs/>
                <w:color w:val="auto"/>
                <w:sz w:val="24"/>
                <w:szCs w:val="24"/>
                <w:highlight w:val="none"/>
              </w:rPr>
              <w:t>式中：</w:t>
            </w:r>
            <w:r>
              <w:rPr>
                <w:color w:val="auto"/>
                <w:position w:val="-10"/>
                <w:highlight w:val="none"/>
              </w:rPr>
              <w:object>
                <v:shape id="_x0000_i1046" o:spt="75" type="#_x0000_t75" style="height:15pt;width:13pt;" o:ole="t" filled="f" o:preferrelative="t" stroked="f" coordsize="21600,21600">
                  <v:path/>
                  <v:fill on="f" focussize="0,0"/>
                  <v:stroke on="f" joinstyle="miter"/>
                  <v:imagedata r:id="rId48" o:title=""/>
                  <o:lock v:ext="edit" aspectratio="t"/>
                  <w10:wrap type="none"/>
                  <w10:anchorlock/>
                </v:shape>
                <o:OLEObject Type="Embed" ProgID="Equation.DSMT4" ShapeID="_x0000_i1046" DrawAspect="Content" ObjectID="_1468075746" r:id="rId47">
                  <o:LockedField>false</o:LockedField>
                </o:OLEObject>
              </w:object>
            </w:r>
            <w:r>
              <w:rPr>
                <w:bCs/>
                <w:color w:val="auto"/>
                <w:sz w:val="24"/>
                <w:szCs w:val="24"/>
                <w:highlight w:val="none"/>
              </w:rPr>
              <w:t xml:space="preserve"> </w:t>
            </w:r>
          </w:p>
        </w:tc>
        <w:tc>
          <w:tcPr>
            <w:tcW w:w="6662" w:type="dxa"/>
          </w:tcPr>
          <w:p w14:paraId="7D7BE287">
            <w:pPr>
              <w:spacing w:line="400" w:lineRule="exact"/>
              <w:ind w:left="480" w:hanging="480" w:hangingChars="200"/>
              <w:rPr>
                <w:bCs/>
                <w:color w:val="auto"/>
                <w:sz w:val="24"/>
                <w:szCs w:val="24"/>
                <w:highlight w:val="none"/>
              </w:rPr>
            </w:pPr>
            <w:r>
              <w:rPr>
                <w:bCs/>
                <w:color w:val="auto"/>
                <w:sz w:val="24"/>
                <w:szCs w:val="24"/>
                <w:highlight w:val="none"/>
              </w:rPr>
              <w:t>——</w:t>
            </w:r>
            <w:r>
              <w:rPr>
                <w:bCs/>
                <w:color w:val="auto"/>
                <w:sz w:val="24"/>
                <w:szCs w:val="22"/>
                <w:highlight w:val="none"/>
              </w:rPr>
              <w:t>套装双真空保温隔热板外墙外保温系统承载力</w:t>
            </w:r>
            <w:r>
              <w:rPr>
                <w:rFonts w:hint="eastAsia"/>
                <w:bCs/>
                <w:color w:val="auto"/>
                <w:sz w:val="24"/>
                <w:szCs w:val="22"/>
                <w:highlight w:val="none"/>
              </w:rPr>
              <w:t>标准值</w:t>
            </w:r>
            <w:r>
              <w:rPr>
                <w:bCs/>
                <w:color w:val="auto"/>
                <w:sz w:val="24"/>
                <w:szCs w:val="24"/>
                <w:highlight w:val="none"/>
              </w:rPr>
              <w:t>（kN/m</w:t>
            </w:r>
            <w:r>
              <w:rPr>
                <w:bCs/>
                <w:color w:val="auto"/>
                <w:sz w:val="24"/>
                <w:szCs w:val="24"/>
                <w:highlight w:val="none"/>
                <w:vertAlign w:val="superscript"/>
              </w:rPr>
              <w:t>2</w:t>
            </w:r>
            <w:r>
              <w:rPr>
                <w:bCs/>
                <w:color w:val="auto"/>
                <w:sz w:val="24"/>
                <w:szCs w:val="24"/>
                <w:highlight w:val="none"/>
              </w:rPr>
              <w:t>）；</w:t>
            </w:r>
          </w:p>
        </w:tc>
      </w:tr>
      <w:tr w14:paraId="08CF8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14:paraId="2D5B64B2">
            <w:pPr>
              <w:spacing w:line="400" w:lineRule="exact"/>
              <w:jc w:val="right"/>
              <w:rPr>
                <w:color w:val="auto"/>
                <w:highlight w:val="none"/>
              </w:rPr>
            </w:pPr>
            <w:r>
              <w:rPr>
                <w:color w:val="auto"/>
                <w:position w:val="-6"/>
                <w:highlight w:val="none"/>
              </w:rPr>
              <w:object>
                <v:shape id="_x0000_i1047" o:spt="75" type="#_x0000_t75" style="height:13.2pt;width:9pt;" o:ole="t" filled="f" o:preferrelative="t" stroked="f" coordsize="21600,21600">
                  <v:path/>
                  <v:fill on="f" focussize="0,0"/>
                  <v:stroke on="f" joinstyle="miter"/>
                  <v:imagedata r:id="rId50" o:title=""/>
                  <o:lock v:ext="edit" aspectratio="t"/>
                  <w10:wrap type="none"/>
                  <w10:anchorlock/>
                </v:shape>
                <o:OLEObject Type="Embed" ProgID="Equation.DSMT4" ShapeID="_x0000_i1047" DrawAspect="Content" ObjectID="_1468075747" r:id="rId49">
                  <o:LockedField>false</o:LockedField>
                </o:OLEObject>
              </w:object>
            </w:r>
            <w:r>
              <w:rPr>
                <w:color w:val="auto"/>
                <w:highlight w:val="none"/>
              </w:rPr>
              <w:t xml:space="preserve"> </w:t>
            </w:r>
          </w:p>
        </w:tc>
        <w:tc>
          <w:tcPr>
            <w:tcW w:w="6662" w:type="dxa"/>
          </w:tcPr>
          <w:p w14:paraId="54CC5076">
            <w:pPr>
              <w:spacing w:line="400" w:lineRule="exact"/>
              <w:ind w:left="480" w:hanging="480" w:hangingChars="200"/>
              <w:rPr>
                <w:bCs/>
                <w:color w:val="auto"/>
                <w:sz w:val="24"/>
                <w:szCs w:val="24"/>
                <w:highlight w:val="none"/>
              </w:rPr>
            </w:pPr>
            <w:r>
              <w:rPr>
                <w:bCs/>
                <w:color w:val="auto"/>
                <w:sz w:val="24"/>
                <w:szCs w:val="24"/>
                <w:highlight w:val="none"/>
              </w:rPr>
              <w:t>——系统拉伸粘结强度承载力或锚固承载力分项系数，系统拉伸粘结强度承载力分项系数取10，验算锚固承载力分项系数取2；</w:t>
            </w:r>
          </w:p>
        </w:tc>
      </w:tr>
    </w:tbl>
    <w:p w14:paraId="4BE91869">
      <w:pPr>
        <w:pStyle w:val="27"/>
        <w:numPr>
          <w:ilvl w:val="2"/>
          <w:numId w:val="2"/>
        </w:numPr>
        <w:spacing w:line="360" w:lineRule="auto"/>
        <w:ind w:left="0" w:firstLine="0" w:firstLineChars="0"/>
        <w:jc w:val="left"/>
        <w:outlineLvl w:val="2"/>
        <w:rPr>
          <w:bCs/>
          <w:color w:val="auto"/>
          <w:sz w:val="24"/>
          <w:szCs w:val="22"/>
          <w:highlight w:val="none"/>
        </w:rPr>
      </w:pPr>
      <w:r>
        <w:rPr>
          <w:bCs/>
          <w:color w:val="auto"/>
          <w:sz w:val="24"/>
          <w:szCs w:val="22"/>
          <w:highlight w:val="none"/>
        </w:rPr>
        <w:t>套装双真空保温隔热板外墙保温系统</w:t>
      </w:r>
      <w:r>
        <w:rPr>
          <w:rFonts w:hint="eastAsia"/>
          <w:bCs/>
          <w:color w:val="auto"/>
          <w:sz w:val="24"/>
          <w:szCs w:val="22"/>
          <w:highlight w:val="none"/>
        </w:rPr>
        <w:t>有效粘结面积部分的抗拉承载力标准值</w:t>
      </w:r>
      <w:r>
        <w:rPr>
          <w:bCs/>
          <w:color w:val="auto"/>
          <w:sz w:val="24"/>
          <w:szCs w:val="22"/>
          <w:highlight w:val="none"/>
        </w:rPr>
        <w:t>应按下式计算：</w:t>
      </w:r>
    </w:p>
    <w:p w14:paraId="463CA06C">
      <w:pPr>
        <w:spacing w:line="360" w:lineRule="auto"/>
        <w:jc w:val="right"/>
        <w:rPr>
          <w:bCs/>
          <w:color w:val="auto"/>
          <w:sz w:val="24"/>
          <w:szCs w:val="22"/>
          <w:highlight w:val="none"/>
        </w:rPr>
      </w:pPr>
      <w:r>
        <w:rPr>
          <w:color w:val="auto"/>
          <w:position w:val="-10"/>
          <w:highlight w:val="none"/>
        </w:rPr>
        <w:object>
          <v:shape id="_x0000_i1048" o:spt="75" type="#_x0000_t75" style="height:19.2pt;width:63.6pt;" o:ole="t" filled="f" o:preferrelative="t" stroked="f" coordsize="21600,21600">
            <v:path/>
            <v:fill on="f" focussize="0,0"/>
            <v:stroke on="f" joinstyle="miter"/>
            <v:imagedata r:id="rId52" o:title=""/>
            <o:lock v:ext="edit" aspectratio="t"/>
            <w10:wrap type="none"/>
            <w10:anchorlock/>
          </v:shape>
          <o:OLEObject Type="Embed" ProgID="Equation.DSMT4" ShapeID="_x0000_i1048" DrawAspect="Content" ObjectID="_1468075748" r:id="rId51">
            <o:LockedField>false</o:LockedField>
          </o:OLEObject>
        </w:object>
      </w:r>
      <w:r>
        <w:rPr>
          <w:color w:val="auto"/>
          <w:sz w:val="24"/>
          <w:highlight w:val="none"/>
        </w:rPr>
        <w:t xml:space="preserve">                 </w:t>
      </w:r>
      <w:r>
        <w:rPr>
          <w:color w:val="auto"/>
          <w:sz w:val="24"/>
          <w:szCs w:val="24"/>
          <w:highlight w:val="none"/>
        </w:rPr>
        <w:t xml:space="preserve"> （5.2.5）</w:t>
      </w:r>
    </w:p>
    <w:tbl>
      <w:tblPr>
        <w:tblStyle w:val="19"/>
        <w:tblW w:w="82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0"/>
        <w:gridCol w:w="6662"/>
      </w:tblGrid>
      <w:tr w14:paraId="1F262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14:paraId="6E5E37E3">
            <w:pPr>
              <w:spacing w:line="400" w:lineRule="exact"/>
              <w:jc w:val="right"/>
              <w:rPr>
                <w:bCs/>
                <w:color w:val="auto"/>
                <w:sz w:val="24"/>
                <w:szCs w:val="24"/>
                <w:highlight w:val="none"/>
              </w:rPr>
            </w:pPr>
            <w:r>
              <w:rPr>
                <w:bCs/>
                <w:color w:val="auto"/>
                <w:sz w:val="24"/>
                <w:szCs w:val="24"/>
                <w:highlight w:val="none"/>
              </w:rPr>
              <w:t>式中：</w:t>
            </w:r>
            <w:r>
              <w:rPr>
                <w:bCs/>
                <w:color w:val="auto"/>
                <w:position w:val="-10"/>
                <w:sz w:val="24"/>
                <w:szCs w:val="24"/>
                <w:highlight w:val="none"/>
              </w:rPr>
              <w:object>
                <v:shape id="_x0000_i1049" o:spt="75" type="#_x0000_t75" style="height:20.4pt;width:18.6pt;" o:ole="t" filled="f" o:preferrelative="t" stroked="f" coordsize="21600,21600">
                  <v:path/>
                  <v:fill on="f" focussize="0,0"/>
                  <v:stroke on="f" joinstyle="miter"/>
                  <v:imagedata r:id="rId54" o:title=""/>
                  <o:lock v:ext="edit" aspectratio="t"/>
                  <w10:wrap type="none"/>
                  <w10:anchorlock/>
                </v:shape>
                <o:OLEObject Type="Embed" ProgID="Equation.DSMT4" ShapeID="_x0000_i1049" DrawAspect="Content" ObjectID="_1468075749" r:id="rId53">
                  <o:LockedField>false</o:LockedField>
                </o:OLEObject>
              </w:object>
            </w:r>
            <w:r>
              <w:rPr>
                <w:bCs/>
                <w:color w:val="auto"/>
                <w:sz w:val="24"/>
                <w:szCs w:val="24"/>
                <w:highlight w:val="none"/>
              </w:rPr>
              <w:t xml:space="preserve"> </w:t>
            </w:r>
          </w:p>
        </w:tc>
        <w:tc>
          <w:tcPr>
            <w:tcW w:w="6662" w:type="dxa"/>
          </w:tcPr>
          <w:p w14:paraId="3D476A33">
            <w:pPr>
              <w:spacing w:line="400" w:lineRule="exact"/>
              <w:ind w:left="480" w:hanging="480" w:hangingChars="200"/>
              <w:rPr>
                <w:bCs/>
                <w:color w:val="auto"/>
                <w:sz w:val="24"/>
                <w:szCs w:val="24"/>
                <w:highlight w:val="none"/>
              </w:rPr>
            </w:pPr>
            <w:r>
              <w:rPr>
                <w:bCs/>
                <w:color w:val="auto"/>
                <w:sz w:val="24"/>
                <w:szCs w:val="24"/>
                <w:highlight w:val="none"/>
              </w:rPr>
              <w:t>——系统拉伸粘接强度标准值，取80kN/m</w:t>
            </w:r>
            <w:r>
              <w:rPr>
                <w:bCs/>
                <w:color w:val="auto"/>
                <w:sz w:val="24"/>
                <w:szCs w:val="24"/>
                <w:highlight w:val="none"/>
                <w:vertAlign w:val="superscript"/>
              </w:rPr>
              <w:t>2</w:t>
            </w:r>
            <w:r>
              <w:rPr>
                <w:bCs/>
                <w:color w:val="auto"/>
                <w:sz w:val="24"/>
                <w:szCs w:val="24"/>
                <w:highlight w:val="none"/>
              </w:rPr>
              <w:t>；</w:t>
            </w:r>
          </w:p>
        </w:tc>
      </w:tr>
      <w:tr w14:paraId="48F41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14:paraId="209F890A">
            <w:pPr>
              <w:spacing w:line="400" w:lineRule="exact"/>
              <w:jc w:val="right"/>
              <w:rPr>
                <w:bCs/>
                <w:color w:val="auto"/>
                <w:sz w:val="24"/>
                <w:szCs w:val="24"/>
                <w:highlight w:val="none"/>
              </w:rPr>
            </w:pPr>
            <w:r>
              <w:rPr>
                <w:color w:val="auto"/>
                <w:position w:val="-10"/>
                <w:highlight w:val="none"/>
              </w:rPr>
              <w:object>
                <v:shape id="_x0000_i1050" o:spt="75" type="#_x0000_t75" style="height:16.2pt;width:16.2pt;" o:ole="t" filled="f" o:preferrelative="t" stroked="f" coordsize="21600,21600">
                  <v:path/>
                  <v:fill on="f" focussize="0,0"/>
                  <v:stroke on="f" joinstyle="miter"/>
                  <v:imagedata r:id="rId56" o:title=""/>
                  <o:lock v:ext="edit" aspectratio="t"/>
                  <w10:wrap type="none"/>
                  <w10:anchorlock/>
                </v:shape>
                <o:OLEObject Type="Embed" ProgID="Equation.DSMT4" ShapeID="_x0000_i1050" DrawAspect="Content" ObjectID="_1468075750" r:id="rId55">
                  <o:LockedField>false</o:LockedField>
                </o:OLEObject>
              </w:object>
            </w:r>
            <w:r>
              <w:rPr>
                <w:bCs/>
                <w:color w:val="auto"/>
                <w:sz w:val="24"/>
                <w:szCs w:val="24"/>
                <w:highlight w:val="none"/>
              </w:rPr>
              <w:t xml:space="preserve"> </w:t>
            </w:r>
          </w:p>
        </w:tc>
        <w:tc>
          <w:tcPr>
            <w:tcW w:w="6662" w:type="dxa"/>
          </w:tcPr>
          <w:p w14:paraId="19FC76E5">
            <w:pPr>
              <w:spacing w:line="400" w:lineRule="exact"/>
              <w:ind w:left="480" w:hanging="480" w:hangingChars="200"/>
              <w:rPr>
                <w:bCs/>
                <w:color w:val="auto"/>
                <w:sz w:val="24"/>
                <w:szCs w:val="24"/>
                <w:highlight w:val="none"/>
              </w:rPr>
            </w:pPr>
            <w:r>
              <w:rPr>
                <w:bCs/>
                <w:color w:val="auto"/>
                <w:sz w:val="24"/>
                <w:szCs w:val="24"/>
                <w:highlight w:val="none"/>
              </w:rPr>
              <w:t>——</w:t>
            </w:r>
            <w:r>
              <w:rPr>
                <w:bCs/>
                <w:color w:val="auto"/>
                <w:sz w:val="24"/>
                <w:szCs w:val="22"/>
                <w:highlight w:val="none"/>
              </w:rPr>
              <w:t>套装双真空保温隔热板</w:t>
            </w:r>
            <w:r>
              <w:rPr>
                <w:bCs/>
                <w:color w:val="auto"/>
                <w:sz w:val="24"/>
                <w:szCs w:val="24"/>
                <w:highlight w:val="none"/>
              </w:rPr>
              <w:t>有效粘结面积率。</w:t>
            </w:r>
          </w:p>
        </w:tc>
      </w:tr>
    </w:tbl>
    <w:p w14:paraId="58B28BCB">
      <w:pPr>
        <w:pStyle w:val="27"/>
        <w:numPr>
          <w:ilvl w:val="2"/>
          <w:numId w:val="2"/>
        </w:numPr>
        <w:spacing w:line="360" w:lineRule="auto"/>
        <w:ind w:left="0" w:firstLine="0" w:firstLineChars="0"/>
        <w:jc w:val="left"/>
        <w:outlineLvl w:val="2"/>
        <w:rPr>
          <w:bCs/>
          <w:color w:val="auto"/>
          <w:sz w:val="24"/>
          <w:szCs w:val="22"/>
          <w:highlight w:val="none"/>
        </w:rPr>
      </w:pPr>
      <w:bookmarkStart w:id="39" w:name="_Toc141875143"/>
      <w:r>
        <w:rPr>
          <w:bCs/>
          <w:color w:val="auto"/>
          <w:sz w:val="24"/>
          <w:szCs w:val="22"/>
          <w:highlight w:val="none"/>
        </w:rPr>
        <w:t>套装双真空保温隔热装饰板外墙保温系统</w:t>
      </w:r>
      <w:r>
        <w:rPr>
          <w:rFonts w:hint="eastAsia"/>
          <w:bCs/>
          <w:color w:val="auto"/>
          <w:sz w:val="24"/>
          <w:szCs w:val="22"/>
          <w:highlight w:val="none"/>
        </w:rPr>
        <w:t>中</w:t>
      </w:r>
      <w:r>
        <w:rPr>
          <w:bCs/>
          <w:color w:val="auto"/>
          <w:sz w:val="24"/>
          <w:szCs w:val="22"/>
          <w:highlight w:val="none"/>
        </w:rPr>
        <w:t>锚固</w:t>
      </w:r>
      <w:r>
        <w:rPr>
          <w:rFonts w:hint="eastAsia"/>
          <w:bCs/>
          <w:color w:val="auto"/>
          <w:sz w:val="24"/>
          <w:szCs w:val="22"/>
          <w:highlight w:val="none"/>
        </w:rPr>
        <w:t>系统</w:t>
      </w:r>
      <w:r>
        <w:rPr>
          <w:bCs/>
          <w:color w:val="auto"/>
          <w:sz w:val="24"/>
          <w:szCs w:val="22"/>
          <w:highlight w:val="none"/>
        </w:rPr>
        <w:t>抗拉承载力标准值应按下式计算：</w:t>
      </w:r>
    </w:p>
    <w:p w14:paraId="101E6660">
      <w:pPr>
        <w:spacing w:line="360" w:lineRule="auto"/>
        <w:jc w:val="right"/>
        <w:rPr>
          <w:bCs/>
          <w:color w:val="auto"/>
          <w:sz w:val="24"/>
          <w:szCs w:val="22"/>
          <w:highlight w:val="none"/>
        </w:rPr>
      </w:pPr>
      <w:r>
        <w:rPr>
          <w:color w:val="auto"/>
          <w:position w:val="-10"/>
          <w:highlight w:val="none"/>
        </w:rPr>
        <w:object>
          <v:shape id="_x0000_i1051" o:spt="75" type="#_x0000_t75" style="height:19.2pt;width:59.85pt;" o:ole="t" filled="f" o:preferrelative="t" stroked="f" coordsize="21600,21600">
            <v:path/>
            <v:fill on="f" focussize="0,0"/>
            <v:stroke on="f" joinstyle="miter"/>
            <v:imagedata r:id="rId58" o:title=""/>
            <o:lock v:ext="edit" aspectratio="t"/>
            <w10:wrap type="none"/>
            <w10:anchorlock/>
          </v:shape>
          <o:OLEObject Type="Embed" ProgID="Equation.DSMT4" ShapeID="_x0000_i1051" DrawAspect="Content" ObjectID="_1468075751" r:id="rId57">
            <o:LockedField>false</o:LockedField>
          </o:OLEObject>
        </w:object>
      </w:r>
      <w:r>
        <w:rPr>
          <w:color w:val="auto"/>
          <w:sz w:val="24"/>
          <w:highlight w:val="none"/>
        </w:rPr>
        <w:t xml:space="preserve">                 </w:t>
      </w:r>
      <w:r>
        <w:rPr>
          <w:color w:val="auto"/>
          <w:sz w:val="24"/>
          <w:szCs w:val="24"/>
          <w:highlight w:val="none"/>
        </w:rPr>
        <w:t xml:space="preserve"> （5.2.5）</w:t>
      </w:r>
    </w:p>
    <w:tbl>
      <w:tblPr>
        <w:tblStyle w:val="19"/>
        <w:tblW w:w="82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0"/>
        <w:gridCol w:w="6662"/>
      </w:tblGrid>
      <w:tr w14:paraId="1B838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14:paraId="47051B81">
            <w:pPr>
              <w:spacing w:line="400" w:lineRule="exact"/>
              <w:jc w:val="right"/>
              <w:rPr>
                <w:bCs/>
                <w:color w:val="auto"/>
                <w:sz w:val="24"/>
                <w:szCs w:val="24"/>
                <w:highlight w:val="none"/>
              </w:rPr>
            </w:pPr>
            <w:r>
              <w:rPr>
                <w:bCs/>
                <w:color w:val="auto"/>
                <w:sz w:val="24"/>
                <w:szCs w:val="24"/>
                <w:highlight w:val="none"/>
              </w:rPr>
              <w:t>式中：</w:t>
            </w:r>
            <w:r>
              <w:rPr>
                <w:color w:val="auto"/>
                <w:position w:val="-10"/>
                <w:highlight w:val="none"/>
              </w:rPr>
              <w:object>
                <v:shape id="_x0000_i1052" o:spt="75" type="#_x0000_t75" style="height:18pt;width:16.55pt;" o:ole="t" filled="f" o:preferrelative="t" stroked="f" coordsize="21600,21600">
                  <v:path/>
                  <v:fill on="f" focussize="0,0"/>
                  <v:stroke on="f" joinstyle="miter"/>
                  <v:imagedata r:id="rId60" o:title=""/>
                  <o:lock v:ext="edit" aspectratio="t"/>
                  <w10:wrap type="none"/>
                  <w10:anchorlock/>
                </v:shape>
                <o:OLEObject Type="Embed" ProgID="Equation.DSMT4" ShapeID="_x0000_i1052" DrawAspect="Content" ObjectID="_1468075752" r:id="rId59">
                  <o:LockedField>false</o:LockedField>
                </o:OLEObject>
              </w:object>
            </w:r>
            <w:r>
              <w:rPr>
                <w:bCs/>
                <w:color w:val="auto"/>
                <w:sz w:val="24"/>
                <w:szCs w:val="24"/>
                <w:highlight w:val="none"/>
              </w:rPr>
              <w:t xml:space="preserve"> </w:t>
            </w:r>
          </w:p>
        </w:tc>
        <w:tc>
          <w:tcPr>
            <w:tcW w:w="6662" w:type="dxa"/>
          </w:tcPr>
          <w:p w14:paraId="098AE838">
            <w:pPr>
              <w:spacing w:line="400" w:lineRule="exact"/>
              <w:ind w:left="480" w:hanging="480" w:hangingChars="200"/>
              <w:rPr>
                <w:bCs/>
                <w:color w:val="auto"/>
                <w:sz w:val="24"/>
                <w:szCs w:val="24"/>
                <w:highlight w:val="none"/>
              </w:rPr>
            </w:pPr>
            <w:r>
              <w:rPr>
                <w:bCs/>
                <w:color w:val="auto"/>
                <w:sz w:val="24"/>
                <w:szCs w:val="24"/>
                <w:highlight w:val="none"/>
              </w:rPr>
              <w:t>——</w:t>
            </w:r>
            <w:r>
              <w:rPr>
                <w:rFonts w:hint="eastAsia"/>
                <w:bCs/>
                <w:color w:val="auto"/>
                <w:sz w:val="24"/>
                <w:szCs w:val="24"/>
                <w:highlight w:val="none"/>
              </w:rPr>
              <w:t>单个锚栓抗拉承载力标准值（kN）</w:t>
            </w:r>
            <w:r>
              <w:rPr>
                <w:bCs/>
                <w:color w:val="auto"/>
                <w:sz w:val="24"/>
                <w:szCs w:val="24"/>
                <w:highlight w:val="none"/>
              </w:rPr>
              <w:t>；</w:t>
            </w:r>
          </w:p>
        </w:tc>
      </w:tr>
      <w:tr w14:paraId="38347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60" w:type="dxa"/>
          </w:tcPr>
          <w:p w14:paraId="56C372AC">
            <w:pPr>
              <w:spacing w:line="400" w:lineRule="exact"/>
              <w:jc w:val="right"/>
              <w:rPr>
                <w:bCs/>
                <w:color w:val="auto"/>
                <w:sz w:val="24"/>
                <w:szCs w:val="24"/>
                <w:highlight w:val="none"/>
              </w:rPr>
            </w:pPr>
            <w:r>
              <w:rPr>
                <w:color w:val="auto"/>
                <w:position w:val="-10"/>
                <w:highlight w:val="none"/>
              </w:rPr>
              <w:object>
                <v:shape id="_x0000_i1053" o:spt="75" type="#_x0000_t75" style="height:16.2pt;width:16.2pt;" o:ole="t" filled="f" o:preferrelative="t" stroked="f" coordsize="21600,21600">
                  <v:path/>
                  <v:fill on="f" focussize="0,0"/>
                  <v:stroke on="f" joinstyle="miter"/>
                  <v:imagedata r:id="rId56" o:title=""/>
                  <o:lock v:ext="edit" aspectratio="t"/>
                  <w10:wrap type="none"/>
                  <w10:anchorlock/>
                </v:shape>
                <o:OLEObject Type="Embed" ProgID="Equation.DSMT4" ShapeID="_x0000_i1053" DrawAspect="Content" ObjectID="_1468075753" r:id="rId61">
                  <o:LockedField>false</o:LockedField>
                </o:OLEObject>
              </w:object>
            </w:r>
            <w:r>
              <w:rPr>
                <w:bCs/>
                <w:color w:val="auto"/>
                <w:sz w:val="24"/>
                <w:szCs w:val="24"/>
                <w:highlight w:val="none"/>
              </w:rPr>
              <w:t xml:space="preserve"> </w:t>
            </w:r>
          </w:p>
        </w:tc>
        <w:tc>
          <w:tcPr>
            <w:tcW w:w="6662" w:type="dxa"/>
          </w:tcPr>
          <w:p w14:paraId="5714511C">
            <w:pPr>
              <w:spacing w:line="400" w:lineRule="exact"/>
              <w:ind w:left="480" w:hanging="480" w:hangingChars="200"/>
              <w:rPr>
                <w:bCs/>
                <w:color w:val="auto"/>
                <w:sz w:val="24"/>
                <w:szCs w:val="24"/>
                <w:highlight w:val="none"/>
              </w:rPr>
            </w:pPr>
            <w:r>
              <w:rPr>
                <w:bCs/>
                <w:color w:val="auto"/>
                <w:sz w:val="24"/>
                <w:szCs w:val="24"/>
                <w:highlight w:val="none"/>
              </w:rPr>
              <w:t>——</w:t>
            </w:r>
            <w:r>
              <w:rPr>
                <w:rFonts w:hint="eastAsia"/>
                <w:bCs/>
                <w:color w:val="auto"/>
                <w:sz w:val="24"/>
                <w:szCs w:val="24"/>
                <w:highlight w:val="none"/>
              </w:rPr>
              <w:t>锚栓数量（个/</w:t>
            </w:r>
            <w:r>
              <w:rPr>
                <w:bCs/>
                <w:color w:val="auto"/>
                <w:sz w:val="24"/>
                <w:szCs w:val="24"/>
                <w:highlight w:val="none"/>
              </w:rPr>
              <w:t>m</w:t>
            </w:r>
            <w:r>
              <w:rPr>
                <w:bCs/>
                <w:color w:val="auto"/>
                <w:sz w:val="24"/>
                <w:szCs w:val="24"/>
                <w:highlight w:val="none"/>
                <w:vertAlign w:val="superscript"/>
              </w:rPr>
              <w:t>2</w:t>
            </w:r>
            <w:r>
              <w:rPr>
                <w:rFonts w:hint="eastAsia"/>
                <w:bCs/>
                <w:color w:val="auto"/>
                <w:sz w:val="24"/>
                <w:szCs w:val="24"/>
                <w:highlight w:val="none"/>
              </w:rPr>
              <w:t>）</w:t>
            </w:r>
            <w:r>
              <w:rPr>
                <w:bCs/>
                <w:color w:val="auto"/>
                <w:sz w:val="24"/>
                <w:szCs w:val="24"/>
                <w:highlight w:val="none"/>
              </w:rPr>
              <w:t>。</w:t>
            </w:r>
          </w:p>
        </w:tc>
      </w:tr>
    </w:tbl>
    <w:p w14:paraId="289F25D0">
      <w:pPr>
        <w:pStyle w:val="27"/>
        <w:numPr>
          <w:ilvl w:val="1"/>
          <w:numId w:val="2"/>
        </w:numPr>
        <w:ind w:left="567" w:firstLineChars="0"/>
        <w:jc w:val="center"/>
        <w:outlineLvl w:val="1"/>
        <w:rPr>
          <w:b/>
          <w:bCs w:val="0"/>
          <w:color w:val="auto"/>
          <w:sz w:val="28"/>
          <w:szCs w:val="24"/>
          <w:highlight w:val="none"/>
        </w:rPr>
      </w:pPr>
      <w:bookmarkStart w:id="40" w:name="_Toc12159"/>
      <w:r>
        <w:rPr>
          <w:rFonts w:hint="eastAsia"/>
          <w:b/>
          <w:color w:val="auto"/>
          <w:sz w:val="28"/>
          <w:szCs w:val="24"/>
          <w:highlight w:val="none"/>
        </w:rPr>
        <w:t>套装双真空保温隔热板</w:t>
      </w:r>
      <w:r>
        <w:rPr>
          <w:rFonts w:hint="eastAsia"/>
          <w:b/>
          <w:bCs w:val="0"/>
          <w:color w:val="auto"/>
          <w:sz w:val="28"/>
          <w:szCs w:val="24"/>
          <w:highlight w:val="none"/>
        </w:rPr>
        <w:t>薄抹灰外墙外保温系统设计</w:t>
      </w:r>
      <w:bookmarkEnd w:id="39"/>
      <w:bookmarkEnd w:id="40"/>
    </w:p>
    <w:p w14:paraId="0DA8981A">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套装双真空保温隔热板薄抹灰外墙外保温系统应置于建筑物外墙外侧，由</w:t>
      </w:r>
      <w:r>
        <w:rPr>
          <w:rFonts w:hint="eastAsia"/>
          <w:bCs/>
          <w:color w:val="auto"/>
          <w:sz w:val="24"/>
          <w:szCs w:val="24"/>
          <w:highlight w:val="none"/>
        </w:rPr>
        <w:t>防水层、</w:t>
      </w:r>
      <w:r>
        <w:rPr>
          <w:bCs/>
          <w:color w:val="auto"/>
          <w:sz w:val="24"/>
          <w:szCs w:val="24"/>
          <w:highlight w:val="none"/>
        </w:rPr>
        <w:t>粘结</w:t>
      </w:r>
      <w:r>
        <w:rPr>
          <w:rFonts w:hint="eastAsia"/>
          <w:bCs/>
          <w:color w:val="auto"/>
          <w:sz w:val="24"/>
          <w:szCs w:val="24"/>
          <w:highlight w:val="none"/>
        </w:rPr>
        <w:t>层</w:t>
      </w:r>
      <w:r>
        <w:rPr>
          <w:bCs/>
          <w:color w:val="auto"/>
          <w:sz w:val="24"/>
          <w:szCs w:val="24"/>
          <w:highlight w:val="none"/>
        </w:rPr>
        <w:t>、套装双真空保温隔热板、</w:t>
      </w:r>
      <w:r>
        <w:rPr>
          <w:rFonts w:hint="eastAsia"/>
          <w:bCs/>
          <w:color w:val="auto"/>
          <w:sz w:val="24"/>
          <w:szCs w:val="24"/>
          <w:highlight w:val="none"/>
        </w:rPr>
        <w:t>防护层</w:t>
      </w:r>
      <w:r>
        <w:rPr>
          <w:bCs/>
          <w:color w:val="auto"/>
          <w:sz w:val="24"/>
          <w:szCs w:val="24"/>
          <w:highlight w:val="none"/>
        </w:rPr>
        <w:t>和锚栓组成。</w:t>
      </w:r>
      <w:r>
        <w:rPr>
          <w:rFonts w:hint="eastAsia"/>
          <w:bCs/>
          <w:color w:val="auto"/>
          <w:sz w:val="24"/>
          <w:szCs w:val="24"/>
          <w:highlight w:val="none"/>
        </w:rPr>
        <w:t>其中防水层可采用聚合物水泥防水砂浆或普通防水砂浆；防护层</w:t>
      </w:r>
      <w:r>
        <w:rPr>
          <w:bCs/>
          <w:color w:val="auto"/>
          <w:sz w:val="24"/>
          <w:szCs w:val="24"/>
          <w:highlight w:val="none"/>
        </w:rPr>
        <w:t>中</w:t>
      </w:r>
      <w:r>
        <w:rPr>
          <w:rFonts w:hint="eastAsia"/>
          <w:bCs/>
          <w:color w:val="auto"/>
          <w:sz w:val="24"/>
          <w:szCs w:val="24"/>
          <w:highlight w:val="none"/>
        </w:rPr>
        <w:t>的</w:t>
      </w:r>
      <w:r>
        <w:rPr>
          <w:bCs/>
          <w:color w:val="auto"/>
          <w:sz w:val="24"/>
          <w:szCs w:val="24"/>
          <w:highlight w:val="none"/>
        </w:rPr>
        <w:t>抹面</w:t>
      </w:r>
      <w:r>
        <w:rPr>
          <w:rFonts w:hint="eastAsia"/>
          <w:bCs/>
          <w:color w:val="auto"/>
          <w:sz w:val="24"/>
          <w:szCs w:val="24"/>
          <w:highlight w:val="none"/>
        </w:rPr>
        <w:t>层应采用</w:t>
      </w:r>
      <w:r>
        <w:rPr>
          <w:bCs/>
          <w:color w:val="auto"/>
          <w:sz w:val="24"/>
          <w:szCs w:val="24"/>
          <w:highlight w:val="none"/>
        </w:rPr>
        <w:t>抹面砂浆中压入玻纤网</w:t>
      </w:r>
      <w:r>
        <w:rPr>
          <w:rFonts w:hint="eastAsia"/>
          <w:bCs/>
          <w:color w:val="auto"/>
          <w:sz w:val="24"/>
          <w:szCs w:val="24"/>
          <w:highlight w:val="none"/>
        </w:rPr>
        <w:t>；防护层</w:t>
      </w:r>
      <w:r>
        <w:rPr>
          <w:bCs/>
          <w:color w:val="auto"/>
          <w:sz w:val="24"/>
          <w:szCs w:val="24"/>
          <w:highlight w:val="none"/>
        </w:rPr>
        <w:t>中</w:t>
      </w:r>
      <w:r>
        <w:rPr>
          <w:rFonts w:hint="eastAsia"/>
          <w:bCs/>
          <w:color w:val="auto"/>
          <w:sz w:val="24"/>
          <w:szCs w:val="24"/>
          <w:highlight w:val="none"/>
        </w:rPr>
        <w:t>的</w:t>
      </w:r>
      <w:r>
        <w:rPr>
          <w:bCs/>
          <w:color w:val="auto"/>
          <w:sz w:val="24"/>
          <w:szCs w:val="24"/>
          <w:highlight w:val="none"/>
        </w:rPr>
        <w:t>饰面层可采用涂料、饰面砂浆、柔性面砖等轻质饰面材料（图5.3.1）。</w:t>
      </w:r>
    </w:p>
    <w:p w14:paraId="4155E9A5">
      <w:pPr>
        <w:pStyle w:val="27"/>
        <w:numPr>
          <w:ilvl w:val="0"/>
          <w:numId w:val="0"/>
        </w:numPr>
        <w:spacing w:line="360" w:lineRule="auto"/>
        <w:ind w:leftChars="0"/>
        <w:jc w:val="center"/>
        <w:outlineLvl w:val="2"/>
        <w:rPr>
          <w:highlight w:val="none"/>
        </w:rPr>
      </w:pPr>
      <w:r>
        <w:rPr>
          <w:highlight w:val="none"/>
        </w:rPr>
        <mc:AlternateContent>
          <mc:Choice Requires="wps">
            <w:drawing>
              <wp:anchor distT="0" distB="0" distL="114300" distR="114300" simplePos="0" relativeHeight="251661312" behindDoc="0" locked="0" layoutInCell="1" allowOverlap="1">
                <wp:simplePos x="0" y="0"/>
                <wp:positionH relativeFrom="column">
                  <wp:posOffset>3297555</wp:posOffset>
                </wp:positionH>
                <wp:positionV relativeFrom="paragraph">
                  <wp:posOffset>746760</wp:posOffset>
                </wp:positionV>
                <wp:extent cx="527685" cy="286385"/>
                <wp:effectExtent l="0" t="0" r="5715" b="18415"/>
                <wp:wrapNone/>
                <wp:docPr id="7" name="文本框 7"/>
                <wp:cNvGraphicFramePr/>
                <a:graphic xmlns:a="http://schemas.openxmlformats.org/drawingml/2006/main">
                  <a:graphicData uri="http://schemas.microsoft.com/office/word/2010/wordprocessingShape">
                    <wps:wsp>
                      <wps:cNvSpPr txBox="1"/>
                      <wps:spPr>
                        <a:xfrm>
                          <a:off x="0" y="0"/>
                          <a:ext cx="527685" cy="286385"/>
                        </a:xfrm>
                        <a:prstGeom prst="rect">
                          <a:avLst/>
                        </a:prstGeom>
                        <a:solidFill>
                          <a:srgbClr val="FFFFFF"/>
                        </a:solidFill>
                        <a:ln>
                          <a:noFill/>
                        </a:ln>
                      </wps:spPr>
                      <wps:txbx>
                        <w:txbxContent>
                          <w:p w14:paraId="023DE911">
                            <w:pPr>
                              <w:rPr>
                                <w:rFonts w:hint="default" w:eastAsia="宋体"/>
                                <w:color w:val="auto"/>
                                <w:sz w:val="18"/>
                                <w:szCs w:val="18"/>
                                <w:lang w:val="en-US" w:eastAsia="zh-CN"/>
                              </w:rPr>
                            </w:pPr>
                            <w:r>
                              <w:rPr>
                                <w:rFonts w:hint="eastAsia"/>
                                <w:color w:val="auto"/>
                                <w:sz w:val="18"/>
                                <w:szCs w:val="18"/>
                                <w:lang w:val="en-US" w:eastAsia="zh-CN"/>
                              </w:rPr>
                              <w:t>室外</w:t>
                            </w:r>
                          </w:p>
                        </w:txbxContent>
                      </wps:txbx>
                      <wps:bodyPr upright="1"/>
                    </wps:wsp>
                  </a:graphicData>
                </a:graphic>
              </wp:anchor>
            </w:drawing>
          </mc:Choice>
          <mc:Fallback>
            <w:pict>
              <v:shape id="_x0000_s1026" o:spid="_x0000_s1026" o:spt="202" type="#_x0000_t202" style="position:absolute;left:0pt;margin-left:259.65pt;margin-top:58.8pt;height:22.55pt;width:41.55pt;z-index:251661312;mso-width-relative:page;mso-height-relative:page;" fillcolor="#FFFFFF" filled="t" stroked="f" coordsize="21600,21600" o:gfxdata="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A7CAdgAAAALAQAADwAAAAAAAAABACAAAAAiAAAAZHJzL2Rvd25yZXYueG1s&#10;UEsBAhQAFAAAAAgAh07iQEUYjqO/AQAAdgMAAA4AAAAAAAAAAQAgAAAAJwEAAGRycy9lMm9Eb2Mu&#10;eG1sUEsFBgAAAAAGAAYAWQEAAFgFAAAAAA==&#10;">
                <v:fill on="t" focussize="0,0"/>
                <v:stroke on="f"/>
                <v:imagedata o:title=""/>
                <o:lock v:ext="edit" aspectratio="f"/>
                <v:textbox>
                  <w:txbxContent>
                    <w:p w14:paraId="023DE911">
                      <w:pPr>
                        <w:rPr>
                          <w:rFonts w:hint="default" w:eastAsia="宋体"/>
                          <w:color w:val="auto"/>
                          <w:sz w:val="18"/>
                          <w:szCs w:val="18"/>
                          <w:lang w:val="en-US" w:eastAsia="zh-CN"/>
                        </w:rPr>
                      </w:pPr>
                      <w:r>
                        <w:rPr>
                          <w:rFonts w:hint="eastAsia"/>
                          <w:color w:val="auto"/>
                          <w:sz w:val="18"/>
                          <w:szCs w:val="18"/>
                          <w:lang w:val="en-US" w:eastAsia="zh-CN"/>
                        </w:rPr>
                        <w:t>室外</w:t>
                      </w:r>
                    </w:p>
                  </w:txbxContent>
                </v:textbox>
              </v:shape>
            </w:pict>
          </mc:Fallback>
        </mc:AlternateContent>
      </w:r>
      <w:r>
        <w:rPr>
          <w:highlight w:val="none"/>
        </w:rPr>
        <w:drawing>
          <wp:inline distT="0" distB="0" distL="114300" distR="114300">
            <wp:extent cx="1245870" cy="1727835"/>
            <wp:effectExtent l="0" t="0" r="11430" b="5715"/>
            <wp:docPr id="3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
                    <pic:cNvPicPr>
                      <a:picLocks noChangeAspect="1"/>
                    </pic:cNvPicPr>
                  </pic:nvPicPr>
                  <pic:blipFill>
                    <a:blip r:embed="rId62"/>
                    <a:stretch>
                      <a:fillRect/>
                    </a:stretch>
                  </pic:blipFill>
                  <pic:spPr>
                    <a:xfrm>
                      <a:off x="0" y="0"/>
                      <a:ext cx="1245870" cy="1727835"/>
                    </a:xfrm>
                    <a:prstGeom prst="rect">
                      <a:avLst/>
                    </a:prstGeom>
                    <a:noFill/>
                    <a:ln>
                      <a:noFill/>
                    </a:ln>
                  </pic:spPr>
                </pic:pic>
              </a:graphicData>
            </a:graphic>
          </wp:inline>
        </w:drawing>
      </w:r>
    </w:p>
    <w:p w14:paraId="60A070E6">
      <w:pPr>
        <w:spacing w:line="360" w:lineRule="auto"/>
        <w:jc w:val="center"/>
        <w:rPr>
          <w:rFonts w:hint="eastAsia"/>
          <w:color w:val="auto"/>
          <w:sz w:val="18"/>
          <w:szCs w:val="18"/>
          <w:highlight w:val="none"/>
        </w:rPr>
      </w:pPr>
      <w:r>
        <w:rPr>
          <w:color w:val="auto"/>
          <w:sz w:val="18"/>
          <w:szCs w:val="18"/>
          <w:highlight w:val="none"/>
        </w:rPr>
        <w:t>1—基层墙体；</w:t>
      </w:r>
      <w:r>
        <w:rPr>
          <w:rFonts w:hint="eastAsia"/>
          <w:color w:val="auto"/>
          <w:sz w:val="18"/>
          <w:szCs w:val="18"/>
          <w:highlight w:val="none"/>
        </w:rPr>
        <w:t>2</w:t>
      </w:r>
      <w:r>
        <w:rPr>
          <w:color w:val="auto"/>
          <w:sz w:val="18"/>
          <w:szCs w:val="18"/>
          <w:highlight w:val="none"/>
        </w:rPr>
        <w:t>—</w:t>
      </w:r>
      <w:r>
        <w:rPr>
          <w:rFonts w:hint="eastAsia"/>
          <w:color w:val="auto"/>
          <w:sz w:val="18"/>
          <w:szCs w:val="18"/>
          <w:highlight w:val="none"/>
          <w:lang w:val="en-US" w:eastAsia="zh-CN"/>
        </w:rPr>
        <w:t>防水层</w:t>
      </w:r>
      <w:r>
        <w:rPr>
          <w:rFonts w:hint="eastAsia"/>
          <w:color w:val="auto"/>
          <w:sz w:val="18"/>
          <w:szCs w:val="18"/>
          <w:highlight w:val="none"/>
        </w:rPr>
        <w:t>；3</w:t>
      </w:r>
      <w:r>
        <w:rPr>
          <w:color w:val="auto"/>
          <w:sz w:val="18"/>
          <w:szCs w:val="18"/>
          <w:highlight w:val="none"/>
        </w:rPr>
        <w:t>—</w:t>
      </w:r>
      <w:r>
        <w:rPr>
          <w:rFonts w:hint="eastAsia"/>
          <w:color w:val="auto"/>
          <w:sz w:val="18"/>
          <w:szCs w:val="18"/>
          <w:highlight w:val="none"/>
          <w:lang w:val="en-US" w:eastAsia="zh-CN"/>
        </w:rPr>
        <w:t>粘结层</w:t>
      </w:r>
      <w:r>
        <w:rPr>
          <w:rFonts w:hint="eastAsia"/>
          <w:color w:val="auto"/>
          <w:sz w:val="18"/>
          <w:szCs w:val="18"/>
          <w:highlight w:val="none"/>
        </w:rPr>
        <w:t>；4</w:t>
      </w:r>
      <w:r>
        <w:rPr>
          <w:color w:val="auto"/>
          <w:sz w:val="18"/>
          <w:szCs w:val="18"/>
          <w:highlight w:val="none"/>
        </w:rPr>
        <w:t>—</w:t>
      </w:r>
      <w:r>
        <w:rPr>
          <w:rFonts w:hint="eastAsia"/>
          <w:color w:val="auto"/>
          <w:sz w:val="18"/>
          <w:szCs w:val="18"/>
          <w:highlight w:val="none"/>
        </w:rPr>
        <w:t>套装双真空保温隔热板</w:t>
      </w:r>
      <w:r>
        <w:rPr>
          <w:color w:val="auto"/>
          <w:sz w:val="18"/>
          <w:szCs w:val="18"/>
          <w:highlight w:val="none"/>
        </w:rPr>
        <w:t>；</w:t>
      </w:r>
      <w:r>
        <w:rPr>
          <w:rFonts w:hint="eastAsia"/>
          <w:color w:val="auto"/>
          <w:sz w:val="18"/>
          <w:szCs w:val="18"/>
          <w:highlight w:val="none"/>
        </w:rPr>
        <w:t>5</w:t>
      </w:r>
      <w:r>
        <w:rPr>
          <w:color w:val="auto"/>
          <w:sz w:val="18"/>
          <w:szCs w:val="18"/>
          <w:highlight w:val="none"/>
        </w:rPr>
        <w:t>—</w:t>
      </w:r>
      <w:r>
        <w:rPr>
          <w:rFonts w:hint="eastAsia"/>
          <w:color w:val="auto"/>
          <w:sz w:val="18"/>
          <w:szCs w:val="18"/>
          <w:highlight w:val="none"/>
          <w:lang w:val="en-US" w:eastAsia="zh-CN"/>
        </w:rPr>
        <w:t>抹面层</w:t>
      </w:r>
      <w:r>
        <w:rPr>
          <w:rFonts w:hint="eastAsia"/>
          <w:color w:val="auto"/>
          <w:sz w:val="18"/>
          <w:szCs w:val="18"/>
          <w:highlight w:val="none"/>
        </w:rPr>
        <w:t>（内嵌玻纤网）</w:t>
      </w:r>
      <w:r>
        <w:rPr>
          <w:color w:val="auto"/>
          <w:sz w:val="18"/>
          <w:szCs w:val="18"/>
          <w:highlight w:val="none"/>
        </w:rPr>
        <w:t>；</w:t>
      </w:r>
    </w:p>
    <w:p w14:paraId="03213769">
      <w:pPr>
        <w:pStyle w:val="27"/>
        <w:numPr>
          <w:ilvl w:val="0"/>
          <w:numId w:val="0"/>
        </w:numPr>
        <w:spacing w:line="360" w:lineRule="auto"/>
        <w:ind w:leftChars="0"/>
        <w:jc w:val="center"/>
        <w:outlineLvl w:val="2"/>
        <w:rPr>
          <w:rFonts w:hint="eastAsia" w:eastAsia="宋体"/>
          <w:color w:val="auto"/>
          <w:highlight w:val="none"/>
          <w:lang w:val="en-US" w:eastAsia="zh-CN"/>
        </w:rPr>
      </w:pPr>
      <w:r>
        <w:rPr>
          <w:rFonts w:hint="eastAsia"/>
          <w:color w:val="auto"/>
          <w:sz w:val="18"/>
          <w:szCs w:val="18"/>
          <w:highlight w:val="none"/>
        </w:rPr>
        <w:t>6</w:t>
      </w:r>
      <w:r>
        <w:rPr>
          <w:color w:val="auto"/>
          <w:sz w:val="18"/>
          <w:szCs w:val="18"/>
          <w:highlight w:val="none"/>
        </w:rPr>
        <w:t>—</w:t>
      </w:r>
      <w:r>
        <w:rPr>
          <w:rFonts w:hint="eastAsia"/>
          <w:color w:val="auto"/>
          <w:sz w:val="18"/>
          <w:szCs w:val="18"/>
          <w:highlight w:val="none"/>
          <w:lang w:val="en-US" w:eastAsia="zh-CN"/>
        </w:rPr>
        <w:t>锚栓</w:t>
      </w:r>
      <w:r>
        <w:rPr>
          <w:rFonts w:hint="eastAsia"/>
          <w:color w:val="auto"/>
          <w:sz w:val="18"/>
          <w:szCs w:val="18"/>
          <w:highlight w:val="none"/>
        </w:rPr>
        <w:t>；7</w:t>
      </w:r>
      <w:r>
        <w:rPr>
          <w:color w:val="auto"/>
          <w:sz w:val="18"/>
          <w:szCs w:val="18"/>
          <w:highlight w:val="none"/>
        </w:rPr>
        <w:t>—</w:t>
      </w:r>
      <w:r>
        <w:rPr>
          <w:rFonts w:hint="eastAsia"/>
          <w:color w:val="auto"/>
          <w:sz w:val="18"/>
          <w:szCs w:val="18"/>
          <w:highlight w:val="none"/>
          <w:lang w:val="en-US" w:eastAsia="zh-CN"/>
        </w:rPr>
        <w:t>饰面层</w:t>
      </w:r>
    </w:p>
    <w:p w14:paraId="2B0173AA">
      <w:pPr>
        <w:jc w:val="center"/>
        <w:rPr>
          <w:bCs/>
          <w:color w:val="auto"/>
          <w:sz w:val="24"/>
          <w:szCs w:val="24"/>
          <w:highlight w:val="none"/>
        </w:rPr>
      </w:pPr>
      <w:r>
        <w:rPr>
          <w:color w:val="auto"/>
          <w:highlight w:val="none"/>
        </w:rPr>
        <w:t>图5.3.</w:t>
      </w:r>
      <w:r>
        <w:rPr>
          <w:rFonts w:hint="eastAsia"/>
          <w:color w:val="auto"/>
          <w:highlight w:val="none"/>
          <w:lang w:val="en-US" w:eastAsia="zh-CN"/>
        </w:rPr>
        <w:t>1</w:t>
      </w:r>
      <w:r>
        <w:rPr>
          <w:color w:val="auto"/>
          <w:highlight w:val="none"/>
        </w:rPr>
        <w:t xml:space="preserve"> </w:t>
      </w:r>
      <w:r>
        <w:rPr>
          <w:rFonts w:hint="eastAsia"/>
          <w:color w:val="auto"/>
          <w:highlight w:val="none"/>
        </w:rPr>
        <w:t>套装双真空保温隔热板薄抹灰外墙外保温系统构造示意图</w:t>
      </w:r>
    </w:p>
    <w:p w14:paraId="3737437B">
      <w:pPr>
        <w:pStyle w:val="27"/>
        <w:numPr>
          <w:ilvl w:val="2"/>
          <w:numId w:val="2"/>
        </w:numPr>
        <w:spacing w:line="360" w:lineRule="auto"/>
        <w:ind w:left="0" w:firstLine="0" w:firstLineChars="0"/>
        <w:jc w:val="left"/>
        <w:outlineLvl w:val="2"/>
        <w:rPr>
          <w:bCs/>
          <w:color w:val="auto"/>
          <w:sz w:val="24"/>
          <w:szCs w:val="22"/>
          <w:highlight w:val="none"/>
        </w:rPr>
      </w:pPr>
      <w:r>
        <w:rPr>
          <w:bCs/>
          <w:color w:val="auto"/>
          <w:sz w:val="24"/>
          <w:szCs w:val="22"/>
          <w:highlight w:val="none"/>
        </w:rPr>
        <w:t>套装双真空保温隔热板薄抹灰外墙外保温系统的使用高度不宜超过100m，当高度超过100m时，应做专项设计方案，并应进行技术论证。</w:t>
      </w:r>
    </w:p>
    <w:p w14:paraId="4907B3B4">
      <w:pPr>
        <w:pStyle w:val="27"/>
        <w:spacing w:line="360" w:lineRule="auto"/>
        <w:ind w:firstLine="0" w:firstLineChars="0"/>
        <w:jc w:val="left"/>
        <w:rPr>
          <w:bCs/>
          <w:color w:val="auto"/>
          <w:sz w:val="24"/>
          <w:szCs w:val="22"/>
          <w:highlight w:val="none"/>
        </w:rPr>
      </w:pPr>
      <w:r>
        <w:rPr>
          <w:rFonts w:hint="eastAsia" w:ascii="仿宋_GB2312" w:eastAsia="仿宋_GB2312"/>
          <w:color w:val="auto"/>
          <w:sz w:val="24"/>
          <w:highlight w:val="none"/>
        </w:rPr>
        <w:t>【条文说明】5</w:t>
      </w:r>
      <w:r>
        <w:rPr>
          <w:rFonts w:ascii="仿宋_GB2312" w:eastAsia="仿宋_GB2312"/>
          <w:color w:val="auto"/>
          <w:sz w:val="24"/>
          <w:highlight w:val="none"/>
        </w:rPr>
        <w:t>.3.2  本条文给出了</w:t>
      </w:r>
      <w:r>
        <w:rPr>
          <w:rFonts w:hint="eastAsia" w:ascii="仿宋_GB2312" w:eastAsia="仿宋_GB2312"/>
          <w:color w:val="auto"/>
          <w:sz w:val="24"/>
          <w:highlight w:val="none"/>
        </w:rPr>
        <w:t>套装双真空保温隔热板薄抹灰外墙外保温系统的适宜使用高度，依据了风荷载、安全系数以及现场施工的不确定性制定。</w:t>
      </w:r>
    </w:p>
    <w:p w14:paraId="3F323389">
      <w:pPr>
        <w:pStyle w:val="27"/>
        <w:numPr>
          <w:ilvl w:val="2"/>
          <w:numId w:val="2"/>
        </w:numPr>
        <w:spacing w:line="360" w:lineRule="auto"/>
        <w:ind w:left="0" w:firstLine="0" w:firstLineChars="0"/>
        <w:jc w:val="left"/>
        <w:outlineLvl w:val="2"/>
        <w:rPr>
          <w:bCs/>
          <w:color w:val="auto"/>
          <w:sz w:val="24"/>
          <w:szCs w:val="22"/>
          <w:highlight w:val="none"/>
        </w:rPr>
      </w:pPr>
      <w:r>
        <w:rPr>
          <w:bCs/>
          <w:color w:val="auto"/>
          <w:sz w:val="24"/>
          <w:szCs w:val="24"/>
          <w:highlight w:val="none"/>
        </w:rPr>
        <w:t>套装双真空保温隔热板</w:t>
      </w:r>
      <w:r>
        <w:rPr>
          <w:bCs/>
          <w:color w:val="auto"/>
          <w:sz w:val="24"/>
          <w:szCs w:val="22"/>
          <w:highlight w:val="none"/>
        </w:rPr>
        <w:t>应根据设计图纸绘制排板图，并宜采用合适尺寸的套装双真空保温隔热板将保温墙体整体覆盖；当保温墙体边缘部位不能采用整块套装双真空保温隔热板时，可选用其他保温材料进行处理。</w:t>
      </w:r>
    </w:p>
    <w:p w14:paraId="536B6A75">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套装双真空保温隔热板与基层墙体的固定应符合下列规定：</w:t>
      </w:r>
    </w:p>
    <w:p w14:paraId="2513C9D8">
      <w:pPr>
        <w:pStyle w:val="27"/>
        <w:numPr>
          <w:ilvl w:val="0"/>
          <w:numId w:val="14"/>
        </w:numPr>
        <w:spacing w:line="360" w:lineRule="auto"/>
        <w:ind w:left="0" w:firstLine="480"/>
        <w:rPr>
          <w:bCs/>
          <w:color w:val="auto"/>
          <w:sz w:val="24"/>
          <w:szCs w:val="24"/>
          <w:highlight w:val="none"/>
        </w:rPr>
      </w:pPr>
      <w:r>
        <w:rPr>
          <w:bCs/>
          <w:color w:val="auto"/>
          <w:sz w:val="24"/>
          <w:szCs w:val="24"/>
          <w:highlight w:val="none"/>
        </w:rPr>
        <w:t>其中套装双真空保温隔热板与基层墙体的粘结面积不应低于80%，粘结砂浆厚度宜为5mm～8mm；</w:t>
      </w:r>
    </w:p>
    <w:p w14:paraId="26892E2A">
      <w:pPr>
        <w:pStyle w:val="27"/>
        <w:numPr>
          <w:ilvl w:val="0"/>
          <w:numId w:val="14"/>
        </w:numPr>
        <w:spacing w:line="360" w:lineRule="auto"/>
        <w:ind w:left="0" w:firstLine="480"/>
        <w:rPr>
          <w:bCs/>
          <w:color w:val="auto"/>
          <w:sz w:val="24"/>
          <w:szCs w:val="24"/>
          <w:highlight w:val="none"/>
        </w:rPr>
      </w:pPr>
      <w:r>
        <w:rPr>
          <w:bCs/>
          <w:color w:val="auto"/>
          <w:sz w:val="24"/>
          <w:szCs w:val="24"/>
          <w:highlight w:val="none"/>
        </w:rPr>
        <w:t>对于抗风压要求较高的工程或有特殊安全要求的工程，可根据设计要求采用粘锚结合的固定方式，锚栓不应少于</w:t>
      </w:r>
      <w:r>
        <w:rPr>
          <w:rFonts w:hint="eastAsia"/>
          <w:bCs/>
          <w:color w:val="auto"/>
          <w:sz w:val="24"/>
          <w:szCs w:val="24"/>
          <w:highlight w:val="none"/>
          <w:lang w:val="en-US" w:eastAsia="zh-CN"/>
        </w:rPr>
        <w:t>5</w:t>
      </w:r>
      <w:r>
        <w:rPr>
          <w:bCs/>
          <w:color w:val="auto"/>
          <w:sz w:val="24"/>
          <w:szCs w:val="24"/>
          <w:highlight w:val="none"/>
        </w:rPr>
        <w:t>个/m</w:t>
      </w:r>
      <w:r>
        <w:rPr>
          <w:bCs/>
          <w:color w:val="auto"/>
          <w:sz w:val="24"/>
          <w:szCs w:val="24"/>
          <w:highlight w:val="none"/>
          <w:vertAlign w:val="superscript"/>
        </w:rPr>
        <w:t>2</w:t>
      </w:r>
      <w:r>
        <w:rPr>
          <w:bCs/>
          <w:color w:val="auto"/>
          <w:sz w:val="24"/>
          <w:szCs w:val="24"/>
          <w:highlight w:val="none"/>
        </w:rPr>
        <w:t>，锚栓可固定在</w:t>
      </w:r>
      <w:r>
        <w:rPr>
          <w:bCs/>
          <w:color w:val="auto"/>
          <w:sz w:val="24"/>
          <w:szCs w:val="22"/>
          <w:highlight w:val="none"/>
        </w:rPr>
        <w:t>套装双真空保温隔热板倒角处或竖向板缝中部。</w:t>
      </w:r>
    </w:p>
    <w:p w14:paraId="54FD0C42">
      <w:pPr>
        <w:spacing w:line="360" w:lineRule="auto"/>
        <w:rPr>
          <w:bCs/>
          <w:color w:val="auto"/>
          <w:sz w:val="24"/>
          <w:szCs w:val="24"/>
          <w:highlight w:val="none"/>
        </w:rPr>
      </w:pPr>
      <w:r>
        <w:rPr>
          <w:rFonts w:hint="eastAsia" w:ascii="仿宋_GB2312" w:eastAsia="仿宋_GB2312"/>
          <w:color w:val="auto"/>
          <w:sz w:val="24"/>
          <w:highlight w:val="none"/>
        </w:rPr>
        <w:t>【条文说明】5</w:t>
      </w:r>
      <w:r>
        <w:rPr>
          <w:rFonts w:ascii="仿宋_GB2312" w:eastAsia="仿宋_GB2312"/>
          <w:color w:val="auto"/>
          <w:sz w:val="24"/>
          <w:highlight w:val="none"/>
        </w:rPr>
        <w:t xml:space="preserve">.3.4  </w:t>
      </w:r>
      <w:r>
        <w:rPr>
          <w:rFonts w:hint="eastAsia" w:ascii="仿宋_GB2312" w:eastAsia="仿宋_GB2312"/>
          <w:color w:val="auto"/>
          <w:sz w:val="24"/>
          <w:highlight w:val="none"/>
        </w:rPr>
        <w:t>粘结砂浆的面积不小于80%，主要考虑了风荷载、安全系数以及现场施工的不确定性，80%指的是有效粘贴面积。</w:t>
      </w:r>
    </w:p>
    <w:p w14:paraId="401BD243">
      <w:pPr>
        <w:pStyle w:val="27"/>
        <w:numPr>
          <w:ilvl w:val="2"/>
          <w:numId w:val="2"/>
        </w:numPr>
        <w:spacing w:line="360" w:lineRule="auto"/>
        <w:ind w:left="0" w:firstLine="0" w:firstLineChars="0"/>
        <w:outlineLvl w:val="2"/>
        <w:rPr>
          <w:bCs/>
          <w:color w:val="auto"/>
          <w:sz w:val="24"/>
          <w:szCs w:val="24"/>
          <w:highlight w:val="none"/>
        </w:rPr>
      </w:pPr>
      <w:r>
        <w:rPr>
          <w:bCs/>
          <w:color w:val="auto"/>
          <w:sz w:val="24"/>
          <w:szCs w:val="24"/>
          <w:highlight w:val="none"/>
        </w:rPr>
        <w:t>套装双真空保温隔热板</w:t>
      </w:r>
      <w:r>
        <w:rPr>
          <w:bCs/>
          <w:color w:val="auto"/>
          <w:sz w:val="24"/>
          <w:szCs w:val="22"/>
          <w:highlight w:val="none"/>
        </w:rPr>
        <w:t>粘贴应逐行错缝，</w:t>
      </w:r>
      <w:r>
        <w:rPr>
          <w:rFonts w:hint="eastAsia"/>
          <w:bCs/>
          <w:color w:val="auto"/>
          <w:sz w:val="24"/>
          <w:szCs w:val="22"/>
          <w:highlight w:val="none"/>
        </w:rPr>
        <w:t>上下层</w:t>
      </w:r>
      <w:r>
        <w:rPr>
          <w:bCs/>
          <w:color w:val="auto"/>
          <w:sz w:val="24"/>
          <w:szCs w:val="24"/>
          <w:highlight w:val="none"/>
        </w:rPr>
        <w:t>套装双真空保温隔热板</w:t>
      </w:r>
      <w:r>
        <w:rPr>
          <w:rFonts w:hint="eastAsia"/>
          <w:bCs/>
          <w:color w:val="auto"/>
          <w:sz w:val="24"/>
          <w:szCs w:val="24"/>
          <w:highlight w:val="none"/>
        </w:rPr>
        <w:t>应错缝1/</w:t>
      </w:r>
      <w:r>
        <w:rPr>
          <w:bCs/>
          <w:color w:val="auto"/>
          <w:sz w:val="24"/>
          <w:szCs w:val="24"/>
          <w:highlight w:val="none"/>
        </w:rPr>
        <w:t>2</w:t>
      </w:r>
      <w:r>
        <w:rPr>
          <w:rFonts w:hint="eastAsia"/>
          <w:bCs/>
          <w:color w:val="auto"/>
          <w:sz w:val="24"/>
          <w:szCs w:val="24"/>
          <w:highlight w:val="none"/>
        </w:rPr>
        <w:t>，且</w:t>
      </w:r>
      <w:r>
        <w:rPr>
          <w:bCs/>
          <w:color w:val="auto"/>
          <w:sz w:val="24"/>
          <w:szCs w:val="22"/>
          <w:highlight w:val="none"/>
        </w:rPr>
        <w:t>最小错缝宽度不应小于100mm，板缝宽度不应大于15mm；接缝处应进行防热桥处理，并宜采用保温浆料封堵。</w:t>
      </w:r>
    </w:p>
    <w:p w14:paraId="32AD134B">
      <w:pPr>
        <w:pStyle w:val="27"/>
        <w:spacing w:line="360" w:lineRule="auto"/>
        <w:ind w:firstLine="0" w:firstLineChars="0"/>
        <w:rPr>
          <w:bCs/>
          <w:color w:val="auto"/>
          <w:sz w:val="24"/>
          <w:szCs w:val="24"/>
          <w:highlight w:val="none"/>
        </w:rPr>
      </w:pPr>
      <w:r>
        <w:rPr>
          <w:rFonts w:hint="eastAsia" w:ascii="仿宋_GB2312" w:eastAsia="仿宋_GB2312"/>
          <w:color w:val="auto"/>
          <w:sz w:val="24"/>
          <w:highlight w:val="none"/>
        </w:rPr>
        <w:t>【条文说明】5</w:t>
      </w:r>
      <w:r>
        <w:rPr>
          <w:rFonts w:ascii="仿宋_GB2312" w:eastAsia="仿宋_GB2312"/>
          <w:color w:val="auto"/>
          <w:sz w:val="24"/>
          <w:highlight w:val="none"/>
        </w:rPr>
        <w:t xml:space="preserve">.3.5  </w:t>
      </w:r>
      <w:r>
        <w:rPr>
          <w:rFonts w:hint="eastAsia" w:ascii="仿宋_GB2312" w:eastAsia="仿宋_GB2312"/>
          <w:color w:val="auto"/>
          <w:sz w:val="24"/>
          <w:highlight w:val="none"/>
        </w:rPr>
        <w:t>由于薄抹灰外墙外保温系统中，套装双真空保温隔热板拼接时存在有板缝，必须采用保温浆料或聚氨酯进行封堵，所采用的保温浆料宜具有较小的体积吸水性和与套装双真空保温隔热板较高的粘接强度。</w:t>
      </w:r>
    </w:p>
    <w:p w14:paraId="462044D5">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穿墙套管处无法粘贴套装双真空保温隔热板的位置，宜采用保温浆料填充。</w:t>
      </w:r>
    </w:p>
    <w:p w14:paraId="01AFC4FC">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2"/>
          <w:highlight w:val="none"/>
        </w:rPr>
        <w:t>套装双真空保温隔热板薄抹灰外墙外保温系统抗裂设计应符合下列规定</w:t>
      </w:r>
      <w:r>
        <w:rPr>
          <w:bCs/>
          <w:color w:val="auto"/>
          <w:sz w:val="24"/>
          <w:szCs w:val="24"/>
          <w:highlight w:val="none"/>
        </w:rPr>
        <w:t>：</w:t>
      </w:r>
    </w:p>
    <w:p w14:paraId="299A06FF">
      <w:pPr>
        <w:pStyle w:val="27"/>
        <w:numPr>
          <w:ilvl w:val="0"/>
          <w:numId w:val="15"/>
        </w:numPr>
        <w:spacing w:line="360" w:lineRule="auto"/>
        <w:ind w:left="0" w:firstLine="426" w:firstLineChars="0"/>
        <w:rPr>
          <w:bCs/>
          <w:color w:val="auto"/>
          <w:sz w:val="24"/>
          <w:szCs w:val="24"/>
          <w:highlight w:val="none"/>
        </w:rPr>
      </w:pPr>
      <w:r>
        <w:rPr>
          <w:bCs/>
          <w:color w:val="auto"/>
          <w:sz w:val="24"/>
          <w:szCs w:val="24"/>
          <w:highlight w:val="none"/>
        </w:rPr>
        <w:t>对于易碰撞部位如建筑物首层、门窗口等处的抗裂层中应加铺一层玻纤网；</w:t>
      </w:r>
    </w:p>
    <w:p w14:paraId="0A69440F">
      <w:pPr>
        <w:pStyle w:val="27"/>
        <w:numPr>
          <w:ilvl w:val="0"/>
          <w:numId w:val="15"/>
        </w:numPr>
        <w:spacing w:line="360" w:lineRule="auto"/>
        <w:ind w:left="0" w:firstLine="426" w:firstLineChars="0"/>
        <w:rPr>
          <w:bCs/>
          <w:color w:val="auto"/>
          <w:sz w:val="24"/>
          <w:szCs w:val="24"/>
          <w:highlight w:val="none"/>
        </w:rPr>
      </w:pPr>
      <w:r>
        <w:rPr>
          <w:bCs/>
          <w:color w:val="auto"/>
          <w:sz w:val="24"/>
          <w:szCs w:val="24"/>
          <w:highlight w:val="none"/>
        </w:rPr>
        <w:t>套装双真空保温隔热板的阳角、阴角和门窗洞口处应加强处理，门窗洞口四角应预先沿45º方向设置不小于300mm×400mm的玻纤网；</w:t>
      </w:r>
    </w:p>
    <w:p w14:paraId="4EE94096">
      <w:pPr>
        <w:pStyle w:val="27"/>
        <w:numPr>
          <w:ilvl w:val="0"/>
          <w:numId w:val="15"/>
        </w:numPr>
        <w:spacing w:line="360" w:lineRule="auto"/>
        <w:ind w:left="0" w:firstLine="426" w:firstLineChars="0"/>
        <w:rPr>
          <w:bCs/>
          <w:color w:val="auto"/>
          <w:sz w:val="24"/>
          <w:szCs w:val="24"/>
          <w:highlight w:val="none"/>
        </w:rPr>
      </w:pPr>
      <w:r>
        <w:rPr>
          <w:bCs/>
          <w:color w:val="auto"/>
          <w:sz w:val="24"/>
          <w:szCs w:val="24"/>
          <w:highlight w:val="none"/>
        </w:rPr>
        <w:t>抹面层厚度宜为4mm</w:t>
      </w:r>
      <w:r>
        <w:rPr>
          <w:rFonts w:hint="eastAsia"/>
          <w:bCs/>
          <w:color w:val="auto"/>
          <w:sz w:val="24"/>
          <w:szCs w:val="24"/>
          <w:highlight w:val="none"/>
          <w:lang w:eastAsia="zh-CN"/>
        </w:rPr>
        <w:t>～</w:t>
      </w:r>
      <w:r>
        <w:rPr>
          <w:bCs/>
          <w:color w:val="auto"/>
          <w:sz w:val="24"/>
          <w:szCs w:val="24"/>
          <w:highlight w:val="none"/>
        </w:rPr>
        <w:t>6mm，建筑首层不应小于6mm。</w:t>
      </w:r>
    </w:p>
    <w:p w14:paraId="2991E89E">
      <w:pPr>
        <w:ind w:firstLine="630" w:firstLineChars="300"/>
        <w:jc w:val="left"/>
        <w:rPr>
          <w:color w:val="auto"/>
          <w:sz w:val="24"/>
          <w:szCs w:val="24"/>
          <w:highlight w:val="none"/>
        </w:rPr>
      </w:pPr>
      <w:r>
        <w:rPr>
          <w:color w:val="auto"/>
          <w:highlight w:val="none"/>
        </w:rPr>
        <w:object>
          <v:shape id="_x0000_i1054" o:spt="75" type="#_x0000_t75" style="height:138.65pt;width:175.95pt;" o:ole="t" filled="f" o:preferrelative="t" stroked="f" coordsize="21600,21600">
            <v:path/>
            <v:fill on="f" focussize="0,0"/>
            <v:stroke on="f"/>
            <v:imagedata r:id="rId64" o:title=""/>
            <o:lock v:ext="edit" aspectratio="t"/>
            <w10:wrap type="none"/>
            <w10:anchorlock/>
          </v:shape>
          <o:OLEObject Type="Embed" ProgID="AutoCAD.Drawing.18" ShapeID="_x0000_i1054" DrawAspect="Content" ObjectID="_1468075754" r:id="rId63">
            <o:LockedField>false</o:LockedField>
          </o:OLEObject>
        </w:object>
      </w:r>
      <w:r>
        <w:rPr>
          <w:color w:val="auto"/>
          <w:sz w:val="24"/>
          <w:szCs w:val="24"/>
          <w:highlight w:val="none"/>
        </w:rPr>
        <w:t xml:space="preserve">         </w:t>
      </w:r>
      <w:r>
        <w:rPr>
          <w:color w:val="auto"/>
          <w:highlight w:val="none"/>
        </w:rPr>
        <w:object>
          <v:shape id="_x0000_i1055" o:spt="75" type="#_x0000_t75" style="height:134.5pt;width:151.25pt;" o:ole="t" filled="f" o:preferrelative="t" stroked="f" coordsize="21600,21600">
            <v:path/>
            <v:fill on="f" focussize="0,0"/>
            <v:stroke on="f" joinstyle="miter"/>
            <v:imagedata r:id="rId66" o:title=""/>
            <o:lock v:ext="edit" aspectratio="t"/>
            <w10:wrap type="none"/>
            <w10:anchorlock/>
          </v:shape>
          <o:OLEObject Type="Embed" ProgID="AutoCAD.Drawing.18" ShapeID="_x0000_i1055" DrawAspect="Content" ObjectID="_1468075755" r:id="rId65">
            <o:LockedField>false</o:LockedField>
          </o:OLEObject>
        </w:object>
      </w:r>
    </w:p>
    <w:p w14:paraId="42AE4A62">
      <w:pPr>
        <w:ind w:firstLine="1260" w:firstLineChars="600"/>
        <w:jc w:val="left"/>
        <w:rPr>
          <w:color w:val="auto"/>
          <w:highlight w:val="none"/>
        </w:rPr>
      </w:pPr>
      <w:r>
        <w:rPr>
          <w:rFonts w:hint="eastAsia"/>
          <w:color w:val="auto"/>
          <w:highlight w:val="none"/>
          <w:lang w:eastAsia="zh-CN"/>
        </w:rPr>
        <w:t>（</w:t>
      </w:r>
      <w:r>
        <w:rPr>
          <w:color w:val="auto"/>
          <w:highlight w:val="none"/>
        </w:rPr>
        <w:t>a</w:t>
      </w:r>
      <w:r>
        <w:rPr>
          <w:rFonts w:hint="eastAsia"/>
          <w:color w:val="auto"/>
          <w:highlight w:val="none"/>
          <w:lang w:eastAsia="zh-CN"/>
        </w:rPr>
        <w:t>）</w:t>
      </w:r>
      <w:r>
        <w:rPr>
          <w:color w:val="auto"/>
          <w:highlight w:val="none"/>
        </w:rPr>
        <w:t xml:space="preserve">外墙阳角保温                        </w:t>
      </w:r>
      <w:r>
        <w:rPr>
          <w:rFonts w:hint="eastAsia"/>
          <w:color w:val="auto"/>
          <w:highlight w:val="none"/>
          <w:lang w:eastAsia="zh-CN"/>
        </w:rPr>
        <w:t>（</w:t>
      </w:r>
      <w:r>
        <w:rPr>
          <w:rFonts w:hint="eastAsia"/>
          <w:color w:val="auto"/>
          <w:highlight w:val="none"/>
          <w:lang w:val="en-US" w:eastAsia="zh-CN"/>
        </w:rPr>
        <w:t>b</w:t>
      </w:r>
      <w:r>
        <w:rPr>
          <w:rFonts w:hint="eastAsia"/>
          <w:color w:val="auto"/>
          <w:highlight w:val="none"/>
          <w:lang w:eastAsia="zh-CN"/>
        </w:rPr>
        <w:t>）</w:t>
      </w:r>
      <w:r>
        <w:rPr>
          <w:color w:val="auto"/>
          <w:highlight w:val="none"/>
        </w:rPr>
        <w:t>外墙阴角保温</w:t>
      </w:r>
    </w:p>
    <w:p w14:paraId="3AC4FDF8">
      <w:pPr>
        <w:jc w:val="center"/>
        <w:rPr>
          <w:color w:val="auto"/>
          <w:highlight w:val="none"/>
        </w:rPr>
      </w:pPr>
      <w:r>
        <w:rPr>
          <w:color w:val="auto"/>
          <w:highlight w:val="none"/>
        </w:rPr>
        <w:t>图5.3.7 外墙阳角、阴角保温</w:t>
      </w:r>
    </w:p>
    <w:p w14:paraId="3A70D3AE">
      <w:pPr>
        <w:pStyle w:val="27"/>
        <w:numPr>
          <w:ilvl w:val="2"/>
          <w:numId w:val="2"/>
        </w:numPr>
        <w:spacing w:line="360" w:lineRule="auto"/>
        <w:ind w:left="0" w:firstLine="0" w:firstLineChars="0"/>
        <w:outlineLvl w:val="2"/>
        <w:rPr>
          <w:bCs/>
          <w:color w:val="auto"/>
          <w:sz w:val="24"/>
          <w:szCs w:val="22"/>
          <w:highlight w:val="none"/>
        </w:rPr>
      </w:pPr>
      <w:r>
        <w:rPr>
          <w:rFonts w:hint="eastAsia"/>
          <w:bCs/>
          <w:color w:val="auto"/>
          <w:sz w:val="24"/>
          <w:szCs w:val="22"/>
          <w:highlight w:val="none"/>
        </w:rPr>
        <w:t>勒脚部位保温构造，在距散水300mm</w:t>
      </w:r>
      <w:r>
        <w:rPr>
          <w:rFonts w:hint="eastAsia"/>
          <w:bCs/>
          <w:color w:val="auto"/>
          <w:sz w:val="24"/>
          <w:szCs w:val="22"/>
          <w:highlight w:val="none"/>
          <w:lang w:eastAsia="zh-CN"/>
        </w:rPr>
        <w:t>～</w:t>
      </w:r>
      <w:r>
        <w:rPr>
          <w:rFonts w:hint="eastAsia"/>
          <w:bCs/>
          <w:color w:val="auto"/>
          <w:sz w:val="24"/>
          <w:szCs w:val="22"/>
          <w:highlight w:val="none"/>
        </w:rPr>
        <w:t>600mm高处应设置一道不锈钢或热镀锌金属托架，并</w:t>
      </w:r>
      <w:r>
        <w:rPr>
          <w:rFonts w:hint="eastAsia"/>
          <w:bCs/>
          <w:color w:val="auto"/>
          <w:sz w:val="24"/>
          <w:szCs w:val="22"/>
          <w:highlight w:val="none"/>
          <w:lang w:val="en-US" w:eastAsia="zh-CN"/>
        </w:rPr>
        <w:t>应</w:t>
      </w:r>
      <w:r>
        <w:rPr>
          <w:rFonts w:hint="eastAsia"/>
          <w:bCs/>
          <w:color w:val="auto"/>
          <w:sz w:val="24"/>
          <w:szCs w:val="22"/>
          <w:highlight w:val="none"/>
        </w:rPr>
        <w:t>在托架下侧采用建筑耐候密封胶进行防水密封处理。</w:t>
      </w:r>
      <w:r>
        <w:rPr>
          <w:rFonts w:hint="eastAsia"/>
          <w:bCs/>
          <w:color w:val="auto"/>
          <w:sz w:val="24"/>
          <w:szCs w:val="22"/>
          <w:highlight w:val="none"/>
          <w:lang w:val="en-US" w:eastAsia="zh-CN"/>
        </w:rPr>
        <w:t>托架设计应符合下列规定：</w:t>
      </w:r>
    </w:p>
    <w:p w14:paraId="429948CA">
      <w:pPr>
        <w:pStyle w:val="27"/>
        <w:numPr>
          <w:ilvl w:val="0"/>
          <w:numId w:val="16"/>
        </w:numPr>
        <w:spacing w:line="360" w:lineRule="auto"/>
        <w:ind w:left="0" w:firstLine="426" w:firstLineChars="0"/>
        <w:rPr>
          <w:bCs/>
          <w:color w:val="auto"/>
          <w:sz w:val="24"/>
          <w:szCs w:val="24"/>
          <w:highlight w:val="none"/>
        </w:rPr>
      </w:pPr>
      <w:r>
        <w:rPr>
          <w:rFonts w:hint="eastAsia"/>
          <w:bCs/>
          <w:color w:val="auto"/>
          <w:sz w:val="24"/>
          <w:szCs w:val="24"/>
          <w:highlight w:val="none"/>
        </w:rPr>
        <w:t>托架应水平横向安装，间距不宜大于600mm；</w:t>
      </w:r>
    </w:p>
    <w:p w14:paraId="40BD8164">
      <w:pPr>
        <w:pStyle w:val="27"/>
        <w:numPr>
          <w:ilvl w:val="0"/>
          <w:numId w:val="16"/>
        </w:numPr>
        <w:spacing w:line="360" w:lineRule="auto"/>
        <w:ind w:left="0" w:firstLine="426" w:firstLineChars="0"/>
        <w:rPr>
          <w:bCs/>
          <w:color w:val="auto"/>
          <w:sz w:val="24"/>
          <w:szCs w:val="24"/>
          <w:highlight w:val="none"/>
        </w:rPr>
      </w:pPr>
      <w:r>
        <w:rPr>
          <w:rFonts w:hint="eastAsia"/>
          <w:bCs/>
          <w:color w:val="auto"/>
          <w:sz w:val="24"/>
          <w:szCs w:val="22"/>
          <w:highlight w:val="none"/>
        </w:rPr>
        <w:t>托架</w:t>
      </w:r>
      <w:r>
        <w:rPr>
          <w:rFonts w:hint="eastAsia"/>
          <w:bCs/>
          <w:color w:val="auto"/>
          <w:sz w:val="24"/>
          <w:szCs w:val="22"/>
          <w:highlight w:val="none"/>
          <w:lang w:val="en-US" w:eastAsia="zh-CN"/>
        </w:rPr>
        <w:t>应</w:t>
      </w:r>
      <w:r>
        <w:rPr>
          <w:rFonts w:hint="eastAsia"/>
          <w:bCs/>
          <w:color w:val="auto"/>
          <w:sz w:val="24"/>
          <w:szCs w:val="22"/>
          <w:highlight w:val="none"/>
        </w:rPr>
        <w:t>采用热镀锌膨胀锚栓固定，膨胀锚栓间距不大于500mm，</w:t>
      </w:r>
      <w:r>
        <w:rPr>
          <w:rFonts w:hint="eastAsia"/>
          <w:bCs/>
          <w:color w:val="auto"/>
          <w:sz w:val="24"/>
          <w:szCs w:val="24"/>
          <w:highlight w:val="none"/>
          <w:lang w:val="en-US" w:eastAsia="zh-CN"/>
        </w:rPr>
        <w:t>且</w:t>
      </w:r>
      <w:r>
        <w:rPr>
          <w:rFonts w:hint="eastAsia"/>
          <w:bCs/>
          <w:color w:val="auto"/>
          <w:sz w:val="24"/>
          <w:szCs w:val="24"/>
          <w:highlight w:val="none"/>
        </w:rPr>
        <w:t>钻头直径应与锚栓匹配，钻孔深度应大于胀栓长度</w:t>
      </w:r>
      <w:r>
        <w:rPr>
          <w:rFonts w:hint="eastAsia"/>
          <w:bCs/>
          <w:color w:val="auto"/>
          <w:sz w:val="24"/>
          <w:szCs w:val="24"/>
          <w:highlight w:val="none"/>
          <w:lang w:eastAsia="zh-CN"/>
        </w:rPr>
        <w:t>；</w:t>
      </w:r>
    </w:p>
    <w:p w14:paraId="57052503">
      <w:pPr>
        <w:pStyle w:val="27"/>
        <w:numPr>
          <w:ilvl w:val="0"/>
          <w:numId w:val="16"/>
        </w:numPr>
        <w:spacing w:line="360" w:lineRule="auto"/>
        <w:ind w:left="0" w:firstLine="426" w:firstLineChars="0"/>
        <w:rPr>
          <w:bCs/>
          <w:color w:val="auto"/>
          <w:sz w:val="24"/>
          <w:szCs w:val="24"/>
          <w:highlight w:val="none"/>
        </w:rPr>
      </w:pPr>
      <w:r>
        <w:rPr>
          <w:rFonts w:hint="eastAsia"/>
          <w:bCs/>
          <w:color w:val="auto"/>
          <w:sz w:val="24"/>
          <w:szCs w:val="24"/>
          <w:highlight w:val="none"/>
        </w:rPr>
        <w:t>托架的长度不宜小于150mm，出挑宽度宜为2/3～4/5板厚，与墙体固定端高度不宜小于40mm；</w:t>
      </w:r>
    </w:p>
    <w:p w14:paraId="5353D058">
      <w:pPr>
        <w:pStyle w:val="27"/>
        <w:numPr>
          <w:ilvl w:val="0"/>
          <w:numId w:val="16"/>
        </w:numPr>
        <w:spacing w:line="360" w:lineRule="auto"/>
        <w:ind w:left="0" w:firstLine="426" w:firstLineChars="0"/>
        <w:rPr>
          <w:bCs/>
          <w:color w:val="auto"/>
          <w:sz w:val="24"/>
          <w:szCs w:val="24"/>
          <w:highlight w:val="none"/>
        </w:rPr>
      </w:pPr>
      <w:r>
        <w:rPr>
          <w:rFonts w:hint="eastAsia"/>
          <w:bCs/>
          <w:color w:val="auto"/>
          <w:sz w:val="24"/>
          <w:szCs w:val="24"/>
          <w:highlight w:val="none"/>
        </w:rPr>
        <w:t>托架的材质厚度应经试验确定，且热镀锌薄钢板厚度不应小于1.0mm，铝合金件厚度不应小于2.0mm。</w:t>
      </w:r>
    </w:p>
    <w:p w14:paraId="20D42407">
      <w:pPr>
        <w:pStyle w:val="27"/>
        <w:numPr>
          <w:ilvl w:val="1"/>
          <w:numId w:val="2"/>
        </w:numPr>
        <w:ind w:left="567" w:firstLineChars="0"/>
        <w:jc w:val="center"/>
        <w:outlineLvl w:val="1"/>
        <w:rPr>
          <w:b/>
          <w:bCs w:val="0"/>
          <w:color w:val="auto"/>
          <w:sz w:val="28"/>
          <w:szCs w:val="24"/>
          <w:highlight w:val="none"/>
        </w:rPr>
      </w:pPr>
      <w:bookmarkStart w:id="41" w:name="_Toc3551"/>
      <w:bookmarkStart w:id="42" w:name="_Toc141875144"/>
      <w:r>
        <w:rPr>
          <w:rFonts w:hint="eastAsia"/>
          <w:b/>
          <w:color w:val="auto"/>
          <w:sz w:val="28"/>
          <w:szCs w:val="24"/>
          <w:highlight w:val="none"/>
        </w:rPr>
        <w:t>非透明幕墙套装双真空保温隔热板</w:t>
      </w:r>
      <w:r>
        <w:rPr>
          <w:rFonts w:hint="eastAsia"/>
          <w:b/>
          <w:bCs w:val="0"/>
          <w:color w:val="auto"/>
          <w:sz w:val="28"/>
          <w:szCs w:val="24"/>
          <w:highlight w:val="none"/>
        </w:rPr>
        <w:t>薄抹灰外墙外保温系统设计</w:t>
      </w:r>
      <w:bookmarkEnd w:id="41"/>
    </w:p>
    <w:p w14:paraId="25C08FA6">
      <w:pPr>
        <w:pStyle w:val="27"/>
        <w:numPr>
          <w:ilvl w:val="2"/>
          <w:numId w:val="2"/>
        </w:numPr>
        <w:spacing w:line="360" w:lineRule="auto"/>
        <w:ind w:left="0" w:firstLine="0" w:firstLineChars="0"/>
        <w:jc w:val="left"/>
        <w:outlineLvl w:val="2"/>
        <w:rPr>
          <w:bCs/>
          <w:color w:val="auto"/>
          <w:sz w:val="24"/>
          <w:szCs w:val="24"/>
          <w:highlight w:val="none"/>
        </w:rPr>
      </w:pPr>
      <w:bookmarkStart w:id="43" w:name="_Hlk143277553"/>
      <w:r>
        <w:rPr>
          <w:rFonts w:hint="eastAsia"/>
          <w:bCs/>
          <w:color w:val="auto"/>
          <w:sz w:val="24"/>
          <w:szCs w:val="24"/>
          <w:highlight w:val="none"/>
        </w:rPr>
        <w:t>非透明幕墙套装双真空保温隔热板薄抹灰外墙外保温系统</w:t>
      </w:r>
      <w:bookmarkEnd w:id="43"/>
      <w:r>
        <w:rPr>
          <w:bCs/>
          <w:color w:val="auto"/>
          <w:sz w:val="24"/>
          <w:szCs w:val="24"/>
          <w:highlight w:val="none"/>
        </w:rPr>
        <w:t>应由</w:t>
      </w:r>
      <w:r>
        <w:rPr>
          <w:rFonts w:hint="eastAsia"/>
          <w:bCs/>
          <w:color w:val="auto"/>
          <w:sz w:val="24"/>
          <w:szCs w:val="24"/>
          <w:highlight w:val="none"/>
        </w:rPr>
        <w:t>防水层、</w:t>
      </w:r>
      <w:r>
        <w:rPr>
          <w:bCs/>
          <w:color w:val="auto"/>
          <w:sz w:val="24"/>
          <w:szCs w:val="24"/>
          <w:highlight w:val="none"/>
        </w:rPr>
        <w:t>粘结层、套装双真空保温隔热板、抹面层</w:t>
      </w:r>
      <w:r>
        <w:rPr>
          <w:rFonts w:hint="eastAsia"/>
          <w:bCs/>
          <w:color w:val="auto"/>
          <w:sz w:val="24"/>
          <w:szCs w:val="24"/>
          <w:highlight w:val="none"/>
        </w:rPr>
        <w:t>和非透明幕墙饰面层</w:t>
      </w:r>
      <w:r>
        <w:rPr>
          <w:bCs/>
          <w:color w:val="auto"/>
          <w:sz w:val="24"/>
          <w:szCs w:val="24"/>
          <w:highlight w:val="none"/>
        </w:rPr>
        <w:t>组成（图5.</w:t>
      </w:r>
      <w:r>
        <w:rPr>
          <w:rFonts w:hint="eastAsia"/>
          <w:bCs/>
          <w:color w:val="auto"/>
          <w:sz w:val="24"/>
          <w:szCs w:val="24"/>
          <w:highlight w:val="none"/>
          <w:lang w:val="en-US" w:eastAsia="zh-CN"/>
        </w:rPr>
        <w:t>4</w:t>
      </w:r>
      <w:r>
        <w:rPr>
          <w:bCs/>
          <w:color w:val="auto"/>
          <w:sz w:val="24"/>
          <w:szCs w:val="24"/>
          <w:highlight w:val="none"/>
        </w:rPr>
        <w:t>.1），</w:t>
      </w:r>
      <w:r>
        <w:rPr>
          <w:rFonts w:hint="eastAsia"/>
          <w:bCs/>
          <w:color w:val="auto"/>
          <w:sz w:val="24"/>
          <w:szCs w:val="24"/>
          <w:highlight w:val="none"/>
        </w:rPr>
        <w:t>并应符合下列规定：</w:t>
      </w:r>
    </w:p>
    <w:p w14:paraId="5F8E5922">
      <w:pPr>
        <w:pStyle w:val="27"/>
        <w:numPr>
          <w:ilvl w:val="0"/>
          <w:numId w:val="17"/>
        </w:numPr>
        <w:spacing w:line="360" w:lineRule="auto"/>
        <w:ind w:left="0" w:firstLine="480"/>
        <w:jc w:val="left"/>
        <w:rPr>
          <w:bCs/>
          <w:color w:val="auto"/>
          <w:sz w:val="24"/>
          <w:szCs w:val="24"/>
          <w:highlight w:val="none"/>
        </w:rPr>
      </w:pPr>
      <w:r>
        <w:rPr>
          <w:rFonts w:hint="eastAsia"/>
          <w:bCs/>
          <w:color w:val="auto"/>
          <w:sz w:val="24"/>
          <w:szCs w:val="24"/>
          <w:highlight w:val="none"/>
        </w:rPr>
        <w:t>防水层可采用聚合物水泥防水砂浆、普通防水砂浆、聚合物水泥防水涂料或聚合物乳液防水涂料；</w:t>
      </w:r>
    </w:p>
    <w:p w14:paraId="244E826B">
      <w:pPr>
        <w:pStyle w:val="27"/>
        <w:numPr>
          <w:ilvl w:val="0"/>
          <w:numId w:val="17"/>
        </w:numPr>
        <w:spacing w:line="360" w:lineRule="auto"/>
        <w:ind w:left="0" w:firstLine="480"/>
        <w:jc w:val="left"/>
        <w:rPr>
          <w:bCs/>
          <w:color w:val="auto"/>
          <w:sz w:val="24"/>
          <w:szCs w:val="24"/>
          <w:highlight w:val="none"/>
        </w:rPr>
      </w:pPr>
      <w:r>
        <w:rPr>
          <w:bCs/>
          <w:color w:val="auto"/>
          <w:sz w:val="24"/>
          <w:szCs w:val="24"/>
          <w:highlight w:val="none"/>
        </w:rPr>
        <w:t>抹面层中应压入</w:t>
      </w:r>
      <w:r>
        <w:rPr>
          <w:rFonts w:hint="eastAsia"/>
          <w:bCs/>
          <w:color w:val="auto"/>
          <w:sz w:val="24"/>
          <w:szCs w:val="24"/>
          <w:highlight w:val="none"/>
        </w:rPr>
        <w:t>单层</w:t>
      </w:r>
      <w:r>
        <w:rPr>
          <w:bCs/>
          <w:color w:val="auto"/>
          <w:sz w:val="24"/>
          <w:szCs w:val="24"/>
          <w:highlight w:val="none"/>
        </w:rPr>
        <w:t>玻纤网</w:t>
      </w:r>
      <w:r>
        <w:rPr>
          <w:rFonts w:hint="eastAsia"/>
          <w:bCs/>
          <w:color w:val="auto"/>
          <w:sz w:val="24"/>
          <w:szCs w:val="24"/>
          <w:highlight w:val="none"/>
        </w:rPr>
        <w:t>。</w:t>
      </w:r>
    </w:p>
    <w:p w14:paraId="22A5E8CA">
      <w:pPr>
        <w:pStyle w:val="27"/>
        <w:numPr>
          <w:ilvl w:val="0"/>
          <w:numId w:val="0"/>
        </w:numPr>
        <w:spacing w:line="360" w:lineRule="auto"/>
        <w:ind w:leftChars="200"/>
        <w:jc w:val="center"/>
        <w:rPr>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3649345</wp:posOffset>
                </wp:positionH>
                <wp:positionV relativeFrom="paragraph">
                  <wp:posOffset>828040</wp:posOffset>
                </wp:positionV>
                <wp:extent cx="527685" cy="286385"/>
                <wp:effectExtent l="0" t="0" r="5715" b="18415"/>
                <wp:wrapNone/>
                <wp:docPr id="10" name="文本框 10"/>
                <wp:cNvGraphicFramePr/>
                <a:graphic xmlns:a="http://schemas.openxmlformats.org/drawingml/2006/main">
                  <a:graphicData uri="http://schemas.microsoft.com/office/word/2010/wordprocessingShape">
                    <wps:wsp>
                      <wps:cNvSpPr txBox="1"/>
                      <wps:spPr>
                        <a:xfrm>
                          <a:off x="0" y="0"/>
                          <a:ext cx="527685" cy="286385"/>
                        </a:xfrm>
                        <a:prstGeom prst="rect">
                          <a:avLst/>
                        </a:prstGeom>
                        <a:solidFill>
                          <a:srgbClr val="FFFFFF"/>
                        </a:solidFill>
                        <a:ln>
                          <a:noFill/>
                        </a:ln>
                      </wps:spPr>
                      <wps:txbx>
                        <w:txbxContent>
                          <w:p w14:paraId="1244FC35">
                            <w:pPr>
                              <w:rPr>
                                <w:sz w:val="18"/>
                                <w:szCs w:val="18"/>
                              </w:rPr>
                            </w:pPr>
                            <w:r>
                              <w:rPr>
                                <w:rFonts w:hint="eastAsia"/>
                                <w:color w:val="auto"/>
                                <w:sz w:val="18"/>
                                <w:szCs w:val="18"/>
                              </w:rPr>
                              <w:t>室外</w:t>
                            </w:r>
                          </w:p>
                        </w:txbxContent>
                      </wps:txbx>
                      <wps:bodyPr upright="1"/>
                    </wps:wsp>
                  </a:graphicData>
                </a:graphic>
              </wp:anchor>
            </w:drawing>
          </mc:Choice>
          <mc:Fallback>
            <w:pict>
              <v:shape id="_x0000_s1026" o:spid="_x0000_s1026" o:spt="202" type="#_x0000_t202" style="position:absolute;left:0pt;margin-left:287.35pt;margin-top:65.2pt;height:22.55pt;width:41.55pt;z-index:251662336;mso-width-relative:page;mso-height-relative:page;" fillcolor="#FFFFFF" filled="t" stroked="f" coordsize="21600,21600" o:gfxdata="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bUvTr1wAAAAsBAAAPAAAAAAAAAAEAIAAAACIAAABkcnMvZG93bnJldi54bWxQ&#10;SwECFAAUAAAACACHTuJAG602Ir8BAAB4AwAADgAAAAAAAAABACAAAAAmAQAAZHJzL2Uyb0RvYy54&#10;bWxQSwUGAAAAAAYABgBZAQAAVwUAAAAA&#10;">
                <v:fill on="t" focussize="0,0"/>
                <v:stroke on="f"/>
                <v:imagedata o:title=""/>
                <o:lock v:ext="edit" aspectratio="f"/>
                <v:textbox>
                  <w:txbxContent>
                    <w:p w14:paraId="1244FC35">
                      <w:pPr>
                        <w:rPr>
                          <w:sz w:val="18"/>
                          <w:szCs w:val="18"/>
                        </w:rPr>
                      </w:pPr>
                      <w:r>
                        <w:rPr>
                          <w:rFonts w:hint="eastAsia"/>
                          <w:color w:val="auto"/>
                          <w:sz w:val="18"/>
                          <w:szCs w:val="18"/>
                        </w:rPr>
                        <w:t>室外</w:t>
                      </w:r>
                    </w:p>
                  </w:txbxContent>
                </v:textbox>
              </v:shape>
            </w:pict>
          </mc:Fallback>
        </mc:AlternateContent>
      </w:r>
      <w:r>
        <w:rPr>
          <w:highlight w:val="none"/>
        </w:rPr>
        <w:drawing>
          <wp:inline distT="0" distB="0" distL="114300" distR="114300">
            <wp:extent cx="1444625" cy="1740535"/>
            <wp:effectExtent l="0" t="0" r="3175" b="12065"/>
            <wp:docPr id="3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5"/>
                    <pic:cNvPicPr>
                      <a:picLocks noChangeAspect="1"/>
                    </pic:cNvPicPr>
                  </pic:nvPicPr>
                  <pic:blipFill>
                    <a:blip r:embed="rId67"/>
                    <a:stretch>
                      <a:fillRect/>
                    </a:stretch>
                  </pic:blipFill>
                  <pic:spPr>
                    <a:xfrm>
                      <a:off x="0" y="0"/>
                      <a:ext cx="1444625" cy="1740535"/>
                    </a:xfrm>
                    <a:prstGeom prst="rect">
                      <a:avLst/>
                    </a:prstGeom>
                    <a:noFill/>
                    <a:ln>
                      <a:noFill/>
                    </a:ln>
                  </pic:spPr>
                </pic:pic>
              </a:graphicData>
            </a:graphic>
          </wp:inline>
        </w:drawing>
      </w:r>
    </w:p>
    <w:p w14:paraId="3F7FE46F">
      <w:pPr>
        <w:spacing w:line="360" w:lineRule="auto"/>
        <w:jc w:val="center"/>
        <w:rPr>
          <w:rFonts w:hint="eastAsia"/>
          <w:color w:val="auto"/>
          <w:sz w:val="18"/>
          <w:szCs w:val="18"/>
          <w:highlight w:val="none"/>
        </w:rPr>
      </w:pPr>
      <w:r>
        <w:rPr>
          <w:color w:val="auto"/>
          <w:sz w:val="18"/>
          <w:szCs w:val="18"/>
          <w:highlight w:val="none"/>
        </w:rPr>
        <w:t>1—基层墙体；</w:t>
      </w:r>
      <w:r>
        <w:rPr>
          <w:rFonts w:hint="eastAsia"/>
          <w:color w:val="auto"/>
          <w:sz w:val="18"/>
          <w:szCs w:val="18"/>
          <w:highlight w:val="none"/>
        </w:rPr>
        <w:t>2</w:t>
      </w:r>
      <w:r>
        <w:rPr>
          <w:color w:val="auto"/>
          <w:sz w:val="18"/>
          <w:szCs w:val="18"/>
          <w:highlight w:val="none"/>
        </w:rPr>
        <w:t>—</w:t>
      </w:r>
      <w:r>
        <w:rPr>
          <w:rFonts w:hint="eastAsia"/>
          <w:color w:val="auto"/>
          <w:sz w:val="18"/>
          <w:szCs w:val="18"/>
          <w:highlight w:val="none"/>
          <w:lang w:val="en-US" w:eastAsia="zh-CN"/>
        </w:rPr>
        <w:t>防水层</w:t>
      </w:r>
      <w:r>
        <w:rPr>
          <w:rFonts w:hint="eastAsia"/>
          <w:color w:val="auto"/>
          <w:sz w:val="18"/>
          <w:szCs w:val="18"/>
          <w:highlight w:val="none"/>
        </w:rPr>
        <w:t>；3</w:t>
      </w:r>
      <w:r>
        <w:rPr>
          <w:color w:val="auto"/>
          <w:sz w:val="18"/>
          <w:szCs w:val="18"/>
          <w:highlight w:val="none"/>
        </w:rPr>
        <w:t>—</w:t>
      </w:r>
      <w:r>
        <w:rPr>
          <w:rFonts w:hint="eastAsia"/>
          <w:color w:val="auto"/>
          <w:sz w:val="18"/>
          <w:szCs w:val="18"/>
          <w:highlight w:val="none"/>
          <w:lang w:val="en-US" w:eastAsia="zh-CN"/>
        </w:rPr>
        <w:t>粘结层</w:t>
      </w:r>
      <w:r>
        <w:rPr>
          <w:rFonts w:hint="eastAsia"/>
          <w:color w:val="auto"/>
          <w:sz w:val="18"/>
          <w:szCs w:val="18"/>
          <w:highlight w:val="none"/>
        </w:rPr>
        <w:t>；4</w:t>
      </w:r>
      <w:r>
        <w:rPr>
          <w:color w:val="auto"/>
          <w:sz w:val="18"/>
          <w:szCs w:val="18"/>
          <w:highlight w:val="none"/>
        </w:rPr>
        <w:t>—</w:t>
      </w:r>
      <w:r>
        <w:rPr>
          <w:rFonts w:hint="eastAsia"/>
          <w:color w:val="auto"/>
          <w:sz w:val="18"/>
          <w:szCs w:val="18"/>
          <w:highlight w:val="none"/>
          <w:lang w:val="en-US" w:eastAsia="zh-CN"/>
        </w:rPr>
        <w:t>非透明幕墙</w:t>
      </w:r>
      <w:r>
        <w:rPr>
          <w:color w:val="auto"/>
          <w:sz w:val="18"/>
          <w:szCs w:val="18"/>
          <w:highlight w:val="none"/>
        </w:rPr>
        <w:t>；</w:t>
      </w:r>
      <w:r>
        <w:rPr>
          <w:rFonts w:hint="eastAsia"/>
          <w:color w:val="auto"/>
          <w:sz w:val="18"/>
          <w:szCs w:val="18"/>
          <w:highlight w:val="none"/>
        </w:rPr>
        <w:t>5</w:t>
      </w:r>
      <w:r>
        <w:rPr>
          <w:color w:val="auto"/>
          <w:sz w:val="18"/>
          <w:szCs w:val="18"/>
          <w:highlight w:val="none"/>
        </w:rPr>
        <w:t>—</w:t>
      </w:r>
      <w:r>
        <w:rPr>
          <w:rFonts w:hint="eastAsia"/>
          <w:color w:val="auto"/>
          <w:sz w:val="18"/>
          <w:szCs w:val="18"/>
          <w:highlight w:val="none"/>
        </w:rPr>
        <w:t>套装双真空保温隔热板</w:t>
      </w:r>
      <w:r>
        <w:rPr>
          <w:color w:val="auto"/>
          <w:sz w:val="18"/>
          <w:szCs w:val="18"/>
          <w:highlight w:val="none"/>
        </w:rPr>
        <w:t>；</w:t>
      </w:r>
    </w:p>
    <w:p w14:paraId="56739051">
      <w:pPr>
        <w:pStyle w:val="27"/>
        <w:numPr>
          <w:ilvl w:val="0"/>
          <w:numId w:val="0"/>
        </w:numPr>
        <w:spacing w:line="360" w:lineRule="auto"/>
        <w:ind w:leftChars="0"/>
        <w:jc w:val="center"/>
        <w:outlineLvl w:val="2"/>
        <w:rPr>
          <w:rFonts w:hint="eastAsia"/>
          <w:color w:val="auto"/>
          <w:sz w:val="18"/>
          <w:szCs w:val="18"/>
          <w:highlight w:val="none"/>
          <w:lang w:val="en-US" w:eastAsia="zh-CN"/>
        </w:rPr>
      </w:pPr>
      <w:r>
        <w:rPr>
          <w:rFonts w:hint="eastAsia"/>
          <w:color w:val="auto"/>
          <w:sz w:val="18"/>
          <w:szCs w:val="18"/>
          <w:highlight w:val="none"/>
        </w:rPr>
        <w:t>6</w:t>
      </w:r>
      <w:r>
        <w:rPr>
          <w:color w:val="auto"/>
          <w:sz w:val="18"/>
          <w:szCs w:val="18"/>
          <w:highlight w:val="none"/>
        </w:rPr>
        <w:t>—</w:t>
      </w:r>
      <w:r>
        <w:rPr>
          <w:rFonts w:hint="eastAsia"/>
          <w:color w:val="auto"/>
          <w:sz w:val="18"/>
          <w:szCs w:val="18"/>
          <w:highlight w:val="none"/>
          <w:lang w:val="en-US" w:eastAsia="zh-CN"/>
        </w:rPr>
        <w:t>抹面层</w:t>
      </w:r>
      <w:r>
        <w:rPr>
          <w:rFonts w:hint="eastAsia"/>
          <w:color w:val="auto"/>
          <w:sz w:val="18"/>
          <w:szCs w:val="18"/>
          <w:highlight w:val="none"/>
        </w:rPr>
        <w:t>（内嵌玻纤网）；7</w:t>
      </w:r>
      <w:r>
        <w:rPr>
          <w:color w:val="auto"/>
          <w:sz w:val="18"/>
          <w:szCs w:val="18"/>
          <w:highlight w:val="none"/>
        </w:rPr>
        <w:t>—</w:t>
      </w:r>
      <w:r>
        <w:rPr>
          <w:rFonts w:hint="eastAsia"/>
          <w:color w:val="auto"/>
          <w:sz w:val="18"/>
          <w:szCs w:val="18"/>
          <w:highlight w:val="none"/>
          <w:lang w:val="en-US" w:eastAsia="zh-CN"/>
        </w:rPr>
        <w:t>饰面层</w:t>
      </w:r>
    </w:p>
    <w:p w14:paraId="29B7BFED">
      <w:pPr>
        <w:jc w:val="center"/>
        <w:rPr>
          <w:rFonts w:hint="eastAsia"/>
          <w:color w:val="auto"/>
          <w:sz w:val="18"/>
          <w:szCs w:val="18"/>
          <w:highlight w:val="none"/>
          <w:lang w:val="en-US" w:eastAsia="zh-CN"/>
        </w:rPr>
      </w:pPr>
      <w:r>
        <w:rPr>
          <w:color w:val="auto"/>
          <w:highlight w:val="none"/>
        </w:rPr>
        <w:t>图5.</w:t>
      </w:r>
      <w:r>
        <w:rPr>
          <w:rFonts w:hint="eastAsia"/>
          <w:color w:val="auto"/>
          <w:highlight w:val="none"/>
          <w:lang w:val="en-US" w:eastAsia="zh-CN"/>
        </w:rPr>
        <w:t>4</w:t>
      </w:r>
      <w:r>
        <w:rPr>
          <w:color w:val="auto"/>
          <w:highlight w:val="none"/>
        </w:rPr>
        <w:t>.</w:t>
      </w:r>
      <w:r>
        <w:rPr>
          <w:rFonts w:hint="eastAsia"/>
          <w:color w:val="auto"/>
          <w:highlight w:val="none"/>
          <w:lang w:val="en-US" w:eastAsia="zh-CN"/>
        </w:rPr>
        <w:t>1</w:t>
      </w:r>
      <w:r>
        <w:rPr>
          <w:color w:val="auto"/>
          <w:highlight w:val="none"/>
        </w:rPr>
        <w:t xml:space="preserve"> </w:t>
      </w:r>
      <w:r>
        <w:rPr>
          <w:rFonts w:hint="eastAsia"/>
          <w:color w:val="auto"/>
          <w:highlight w:val="none"/>
        </w:rPr>
        <w:t>非透明幕墙套装双真空保温隔热板薄抹灰外墙外保温系统构造示意图</w:t>
      </w:r>
    </w:p>
    <w:p w14:paraId="5673DF75">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套装双真空保温隔热板应采用满粘方式与基层墙体可靠固定。</w:t>
      </w:r>
    </w:p>
    <w:p w14:paraId="53F364D9">
      <w:pPr>
        <w:pStyle w:val="27"/>
        <w:numPr>
          <w:ilvl w:val="2"/>
          <w:numId w:val="2"/>
        </w:numPr>
        <w:spacing w:line="360" w:lineRule="auto"/>
        <w:ind w:left="0" w:firstLine="0" w:firstLineChars="0"/>
        <w:outlineLvl w:val="2"/>
        <w:rPr>
          <w:bCs/>
          <w:color w:val="auto"/>
          <w:sz w:val="28"/>
          <w:szCs w:val="24"/>
          <w:highlight w:val="none"/>
        </w:rPr>
      </w:pPr>
      <w:r>
        <w:rPr>
          <w:rFonts w:hint="eastAsia"/>
          <w:bCs/>
          <w:color w:val="auto"/>
          <w:sz w:val="24"/>
          <w:szCs w:val="24"/>
          <w:highlight w:val="none"/>
        </w:rPr>
        <w:t>套装双真空保温隔热板的粘结与排布应符合本规程第</w:t>
      </w:r>
      <w:r>
        <w:rPr>
          <w:bCs/>
          <w:color w:val="auto"/>
          <w:sz w:val="24"/>
          <w:szCs w:val="24"/>
          <w:highlight w:val="none"/>
        </w:rPr>
        <w:t>5.3.4</w:t>
      </w:r>
      <w:r>
        <w:rPr>
          <w:rFonts w:hint="eastAsia"/>
          <w:bCs/>
          <w:color w:val="auto"/>
          <w:sz w:val="24"/>
          <w:szCs w:val="24"/>
          <w:highlight w:val="none"/>
        </w:rPr>
        <w:t>条</w:t>
      </w:r>
      <w:r>
        <w:rPr>
          <w:rFonts w:hint="eastAsia"/>
          <w:bCs/>
          <w:color w:val="auto"/>
          <w:sz w:val="24"/>
          <w:szCs w:val="24"/>
          <w:highlight w:val="none"/>
          <w:lang w:eastAsia="zh-CN"/>
        </w:rPr>
        <w:t>～</w:t>
      </w:r>
      <w:r>
        <w:rPr>
          <w:rFonts w:hint="eastAsia"/>
          <w:bCs/>
          <w:color w:val="auto"/>
          <w:sz w:val="24"/>
          <w:szCs w:val="24"/>
          <w:highlight w:val="none"/>
        </w:rPr>
        <w:t>第</w:t>
      </w:r>
      <w:r>
        <w:rPr>
          <w:bCs/>
          <w:color w:val="auto"/>
          <w:sz w:val="24"/>
          <w:szCs w:val="24"/>
          <w:highlight w:val="none"/>
        </w:rPr>
        <w:t>5.3.5</w:t>
      </w:r>
      <w:r>
        <w:rPr>
          <w:rFonts w:hint="eastAsia"/>
          <w:bCs/>
          <w:color w:val="auto"/>
          <w:sz w:val="24"/>
          <w:szCs w:val="24"/>
          <w:highlight w:val="none"/>
        </w:rPr>
        <w:t>条的有关规定。</w:t>
      </w:r>
    </w:p>
    <w:p w14:paraId="36FE078D">
      <w:pPr>
        <w:pStyle w:val="27"/>
        <w:numPr>
          <w:ilvl w:val="1"/>
          <w:numId w:val="2"/>
        </w:numPr>
        <w:ind w:left="567" w:firstLineChars="0"/>
        <w:jc w:val="center"/>
        <w:outlineLvl w:val="1"/>
        <w:rPr>
          <w:b/>
          <w:bCs w:val="0"/>
          <w:color w:val="auto"/>
          <w:sz w:val="28"/>
          <w:szCs w:val="24"/>
          <w:highlight w:val="none"/>
        </w:rPr>
      </w:pPr>
      <w:bookmarkStart w:id="44" w:name="_Toc27508"/>
      <w:r>
        <w:rPr>
          <w:b/>
          <w:bCs w:val="0"/>
          <w:color w:val="auto"/>
          <w:sz w:val="28"/>
          <w:szCs w:val="24"/>
          <w:highlight w:val="none"/>
        </w:rPr>
        <w:t>套装双真空保温隔热板薄抹灰外墙内保温系统设计</w:t>
      </w:r>
      <w:bookmarkEnd w:id="42"/>
      <w:bookmarkEnd w:id="44"/>
    </w:p>
    <w:p w14:paraId="4625F393">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套装双真空保温隔热板薄抹灰外墙内保温系统应由粘结层、套装双真空保温隔热板</w:t>
      </w:r>
      <w:r>
        <w:rPr>
          <w:rFonts w:hint="eastAsia"/>
          <w:bCs/>
          <w:color w:val="auto"/>
          <w:sz w:val="24"/>
          <w:szCs w:val="24"/>
          <w:highlight w:val="none"/>
        </w:rPr>
        <w:t>和防护层</w:t>
      </w:r>
      <w:r>
        <w:rPr>
          <w:bCs/>
          <w:color w:val="auto"/>
          <w:sz w:val="24"/>
          <w:szCs w:val="24"/>
          <w:highlight w:val="none"/>
        </w:rPr>
        <w:t>组成（图5.</w:t>
      </w:r>
      <w:r>
        <w:rPr>
          <w:rFonts w:hint="eastAsia"/>
          <w:bCs/>
          <w:color w:val="auto"/>
          <w:sz w:val="24"/>
          <w:szCs w:val="24"/>
          <w:highlight w:val="none"/>
          <w:lang w:val="en-US" w:eastAsia="zh-CN"/>
        </w:rPr>
        <w:t>5</w:t>
      </w:r>
      <w:r>
        <w:rPr>
          <w:bCs/>
          <w:color w:val="auto"/>
          <w:sz w:val="24"/>
          <w:szCs w:val="24"/>
          <w:highlight w:val="none"/>
        </w:rPr>
        <w:t>.1），</w:t>
      </w:r>
      <w:r>
        <w:rPr>
          <w:rFonts w:hint="eastAsia"/>
          <w:bCs/>
          <w:color w:val="auto"/>
          <w:sz w:val="24"/>
          <w:szCs w:val="24"/>
          <w:highlight w:val="none"/>
        </w:rPr>
        <w:t>并应符合下列规定：</w:t>
      </w:r>
    </w:p>
    <w:p w14:paraId="7EF1F492">
      <w:pPr>
        <w:pStyle w:val="27"/>
        <w:numPr>
          <w:ilvl w:val="0"/>
          <w:numId w:val="18"/>
        </w:numPr>
        <w:spacing w:line="360" w:lineRule="auto"/>
        <w:ind w:firstLineChars="0"/>
        <w:jc w:val="left"/>
        <w:rPr>
          <w:bCs/>
          <w:color w:val="auto"/>
          <w:sz w:val="24"/>
          <w:szCs w:val="24"/>
          <w:highlight w:val="none"/>
        </w:rPr>
      </w:pPr>
      <w:r>
        <w:rPr>
          <w:bCs/>
          <w:color w:val="auto"/>
          <w:sz w:val="24"/>
          <w:szCs w:val="24"/>
          <w:highlight w:val="none"/>
        </w:rPr>
        <w:t>套装双真空保温隔热板应采用粘结砂浆粘贴固定在基层墙体上，</w:t>
      </w:r>
    </w:p>
    <w:p w14:paraId="0F8327C0">
      <w:pPr>
        <w:pStyle w:val="27"/>
        <w:numPr>
          <w:ilvl w:val="0"/>
          <w:numId w:val="18"/>
        </w:numPr>
        <w:spacing w:line="360" w:lineRule="auto"/>
        <w:ind w:left="0" w:firstLine="480"/>
        <w:jc w:val="left"/>
        <w:rPr>
          <w:bCs/>
          <w:color w:val="auto"/>
          <w:sz w:val="24"/>
          <w:szCs w:val="24"/>
          <w:highlight w:val="none"/>
        </w:rPr>
      </w:pPr>
      <w:r>
        <w:rPr>
          <w:rFonts w:hint="eastAsia"/>
          <w:bCs/>
          <w:color w:val="auto"/>
          <w:sz w:val="24"/>
          <w:szCs w:val="24"/>
          <w:highlight w:val="none"/>
        </w:rPr>
        <w:t>防护层中的</w:t>
      </w:r>
      <w:r>
        <w:rPr>
          <w:bCs/>
          <w:color w:val="auto"/>
          <w:sz w:val="24"/>
          <w:szCs w:val="24"/>
          <w:highlight w:val="none"/>
        </w:rPr>
        <w:t>抹面层中应压入玻纤网</w:t>
      </w:r>
      <w:r>
        <w:rPr>
          <w:rFonts w:hint="eastAsia"/>
          <w:bCs/>
          <w:color w:val="auto"/>
          <w:sz w:val="24"/>
          <w:szCs w:val="24"/>
          <w:highlight w:val="none"/>
        </w:rPr>
        <w:t>；</w:t>
      </w:r>
    </w:p>
    <w:p w14:paraId="778151CD">
      <w:pPr>
        <w:pStyle w:val="27"/>
        <w:numPr>
          <w:ilvl w:val="0"/>
          <w:numId w:val="18"/>
        </w:numPr>
        <w:spacing w:line="360" w:lineRule="auto"/>
        <w:ind w:left="0" w:firstLine="480"/>
        <w:jc w:val="left"/>
        <w:rPr>
          <w:bCs/>
          <w:color w:val="auto"/>
          <w:sz w:val="24"/>
          <w:szCs w:val="24"/>
          <w:highlight w:val="none"/>
        </w:rPr>
      </w:pPr>
      <w:r>
        <w:rPr>
          <w:rFonts w:hint="eastAsia"/>
          <w:bCs/>
          <w:color w:val="auto"/>
          <w:sz w:val="24"/>
          <w:szCs w:val="24"/>
          <w:highlight w:val="none"/>
        </w:rPr>
        <w:t>防护层中</w:t>
      </w:r>
      <w:r>
        <w:rPr>
          <w:bCs/>
          <w:color w:val="auto"/>
          <w:sz w:val="24"/>
          <w:szCs w:val="24"/>
          <w:highlight w:val="none"/>
        </w:rPr>
        <w:t>饰面层可采用涂料和墙纸或墙布等</w:t>
      </w:r>
      <w:r>
        <w:rPr>
          <w:rFonts w:hint="eastAsia"/>
          <w:bCs/>
          <w:color w:val="auto"/>
          <w:sz w:val="24"/>
          <w:szCs w:val="24"/>
          <w:highlight w:val="none"/>
        </w:rPr>
        <w:t>。</w:t>
      </w:r>
    </w:p>
    <w:p w14:paraId="45711B44">
      <w:pPr>
        <w:pStyle w:val="27"/>
        <w:numPr>
          <w:ilvl w:val="0"/>
          <w:numId w:val="0"/>
        </w:numPr>
        <w:spacing w:line="360" w:lineRule="auto"/>
        <w:ind w:leftChars="200"/>
        <w:jc w:val="center"/>
        <w:rPr>
          <w:highlight w:val="none"/>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3613785</wp:posOffset>
                </wp:positionH>
                <wp:positionV relativeFrom="paragraph">
                  <wp:posOffset>737870</wp:posOffset>
                </wp:positionV>
                <wp:extent cx="527685" cy="286385"/>
                <wp:effectExtent l="0" t="0" r="5715" b="18415"/>
                <wp:wrapNone/>
                <wp:docPr id="12" name="文本框 12"/>
                <wp:cNvGraphicFramePr/>
                <a:graphic xmlns:a="http://schemas.openxmlformats.org/drawingml/2006/main">
                  <a:graphicData uri="http://schemas.microsoft.com/office/word/2010/wordprocessingShape">
                    <wps:wsp>
                      <wps:cNvSpPr txBox="1"/>
                      <wps:spPr>
                        <a:xfrm>
                          <a:off x="0" y="0"/>
                          <a:ext cx="527685" cy="286385"/>
                        </a:xfrm>
                        <a:prstGeom prst="rect">
                          <a:avLst/>
                        </a:prstGeom>
                        <a:solidFill>
                          <a:srgbClr val="FFFFFF"/>
                        </a:solidFill>
                        <a:ln>
                          <a:noFill/>
                        </a:ln>
                      </wps:spPr>
                      <wps:txbx>
                        <w:txbxContent>
                          <w:p w14:paraId="6F8EDA89">
                            <w:pPr>
                              <w:rPr>
                                <w:sz w:val="18"/>
                                <w:szCs w:val="18"/>
                              </w:rPr>
                            </w:pPr>
                            <w:r>
                              <w:rPr>
                                <w:rFonts w:hint="eastAsia"/>
                                <w:color w:val="auto"/>
                                <w:sz w:val="18"/>
                                <w:szCs w:val="18"/>
                              </w:rPr>
                              <w:t>室外</w:t>
                            </w:r>
                          </w:p>
                        </w:txbxContent>
                      </wps:txbx>
                      <wps:bodyPr upright="1"/>
                    </wps:wsp>
                  </a:graphicData>
                </a:graphic>
              </wp:anchor>
            </w:drawing>
          </mc:Choice>
          <mc:Fallback>
            <w:pict>
              <v:shape id="_x0000_s1026" o:spid="_x0000_s1026" o:spt="202" type="#_x0000_t202" style="position:absolute;left:0pt;margin-left:284.55pt;margin-top:58.1pt;height:22.55pt;width:41.55pt;z-index:251663360;mso-width-relative:page;mso-height-relative:page;" fillcolor="#FFFFFF" filled="t" stroked="f" coordsize="21600,21600" o:gfxdata="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k1ASPYAAAACwEAAA8AAAAAAAAAAQAgAAAAIgAAAGRycy9kb3ducmV2Lnht&#10;bFBLAQIUABQAAAAIAIdO4kAfUyfswAEAAHgDAAAOAAAAAAAAAAEAIAAAACcBAABkcnMvZTJvRG9j&#10;LnhtbFBLBQYAAAAABgAGAFkBAABZBQAAAAA=&#10;">
                <v:fill on="t" focussize="0,0"/>
                <v:stroke on="f"/>
                <v:imagedata o:title=""/>
                <o:lock v:ext="edit" aspectratio="f"/>
                <v:textbox>
                  <w:txbxContent>
                    <w:p w14:paraId="6F8EDA89">
                      <w:pPr>
                        <w:rPr>
                          <w:sz w:val="18"/>
                          <w:szCs w:val="18"/>
                        </w:rPr>
                      </w:pPr>
                      <w:r>
                        <w:rPr>
                          <w:rFonts w:hint="eastAsia"/>
                          <w:color w:val="auto"/>
                          <w:sz w:val="18"/>
                          <w:szCs w:val="18"/>
                        </w:rPr>
                        <w:t>室外</w:t>
                      </w:r>
                    </w:p>
                  </w:txbxContent>
                </v:textbox>
              </v:shape>
            </w:pict>
          </mc:Fallback>
        </mc:AlternateContent>
      </w:r>
      <w:r>
        <w:rPr>
          <w:highlight w:val="none"/>
        </w:rPr>
        <w:drawing>
          <wp:inline distT="0" distB="0" distL="114300" distR="114300">
            <wp:extent cx="1254125" cy="1584325"/>
            <wp:effectExtent l="0" t="0" r="10795" b="635"/>
            <wp:docPr id="3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6"/>
                    <pic:cNvPicPr>
                      <a:picLocks noChangeAspect="1"/>
                    </pic:cNvPicPr>
                  </pic:nvPicPr>
                  <pic:blipFill>
                    <a:blip r:embed="rId68"/>
                    <a:stretch>
                      <a:fillRect/>
                    </a:stretch>
                  </pic:blipFill>
                  <pic:spPr>
                    <a:xfrm>
                      <a:off x="0" y="0"/>
                      <a:ext cx="1254125" cy="1584325"/>
                    </a:xfrm>
                    <a:prstGeom prst="rect">
                      <a:avLst/>
                    </a:prstGeom>
                    <a:noFill/>
                    <a:ln>
                      <a:noFill/>
                    </a:ln>
                  </pic:spPr>
                </pic:pic>
              </a:graphicData>
            </a:graphic>
          </wp:inline>
        </w:drawing>
      </w:r>
    </w:p>
    <w:p w14:paraId="701EC21F">
      <w:pPr>
        <w:spacing w:line="360" w:lineRule="auto"/>
        <w:jc w:val="center"/>
        <w:rPr>
          <w:rFonts w:hint="eastAsia" w:eastAsia="宋体"/>
          <w:color w:val="auto"/>
          <w:highlight w:val="none"/>
          <w:lang w:val="en-US" w:eastAsia="zh-CN"/>
        </w:rPr>
      </w:pPr>
      <w:r>
        <w:rPr>
          <w:color w:val="auto"/>
          <w:sz w:val="18"/>
          <w:szCs w:val="18"/>
          <w:highlight w:val="none"/>
        </w:rPr>
        <w:t>1—基层墙体；</w:t>
      </w:r>
      <w:r>
        <w:rPr>
          <w:rFonts w:hint="eastAsia"/>
          <w:color w:val="auto"/>
          <w:sz w:val="18"/>
          <w:szCs w:val="18"/>
          <w:highlight w:val="none"/>
        </w:rPr>
        <w:t>2</w:t>
      </w:r>
      <w:r>
        <w:rPr>
          <w:color w:val="auto"/>
          <w:sz w:val="18"/>
          <w:szCs w:val="18"/>
          <w:highlight w:val="none"/>
        </w:rPr>
        <w:t>—</w:t>
      </w:r>
      <w:r>
        <w:rPr>
          <w:rFonts w:hint="eastAsia"/>
          <w:color w:val="auto"/>
          <w:sz w:val="18"/>
          <w:szCs w:val="18"/>
          <w:highlight w:val="none"/>
          <w:lang w:val="en-US" w:eastAsia="zh-CN"/>
        </w:rPr>
        <w:t>粘结层</w:t>
      </w:r>
      <w:r>
        <w:rPr>
          <w:rFonts w:hint="eastAsia"/>
          <w:color w:val="auto"/>
          <w:sz w:val="18"/>
          <w:szCs w:val="18"/>
          <w:highlight w:val="none"/>
        </w:rPr>
        <w:t>；</w:t>
      </w:r>
      <w:r>
        <w:rPr>
          <w:rFonts w:hint="eastAsia"/>
          <w:color w:val="auto"/>
          <w:sz w:val="18"/>
          <w:szCs w:val="18"/>
          <w:highlight w:val="none"/>
          <w:lang w:val="en-US" w:eastAsia="zh-CN"/>
        </w:rPr>
        <w:t>3</w:t>
      </w:r>
      <w:r>
        <w:rPr>
          <w:color w:val="auto"/>
          <w:sz w:val="18"/>
          <w:szCs w:val="18"/>
          <w:highlight w:val="none"/>
        </w:rPr>
        <w:t>—</w:t>
      </w:r>
      <w:r>
        <w:rPr>
          <w:rFonts w:hint="eastAsia"/>
          <w:color w:val="auto"/>
          <w:sz w:val="18"/>
          <w:szCs w:val="18"/>
          <w:highlight w:val="none"/>
        </w:rPr>
        <w:t>套装双真空保温隔热板</w:t>
      </w:r>
      <w:r>
        <w:rPr>
          <w:color w:val="auto"/>
          <w:sz w:val="18"/>
          <w:szCs w:val="18"/>
          <w:highlight w:val="none"/>
        </w:rPr>
        <w:t>；</w:t>
      </w:r>
      <w:r>
        <w:rPr>
          <w:rFonts w:hint="eastAsia"/>
          <w:color w:val="auto"/>
          <w:sz w:val="18"/>
          <w:szCs w:val="18"/>
          <w:highlight w:val="none"/>
          <w:lang w:val="en-US" w:eastAsia="zh-CN"/>
        </w:rPr>
        <w:t>4</w:t>
      </w:r>
      <w:r>
        <w:rPr>
          <w:color w:val="auto"/>
          <w:sz w:val="18"/>
          <w:szCs w:val="18"/>
          <w:highlight w:val="none"/>
        </w:rPr>
        <w:t>—</w:t>
      </w:r>
      <w:r>
        <w:rPr>
          <w:rFonts w:hint="eastAsia"/>
          <w:color w:val="auto"/>
          <w:sz w:val="18"/>
          <w:szCs w:val="18"/>
          <w:highlight w:val="none"/>
          <w:lang w:val="en-US" w:eastAsia="zh-CN"/>
        </w:rPr>
        <w:t>抹面层</w:t>
      </w:r>
      <w:r>
        <w:rPr>
          <w:rFonts w:hint="eastAsia"/>
          <w:color w:val="auto"/>
          <w:sz w:val="18"/>
          <w:szCs w:val="18"/>
          <w:highlight w:val="none"/>
        </w:rPr>
        <w:t>（内嵌玻纤网）</w:t>
      </w:r>
      <w:r>
        <w:rPr>
          <w:color w:val="auto"/>
          <w:sz w:val="18"/>
          <w:szCs w:val="18"/>
          <w:highlight w:val="none"/>
        </w:rPr>
        <w:t>；</w:t>
      </w:r>
      <w:r>
        <w:rPr>
          <w:rFonts w:hint="eastAsia"/>
          <w:color w:val="auto"/>
          <w:sz w:val="18"/>
          <w:szCs w:val="18"/>
          <w:highlight w:val="none"/>
          <w:lang w:val="en-US" w:eastAsia="zh-CN"/>
        </w:rPr>
        <w:t>5</w:t>
      </w:r>
      <w:r>
        <w:rPr>
          <w:color w:val="auto"/>
          <w:sz w:val="18"/>
          <w:szCs w:val="18"/>
          <w:highlight w:val="none"/>
        </w:rPr>
        <w:t>—</w:t>
      </w:r>
      <w:r>
        <w:rPr>
          <w:rFonts w:hint="eastAsia"/>
          <w:color w:val="auto"/>
          <w:sz w:val="18"/>
          <w:szCs w:val="18"/>
          <w:highlight w:val="none"/>
          <w:lang w:val="en-US" w:eastAsia="zh-CN"/>
        </w:rPr>
        <w:t>饰面层</w:t>
      </w:r>
    </w:p>
    <w:p w14:paraId="3E129487">
      <w:pPr>
        <w:jc w:val="center"/>
        <w:rPr>
          <w:highlight w:val="none"/>
        </w:rPr>
      </w:pPr>
      <w:r>
        <w:rPr>
          <w:color w:val="auto"/>
          <w:highlight w:val="none"/>
        </w:rPr>
        <w:t>图5.</w:t>
      </w:r>
      <w:r>
        <w:rPr>
          <w:rFonts w:hint="eastAsia"/>
          <w:color w:val="auto"/>
          <w:highlight w:val="none"/>
          <w:lang w:val="en-US" w:eastAsia="zh-CN"/>
        </w:rPr>
        <w:t>5</w:t>
      </w:r>
      <w:r>
        <w:rPr>
          <w:color w:val="auto"/>
          <w:highlight w:val="none"/>
        </w:rPr>
        <w:t>.</w:t>
      </w:r>
      <w:r>
        <w:rPr>
          <w:rFonts w:hint="eastAsia"/>
          <w:color w:val="auto"/>
          <w:highlight w:val="none"/>
          <w:lang w:val="en-US" w:eastAsia="zh-CN"/>
        </w:rPr>
        <w:t>1</w:t>
      </w:r>
      <w:r>
        <w:rPr>
          <w:color w:val="auto"/>
          <w:highlight w:val="none"/>
        </w:rPr>
        <w:t xml:space="preserve"> </w:t>
      </w:r>
      <w:r>
        <w:rPr>
          <w:rFonts w:hint="eastAsia"/>
          <w:color w:val="auto"/>
          <w:highlight w:val="none"/>
        </w:rPr>
        <w:t>套装双真空保温隔热板薄抹灰外墙内保温系统构造示意图</w:t>
      </w:r>
    </w:p>
    <w:p w14:paraId="568DD825">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套装双真空保温隔热板应根据设计图纸绘制排板图，并应预留可安装设备、管道或悬挂重物等需要通过固定件固定到基层墙体的部位，并应标识明确。</w:t>
      </w:r>
    </w:p>
    <w:p w14:paraId="32331E48">
      <w:pPr>
        <w:pStyle w:val="27"/>
        <w:spacing w:line="360" w:lineRule="auto"/>
        <w:ind w:firstLine="0" w:firstLineChars="0"/>
        <w:rPr>
          <w:rFonts w:ascii="仿宋_GB2312" w:eastAsia="仿宋_GB2312"/>
          <w:color w:val="auto"/>
          <w:sz w:val="24"/>
          <w:highlight w:val="none"/>
        </w:rPr>
      </w:pPr>
      <w:r>
        <w:rPr>
          <w:rFonts w:hint="eastAsia" w:ascii="仿宋_GB2312" w:eastAsia="仿宋_GB2312"/>
          <w:color w:val="auto"/>
          <w:sz w:val="24"/>
          <w:highlight w:val="none"/>
        </w:rPr>
        <w:t>【条文说明】5</w:t>
      </w:r>
      <w:r>
        <w:rPr>
          <w:rFonts w:ascii="仿宋_GB2312" w:eastAsia="仿宋_GB2312"/>
          <w:color w:val="auto"/>
          <w:sz w:val="24"/>
          <w:highlight w:val="none"/>
        </w:rPr>
        <w:t xml:space="preserve">.5.2  </w:t>
      </w:r>
      <w:r>
        <w:rPr>
          <w:rFonts w:hint="eastAsia" w:ascii="仿宋_GB2312" w:eastAsia="仿宋_GB2312"/>
          <w:color w:val="auto"/>
          <w:sz w:val="24"/>
          <w:highlight w:val="none"/>
        </w:rPr>
        <w:t>套装双真空保温隔热板薄抹灰外墙内保温系统上安装设备、管道或悬挂重物时，应当采用固定件将其固定在基层墙体上，由于真空绝热板的不可裁切性，这些部位应当采用其他的保温材料进行预先处理，并标识清楚</w:t>
      </w:r>
    </w:p>
    <w:p w14:paraId="164F25A0">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w:t>
      </w:r>
      <w:r>
        <w:rPr>
          <w:rFonts w:hint="eastAsia"/>
          <w:bCs/>
          <w:color w:val="auto"/>
          <w:sz w:val="24"/>
          <w:szCs w:val="24"/>
          <w:highlight w:val="none"/>
        </w:rPr>
        <w:t>应采用以粘为主、粘锚结合的方式与基层墙体连接，并应符合下列规定：</w:t>
      </w:r>
    </w:p>
    <w:p w14:paraId="0550CD23">
      <w:pPr>
        <w:pStyle w:val="27"/>
        <w:numPr>
          <w:ilvl w:val="0"/>
          <w:numId w:val="19"/>
        </w:numPr>
        <w:spacing w:line="360" w:lineRule="auto"/>
        <w:ind w:left="0" w:firstLine="480"/>
        <w:rPr>
          <w:bCs/>
          <w:color w:val="auto"/>
          <w:sz w:val="24"/>
          <w:szCs w:val="24"/>
          <w:highlight w:val="none"/>
        </w:rPr>
      </w:pPr>
      <w:r>
        <w:rPr>
          <w:bCs/>
          <w:color w:val="auto"/>
          <w:sz w:val="24"/>
          <w:szCs w:val="24"/>
          <w:highlight w:val="none"/>
        </w:rPr>
        <w:t>应采用粘结砂浆粘贴固定在基层墙体上</w:t>
      </w:r>
      <w:r>
        <w:rPr>
          <w:rFonts w:hint="eastAsia"/>
          <w:bCs/>
          <w:color w:val="auto"/>
          <w:sz w:val="24"/>
          <w:szCs w:val="24"/>
          <w:highlight w:val="none"/>
        </w:rPr>
        <w:t>，且</w:t>
      </w:r>
      <w:r>
        <w:rPr>
          <w:bCs/>
          <w:color w:val="auto"/>
          <w:sz w:val="24"/>
          <w:szCs w:val="24"/>
          <w:highlight w:val="none"/>
        </w:rPr>
        <w:t>套装双真空保温隔热板</w:t>
      </w:r>
      <w:r>
        <w:rPr>
          <w:rFonts w:hint="eastAsia"/>
          <w:bCs/>
          <w:color w:val="auto"/>
          <w:sz w:val="24"/>
          <w:szCs w:val="24"/>
          <w:highlight w:val="none"/>
        </w:rPr>
        <w:t>的粘结面积不应小于8</w:t>
      </w:r>
      <w:r>
        <w:rPr>
          <w:bCs/>
          <w:color w:val="auto"/>
          <w:sz w:val="24"/>
          <w:szCs w:val="24"/>
          <w:highlight w:val="none"/>
        </w:rPr>
        <w:t>0%</w:t>
      </w:r>
      <w:r>
        <w:rPr>
          <w:rFonts w:hint="eastAsia"/>
          <w:bCs/>
          <w:color w:val="auto"/>
          <w:sz w:val="24"/>
          <w:szCs w:val="24"/>
          <w:highlight w:val="none"/>
        </w:rPr>
        <w:t>；</w:t>
      </w:r>
    </w:p>
    <w:p w14:paraId="096C6362">
      <w:pPr>
        <w:pStyle w:val="27"/>
        <w:numPr>
          <w:ilvl w:val="0"/>
          <w:numId w:val="19"/>
        </w:numPr>
        <w:spacing w:line="360" w:lineRule="auto"/>
        <w:ind w:left="0" w:firstLine="480"/>
        <w:rPr>
          <w:bCs/>
          <w:color w:val="auto"/>
          <w:sz w:val="24"/>
          <w:szCs w:val="24"/>
          <w:highlight w:val="none"/>
        </w:rPr>
      </w:pPr>
      <w:r>
        <w:rPr>
          <w:rFonts w:hint="eastAsia"/>
          <w:bCs/>
          <w:color w:val="auto"/>
          <w:sz w:val="24"/>
          <w:szCs w:val="24"/>
          <w:highlight w:val="none"/>
        </w:rPr>
        <w:t>采用锚栓时，锚栓数量不应少于4个/</w:t>
      </w:r>
      <w:r>
        <w:rPr>
          <w:bCs/>
          <w:color w:val="auto"/>
          <w:sz w:val="24"/>
          <w:szCs w:val="24"/>
          <w:highlight w:val="none"/>
        </w:rPr>
        <w:t>m</w:t>
      </w:r>
      <w:r>
        <w:rPr>
          <w:bCs/>
          <w:color w:val="auto"/>
          <w:sz w:val="24"/>
          <w:szCs w:val="24"/>
          <w:highlight w:val="none"/>
          <w:vertAlign w:val="superscript"/>
        </w:rPr>
        <w:t>2</w:t>
      </w:r>
      <w:r>
        <w:rPr>
          <w:rFonts w:hint="eastAsia"/>
          <w:bCs/>
          <w:color w:val="auto"/>
          <w:sz w:val="24"/>
          <w:szCs w:val="24"/>
          <w:highlight w:val="none"/>
        </w:rPr>
        <w:t>，锚栓圆盘不得凸出抹面层表面。</w:t>
      </w:r>
    </w:p>
    <w:p w14:paraId="6A6E523D">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套装双真空保温隔热板薄抹灰外墙内保温系统抗裂构造设计应符合下列规定：</w:t>
      </w:r>
    </w:p>
    <w:p w14:paraId="464D298D">
      <w:pPr>
        <w:pStyle w:val="27"/>
        <w:numPr>
          <w:ilvl w:val="0"/>
          <w:numId w:val="20"/>
        </w:numPr>
        <w:spacing w:line="360" w:lineRule="auto"/>
        <w:ind w:left="0" w:firstLine="480"/>
        <w:rPr>
          <w:bCs/>
          <w:color w:val="auto"/>
          <w:sz w:val="24"/>
          <w:szCs w:val="24"/>
          <w:highlight w:val="none"/>
        </w:rPr>
      </w:pPr>
      <w:r>
        <w:rPr>
          <w:bCs/>
          <w:color w:val="auto"/>
          <w:sz w:val="24"/>
          <w:szCs w:val="24"/>
          <w:highlight w:val="none"/>
        </w:rPr>
        <w:t>楼板与外墙、外墙与内墙交接的阴阳角处应粘贴一层300mm宽玻纤网，且阴阳角的两侧应各为150mm</w:t>
      </w:r>
      <w:r>
        <w:rPr>
          <w:rFonts w:hint="eastAsia"/>
          <w:bCs/>
          <w:color w:val="auto"/>
          <w:sz w:val="24"/>
          <w:szCs w:val="24"/>
          <w:highlight w:val="none"/>
          <w:lang w:eastAsia="zh-CN"/>
        </w:rPr>
        <w:t>（</w:t>
      </w:r>
      <w:r>
        <w:rPr>
          <w:rFonts w:hint="eastAsia"/>
          <w:bCs/>
          <w:color w:val="auto"/>
          <w:sz w:val="24"/>
          <w:szCs w:val="24"/>
          <w:highlight w:val="none"/>
          <w:lang w:val="en-US" w:eastAsia="zh-CN"/>
        </w:rPr>
        <w:t>图5.5.4</w:t>
      </w:r>
      <w:r>
        <w:rPr>
          <w:rFonts w:hint="eastAsia"/>
          <w:bCs/>
          <w:color w:val="auto"/>
          <w:sz w:val="24"/>
          <w:szCs w:val="24"/>
          <w:highlight w:val="none"/>
          <w:lang w:eastAsia="zh-CN"/>
        </w:rPr>
        <w:t>）</w:t>
      </w:r>
      <w:r>
        <w:rPr>
          <w:bCs/>
          <w:color w:val="auto"/>
          <w:sz w:val="24"/>
          <w:szCs w:val="24"/>
          <w:highlight w:val="none"/>
        </w:rPr>
        <w:t>；</w:t>
      </w:r>
    </w:p>
    <w:p w14:paraId="0CFAA31D">
      <w:pPr>
        <w:pStyle w:val="27"/>
        <w:numPr>
          <w:ilvl w:val="0"/>
          <w:numId w:val="20"/>
        </w:numPr>
        <w:spacing w:line="360" w:lineRule="auto"/>
        <w:ind w:left="0" w:firstLine="480"/>
        <w:rPr>
          <w:bCs/>
          <w:color w:val="auto"/>
          <w:sz w:val="24"/>
          <w:szCs w:val="24"/>
          <w:highlight w:val="none"/>
        </w:rPr>
      </w:pPr>
      <w:r>
        <w:rPr>
          <w:bCs/>
          <w:color w:val="auto"/>
          <w:sz w:val="24"/>
          <w:szCs w:val="24"/>
          <w:highlight w:val="none"/>
        </w:rPr>
        <w:t>门窗四角和外墙阴阳角等处的内保温系统抹面层中，应设置附加玻纤网；</w:t>
      </w:r>
    </w:p>
    <w:p w14:paraId="79855513">
      <w:pPr>
        <w:pStyle w:val="27"/>
        <w:numPr>
          <w:ilvl w:val="0"/>
          <w:numId w:val="20"/>
        </w:numPr>
        <w:spacing w:line="360" w:lineRule="auto"/>
        <w:ind w:left="0" w:firstLine="480"/>
        <w:rPr>
          <w:bCs/>
          <w:color w:val="auto"/>
          <w:sz w:val="24"/>
          <w:szCs w:val="24"/>
          <w:highlight w:val="none"/>
        </w:rPr>
      </w:pPr>
      <w:r>
        <w:rPr>
          <w:bCs/>
          <w:color w:val="auto"/>
          <w:sz w:val="24"/>
          <w:szCs w:val="24"/>
          <w:highlight w:val="none"/>
        </w:rPr>
        <w:t>门窗洞口等处套装双真空保温隔热板终端部的玻纤网应翻折满包内口；</w:t>
      </w:r>
    </w:p>
    <w:p w14:paraId="75447229">
      <w:pPr>
        <w:pStyle w:val="27"/>
        <w:numPr>
          <w:ilvl w:val="0"/>
          <w:numId w:val="20"/>
        </w:numPr>
        <w:spacing w:line="360" w:lineRule="auto"/>
        <w:ind w:left="0" w:firstLine="480"/>
        <w:rPr>
          <w:bCs/>
          <w:color w:val="auto"/>
          <w:sz w:val="24"/>
          <w:szCs w:val="24"/>
          <w:highlight w:val="none"/>
        </w:rPr>
      </w:pPr>
      <w:r>
        <w:rPr>
          <w:bCs/>
          <w:color w:val="auto"/>
          <w:sz w:val="24"/>
          <w:szCs w:val="24"/>
          <w:highlight w:val="none"/>
        </w:rPr>
        <w:t>在门窗洞口、电器盒四周对角线方向，应斜向加铺不小于300mm×400mm</w:t>
      </w:r>
      <w:r>
        <w:rPr>
          <w:rFonts w:hint="eastAsia"/>
          <w:bCs/>
          <w:color w:val="auto"/>
          <w:sz w:val="24"/>
          <w:szCs w:val="24"/>
          <w:highlight w:val="none"/>
        </w:rPr>
        <w:t>的</w:t>
      </w:r>
      <w:r>
        <w:rPr>
          <w:bCs/>
          <w:color w:val="auto"/>
          <w:sz w:val="24"/>
          <w:szCs w:val="24"/>
          <w:highlight w:val="none"/>
        </w:rPr>
        <w:t>玻纤网。</w:t>
      </w:r>
    </w:p>
    <w:p w14:paraId="7F9E8BBE">
      <w:pPr>
        <w:pStyle w:val="27"/>
        <w:numPr>
          <w:ilvl w:val="0"/>
          <w:numId w:val="0"/>
        </w:numPr>
        <w:spacing w:line="360" w:lineRule="auto"/>
        <w:ind w:leftChars="200"/>
        <w:jc w:val="center"/>
        <w:rPr>
          <w:bCs/>
          <w:color w:val="auto"/>
          <w:sz w:val="24"/>
          <w:szCs w:val="24"/>
          <w:highlight w:val="none"/>
        </w:rPr>
      </w:pPr>
      <w:r>
        <w:rPr>
          <w:highlight w:val="none"/>
        </w:rPr>
        <w:drawing>
          <wp:inline distT="0" distB="0" distL="114300" distR="114300">
            <wp:extent cx="1647190" cy="1621155"/>
            <wp:effectExtent l="0" t="0" r="10160" b="17145"/>
            <wp:docPr id="4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8"/>
                    <pic:cNvPicPr>
                      <a:picLocks noChangeAspect="1"/>
                    </pic:cNvPicPr>
                  </pic:nvPicPr>
                  <pic:blipFill>
                    <a:blip r:embed="rId69"/>
                    <a:stretch>
                      <a:fillRect/>
                    </a:stretch>
                  </pic:blipFill>
                  <pic:spPr>
                    <a:xfrm>
                      <a:off x="0" y="0"/>
                      <a:ext cx="1647190" cy="1621155"/>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1665605" cy="1673225"/>
            <wp:effectExtent l="0" t="0" r="10795" b="3175"/>
            <wp:docPr id="4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9"/>
                    <pic:cNvPicPr>
                      <a:picLocks noChangeAspect="1"/>
                    </pic:cNvPicPr>
                  </pic:nvPicPr>
                  <pic:blipFill>
                    <a:blip r:embed="rId70"/>
                    <a:stretch>
                      <a:fillRect/>
                    </a:stretch>
                  </pic:blipFill>
                  <pic:spPr>
                    <a:xfrm>
                      <a:off x="0" y="0"/>
                      <a:ext cx="1665605" cy="1673225"/>
                    </a:xfrm>
                    <a:prstGeom prst="rect">
                      <a:avLst/>
                    </a:prstGeom>
                    <a:noFill/>
                    <a:ln>
                      <a:noFill/>
                    </a:ln>
                  </pic:spPr>
                </pic:pic>
              </a:graphicData>
            </a:graphic>
          </wp:inline>
        </w:drawing>
      </w:r>
    </w:p>
    <w:p w14:paraId="6B36B635">
      <w:pPr>
        <w:ind w:firstLine="2100" w:firstLineChars="1000"/>
        <w:jc w:val="left"/>
        <w:rPr>
          <w:color w:val="auto"/>
          <w:highlight w:val="none"/>
        </w:rPr>
      </w:pPr>
      <w:r>
        <w:rPr>
          <w:rFonts w:hint="eastAsia"/>
          <w:color w:val="auto"/>
          <w:highlight w:val="none"/>
          <w:lang w:eastAsia="zh-CN"/>
        </w:rPr>
        <w:t>（</w:t>
      </w:r>
      <w:r>
        <w:rPr>
          <w:color w:val="auto"/>
          <w:highlight w:val="none"/>
        </w:rPr>
        <w:t>a</w:t>
      </w:r>
      <w:r>
        <w:rPr>
          <w:rFonts w:hint="eastAsia"/>
          <w:color w:val="auto"/>
          <w:highlight w:val="none"/>
          <w:lang w:eastAsia="zh-CN"/>
        </w:rPr>
        <w:t>）</w:t>
      </w:r>
      <w:r>
        <w:rPr>
          <w:color w:val="auto"/>
          <w:highlight w:val="none"/>
        </w:rPr>
        <w:t xml:space="preserve">阳角                        </w:t>
      </w:r>
      <w:r>
        <w:rPr>
          <w:rFonts w:hint="eastAsia"/>
          <w:color w:val="auto"/>
          <w:highlight w:val="none"/>
          <w:lang w:eastAsia="zh-CN"/>
        </w:rPr>
        <w:t>（</w:t>
      </w:r>
      <w:r>
        <w:rPr>
          <w:rFonts w:hint="eastAsia"/>
          <w:color w:val="auto"/>
          <w:highlight w:val="none"/>
          <w:lang w:val="en-US" w:eastAsia="zh-CN"/>
        </w:rPr>
        <w:t>b</w:t>
      </w:r>
      <w:r>
        <w:rPr>
          <w:rFonts w:hint="eastAsia"/>
          <w:color w:val="auto"/>
          <w:highlight w:val="none"/>
          <w:lang w:eastAsia="zh-CN"/>
        </w:rPr>
        <w:t>）</w:t>
      </w:r>
      <w:r>
        <w:rPr>
          <w:color w:val="auto"/>
          <w:highlight w:val="none"/>
        </w:rPr>
        <w:t>阴角</w:t>
      </w:r>
    </w:p>
    <w:p w14:paraId="44653038">
      <w:pPr>
        <w:jc w:val="center"/>
        <w:rPr>
          <w:rFonts w:hint="default" w:eastAsia="宋体"/>
          <w:bCs/>
          <w:color w:val="auto"/>
          <w:sz w:val="24"/>
          <w:szCs w:val="24"/>
          <w:highlight w:val="none"/>
          <w:lang w:val="en-US" w:eastAsia="zh-CN"/>
        </w:rPr>
      </w:pPr>
      <w:r>
        <w:rPr>
          <w:color w:val="auto"/>
          <w:highlight w:val="none"/>
        </w:rPr>
        <w:t>图5.</w:t>
      </w:r>
      <w:r>
        <w:rPr>
          <w:rFonts w:hint="eastAsia"/>
          <w:color w:val="auto"/>
          <w:highlight w:val="none"/>
          <w:lang w:val="en-US" w:eastAsia="zh-CN"/>
        </w:rPr>
        <w:t>5</w:t>
      </w:r>
      <w:r>
        <w:rPr>
          <w:color w:val="auto"/>
          <w:highlight w:val="none"/>
        </w:rPr>
        <w:t>.</w:t>
      </w:r>
      <w:r>
        <w:rPr>
          <w:rFonts w:hint="eastAsia"/>
          <w:color w:val="auto"/>
          <w:highlight w:val="none"/>
          <w:lang w:val="en-US" w:eastAsia="zh-CN"/>
        </w:rPr>
        <w:t>4</w:t>
      </w:r>
      <w:r>
        <w:rPr>
          <w:color w:val="auto"/>
          <w:highlight w:val="none"/>
        </w:rPr>
        <w:t xml:space="preserve"> </w:t>
      </w:r>
      <w:r>
        <w:rPr>
          <w:rFonts w:hint="eastAsia"/>
          <w:color w:val="auto"/>
          <w:highlight w:val="none"/>
        </w:rPr>
        <w:t>套装双真空保温隔热板薄抹灰外墙内保温系统</w:t>
      </w:r>
      <w:r>
        <w:rPr>
          <w:rFonts w:hint="eastAsia"/>
          <w:color w:val="auto"/>
          <w:highlight w:val="none"/>
          <w:lang w:val="en-US" w:eastAsia="zh-CN"/>
        </w:rPr>
        <w:t>阳角、阴角</w:t>
      </w:r>
    </w:p>
    <w:p w14:paraId="438D3F75">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外墙单独内保温时且室内地面采用浮筑楼板保温隔声系统时，外墙与楼板交接处构造应符合以下规定：</w:t>
      </w:r>
    </w:p>
    <w:p w14:paraId="2B8B31BC">
      <w:pPr>
        <w:pStyle w:val="27"/>
        <w:numPr>
          <w:ilvl w:val="0"/>
          <w:numId w:val="21"/>
        </w:numPr>
        <w:spacing w:line="360" w:lineRule="auto"/>
        <w:ind w:firstLineChars="0"/>
        <w:rPr>
          <w:bCs/>
          <w:color w:val="auto"/>
          <w:sz w:val="24"/>
          <w:szCs w:val="24"/>
          <w:highlight w:val="none"/>
        </w:rPr>
      </w:pPr>
      <w:r>
        <w:rPr>
          <w:rFonts w:hint="eastAsia"/>
          <w:bCs/>
          <w:color w:val="auto"/>
          <w:sz w:val="24"/>
          <w:szCs w:val="24"/>
          <w:highlight w:val="none"/>
        </w:rPr>
        <w:t>墙体内保温层应与楼地面保温隔声垫连续；</w:t>
      </w:r>
    </w:p>
    <w:p w14:paraId="35CD03F7">
      <w:pPr>
        <w:pStyle w:val="27"/>
        <w:numPr>
          <w:ilvl w:val="0"/>
          <w:numId w:val="21"/>
        </w:numPr>
        <w:spacing w:line="360" w:lineRule="auto"/>
        <w:ind w:left="0" w:firstLine="480"/>
        <w:rPr>
          <w:bCs/>
          <w:color w:val="auto"/>
          <w:sz w:val="24"/>
          <w:szCs w:val="24"/>
          <w:highlight w:val="none"/>
        </w:rPr>
      </w:pPr>
      <w:r>
        <w:rPr>
          <w:bCs/>
          <w:color w:val="auto"/>
          <w:sz w:val="24"/>
          <w:szCs w:val="24"/>
          <w:highlight w:val="none"/>
        </w:rPr>
        <w:t>在顶棚用保温砂浆自外墙内表面向室内延伸600mm，保温砂浆层应与墙体内保温层连续</w:t>
      </w:r>
      <w:r>
        <w:rPr>
          <w:rFonts w:hint="eastAsia"/>
          <w:bCs/>
          <w:color w:val="auto"/>
          <w:sz w:val="24"/>
          <w:szCs w:val="24"/>
          <w:highlight w:val="none"/>
        </w:rPr>
        <w:t>。</w:t>
      </w:r>
    </w:p>
    <w:p w14:paraId="5E729A47">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外墙单独内保温时且室内地面无浮筑楼板时，外墙内保温层应与分户楼板保温层连续。</w:t>
      </w:r>
    </w:p>
    <w:p w14:paraId="24803316">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卫生间、厨房等潮湿环境，应在基层墙体内表面和</w:t>
      </w:r>
      <w:r>
        <w:rPr>
          <w:bCs/>
          <w:color w:val="auto"/>
          <w:sz w:val="24"/>
          <w:szCs w:val="24"/>
          <w:highlight w:val="none"/>
        </w:rPr>
        <w:t>套装双真空保温隔热板</w:t>
      </w:r>
      <w:r>
        <w:rPr>
          <w:rFonts w:hint="eastAsia"/>
          <w:bCs/>
          <w:color w:val="auto"/>
          <w:sz w:val="24"/>
          <w:szCs w:val="24"/>
          <w:highlight w:val="none"/>
        </w:rPr>
        <w:t>抹面层上分别做两道防水或防潮层，且不应设置锚栓固定</w:t>
      </w:r>
      <w:r>
        <w:rPr>
          <w:bCs/>
          <w:color w:val="auto"/>
          <w:sz w:val="24"/>
          <w:szCs w:val="24"/>
          <w:highlight w:val="none"/>
        </w:rPr>
        <w:t>套装双真空保温隔热板</w:t>
      </w:r>
      <w:r>
        <w:rPr>
          <w:rFonts w:hint="eastAsia"/>
          <w:bCs/>
          <w:color w:val="auto"/>
          <w:sz w:val="24"/>
          <w:szCs w:val="24"/>
          <w:highlight w:val="none"/>
        </w:rPr>
        <w:t>。</w:t>
      </w:r>
    </w:p>
    <w:p w14:paraId="4A95FB44">
      <w:pPr>
        <w:pStyle w:val="27"/>
        <w:numPr>
          <w:ilvl w:val="1"/>
          <w:numId w:val="2"/>
        </w:numPr>
        <w:ind w:left="567" w:firstLineChars="0"/>
        <w:jc w:val="center"/>
        <w:outlineLvl w:val="1"/>
        <w:rPr>
          <w:b/>
          <w:bCs w:val="0"/>
          <w:color w:val="auto"/>
          <w:sz w:val="28"/>
          <w:szCs w:val="24"/>
          <w:highlight w:val="none"/>
        </w:rPr>
      </w:pPr>
      <w:bookmarkStart w:id="45" w:name="_Toc141875145"/>
      <w:bookmarkStart w:id="46" w:name="_Toc9801"/>
      <w:r>
        <w:rPr>
          <w:b/>
          <w:bCs w:val="0"/>
          <w:color w:val="auto"/>
          <w:sz w:val="28"/>
          <w:szCs w:val="24"/>
          <w:highlight w:val="none"/>
        </w:rPr>
        <w:t>套装双真空保温隔热装饰板外墙外保温系统设计</w:t>
      </w:r>
      <w:bookmarkEnd w:id="45"/>
      <w:bookmarkEnd w:id="46"/>
    </w:p>
    <w:p w14:paraId="16CDAC93">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套装双真空保温隔热装饰板外墙外保温系统应由</w:t>
      </w:r>
      <w:r>
        <w:rPr>
          <w:rFonts w:hint="eastAsia"/>
          <w:bCs/>
          <w:color w:val="auto"/>
          <w:sz w:val="24"/>
          <w:szCs w:val="24"/>
          <w:highlight w:val="none"/>
        </w:rPr>
        <w:t>防水找平层、</w:t>
      </w:r>
      <w:r>
        <w:rPr>
          <w:bCs/>
          <w:color w:val="auto"/>
          <w:sz w:val="24"/>
          <w:szCs w:val="24"/>
          <w:highlight w:val="none"/>
        </w:rPr>
        <w:t>粘结层、套装双真空保温隔热装饰板、</w:t>
      </w:r>
      <w:r>
        <w:rPr>
          <w:rFonts w:hint="eastAsia"/>
          <w:bCs/>
          <w:color w:val="auto"/>
          <w:sz w:val="24"/>
          <w:szCs w:val="24"/>
          <w:highlight w:val="none"/>
        </w:rPr>
        <w:t>锚固</w:t>
      </w:r>
      <w:r>
        <w:rPr>
          <w:bCs/>
          <w:color w:val="auto"/>
          <w:sz w:val="24"/>
          <w:szCs w:val="24"/>
          <w:highlight w:val="none"/>
        </w:rPr>
        <w:t>组件、填缝材料、密封材料构成，板缝处应采用保温填缝材料填塞，并应采用密封胶密封处理（图5.</w:t>
      </w:r>
      <w:r>
        <w:rPr>
          <w:rFonts w:hint="eastAsia"/>
          <w:bCs/>
          <w:color w:val="auto"/>
          <w:sz w:val="24"/>
          <w:szCs w:val="24"/>
          <w:highlight w:val="none"/>
          <w:lang w:val="en-US" w:eastAsia="zh-CN"/>
        </w:rPr>
        <w:t>6</w:t>
      </w:r>
      <w:r>
        <w:rPr>
          <w:bCs/>
          <w:color w:val="auto"/>
          <w:sz w:val="24"/>
          <w:szCs w:val="24"/>
          <w:highlight w:val="none"/>
        </w:rPr>
        <w:t>.1）。</w:t>
      </w:r>
    </w:p>
    <w:p w14:paraId="65865FC6">
      <w:pPr>
        <w:pStyle w:val="27"/>
        <w:numPr>
          <w:ilvl w:val="0"/>
          <w:numId w:val="0"/>
        </w:numPr>
        <w:spacing w:line="360" w:lineRule="auto"/>
        <w:ind w:leftChars="0"/>
        <w:jc w:val="center"/>
        <w:outlineLvl w:val="2"/>
        <w:rPr>
          <w:rFonts w:hint="eastAsia" w:eastAsia="宋体"/>
          <w:highlight w:val="none"/>
          <w:lang w:eastAsia="zh-CN"/>
        </w:rPr>
      </w:pPr>
      <w:r>
        <w:rPr>
          <w:highlight w:val="none"/>
        </w:rPr>
        <mc:AlternateContent>
          <mc:Choice Requires="wps">
            <w:drawing>
              <wp:anchor distT="0" distB="0" distL="114300" distR="114300" simplePos="0" relativeHeight="251664384" behindDoc="0" locked="0" layoutInCell="1" allowOverlap="1">
                <wp:simplePos x="0" y="0"/>
                <wp:positionH relativeFrom="column">
                  <wp:posOffset>3477895</wp:posOffset>
                </wp:positionH>
                <wp:positionV relativeFrom="paragraph">
                  <wp:posOffset>754380</wp:posOffset>
                </wp:positionV>
                <wp:extent cx="527685" cy="286385"/>
                <wp:effectExtent l="0" t="0" r="5715" b="18415"/>
                <wp:wrapNone/>
                <wp:docPr id="16" name="文本框 16"/>
                <wp:cNvGraphicFramePr/>
                <a:graphic xmlns:a="http://schemas.openxmlformats.org/drawingml/2006/main">
                  <a:graphicData uri="http://schemas.microsoft.com/office/word/2010/wordprocessingShape">
                    <wps:wsp>
                      <wps:cNvSpPr txBox="1"/>
                      <wps:spPr>
                        <a:xfrm>
                          <a:off x="0" y="0"/>
                          <a:ext cx="527685" cy="286385"/>
                        </a:xfrm>
                        <a:prstGeom prst="rect">
                          <a:avLst/>
                        </a:prstGeom>
                        <a:solidFill>
                          <a:srgbClr val="FFFFFF"/>
                        </a:solidFill>
                        <a:ln>
                          <a:noFill/>
                        </a:ln>
                      </wps:spPr>
                      <wps:txbx>
                        <w:txbxContent>
                          <w:p w14:paraId="5422DD13">
                            <w:pPr>
                              <w:rPr>
                                <w:rFonts w:hint="default" w:eastAsia="宋体"/>
                                <w:color w:val="auto"/>
                                <w:sz w:val="18"/>
                                <w:szCs w:val="18"/>
                                <w:lang w:val="en-US" w:eastAsia="zh-CN"/>
                              </w:rPr>
                            </w:pPr>
                            <w:r>
                              <w:rPr>
                                <w:rFonts w:hint="eastAsia"/>
                                <w:color w:val="auto"/>
                                <w:sz w:val="18"/>
                                <w:szCs w:val="18"/>
                                <w:lang w:val="en-US" w:eastAsia="zh-CN"/>
                              </w:rPr>
                              <w:t>室外</w:t>
                            </w:r>
                          </w:p>
                        </w:txbxContent>
                      </wps:txbx>
                      <wps:bodyPr upright="1"/>
                    </wps:wsp>
                  </a:graphicData>
                </a:graphic>
              </wp:anchor>
            </w:drawing>
          </mc:Choice>
          <mc:Fallback>
            <w:pict>
              <v:shape id="_x0000_s1026" o:spid="_x0000_s1026" o:spt="202" type="#_x0000_t202" style="position:absolute;left:0pt;margin-left:273.85pt;margin-top:59.4pt;height:22.55pt;width:41.55pt;z-index:251664384;mso-width-relative:page;mso-height-relative:page;" fillcolor="#FFFFFF" filled="t" stroked="f" coordsize="21600,21600" o:gfxdata="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0IT8O2QAAAAsBAAAPAAAAAAAAAAEAIAAAACIAAABkcnMvZG93bnJldi54&#10;bWxQSwECFAAUAAAACACHTuJAVql1q8ABAAB4AwAADgAAAAAAAAABACAAAAAoAQAAZHJzL2Uyb0Rv&#10;Yy54bWxQSwUGAAAAAAYABgBZAQAAWgUAAAAA&#10;">
                <v:fill on="t" focussize="0,0"/>
                <v:stroke on="f"/>
                <v:imagedata o:title=""/>
                <o:lock v:ext="edit" aspectratio="f"/>
                <v:textbox>
                  <w:txbxContent>
                    <w:p w14:paraId="5422DD13">
                      <w:pPr>
                        <w:rPr>
                          <w:rFonts w:hint="default" w:eastAsia="宋体"/>
                          <w:color w:val="auto"/>
                          <w:sz w:val="18"/>
                          <w:szCs w:val="18"/>
                          <w:lang w:val="en-US" w:eastAsia="zh-CN"/>
                        </w:rPr>
                      </w:pPr>
                      <w:r>
                        <w:rPr>
                          <w:rFonts w:hint="eastAsia"/>
                          <w:color w:val="auto"/>
                          <w:sz w:val="18"/>
                          <w:szCs w:val="18"/>
                          <w:lang w:val="en-US" w:eastAsia="zh-CN"/>
                        </w:rPr>
                        <w:t>室外</w:t>
                      </w:r>
                    </w:p>
                  </w:txbxContent>
                </v:textbox>
              </v:shape>
            </w:pict>
          </mc:Fallback>
        </mc:AlternateContent>
      </w:r>
      <w:r>
        <w:rPr>
          <w:highlight w:val="none"/>
        </w:rPr>
        <w:drawing>
          <wp:inline distT="0" distB="0" distL="114300" distR="114300">
            <wp:extent cx="1264920" cy="1713865"/>
            <wp:effectExtent l="0" t="0" r="11430" b="635"/>
            <wp:docPr id="3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7"/>
                    <pic:cNvPicPr>
                      <a:picLocks noChangeAspect="1"/>
                    </pic:cNvPicPr>
                  </pic:nvPicPr>
                  <pic:blipFill>
                    <a:blip r:embed="rId71"/>
                    <a:stretch>
                      <a:fillRect/>
                    </a:stretch>
                  </pic:blipFill>
                  <pic:spPr>
                    <a:xfrm>
                      <a:off x="0" y="0"/>
                      <a:ext cx="1264920" cy="1713865"/>
                    </a:xfrm>
                    <a:prstGeom prst="rect">
                      <a:avLst/>
                    </a:prstGeom>
                    <a:noFill/>
                    <a:ln>
                      <a:noFill/>
                    </a:ln>
                  </pic:spPr>
                </pic:pic>
              </a:graphicData>
            </a:graphic>
          </wp:inline>
        </w:drawing>
      </w:r>
    </w:p>
    <w:p w14:paraId="637E7C3E">
      <w:pPr>
        <w:spacing w:line="360" w:lineRule="auto"/>
        <w:jc w:val="center"/>
        <w:rPr>
          <w:color w:val="auto"/>
          <w:sz w:val="18"/>
          <w:szCs w:val="18"/>
          <w:highlight w:val="none"/>
        </w:rPr>
      </w:pPr>
      <w:r>
        <w:rPr>
          <w:color w:val="auto"/>
          <w:sz w:val="18"/>
          <w:szCs w:val="18"/>
          <w:highlight w:val="none"/>
        </w:rPr>
        <w:t>1—基层墙体；</w:t>
      </w:r>
      <w:r>
        <w:rPr>
          <w:rFonts w:hint="eastAsia"/>
          <w:color w:val="auto"/>
          <w:sz w:val="18"/>
          <w:szCs w:val="18"/>
          <w:highlight w:val="none"/>
        </w:rPr>
        <w:t>2</w:t>
      </w:r>
      <w:r>
        <w:rPr>
          <w:color w:val="auto"/>
          <w:sz w:val="18"/>
          <w:szCs w:val="18"/>
          <w:highlight w:val="none"/>
        </w:rPr>
        <w:t>—</w:t>
      </w:r>
      <w:r>
        <w:rPr>
          <w:rFonts w:hint="eastAsia"/>
          <w:color w:val="auto"/>
          <w:sz w:val="18"/>
          <w:szCs w:val="18"/>
          <w:highlight w:val="none"/>
          <w:lang w:val="en-US" w:eastAsia="zh-CN"/>
        </w:rPr>
        <w:t>防水层</w:t>
      </w:r>
      <w:r>
        <w:rPr>
          <w:rFonts w:hint="eastAsia"/>
          <w:color w:val="auto"/>
          <w:sz w:val="18"/>
          <w:szCs w:val="18"/>
          <w:highlight w:val="none"/>
        </w:rPr>
        <w:t>；3</w:t>
      </w:r>
      <w:r>
        <w:rPr>
          <w:color w:val="auto"/>
          <w:sz w:val="18"/>
          <w:szCs w:val="18"/>
          <w:highlight w:val="none"/>
        </w:rPr>
        <w:t>—</w:t>
      </w:r>
      <w:r>
        <w:rPr>
          <w:rFonts w:hint="eastAsia"/>
          <w:color w:val="auto"/>
          <w:sz w:val="18"/>
          <w:szCs w:val="18"/>
          <w:highlight w:val="none"/>
          <w:lang w:val="en-US" w:eastAsia="zh-CN"/>
        </w:rPr>
        <w:t>粘结层</w:t>
      </w:r>
      <w:r>
        <w:rPr>
          <w:rFonts w:hint="eastAsia"/>
          <w:color w:val="auto"/>
          <w:sz w:val="18"/>
          <w:szCs w:val="18"/>
          <w:highlight w:val="none"/>
        </w:rPr>
        <w:t>；4</w:t>
      </w:r>
      <w:r>
        <w:rPr>
          <w:color w:val="auto"/>
          <w:sz w:val="18"/>
          <w:szCs w:val="18"/>
          <w:highlight w:val="none"/>
        </w:rPr>
        <w:t>—</w:t>
      </w:r>
      <w:r>
        <w:rPr>
          <w:rFonts w:hint="eastAsia"/>
          <w:color w:val="auto"/>
          <w:sz w:val="18"/>
          <w:szCs w:val="18"/>
          <w:highlight w:val="none"/>
          <w:lang w:val="en-US" w:eastAsia="zh-CN"/>
        </w:rPr>
        <w:t>建筑密封胶；</w:t>
      </w:r>
      <w:r>
        <w:rPr>
          <w:rFonts w:hint="eastAsia"/>
          <w:color w:val="auto"/>
          <w:sz w:val="18"/>
          <w:szCs w:val="18"/>
          <w:highlight w:val="none"/>
        </w:rPr>
        <w:t>5</w:t>
      </w:r>
      <w:r>
        <w:rPr>
          <w:color w:val="auto"/>
          <w:sz w:val="18"/>
          <w:szCs w:val="18"/>
          <w:highlight w:val="none"/>
        </w:rPr>
        <w:t>—</w:t>
      </w:r>
      <w:r>
        <w:rPr>
          <w:rFonts w:hint="eastAsia"/>
          <w:color w:val="auto"/>
          <w:sz w:val="18"/>
          <w:szCs w:val="18"/>
          <w:highlight w:val="none"/>
          <w:lang w:val="en-US" w:eastAsia="zh-CN"/>
        </w:rPr>
        <w:t>填缝材料</w:t>
      </w:r>
      <w:r>
        <w:rPr>
          <w:color w:val="auto"/>
          <w:sz w:val="18"/>
          <w:szCs w:val="18"/>
          <w:highlight w:val="none"/>
        </w:rPr>
        <w:t>；</w:t>
      </w:r>
      <w:r>
        <w:rPr>
          <w:rFonts w:hint="eastAsia"/>
          <w:color w:val="auto"/>
          <w:sz w:val="18"/>
          <w:szCs w:val="18"/>
          <w:highlight w:val="none"/>
        </w:rPr>
        <w:t>6</w:t>
      </w:r>
      <w:r>
        <w:rPr>
          <w:color w:val="auto"/>
          <w:sz w:val="18"/>
          <w:szCs w:val="18"/>
          <w:highlight w:val="none"/>
        </w:rPr>
        <w:t>—</w:t>
      </w:r>
      <w:r>
        <w:rPr>
          <w:rFonts w:hint="eastAsia"/>
          <w:color w:val="auto"/>
          <w:sz w:val="18"/>
          <w:szCs w:val="18"/>
          <w:highlight w:val="none"/>
          <w:lang w:val="en-US" w:eastAsia="zh-CN"/>
        </w:rPr>
        <w:t>锚固组件</w:t>
      </w:r>
      <w:r>
        <w:rPr>
          <w:color w:val="auto"/>
          <w:sz w:val="18"/>
          <w:szCs w:val="18"/>
          <w:highlight w:val="none"/>
        </w:rPr>
        <w:t>；</w:t>
      </w:r>
    </w:p>
    <w:p w14:paraId="065A5E23">
      <w:pPr>
        <w:spacing w:line="360" w:lineRule="auto"/>
        <w:jc w:val="center"/>
        <w:rPr>
          <w:rFonts w:hint="eastAsia" w:eastAsia="宋体"/>
          <w:color w:val="auto"/>
          <w:highlight w:val="none"/>
          <w:lang w:val="en-US" w:eastAsia="zh-CN"/>
        </w:rPr>
      </w:pPr>
      <w:r>
        <w:rPr>
          <w:rFonts w:hint="eastAsia"/>
          <w:color w:val="auto"/>
          <w:sz w:val="18"/>
          <w:szCs w:val="18"/>
          <w:highlight w:val="none"/>
        </w:rPr>
        <w:t>7</w:t>
      </w:r>
      <w:r>
        <w:rPr>
          <w:color w:val="auto"/>
          <w:sz w:val="18"/>
          <w:szCs w:val="18"/>
          <w:highlight w:val="none"/>
        </w:rPr>
        <w:t>—</w:t>
      </w:r>
      <w:r>
        <w:rPr>
          <w:rFonts w:hint="eastAsia"/>
          <w:color w:val="auto"/>
          <w:sz w:val="18"/>
          <w:szCs w:val="18"/>
          <w:highlight w:val="none"/>
          <w:lang w:val="en-US" w:eastAsia="zh-CN"/>
        </w:rPr>
        <w:t>套装双真空保温隔热装饰板</w:t>
      </w:r>
    </w:p>
    <w:p w14:paraId="69DC18EA">
      <w:pPr>
        <w:jc w:val="center"/>
        <w:rPr>
          <w:highlight w:val="none"/>
        </w:rPr>
      </w:pPr>
      <w:r>
        <w:rPr>
          <w:color w:val="auto"/>
          <w:highlight w:val="none"/>
        </w:rPr>
        <w:t>图5</w:t>
      </w:r>
      <w:r>
        <w:rPr>
          <w:rFonts w:hint="eastAsia"/>
          <w:color w:val="auto"/>
          <w:highlight w:val="none"/>
          <w:lang w:val="en-US" w:eastAsia="zh-CN"/>
        </w:rPr>
        <w:t>.6</w:t>
      </w:r>
      <w:r>
        <w:rPr>
          <w:color w:val="auto"/>
          <w:highlight w:val="none"/>
        </w:rPr>
        <w:t>.</w:t>
      </w:r>
      <w:r>
        <w:rPr>
          <w:rFonts w:hint="eastAsia"/>
          <w:color w:val="auto"/>
          <w:highlight w:val="none"/>
          <w:lang w:val="en-US" w:eastAsia="zh-CN"/>
        </w:rPr>
        <w:t>1</w:t>
      </w:r>
      <w:r>
        <w:rPr>
          <w:color w:val="auto"/>
          <w:highlight w:val="none"/>
        </w:rPr>
        <w:t xml:space="preserve"> </w:t>
      </w:r>
      <w:r>
        <w:rPr>
          <w:rFonts w:hint="eastAsia"/>
          <w:color w:val="auto"/>
          <w:highlight w:val="none"/>
        </w:rPr>
        <w:t>套装双真空保温隔热装饰板外墙外保温系统构造示意图</w:t>
      </w:r>
    </w:p>
    <w:p w14:paraId="08B68DE9">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w:t>
      </w:r>
      <w:r>
        <w:rPr>
          <w:rFonts w:hint="eastAsia"/>
          <w:bCs/>
          <w:color w:val="auto"/>
          <w:sz w:val="24"/>
          <w:szCs w:val="24"/>
          <w:highlight w:val="none"/>
        </w:rPr>
        <w:t>外墙外保温系统的使用高度不宜超过1</w:t>
      </w:r>
      <w:r>
        <w:rPr>
          <w:bCs/>
          <w:color w:val="auto"/>
          <w:sz w:val="24"/>
          <w:szCs w:val="24"/>
          <w:highlight w:val="none"/>
        </w:rPr>
        <w:t>00m</w:t>
      </w:r>
      <w:r>
        <w:rPr>
          <w:rFonts w:hint="eastAsia"/>
          <w:bCs/>
          <w:color w:val="auto"/>
          <w:sz w:val="24"/>
          <w:szCs w:val="24"/>
          <w:highlight w:val="none"/>
        </w:rPr>
        <w:t>，超过</w:t>
      </w:r>
      <w:r>
        <w:rPr>
          <w:bCs/>
          <w:color w:val="auto"/>
          <w:sz w:val="24"/>
          <w:szCs w:val="24"/>
          <w:highlight w:val="none"/>
        </w:rPr>
        <w:t>100</w:t>
      </w:r>
      <w:r>
        <w:rPr>
          <w:rFonts w:hint="eastAsia"/>
          <w:bCs/>
          <w:color w:val="auto"/>
          <w:sz w:val="24"/>
          <w:szCs w:val="24"/>
          <w:highlight w:val="none"/>
        </w:rPr>
        <w:t>m时，使用高度应根据保温系统的设计抗风压值确定，并应做专项设计方案技术论证。</w:t>
      </w:r>
    </w:p>
    <w:p w14:paraId="47382CE0">
      <w:pPr>
        <w:spacing w:line="360" w:lineRule="auto"/>
        <w:jc w:val="left"/>
        <w:outlineLvl w:val="2"/>
        <w:rPr>
          <w:bCs/>
          <w:color w:val="auto"/>
          <w:sz w:val="24"/>
          <w:szCs w:val="24"/>
          <w:highlight w:val="none"/>
        </w:rPr>
      </w:pPr>
      <w:r>
        <w:rPr>
          <w:rFonts w:hint="eastAsia" w:ascii="仿宋_GB2312" w:eastAsia="仿宋_GB2312"/>
          <w:color w:val="auto"/>
          <w:sz w:val="24"/>
          <w:highlight w:val="none"/>
        </w:rPr>
        <w:t>【条文说明】5</w:t>
      </w:r>
      <w:r>
        <w:rPr>
          <w:rFonts w:ascii="仿宋_GB2312" w:eastAsia="仿宋_GB2312"/>
          <w:color w:val="auto"/>
          <w:sz w:val="24"/>
          <w:highlight w:val="none"/>
        </w:rPr>
        <w:t xml:space="preserve">.6.2  </w:t>
      </w:r>
      <w:r>
        <w:rPr>
          <w:rFonts w:hint="eastAsia" w:ascii="仿宋_GB2312" w:eastAsia="仿宋_GB2312"/>
          <w:color w:val="auto"/>
          <w:sz w:val="24"/>
          <w:highlight w:val="none"/>
        </w:rPr>
        <w:t>本条文给出了套装双真空保温隔热装饰板外墙外保温系统的使用高度，依据了风荷载、安全系数以及现场施工的不确定性制定，但随着套装双真空保温隔热装饰板产品技术的不断改进和提高，其使用高度在保证工程安全性和耐久性的前提下可适当放宽，但应提供通过专项技术论证的设计文件和施工技术方案</w:t>
      </w:r>
    </w:p>
    <w:p w14:paraId="71B9D5F5">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套装双真空保温隔热装饰板应采用以粘为主、粘锚结合的方式与基层墙体可靠连接，且粘结面积不应小于80%。</w:t>
      </w:r>
    </w:p>
    <w:p w14:paraId="26CFEC97">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套装双真空保温隔热装饰板外墙外保温系统的锚固构造应符合下列规定：</w:t>
      </w:r>
    </w:p>
    <w:p w14:paraId="40BE74EE">
      <w:pPr>
        <w:pStyle w:val="27"/>
        <w:numPr>
          <w:ilvl w:val="0"/>
          <w:numId w:val="22"/>
        </w:numPr>
        <w:spacing w:line="360" w:lineRule="auto"/>
        <w:ind w:left="0" w:firstLine="480"/>
        <w:rPr>
          <w:bCs/>
          <w:color w:val="auto"/>
          <w:sz w:val="24"/>
          <w:szCs w:val="24"/>
          <w:highlight w:val="none"/>
        </w:rPr>
      </w:pPr>
      <w:r>
        <w:rPr>
          <w:rFonts w:hint="eastAsia"/>
          <w:bCs/>
          <w:color w:val="auto"/>
          <w:sz w:val="24"/>
          <w:szCs w:val="24"/>
          <w:highlight w:val="none"/>
        </w:rPr>
        <w:t>锚固组件数量应根据不同基层墙体的锚固组件的抗拉承载力标准值、所在地建筑围护结构永久荷载和可变荷载设计值确定；</w:t>
      </w:r>
    </w:p>
    <w:p w14:paraId="09E9EB07">
      <w:pPr>
        <w:pStyle w:val="27"/>
        <w:numPr>
          <w:ilvl w:val="0"/>
          <w:numId w:val="22"/>
        </w:numPr>
        <w:spacing w:line="360" w:lineRule="auto"/>
        <w:ind w:left="0" w:firstLine="480"/>
        <w:rPr>
          <w:bCs/>
          <w:color w:val="auto"/>
          <w:sz w:val="24"/>
          <w:szCs w:val="24"/>
          <w:highlight w:val="none"/>
        </w:rPr>
      </w:pPr>
      <w:r>
        <w:rPr>
          <w:bCs/>
          <w:color w:val="auto"/>
          <w:sz w:val="24"/>
          <w:szCs w:val="24"/>
          <w:highlight w:val="none"/>
        </w:rPr>
        <w:t>套装双真空保温隔热装饰板外墙外保温系统</w:t>
      </w:r>
      <w:r>
        <w:rPr>
          <w:rFonts w:hint="eastAsia"/>
          <w:bCs/>
          <w:color w:val="auto"/>
          <w:sz w:val="24"/>
          <w:szCs w:val="24"/>
          <w:highlight w:val="none"/>
        </w:rPr>
        <w:t>应设置托架</w:t>
      </w:r>
      <w:r>
        <w:rPr>
          <w:rFonts w:hint="eastAsia"/>
          <w:bCs/>
          <w:color w:val="auto"/>
          <w:sz w:val="24"/>
          <w:szCs w:val="24"/>
          <w:highlight w:val="none"/>
          <w:lang w:eastAsia="zh-CN"/>
        </w:rPr>
        <w:t>；</w:t>
      </w:r>
      <w:r>
        <w:rPr>
          <w:rFonts w:hint="eastAsia"/>
          <w:bCs/>
          <w:color w:val="auto"/>
          <w:sz w:val="24"/>
          <w:szCs w:val="24"/>
          <w:highlight w:val="none"/>
        </w:rPr>
        <w:t>当横向设置的锚固组件具有承托功能</w:t>
      </w:r>
      <w:r>
        <w:rPr>
          <w:rFonts w:hint="eastAsia"/>
          <w:bCs/>
          <w:color w:val="auto"/>
          <w:sz w:val="24"/>
          <w:szCs w:val="24"/>
          <w:highlight w:val="none"/>
          <w:lang w:eastAsia="zh-CN"/>
        </w:rPr>
        <w:t>，</w:t>
      </w:r>
      <w:r>
        <w:rPr>
          <w:rFonts w:hint="eastAsia"/>
          <w:bCs/>
          <w:color w:val="auto"/>
          <w:sz w:val="24"/>
          <w:szCs w:val="24"/>
          <w:highlight w:val="none"/>
          <w:lang w:val="en-US" w:eastAsia="zh-CN"/>
        </w:rPr>
        <w:t>且承载力满足</w:t>
      </w:r>
      <w:r>
        <w:rPr>
          <w:bCs/>
          <w:color w:val="auto"/>
          <w:sz w:val="24"/>
          <w:szCs w:val="24"/>
          <w:highlight w:val="none"/>
        </w:rPr>
        <w:t>套装双真空保温隔热装饰板</w:t>
      </w:r>
      <w:r>
        <w:rPr>
          <w:rFonts w:hint="eastAsia"/>
          <w:bCs/>
          <w:color w:val="auto"/>
          <w:sz w:val="24"/>
          <w:szCs w:val="24"/>
          <w:highlight w:val="none"/>
          <w:lang w:val="en-US" w:eastAsia="zh-CN"/>
        </w:rPr>
        <w:t>和粘结砂浆自重荷载设计值要求</w:t>
      </w:r>
      <w:r>
        <w:rPr>
          <w:rFonts w:hint="eastAsia"/>
          <w:bCs/>
          <w:color w:val="auto"/>
          <w:sz w:val="24"/>
          <w:szCs w:val="24"/>
          <w:highlight w:val="none"/>
        </w:rPr>
        <w:t>时，可替代托架。</w:t>
      </w:r>
    </w:p>
    <w:p w14:paraId="01BD0D3D">
      <w:pPr>
        <w:pStyle w:val="27"/>
        <w:numPr>
          <w:ilvl w:val="0"/>
          <w:numId w:val="22"/>
        </w:numPr>
        <w:spacing w:line="360" w:lineRule="auto"/>
        <w:ind w:left="0" w:firstLine="480"/>
        <w:rPr>
          <w:bCs/>
          <w:color w:val="auto"/>
          <w:sz w:val="24"/>
          <w:szCs w:val="24"/>
          <w:highlight w:val="none"/>
        </w:rPr>
      </w:pPr>
      <w:r>
        <w:rPr>
          <w:bCs/>
          <w:color w:val="auto"/>
          <w:sz w:val="24"/>
          <w:szCs w:val="24"/>
          <w:highlight w:val="none"/>
        </w:rPr>
        <w:t>锚固组件数量不应少于6个/m</w:t>
      </w:r>
      <w:r>
        <w:rPr>
          <w:bCs/>
          <w:color w:val="auto"/>
          <w:sz w:val="24"/>
          <w:szCs w:val="24"/>
          <w:highlight w:val="none"/>
          <w:vertAlign w:val="superscript"/>
        </w:rPr>
        <w:t>2</w:t>
      </w:r>
      <w:r>
        <w:rPr>
          <w:rFonts w:hint="eastAsia"/>
          <w:bCs/>
          <w:color w:val="auto"/>
          <w:sz w:val="24"/>
          <w:szCs w:val="24"/>
          <w:highlight w:val="none"/>
        </w:rPr>
        <w:t>，且</w:t>
      </w:r>
      <w:r>
        <w:rPr>
          <w:rFonts w:hint="eastAsia"/>
          <w:bCs/>
          <w:color w:val="auto"/>
          <w:sz w:val="24"/>
          <w:szCs w:val="24"/>
          <w:highlight w:val="none"/>
          <w:lang w:val="en-US" w:eastAsia="zh-CN"/>
        </w:rPr>
        <w:t>不应少于3个/块</w:t>
      </w:r>
      <w:r>
        <w:rPr>
          <w:rFonts w:hint="eastAsia"/>
          <w:bCs/>
          <w:color w:val="auto"/>
          <w:sz w:val="24"/>
          <w:szCs w:val="24"/>
          <w:highlight w:val="none"/>
        </w:rPr>
        <w:t>。</w:t>
      </w:r>
    </w:p>
    <w:p w14:paraId="1A035F38">
      <w:pPr>
        <w:pStyle w:val="27"/>
        <w:numPr>
          <w:ilvl w:val="0"/>
          <w:numId w:val="22"/>
        </w:numPr>
        <w:spacing w:line="360" w:lineRule="auto"/>
        <w:ind w:left="0" w:firstLine="480"/>
        <w:rPr>
          <w:bCs/>
          <w:color w:val="auto"/>
          <w:sz w:val="24"/>
          <w:szCs w:val="24"/>
          <w:highlight w:val="none"/>
        </w:rPr>
      </w:pPr>
      <w:r>
        <w:rPr>
          <w:bCs/>
          <w:color w:val="auto"/>
          <w:sz w:val="24"/>
          <w:szCs w:val="24"/>
          <w:highlight w:val="none"/>
        </w:rPr>
        <w:t>锚固组件应固定于装饰面板，不应固定在套装双真空保温隔热板处。</w:t>
      </w:r>
    </w:p>
    <w:p w14:paraId="7AEA80C8">
      <w:pPr>
        <w:pStyle w:val="27"/>
        <w:numPr>
          <w:ilvl w:val="2"/>
          <w:numId w:val="2"/>
        </w:numPr>
        <w:spacing w:line="360" w:lineRule="auto"/>
        <w:ind w:left="0" w:firstLine="0" w:firstLineChars="0"/>
        <w:jc w:val="left"/>
        <w:outlineLvl w:val="2"/>
        <w:rPr>
          <w:color w:val="auto"/>
          <w:sz w:val="24"/>
          <w:szCs w:val="24"/>
          <w:highlight w:val="none"/>
        </w:rPr>
      </w:pPr>
      <w:r>
        <w:rPr>
          <w:bCs/>
          <w:color w:val="auto"/>
          <w:sz w:val="24"/>
          <w:szCs w:val="24"/>
          <w:highlight w:val="none"/>
        </w:rPr>
        <w:t>套装双真空保温隔热装饰板板缝</w:t>
      </w:r>
      <w:r>
        <w:rPr>
          <w:rFonts w:hint="eastAsia"/>
          <w:bCs/>
          <w:color w:val="auto"/>
          <w:sz w:val="24"/>
          <w:szCs w:val="24"/>
          <w:highlight w:val="none"/>
        </w:rPr>
        <w:t>设计</w:t>
      </w:r>
      <w:r>
        <w:rPr>
          <w:bCs/>
          <w:color w:val="auto"/>
          <w:sz w:val="24"/>
          <w:szCs w:val="24"/>
          <w:highlight w:val="none"/>
        </w:rPr>
        <w:t>应符合下列规定：</w:t>
      </w:r>
    </w:p>
    <w:p w14:paraId="62EB2F24">
      <w:pPr>
        <w:pStyle w:val="27"/>
        <w:numPr>
          <w:ilvl w:val="0"/>
          <w:numId w:val="23"/>
        </w:numPr>
        <w:spacing w:line="360" w:lineRule="auto"/>
        <w:ind w:left="0" w:firstLine="480"/>
        <w:rPr>
          <w:bCs/>
          <w:color w:val="auto"/>
          <w:sz w:val="24"/>
          <w:szCs w:val="24"/>
          <w:highlight w:val="none"/>
        </w:rPr>
      </w:pPr>
      <w:r>
        <w:rPr>
          <w:bCs/>
          <w:color w:val="auto"/>
          <w:sz w:val="24"/>
          <w:szCs w:val="24"/>
          <w:highlight w:val="none"/>
        </w:rPr>
        <w:t>缝隙宽度不宜大于15mm，且不宜小于6mm，并应满足不小于主体结构弹性层间位移角限值3倍的要求；</w:t>
      </w:r>
    </w:p>
    <w:p w14:paraId="36084568">
      <w:pPr>
        <w:pStyle w:val="27"/>
        <w:numPr>
          <w:ilvl w:val="0"/>
          <w:numId w:val="23"/>
        </w:numPr>
        <w:spacing w:line="360" w:lineRule="auto"/>
        <w:ind w:left="0" w:firstLine="480"/>
        <w:rPr>
          <w:bCs/>
          <w:color w:val="auto"/>
          <w:sz w:val="24"/>
          <w:szCs w:val="24"/>
          <w:highlight w:val="none"/>
        </w:rPr>
      </w:pPr>
      <w:r>
        <w:rPr>
          <w:bCs/>
          <w:color w:val="auto"/>
          <w:sz w:val="24"/>
          <w:szCs w:val="24"/>
          <w:highlight w:val="none"/>
        </w:rPr>
        <w:t xml:space="preserve">密封胶厚度不宜小于6mm，且不宜小于缝隙宽度； </w:t>
      </w:r>
    </w:p>
    <w:p w14:paraId="0FEECEEC">
      <w:pPr>
        <w:pStyle w:val="27"/>
        <w:numPr>
          <w:ilvl w:val="0"/>
          <w:numId w:val="23"/>
        </w:numPr>
        <w:spacing w:line="360" w:lineRule="auto"/>
        <w:ind w:left="0" w:firstLine="480"/>
        <w:rPr>
          <w:bCs/>
          <w:color w:val="auto"/>
          <w:sz w:val="24"/>
          <w:szCs w:val="24"/>
          <w:highlight w:val="none"/>
        </w:rPr>
      </w:pPr>
      <w:r>
        <w:rPr>
          <w:bCs/>
          <w:color w:val="auto"/>
          <w:sz w:val="24"/>
          <w:szCs w:val="24"/>
          <w:highlight w:val="none"/>
        </w:rPr>
        <w:t>板缝应使用弹性背衬材料进行填充，并采用密封胶嵌缝。</w:t>
      </w:r>
    </w:p>
    <w:p w14:paraId="24D36D83">
      <w:pPr>
        <w:pStyle w:val="27"/>
        <w:numPr>
          <w:ilvl w:val="2"/>
          <w:numId w:val="2"/>
        </w:numPr>
        <w:spacing w:line="360" w:lineRule="auto"/>
        <w:ind w:left="0" w:firstLine="0" w:firstLineChars="0"/>
        <w:jc w:val="left"/>
        <w:outlineLvl w:val="2"/>
        <w:rPr>
          <w:rFonts w:hint="eastAsia" w:eastAsia="宋体"/>
          <w:highlight w:val="none"/>
          <w:lang w:eastAsia="zh-CN"/>
        </w:rPr>
      </w:pPr>
      <w:r>
        <w:rPr>
          <w:bCs/>
          <w:color w:val="auto"/>
          <w:sz w:val="24"/>
          <w:szCs w:val="24"/>
          <w:highlight w:val="none"/>
        </w:rPr>
        <w:t>阳角拼接处（图 5.</w:t>
      </w:r>
      <w:r>
        <w:rPr>
          <w:rFonts w:hint="eastAsia"/>
          <w:bCs/>
          <w:color w:val="auto"/>
          <w:sz w:val="24"/>
          <w:szCs w:val="24"/>
          <w:highlight w:val="none"/>
          <w:lang w:val="en-US" w:eastAsia="zh-CN"/>
        </w:rPr>
        <w:t>6.6</w:t>
      </w:r>
      <w:r>
        <w:rPr>
          <w:bCs/>
          <w:color w:val="auto"/>
          <w:sz w:val="24"/>
          <w:szCs w:val="24"/>
          <w:highlight w:val="none"/>
        </w:rPr>
        <w:t>-1）和阴角拼接处（图 5.</w:t>
      </w:r>
      <w:r>
        <w:rPr>
          <w:rFonts w:hint="eastAsia"/>
          <w:bCs/>
          <w:color w:val="auto"/>
          <w:sz w:val="24"/>
          <w:szCs w:val="24"/>
          <w:highlight w:val="none"/>
          <w:lang w:val="en-US" w:eastAsia="zh-CN"/>
        </w:rPr>
        <w:t>6.6</w:t>
      </w:r>
      <w:r>
        <w:rPr>
          <w:bCs/>
          <w:color w:val="auto"/>
          <w:sz w:val="24"/>
          <w:szCs w:val="24"/>
          <w:highlight w:val="none"/>
        </w:rPr>
        <w:t>-2）应做防水、密封处理。</w:t>
      </w:r>
    </w:p>
    <w:p w14:paraId="07F55570">
      <w:pPr>
        <w:pStyle w:val="27"/>
        <w:numPr>
          <w:ilvl w:val="0"/>
          <w:numId w:val="0"/>
        </w:numPr>
        <w:spacing w:line="360" w:lineRule="auto"/>
        <w:ind w:leftChars="0"/>
        <w:jc w:val="center"/>
        <w:outlineLvl w:val="2"/>
        <w:rPr>
          <w:highlight w:val="none"/>
        </w:rPr>
      </w:pPr>
      <w:r>
        <w:rPr>
          <w:highlight w:val="none"/>
        </w:rPr>
        <w:drawing>
          <wp:inline distT="0" distB="0" distL="114300" distR="114300">
            <wp:extent cx="1798955" cy="1560195"/>
            <wp:effectExtent l="0" t="0" r="10795" b="19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2"/>
                    <a:stretch>
                      <a:fillRect/>
                    </a:stretch>
                  </pic:blipFill>
                  <pic:spPr>
                    <a:xfrm>
                      <a:off x="0" y="0"/>
                      <a:ext cx="1798955" cy="1560195"/>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1666240" cy="1530985"/>
            <wp:effectExtent l="0" t="0" r="10160" b="12065"/>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73"/>
                    <a:stretch>
                      <a:fillRect/>
                    </a:stretch>
                  </pic:blipFill>
                  <pic:spPr>
                    <a:xfrm>
                      <a:off x="0" y="0"/>
                      <a:ext cx="1666240" cy="1530985"/>
                    </a:xfrm>
                    <a:prstGeom prst="rect">
                      <a:avLst/>
                    </a:prstGeom>
                    <a:noFill/>
                    <a:ln>
                      <a:noFill/>
                    </a:ln>
                  </pic:spPr>
                </pic:pic>
              </a:graphicData>
            </a:graphic>
          </wp:inline>
        </w:drawing>
      </w:r>
    </w:p>
    <w:p w14:paraId="7F86946C">
      <w:pPr>
        <w:pStyle w:val="27"/>
        <w:numPr>
          <w:ilvl w:val="0"/>
          <w:numId w:val="0"/>
        </w:numPr>
        <w:spacing w:line="360" w:lineRule="auto"/>
        <w:ind w:leftChars="0"/>
        <w:jc w:val="center"/>
        <w:outlineLvl w:val="2"/>
        <w:rPr>
          <w:rFonts w:hint="eastAsia"/>
          <w:highlight w:val="none"/>
          <w:lang w:eastAsia="zh-CN"/>
        </w:rPr>
      </w:pPr>
      <w:r>
        <w:rPr>
          <w:color w:val="auto"/>
          <w:sz w:val="18"/>
          <w:szCs w:val="18"/>
          <w:highlight w:val="none"/>
        </w:rPr>
        <w:t>1—</w:t>
      </w:r>
      <w:r>
        <w:rPr>
          <w:rFonts w:hint="eastAsia"/>
          <w:color w:val="auto"/>
          <w:sz w:val="18"/>
          <w:szCs w:val="18"/>
          <w:highlight w:val="none"/>
          <w:lang w:val="en-US" w:eastAsia="zh-CN"/>
        </w:rPr>
        <w:t>锚固组件</w:t>
      </w:r>
      <w:r>
        <w:rPr>
          <w:color w:val="auto"/>
          <w:sz w:val="18"/>
          <w:szCs w:val="18"/>
          <w:highlight w:val="none"/>
        </w:rPr>
        <w:t>；</w:t>
      </w:r>
      <w:r>
        <w:rPr>
          <w:rFonts w:hint="eastAsia"/>
          <w:color w:val="auto"/>
          <w:sz w:val="18"/>
          <w:szCs w:val="18"/>
          <w:highlight w:val="none"/>
        </w:rPr>
        <w:t>2</w:t>
      </w:r>
      <w:r>
        <w:rPr>
          <w:color w:val="auto"/>
          <w:sz w:val="18"/>
          <w:szCs w:val="18"/>
          <w:highlight w:val="none"/>
        </w:rPr>
        <w:t>—</w:t>
      </w:r>
      <w:r>
        <w:rPr>
          <w:rFonts w:hint="eastAsia"/>
          <w:color w:val="auto"/>
          <w:sz w:val="18"/>
          <w:szCs w:val="18"/>
          <w:highlight w:val="none"/>
          <w:lang w:val="en-US" w:eastAsia="zh-CN"/>
        </w:rPr>
        <w:t>套装双真空保温隔热装饰板</w:t>
      </w:r>
      <w:r>
        <w:rPr>
          <w:rFonts w:hint="eastAsia"/>
          <w:color w:val="auto"/>
          <w:sz w:val="18"/>
          <w:szCs w:val="18"/>
          <w:highlight w:val="none"/>
        </w:rPr>
        <w:t>；3</w:t>
      </w:r>
      <w:r>
        <w:rPr>
          <w:color w:val="auto"/>
          <w:sz w:val="18"/>
          <w:szCs w:val="18"/>
          <w:highlight w:val="none"/>
        </w:rPr>
        <w:t>—</w:t>
      </w:r>
      <w:r>
        <w:rPr>
          <w:rFonts w:hint="eastAsia"/>
          <w:color w:val="auto"/>
          <w:sz w:val="18"/>
          <w:szCs w:val="18"/>
          <w:highlight w:val="none"/>
          <w:lang w:val="en-US" w:eastAsia="zh-CN"/>
        </w:rPr>
        <w:t>建筑密封胶</w:t>
      </w:r>
      <w:r>
        <w:rPr>
          <w:rFonts w:hint="eastAsia"/>
          <w:color w:val="auto"/>
          <w:sz w:val="18"/>
          <w:szCs w:val="18"/>
          <w:highlight w:val="none"/>
        </w:rPr>
        <w:t>；</w:t>
      </w:r>
    </w:p>
    <w:p w14:paraId="58DA440A">
      <w:pPr>
        <w:jc w:val="center"/>
        <w:rPr>
          <w:rFonts w:hint="eastAsia" w:eastAsia="宋体"/>
          <w:highlight w:val="none"/>
          <w:lang w:eastAsia="zh-CN"/>
        </w:rPr>
      </w:pPr>
      <w:r>
        <w:rPr>
          <w:color w:val="auto"/>
          <w:highlight w:val="none"/>
        </w:rPr>
        <w:t>图5</w:t>
      </w:r>
      <w:r>
        <w:rPr>
          <w:rFonts w:hint="eastAsia"/>
          <w:color w:val="auto"/>
          <w:highlight w:val="none"/>
          <w:lang w:val="en-US" w:eastAsia="zh-CN"/>
        </w:rPr>
        <w:t>.6</w:t>
      </w:r>
      <w:r>
        <w:rPr>
          <w:color w:val="auto"/>
          <w:highlight w:val="none"/>
        </w:rPr>
        <w:t>.</w:t>
      </w:r>
      <w:r>
        <w:rPr>
          <w:rFonts w:hint="eastAsia"/>
          <w:color w:val="auto"/>
          <w:highlight w:val="none"/>
          <w:lang w:val="en-US" w:eastAsia="zh-CN"/>
        </w:rPr>
        <w:t>6-1</w:t>
      </w:r>
      <w:r>
        <w:rPr>
          <w:color w:val="auto"/>
          <w:highlight w:val="none"/>
        </w:rPr>
        <w:t xml:space="preserve"> </w:t>
      </w:r>
      <w:r>
        <w:rPr>
          <w:rFonts w:hint="eastAsia"/>
          <w:color w:val="auto"/>
          <w:highlight w:val="none"/>
          <w:lang w:val="en-US" w:eastAsia="zh-CN"/>
        </w:rPr>
        <w:t xml:space="preserve">阳角拼接处                    </w:t>
      </w:r>
      <w:r>
        <w:rPr>
          <w:color w:val="auto"/>
          <w:highlight w:val="none"/>
        </w:rPr>
        <w:t>图5</w:t>
      </w:r>
      <w:r>
        <w:rPr>
          <w:rFonts w:hint="eastAsia"/>
          <w:color w:val="auto"/>
          <w:highlight w:val="none"/>
          <w:lang w:val="en-US" w:eastAsia="zh-CN"/>
        </w:rPr>
        <w:t>.6</w:t>
      </w:r>
      <w:r>
        <w:rPr>
          <w:color w:val="auto"/>
          <w:highlight w:val="none"/>
        </w:rPr>
        <w:t>.</w:t>
      </w:r>
      <w:r>
        <w:rPr>
          <w:rFonts w:hint="eastAsia"/>
          <w:color w:val="auto"/>
          <w:highlight w:val="none"/>
          <w:lang w:val="en-US" w:eastAsia="zh-CN"/>
        </w:rPr>
        <w:t>6-2</w:t>
      </w:r>
      <w:r>
        <w:rPr>
          <w:color w:val="auto"/>
          <w:highlight w:val="none"/>
        </w:rPr>
        <w:t xml:space="preserve"> </w:t>
      </w:r>
      <w:r>
        <w:rPr>
          <w:rFonts w:hint="eastAsia"/>
          <w:color w:val="auto"/>
          <w:highlight w:val="none"/>
          <w:lang w:val="en-US" w:eastAsia="zh-CN"/>
        </w:rPr>
        <w:t>阴角拼接处</w:t>
      </w:r>
    </w:p>
    <w:p w14:paraId="5A64219F">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套装双真空保温隔热装饰板外墙外保温</w:t>
      </w:r>
      <w:r>
        <w:rPr>
          <w:bCs/>
          <w:color w:val="auto"/>
          <w:sz w:val="24"/>
          <w:szCs w:val="24"/>
          <w:highlight w:val="none"/>
        </w:rPr>
        <w:t>系统应设置透气构造，透气件数量应满足设计要求，且每30m</w:t>
      </w:r>
      <w:r>
        <w:rPr>
          <w:bCs/>
          <w:color w:val="auto"/>
          <w:sz w:val="24"/>
          <w:szCs w:val="24"/>
          <w:highlight w:val="none"/>
          <w:vertAlign w:val="superscript"/>
        </w:rPr>
        <w:t>2</w:t>
      </w:r>
      <w:r>
        <w:rPr>
          <w:bCs/>
          <w:color w:val="auto"/>
          <w:sz w:val="24"/>
          <w:szCs w:val="24"/>
          <w:highlight w:val="none"/>
        </w:rPr>
        <w:t>不应少于1个，透气件应安装在保温装饰板</w:t>
      </w:r>
      <w:r>
        <w:rPr>
          <w:rFonts w:hint="eastAsia"/>
          <w:bCs/>
          <w:color w:val="auto"/>
          <w:sz w:val="24"/>
          <w:szCs w:val="24"/>
          <w:highlight w:val="none"/>
        </w:rPr>
        <w:t>水平缝与垂直缝交汇处</w:t>
      </w:r>
      <w:r>
        <w:rPr>
          <w:bCs/>
          <w:color w:val="auto"/>
          <w:sz w:val="24"/>
          <w:szCs w:val="24"/>
          <w:highlight w:val="none"/>
        </w:rPr>
        <w:t>，安装时应斜向下约60°</w:t>
      </w:r>
      <w:r>
        <w:rPr>
          <w:rFonts w:hint="eastAsia"/>
          <w:bCs/>
          <w:color w:val="auto"/>
          <w:sz w:val="24"/>
          <w:szCs w:val="24"/>
          <w:highlight w:val="none"/>
        </w:rPr>
        <w:t>排汽栓嵌入，排气栓嵌入板缝后粘贴应牢固，汽孔不应堵塞。</w:t>
      </w:r>
    </w:p>
    <w:p w14:paraId="10746AD7">
      <w:pPr>
        <w:spacing w:line="360" w:lineRule="auto"/>
        <w:jc w:val="left"/>
        <w:outlineLvl w:val="2"/>
        <w:rPr>
          <w:rFonts w:ascii="仿宋_GB2312" w:eastAsia="仿宋_GB2312"/>
          <w:color w:val="auto"/>
          <w:sz w:val="24"/>
          <w:highlight w:val="none"/>
        </w:rPr>
      </w:pPr>
      <w:r>
        <w:rPr>
          <w:rFonts w:hint="eastAsia" w:ascii="仿宋_GB2312" w:eastAsia="仿宋_GB2312"/>
          <w:color w:val="auto"/>
          <w:sz w:val="24"/>
          <w:highlight w:val="none"/>
        </w:rPr>
        <w:t>【条文说明】5</w:t>
      </w:r>
      <w:r>
        <w:rPr>
          <w:rFonts w:ascii="仿宋_GB2312" w:eastAsia="仿宋_GB2312"/>
          <w:color w:val="auto"/>
          <w:sz w:val="24"/>
          <w:highlight w:val="none"/>
        </w:rPr>
        <w:t>.6.</w:t>
      </w:r>
      <w:r>
        <w:rPr>
          <w:rFonts w:hint="eastAsia" w:ascii="仿宋_GB2312" w:eastAsia="仿宋_GB2312"/>
          <w:color w:val="auto"/>
          <w:sz w:val="24"/>
          <w:highlight w:val="none"/>
          <w:lang w:val="en-US" w:eastAsia="zh-CN"/>
        </w:rPr>
        <w:t>7</w:t>
      </w:r>
      <w:r>
        <w:rPr>
          <w:rFonts w:ascii="仿宋_GB2312" w:eastAsia="仿宋_GB2312"/>
          <w:color w:val="auto"/>
          <w:sz w:val="24"/>
          <w:highlight w:val="none"/>
        </w:rPr>
        <w:t xml:space="preserve">  </w:t>
      </w:r>
      <w:r>
        <w:rPr>
          <w:rFonts w:hint="eastAsia" w:ascii="仿宋_GB2312" w:eastAsia="仿宋_GB2312"/>
          <w:color w:val="auto"/>
          <w:sz w:val="24"/>
          <w:highlight w:val="none"/>
        </w:rPr>
        <w:t>本条文要求透汽件斜向下设置，目的是</w:t>
      </w:r>
      <w:r>
        <w:rPr>
          <w:rFonts w:ascii="仿宋_GB2312" w:eastAsia="仿宋_GB2312"/>
          <w:color w:val="auto"/>
          <w:sz w:val="24"/>
          <w:highlight w:val="none"/>
        </w:rPr>
        <w:t>防止雨水倒</w:t>
      </w:r>
      <w:r>
        <w:rPr>
          <w:rFonts w:hint="eastAsia" w:ascii="仿宋_GB2312" w:eastAsia="仿宋_GB2312"/>
          <w:color w:val="auto"/>
          <w:sz w:val="24"/>
          <w:highlight w:val="none"/>
        </w:rPr>
        <w:t>入。</w:t>
      </w:r>
    </w:p>
    <w:p w14:paraId="12754F0F">
      <w:pPr>
        <w:pStyle w:val="27"/>
        <w:numPr>
          <w:ilvl w:val="1"/>
          <w:numId w:val="2"/>
        </w:numPr>
        <w:ind w:left="567" w:firstLineChars="0"/>
        <w:jc w:val="center"/>
        <w:outlineLvl w:val="1"/>
        <w:rPr>
          <w:b/>
          <w:bCs w:val="0"/>
          <w:color w:val="auto"/>
          <w:sz w:val="28"/>
          <w:szCs w:val="24"/>
          <w:highlight w:val="none"/>
        </w:rPr>
      </w:pPr>
      <w:bookmarkStart w:id="47" w:name="_Toc141875146"/>
      <w:bookmarkStart w:id="48" w:name="_Toc509"/>
      <w:r>
        <w:rPr>
          <w:rFonts w:hint="eastAsia"/>
          <w:b/>
          <w:color w:val="auto"/>
          <w:sz w:val="28"/>
          <w:szCs w:val="24"/>
          <w:highlight w:val="none"/>
        </w:rPr>
        <w:t>套装双真空保温隔热装饰板</w:t>
      </w:r>
      <w:r>
        <w:rPr>
          <w:rFonts w:hint="eastAsia"/>
          <w:b/>
          <w:bCs w:val="0"/>
          <w:color w:val="auto"/>
          <w:sz w:val="28"/>
          <w:szCs w:val="24"/>
          <w:highlight w:val="none"/>
        </w:rPr>
        <w:t>外墙内保温系统设计</w:t>
      </w:r>
      <w:bookmarkEnd w:id="47"/>
      <w:bookmarkEnd w:id="48"/>
    </w:p>
    <w:p w14:paraId="2EC65537">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套装双真空保温隔热装饰板外墙内保温系统应由粘结层、套装双真空保温隔热装饰板、专用</w:t>
      </w:r>
      <w:r>
        <w:rPr>
          <w:rFonts w:hint="eastAsia"/>
          <w:bCs/>
          <w:color w:val="auto"/>
          <w:sz w:val="24"/>
          <w:szCs w:val="24"/>
          <w:highlight w:val="none"/>
        </w:rPr>
        <w:t>锚固</w:t>
      </w:r>
      <w:r>
        <w:rPr>
          <w:bCs/>
          <w:color w:val="auto"/>
          <w:sz w:val="24"/>
          <w:szCs w:val="24"/>
          <w:highlight w:val="none"/>
        </w:rPr>
        <w:t>组件、填缝材料构成，板缝处应采用</w:t>
      </w:r>
      <w:r>
        <w:rPr>
          <w:rFonts w:hint="eastAsia"/>
          <w:bCs/>
          <w:color w:val="auto"/>
          <w:sz w:val="24"/>
          <w:szCs w:val="24"/>
          <w:highlight w:val="none"/>
        </w:rPr>
        <w:t>具有保温性能的</w:t>
      </w:r>
      <w:r>
        <w:rPr>
          <w:bCs/>
          <w:color w:val="auto"/>
          <w:sz w:val="24"/>
          <w:szCs w:val="24"/>
          <w:highlight w:val="none"/>
        </w:rPr>
        <w:t>填缝材料填塞，并应采用</w:t>
      </w:r>
      <w:r>
        <w:rPr>
          <w:rFonts w:hint="eastAsia"/>
          <w:bCs/>
          <w:color w:val="auto"/>
          <w:sz w:val="24"/>
          <w:szCs w:val="24"/>
          <w:highlight w:val="none"/>
        </w:rPr>
        <w:t>嵌缝膏填缝</w:t>
      </w:r>
      <w:r>
        <w:rPr>
          <w:bCs/>
          <w:color w:val="auto"/>
          <w:sz w:val="24"/>
          <w:szCs w:val="24"/>
          <w:highlight w:val="none"/>
        </w:rPr>
        <w:t>处理（图5.</w:t>
      </w:r>
      <w:r>
        <w:rPr>
          <w:rFonts w:hint="eastAsia"/>
          <w:bCs/>
          <w:color w:val="auto"/>
          <w:sz w:val="24"/>
          <w:szCs w:val="24"/>
          <w:highlight w:val="none"/>
          <w:lang w:val="en-US" w:eastAsia="zh-CN"/>
        </w:rPr>
        <w:t>7</w:t>
      </w:r>
      <w:r>
        <w:rPr>
          <w:bCs/>
          <w:color w:val="auto"/>
          <w:sz w:val="24"/>
          <w:szCs w:val="24"/>
          <w:highlight w:val="none"/>
        </w:rPr>
        <w:t>.1）。</w:t>
      </w:r>
    </w:p>
    <w:p w14:paraId="051C3BA7">
      <w:pPr>
        <w:pStyle w:val="27"/>
        <w:numPr>
          <w:ilvl w:val="0"/>
          <w:numId w:val="0"/>
        </w:numPr>
        <w:spacing w:line="360" w:lineRule="auto"/>
        <w:ind w:leftChars="0"/>
        <w:jc w:val="center"/>
        <w:outlineLvl w:val="2"/>
        <w:rPr>
          <w:bCs/>
          <w:color w:val="auto"/>
          <w:sz w:val="24"/>
          <w:szCs w:val="24"/>
          <w:highlight w:val="none"/>
        </w:rPr>
      </w:pPr>
      <w:r>
        <w:rPr>
          <w:highlight w:val="none"/>
        </w:rPr>
        <mc:AlternateContent>
          <mc:Choice Requires="wps">
            <w:drawing>
              <wp:anchor distT="0" distB="0" distL="114300" distR="114300" simplePos="0" relativeHeight="251665408" behindDoc="0" locked="0" layoutInCell="1" allowOverlap="1">
                <wp:simplePos x="0" y="0"/>
                <wp:positionH relativeFrom="column">
                  <wp:posOffset>3397250</wp:posOffset>
                </wp:positionH>
                <wp:positionV relativeFrom="paragraph">
                  <wp:posOffset>678180</wp:posOffset>
                </wp:positionV>
                <wp:extent cx="527685" cy="286385"/>
                <wp:effectExtent l="0" t="0" r="5715" b="18415"/>
                <wp:wrapNone/>
                <wp:docPr id="19" name="文本框 19"/>
                <wp:cNvGraphicFramePr/>
                <a:graphic xmlns:a="http://schemas.openxmlformats.org/drawingml/2006/main">
                  <a:graphicData uri="http://schemas.microsoft.com/office/word/2010/wordprocessingShape">
                    <wps:wsp>
                      <wps:cNvSpPr txBox="1"/>
                      <wps:spPr>
                        <a:xfrm>
                          <a:off x="0" y="0"/>
                          <a:ext cx="527685" cy="286385"/>
                        </a:xfrm>
                        <a:prstGeom prst="rect">
                          <a:avLst/>
                        </a:prstGeom>
                        <a:solidFill>
                          <a:srgbClr val="FFFFFF"/>
                        </a:solidFill>
                        <a:ln>
                          <a:noFill/>
                        </a:ln>
                      </wps:spPr>
                      <wps:txbx>
                        <w:txbxContent>
                          <w:p w14:paraId="7C3C12A9">
                            <w:pPr>
                              <w:rPr>
                                <w:sz w:val="18"/>
                                <w:szCs w:val="18"/>
                              </w:rPr>
                            </w:pPr>
                            <w:r>
                              <w:rPr>
                                <w:rFonts w:hint="eastAsia"/>
                                <w:color w:val="auto"/>
                                <w:sz w:val="18"/>
                                <w:szCs w:val="18"/>
                              </w:rPr>
                              <w:t>室外</w:t>
                            </w:r>
                          </w:p>
                        </w:txbxContent>
                      </wps:txbx>
                      <wps:bodyPr upright="1"/>
                    </wps:wsp>
                  </a:graphicData>
                </a:graphic>
              </wp:anchor>
            </w:drawing>
          </mc:Choice>
          <mc:Fallback>
            <w:pict>
              <v:shape id="_x0000_s1026" o:spid="_x0000_s1026" o:spt="202" type="#_x0000_t202" style="position:absolute;left:0pt;margin-left:267.5pt;margin-top:53.4pt;height:22.55pt;width:41.55pt;z-index:251665408;mso-width-relative:page;mso-height-relative:page;" fillcolor="#FFFFFF" filled="t" stroked="f" coordsize="21600,21600" o:gfxdata="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tmOsHYAAAACwEAAA8AAAAAAAAAAQAgAAAAIgAAAGRycy9kb3ducmV2Lnht&#10;bFBLAQIUABQAAAAIAIdO4kCLppvLwAEAAHgDAAAOAAAAAAAAAAEAIAAAACcBAABkcnMvZTJvRG9j&#10;LnhtbFBLBQYAAAAABgAGAFkBAABZBQAAAAA=&#10;">
                <v:fill on="t" focussize="0,0"/>
                <v:stroke on="f"/>
                <v:imagedata o:title=""/>
                <o:lock v:ext="edit" aspectratio="f"/>
                <v:textbox>
                  <w:txbxContent>
                    <w:p w14:paraId="7C3C12A9">
                      <w:pPr>
                        <w:rPr>
                          <w:sz w:val="18"/>
                          <w:szCs w:val="18"/>
                        </w:rPr>
                      </w:pPr>
                      <w:r>
                        <w:rPr>
                          <w:rFonts w:hint="eastAsia"/>
                          <w:color w:val="auto"/>
                          <w:sz w:val="18"/>
                          <w:szCs w:val="18"/>
                        </w:rPr>
                        <w:t>室外</w:t>
                      </w:r>
                    </w:p>
                  </w:txbxContent>
                </v:textbox>
              </v:shape>
            </w:pict>
          </mc:Fallback>
        </mc:AlternateContent>
      </w:r>
      <w:r>
        <w:rPr>
          <w:highlight w:val="none"/>
        </w:rPr>
        <w:drawing>
          <wp:inline distT="0" distB="0" distL="114300" distR="114300">
            <wp:extent cx="1205865" cy="1673860"/>
            <wp:effectExtent l="0" t="0" r="13335" b="2540"/>
            <wp:docPr id="4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2"/>
                    <pic:cNvPicPr>
                      <a:picLocks noChangeAspect="1"/>
                    </pic:cNvPicPr>
                  </pic:nvPicPr>
                  <pic:blipFill>
                    <a:blip r:embed="rId74"/>
                    <a:stretch>
                      <a:fillRect/>
                    </a:stretch>
                  </pic:blipFill>
                  <pic:spPr>
                    <a:xfrm>
                      <a:off x="0" y="0"/>
                      <a:ext cx="1205865" cy="1673860"/>
                    </a:xfrm>
                    <a:prstGeom prst="rect">
                      <a:avLst/>
                    </a:prstGeom>
                    <a:noFill/>
                    <a:ln>
                      <a:noFill/>
                    </a:ln>
                  </pic:spPr>
                </pic:pic>
              </a:graphicData>
            </a:graphic>
          </wp:inline>
        </w:drawing>
      </w:r>
    </w:p>
    <w:p w14:paraId="06FCFD1E">
      <w:pPr>
        <w:spacing w:line="360" w:lineRule="auto"/>
        <w:jc w:val="center"/>
        <w:rPr>
          <w:color w:val="auto"/>
          <w:sz w:val="18"/>
          <w:szCs w:val="18"/>
          <w:highlight w:val="none"/>
        </w:rPr>
      </w:pPr>
      <w:r>
        <w:rPr>
          <w:color w:val="auto"/>
          <w:sz w:val="18"/>
          <w:szCs w:val="18"/>
          <w:highlight w:val="none"/>
        </w:rPr>
        <w:t>1—基层墙体；</w:t>
      </w:r>
      <w:r>
        <w:rPr>
          <w:rFonts w:hint="eastAsia"/>
          <w:color w:val="auto"/>
          <w:sz w:val="18"/>
          <w:szCs w:val="18"/>
          <w:highlight w:val="none"/>
        </w:rPr>
        <w:t>2</w:t>
      </w:r>
      <w:r>
        <w:rPr>
          <w:color w:val="auto"/>
          <w:sz w:val="18"/>
          <w:szCs w:val="18"/>
          <w:highlight w:val="none"/>
        </w:rPr>
        <w:t>—</w:t>
      </w:r>
      <w:r>
        <w:rPr>
          <w:rFonts w:hint="eastAsia"/>
          <w:color w:val="auto"/>
          <w:sz w:val="18"/>
          <w:szCs w:val="18"/>
          <w:highlight w:val="none"/>
          <w:lang w:val="en-US" w:eastAsia="zh-CN"/>
        </w:rPr>
        <w:t>粘结层</w:t>
      </w:r>
      <w:r>
        <w:rPr>
          <w:rFonts w:hint="eastAsia"/>
          <w:color w:val="auto"/>
          <w:sz w:val="18"/>
          <w:szCs w:val="18"/>
          <w:highlight w:val="none"/>
        </w:rPr>
        <w:t>；</w:t>
      </w:r>
      <w:r>
        <w:rPr>
          <w:rFonts w:hint="eastAsia"/>
          <w:color w:val="auto"/>
          <w:sz w:val="18"/>
          <w:szCs w:val="18"/>
          <w:highlight w:val="none"/>
          <w:lang w:val="en-US" w:eastAsia="zh-CN"/>
        </w:rPr>
        <w:t>3</w:t>
      </w:r>
      <w:r>
        <w:rPr>
          <w:color w:val="auto"/>
          <w:sz w:val="18"/>
          <w:szCs w:val="18"/>
          <w:highlight w:val="none"/>
        </w:rPr>
        <w:t>—</w:t>
      </w:r>
      <w:r>
        <w:rPr>
          <w:rFonts w:hint="eastAsia"/>
          <w:color w:val="auto"/>
          <w:sz w:val="18"/>
          <w:szCs w:val="18"/>
          <w:highlight w:val="none"/>
          <w:lang w:val="en-US" w:eastAsia="zh-CN"/>
        </w:rPr>
        <w:t>套装双真空保温隔热装饰板</w:t>
      </w:r>
      <w:r>
        <w:rPr>
          <w:rFonts w:hint="eastAsia"/>
          <w:color w:val="auto"/>
          <w:sz w:val="18"/>
          <w:szCs w:val="18"/>
          <w:highlight w:val="none"/>
        </w:rPr>
        <w:t>；4</w:t>
      </w:r>
      <w:r>
        <w:rPr>
          <w:color w:val="auto"/>
          <w:sz w:val="18"/>
          <w:szCs w:val="18"/>
          <w:highlight w:val="none"/>
        </w:rPr>
        <w:t>—</w:t>
      </w:r>
      <w:r>
        <w:rPr>
          <w:rFonts w:hint="eastAsia"/>
          <w:color w:val="auto"/>
          <w:sz w:val="18"/>
          <w:szCs w:val="18"/>
          <w:highlight w:val="none"/>
          <w:lang w:val="en-US" w:eastAsia="zh-CN"/>
        </w:rPr>
        <w:t>建筑密封胶；</w:t>
      </w:r>
      <w:r>
        <w:rPr>
          <w:rFonts w:hint="eastAsia"/>
          <w:color w:val="auto"/>
          <w:sz w:val="18"/>
          <w:szCs w:val="18"/>
          <w:highlight w:val="none"/>
        </w:rPr>
        <w:t>5</w:t>
      </w:r>
      <w:r>
        <w:rPr>
          <w:color w:val="auto"/>
          <w:sz w:val="18"/>
          <w:szCs w:val="18"/>
          <w:highlight w:val="none"/>
        </w:rPr>
        <w:t>—</w:t>
      </w:r>
      <w:r>
        <w:rPr>
          <w:rFonts w:hint="eastAsia"/>
          <w:color w:val="auto"/>
          <w:sz w:val="18"/>
          <w:szCs w:val="18"/>
          <w:highlight w:val="none"/>
          <w:lang w:val="en-US" w:eastAsia="zh-CN"/>
        </w:rPr>
        <w:t>填缝材料</w:t>
      </w:r>
      <w:r>
        <w:rPr>
          <w:color w:val="auto"/>
          <w:sz w:val="18"/>
          <w:szCs w:val="18"/>
          <w:highlight w:val="none"/>
        </w:rPr>
        <w:t>；</w:t>
      </w:r>
    </w:p>
    <w:p w14:paraId="0A1309BB">
      <w:pPr>
        <w:spacing w:line="360" w:lineRule="auto"/>
        <w:jc w:val="center"/>
        <w:rPr>
          <w:rFonts w:hint="eastAsia" w:eastAsia="宋体"/>
          <w:color w:val="auto"/>
          <w:highlight w:val="none"/>
          <w:lang w:val="en-US" w:eastAsia="zh-CN"/>
        </w:rPr>
      </w:pPr>
      <w:r>
        <w:rPr>
          <w:rFonts w:hint="eastAsia"/>
          <w:color w:val="auto"/>
          <w:sz w:val="18"/>
          <w:szCs w:val="18"/>
          <w:highlight w:val="none"/>
        </w:rPr>
        <w:t>6</w:t>
      </w:r>
      <w:r>
        <w:rPr>
          <w:color w:val="auto"/>
          <w:sz w:val="18"/>
          <w:szCs w:val="18"/>
          <w:highlight w:val="none"/>
        </w:rPr>
        <w:t>—</w:t>
      </w:r>
      <w:r>
        <w:rPr>
          <w:rFonts w:hint="eastAsia"/>
          <w:color w:val="auto"/>
          <w:sz w:val="18"/>
          <w:szCs w:val="18"/>
          <w:highlight w:val="none"/>
          <w:lang w:val="en-US" w:eastAsia="zh-CN"/>
        </w:rPr>
        <w:t>锚固组件</w:t>
      </w:r>
      <w:r>
        <w:rPr>
          <w:color w:val="auto"/>
          <w:sz w:val="18"/>
          <w:szCs w:val="18"/>
          <w:highlight w:val="none"/>
        </w:rPr>
        <w:t>；</w:t>
      </w:r>
      <w:r>
        <w:rPr>
          <w:rFonts w:hint="eastAsia"/>
          <w:color w:val="auto"/>
          <w:sz w:val="18"/>
          <w:szCs w:val="18"/>
          <w:highlight w:val="none"/>
        </w:rPr>
        <w:t>7</w:t>
      </w:r>
      <w:r>
        <w:rPr>
          <w:color w:val="auto"/>
          <w:sz w:val="18"/>
          <w:szCs w:val="18"/>
          <w:highlight w:val="none"/>
        </w:rPr>
        <w:t>—</w:t>
      </w:r>
      <w:r>
        <w:rPr>
          <w:rFonts w:hint="eastAsia"/>
          <w:color w:val="auto"/>
          <w:sz w:val="18"/>
          <w:szCs w:val="18"/>
          <w:highlight w:val="none"/>
          <w:lang w:val="en-US" w:eastAsia="zh-CN"/>
        </w:rPr>
        <w:t>套装双真空保温隔热装饰板</w:t>
      </w:r>
    </w:p>
    <w:p w14:paraId="4CCB2C94">
      <w:pPr>
        <w:jc w:val="center"/>
        <w:rPr>
          <w:bCs/>
          <w:color w:val="auto"/>
          <w:sz w:val="24"/>
          <w:szCs w:val="24"/>
          <w:highlight w:val="none"/>
        </w:rPr>
      </w:pPr>
      <w:r>
        <w:rPr>
          <w:color w:val="auto"/>
          <w:highlight w:val="none"/>
        </w:rPr>
        <w:t>图5</w:t>
      </w:r>
      <w:r>
        <w:rPr>
          <w:rFonts w:hint="eastAsia"/>
          <w:color w:val="auto"/>
          <w:highlight w:val="none"/>
          <w:lang w:val="en-US" w:eastAsia="zh-CN"/>
        </w:rPr>
        <w:t>.7</w:t>
      </w:r>
      <w:r>
        <w:rPr>
          <w:color w:val="auto"/>
          <w:highlight w:val="none"/>
        </w:rPr>
        <w:t>.</w:t>
      </w:r>
      <w:r>
        <w:rPr>
          <w:rFonts w:hint="eastAsia"/>
          <w:color w:val="auto"/>
          <w:highlight w:val="none"/>
          <w:lang w:val="en-US" w:eastAsia="zh-CN"/>
        </w:rPr>
        <w:t>1</w:t>
      </w:r>
      <w:r>
        <w:rPr>
          <w:color w:val="auto"/>
          <w:highlight w:val="none"/>
        </w:rPr>
        <w:t xml:space="preserve"> </w:t>
      </w:r>
      <w:r>
        <w:rPr>
          <w:rFonts w:hint="eastAsia"/>
          <w:color w:val="auto"/>
          <w:highlight w:val="none"/>
        </w:rPr>
        <w:t>套装双真空保温隔热装饰板外墙</w:t>
      </w:r>
      <w:r>
        <w:rPr>
          <w:rFonts w:hint="eastAsia"/>
          <w:color w:val="auto"/>
          <w:highlight w:val="none"/>
          <w:lang w:val="en-US" w:eastAsia="zh-CN"/>
        </w:rPr>
        <w:t>内</w:t>
      </w:r>
      <w:r>
        <w:rPr>
          <w:rFonts w:hint="eastAsia"/>
          <w:color w:val="auto"/>
          <w:highlight w:val="none"/>
        </w:rPr>
        <w:t>保温系统构造示意图</w:t>
      </w:r>
    </w:p>
    <w:p w14:paraId="1DE6DB14">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套装双真空保温隔热装饰板应采用以粘为主、粘锚结合的方式与基层墙体可靠连接，并应符合以下规定：</w:t>
      </w:r>
    </w:p>
    <w:p w14:paraId="4A3374A3">
      <w:pPr>
        <w:pStyle w:val="27"/>
        <w:numPr>
          <w:ilvl w:val="0"/>
          <w:numId w:val="24"/>
        </w:numPr>
        <w:spacing w:line="360" w:lineRule="auto"/>
        <w:ind w:firstLineChars="0"/>
        <w:rPr>
          <w:bCs/>
          <w:color w:val="auto"/>
          <w:sz w:val="24"/>
          <w:szCs w:val="24"/>
          <w:highlight w:val="none"/>
        </w:rPr>
      </w:pPr>
      <w:r>
        <w:rPr>
          <w:bCs/>
          <w:color w:val="auto"/>
          <w:sz w:val="24"/>
          <w:szCs w:val="24"/>
          <w:highlight w:val="none"/>
        </w:rPr>
        <w:t>粘结面积不应小于80%；</w:t>
      </w:r>
    </w:p>
    <w:p w14:paraId="3AD471F4">
      <w:pPr>
        <w:pStyle w:val="27"/>
        <w:numPr>
          <w:ilvl w:val="0"/>
          <w:numId w:val="24"/>
        </w:numPr>
        <w:spacing w:line="360" w:lineRule="auto"/>
        <w:ind w:left="0" w:firstLine="480"/>
        <w:rPr>
          <w:bCs/>
          <w:color w:val="auto"/>
          <w:sz w:val="24"/>
          <w:szCs w:val="24"/>
          <w:highlight w:val="none"/>
        </w:rPr>
      </w:pPr>
      <w:r>
        <w:rPr>
          <w:bCs/>
          <w:color w:val="auto"/>
          <w:sz w:val="24"/>
          <w:szCs w:val="24"/>
          <w:highlight w:val="none"/>
        </w:rPr>
        <w:t>专用</w:t>
      </w:r>
      <w:r>
        <w:rPr>
          <w:rFonts w:hint="eastAsia"/>
          <w:bCs/>
          <w:color w:val="auto"/>
          <w:sz w:val="24"/>
          <w:szCs w:val="24"/>
          <w:highlight w:val="none"/>
        </w:rPr>
        <w:t>锚固</w:t>
      </w:r>
      <w:r>
        <w:rPr>
          <w:bCs/>
          <w:color w:val="auto"/>
          <w:sz w:val="24"/>
          <w:szCs w:val="24"/>
          <w:highlight w:val="none"/>
        </w:rPr>
        <w:t>组件数量不应少于4个</w:t>
      </w:r>
      <w:r>
        <w:rPr>
          <w:rFonts w:hint="eastAsia"/>
          <w:bCs/>
          <w:color w:val="auto"/>
          <w:sz w:val="24"/>
          <w:szCs w:val="24"/>
          <w:highlight w:val="none"/>
          <w:lang w:eastAsia="zh-CN"/>
        </w:rPr>
        <w:t>、</w:t>
      </w:r>
      <w:r>
        <w:rPr>
          <w:rFonts w:hint="eastAsia"/>
          <w:bCs/>
          <w:color w:val="auto"/>
          <w:sz w:val="24"/>
          <w:szCs w:val="24"/>
          <w:highlight w:val="none"/>
          <w:lang w:val="en-US" w:eastAsia="zh-CN"/>
        </w:rPr>
        <w:t>块</w:t>
      </w:r>
      <w:r>
        <w:rPr>
          <w:bCs/>
          <w:color w:val="auto"/>
          <w:sz w:val="24"/>
          <w:szCs w:val="24"/>
          <w:highlight w:val="none"/>
        </w:rPr>
        <w:t>，且锚栓钉头不应凸出饰面层</w:t>
      </w:r>
      <w:r>
        <w:rPr>
          <w:rFonts w:hint="eastAsia"/>
          <w:bCs/>
          <w:color w:val="auto"/>
          <w:sz w:val="24"/>
          <w:szCs w:val="24"/>
          <w:highlight w:val="none"/>
        </w:rPr>
        <w:t>；</w:t>
      </w:r>
    </w:p>
    <w:p w14:paraId="22819732">
      <w:pPr>
        <w:pStyle w:val="27"/>
        <w:numPr>
          <w:ilvl w:val="0"/>
          <w:numId w:val="24"/>
        </w:numPr>
        <w:spacing w:line="360" w:lineRule="auto"/>
        <w:ind w:left="0" w:firstLine="480"/>
        <w:rPr>
          <w:bCs/>
          <w:color w:val="auto"/>
          <w:sz w:val="24"/>
          <w:szCs w:val="24"/>
          <w:highlight w:val="none"/>
        </w:rPr>
      </w:pPr>
      <w:r>
        <w:rPr>
          <w:bCs/>
          <w:color w:val="auto"/>
          <w:sz w:val="24"/>
          <w:szCs w:val="24"/>
          <w:highlight w:val="none"/>
        </w:rPr>
        <w:t>套装双真空保温隔热装饰板</w:t>
      </w:r>
      <w:r>
        <w:rPr>
          <w:rFonts w:hint="eastAsia"/>
          <w:bCs/>
          <w:color w:val="auto"/>
          <w:sz w:val="24"/>
          <w:szCs w:val="24"/>
          <w:highlight w:val="none"/>
        </w:rPr>
        <w:t>板间的接缝宽度不应小于3mm</w:t>
      </w:r>
      <w:r>
        <w:rPr>
          <w:bCs/>
          <w:color w:val="auto"/>
          <w:sz w:val="24"/>
          <w:szCs w:val="24"/>
          <w:highlight w:val="none"/>
        </w:rPr>
        <w:t>。</w:t>
      </w:r>
    </w:p>
    <w:p w14:paraId="4A5440BC">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基层墙体阴角和阳角处的</w:t>
      </w:r>
      <w:r>
        <w:rPr>
          <w:bCs/>
          <w:color w:val="auto"/>
          <w:sz w:val="24"/>
          <w:szCs w:val="24"/>
          <w:highlight w:val="none"/>
        </w:rPr>
        <w:t>套装双真空保温隔热装饰板</w:t>
      </w:r>
      <w:r>
        <w:rPr>
          <w:rFonts w:hint="eastAsia"/>
          <w:bCs/>
          <w:color w:val="auto"/>
          <w:sz w:val="24"/>
          <w:szCs w:val="24"/>
          <w:highlight w:val="none"/>
        </w:rPr>
        <w:t>应做收边处理。</w:t>
      </w:r>
    </w:p>
    <w:p w14:paraId="1E329604">
      <w:pPr>
        <w:spacing w:line="360" w:lineRule="auto"/>
        <w:rPr>
          <w:bCs/>
          <w:color w:val="auto"/>
          <w:sz w:val="24"/>
          <w:szCs w:val="24"/>
          <w:highlight w:val="none"/>
        </w:rPr>
      </w:pPr>
      <w:r>
        <w:rPr>
          <w:rFonts w:hint="eastAsia" w:ascii="仿宋_GB2312" w:eastAsia="仿宋_GB2312"/>
          <w:color w:val="auto"/>
          <w:sz w:val="24"/>
          <w:highlight w:val="none"/>
        </w:rPr>
        <w:t>【条文说明】</w:t>
      </w:r>
      <w:r>
        <w:rPr>
          <w:rFonts w:ascii="仿宋_GB2312" w:eastAsia="仿宋_GB2312"/>
          <w:color w:val="auto"/>
          <w:sz w:val="24"/>
          <w:highlight w:val="none"/>
        </w:rPr>
        <w:t xml:space="preserve">5.6.3  </w:t>
      </w:r>
      <w:r>
        <w:rPr>
          <w:rFonts w:hint="eastAsia" w:ascii="仿宋_GB2312" w:eastAsia="仿宋_GB2312"/>
          <w:color w:val="auto"/>
          <w:sz w:val="24"/>
          <w:highlight w:val="none"/>
        </w:rPr>
        <w:t>阴、阳角，门窗洞口四角为应力集中部位，且易受膨胀，建议做增强处理</w:t>
      </w:r>
      <w:r>
        <w:rPr>
          <w:rFonts w:ascii="仿宋_GB2312" w:eastAsia="仿宋_GB2312"/>
          <w:color w:val="auto"/>
          <w:sz w:val="24"/>
          <w:highlight w:val="none"/>
        </w:rPr>
        <w:t>。</w:t>
      </w:r>
    </w:p>
    <w:p w14:paraId="095D677A">
      <w:pPr>
        <w:pStyle w:val="27"/>
        <w:numPr>
          <w:ilvl w:val="1"/>
          <w:numId w:val="2"/>
        </w:numPr>
        <w:spacing w:line="240" w:lineRule="auto"/>
        <w:ind w:left="567" w:hanging="567" w:firstLineChars="0"/>
        <w:jc w:val="center"/>
        <w:outlineLvl w:val="1"/>
        <w:rPr>
          <w:b/>
          <w:bCs w:val="0"/>
          <w:color w:val="auto"/>
          <w:sz w:val="28"/>
          <w:szCs w:val="24"/>
          <w:highlight w:val="none"/>
        </w:rPr>
      </w:pPr>
      <w:bookmarkStart w:id="49" w:name="_Toc30078"/>
      <w:r>
        <w:rPr>
          <w:rFonts w:hint="eastAsia"/>
          <w:b/>
          <w:color w:val="auto"/>
          <w:sz w:val="28"/>
          <w:szCs w:val="24"/>
          <w:highlight w:val="none"/>
        </w:rPr>
        <w:t>套装双真空保温隔热板复合预制墙板设计</w:t>
      </w:r>
      <w:bookmarkEnd w:id="49"/>
    </w:p>
    <w:p w14:paraId="5D7EACC6">
      <w:pPr>
        <w:pStyle w:val="27"/>
        <w:numPr>
          <w:ilvl w:val="2"/>
          <w:numId w:val="2"/>
        </w:numPr>
        <w:spacing w:line="360" w:lineRule="auto"/>
        <w:ind w:left="0" w:firstLine="0" w:firstLineChars="0"/>
        <w:jc w:val="left"/>
        <w:outlineLvl w:val="2"/>
        <w:rPr>
          <w:bCs/>
          <w:color w:val="auto"/>
          <w:sz w:val="28"/>
          <w:szCs w:val="24"/>
          <w:highlight w:val="none"/>
        </w:rPr>
      </w:pPr>
      <w:r>
        <w:rPr>
          <w:rFonts w:hint="eastAsia"/>
          <w:bCs/>
          <w:color w:val="auto"/>
          <w:sz w:val="24"/>
          <w:szCs w:val="24"/>
          <w:highlight w:val="none"/>
        </w:rPr>
        <w:t>套装双真空保温隔热板复合预制墙板的设计应符合现行行业标准《装配式混凝土结构技术规程》JGJ</w:t>
      </w:r>
      <w:r>
        <w:rPr>
          <w:bCs/>
          <w:color w:val="auto"/>
          <w:sz w:val="24"/>
          <w:szCs w:val="24"/>
          <w:highlight w:val="none"/>
        </w:rPr>
        <w:t xml:space="preserve"> </w:t>
      </w:r>
      <w:r>
        <w:rPr>
          <w:rFonts w:hint="eastAsia"/>
          <w:bCs/>
          <w:color w:val="auto"/>
          <w:sz w:val="24"/>
          <w:szCs w:val="24"/>
          <w:highlight w:val="none"/>
        </w:rPr>
        <w:t>1的有关规定；当套装双真空保温隔热板复合预制墙板为非承重外墙板时，尚应符合现行行业标准《预制混凝土外挂墙板应用技术标准》JGJ/T 458的有关规定。</w:t>
      </w:r>
    </w:p>
    <w:p w14:paraId="388F4084">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复合预制墙板中套装双真空保温隔热板的设计应符合下列规定：</w:t>
      </w:r>
    </w:p>
    <w:p w14:paraId="11100B03">
      <w:pPr>
        <w:pStyle w:val="27"/>
        <w:numPr>
          <w:ilvl w:val="0"/>
          <w:numId w:val="25"/>
        </w:numPr>
        <w:spacing w:line="360" w:lineRule="auto"/>
        <w:ind w:left="0" w:firstLine="480"/>
        <w:rPr>
          <w:bCs/>
          <w:color w:val="auto"/>
          <w:sz w:val="24"/>
          <w:szCs w:val="24"/>
          <w:highlight w:val="none"/>
        </w:rPr>
      </w:pPr>
      <w:r>
        <w:rPr>
          <w:rFonts w:hint="eastAsia"/>
          <w:bCs/>
          <w:color w:val="auto"/>
          <w:sz w:val="24"/>
          <w:szCs w:val="24"/>
          <w:highlight w:val="none"/>
        </w:rPr>
        <w:t>拉结系统需穿过套装双真空保温隔热板时，宜采用带有预制孔的套装双真空保温隔热板，或将拉结件布置在真空绝热板板缝处；</w:t>
      </w:r>
    </w:p>
    <w:p w14:paraId="1EB5663F">
      <w:pPr>
        <w:pStyle w:val="27"/>
        <w:numPr>
          <w:ilvl w:val="0"/>
          <w:numId w:val="25"/>
        </w:numPr>
        <w:spacing w:line="360" w:lineRule="auto"/>
        <w:ind w:left="0" w:firstLine="480"/>
        <w:rPr>
          <w:bCs/>
          <w:color w:val="auto"/>
          <w:sz w:val="24"/>
          <w:szCs w:val="24"/>
          <w:highlight w:val="none"/>
        </w:rPr>
      </w:pPr>
      <w:r>
        <w:rPr>
          <w:rFonts w:hint="eastAsia"/>
          <w:bCs/>
          <w:color w:val="auto"/>
          <w:sz w:val="24"/>
          <w:szCs w:val="24"/>
          <w:highlight w:val="none"/>
        </w:rPr>
        <w:t>拉结系统和吊件不应损坏套装双真空保温隔热板；</w:t>
      </w:r>
    </w:p>
    <w:p w14:paraId="3CC2C971">
      <w:pPr>
        <w:pStyle w:val="27"/>
        <w:numPr>
          <w:ilvl w:val="0"/>
          <w:numId w:val="25"/>
        </w:numPr>
        <w:spacing w:line="360" w:lineRule="auto"/>
        <w:ind w:left="0" w:firstLine="480"/>
        <w:rPr>
          <w:bCs/>
          <w:color w:val="auto"/>
          <w:sz w:val="24"/>
          <w:szCs w:val="24"/>
          <w:highlight w:val="none"/>
        </w:rPr>
      </w:pPr>
      <w:r>
        <w:rPr>
          <w:rFonts w:hint="eastAsia"/>
          <w:bCs/>
          <w:color w:val="auto"/>
          <w:sz w:val="24"/>
          <w:szCs w:val="24"/>
          <w:highlight w:val="none"/>
        </w:rPr>
        <w:t>套装双真空保温隔热板的空隙处应采用发泡聚氨酯等保温材料填充密实，套装双真空保温隔热板拼缝应严密，并应用粘结材料密封处理。</w:t>
      </w:r>
    </w:p>
    <w:p w14:paraId="6A5D50F3">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复合预制墙板外墙的热桥部位应进行保温和防水构造设计，并</w:t>
      </w:r>
      <w:r>
        <w:rPr>
          <w:bCs/>
          <w:color w:val="auto"/>
          <w:sz w:val="24"/>
          <w:szCs w:val="24"/>
          <w:highlight w:val="none"/>
        </w:rPr>
        <w:t>应符合下列规定：</w:t>
      </w:r>
    </w:p>
    <w:p w14:paraId="3E32E68E">
      <w:pPr>
        <w:pStyle w:val="27"/>
        <w:numPr>
          <w:ilvl w:val="0"/>
          <w:numId w:val="26"/>
        </w:numPr>
        <w:spacing w:line="360" w:lineRule="auto"/>
        <w:ind w:left="0" w:firstLine="480"/>
        <w:rPr>
          <w:bCs/>
          <w:color w:val="auto"/>
          <w:sz w:val="24"/>
          <w:szCs w:val="24"/>
          <w:highlight w:val="none"/>
        </w:rPr>
      </w:pPr>
      <w:r>
        <w:rPr>
          <w:rFonts w:hint="eastAsia"/>
          <w:bCs/>
          <w:color w:val="auto"/>
          <w:sz w:val="24"/>
          <w:szCs w:val="24"/>
          <w:highlight w:val="none"/>
        </w:rPr>
        <w:t>穿越复合预制墙板外墙的管道直径应小于预留孔洞或套管直径</w:t>
      </w:r>
      <w:r>
        <w:rPr>
          <w:rFonts w:hint="eastAsia"/>
          <w:bCs/>
          <w:color w:val="auto"/>
          <w:sz w:val="24"/>
          <w:szCs w:val="24"/>
          <w:highlight w:val="none"/>
          <w:lang w:eastAsia="zh-CN"/>
        </w:rPr>
        <w:t>，</w:t>
      </w:r>
      <w:r>
        <w:rPr>
          <w:rFonts w:hint="eastAsia"/>
          <w:bCs/>
          <w:color w:val="auto"/>
          <w:sz w:val="24"/>
          <w:szCs w:val="24"/>
          <w:highlight w:val="none"/>
        </w:rPr>
        <w:t xml:space="preserve"> 预留孔洞或套管与管道之间应采用燃烧性能等级为A级保温材料填充，并应采用专用密封胶密封。</w:t>
      </w:r>
    </w:p>
    <w:p w14:paraId="107F4544">
      <w:pPr>
        <w:pStyle w:val="27"/>
        <w:numPr>
          <w:ilvl w:val="0"/>
          <w:numId w:val="26"/>
        </w:numPr>
        <w:spacing w:line="360" w:lineRule="auto"/>
        <w:ind w:left="0" w:firstLine="480"/>
        <w:rPr>
          <w:bCs/>
          <w:color w:val="auto"/>
          <w:sz w:val="24"/>
          <w:szCs w:val="24"/>
          <w:highlight w:val="none"/>
        </w:rPr>
      </w:pPr>
      <w:r>
        <w:rPr>
          <w:rFonts w:hint="eastAsia"/>
          <w:bCs/>
          <w:color w:val="auto"/>
          <w:sz w:val="24"/>
          <w:szCs w:val="24"/>
          <w:highlight w:val="none"/>
        </w:rPr>
        <w:t>产生的对拉螺栓孔洞等缺陷，应采用燃烧性能等级为A级保温材料填充，并宜采用无收缩灌浆料封堵，外表面应采取抗裂措施。</w:t>
      </w:r>
    </w:p>
    <w:p w14:paraId="48D00C69">
      <w:pPr>
        <w:pStyle w:val="27"/>
        <w:numPr>
          <w:ilvl w:val="0"/>
          <w:numId w:val="26"/>
        </w:numPr>
        <w:spacing w:line="360" w:lineRule="auto"/>
        <w:ind w:left="0" w:firstLine="480"/>
        <w:rPr>
          <w:bCs/>
          <w:color w:val="auto"/>
          <w:sz w:val="24"/>
          <w:szCs w:val="24"/>
          <w:highlight w:val="none"/>
        </w:rPr>
      </w:pPr>
      <w:r>
        <w:rPr>
          <w:rFonts w:hint="eastAsia"/>
          <w:bCs/>
          <w:color w:val="auto"/>
          <w:sz w:val="24"/>
          <w:szCs w:val="24"/>
          <w:highlight w:val="none"/>
        </w:rPr>
        <w:t>复合预制墙板外墙</w:t>
      </w:r>
      <w:r>
        <w:rPr>
          <w:bCs/>
          <w:color w:val="auto"/>
          <w:sz w:val="24"/>
          <w:szCs w:val="24"/>
          <w:highlight w:val="none"/>
        </w:rPr>
        <w:t>室外空调板、墙体挑出构件及附墙部件等热桥部位应</w:t>
      </w:r>
      <w:r>
        <w:rPr>
          <w:rFonts w:hint="eastAsia"/>
          <w:bCs/>
          <w:color w:val="auto"/>
          <w:sz w:val="24"/>
          <w:szCs w:val="24"/>
          <w:highlight w:val="none"/>
        </w:rPr>
        <w:t>采取断桥措施。</w:t>
      </w:r>
    </w:p>
    <w:p w14:paraId="445D4D87">
      <w:pPr>
        <w:pStyle w:val="27"/>
        <w:numPr>
          <w:ilvl w:val="0"/>
          <w:numId w:val="26"/>
        </w:numPr>
        <w:spacing w:line="360" w:lineRule="auto"/>
        <w:ind w:left="0" w:firstLine="480"/>
        <w:rPr>
          <w:bCs/>
          <w:color w:val="auto"/>
          <w:sz w:val="24"/>
          <w:szCs w:val="24"/>
          <w:highlight w:val="none"/>
        </w:rPr>
      </w:pPr>
      <w:r>
        <w:rPr>
          <w:bCs/>
          <w:color w:val="auto"/>
          <w:sz w:val="24"/>
          <w:szCs w:val="24"/>
          <w:highlight w:val="none"/>
        </w:rPr>
        <w:t>外窗（门）框与</w:t>
      </w:r>
      <w:r>
        <w:rPr>
          <w:rFonts w:hint="eastAsia"/>
          <w:bCs/>
          <w:color w:val="auto"/>
          <w:sz w:val="24"/>
          <w:szCs w:val="24"/>
          <w:highlight w:val="none"/>
        </w:rPr>
        <w:t>复合预制墙板</w:t>
      </w:r>
      <w:r>
        <w:rPr>
          <w:bCs/>
          <w:color w:val="auto"/>
          <w:sz w:val="24"/>
          <w:szCs w:val="24"/>
          <w:highlight w:val="none"/>
        </w:rPr>
        <w:t>之间连接处应采取保温</w:t>
      </w:r>
      <w:r>
        <w:rPr>
          <w:rFonts w:hint="eastAsia"/>
          <w:bCs/>
          <w:color w:val="auto"/>
          <w:sz w:val="24"/>
          <w:szCs w:val="24"/>
          <w:highlight w:val="none"/>
        </w:rPr>
        <w:t>和防水</w:t>
      </w:r>
      <w:r>
        <w:rPr>
          <w:bCs/>
          <w:color w:val="auto"/>
          <w:sz w:val="24"/>
          <w:szCs w:val="24"/>
          <w:highlight w:val="none"/>
        </w:rPr>
        <w:t>构造，</w:t>
      </w:r>
      <w:r>
        <w:rPr>
          <w:rFonts w:hint="eastAsia"/>
          <w:bCs/>
          <w:color w:val="auto"/>
          <w:sz w:val="24"/>
          <w:szCs w:val="24"/>
          <w:highlight w:val="none"/>
        </w:rPr>
        <w:t>其中复合预制墙板门窗洞口部位的防水构造宜采用材料防水和构造防水相结合的方式，其气密性能和水密性能不应低于外门窗的有关性能。</w:t>
      </w:r>
      <w:r>
        <w:rPr>
          <w:bCs/>
          <w:color w:val="auto"/>
          <w:sz w:val="24"/>
          <w:szCs w:val="24"/>
          <w:highlight w:val="none"/>
        </w:rPr>
        <w:t>外窗（门）框与</w:t>
      </w:r>
      <w:r>
        <w:rPr>
          <w:rFonts w:hint="eastAsia"/>
          <w:bCs/>
          <w:color w:val="auto"/>
          <w:sz w:val="24"/>
          <w:szCs w:val="24"/>
          <w:highlight w:val="none"/>
        </w:rPr>
        <w:t>复合预制墙板</w:t>
      </w:r>
      <w:r>
        <w:rPr>
          <w:bCs/>
          <w:color w:val="auto"/>
          <w:sz w:val="24"/>
          <w:szCs w:val="24"/>
          <w:highlight w:val="none"/>
        </w:rPr>
        <w:t>之间</w:t>
      </w:r>
      <w:r>
        <w:rPr>
          <w:rFonts w:hint="eastAsia"/>
          <w:bCs/>
          <w:color w:val="auto"/>
          <w:sz w:val="24"/>
          <w:szCs w:val="24"/>
          <w:highlight w:val="none"/>
        </w:rPr>
        <w:t>空隙处</w:t>
      </w:r>
      <w:r>
        <w:rPr>
          <w:bCs/>
          <w:color w:val="auto"/>
          <w:sz w:val="24"/>
          <w:szCs w:val="24"/>
          <w:highlight w:val="none"/>
        </w:rPr>
        <w:t>应采用</w:t>
      </w:r>
      <w:r>
        <w:rPr>
          <w:rFonts w:hint="eastAsia"/>
          <w:bCs/>
          <w:color w:val="auto"/>
          <w:sz w:val="24"/>
          <w:szCs w:val="24"/>
          <w:highlight w:val="none"/>
        </w:rPr>
        <w:t>发泡聚氨酯等弹性闭孔材料填充饱满</w:t>
      </w:r>
      <w:r>
        <w:rPr>
          <w:bCs/>
          <w:color w:val="auto"/>
          <w:sz w:val="24"/>
          <w:szCs w:val="24"/>
          <w:highlight w:val="none"/>
        </w:rPr>
        <w:t>，</w:t>
      </w:r>
      <w:r>
        <w:rPr>
          <w:rFonts w:hint="eastAsia"/>
          <w:bCs/>
          <w:color w:val="auto"/>
          <w:sz w:val="24"/>
          <w:szCs w:val="24"/>
          <w:highlight w:val="none"/>
        </w:rPr>
        <w:t>并且内外侧接缝处应采用专用密封胶密封。</w:t>
      </w:r>
    </w:p>
    <w:p w14:paraId="72B141C3">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复合预制墙板之间以及复合预制墙板与现浇梁、墙之间的保温层应连续搭接，并应附加</w:t>
      </w:r>
      <w:r>
        <w:rPr>
          <w:bCs/>
          <w:color w:val="auto"/>
          <w:sz w:val="24"/>
          <w:szCs w:val="24"/>
          <w:highlight w:val="none"/>
        </w:rPr>
        <w:t>套装双真空保温隔热板</w:t>
      </w:r>
      <w:r>
        <w:rPr>
          <w:rFonts w:hint="eastAsia"/>
          <w:bCs/>
          <w:color w:val="auto"/>
          <w:sz w:val="24"/>
          <w:szCs w:val="24"/>
          <w:highlight w:val="none"/>
        </w:rPr>
        <w:t>，接缝处宜采用材料防水和构造防水相结合的防水构造，其中水平缝应采用外低内高的企口缝，竖直缝宜采用平缝。</w:t>
      </w:r>
    </w:p>
    <w:p w14:paraId="2E96CB3E">
      <w:pPr>
        <w:pStyle w:val="27"/>
        <w:numPr>
          <w:ilvl w:val="0"/>
          <w:numId w:val="26"/>
        </w:numPr>
        <w:spacing w:line="360" w:lineRule="auto"/>
        <w:ind w:left="0" w:firstLine="480"/>
        <w:rPr>
          <w:bCs/>
          <w:color w:val="auto"/>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733A782">
      <w:pPr>
        <w:pStyle w:val="27"/>
        <w:numPr>
          <w:ilvl w:val="0"/>
          <w:numId w:val="2"/>
        </w:numPr>
        <w:spacing w:after="240"/>
        <w:ind w:left="0" w:firstLine="0" w:firstLineChars="0"/>
        <w:jc w:val="center"/>
        <w:outlineLvl w:val="0"/>
        <w:rPr>
          <w:bCs/>
          <w:color w:val="auto"/>
          <w:sz w:val="36"/>
          <w:szCs w:val="32"/>
          <w:highlight w:val="none"/>
        </w:rPr>
      </w:pPr>
      <w:bookmarkStart w:id="50" w:name="_Toc17812"/>
      <w:bookmarkStart w:id="51" w:name="_Toc141875147"/>
      <w:r>
        <w:rPr>
          <w:bCs/>
          <w:color w:val="auto"/>
          <w:sz w:val="36"/>
          <w:szCs w:val="32"/>
          <w:highlight w:val="none"/>
        </w:rPr>
        <w:t>施工</w:t>
      </w:r>
      <w:bookmarkEnd w:id="50"/>
      <w:bookmarkEnd w:id="51"/>
    </w:p>
    <w:p w14:paraId="09D33B66">
      <w:pPr>
        <w:pStyle w:val="27"/>
        <w:numPr>
          <w:ilvl w:val="1"/>
          <w:numId w:val="2"/>
        </w:numPr>
        <w:spacing w:line="240" w:lineRule="auto"/>
        <w:ind w:left="567" w:hanging="567" w:firstLineChars="0"/>
        <w:jc w:val="center"/>
        <w:outlineLvl w:val="1"/>
        <w:rPr>
          <w:rFonts w:hint="eastAsia"/>
          <w:b/>
          <w:color w:val="auto"/>
          <w:sz w:val="28"/>
          <w:szCs w:val="24"/>
          <w:highlight w:val="none"/>
        </w:rPr>
      </w:pPr>
      <w:bookmarkStart w:id="52" w:name="_Toc141875148"/>
      <w:bookmarkStart w:id="53" w:name="_Toc23093"/>
      <w:r>
        <w:rPr>
          <w:rFonts w:hint="eastAsia"/>
          <w:b/>
          <w:color w:val="auto"/>
          <w:sz w:val="28"/>
          <w:szCs w:val="24"/>
          <w:highlight w:val="none"/>
        </w:rPr>
        <w:t>一般规定</w:t>
      </w:r>
      <w:bookmarkEnd w:id="52"/>
      <w:bookmarkEnd w:id="53"/>
    </w:p>
    <w:p w14:paraId="62D02213">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套装双真空保温隔热板外墙保温工程的施工应在主体结构工程验收合格后进行，施工前应对基层墙体质量进行检查验收。基层墙体应符合现行国家标准《混凝土结构工程施工质量验收规范》GB 50204和《砌体结构工程施工质量验收规范》GB50203的有关规定。</w:t>
      </w:r>
    </w:p>
    <w:p w14:paraId="120BC32A">
      <w:pPr>
        <w:pStyle w:val="27"/>
        <w:numPr>
          <w:ilvl w:val="2"/>
          <w:numId w:val="2"/>
        </w:numPr>
        <w:spacing w:line="360" w:lineRule="auto"/>
        <w:ind w:left="0" w:firstLine="0" w:firstLineChars="0"/>
        <w:jc w:val="left"/>
        <w:outlineLvl w:val="2"/>
        <w:rPr>
          <w:bCs/>
          <w:color w:val="auto"/>
          <w:sz w:val="24"/>
          <w:szCs w:val="24"/>
          <w:highlight w:val="none"/>
        </w:rPr>
      </w:pPr>
      <w:bookmarkStart w:id="54" w:name="_Toc425866909"/>
      <w:bookmarkStart w:id="55" w:name="_Toc425923665"/>
      <w:bookmarkStart w:id="56" w:name="_Toc427881438"/>
      <w:bookmarkStart w:id="57" w:name="_Toc426281354"/>
      <w:bookmarkStart w:id="58" w:name="_Toc426283885"/>
      <w:bookmarkStart w:id="59" w:name="_Toc427918727"/>
      <w:bookmarkStart w:id="60" w:name="_Toc425860664"/>
      <w:bookmarkStart w:id="61" w:name="_Toc426283095"/>
      <w:bookmarkStart w:id="62" w:name="_Toc426284304"/>
      <w:bookmarkStart w:id="63" w:name="_Toc425867296"/>
      <w:r>
        <w:rPr>
          <w:bCs/>
          <w:color w:val="auto"/>
          <w:sz w:val="24"/>
          <w:szCs w:val="24"/>
          <w:highlight w:val="none"/>
        </w:rPr>
        <w:t>套装双真空保温隔热板外墙保温工程施工前，应进行以下技术准备：</w:t>
      </w:r>
    </w:p>
    <w:p w14:paraId="57499AD9">
      <w:pPr>
        <w:pStyle w:val="27"/>
        <w:numPr>
          <w:ilvl w:val="0"/>
          <w:numId w:val="27"/>
        </w:numPr>
        <w:spacing w:line="360" w:lineRule="auto"/>
        <w:ind w:left="0" w:firstLine="480"/>
        <w:rPr>
          <w:bCs/>
          <w:color w:val="auto"/>
          <w:sz w:val="24"/>
          <w:szCs w:val="24"/>
          <w:highlight w:val="none"/>
        </w:rPr>
      </w:pPr>
      <w:r>
        <w:rPr>
          <w:bCs/>
          <w:color w:val="auto"/>
          <w:sz w:val="24"/>
          <w:szCs w:val="24"/>
          <w:highlight w:val="none"/>
        </w:rPr>
        <w:t>应按设计文件和相关标准编制专项施工方案，并应进行技术交底；</w:t>
      </w:r>
    </w:p>
    <w:p w14:paraId="0823BDC1">
      <w:pPr>
        <w:pStyle w:val="27"/>
        <w:numPr>
          <w:ilvl w:val="0"/>
          <w:numId w:val="27"/>
        </w:numPr>
        <w:spacing w:line="360" w:lineRule="auto"/>
        <w:ind w:left="0" w:firstLine="480"/>
        <w:rPr>
          <w:bCs/>
          <w:color w:val="auto"/>
          <w:sz w:val="24"/>
          <w:szCs w:val="24"/>
          <w:highlight w:val="none"/>
        </w:rPr>
      </w:pPr>
      <w:r>
        <w:rPr>
          <w:bCs/>
          <w:color w:val="auto"/>
          <w:sz w:val="24"/>
          <w:szCs w:val="24"/>
          <w:highlight w:val="none"/>
        </w:rPr>
        <w:t>施工人员应进行技术培训，并经考核合格后方可上岗；</w:t>
      </w:r>
    </w:p>
    <w:p w14:paraId="1430496A">
      <w:pPr>
        <w:pStyle w:val="27"/>
        <w:numPr>
          <w:ilvl w:val="0"/>
          <w:numId w:val="27"/>
        </w:numPr>
        <w:spacing w:line="360" w:lineRule="auto"/>
        <w:ind w:left="0" w:firstLine="480"/>
        <w:rPr>
          <w:bCs/>
          <w:color w:val="auto"/>
          <w:sz w:val="24"/>
          <w:szCs w:val="24"/>
          <w:highlight w:val="none"/>
        </w:rPr>
      </w:pPr>
      <w:r>
        <w:rPr>
          <w:bCs/>
          <w:color w:val="auto"/>
          <w:sz w:val="24"/>
          <w:szCs w:val="24"/>
          <w:highlight w:val="none"/>
        </w:rPr>
        <w:t>外墙施工时所采用的脚手架或吊篮等操作平台应编制专项施工方案。</w:t>
      </w:r>
    </w:p>
    <w:p w14:paraId="23E36D59">
      <w:pPr>
        <w:spacing w:line="360" w:lineRule="auto"/>
        <w:rPr>
          <w:rFonts w:ascii="仿宋_GB2312" w:eastAsia="仿宋_GB2312"/>
          <w:color w:val="auto"/>
          <w:sz w:val="24"/>
          <w:highlight w:val="none"/>
        </w:rPr>
      </w:pPr>
      <w:r>
        <w:rPr>
          <w:rFonts w:ascii="仿宋_GB2312" w:eastAsia="仿宋_GB2312"/>
          <w:color w:val="auto"/>
          <w:sz w:val="24"/>
          <w:highlight w:val="none"/>
        </w:rPr>
        <w:t>【条文说明】</w:t>
      </w:r>
      <w:r>
        <w:rPr>
          <w:rFonts w:hint="eastAsia" w:ascii="仿宋_GB2312" w:eastAsia="仿宋_GB2312"/>
          <w:color w:val="auto"/>
          <w:sz w:val="24"/>
          <w:highlight w:val="none"/>
        </w:rPr>
        <w:t>6.1.</w:t>
      </w:r>
      <w:r>
        <w:rPr>
          <w:rFonts w:ascii="仿宋_GB2312" w:eastAsia="仿宋_GB2312"/>
          <w:color w:val="auto"/>
          <w:sz w:val="24"/>
          <w:highlight w:val="none"/>
        </w:rPr>
        <w:t xml:space="preserve">2  </w:t>
      </w:r>
      <w:r>
        <w:rPr>
          <w:rFonts w:hint="eastAsia" w:ascii="仿宋_GB2312" w:eastAsia="仿宋_GB2312"/>
          <w:color w:val="auto"/>
          <w:sz w:val="24"/>
          <w:highlight w:val="none"/>
        </w:rPr>
        <w:t>现行国家标准</w:t>
      </w:r>
      <w:r>
        <w:rPr>
          <w:rFonts w:ascii="仿宋_GB2312" w:eastAsia="仿宋_GB2312"/>
          <w:color w:val="auto"/>
          <w:sz w:val="24"/>
          <w:highlight w:val="none"/>
        </w:rPr>
        <w:t>《建筑工程施工质量验收统一标准》GB 50300第3.0.1条规定，施工现场质量管理应有相应的施工技术标准。第3.0.2条规定，各工序应按施工技术标准进行质量控制，每道工序完成后，应进行检查。专项施工方案中包括</w:t>
      </w:r>
      <w:r>
        <w:rPr>
          <w:rFonts w:hint="eastAsia" w:ascii="仿宋_GB2312" w:eastAsia="仿宋_GB2312"/>
          <w:color w:val="auto"/>
          <w:sz w:val="24"/>
          <w:highlight w:val="none"/>
        </w:rPr>
        <w:t>套装双真空保温隔热板或套装双真空保温隔热装饰板排板图、与基层墙体连接节点设计布置图、细部构造大样图、套装双真空保温隔热板或套装双真空保温隔热装饰板承受荷载的最不利组合对锚固、粘结强度进行验算、施工安全、防火技术措施及设计等内容。</w:t>
      </w:r>
    </w:p>
    <w:p w14:paraId="41C221B7">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套装双真空保温隔热板外墙保温工程所用材料应统一分类存放于仓库内，并应设专人管理。</w:t>
      </w:r>
    </w:p>
    <w:p w14:paraId="1813709B">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套装双真空保温隔热板外墙保温工程施工前，施工现场应满足下列条件：</w:t>
      </w:r>
    </w:p>
    <w:p w14:paraId="3A1B646A">
      <w:pPr>
        <w:pStyle w:val="27"/>
        <w:numPr>
          <w:ilvl w:val="0"/>
          <w:numId w:val="28"/>
        </w:numPr>
        <w:spacing w:line="360" w:lineRule="auto"/>
        <w:ind w:left="0" w:firstLine="480"/>
        <w:rPr>
          <w:bCs/>
          <w:color w:val="auto"/>
          <w:sz w:val="24"/>
          <w:szCs w:val="24"/>
          <w:highlight w:val="none"/>
        </w:rPr>
      </w:pPr>
      <w:r>
        <w:rPr>
          <w:bCs/>
          <w:color w:val="auto"/>
          <w:sz w:val="24"/>
          <w:szCs w:val="24"/>
          <w:highlight w:val="none"/>
        </w:rPr>
        <w:t>门窗框或附框、阳台栏板和预埋件应安装完毕并应验收合格；</w:t>
      </w:r>
    </w:p>
    <w:p w14:paraId="7493D0C3">
      <w:pPr>
        <w:pStyle w:val="27"/>
        <w:numPr>
          <w:ilvl w:val="0"/>
          <w:numId w:val="28"/>
        </w:numPr>
        <w:spacing w:line="360" w:lineRule="auto"/>
        <w:ind w:left="0" w:firstLine="480"/>
        <w:rPr>
          <w:bCs/>
          <w:color w:val="auto"/>
          <w:sz w:val="24"/>
          <w:szCs w:val="24"/>
          <w:highlight w:val="none"/>
        </w:rPr>
      </w:pPr>
      <w:r>
        <w:rPr>
          <w:bCs/>
          <w:color w:val="auto"/>
          <w:sz w:val="24"/>
          <w:szCs w:val="24"/>
          <w:highlight w:val="none"/>
        </w:rPr>
        <w:t>基层墙体应验收合格，墙面的残渣和脱模剂应清理干净，墙面平整度超差部分应剔凿或修补，伸出墙面的设备或管道应安装完毕，墙上的施工孔洞应堵塞密实；</w:t>
      </w:r>
    </w:p>
    <w:p w14:paraId="76D97C27">
      <w:pPr>
        <w:pStyle w:val="27"/>
        <w:numPr>
          <w:ilvl w:val="0"/>
          <w:numId w:val="28"/>
        </w:numPr>
        <w:spacing w:line="360" w:lineRule="auto"/>
        <w:ind w:left="0" w:firstLine="480"/>
        <w:rPr>
          <w:bCs/>
          <w:color w:val="auto"/>
          <w:sz w:val="24"/>
          <w:szCs w:val="24"/>
          <w:highlight w:val="none"/>
        </w:rPr>
      </w:pPr>
      <w:r>
        <w:rPr>
          <w:bCs/>
          <w:color w:val="auto"/>
          <w:sz w:val="24"/>
          <w:szCs w:val="24"/>
          <w:highlight w:val="none"/>
        </w:rPr>
        <w:t>基层墙体为加气混凝土、混凝土墙以及灰砂砖、硅酸盐砖砌体时宜进行界面处理，并宜进行砂浆找平；</w:t>
      </w:r>
    </w:p>
    <w:p w14:paraId="37894209">
      <w:pPr>
        <w:pStyle w:val="27"/>
        <w:numPr>
          <w:ilvl w:val="0"/>
          <w:numId w:val="28"/>
        </w:numPr>
        <w:spacing w:line="360" w:lineRule="auto"/>
        <w:ind w:left="0" w:firstLine="480"/>
        <w:rPr>
          <w:bCs/>
          <w:color w:val="auto"/>
          <w:sz w:val="24"/>
          <w:szCs w:val="24"/>
          <w:highlight w:val="none"/>
        </w:rPr>
      </w:pPr>
      <w:r>
        <w:rPr>
          <w:bCs/>
          <w:color w:val="auto"/>
          <w:sz w:val="24"/>
          <w:szCs w:val="24"/>
          <w:highlight w:val="none"/>
        </w:rPr>
        <w:t>找平层应与基层粘结牢固，不得有脱层、空鼓、裂缝；</w:t>
      </w:r>
    </w:p>
    <w:p w14:paraId="592E5A1E">
      <w:pPr>
        <w:pStyle w:val="27"/>
        <w:numPr>
          <w:ilvl w:val="0"/>
          <w:numId w:val="28"/>
        </w:numPr>
        <w:spacing w:line="360" w:lineRule="auto"/>
        <w:ind w:left="0" w:firstLine="480"/>
        <w:rPr>
          <w:bCs/>
          <w:color w:val="auto"/>
          <w:sz w:val="24"/>
          <w:szCs w:val="24"/>
          <w:highlight w:val="none"/>
        </w:rPr>
      </w:pPr>
      <w:r>
        <w:rPr>
          <w:bCs/>
          <w:color w:val="auto"/>
          <w:sz w:val="24"/>
          <w:szCs w:val="24"/>
          <w:highlight w:val="none"/>
        </w:rPr>
        <w:t>脚手架或吊篮等操作平台</w:t>
      </w:r>
      <w:r>
        <w:rPr>
          <w:rFonts w:hint="eastAsia"/>
          <w:bCs/>
          <w:color w:val="auto"/>
          <w:sz w:val="24"/>
          <w:szCs w:val="24"/>
          <w:highlight w:val="none"/>
          <w:lang w:eastAsia="zh-CN"/>
        </w:rPr>
        <w:t>应</w:t>
      </w:r>
      <w:r>
        <w:rPr>
          <w:bCs/>
          <w:color w:val="auto"/>
          <w:sz w:val="24"/>
          <w:szCs w:val="24"/>
          <w:highlight w:val="none"/>
        </w:rPr>
        <w:t>搭设完毕，并应验收合格。</w:t>
      </w:r>
    </w:p>
    <w:p w14:paraId="3F3FB5CB">
      <w:pPr>
        <w:spacing w:line="360" w:lineRule="auto"/>
        <w:rPr>
          <w:rFonts w:ascii="仿宋_GB2312" w:eastAsia="仿宋_GB2312"/>
          <w:color w:val="auto"/>
          <w:sz w:val="24"/>
          <w:highlight w:val="none"/>
        </w:rPr>
      </w:pPr>
      <w:r>
        <w:rPr>
          <w:rFonts w:ascii="仿宋_GB2312" w:eastAsia="仿宋_GB2312"/>
          <w:color w:val="auto"/>
          <w:sz w:val="24"/>
          <w:highlight w:val="none"/>
        </w:rPr>
        <w:t>【条文说明】</w:t>
      </w:r>
      <w:r>
        <w:rPr>
          <w:rFonts w:hint="eastAsia" w:ascii="仿宋_GB2312" w:eastAsia="仿宋_GB2312"/>
          <w:color w:val="auto"/>
          <w:sz w:val="24"/>
          <w:highlight w:val="none"/>
        </w:rPr>
        <w:t>6.1.</w:t>
      </w:r>
      <w:r>
        <w:rPr>
          <w:rFonts w:ascii="仿宋_GB2312" w:eastAsia="仿宋_GB2312"/>
          <w:color w:val="auto"/>
          <w:sz w:val="24"/>
          <w:highlight w:val="none"/>
        </w:rPr>
        <w:t>4</w:t>
      </w:r>
      <w:r>
        <w:rPr>
          <w:rFonts w:hint="eastAsia" w:ascii="仿宋_GB2312" w:eastAsia="仿宋_GB2312"/>
          <w:color w:val="auto"/>
          <w:sz w:val="24"/>
          <w:highlight w:val="none"/>
        </w:rPr>
        <w:t xml:space="preserve"> </w:t>
      </w:r>
      <w:r>
        <w:rPr>
          <w:rFonts w:ascii="仿宋_GB2312" w:eastAsia="仿宋_GB2312"/>
          <w:color w:val="auto"/>
          <w:sz w:val="24"/>
          <w:highlight w:val="none"/>
        </w:rPr>
        <w:t xml:space="preserve"> </w:t>
      </w:r>
      <w:r>
        <w:rPr>
          <w:rFonts w:hint="eastAsia" w:ascii="仿宋_GB2312" w:eastAsia="仿宋_GB2312"/>
          <w:color w:val="auto"/>
          <w:sz w:val="24"/>
          <w:highlight w:val="none"/>
        </w:rPr>
        <w:t>基层处理对于系统整体的安全性十分重要，尤其在不同基层的交界部位往往会进行特殊处理，其与粘结砂浆的粘结性能是否能够满足强度要求，应该重点进行关注。墙面平整度超差部分应剔凿或修补。</w:t>
      </w:r>
    </w:p>
    <w:p w14:paraId="6D104C9D">
      <w:pPr>
        <w:spacing w:line="360" w:lineRule="auto"/>
        <w:ind w:firstLine="480" w:firstLineChars="200"/>
        <w:rPr>
          <w:rFonts w:ascii="仿宋_GB2312" w:eastAsia="仿宋_GB2312"/>
          <w:color w:val="auto"/>
          <w:sz w:val="24"/>
          <w:highlight w:val="none"/>
        </w:rPr>
      </w:pPr>
      <w:r>
        <w:rPr>
          <w:rFonts w:hint="eastAsia" w:ascii="仿宋_GB2312" w:eastAsia="仿宋_GB2312"/>
          <w:color w:val="auto"/>
          <w:sz w:val="24"/>
          <w:highlight w:val="none"/>
        </w:rPr>
        <w:t>套装双真空保温隔热板外墙保温工程施工前，</w:t>
      </w:r>
      <w:r>
        <w:rPr>
          <w:rFonts w:ascii="仿宋_GB2312" w:eastAsia="仿宋_GB2312"/>
          <w:color w:val="auto"/>
          <w:sz w:val="24"/>
          <w:highlight w:val="none"/>
        </w:rPr>
        <w:t>外墙门窗框及各类管线、预埋件等应按设计安装完毕，并应按内保温系统的厚度留出余量。水暖及装饰工程需用的埋件、电气工程的暗管、接线盒应埋置完毕。</w:t>
      </w:r>
    </w:p>
    <w:bookmarkEnd w:id="54"/>
    <w:bookmarkEnd w:id="55"/>
    <w:bookmarkEnd w:id="56"/>
    <w:bookmarkEnd w:id="57"/>
    <w:bookmarkEnd w:id="58"/>
    <w:bookmarkEnd w:id="59"/>
    <w:bookmarkEnd w:id="60"/>
    <w:bookmarkEnd w:id="61"/>
    <w:bookmarkEnd w:id="62"/>
    <w:bookmarkEnd w:id="63"/>
    <w:p w14:paraId="158939FA">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施工各环节</w:t>
      </w:r>
      <w:r>
        <w:rPr>
          <w:rFonts w:hint="eastAsia"/>
          <w:bCs/>
          <w:color w:val="auto"/>
          <w:sz w:val="24"/>
          <w:szCs w:val="24"/>
          <w:highlight w:val="none"/>
        </w:rPr>
        <w:t>不应破坏</w:t>
      </w:r>
      <w:r>
        <w:rPr>
          <w:bCs/>
          <w:color w:val="auto"/>
          <w:sz w:val="24"/>
          <w:szCs w:val="24"/>
          <w:highlight w:val="none"/>
        </w:rPr>
        <w:t>套装双真空保温隔热板或套装双真空保温隔热装饰板，</w:t>
      </w:r>
      <w:r>
        <w:rPr>
          <w:rFonts w:hint="eastAsia"/>
          <w:bCs/>
          <w:color w:val="auto"/>
          <w:sz w:val="24"/>
          <w:szCs w:val="24"/>
          <w:highlight w:val="none"/>
        </w:rPr>
        <w:t>且</w:t>
      </w:r>
      <w:r>
        <w:rPr>
          <w:bCs/>
          <w:color w:val="auto"/>
          <w:sz w:val="24"/>
          <w:szCs w:val="24"/>
          <w:highlight w:val="none"/>
        </w:rPr>
        <w:t>不</w:t>
      </w:r>
      <w:r>
        <w:rPr>
          <w:rFonts w:hint="eastAsia"/>
          <w:bCs/>
          <w:color w:val="auto"/>
          <w:sz w:val="24"/>
          <w:szCs w:val="24"/>
          <w:highlight w:val="none"/>
        </w:rPr>
        <w:t>应</w:t>
      </w:r>
      <w:r>
        <w:rPr>
          <w:bCs/>
          <w:color w:val="auto"/>
          <w:sz w:val="24"/>
          <w:szCs w:val="24"/>
          <w:highlight w:val="none"/>
        </w:rPr>
        <w:t>现场裁割</w:t>
      </w:r>
      <w:r>
        <w:rPr>
          <w:rFonts w:hint="eastAsia"/>
          <w:bCs/>
          <w:color w:val="auto"/>
          <w:sz w:val="24"/>
          <w:szCs w:val="24"/>
          <w:highlight w:val="none"/>
        </w:rPr>
        <w:t>；</w:t>
      </w:r>
      <w:r>
        <w:rPr>
          <w:bCs/>
          <w:color w:val="auto"/>
          <w:sz w:val="24"/>
          <w:szCs w:val="24"/>
          <w:highlight w:val="none"/>
        </w:rPr>
        <w:t>异形板应工厂定制</w:t>
      </w:r>
      <w:r>
        <w:rPr>
          <w:rFonts w:hint="eastAsia"/>
          <w:bCs/>
          <w:color w:val="auto"/>
          <w:sz w:val="24"/>
          <w:szCs w:val="24"/>
          <w:highlight w:val="none"/>
        </w:rPr>
        <w:t>；施工前应完成</w:t>
      </w:r>
      <w:r>
        <w:rPr>
          <w:bCs/>
          <w:color w:val="auto"/>
          <w:sz w:val="24"/>
          <w:szCs w:val="24"/>
          <w:highlight w:val="none"/>
        </w:rPr>
        <w:t>排板设计。</w:t>
      </w:r>
    </w:p>
    <w:p w14:paraId="65E68482">
      <w:pPr>
        <w:pStyle w:val="27"/>
        <w:spacing w:line="360" w:lineRule="auto"/>
        <w:ind w:firstLine="0" w:firstLineChars="0"/>
        <w:jc w:val="left"/>
        <w:rPr>
          <w:bCs/>
          <w:color w:val="auto"/>
          <w:sz w:val="24"/>
          <w:szCs w:val="24"/>
          <w:highlight w:val="none"/>
        </w:rPr>
      </w:pPr>
      <w:r>
        <w:rPr>
          <w:rFonts w:ascii="仿宋_GB2312" w:eastAsia="仿宋_GB2312"/>
          <w:color w:val="auto"/>
          <w:sz w:val="24"/>
          <w:highlight w:val="none"/>
        </w:rPr>
        <w:t>【条文说明】</w:t>
      </w:r>
      <w:r>
        <w:rPr>
          <w:rFonts w:hint="eastAsia" w:ascii="仿宋_GB2312" w:eastAsia="仿宋_GB2312"/>
          <w:color w:val="auto"/>
          <w:sz w:val="24"/>
          <w:highlight w:val="none"/>
        </w:rPr>
        <w:t>6.1.</w:t>
      </w:r>
      <w:r>
        <w:rPr>
          <w:rFonts w:ascii="仿宋_GB2312" w:eastAsia="仿宋_GB2312"/>
          <w:color w:val="auto"/>
          <w:sz w:val="24"/>
          <w:highlight w:val="none"/>
        </w:rPr>
        <w:t xml:space="preserve">5  </w:t>
      </w:r>
      <w:r>
        <w:rPr>
          <w:rFonts w:hint="eastAsia" w:ascii="仿宋_GB2312" w:eastAsia="仿宋_GB2312"/>
          <w:color w:val="auto"/>
          <w:sz w:val="24"/>
          <w:highlight w:val="none"/>
        </w:rPr>
        <w:t>由于套装双真空保温隔热板采用抽真空工艺，各个环节都要保证套装双真空保温隔热板的真空度，因此现场施工会用到异形板的情况，现场排版设计很重要。</w:t>
      </w:r>
    </w:p>
    <w:p w14:paraId="31B00E82">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墙外保温工程不得在风力大于5级和雨天时施工。雨季施工应做好防雨措施。保温工程施工期间以及完工后24h内，环境空气温度不应低于0℃，平均气温不应低于5℃。夏季应避免阳光暴晒。保温工程完工后应采取成品保护措施。</w:t>
      </w:r>
    </w:p>
    <w:p w14:paraId="01A990AE">
      <w:pPr>
        <w:spacing w:line="360" w:lineRule="auto"/>
        <w:rPr>
          <w:rFonts w:ascii="仿宋_GB2312" w:eastAsia="仿宋_GB2312"/>
          <w:color w:val="auto"/>
          <w:sz w:val="24"/>
          <w:highlight w:val="none"/>
        </w:rPr>
      </w:pPr>
      <w:r>
        <w:rPr>
          <w:rFonts w:ascii="仿宋_GB2312" w:eastAsia="仿宋_GB2312"/>
          <w:color w:val="auto"/>
          <w:sz w:val="24"/>
          <w:highlight w:val="none"/>
        </w:rPr>
        <w:t>【条文说明】</w:t>
      </w:r>
      <w:r>
        <w:rPr>
          <w:rFonts w:hint="eastAsia" w:ascii="仿宋_GB2312" w:eastAsia="仿宋_GB2312"/>
          <w:color w:val="auto"/>
          <w:sz w:val="24"/>
          <w:highlight w:val="none"/>
        </w:rPr>
        <w:t>6.1.</w:t>
      </w:r>
      <w:r>
        <w:rPr>
          <w:rFonts w:ascii="仿宋_GB2312" w:eastAsia="仿宋_GB2312"/>
          <w:color w:val="auto"/>
          <w:sz w:val="24"/>
          <w:highlight w:val="none"/>
        </w:rPr>
        <w:t xml:space="preserve">6  </w:t>
      </w:r>
      <w:r>
        <w:rPr>
          <w:rFonts w:hint="eastAsia" w:ascii="仿宋_GB2312" w:eastAsia="仿宋_GB2312"/>
          <w:color w:val="auto"/>
          <w:sz w:val="24"/>
          <w:highlight w:val="none"/>
        </w:rPr>
        <w:t xml:space="preserve">施工环境温度和基层墙体温度不低于 </w:t>
      </w:r>
      <w:r>
        <w:rPr>
          <w:rFonts w:ascii="仿宋_GB2312" w:eastAsia="仿宋_GB2312"/>
          <w:color w:val="auto"/>
          <w:sz w:val="24"/>
          <w:highlight w:val="none"/>
        </w:rPr>
        <w:t>5</w:t>
      </w:r>
      <w:r>
        <w:rPr>
          <w:rFonts w:hint="eastAsia" w:ascii="仿宋_GB2312" w:eastAsia="仿宋_GB2312"/>
          <w:color w:val="auto"/>
          <w:sz w:val="24"/>
          <w:highlight w:val="none"/>
        </w:rPr>
        <w:t>℃，主要是考虑外保温用粘结砂浆和抹面胶浆均为聚合物砂浆，其添加的聚合物乳胶粉有最低成膜温度的要求，低于成膜温度会影响砂浆性能，所以规定此温度。</w:t>
      </w:r>
    </w:p>
    <w:p w14:paraId="27AC5AEF">
      <w:pPr>
        <w:pStyle w:val="27"/>
        <w:numPr>
          <w:ilvl w:val="1"/>
          <w:numId w:val="2"/>
        </w:numPr>
        <w:spacing w:line="240" w:lineRule="auto"/>
        <w:ind w:left="567" w:hanging="567" w:firstLineChars="0"/>
        <w:jc w:val="center"/>
        <w:outlineLvl w:val="1"/>
        <w:rPr>
          <w:rFonts w:hint="eastAsia"/>
          <w:b/>
          <w:color w:val="auto"/>
          <w:sz w:val="28"/>
          <w:szCs w:val="24"/>
          <w:highlight w:val="none"/>
        </w:rPr>
      </w:pPr>
      <w:bookmarkStart w:id="64" w:name="_Toc16277"/>
      <w:bookmarkStart w:id="65" w:name="_Toc141875149"/>
      <w:r>
        <w:rPr>
          <w:rFonts w:hint="eastAsia"/>
          <w:b/>
          <w:color w:val="auto"/>
          <w:sz w:val="28"/>
          <w:szCs w:val="24"/>
          <w:highlight w:val="none"/>
        </w:rPr>
        <w:t>套装双真空保温隔热板薄抹灰外墙外保温工程</w:t>
      </w:r>
      <w:bookmarkEnd w:id="64"/>
      <w:bookmarkEnd w:id="65"/>
    </w:p>
    <w:p w14:paraId="46030D45">
      <w:pPr>
        <w:pStyle w:val="27"/>
        <w:numPr>
          <w:ilvl w:val="2"/>
          <w:numId w:val="2"/>
        </w:numPr>
        <w:spacing w:line="360" w:lineRule="auto"/>
        <w:ind w:left="0" w:firstLine="0" w:firstLineChars="0"/>
        <w:jc w:val="left"/>
        <w:outlineLvl w:val="2"/>
        <w:rPr>
          <w:bCs/>
          <w:color w:val="auto"/>
          <w:sz w:val="24"/>
          <w:szCs w:val="24"/>
          <w:highlight w:val="none"/>
        </w:rPr>
      </w:pPr>
      <w:bookmarkStart w:id="66" w:name="_Toc362263558"/>
      <w:bookmarkStart w:id="67" w:name="_Toc362263230"/>
      <w:r>
        <w:rPr>
          <w:bCs/>
          <w:color w:val="auto"/>
          <w:sz w:val="24"/>
          <w:szCs w:val="24"/>
          <w:highlight w:val="none"/>
        </w:rPr>
        <w:t>横向及竖向基准线应根据排板设计确定楼层、阴角、阳角、阳台栏板和门窗洞口等部位的控制线。</w:t>
      </w:r>
    </w:p>
    <w:p w14:paraId="022D4006">
      <w:pPr>
        <w:pStyle w:val="27"/>
        <w:spacing w:line="360" w:lineRule="auto"/>
        <w:ind w:firstLine="0" w:firstLineChars="0"/>
        <w:jc w:val="left"/>
        <w:rPr>
          <w:bCs/>
          <w:color w:val="auto"/>
          <w:sz w:val="24"/>
          <w:szCs w:val="24"/>
          <w:highlight w:val="none"/>
        </w:rPr>
      </w:pPr>
      <w:r>
        <w:rPr>
          <w:rFonts w:ascii="仿宋_GB2312" w:eastAsia="仿宋_GB2312"/>
          <w:color w:val="auto"/>
          <w:sz w:val="24"/>
          <w:highlight w:val="none"/>
        </w:rPr>
        <w:t>【条文说明】</w:t>
      </w:r>
      <w:r>
        <w:rPr>
          <w:rFonts w:hint="eastAsia" w:ascii="仿宋_GB2312" w:eastAsia="仿宋_GB2312"/>
          <w:color w:val="auto"/>
          <w:sz w:val="24"/>
          <w:highlight w:val="none"/>
        </w:rPr>
        <w:t>6.</w:t>
      </w:r>
      <w:r>
        <w:rPr>
          <w:rFonts w:ascii="仿宋_GB2312" w:eastAsia="仿宋_GB2312"/>
          <w:color w:val="auto"/>
          <w:sz w:val="24"/>
          <w:highlight w:val="none"/>
        </w:rPr>
        <w:t xml:space="preserve">2.1  </w:t>
      </w:r>
      <w:r>
        <w:rPr>
          <w:rFonts w:hint="eastAsia" w:ascii="仿宋_GB2312" w:eastAsia="仿宋_GB2312"/>
          <w:color w:val="auto"/>
          <w:sz w:val="24"/>
          <w:highlight w:val="none"/>
        </w:rPr>
        <w:t>排板设计是必不可少的环节，通过工程实例的考察和验证，不进行排板设计，套装双真空保温隔热板粘贴难以达到准确、完整，从而形成很多的热桥或后期工序对板材造成破坏。</w:t>
      </w:r>
    </w:p>
    <w:p w14:paraId="63403A12">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粘结砂浆和抹面胶浆的配制与使用应符合下列规定：</w:t>
      </w:r>
    </w:p>
    <w:p w14:paraId="34BEC80F">
      <w:pPr>
        <w:pStyle w:val="27"/>
        <w:numPr>
          <w:ilvl w:val="0"/>
          <w:numId w:val="29"/>
        </w:numPr>
        <w:spacing w:line="360" w:lineRule="auto"/>
        <w:ind w:left="0" w:firstLine="480"/>
        <w:rPr>
          <w:bCs/>
          <w:color w:val="auto"/>
          <w:sz w:val="24"/>
          <w:szCs w:val="24"/>
          <w:highlight w:val="none"/>
        </w:rPr>
      </w:pPr>
      <w:r>
        <w:rPr>
          <w:bCs/>
          <w:color w:val="auto"/>
          <w:sz w:val="24"/>
          <w:szCs w:val="24"/>
          <w:highlight w:val="none"/>
        </w:rPr>
        <w:t>应严格按产品说明书提供的配比和制作工艺在现场进行。</w:t>
      </w:r>
    </w:p>
    <w:p w14:paraId="1597CDE4">
      <w:pPr>
        <w:pStyle w:val="27"/>
        <w:numPr>
          <w:ilvl w:val="0"/>
          <w:numId w:val="29"/>
        </w:numPr>
        <w:spacing w:line="360" w:lineRule="auto"/>
        <w:ind w:left="0" w:firstLine="480"/>
        <w:rPr>
          <w:bCs/>
          <w:color w:val="auto"/>
          <w:sz w:val="24"/>
          <w:szCs w:val="24"/>
          <w:highlight w:val="none"/>
        </w:rPr>
      </w:pPr>
      <w:r>
        <w:rPr>
          <w:bCs/>
          <w:color w:val="auto"/>
          <w:sz w:val="24"/>
          <w:szCs w:val="24"/>
          <w:highlight w:val="none"/>
        </w:rPr>
        <w:t>配制数量应适量，并应在规定的可操作时间内用完。</w:t>
      </w:r>
    </w:p>
    <w:p w14:paraId="041680B6">
      <w:pPr>
        <w:pStyle w:val="27"/>
        <w:numPr>
          <w:ilvl w:val="0"/>
          <w:numId w:val="29"/>
        </w:numPr>
        <w:spacing w:line="360" w:lineRule="auto"/>
        <w:ind w:left="0" w:firstLine="480"/>
        <w:rPr>
          <w:bCs/>
          <w:color w:val="auto"/>
          <w:sz w:val="24"/>
          <w:szCs w:val="24"/>
          <w:highlight w:val="none"/>
        </w:rPr>
      </w:pPr>
      <w:r>
        <w:rPr>
          <w:bCs/>
          <w:color w:val="auto"/>
          <w:sz w:val="24"/>
          <w:szCs w:val="24"/>
          <w:highlight w:val="none"/>
        </w:rPr>
        <w:t>抹面胶浆宜采用喷涂的施工方式。</w:t>
      </w:r>
    </w:p>
    <w:p w14:paraId="3EA91895">
      <w:pPr>
        <w:pStyle w:val="27"/>
        <w:numPr>
          <w:ilvl w:val="0"/>
          <w:numId w:val="29"/>
        </w:numPr>
        <w:spacing w:line="360" w:lineRule="auto"/>
        <w:ind w:left="0" w:firstLine="480"/>
        <w:rPr>
          <w:bCs/>
          <w:color w:val="auto"/>
          <w:sz w:val="24"/>
          <w:szCs w:val="24"/>
          <w:highlight w:val="none"/>
        </w:rPr>
      </w:pPr>
      <w:r>
        <w:rPr>
          <w:bCs/>
          <w:color w:val="auto"/>
          <w:sz w:val="24"/>
          <w:szCs w:val="24"/>
          <w:highlight w:val="none"/>
        </w:rPr>
        <w:t>应在每次配料前将所用搅拌容器中残留的干固砂浆清理干净。</w:t>
      </w:r>
    </w:p>
    <w:p w14:paraId="4D852650">
      <w:pPr>
        <w:spacing w:line="360" w:lineRule="auto"/>
        <w:rPr>
          <w:bCs/>
          <w:color w:val="auto"/>
          <w:sz w:val="24"/>
          <w:szCs w:val="24"/>
          <w:highlight w:val="none"/>
        </w:rPr>
      </w:pPr>
      <w:r>
        <w:rPr>
          <w:rFonts w:ascii="仿宋_GB2312" w:eastAsia="仿宋_GB2312"/>
          <w:color w:val="auto"/>
          <w:sz w:val="24"/>
          <w:highlight w:val="none"/>
        </w:rPr>
        <w:t>【条文说明】</w:t>
      </w:r>
      <w:r>
        <w:rPr>
          <w:rFonts w:hint="eastAsia" w:ascii="仿宋_GB2312" w:eastAsia="仿宋_GB2312"/>
          <w:color w:val="auto"/>
          <w:sz w:val="24"/>
          <w:highlight w:val="none"/>
        </w:rPr>
        <w:t>6.</w:t>
      </w:r>
      <w:r>
        <w:rPr>
          <w:rFonts w:ascii="仿宋_GB2312" w:eastAsia="仿宋_GB2312"/>
          <w:color w:val="auto"/>
          <w:sz w:val="24"/>
          <w:highlight w:val="none"/>
        </w:rPr>
        <w:t xml:space="preserve">2.2  </w:t>
      </w:r>
      <w:r>
        <w:rPr>
          <w:rFonts w:hint="eastAsia" w:ascii="仿宋_GB2312" w:eastAsia="仿宋_GB2312"/>
          <w:color w:val="auto"/>
          <w:sz w:val="24"/>
          <w:highlight w:val="none"/>
        </w:rPr>
        <w:t>粘结砂浆和抹面砂浆的配制需要按照供应商的使用说明书进行，不得随意更改其配比，且应按照规定的时间来使用。</w:t>
      </w:r>
    </w:p>
    <w:p w14:paraId="6292A415">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套装双真空保温隔热板的粘贴应符合下列规定：</w:t>
      </w:r>
    </w:p>
    <w:p w14:paraId="1BB2500D">
      <w:pPr>
        <w:pStyle w:val="27"/>
        <w:numPr>
          <w:ilvl w:val="0"/>
          <w:numId w:val="30"/>
        </w:numPr>
        <w:spacing w:line="360" w:lineRule="auto"/>
        <w:ind w:left="0" w:firstLine="480"/>
        <w:rPr>
          <w:bCs/>
          <w:color w:val="auto"/>
          <w:sz w:val="24"/>
          <w:szCs w:val="24"/>
          <w:highlight w:val="none"/>
        </w:rPr>
      </w:pPr>
      <w:r>
        <w:rPr>
          <w:bCs/>
          <w:color w:val="auto"/>
          <w:sz w:val="24"/>
          <w:szCs w:val="24"/>
          <w:highlight w:val="none"/>
        </w:rPr>
        <w:t>粘贴顺序应由下而上沿水平线进行施工，并应先粘贴阴阳角。</w:t>
      </w:r>
    </w:p>
    <w:p w14:paraId="567C9593">
      <w:pPr>
        <w:pStyle w:val="27"/>
        <w:numPr>
          <w:ilvl w:val="0"/>
          <w:numId w:val="30"/>
        </w:numPr>
        <w:spacing w:line="360" w:lineRule="auto"/>
        <w:ind w:left="0" w:firstLine="480"/>
        <w:rPr>
          <w:bCs/>
          <w:color w:val="auto"/>
          <w:sz w:val="24"/>
          <w:szCs w:val="24"/>
          <w:highlight w:val="none"/>
        </w:rPr>
      </w:pPr>
      <w:r>
        <w:rPr>
          <w:bCs/>
          <w:color w:val="auto"/>
          <w:sz w:val="24"/>
          <w:szCs w:val="24"/>
          <w:highlight w:val="none"/>
        </w:rPr>
        <w:t>套装双真空保温隔热板粘贴起始部位及门窗洞口、女儿墙等收口部位的翻包玻纤网的粘贴应在粘贴套装双真空保温隔热板前完成，翻包玻纤网宽度应为套装双真空保温隔热板厚度加200mm，长度应根据施工部位具体情况确定；</w:t>
      </w:r>
    </w:p>
    <w:p w14:paraId="6BDFFB54">
      <w:pPr>
        <w:pStyle w:val="27"/>
        <w:numPr>
          <w:ilvl w:val="0"/>
          <w:numId w:val="30"/>
        </w:numPr>
        <w:spacing w:line="360" w:lineRule="auto"/>
        <w:ind w:left="0" w:firstLine="480"/>
        <w:rPr>
          <w:bCs/>
          <w:color w:val="auto"/>
          <w:sz w:val="24"/>
          <w:szCs w:val="24"/>
          <w:highlight w:val="none"/>
        </w:rPr>
      </w:pPr>
      <w:r>
        <w:rPr>
          <w:bCs/>
          <w:color w:val="auto"/>
          <w:sz w:val="24"/>
          <w:szCs w:val="24"/>
          <w:highlight w:val="none"/>
        </w:rPr>
        <w:t>套装双真空保温隔热板宜水平按顺序进行，上下应错缝粘贴，局部最小错缝不宜小于100mm，且板缝宽度不宜超过10mm，阴阳角处应做错茬处理；</w:t>
      </w:r>
    </w:p>
    <w:p w14:paraId="1DBA9D47">
      <w:pPr>
        <w:pStyle w:val="27"/>
        <w:numPr>
          <w:ilvl w:val="0"/>
          <w:numId w:val="30"/>
        </w:numPr>
        <w:spacing w:line="360" w:lineRule="auto"/>
        <w:ind w:left="0" w:firstLine="480"/>
        <w:rPr>
          <w:bCs/>
          <w:color w:val="auto"/>
          <w:sz w:val="24"/>
          <w:szCs w:val="24"/>
          <w:highlight w:val="none"/>
        </w:rPr>
      </w:pPr>
      <w:r>
        <w:rPr>
          <w:bCs/>
          <w:color w:val="auto"/>
          <w:sz w:val="24"/>
          <w:szCs w:val="24"/>
          <w:highlight w:val="none"/>
        </w:rPr>
        <w:t>可采用条粘法满粘套装双真空保温隔热板，粘结面积不应小于套装双真空保温隔热板面积的80%。</w:t>
      </w:r>
    </w:p>
    <w:p w14:paraId="0FB4D82A">
      <w:pPr>
        <w:pStyle w:val="27"/>
        <w:numPr>
          <w:ilvl w:val="0"/>
          <w:numId w:val="30"/>
        </w:numPr>
        <w:spacing w:line="360" w:lineRule="auto"/>
        <w:ind w:left="0" w:firstLine="480"/>
        <w:rPr>
          <w:bCs/>
          <w:color w:val="auto"/>
          <w:sz w:val="24"/>
          <w:szCs w:val="24"/>
          <w:highlight w:val="none"/>
        </w:rPr>
      </w:pPr>
      <w:r>
        <w:rPr>
          <w:bCs/>
          <w:color w:val="auto"/>
          <w:sz w:val="24"/>
          <w:szCs w:val="24"/>
          <w:highlight w:val="none"/>
        </w:rPr>
        <w:t>套装双真空保温隔热板在粘贴时应均匀挤压，挤出的粘结砂浆应及时清理。</w:t>
      </w:r>
    </w:p>
    <w:p w14:paraId="25C18C87">
      <w:pPr>
        <w:pStyle w:val="27"/>
        <w:numPr>
          <w:ilvl w:val="0"/>
          <w:numId w:val="30"/>
        </w:numPr>
        <w:spacing w:line="360" w:lineRule="auto"/>
        <w:ind w:left="0" w:firstLine="480"/>
        <w:rPr>
          <w:bCs/>
          <w:color w:val="auto"/>
          <w:sz w:val="24"/>
          <w:szCs w:val="24"/>
          <w:highlight w:val="none"/>
        </w:rPr>
      </w:pPr>
      <w:r>
        <w:rPr>
          <w:bCs/>
          <w:color w:val="auto"/>
          <w:sz w:val="24"/>
          <w:szCs w:val="24"/>
          <w:highlight w:val="none"/>
        </w:rPr>
        <w:t>粘贴过程中和完成后应对套装双真空保温隔热板及时保护，套装双真空保温隔热板不应被破坏。</w:t>
      </w:r>
    </w:p>
    <w:p w14:paraId="7A3F84BA">
      <w:pPr>
        <w:pStyle w:val="27"/>
        <w:numPr>
          <w:ilvl w:val="0"/>
          <w:numId w:val="30"/>
        </w:numPr>
        <w:spacing w:line="360" w:lineRule="auto"/>
        <w:ind w:left="0" w:firstLine="480"/>
        <w:rPr>
          <w:bCs/>
          <w:color w:val="auto"/>
          <w:sz w:val="24"/>
          <w:szCs w:val="24"/>
          <w:highlight w:val="none"/>
        </w:rPr>
      </w:pPr>
      <w:r>
        <w:rPr>
          <w:bCs/>
          <w:color w:val="auto"/>
          <w:sz w:val="24"/>
          <w:szCs w:val="24"/>
          <w:highlight w:val="none"/>
        </w:rPr>
        <w:t xml:space="preserve"> 应在套装双真空保温隔热板粘贴完毕静置12h后进行接缝处理。</w:t>
      </w:r>
    </w:p>
    <w:p w14:paraId="6F23D391">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w:t>
      </w:r>
      <w:r>
        <w:rPr>
          <w:rFonts w:hint="eastAsia"/>
          <w:bCs/>
          <w:color w:val="auto"/>
          <w:sz w:val="24"/>
          <w:szCs w:val="24"/>
          <w:highlight w:val="none"/>
        </w:rPr>
        <w:t>间板缝应</w:t>
      </w:r>
      <w:r>
        <w:rPr>
          <w:bCs/>
          <w:color w:val="auto"/>
          <w:sz w:val="24"/>
          <w:szCs w:val="24"/>
          <w:highlight w:val="none"/>
        </w:rPr>
        <w:t>用保温浆料等符合保温工程要求的填充材料进行填充，不</w:t>
      </w:r>
      <w:r>
        <w:rPr>
          <w:rFonts w:hint="eastAsia"/>
          <w:bCs/>
          <w:color w:val="auto"/>
          <w:sz w:val="24"/>
          <w:szCs w:val="24"/>
          <w:highlight w:val="none"/>
        </w:rPr>
        <w:t>应</w:t>
      </w:r>
      <w:r>
        <w:rPr>
          <w:bCs/>
          <w:color w:val="auto"/>
          <w:sz w:val="24"/>
          <w:szCs w:val="24"/>
          <w:highlight w:val="none"/>
        </w:rPr>
        <w:t>用抹面胶浆直接填充（图6.2.4）。</w:t>
      </w:r>
    </w:p>
    <w:p w14:paraId="4896FE32">
      <w:pPr>
        <w:spacing w:line="360" w:lineRule="auto"/>
        <w:rPr>
          <w:color w:val="auto"/>
          <w:sz w:val="24"/>
          <w:szCs w:val="24"/>
          <w:highlight w:val="none"/>
        </w:rPr>
      </w:pPr>
      <w:r>
        <w:rPr>
          <w:color w:val="auto"/>
          <w:sz w:val="24"/>
          <w:szCs w:val="24"/>
          <w:highlight w:val="none"/>
        </w:rPr>
        <w:t xml:space="preserve">                        </w:t>
      </w:r>
      <w:r>
        <w:rPr>
          <w:color w:val="auto"/>
          <w:position w:val="6"/>
          <w:highlight w:val="none"/>
        </w:rPr>
        <w:object>
          <v:shape id="_x0000_i1056" o:spt="75" type="#_x0000_t75" style="height:109.85pt;width:123.65pt;" o:ole="t" filled="f" o:preferrelative="t" stroked="f" coordsize="21600,21600">
            <v:path/>
            <v:fill on="f" focussize="0,0"/>
            <v:stroke on="f" joinstyle="miter"/>
            <v:imagedata r:id="rId76" o:title=""/>
            <o:lock v:ext="edit" aspectratio="t"/>
            <w10:wrap type="none"/>
            <w10:anchorlock/>
          </v:shape>
          <o:OLEObject Type="Embed" ProgID="AutoCAD.Drawing.17" ShapeID="_x0000_i1056" DrawAspect="Content" ObjectID="_1468075756" r:id="rId75">
            <o:LockedField>false</o:LockedField>
          </o:OLEObject>
        </w:object>
      </w:r>
    </w:p>
    <w:p w14:paraId="73C79336">
      <w:pPr>
        <w:pStyle w:val="7"/>
        <w:spacing w:line="360" w:lineRule="auto"/>
        <w:ind w:left="0" w:leftChars="0" w:firstLine="0" w:firstLineChars="0"/>
        <w:jc w:val="center"/>
        <w:rPr>
          <w:highlight w:val="none"/>
        </w:rPr>
      </w:pPr>
      <w:r>
        <w:rPr>
          <w:highlight w:val="none"/>
        </w:rPr>
        <w:t>图6.2.4</w:t>
      </w:r>
      <w:r>
        <w:rPr>
          <w:rFonts w:hint="eastAsia"/>
          <w:highlight w:val="none"/>
        </w:rPr>
        <w:t>5</w:t>
      </w:r>
      <w:r>
        <w:rPr>
          <w:rFonts w:hint="eastAsia"/>
          <w:highlight w:val="none"/>
        </w:rPr>
        <w:tab/>
      </w:r>
      <w:r>
        <w:rPr>
          <w:rFonts w:hint="eastAsia"/>
          <w:highlight w:val="none"/>
        </w:rPr>
        <w:t>套装双真空保温隔热板</w:t>
      </w:r>
      <w:r>
        <w:rPr>
          <w:highlight w:val="none"/>
        </w:rPr>
        <w:t>板缝施工示意图</w:t>
      </w:r>
    </w:p>
    <w:p w14:paraId="7D88132C">
      <w:pPr>
        <w:spacing w:line="360" w:lineRule="auto"/>
        <w:jc w:val="center"/>
        <w:rPr>
          <w:color w:val="auto"/>
          <w:highlight w:val="none"/>
        </w:rPr>
      </w:pPr>
      <w:r>
        <w:rPr>
          <w:color w:val="auto"/>
          <w:highlight w:val="none"/>
        </w:rPr>
        <w:t>1-粘结砂浆；2-保温浆料； 4-</w:t>
      </w:r>
      <w:r>
        <w:rPr>
          <w:rFonts w:hint="eastAsia"/>
          <w:color w:val="auto"/>
          <w:highlight w:val="none"/>
        </w:rPr>
        <w:t>5</w:t>
      </w:r>
      <w:r>
        <w:rPr>
          <w:rFonts w:hint="eastAsia"/>
          <w:color w:val="auto"/>
          <w:highlight w:val="none"/>
        </w:rPr>
        <w:tab/>
      </w:r>
      <w:r>
        <w:rPr>
          <w:rFonts w:hint="eastAsia"/>
          <w:color w:val="auto"/>
          <w:highlight w:val="none"/>
        </w:rPr>
        <w:t>套装双真空保温隔热板</w:t>
      </w:r>
    </w:p>
    <w:p w14:paraId="73315F88">
      <w:pPr>
        <w:spacing w:line="360" w:lineRule="auto"/>
        <w:jc w:val="left"/>
        <w:rPr>
          <w:color w:val="auto"/>
          <w:highlight w:val="none"/>
        </w:rPr>
      </w:pPr>
      <w:r>
        <w:rPr>
          <w:rFonts w:ascii="仿宋_GB2312" w:eastAsia="仿宋_GB2312"/>
          <w:color w:val="auto"/>
          <w:sz w:val="24"/>
          <w:highlight w:val="none"/>
        </w:rPr>
        <w:t>【条文说明】</w:t>
      </w:r>
      <w:r>
        <w:rPr>
          <w:rFonts w:hint="eastAsia" w:ascii="仿宋_GB2312" w:eastAsia="仿宋_GB2312"/>
          <w:color w:val="auto"/>
          <w:sz w:val="24"/>
          <w:highlight w:val="none"/>
        </w:rPr>
        <w:t>6.</w:t>
      </w:r>
      <w:r>
        <w:rPr>
          <w:rFonts w:ascii="仿宋_GB2312" w:eastAsia="仿宋_GB2312"/>
          <w:color w:val="auto"/>
          <w:sz w:val="24"/>
          <w:highlight w:val="none"/>
        </w:rPr>
        <w:t xml:space="preserve">2.4  </w:t>
      </w:r>
      <w:r>
        <w:rPr>
          <w:rFonts w:hint="eastAsia" w:ascii="仿宋_GB2312" w:eastAsia="仿宋_GB2312"/>
          <w:color w:val="auto"/>
          <w:sz w:val="24"/>
          <w:highlight w:val="none"/>
        </w:rPr>
        <w:t>板缝部位的处理对整个墙体节能系统热工性能会产生较大影响。所以板缝处要用保温浆料填缝处理，以减小板缝对整个外墙外保温系统的影响。</w:t>
      </w:r>
    </w:p>
    <w:p w14:paraId="632D9796">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对于外墙上的管道等构件的连接卡子、连接件等应提前埋置好，并应在粘贴套装双真空保温隔热板前检查其位置的准确性。</w:t>
      </w:r>
    </w:p>
    <w:p w14:paraId="1A1A0EEA">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锚栓安装应符合下列规定：</w:t>
      </w:r>
    </w:p>
    <w:p w14:paraId="6F90AA02">
      <w:pPr>
        <w:pStyle w:val="27"/>
        <w:spacing w:line="360" w:lineRule="auto"/>
        <w:ind w:firstLine="482"/>
        <w:jc w:val="left"/>
        <w:outlineLvl w:val="2"/>
        <w:rPr>
          <w:b/>
          <w:color w:val="auto"/>
          <w:sz w:val="24"/>
          <w:szCs w:val="24"/>
          <w:highlight w:val="none"/>
        </w:rPr>
      </w:pPr>
      <w:r>
        <w:rPr>
          <w:b/>
          <w:color w:val="auto"/>
          <w:sz w:val="24"/>
          <w:szCs w:val="24"/>
          <w:highlight w:val="none"/>
        </w:rPr>
        <w:t xml:space="preserve">1  </w:t>
      </w:r>
      <w:r>
        <w:rPr>
          <w:bCs/>
          <w:color w:val="auto"/>
          <w:sz w:val="24"/>
          <w:szCs w:val="24"/>
          <w:highlight w:val="none"/>
        </w:rPr>
        <w:t>锚栓安装应在套装双真空保温隔热板粘贴 24h 后进行；</w:t>
      </w:r>
    </w:p>
    <w:p w14:paraId="580ED587">
      <w:pPr>
        <w:pStyle w:val="27"/>
        <w:spacing w:line="360" w:lineRule="auto"/>
        <w:ind w:firstLine="482"/>
        <w:jc w:val="left"/>
        <w:outlineLvl w:val="2"/>
        <w:rPr>
          <w:bCs/>
          <w:color w:val="auto"/>
          <w:sz w:val="24"/>
          <w:szCs w:val="24"/>
          <w:highlight w:val="none"/>
        </w:rPr>
      </w:pPr>
      <w:r>
        <w:rPr>
          <w:b/>
          <w:color w:val="auto"/>
          <w:sz w:val="24"/>
          <w:szCs w:val="24"/>
          <w:highlight w:val="none"/>
        </w:rPr>
        <w:t xml:space="preserve">2  </w:t>
      </w:r>
      <w:r>
        <w:rPr>
          <w:bCs/>
          <w:color w:val="auto"/>
          <w:sz w:val="24"/>
          <w:szCs w:val="24"/>
          <w:highlight w:val="none"/>
        </w:rPr>
        <w:t>锚栓进入混凝土基层墙体的</w:t>
      </w:r>
      <w:r>
        <w:rPr>
          <w:rFonts w:hint="eastAsia"/>
          <w:bCs/>
          <w:color w:val="auto"/>
          <w:sz w:val="24"/>
          <w:szCs w:val="24"/>
          <w:highlight w:val="none"/>
        </w:rPr>
        <w:t>有效深度应符合本规程第5.1.5条的有关规定；</w:t>
      </w:r>
    </w:p>
    <w:p w14:paraId="3D2A94F4">
      <w:pPr>
        <w:pStyle w:val="27"/>
        <w:spacing w:line="360" w:lineRule="auto"/>
        <w:ind w:firstLine="482"/>
        <w:jc w:val="left"/>
        <w:outlineLvl w:val="2"/>
        <w:rPr>
          <w:bCs/>
          <w:color w:val="auto"/>
          <w:sz w:val="24"/>
          <w:szCs w:val="24"/>
          <w:highlight w:val="none"/>
        </w:rPr>
      </w:pPr>
      <w:r>
        <w:rPr>
          <w:b/>
          <w:color w:val="auto"/>
          <w:sz w:val="24"/>
          <w:szCs w:val="24"/>
          <w:highlight w:val="none"/>
        </w:rPr>
        <w:t xml:space="preserve">3  </w:t>
      </w:r>
      <w:r>
        <w:rPr>
          <w:bCs/>
          <w:color w:val="auto"/>
          <w:sz w:val="24"/>
          <w:szCs w:val="24"/>
          <w:highlight w:val="none"/>
        </w:rPr>
        <w:t>锚栓类型和钻头直径应按现行行业标准《</w:t>
      </w:r>
      <w:r>
        <w:rPr>
          <w:rFonts w:hint="eastAsia"/>
          <w:bCs/>
          <w:color w:val="auto"/>
          <w:sz w:val="24"/>
          <w:szCs w:val="24"/>
          <w:highlight w:val="none"/>
          <w:lang w:eastAsia="zh-CN"/>
        </w:rPr>
        <w:t>外墙保温用锚栓</w:t>
      </w:r>
      <w:r>
        <w:rPr>
          <w:bCs/>
          <w:color w:val="auto"/>
          <w:sz w:val="24"/>
          <w:szCs w:val="24"/>
          <w:highlight w:val="none"/>
        </w:rPr>
        <w:t>》</w:t>
      </w:r>
      <w:r>
        <w:rPr>
          <w:rFonts w:hint="eastAsia"/>
          <w:bCs/>
          <w:color w:val="auto"/>
          <w:sz w:val="24"/>
          <w:szCs w:val="24"/>
          <w:highlight w:val="none"/>
          <w:lang w:eastAsia="zh-CN"/>
        </w:rPr>
        <w:t>JG/T 366</w:t>
      </w:r>
      <w:r>
        <w:rPr>
          <w:bCs/>
          <w:color w:val="auto"/>
          <w:sz w:val="24"/>
          <w:szCs w:val="24"/>
          <w:highlight w:val="none"/>
        </w:rPr>
        <w:t>的要求进行选择，钻孔深度应大于锚固深度10mm，基层墙体为加气混凝土时不应使用电锤和冲击电钻；</w:t>
      </w:r>
    </w:p>
    <w:p w14:paraId="671269F4">
      <w:pPr>
        <w:pStyle w:val="27"/>
        <w:spacing w:line="360" w:lineRule="auto"/>
        <w:ind w:firstLine="482"/>
        <w:jc w:val="left"/>
        <w:outlineLvl w:val="2"/>
        <w:rPr>
          <w:bCs/>
          <w:color w:val="auto"/>
          <w:sz w:val="24"/>
          <w:szCs w:val="24"/>
          <w:highlight w:val="none"/>
        </w:rPr>
      </w:pPr>
      <w:r>
        <w:rPr>
          <w:b/>
          <w:color w:val="auto"/>
          <w:sz w:val="24"/>
          <w:szCs w:val="24"/>
          <w:highlight w:val="none"/>
        </w:rPr>
        <w:t>4</w:t>
      </w:r>
      <w:r>
        <w:rPr>
          <w:bCs/>
          <w:color w:val="auto"/>
          <w:sz w:val="24"/>
          <w:szCs w:val="24"/>
          <w:highlight w:val="none"/>
        </w:rPr>
        <w:t xml:space="preserve">  锚栓应位于玻纤网外侧，锚栓的安装数量、固定位置及圆盘位置应满足设计要求，门窗洞口、阳角边缘应适当增加1～2个锚固件进行加固处理；</w:t>
      </w:r>
    </w:p>
    <w:p w14:paraId="57DF18E2">
      <w:pPr>
        <w:pStyle w:val="27"/>
        <w:spacing w:line="360" w:lineRule="auto"/>
        <w:ind w:firstLine="482"/>
        <w:jc w:val="left"/>
        <w:outlineLvl w:val="2"/>
        <w:rPr>
          <w:bCs/>
          <w:color w:val="auto"/>
          <w:sz w:val="24"/>
          <w:szCs w:val="24"/>
          <w:highlight w:val="none"/>
        </w:rPr>
      </w:pPr>
      <w:r>
        <w:rPr>
          <w:b/>
          <w:color w:val="auto"/>
          <w:sz w:val="24"/>
          <w:szCs w:val="24"/>
          <w:highlight w:val="none"/>
        </w:rPr>
        <w:t xml:space="preserve">5  </w:t>
      </w:r>
      <w:r>
        <w:rPr>
          <w:bCs/>
          <w:color w:val="auto"/>
          <w:sz w:val="24"/>
          <w:szCs w:val="24"/>
          <w:highlight w:val="none"/>
        </w:rPr>
        <w:t>锚栓安装好后，应进行现场锚固力拉拔试验。</w:t>
      </w:r>
    </w:p>
    <w:p w14:paraId="22370FFF">
      <w:pPr>
        <w:spacing w:line="360" w:lineRule="auto"/>
        <w:rPr>
          <w:rFonts w:ascii="仿宋_GB2312" w:eastAsia="仿宋_GB2312"/>
          <w:color w:val="auto"/>
          <w:sz w:val="24"/>
          <w:highlight w:val="none"/>
        </w:rPr>
      </w:pPr>
      <w:r>
        <w:rPr>
          <w:rFonts w:ascii="仿宋_GB2312" w:eastAsia="仿宋_GB2312"/>
          <w:color w:val="auto"/>
          <w:sz w:val="24"/>
          <w:highlight w:val="none"/>
        </w:rPr>
        <w:t>【条文说明】</w:t>
      </w:r>
      <w:r>
        <w:rPr>
          <w:rFonts w:hint="eastAsia" w:ascii="仿宋_GB2312" w:eastAsia="仿宋_GB2312"/>
          <w:color w:val="auto"/>
          <w:sz w:val="24"/>
          <w:highlight w:val="none"/>
        </w:rPr>
        <w:t>6.</w:t>
      </w:r>
      <w:r>
        <w:rPr>
          <w:rFonts w:ascii="仿宋_GB2312" w:eastAsia="仿宋_GB2312"/>
          <w:color w:val="auto"/>
          <w:sz w:val="24"/>
          <w:highlight w:val="none"/>
        </w:rPr>
        <w:t xml:space="preserve">2.6  </w:t>
      </w:r>
      <w:r>
        <w:rPr>
          <w:rFonts w:hint="eastAsia" w:ascii="仿宋_GB2312" w:eastAsia="仿宋_GB2312"/>
          <w:color w:val="auto"/>
          <w:sz w:val="24"/>
          <w:highlight w:val="none"/>
        </w:rPr>
        <w:t>钻孔直径大会造成锚栓在基层墙体内的抗拉承载力降低，应注意钻头直径与锚栓套管直径相匹配。加气混凝土强度低，使用电锤和冲击电钻会造成钻孔直径扩大、钻孔周围加气混凝土破坏等情况，因此当基层墙体材料为加气混凝土时，不得使用电锤和冲击电钻。</w:t>
      </w:r>
    </w:p>
    <w:p w14:paraId="42D54FF4">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抹面层施工应符合下列规定：</w:t>
      </w:r>
    </w:p>
    <w:p w14:paraId="1446B6AD">
      <w:pPr>
        <w:spacing w:line="360" w:lineRule="auto"/>
        <w:ind w:firstLine="482" w:firstLineChars="200"/>
        <w:outlineLvl w:val="2"/>
        <w:rPr>
          <w:bCs/>
          <w:color w:val="auto"/>
          <w:sz w:val="24"/>
          <w:szCs w:val="24"/>
          <w:highlight w:val="none"/>
        </w:rPr>
      </w:pPr>
      <w:r>
        <w:rPr>
          <w:b/>
          <w:color w:val="auto"/>
          <w:sz w:val="24"/>
          <w:szCs w:val="24"/>
          <w:highlight w:val="none"/>
        </w:rPr>
        <w:t>1</w:t>
      </w:r>
      <w:r>
        <w:rPr>
          <w:bCs/>
          <w:color w:val="auto"/>
          <w:sz w:val="24"/>
          <w:szCs w:val="24"/>
          <w:highlight w:val="none"/>
        </w:rPr>
        <w:t xml:space="preserve">  抹面层施工宜在套装双真空保温隔热板粘贴完毕24h后进行。</w:t>
      </w:r>
    </w:p>
    <w:p w14:paraId="20F1BAA7">
      <w:pPr>
        <w:spacing w:line="360" w:lineRule="auto"/>
        <w:ind w:firstLine="482" w:firstLineChars="200"/>
        <w:outlineLvl w:val="2"/>
        <w:rPr>
          <w:bCs/>
          <w:color w:val="auto"/>
          <w:sz w:val="24"/>
          <w:szCs w:val="24"/>
          <w:highlight w:val="none"/>
        </w:rPr>
      </w:pPr>
      <w:r>
        <w:rPr>
          <w:b/>
          <w:color w:val="auto"/>
          <w:sz w:val="24"/>
          <w:szCs w:val="24"/>
          <w:highlight w:val="none"/>
        </w:rPr>
        <w:t xml:space="preserve">2  </w:t>
      </w:r>
      <w:r>
        <w:rPr>
          <w:bCs/>
          <w:color w:val="auto"/>
          <w:sz w:val="24"/>
          <w:szCs w:val="24"/>
          <w:highlight w:val="none"/>
        </w:rPr>
        <w:t>单层网构造的抹面层</w:t>
      </w:r>
      <w:r>
        <w:rPr>
          <w:rFonts w:hint="eastAsia"/>
          <w:bCs/>
          <w:color w:val="auto"/>
          <w:sz w:val="24"/>
          <w:szCs w:val="24"/>
          <w:highlight w:val="none"/>
        </w:rPr>
        <w:t>应</w:t>
      </w:r>
      <w:r>
        <w:rPr>
          <w:rFonts w:hint="eastAsia"/>
          <w:bCs/>
          <w:color w:val="auto"/>
          <w:sz w:val="24"/>
          <w:szCs w:val="24"/>
          <w:highlight w:val="none"/>
          <w:lang w:eastAsia="zh-CN"/>
        </w:rPr>
        <w:t>分两层</w:t>
      </w:r>
      <w:r>
        <w:rPr>
          <w:bCs/>
          <w:color w:val="auto"/>
          <w:sz w:val="24"/>
          <w:szCs w:val="24"/>
          <w:highlight w:val="none"/>
        </w:rPr>
        <w:t>进行。第一道抹面胶浆厚度应为2mm～3mm，抹面胶浆初凝前压入玻纤网，并应平整无褶皱。待第一道抹面胶浆稍干硬至可以触碰时，应涂抹第二道抹面胶浆，且厚度应为1mm～2mm。抹面层总厚度应为3mm</w:t>
      </w:r>
      <w:r>
        <w:rPr>
          <w:rFonts w:hint="eastAsia"/>
          <w:bCs/>
          <w:color w:val="auto"/>
          <w:sz w:val="24"/>
          <w:szCs w:val="24"/>
          <w:highlight w:val="none"/>
          <w:lang w:eastAsia="zh-CN"/>
        </w:rPr>
        <w:t>～</w:t>
      </w:r>
      <w:r>
        <w:rPr>
          <w:bCs/>
          <w:color w:val="auto"/>
          <w:sz w:val="24"/>
          <w:szCs w:val="24"/>
          <w:highlight w:val="none"/>
        </w:rPr>
        <w:t>5mm。</w:t>
      </w:r>
    </w:p>
    <w:p w14:paraId="590D757D">
      <w:pPr>
        <w:pStyle w:val="27"/>
        <w:spacing w:line="360" w:lineRule="auto"/>
        <w:ind w:firstLine="482"/>
        <w:outlineLvl w:val="2"/>
        <w:rPr>
          <w:bCs/>
          <w:color w:val="auto"/>
          <w:sz w:val="24"/>
          <w:szCs w:val="24"/>
          <w:highlight w:val="none"/>
        </w:rPr>
      </w:pPr>
      <w:r>
        <w:rPr>
          <w:b/>
          <w:color w:val="auto"/>
          <w:sz w:val="24"/>
          <w:szCs w:val="24"/>
          <w:highlight w:val="none"/>
        </w:rPr>
        <w:t xml:space="preserve">3  </w:t>
      </w:r>
      <w:r>
        <w:rPr>
          <w:bCs/>
          <w:color w:val="auto"/>
          <w:sz w:val="24"/>
          <w:szCs w:val="24"/>
          <w:highlight w:val="none"/>
        </w:rPr>
        <w:t>双层网构造的抹面层</w:t>
      </w:r>
      <w:r>
        <w:rPr>
          <w:rFonts w:hint="eastAsia"/>
          <w:bCs/>
          <w:color w:val="auto"/>
          <w:sz w:val="24"/>
          <w:szCs w:val="24"/>
          <w:highlight w:val="none"/>
        </w:rPr>
        <w:t>应</w:t>
      </w:r>
      <w:r>
        <w:rPr>
          <w:bCs/>
          <w:color w:val="auto"/>
          <w:sz w:val="24"/>
          <w:szCs w:val="24"/>
          <w:highlight w:val="none"/>
        </w:rPr>
        <w:t>分三层进行。第一道抹面胶浆厚度应为2mm～3mm，抹面胶浆初凝前压入玻纤网，并应平整无褶皱。待第一道抹面胶浆稍干硬至可以触碰时，应涂抹第二道抹面胶浆，且厚度</w:t>
      </w:r>
      <w:r>
        <w:rPr>
          <w:rFonts w:hint="eastAsia"/>
          <w:bCs/>
          <w:color w:val="auto"/>
          <w:sz w:val="24"/>
          <w:szCs w:val="24"/>
          <w:highlight w:val="none"/>
        </w:rPr>
        <w:t>为</w:t>
      </w:r>
      <w:r>
        <w:rPr>
          <w:bCs/>
          <w:color w:val="auto"/>
          <w:sz w:val="24"/>
          <w:szCs w:val="24"/>
          <w:highlight w:val="none"/>
        </w:rPr>
        <w:t>2mm～3mm左右；抹面胶浆初凝前</w:t>
      </w:r>
      <w:r>
        <w:rPr>
          <w:rFonts w:hint="eastAsia"/>
          <w:bCs/>
          <w:color w:val="auto"/>
          <w:sz w:val="24"/>
          <w:szCs w:val="24"/>
          <w:highlight w:val="none"/>
        </w:rPr>
        <w:t>应</w:t>
      </w:r>
      <w:r>
        <w:rPr>
          <w:bCs/>
          <w:color w:val="auto"/>
          <w:sz w:val="24"/>
          <w:szCs w:val="24"/>
          <w:highlight w:val="none"/>
        </w:rPr>
        <w:t>压入面层玻纤网；待第二道抹面胶浆稍干硬至可以触碰时，应涂抹第三道抹面胶浆，且厚度应为2mm</w:t>
      </w:r>
      <w:r>
        <w:rPr>
          <w:rFonts w:hint="eastAsia"/>
          <w:bCs/>
          <w:color w:val="auto"/>
          <w:sz w:val="24"/>
          <w:szCs w:val="24"/>
          <w:highlight w:val="none"/>
        </w:rPr>
        <w:t>左右</w:t>
      </w:r>
      <w:r>
        <w:rPr>
          <w:bCs/>
          <w:color w:val="auto"/>
          <w:sz w:val="24"/>
          <w:szCs w:val="24"/>
          <w:highlight w:val="none"/>
        </w:rPr>
        <w:t>。抹面层总厚度应为6mm</w:t>
      </w:r>
      <w:r>
        <w:rPr>
          <w:rFonts w:hint="eastAsia"/>
          <w:bCs/>
          <w:color w:val="auto"/>
          <w:sz w:val="24"/>
          <w:szCs w:val="24"/>
          <w:highlight w:val="none"/>
          <w:lang w:eastAsia="zh-CN"/>
        </w:rPr>
        <w:t>～</w:t>
      </w:r>
      <w:r>
        <w:rPr>
          <w:bCs/>
          <w:color w:val="auto"/>
          <w:sz w:val="24"/>
          <w:szCs w:val="24"/>
          <w:highlight w:val="none"/>
        </w:rPr>
        <w:t>8mm。</w:t>
      </w:r>
    </w:p>
    <w:p w14:paraId="6E790E70">
      <w:pPr>
        <w:pStyle w:val="27"/>
        <w:spacing w:line="360" w:lineRule="auto"/>
        <w:ind w:firstLine="482"/>
        <w:outlineLvl w:val="2"/>
        <w:rPr>
          <w:bCs/>
          <w:color w:val="auto"/>
          <w:sz w:val="24"/>
          <w:szCs w:val="24"/>
          <w:highlight w:val="none"/>
        </w:rPr>
      </w:pPr>
      <w:r>
        <w:rPr>
          <w:b/>
          <w:color w:val="auto"/>
          <w:sz w:val="24"/>
          <w:szCs w:val="24"/>
          <w:highlight w:val="none"/>
        </w:rPr>
        <w:t xml:space="preserve">4  </w:t>
      </w:r>
      <w:r>
        <w:rPr>
          <w:bCs/>
          <w:color w:val="auto"/>
          <w:sz w:val="24"/>
          <w:szCs w:val="24"/>
          <w:highlight w:val="none"/>
        </w:rPr>
        <w:t>首层墙面应铺贴双层玻纤网，面层玻纤网应搭接，底层玻纤网应对接，对接点不应在阴阳角处且偏离阴阳角不应小于200mm；两层玻纤网之间应饱满，玻纤网不应干贴。</w:t>
      </w:r>
    </w:p>
    <w:p w14:paraId="5BC3769C">
      <w:pPr>
        <w:pStyle w:val="27"/>
        <w:spacing w:line="360" w:lineRule="auto"/>
        <w:ind w:firstLine="482"/>
        <w:outlineLvl w:val="2"/>
        <w:rPr>
          <w:bCs/>
          <w:color w:val="auto"/>
          <w:sz w:val="24"/>
          <w:szCs w:val="24"/>
          <w:highlight w:val="none"/>
        </w:rPr>
      </w:pPr>
      <w:r>
        <w:rPr>
          <w:b/>
          <w:color w:val="auto"/>
          <w:sz w:val="24"/>
          <w:szCs w:val="24"/>
          <w:highlight w:val="none"/>
        </w:rPr>
        <w:t xml:space="preserve">5  </w:t>
      </w:r>
      <w:r>
        <w:rPr>
          <w:bCs/>
          <w:color w:val="auto"/>
          <w:sz w:val="24"/>
          <w:szCs w:val="24"/>
          <w:highlight w:val="none"/>
        </w:rPr>
        <w:t>阴阳角部位加强可采用400mm宽玻纤网，且墙体阴阳角两侧玻纤网应各为200mm。</w:t>
      </w:r>
    </w:p>
    <w:p w14:paraId="2A6F8596">
      <w:pPr>
        <w:pStyle w:val="27"/>
        <w:spacing w:line="360" w:lineRule="auto"/>
        <w:ind w:firstLine="482"/>
        <w:outlineLvl w:val="2"/>
        <w:rPr>
          <w:bCs/>
          <w:color w:val="auto"/>
          <w:sz w:val="24"/>
          <w:szCs w:val="24"/>
          <w:highlight w:val="none"/>
        </w:rPr>
      </w:pPr>
      <w:r>
        <w:rPr>
          <w:b/>
          <w:color w:val="auto"/>
          <w:sz w:val="24"/>
          <w:szCs w:val="24"/>
          <w:highlight w:val="none"/>
        </w:rPr>
        <w:t xml:space="preserve">6  </w:t>
      </w:r>
      <w:r>
        <w:rPr>
          <w:bCs/>
          <w:color w:val="auto"/>
          <w:sz w:val="24"/>
          <w:szCs w:val="24"/>
          <w:highlight w:val="none"/>
        </w:rPr>
        <w:t>在外墙阳角处第一道抹面胶浆完成后，抹面胶浆初凝前应按挂线把护角、鹰嘴粘在墙上均匀挤压，护角条上的玻纤网应同时压入抹面胶浆内，抹面胶浆应从护角的孔中挤出，并应把多余胶浆刮平，第二道胶浆应把护角完全埋入抹面胶浆中。</w:t>
      </w:r>
    </w:p>
    <w:p w14:paraId="3AC181B0">
      <w:pPr>
        <w:pStyle w:val="27"/>
        <w:spacing w:line="360" w:lineRule="auto"/>
        <w:ind w:firstLine="482"/>
        <w:outlineLvl w:val="2"/>
        <w:rPr>
          <w:bCs/>
          <w:color w:val="auto"/>
          <w:sz w:val="24"/>
          <w:szCs w:val="24"/>
          <w:highlight w:val="none"/>
        </w:rPr>
      </w:pPr>
      <w:r>
        <w:rPr>
          <w:b/>
          <w:color w:val="auto"/>
          <w:sz w:val="24"/>
          <w:szCs w:val="24"/>
          <w:highlight w:val="none"/>
        </w:rPr>
        <w:t xml:space="preserve">7  </w:t>
      </w:r>
      <w:r>
        <w:rPr>
          <w:bCs/>
          <w:color w:val="auto"/>
          <w:sz w:val="24"/>
          <w:szCs w:val="24"/>
          <w:highlight w:val="none"/>
        </w:rPr>
        <w:t>门窗洞口周边的玻纤网应翻出墙面100mm，并应在门窗洞口四角处应在套装双真空保温隔热板保温层表面沿45°方向增贴 300mm×400mm 的玻纤网；且增贴玻纤网应置于大面玻纤网内侧（6.2.7）。</w:t>
      </w:r>
    </w:p>
    <w:p w14:paraId="2AC657F5">
      <w:pPr>
        <w:spacing w:line="360" w:lineRule="auto"/>
        <w:ind w:firstLine="482" w:firstLineChars="200"/>
        <w:outlineLvl w:val="2"/>
        <w:rPr>
          <w:b/>
          <w:color w:val="auto"/>
          <w:sz w:val="24"/>
          <w:szCs w:val="24"/>
          <w:highlight w:val="none"/>
        </w:rPr>
      </w:pPr>
      <w:r>
        <w:rPr>
          <w:b/>
          <w:color w:val="auto"/>
          <w:sz w:val="24"/>
          <w:szCs w:val="24"/>
          <w:highlight w:val="none"/>
        </w:rPr>
        <w:t xml:space="preserve">8 </w:t>
      </w:r>
      <w:r>
        <w:rPr>
          <w:bCs/>
          <w:color w:val="auto"/>
          <w:sz w:val="24"/>
          <w:szCs w:val="24"/>
          <w:highlight w:val="none"/>
        </w:rPr>
        <w:t xml:space="preserve"> 在套装双真空保温隔热板安装起始部位及门窗洞口、女儿墙等收口部位应进行翻包处理，翻包玻纤网长度不应小于100mm。</w:t>
      </w:r>
    </w:p>
    <w:p w14:paraId="69C5CC0C">
      <w:pPr>
        <w:spacing w:line="360" w:lineRule="auto"/>
        <w:ind w:firstLine="482" w:firstLineChars="200"/>
        <w:jc w:val="left"/>
        <w:outlineLvl w:val="2"/>
        <w:rPr>
          <w:bCs/>
          <w:color w:val="auto"/>
          <w:sz w:val="24"/>
          <w:szCs w:val="24"/>
          <w:highlight w:val="none"/>
        </w:rPr>
      </w:pPr>
      <w:r>
        <w:rPr>
          <w:b/>
          <w:color w:val="auto"/>
          <w:sz w:val="24"/>
          <w:szCs w:val="24"/>
          <w:highlight w:val="none"/>
        </w:rPr>
        <w:t xml:space="preserve">9  </w:t>
      </w:r>
      <w:r>
        <w:rPr>
          <w:bCs/>
          <w:color w:val="auto"/>
          <w:sz w:val="24"/>
          <w:szCs w:val="24"/>
          <w:highlight w:val="none"/>
        </w:rPr>
        <w:t>抹面胶浆施工间歇应在自然断开处。在连续墙面上的间歇处，第二道抹面胶浆不应完全覆盖已铺好的玻纤网，应与玻纤网、第一道抹面胶浆形成台阶形坡茬，留茬间距不应小于150mm。</w:t>
      </w:r>
    </w:p>
    <w:p w14:paraId="47C2D225">
      <w:pPr>
        <w:spacing w:line="360" w:lineRule="auto"/>
        <w:ind w:firstLine="482" w:firstLineChars="200"/>
        <w:outlineLvl w:val="2"/>
        <w:rPr>
          <w:bCs/>
          <w:color w:val="auto"/>
          <w:sz w:val="24"/>
          <w:szCs w:val="24"/>
          <w:highlight w:val="none"/>
        </w:rPr>
      </w:pPr>
      <w:r>
        <w:rPr>
          <w:b/>
          <w:color w:val="auto"/>
          <w:sz w:val="24"/>
          <w:szCs w:val="24"/>
          <w:highlight w:val="none"/>
        </w:rPr>
        <w:t>10</w:t>
      </w:r>
      <w:r>
        <w:rPr>
          <w:bCs/>
          <w:color w:val="auto"/>
          <w:sz w:val="24"/>
          <w:szCs w:val="24"/>
          <w:highlight w:val="none"/>
        </w:rPr>
        <w:t xml:space="preserve">  抹面胶浆和玻纤网铺设完毕后，不得扰动，静置养护不应少于24h，完成静置养护后可进行下一道工序的施工。在寒冷潮湿气候条件下，应延长养护时间。</w:t>
      </w:r>
    </w:p>
    <w:p w14:paraId="727A61BB">
      <w:pPr>
        <w:spacing w:line="360" w:lineRule="auto"/>
        <w:jc w:val="center"/>
        <w:rPr>
          <w:color w:val="auto"/>
          <w:sz w:val="24"/>
          <w:szCs w:val="24"/>
          <w:highlight w:val="none"/>
        </w:rPr>
      </w:pPr>
      <w:r>
        <w:rPr>
          <w:color w:val="auto"/>
          <w:highlight w:val="none"/>
        </w:rPr>
        <w:object>
          <v:shape id="_x0000_i1057" o:spt="75" type="#_x0000_t75" style="height:100.9pt;width:279.9pt;" o:ole="t" filled="f" o:preferrelative="t" stroked="f" coordsize="21600,21600">
            <v:path/>
            <v:fill on="f" focussize="0,0"/>
            <v:stroke on="f" joinstyle="miter"/>
            <v:imagedata r:id="rId78" o:title=""/>
            <o:lock v:ext="edit" aspectratio="t"/>
            <w10:wrap type="none"/>
            <w10:anchorlock/>
          </v:shape>
          <o:OLEObject Type="Embed" ProgID="AutoCAD.Drawing.17" ShapeID="_x0000_i1057" DrawAspect="Content" ObjectID="_1468075757" r:id="rId77">
            <o:LockedField>false</o:LockedField>
          </o:OLEObject>
        </w:object>
      </w:r>
    </w:p>
    <w:p w14:paraId="56EF4F97">
      <w:pPr>
        <w:spacing w:line="360" w:lineRule="auto"/>
        <w:jc w:val="center"/>
        <w:rPr>
          <w:color w:val="auto"/>
          <w:sz w:val="21"/>
          <w:szCs w:val="21"/>
          <w:highlight w:val="none"/>
        </w:rPr>
      </w:pPr>
      <w:r>
        <w:rPr>
          <w:color w:val="auto"/>
          <w:sz w:val="21"/>
          <w:szCs w:val="21"/>
          <w:highlight w:val="none"/>
        </w:rPr>
        <w:t>图6.2.7  门窗洞口玻纤网加强示意图</w:t>
      </w:r>
    </w:p>
    <w:p w14:paraId="305B910C">
      <w:pPr>
        <w:spacing w:line="360" w:lineRule="auto"/>
        <w:jc w:val="center"/>
        <w:rPr>
          <w:bCs/>
          <w:color w:val="auto"/>
          <w:sz w:val="21"/>
          <w:szCs w:val="21"/>
          <w:highlight w:val="none"/>
        </w:rPr>
      </w:pPr>
      <w:r>
        <w:rPr>
          <w:color w:val="auto"/>
          <w:sz w:val="21"/>
          <w:szCs w:val="21"/>
          <w:highlight w:val="none"/>
        </w:rPr>
        <w:t>1-套装双真空保温隔热板；2-附加玻纤网；3-</w:t>
      </w:r>
      <w:r>
        <w:rPr>
          <w:rFonts w:hint="eastAsia"/>
          <w:color w:val="auto"/>
          <w:sz w:val="21"/>
          <w:szCs w:val="21"/>
          <w:highlight w:val="none"/>
        </w:rPr>
        <w:t>玻纤网</w:t>
      </w:r>
      <w:r>
        <w:rPr>
          <w:color w:val="auto"/>
          <w:sz w:val="21"/>
          <w:szCs w:val="21"/>
          <w:highlight w:val="none"/>
        </w:rPr>
        <w:t>翻包；4-</w:t>
      </w:r>
      <w:r>
        <w:rPr>
          <w:rFonts w:hint="eastAsia"/>
          <w:color w:val="auto"/>
          <w:sz w:val="21"/>
          <w:szCs w:val="21"/>
          <w:highlight w:val="none"/>
        </w:rPr>
        <w:t>玻纤网</w:t>
      </w:r>
      <w:r>
        <w:rPr>
          <w:color w:val="auto"/>
          <w:sz w:val="21"/>
          <w:szCs w:val="21"/>
          <w:highlight w:val="none"/>
        </w:rPr>
        <w:t>搭接；5-</w:t>
      </w:r>
      <w:r>
        <w:rPr>
          <w:rFonts w:hint="eastAsia"/>
          <w:color w:val="auto"/>
          <w:sz w:val="21"/>
          <w:szCs w:val="21"/>
          <w:highlight w:val="none"/>
        </w:rPr>
        <w:t>玻纤网</w:t>
      </w:r>
    </w:p>
    <w:p w14:paraId="3FF43416">
      <w:pPr>
        <w:spacing w:line="360" w:lineRule="auto"/>
        <w:jc w:val="left"/>
        <w:rPr>
          <w:bCs/>
          <w:color w:val="auto"/>
          <w:sz w:val="24"/>
          <w:szCs w:val="24"/>
          <w:highlight w:val="none"/>
        </w:rPr>
      </w:pPr>
      <w:r>
        <w:rPr>
          <w:rFonts w:ascii="仿宋_GB2312" w:eastAsia="仿宋_GB2312"/>
          <w:color w:val="auto"/>
          <w:sz w:val="24"/>
          <w:highlight w:val="none"/>
        </w:rPr>
        <w:t>【条文说明】</w:t>
      </w:r>
      <w:r>
        <w:rPr>
          <w:rFonts w:hint="eastAsia" w:ascii="仿宋_GB2312" w:eastAsia="仿宋_GB2312"/>
          <w:color w:val="auto"/>
          <w:sz w:val="24"/>
          <w:highlight w:val="none"/>
        </w:rPr>
        <w:t>6.</w:t>
      </w:r>
      <w:r>
        <w:rPr>
          <w:rFonts w:ascii="仿宋_GB2312" w:eastAsia="仿宋_GB2312"/>
          <w:color w:val="auto"/>
          <w:sz w:val="24"/>
          <w:highlight w:val="none"/>
        </w:rPr>
        <w:t xml:space="preserve">2.7  </w:t>
      </w:r>
      <w:r>
        <w:rPr>
          <w:rFonts w:hint="eastAsia" w:ascii="仿宋_GB2312" w:eastAsia="仿宋_GB2312"/>
          <w:color w:val="auto"/>
          <w:sz w:val="24"/>
          <w:highlight w:val="none"/>
        </w:rPr>
        <w:t>粘贴好真空绝热板24小时后应立即粘贴玻纤网，避免在空气中放置时间过长对板材造成破坏；抹面胶浆与玻纤网的相对位置，第一道抹面胶浆应以覆盖玻纤网、微见轮廓为宜；第二道抹面胶浆应以完全覆盖玻纤网为宜，且不得形成空鼓。阳角增设角网有利于转折处保持挺直，提高工效，也有利于防止受力损坏。抹面砂浆应保证不低于厚度下限，并完全覆盖锚栓压盘，防止锚栓处发生开裂。粘贴翻包玻纤网的作用是加强对套装双真空保温隔热板边角部位的粘结，防止虚粘或翘起。</w:t>
      </w:r>
    </w:p>
    <w:p w14:paraId="5AE501DF">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所有穿墙管线与构件，其出口部位应进行防水密封；各施工工序不得破坏套装双真空保温隔热板。</w:t>
      </w:r>
    </w:p>
    <w:p w14:paraId="16EA2CBF">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涂料饰面应按照现行行业标准《建筑涂饰工程施工及验收规程》JGJ/T 29的有关规定施工。</w:t>
      </w:r>
    </w:p>
    <w:bookmarkEnd w:id="66"/>
    <w:bookmarkEnd w:id="67"/>
    <w:p w14:paraId="110A58A7">
      <w:pPr>
        <w:pStyle w:val="27"/>
        <w:numPr>
          <w:ilvl w:val="1"/>
          <w:numId w:val="2"/>
        </w:numPr>
        <w:spacing w:line="240" w:lineRule="auto"/>
        <w:ind w:left="567" w:hanging="567" w:firstLineChars="0"/>
        <w:jc w:val="center"/>
        <w:outlineLvl w:val="1"/>
        <w:rPr>
          <w:rFonts w:hint="eastAsia"/>
          <w:b/>
          <w:color w:val="auto"/>
          <w:sz w:val="28"/>
          <w:szCs w:val="24"/>
          <w:highlight w:val="none"/>
        </w:rPr>
      </w:pPr>
      <w:bookmarkStart w:id="68" w:name="_Toc20439"/>
      <w:bookmarkStart w:id="69" w:name="_Toc439075204"/>
      <w:bookmarkStart w:id="70" w:name="_Toc439329050"/>
      <w:bookmarkStart w:id="71" w:name="_Toc436041297"/>
      <w:bookmarkStart w:id="72" w:name="_Toc436040387"/>
      <w:bookmarkStart w:id="73" w:name="_Toc141875150"/>
      <w:bookmarkStart w:id="74" w:name="_Toc476815842"/>
      <w:r>
        <w:rPr>
          <w:rFonts w:hint="eastAsia"/>
          <w:b/>
          <w:color w:val="auto"/>
          <w:sz w:val="28"/>
          <w:szCs w:val="24"/>
          <w:highlight w:val="none"/>
        </w:rPr>
        <w:t>非透明幕墙套装双真空保温隔热板薄抹灰外墙外保温工程</w:t>
      </w:r>
      <w:bookmarkEnd w:id="68"/>
    </w:p>
    <w:p w14:paraId="5F312943">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非透明幕墙套装双真空保温隔热板薄抹灰外墙外保温工程的放线，粘结砂浆与抹面砂浆配置，套装双真空保温隔热板粘贴以及抹面层施工应符合本规程第6</w:t>
      </w:r>
      <w:r>
        <w:rPr>
          <w:bCs/>
          <w:color w:val="auto"/>
          <w:sz w:val="24"/>
          <w:szCs w:val="24"/>
          <w:highlight w:val="none"/>
        </w:rPr>
        <w:t>.2</w:t>
      </w:r>
      <w:r>
        <w:rPr>
          <w:rFonts w:hint="eastAsia"/>
          <w:bCs/>
          <w:color w:val="auto"/>
          <w:sz w:val="24"/>
          <w:szCs w:val="24"/>
          <w:highlight w:val="none"/>
        </w:rPr>
        <w:t>节的有关规定，其中抹面层施工应按照单层玻纤网构造的抹面层进行施工。</w:t>
      </w:r>
    </w:p>
    <w:p w14:paraId="76516132">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非透明幕墙套装双真空保温隔热板薄抹灰外墙外保温系统的施工应在幕墙承力结构安装完毕验收合格后进行。</w:t>
      </w:r>
    </w:p>
    <w:p w14:paraId="451F3FB2">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非透明幕墙套装双真空保温隔热板薄抹灰外墙外保温系统施工过程中应采取可靠的防护措施，不应损伤幕墙</w:t>
      </w:r>
      <w:r>
        <w:rPr>
          <w:rFonts w:hint="eastAsia"/>
          <w:bCs/>
          <w:color w:val="auto"/>
          <w:sz w:val="24"/>
          <w:szCs w:val="24"/>
          <w:highlight w:val="none"/>
          <w:lang w:eastAsia="zh-CN"/>
        </w:rPr>
        <w:t>结构</w:t>
      </w:r>
      <w:r>
        <w:rPr>
          <w:rFonts w:hint="eastAsia"/>
          <w:bCs/>
          <w:color w:val="auto"/>
          <w:sz w:val="24"/>
          <w:szCs w:val="24"/>
          <w:highlight w:val="none"/>
        </w:rPr>
        <w:t>股和</w:t>
      </w:r>
      <w:r>
        <w:rPr>
          <w:rFonts w:hint="eastAsia"/>
          <w:bCs/>
          <w:color w:val="auto"/>
          <w:sz w:val="24"/>
          <w:szCs w:val="24"/>
          <w:highlight w:val="none"/>
          <w:lang w:eastAsia="zh-CN"/>
        </w:rPr>
        <w:t>幕墙</w:t>
      </w:r>
      <w:r>
        <w:rPr>
          <w:rFonts w:hint="eastAsia"/>
          <w:bCs/>
          <w:color w:val="auto"/>
          <w:sz w:val="24"/>
          <w:szCs w:val="24"/>
          <w:highlight w:val="none"/>
        </w:rPr>
        <w:t>金属构架的防腐层。</w:t>
      </w:r>
    </w:p>
    <w:p w14:paraId="3F953B57">
      <w:pPr>
        <w:pStyle w:val="27"/>
        <w:numPr>
          <w:ilvl w:val="1"/>
          <w:numId w:val="2"/>
        </w:numPr>
        <w:ind w:left="567" w:firstLineChars="0"/>
        <w:jc w:val="center"/>
        <w:outlineLvl w:val="1"/>
        <w:rPr>
          <w:b/>
          <w:bCs w:val="0"/>
          <w:color w:val="auto"/>
          <w:sz w:val="28"/>
          <w:szCs w:val="24"/>
          <w:highlight w:val="none"/>
        </w:rPr>
      </w:pPr>
      <w:bookmarkStart w:id="75" w:name="_Toc8030"/>
      <w:r>
        <w:rPr>
          <w:b/>
          <w:bCs w:val="0"/>
          <w:color w:val="auto"/>
          <w:sz w:val="28"/>
          <w:szCs w:val="24"/>
          <w:highlight w:val="none"/>
        </w:rPr>
        <w:t>套装双真空保温隔热板薄抹灰外墙内保温工程</w:t>
      </w:r>
      <w:bookmarkEnd w:id="69"/>
      <w:bookmarkEnd w:id="70"/>
      <w:bookmarkEnd w:id="71"/>
      <w:bookmarkEnd w:id="72"/>
      <w:bookmarkEnd w:id="73"/>
      <w:bookmarkEnd w:id="74"/>
      <w:bookmarkEnd w:id="75"/>
    </w:p>
    <w:p w14:paraId="5071CFA1">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套装双真空保温隔热板薄抹灰外墙内保温工程应根据实际尺寸并结合线路接线盒、洞口尺寸和位置，从一端开始向另一端进行排板。</w:t>
      </w:r>
    </w:p>
    <w:p w14:paraId="54884C64">
      <w:pPr>
        <w:spacing w:line="360" w:lineRule="auto"/>
        <w:jc w:val="left"/>
        <w:rPr>
          <w:rFonts w:ascii="仿宋_GB2312" w:eastAsia="仿宋_GB2312"/>
          <w:color w:val="auto"/>
          <w:sz w:val="24"/>
          <w:highlight w:val="none"/>
        </w:rPr>
      </w:pPr>
      <w:r>
        <w:rPr>
          <w:rFonts w:hint="eastAsia" w:ascii="仿宋_GB2312" w:eastAsia="仿宋_GB2312"/>
          <w:color w:val="auto"/>
          <w:sz w:val="24"/>
          <w:highlight w:val="none"/>
        </w:rPr>
        <w:t>【条文说明】6</w:t>
      </w:r>
      <w:r>
        <w:rPr>
          <w:rFonts w:ascii="仿宋_GB2312" w:eastAsia="仿宋_GB2312"/>
          <w:color w:val="auto"/>
          <w:sz w:val="24"/>
          <w:highlight w:val="none"/>
        </w:rPr>
        <w:t>.4.1</w:t>
      </w:r>
      <w:r>
        <w:rPr>
          <w:rFonts w:hint="eastAsia" w:ascii="仿宋_GB2312" w:eastAsia="仿宋_GB2312"/>
          <w:color w:val="auto"/>
          <w:sz w:val="24"/>
          <w:highlight w:val="none"/>
        </w:rPr>
        <w:t xml:space="preserve">  弹线是为了保证保温墙面的平整度。</w:t>
      </w:r>
    </w:p>
    <w:p w14:paraId="725E6B70">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粘结砂浆的配置与使用应符合下列规定：</w:t>
      </w:r>
    </w:p>
    <w:p w14:paraId="17E5BDCF">
      <w:pPr>
        <w:pStyle w:val="27"/>
        <w:numPr>
          <w:ilvl w:val="0"/>
          <w:numId w:val="31"/>
        </w:numPr>
        <w:spacing w:line="360" w:lineRule="auto"/>
        <w:ind w:left="0" w:firstLine="480"/>
        <w:rPr>
          <w:bCs/>
          <w:color w:val="auto"/>
          <w:sz w:val="24"/>
          <w:szCs w:val="24"/>
          <w:highlight w:val="none"/>
        </w:rPr>
      </w:pPr>
      <w:r>
        <w:rPr>
          <w:bCs/>
          <w:color w:val="auto"/>
          <w:sz w:val="24"/>
          <w:szCs w:val="24"/>
          <w:highlight w:val="none"/>
        </w:rPr>
        <w:t>应严格按供应商提供的配合比和制作工艺在现场进行配制；</w:t>
      </w:r>
    </w:p>
    <w:p w14:paraId="0FDEA840">
      <w:pPr>
        <w:pStyle w:val="27"/>
        <w:numPr>
          <w:ilvl w:val="0"/>
          <w:numId w:val="31"/>
        </w:numPr>
        <w:spacing w:line="360" w:lineRule="auto"/>
        <w:ind w:left="0" w:firstLine="480"/>
        <w:rPr>
          <w:b/>
          <w:color w:val="auto"/>
          <w:sz w:val="24"/>
          <w:szCs w:val="24"/>
          <w:highlight w:val="none"/>
        </w:rPr>
      </w:pPr>
      <w:r>
        <w:rPr>
          <w:bCs/>
          <w:color w:val="auto"/>
          <w:sz w:val="24"/>
          <w:szCs w:val="24"/>
          <w:highlight w:val="none"/>
        </w:rPr>
        <w:t>配制数量应适量，应按产品说明书中的规定时间内用完，如没有明确规定，则应视现场环境气温条件控制2h内用完。</w:t>
      </w:r>
    </w:p>
    <w:p w14:paraId="7CC041BE">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在门窗洞口四周、墙身等部位的套装双真空保温隔热板端部，应预埋翻包玻纤网，翻包部分宽度为100mm，翻折部分宽度不小于150mm。首先在翻包部位抹长度为100mm、厚度为2mm的专用粘结砂浆，然后压入100mm长的玻纤网，余下的留出，待粘贴完玻纤网后翻折备用。</w:t>
      </w:r>
    </w:p>
    <w:p w14:paraId="1F13CE7A">
      <w:pPr>
        <w:pStyle w:val="27"/>
        <w:spacing w:line="360" w:lineRule="auto"/>
        <w:ind w:firstLine="0" w:firstLineChars="0"/>
        <w:jc w:val="left"/>
        <w:rPr>
          <w:rFonts w:ascii="仿宋_GB2312" w:eastAsia="仿宋_GB2312"/>
          <w:color w:val="auto"/>
          <w:sz w:val="24"/>
          <w:highlight w:val="none"/>
        </w:rPr>
      </w:pPr>
      <w:r>
        <w:rPr>
          <w:rFonts w:hint="eastAsia" w:ascii="仿宋_GB2312" w:eastAsia="仿宋_GB2312"/>
          <w:color w:val="auto"/>
          <w:sz w:val="24"/>
          <w:highlight w:val="none"/>
        </w:rPr>
        <w:t>【条文说明】6</w:t>
      </w:r>
      <w:r>
        <w:rPr>
          <w:rFonts w:ascii="仿宋_GB2312" w:eastAsia="仿宋_GB2312"/>
          <w:color w:val="auto"/>
          <w:sz w:val="24"/>
          <w:highlight w:val="none"/>
        </w:rPr>
        <w:t>.4.3</w:t>
      </w:r>
      <w:r>
        <w:rPr>
          <w:rFonts w:hint="eastAsia" w:ascii="仿宋_GB2312" w:eastAsia="仿宋_GB2312"/>
          <w:color w:val="auto"/>
          <w:sz w:val="24"/>
          <w:highlight w:val="none"/>
        </w:rPr>
        <w:t xml:space="preserve">  由于门窗位置容易受到外力破坏</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rPr>
        <w:t>玻纤网翻包可以增强保温层的局部强度. 有利于保护保温层边界，同时翻包也解决了门窗洞口部位玻纤网搭接的问题</w:t>
      </w:r>
      <w:r>
        <w:rPr>
          <w:rFonts w:hint="eastAsia" w:ascii="仿宋_GB2312" w:eastAsia="仿宋_GB2312"/>
          <w:color w:val="auto"/>
          <w:sz w:val="24"/>
          <w:highlight w:val="none"/>
          <w:lang w:eastAsia="zh-CN"/>
        </w:rPr>
        <w:t>，</w:t>
      </w:r>
      <w:r>
        <w:rPr>
          <w:rFonts w:hint="eastAsia" w:ascii="仿宋_GB2312" w:eastAsia="仿宋_GB2312"/>
          <w:color w:val="auto"/>
          <w:sz w:val="24"/>
          <w:highlight w:val="none"/>
        </w:rPr>
        <w:t>减少了应力的集中，提高抗裂性能。</w:t>
      </w:r>
    </w:p>
    <w:p w14:paraId="3CE34A94">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套装双真空保温隔热板的粘贴应符合下列规定：</w:t>
      </w:r>
    </w:p>
    <w:p w14:paraId="3500E834">
      <w:pPr>
        <w:pStyle w:val="27"/>
        <w:numPr>
          <w:ilvl w:val="0"/>
          <w:numId w:val="32"/>
        </w:numPr>
        <w:spacing w:line="360" w:lineRule="auto"/>
        <w:ind w:left="0" w:firstLine="480"/>
        <w:rPr>
          <w:bCs/>
          <w:color w:val="auto"/>
          <w:sz w:val="24"/>
          <w:szCs w:val="24"/>
          <w:highlight w:val="none"/>
        </w:rPr>
      </w:pPr>
      <w:r>
        <w:rPr>
          <w:bCs/>
          <w:color w:val="auto"/>
          <w:sz w:val="24"/>
          <w:szCs w:val="24"/>
          <w:highlight w:val="none"/>
        </w:rPr>
        <w:t>粘结砂浆涂抹面积不应小于80%；</w:t>
      </w:r>
    </w:p>
    <w:p w14:paraId="2C9F12CC">
      <w:pPr>
        <w:pStyle w:val="27"/>
        <w:numPr>
          <w:ilvl w:val="0"/>
          <w:numId w:val="32"/>
        </w:numPr>
        <w:spacing w:line="360" w:lineRule="auto"/>
        <w:ind w:left="0" w:firstLine="480"/>
        <w:rPr>
          <w:bCs/>
          <w:color w:val="auto"/>
          <w:sz w:val="24"/>
          <w:szCs w:val="24"/>
          <w:highlight w:val="none"/>
        </w:rPr>
      </w:pPr>
      <w:r>
        <w:rPr>
          <w:bCs/>
          <w:color w:val="auto"/>
          <w:sz w:val="24"/>
          <w:szCs w:val="24"/>
          <w:highlight w:val="none"/>
        </w:rPr>
        <w:t>板的侧面不得涂抹粘结砂浆。粘贴时应轻揉套装双真空保温隔热板，均匀挤压粘结砂浆。板与板之间要挤紧，板缝宽度不应大于2mm；</w:t>
      </w:r>
    </w:p>
    <w:p w14:paraId="1FBD608A">
      <w:pPr>
        <w:pStyle w:val="27"/>
        <w:numPr>
          <w:ilvl w:val="0"/>
          <w:numId w:val="32"/>
        </w:numPr>
        <w:spacing w:line="360" w:lineRule="auto"/>
        <w:ind w:left="0" w:firstLine="480"/>
        <w:rPr>
          <w:bCs/>
          <w:color w:val="auto"/>
          <w:sz w:val="24"/>
          <w:szCs w:val="24"/>
          <w:highlight w:val="none"/>
        </w:rPr>
      </w:pPr>
      <w:r>
        <w:rPr>
          <w:bCs/>
          <w:color w:val="auto"/>
          <w:sz w:val="24"/>
          <w:szCs w:val="24"/>
          <w:highlight w:val="none"/>
        </w:rPr>
        <w:t>套装双真空保温隔热板粘贴后立即用2m靠尺和托线板检查，再次贴紧挤压均匀以调整板面的平整度和垂直度，并清除板边溢出的粘结砂浆；</w:t>
      </w:r>
    </w:p>
    <w:p w14:paraId="5EF89338">
      <w:pPr>
        <w:pStyle w:val="27"/>
        <w:numPr>
          <w:ilvl w:val="0"/>
          <w:numId w:val="32"/>
        </w:numPr>
        <w:spacing w:line="360" w:lineRule="auto"/>
        <w:ind w:left="0" w:firstLine="480"/>
        <w:rPr>
          <w:bCs/>
          <w:color w:val="auto"/>
          <w:sz w:val="24"/>
          <w:szCs w:val="24"/>
          <w:highlight w:val="none"/>
        </w:rPr>
      </w:pPr>
      <w:r>
        <w:rPr>
          <w:bCs/>
          <w:color w:val="auto"/>
          <w:sz w:val="24"/>
          <w:szCs w:val="24"/>
          <w:highlight w:val="none"/>
        </w:rPr>
        <w:t>套装双真空保温隔热板应自下而上沿水平方向横向铺贴，每排板最小错缝不应小于100mm；</w:t>
      </w:r>
    </w:p>
    <w:p w14:paraId="13375C4E">
      <w:pPr>
        <w:pStyle w:val="27"/>
        <w:numPr>
          <w:ilvl w:val="0"/>
          <w:numId w:val="32"/>
        </w:numPr>
        <w:spacing w:line="360" w:lineRule="auto"/>
        <w:ind w:left="0" w:firstLine="480"/>
        <w:rPr>
          <w:bCs/>
          <w:color w:val="auto"/>
          <w:sz w:val="24"/>
          <w:szCs w:val="24"/>
          <w:highlight w:val="none"/>
        </w:rPr>
      </w:pPr>
      <w:r>
        <w:rPr>
          <w:bCs/>
          <w:color w:val="auto"/>
          <w:sz w:val="24"/>
          <w:szCs w:val="24"/>
          <w:highlight w:val="none"/>
        </w:rPr>
        <w:t>阳角处的套装双真空保温隔热板应事先排好尺寸，使其在竖向交错连接，并保证阳角处的垂直度。门窗洞口的阳角处，应先弹出垂直基准线。</w:t>
      </w:r>
    </w:p>
    <w:p w14:paraId="5ACC6B31">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配制抹面胶浆应严格按供应商提供的配合比和制作工艺在现场进行配制。单次配制量不宜过多，并应根据现场环境气温条件控制在规定的时间内用完，不应超过2h。</w:t>
      </w:r>
    </w:p>
    <w:p w14:paraId="219F5A11">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粘贴套装双真空保温隔热板24h后可分层抹面、铺设玻纤网，并应符合以下规定：</w:t>
      </w:r>
    </w:p>
    <w:p w14:paraId="3E390C42">
      <w:pPr>
        <w:pStyle w:val="27"/>
        <w:numPr>
          <w:ilvl w:val="0"/>
          <w:numId w:val="33"/>
        </w:numPr>
        <w:spacing w:line="360" w:lineRule="auto"/>
        <w:ind w:left="0" w:firstLine="480"/>
        <w:rPr>
          <w:bCs/>
          <w:color w:val="auto"/>
          <w:sz w:val="24"/>
          <w:szCs w:val="24"/>
          <w:highlight w:val="none"/>
        </w:rPr>
      </w:pPr>
      <w:r>
        <w:rPr>
          <w:bCs/>
          <w:color w:val="auto"/>
          <w:sz w:val="24"/>
          <w:szCs w:val="24"/>
          <w:highlight w:val="none"/>
        </w:rPr>
        <w:t>应在抹底层抹面砂浆后再安装护角；</w:t>
      </w:r>
    </w:p>
    <w:p w14:paraId="0DDE41B8">
      <w:pPr>
        <w:pStyle w:val="27"/>
        <w:numPr>
          <w:ilvl w:val="0"/>
          <w:numId w:val="33"/>
        </w:numPr>
        <w:spacing w:line="360" w:lineRule="auto"/>
        <w:ind w:left="0" w:firstLine="480"/>
        <w:rPr>
          <w:bCs/>
          <w:color w:val="auto"/>
          <w:sz w:val="24"/>
          <w:szCs w:val="24"/>
          <w:highlight w:val="none"/>
        </w:rPr>
      </w:pPr>
      <w:r>
        <w:rPr>
          <w:bCs/>
          <w:color w:val="auto"/>
          <w:sz w:val="24"/>
          <w:szCs w:val="24"/>
          <w:highlight w:val="none"/>
        </w:rPr>
        <w:t>玻纤网搭接宽度不应小于100mm，铺设不应皱褶、空鼓或者翘边；</w:t>
      </w:r>
    </w:p>
    <w:p w14:paraId="782E75D8">
      <w:pPr>
        <w:pStyle w:val="27"/>
        <w:numPr>
          <w:ilvl w:val="0"/>
          <w:numId w:val="33"/>
        </w:numPr>
        <w:spacing w:line="360" w:lineRule="auto"/>
        <w:ind w:left="0" w:firstLine="480"/>
        <w:rPr>
          <w:bCs/>
          <w:color w:val="auto"/>
          <w:sz w:val="24"/>
          <w:szCs w:val="24"/>
          <w:highlight w:val="none"/>
        </w:rPr>
      </w:pPr>
      <w:r>
        <w:rPr>
          <w:bCs/>
          <w:color w:val="auto"/>
          <w:sz w:val="24"/>
          <w:szCs w:val="24"/>
          <w:highlight w:val="none"/>
        </w:rPr>
        <w:t>门窗洞口四角应按设计要求铺设45°斜向的加强玻纤网；</w:t>
      </w:r>
    </w:p>
    <w:p w14:paraId="34B0D7E7">
      <w:pPr>
        <w:pStyle w:val="27"/>
        <w:numPr>
          <w:ilvl w:val="0"/>
          <w:numId w:val="33"/>
        </w:numPr>
        <w:spacing w:line="360" w:lineRule="auto"/>
        <w:ind w:left="0" w:firstLine="480"/>
        <w:rPr>
          <w:bCs/>
          <w:color w:val="auto"/>
          <w:sz w:val="24"/>
          <w:szCs w:val="24"/>
          <w:highlight w:val="none"/>
        </w:rPr>
      </w:pPr>
      <w:r>
        <w:rPr>
          <w:bCs/>
          <w:color w:val="auto"/>
          <w:sz w:val="24"/>
          <w:szCs w:val="24"/>
          <w:highlight w:val="none"/>
        </w:rPr>
        <w:t>门窗洞口和保温板端部网格布的翻包和搭接宽度应满足设计要求；</w:t>
      </w:r>
    </w:p>
    <w:p w14:paraId="422FD966">
      <w:pPr>
        <w:pStyle w:val="27"/>
        <w:numPr>
          <w:ilvl w:val="0"/>
          <w:numId w:val="33"/>
        </w:numPr>
        <w:spacing w:line="360" w:lineRule="auto"/>
        <w:ind w:left="0" w:firstLine="480"/>
        <w:rPr>
          <w:bCs/>
          <w:color w:val="auto"/>
          <w:sz w:val="24"/>
          <w:szCs w:val="24"/>
          <w:highlight w:val="none"/>
        </w:rPr>
      </w:pPr>
      <w:r>
        <w:rPr>
          <w:bCs/>
          <w:color w:val="auto"/>
          <w:sz w:val="24"/>
          <w:szCs w:val="24"/>
          <w:highlight w:val="none"/>
        </w:rPr>
        <w:t>墙身阴阳角部位两侧的玻纤网应绕角搭接，搭接宽度不应小于150mm。</w:t>
      </w:r>
    </w:p>
    <w:p w14:paraId="53743455">
      <w:pPr>
        <w:spacing w:line="360" w:lineRule="auto"/>
        <w:rPr>
          <w:bCs/>
          <w:color w:val="auto"/>
          <w:sz w:val="24"/>
          <w:szCs w:val="24"/>
          <w:highlight w:val="none"/>
        </w:rPr>
      </w:pPr>
      <w:r>
        <w:rPr>
          <w:rFonts w:hint="eastAsia" w:ascii="仿宋_GB2312" w:eastAsia="仿宋_GB2312"/>
          <w:color w:val="auto"/>
          <w:sz w:val="24"/>
          <w:highlight w:val="none"/>
        </w:rPr>
        <w:t>【条文说明】6</w:t>
      </w:r>
      <w:r>
        <w:rPr>
          <w:rFonts w:ascii="仿宋_GB2312" w:eastAsia="仿宋_GB2312"/>
          <w:color w:val="auto"/>
          <w:sz w:val="24"/>
          <w:highlight w:val="none"/>
        </w:rPr>
        <w:t>.4.6</w:t>
      </w:r>
      <w:r>
        <w:rPr>
          <w:rFonts w:hint="eastAsia" w:ascii="仿宋_GB2312" w:eastAsia="仿宋_GB2312"/>
          <w:color w:val="auto"/>
          <w:sz w:val="24"/>
          <w:highlight w:val="none"/>
        </w:rPr>
        <w:t xml:space="preserve">  为增加阳角部位的强度，并避免两种材料之间的开裂问题，阳角部位用粉刷石膏抹灰做好阳角的垂直，可以使用金属护角保护。</w:t>
      </w:r>
    </w:p>
    <w:p w14:paraId="6B532D1C">
      <w:pPr>
        <w:pStyle w:val="27"/>
        <w:numPr>
          <w:ilvl w:val="1"/>
          <w:numId w:val="2"/>
        </w:numPr>
        <w:ind w:left="567" w:firstLineChars="0"/>
        <w:jc w:val="center"/>
        <w:outlineLvl w:val="1"/>
        <w:rPr>
          <w:b/>
          <w:bCs w:val="0"/>
          <w:color w:val="auto"/>
          <w:sz w:val="28"/>
          <w:szCs w:val="24"/>
          <w:highlight w:val="none"/>
        </w:rPr>
      </w:pPr>
      <w:bookmarkStart w:id="76" w:name="_Toc427881443"/>
      <w:bookmarkStart w:id="77" w:name="_Toc427918732"/>
      <w:bookmarkStart w:id="78" w:name="_Toc436040388"/>
      <w:bookmarkStart w:id="79" w:name="_Toc476815843"/>
      <w:bookmarkStart w:id="80" w:name="_Toc439075205"/>
      <w:bookmarkStart w:id="81" w:name="_Toc141875151"/>
      <w:bookmarkStart w:id="82" w:name="_Toc436041298"/>
      <w:bookmarkStart w:id="83" w:name="_Toc11159"/>
      <w:bookmarkStart w:id="84" w:name="_Toc439329051"/>
      <w:r>
        <w:rPr>
          <w:b/>
          <w:bCs w:val="0"/>
          <w:color w:val="auto"/>
          <w:sz w:val="28"/>
          <w:szCs w:val="24"/>
          <w:highlight w:val="none"/>
        </w:rPr>
        <w:t>套装双真空保温隔热装饰板外墙外保温</w:t>
      </w:r>
      <w:bookmarkEnd w:id="76"/>
      <w:bookmarkEnd w:id="77"/>
      <w:r>
        <w:rPr>
          <w:b/>
          <w:bCs w:val="0"/>
          <w:color w:val="auto"/>
          <w:sz w:val="28"/>
          <w:szCs w:val="24"/>
          <w:highlight w:val="none"/>
        </w:rPr>
        <w:t>工程</w:t>
      </w:r>
      <w:bookmarkEnd w:id="78"/>
      <w:bookmarkEnd w:id="79"/>
      <w:bookmarkEnd w:id="80"/>
      <w:bookmarkEnd w:id="81"/>
      <w:bookmarkEnd w:id="82"/>
      <w:bookmarkEnd w:id="83"/>
      <w:bookmarkEnd w:id="84"/>
    </w:p>
    <w:p w14:paraId="4A783DBE">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分格线应根据建筑立面设计和排板图弹出，并应对墙面和套装双真空保温隔热装饰板进行准确测量、精确排板。弹性分隔应符合下列规定：</w:t>
      </w:r>
    </w:p>
    <w:p w14:paraId="1E0D1D36">
      <w:pPr>
        <w:pStyle w:val="27"/>
        <w:numPr>
          <w:ilvl w:val="0"/>
          <w:numId w:val="34"/>
        </w:numPr>
        <w:spacing w:line="360" w:lineRule="auto"/>
        <w:ind w:left="0" w:firstLine="480"/>
        <w:rPr>
          <w:bCs/>
          <w:color w:val="auto"/>
          <w:sz w:val="24"/>
          <w:szCs w:val="24"/>
          <w:highlight w:val="none"/>
        </w:rPr>
      </w:pPr>
      <w:r>
        <w:rPr>
          <w:bCs/>
          <w:color w:val="auto"/>
          <w:sz w:val="24"/>
          <w:szCs w:val="24"/>
          <w:highlight w:val="none"/>
        </w:rPr>
        <w:t>在建筑外墙阳角、阴角处应挂垂直基准线；</w:t>
      </w:r>
    </w:p>
    <w:p w14:paraId="56364157">
      <w:pPr>
        <w:pStyle w:val="27"/>
        <w:numPr>
          <w:ilvl w:val="0"/>
          <w:numId w:val="34"/>
        </w:numPr>
        <w:spacing w:line="360" w:lineRule="auto"/>
        <w:ind w:left="0" w:firstLine="480"/>
        <w:rPr>
          <w:bCs/>
          <w:color w:val="auto"/>
          <w:sz w:val="24"/>
          <w:szCs w:val="24"/>
          <w:highlight w:val="none"/>
        </w:rPr>
      </w:pPr>
      <w:r>
        <w:rPr>
          <w:bCs/>
          <w:color w:val="auto"/>
          <w:sz w:val="24"/>
          <w:szCs w:val="24"/>
          <w:highlight w:val="none"/>
        </w:rPr>
        <w:t>每个楼层适当位置应挂水平线；</w:t>
      </w:r>
    </w:p>
    <w:p w14:paraId="1FDC74A1">
      <w:pPr>
        <w:pStyle w:val="27"/>
        <w:numPr>
          <w:ilvl w:val="0"/>
          <w:numId w:val="34"/>
        </w:numPr>
        <w:spacing w:line="360" w:lineRule="auto"/>
        <w:ind w:left="0" w:firstLine="480"/>
        <w:rPr>
          <w:bCs/>
          <w:color w:val="auto"/>
          <w:sz w:val="24"/>
          <w:szCs w:val="24"/>
          <w:highlight w:val="none"/>
        </w:rPr>
      </w:pPr>
      <w:r>
        <w:rPr>
          <w:bCs/>
          <w:color w:val="auto"/>
          <w:sz w:val="24"/>
          <w:szCs w:val="24"/>
          <w:highlight w:val="none"/>
        </w:rPr>
        <w:t>应按照设计排板图的分隔方案，弹出每块板的安装控制线，确定接缝宽度，并制作统一塞尺；</w:t>
      </w:r>
    </w:p>
    <w:p w14:paraId="45C3853D">
      <w:pPr>
        <w:pStyle w:val="27"/>
        <w:numPr>
          <w:ilvl w:val="0"/>
          <w:numId w:val="34"/>
        </w:numPr>
        <w:spacing w:line="360" w:lineRule="auto"/>
        <w:ind w:left="0" w:firstLine="480"/>
        <w:rPr>
          <w:bCs/>
          <w:color w:val="auto"/>
          <w:sz w:val="24"/>
          <w:szCs w:val="24"/>
          <w:highlight w:val="none"/>
        </w:rPr>
      </w:pPr>
      <w:r>
        <w:rPr>
          <w:bCs/>
          <w:color w:val="auto"/>
          <w:sz w:val="24"/>
          <w:szCs w:val="24"/>
          <w:highlight w:val="none"/>
        </w:rPr>
        <w:t>应根据实际弹线情况，结合设计排板图，出具相对应每块板的实际尺寸和详细构造图清单。</w:t>
      </w:r>
    </w:p>
    <w:p w14:paraId="289AC734">
      <w:pPr>
        <w:spacing w:line="360" w:lineRule="auto"/>
        <w:rPr>
          <w:bCs/>
          <w:color w:val="auto"/>
          <w:sz w:val="24"/>
          <w:szCs w:val="24"/>
          <w:highlight w:val="none"/>
        </w:rPr>
      </w:pPr>
      <w:r>
        <w:rPr>
          <w:rFonts w:hint="eastAsia" w:ascii="仿宋_GB2312" w:eastAsia="仿宋_GB2312"/>
          <w:color w:val="auto"/>
          <w:sz w:val="24"/>
          <w:highlight w:val="none"/>
        </w:rPr>
        <w:t>【条文说明】6</w:t>
      </w:r>
      <w:r>
        <w:rPr>
          <w:rFonts w:ascii="仿宋_GB2312" w:eastAsia="仿宋_GB2312"/>
          <w:color w:val="auto"/>
          <w:sz w:val="24"/>
          <w:highlight w:val="none"/>
        </w:rPr>
        <w:t>.5.1</w:t>
      </w:r>
      <w:r>
        <w:rPr>
          <w:rFonts w:hint="eastAsia" w:ascii="仿宋_GB2312" w:eastAsia="仿宋_GB2312"/>
          <w:color w:val="auto"/>
          <w:sz w:val="24"/>
          <w:highlight w:val="none"/>
        </w:rPr>
        <w:t xml:space="preserve">  现场的分格弹线来体现排版图的设计效果，是保证施工质量的重要前提，是不可缺少的重要一步，实施过程中应严格控制此项工作的落实情况。</w:t>
      </w:r>
    </w:p>
    <w:p w14:paraId="5B31006D">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套装双真空保温隔热装饰板应按预先的排板、编号进行，安装从勒脚部位开始，自下而上，沿水平方向铺设安装。</w:t>
      </w:r>
    </w:p>
    <w:p w14:paraId="41D784FB">
      <w:pPr>
        <w:spacing w:line="360" w:lineRule="auto"/>
        <w:jc w:val="left"/>
        <w:rPr>
          <w:bCs/>
          <w:color w:val="auto"/>
          <w:sz w:val="24"/>
          <w:szCs w:val="24"/>
          <w:highlight w:val="none"/>
        </w:rPr>
      </w:pPr>
      <w:r>
        <w:rPr>
          <w:rFonts w:hint="eastAsia" w:ascii="仿宋_GB2312" w:eastAsia="仿宋_GB2312"/>
          <w:color w:val="auto"/>
          <w:sz w:val="24"/>
          <w:highlight w:val="none"/>
        </w:rPr>
        <w:t>【条文说明】</w:t>
      </w:r>
      <w:r>
        <w:rPr>
          <w:rFonts w:ascii="仿宋_GB2312" w:eastAsia="仿宋_GB2312"/>
          <w:color w:val="auto"/>
          <w:sz w:val="24"/>
          <w:highlight w:val="none"/>
        </w:rPr>
        <w:t xml:space="preserve">6.5.2 </w:t>
      </w:r>
      <w:r>
        <w:rPr>
          <w:rFonts w:hint="eastAsia" w:ascii="仿宋_GB2312" w:eastAsia="仿宋_GB2312"/>
          <w:color w:val="auto"/>
          <w:sz w:val="24"/>
          <w:highlight w:val="none"/>
        </w:rPr>
        <w:t>套装双真空保温隔热装饰板</w:t>
      </w:r>
      <w:r>
        <w:rPr>
          <w:rFonts w:ascii="仿宋_GB2312" w:eastAsia="仿宋_GB2312"/>
          <w:color w:val="auto"/>
          <w:sz w:val="24"/>
          <w:highlight w:val="none"/>
        </w:rPr>
        <w:t>粘锚法施工的粘贴顺序进行说明，是为了保证整体效果。对</w:t>
      </w:r>
      <w:r>
        <w:rPr>
          <w:rFonts w:hint="eastAsia" w:ascii="仿宋_GB2312" w:eastAsia="仿宋_GB2312"/>
          <w:color w:val="auto"/>
          <w:sz w:val="24"/>
          <w:highlight w:val="none"/>
        </w:rPr>
        <w:t>套装双真空保温隔热装饰板</w:t>
      </w:r>
      <w:r>
        <w:rPr>
          <w:rFonts w:ascii="仿宋_GB2312" w:eastAsia="仿宋_GB2312"/>
          <w:color w:val="auto"/>
          <w:sz w:val="24"/>
          <w:highlight w:val="none"/>
        </w:rPr>
        <w:t>粘贴方法进行说明，防止损坏漏气而影响质量。</w:t>
      </w:r>
    </w:p>
    <w:p w14:paraId="5820C84B">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套装双真空保温隔热装饰板的粘贴应符合下列规定：</w:t>
      </w:r>
    </w:p>
    <w:p w14:paraId="2C44D190">
      <w:pPr>
        <w:pStyle w:val="27"/>
        <w:numPr>
          <w:ilvl w:val="0"/>
          <w:numId w:val="35"/>
        </w:numPr>
        <w:spacing w:line="360" w:lineRule="auto"/>
        <w:ind w:left="0" w:firstLine="480"/>
        <w:rPr>
          <w:bCs/>
          <w:color w:val="auto"/>
          <w:sz w:val="24"/>
          <w:szCs w:val="24"/>
          <w:highlight w:val="none"/>
        </w:rPr>
      </w:pPr>
      <w:r>
        <w:rPr>
          <w:bCs/>
          <w:color w:val="auto"/>
          <w:sz w:val="24"/>
          <w:szCs w:val="24"/>
          <w:highlight w:val="none"/>
        </w:rPr>
        <w:t>套装双真空保温隔热装饰板与基层墙体的粘贴可采用条粘法，有效粘结面积应满足设计要求；</w:t>
      </w:r>
    </w:p>
    <w:p w14:paraId="56BBEEF4">
      <w:pPr>
        <w:pStyle w:val="27"/>
        <w:numPr>
          <w:ilvl w:val="0"/>
          <w:numId w:val="35"/>
        </w:numPr>
        <w:spacing w:line="360" w:lineRule="auto"/>
        <w:ind w:left="0" w:firstLine="480"/>
        <w:rPr>
          <w:bCs/>
          <w:color w:val="auto"/>
          <w:sz w:val="24"/>
          <w:szCs w:val="24"/>
          <w:highlight w:val="none"/>
        </w:rPr>
      </w:pPr>
      <w:r>
        <w:rPr>
          <w:bCs/>
          <w:color w:val="auto"/>
          <w:sz w:val="24"/>
          <w:szCs w:val="24"/>
          <w:highlight w:val="none"/>
        </w:rPr>
        <w:t>套装双真空保温隔热装饰板粘贴的平整度、垂直度应满足设计要求，每贴完一块板，应及时清理挤出的砂浆；</w:t>
      </w:r>
    </w:p>
    <w:p w14:paraId="4CC7CAD2">
      <w:pPr>
        <w:pStyle w:val="27"/>
        <w:numPr>
          <w:ilvl w:val="0"/>
          <w:numId w:val="35"/>
        </w:numPr>
        <w:spacing w:line="360" w:lineRule="auto"/>
        <w:ind w:left="0" w:firstLine="480"/>
        <w:rPr>
          <w:bCs/>
          <w:color w:val="auto"/>
          <w:sz w:val="24"/>
          <w:szCs w:val="24"/>
          <w:highlight w:val="none"/>
        </w:rPr>
      </w:pPr>
      <w:r>
        <w:rPr>
          <w:bCs/>
          <w:color w:val="auto"/>
          <w:sz w:val="24"/>
          <w:szCs w:val="24"/>
          <w:highlight w:val="none"/>
        </w:rPr>
        <w:t>板与板之间的缝隙宽度应满足设计要求，并应均匀一致；</w:t>
      </w:r>
    </w:p>
    <w:p w14:paraId="4570A60F">
      <w:pPr>
        <w:pStyle w:val="27"/>
        <w:numPr>
          <w:ilvl w:val="0"/>
          <w:numId w:val="35"/>
        </w:numPr>
        <w:spacing w:line="360" w:lineRule="auto"/>
        <w:ind w:left="0" w:firstLine="480"/>
        <w:rPr>
          <w:bCs/>
          <w:color w:val="auto"/>
          <w:sz w:val="24"/>
          <w:szCs w:val="24"/>
          <w:highlight w:val="none"/>
        </w:rPr>
      </w:pPr>
      <w:r>
        <w:rPr>
          <w:bCs/>
          <w:color w:val="auto"/>
          <w:sz w:val="24"/>
          <w:szCs w:val="24"/>
          <w:highlight w:val="none"/>
        </w:rPr>
        <w:t>在外墙外表面边缘部位，当整块真空绝热保温装饰板不能完全覆盖保温部位时，可采用其他保温材料的保温装饰板进行粘贴。</w:t>
      </w:r>
    </w:p>
    <w:p w14:paraId="512F240B">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套装双真空保温隔热装饰板的锚固应符合下列规定：</w:t>
      </w:r>
    </w:p>
    <w:p w14:paraId="1EE52B6B">
      <w:pPr>
        <w:pStyle w:val="27"/>
        <w:numPr>
          <w:ilvl w:val="0"/>
          <w:numId w:val="36"/>
        </w:numPr>
        <w:spacing w:line="360" w:lineRule="auto"/>
        <w:ind w:left="0" w:firstLine="480"/>
        <w:rPr>
          <w:bCs/>
          <w:color w:val="auto"/>
          <w:sz w:val="24"/>
          <w:szCs w:val="24"/>
          <w:highlight w:val="none"/>
        </w:rPr>
      </w:pPr>
      <w:r>
        <w:rPr>
          <w:bCs/>
          <w:color w:val="auto"/>
          <w:sz w:val="24"/>
          <w:szCs w:val="24"/>
          <w:highlight w:val="none"/>
        </w:rPr>
        <w:t>套装双真空保温隔热装饰板粘贴完成后应按设计要求进行锚固组件安装；</w:t>
      </w:r>
    </w:p>
    <w:p w14:paraId="50C38052">
      <w:pPr>
        <w:pStyle w:val="27"/>
        <w:numPr>
          <w:ilvl w:val="0"/>
          <w:numId w:val="36"/>
        </w:numPr>
        <w:spacing w:line="360" w:lineRule="auto"/>
        <w:ind w:left="0" w:firstLine="480"/>
        <w:rPr>
          <w:bCs/>
          <w:color w:val="auto"/>
          <w:sz w:val="24"/>
          <w:szCs w:val="24"/>
          <w:highlight w:val="none"/>
        </w:rPr>
      </w:pPr>
      <w:r>
        <w:rPr>
          <w:bCs/>
          <w:color w:val="auto"/>
          <w:sz w:val="24"/>
          <w:szCs w:val="24"/>
          <w:highlight w:val="none"/>
        </w:rPr>
        <w:t>锚固组件应固定于墙体上，并拧紧膨胀螺栓，锚固组件与基层应锚固牢固，旋入式锚栓应用专用电钻拧紧，不得将锚栓敲入墙内；</w:t>
      </w:r>
    </w:p>
    <w:p w14:paraId="0683B38F">
      <w:pPr>
        <w:pStyle w:val="27"/>
        <w:numPr>
          <w:ilvl w:val="0"/>
          <w:numId w:val="36"/>
        </w:numPr>
        <w:spacing w:line="360" w:lineRule="auto"/>
        <w:ind w:left="0" w:firstLine="480"/>
        <w:rPr>
          <w:bCs/>
          <w:color w:val="auto"/>
          <w:sz w:val="24"/>
          <w:szCs w:val="24"/>
          <w:highlight w:val="none"/>
        </w:rPr>
      </w:pPr>
      <w:r>
        <w:rPr>
          <w:bCs/>
          <w:color w:val="auto"/>
          <w:sz w:val="24"/>
          <w:szCs w:val="24"/>
          <w:highlight w:val="none"/>
        </w:rPr>
        <w:t>锚固组件的钻孔深度应大于锚杆长度，安装锚栓有效深度应符合本规程第5.1.5条的有关规定；</w:t>
      </w:r>
    </w:p>
    <w:p w14:paraId="36563F0E">
      <w:pPr>
        <w:pStyle w:val="27"/>
        <w:numPr>
          <w:ilvl w:val="0"/>
          <w:numId w:val="36"/>
        </w:numPr>
        <w:spacing w:line="360" w:lineRule="auto"/>
        <w:ind w:left="0" w:firstLine="480"/>
        <w:rPr>
          <w:bCs/>
          <w:color w:val="auto"/>
          <w:sz w:val="24"/>
          <w:szCs w:val="24"/>
          <w:highlight w:val="none"/>
        </w:rPr>
      </w:pPr>
      <w:r>
        <w:rPr>
          <w:bCs/>
          <w:color w:val="auto"/>
          <w:sz w:val="24"/>
          <w:szCs w:val="24"/>
          <w:highlight w:val="none"/>
        </w:rPr>
        <w:t>锚固组件应与套装双真空保温隔热装饰板紧贴，套装双真空保温隔热装饰板应按预留余量调整到位后固定套装双真空保温隔热装饰板，且锚固组件间固定应均匀受力。</w:t>
      </w:r>
    </w:p>
    <w:p w14:paraId="4A656CC0">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套装双真空保温隔热装饰板接缝施工应符合下列规定：</w:t>
      </w:r>
    </w:p>
    <w:p w14:paraId="67F57A86">
      <w:pPr>
        <w:pStyle w:val="27"/>
        <w:numPr>
          <w:ilvl w:val="0"/>
          <w:numId w:val="37"/>
        </w:numPr>
        <w:spacing w:line="360" w:lineRule="auto"/>
        <w:ind w:left="0" w:firstLine="480"/>
        <w:rPr>
          <w:bCs/>
          <w:color w:val="auto"/>
          <w:sz w:val="24"/>
          <w:szCs w:val="24"/>
          <w:highlight w:val="none"/>
        </w:rPr>
      </w:pPr>
      <w:r>
        <w:rPr>
          <w:bCs/>
          <w:color w:val="auto"/>
          <w:sz w:val="24"/>
          <w:szCs w:val="24"/>
          <w:highlight w:val="none"/>
        </w:rPr>
        <w:t>粘结砂浆待干燥后，套装双真空保温隔热装饰板板缝处应进行密封处理。处理前应清洁板缝及周边部位，并应在板缝中嵌入填缝材料，沿板缝两侧粘贴美纹纸，挤注密封胶；</w:t>
      </w:r>
    </w:p>
    <w:p w14:paraId="0F55D6C8">
      <w:pPr>
        <w:pStyle w:val="27"/>
        <w:numPr>
          <w:ilvl w:val="0"/>
          <w:numId w:val="37"/>
        </w:numPr>
        <w:spacing w:line="360" w:lineRule="auto"/>
        <w:ind w:left="0" w:firstLine="480"/>
        <w:rPr>
          <w:bCs/>
          <w:color w:val="auto"/>
          <w:sz w:val="24"/>
          <w:szCs w:val="24"/>
          <w:highlight w:val="none"/>
        </w:rPr>
      </w:pPr>
      <w:r>
        <w:rPr>
          <w:bCs/>
          <w:color w:val="auto"/>
          <w:sz w:val="24"/>
          <w:szCs w:val="24"/>
          <w:highlight w:val="none"/>
        </w:rPr>
        <w:t>应根据板间间隙的大小，选择合适的嵌缝条，填实板间间隙，嵌缝条与板面深度宜为3mm～5mm。填塞深度应平直一致、无重叠，遇挂件断开时碰头缝应严密无缝隙；</w:t>
      </w:r>
    </w:p>
    <w:p w14:paraId="2A6B28AE">
      <w:pPr>
        <w:pStyle w:val="27"/>
        <w:numPr>
          <w:ilvl w:val="0"/>
          <w:numId w:val="37"/>
        </w:numPr>
        <w:spacing w:line="360" w:lineRule="auto"/>
        <w:ind w:left="0" w:firstLine="480"/>
        <w:rPr>
          <w:bCs/>
          <w:color w:val="auto"/>
          <w:sz w:val="24"/>
          <w:szCs w:val="24"/>
          <w:highlight w:val="none"/>
        </w:rPr>
      </w:pPr>
      <w:r>
        <w:rPr>
          <w:bCs/>
          <w:color w:val="auto"/>
          <w:sz w:val="24"/>
          <w:szCs w:val="24"/>
          <w:highlight w:val="none"/>
        </w:rPr>
        <w:t>待打胶的套装双真空保温隔热装饰板缝隙及其周边部位应进行打扫、清洁，不得有灰尘、油污、积水和其他污染物；</w:t>
      </w:r>
    </w:p>
    <w:p w14:paraId="24D1B45F">
      <w:pPr>
        <w:pStyle w:val="27"/>
        <w:numPr>
          <w:ilvl w:val="0"/>
          <w:numId w:val="37"/>
        </w:numPr>
        <w:spacing w:line="360" w:lineRule="auto"/>
        <w:ind w:left="0" w:firstLine="480"/>
        <w:rPr>
          <w:bCs/>
          <w:color w:val="auto"/>
          <w:sz w:val="24"/>
          <w:szCs w:val="24"/>
          <w:highlight w:val="none"/>
        </w:rPr>
      </w:pPr>
      <w:r>
        <w:rPr>
          <w:bCs/>
          <w:color w:val="auto"/>
          <w:sz w:val="24"/>
          <w:szCs w:val="24"/>
          <w:highlight w:val="none"/>
        </w:rPr>
        <w:t>打胶后应立即进行胶缝的修饰，可用有弹性的塑料板将密封胶挤入缝隙内，并将套装双真空保温隔热装饰板表面的密封胶修刮平整；</w:t>
      </w:r>
    </w:p>
    <w:p w14:paraId="56FC3DAF">
      <w:pPr>
        <w:pStyle w:val="27"/>
        <w:numPr>
          <w:ilvl w:val="0"/>
          <w:numId w:val="37"/>
        </w:numPr>
        <w:spacing w:line="360" w:lineRule="auto"/>
        <w:ind w:left="0" w:firstLine="480"/>
        <w:rPr>
          <w:bCs/>
          <w:color w:val="auto"/>
          <w:sz w:val="24"/>
          <w:szCs w:val="24"/>
          <w:highlight w:val="none"/>
        </w:rPr>
      </w:pPr>
      <w:r>
        <w:rPr>
          <w:bCs/>
          <w:color w:val="auto"/>
          <w:sz w:val="24"/>
          <w:szCs w:val="24"/>
          <w:highlight w:val="none"/>
        </w:rPr>
        <w:t>胶缝修刮完毕后可揭下美纹纸，并应妥善处理。对于覆膜板面，应在撤脚手架时揭去保护膜。</w:t>
      </w:r>
    </w:p>
    <w:p w14:paraId="272AEC09">
      <w:pPr>
        <w:tabs>
          <w:tab w:val="left" w:pos="0"/>
        </w:tabs>
        <w:spacing w:line="420" w:lineRule="exact"/>
        <w:rPr>
          <w:bCs/>
          <w:color w:val="auto"/>
          <w:sz w:val="24"/>
          <w:szCs w:val="24"/>
          <w:highlight w:val="none"/>
          <w:lang w:eastAsia="zh-TW"/>
        </w:rPr>
      </w:pPr>
      <w:r>
        <w:rPr>
          <w:rFonts w:hint="eastAsia" w:ascii="仿宋_GB2312" w:eastAsia="仿宋_GB2312"/>
          <w:color w:val="auto"/>
          <w:sz w:val="24"/>
          <w:highlight w:val="none"/>
        </w:rPr>
        <w:t>【条文说明】</w:t>
      </w:r>
      <w:r>
        <w:rPr>
          <w:rFonts w:ascii="仿宋_GB2312" w:eastAsia="仿宋_GB2312"/>
          <w:color w:val="auto"/>
          <w:sz w:val="24"/>
          <w:highlight w:val="none"/>
        </w:rPr>
        <w:t>6.5.5  为了保证</w:t>
      </w:r>
      <w:r>
        <w:rPr>
          <w:rFonts w:hint="eastAsia" w:ascii="仿宋_GB2312" w:eastAsia="仿宋_GB2312"/>
          <w:color w:val="auto"/>
          <w:sz w:val="24"/>
          <w:highlight w:val="none"/>
        </w:rPr>
        <w:t>套装双真空保温隔热装饰板</w:t>
      </w:r>
      <w:r>
        <w:rPr>
          <w:rFonts w:ascii="仿宋_GB2312" w:eastAsia="仿宋_GB2312"/>
          <w:color w:val="auto"/>
          <w:sz w:val="24"/>
          <w:highlight w:val="none"/>
        </w:rPr>
        <w:t>的美观，在粘锚法施工时，应对板缝、打胶等仔细处理；</w:t>
      </w:r>
      <w:r>
        <w:rPr>
          <w:rFonts w:hint="eastAsia" w:ascii="仿宋_GB2312" w:eastAsia="仿宋_GB2312"/>
          <w:color w:val="auto"/>
          <w:sz w:val="24"/>
          <w:highlight w:val="none"/>
        </w:rPr>
        <w:t>套装双真空保温隔热装饰板</w:t>
      </w:r>
      <w:r>
        <w:rPr>
          <w:rFonts w:ascii="仿宋_GB2312" w:eastAsia="仿宋_GB2312"/>
          <w:color w:val="auto"/>
          <w:sz w:val="24"/>
          <w:highlight w:val="none"/>
        </w:rPr>
        <w:t>的表面处理要仔细，保证观感效果。对一些细部节点及突出结构进行了特殊处理，避免使用现场裁板而使其保温效果受影响。</w:t>
      </w:r>
    </w:p>
    <w:p w14:paraId="5F19D6FC">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套装双真空保温隔热装饰板外墙外保温工程应做好保温、密封处理，并应符合下列规定：</w:t>
      </w:r>
    </w:p>
    <w:p w14:paraId="6D060B2E">
      <w:pPr>
        <w:pStyle w:val="27"/>
        <w:numPr>
          <w:ilvl w:val="0"/>
          <w:numId w:val="38"/>
        </w:numPr>
        <w:spacing w:line="360" w:lineRule="auto"/>
        <w:ind w:left="0" w:firstLine="480"/>
        <w:rPr>
          <w:bCs/>
          <w:color w:val="auto"/>
          <w:sz w:val="24"/>
          <w:szCs w:val="24"/>
          <w:highlight w:val="none"/>
        </w:rPr>
      </w:pPr>
      <w:r>
        <w:rPr>
          <w:bCs/>
          <w:color w:val="auto"/>
          <w:sz w:val="24"/>
          <w:szCs w:val="24"/>
          <w:highlight w:val="none"/>
        </w:rPr>
        <w:t>阳角部位可采用压边法或对角法安装，其尺寸、角度处理应正确、结合应严密，应做好角部位密封防水处理；</w:t>
      </w:r>
    </w:p>
    <w:p w14:paraId="32DC88EE">
      <w:pPr>
        <w:pStyle w:val="27"/>
        <w:numPr>
          <w:ilvl w:val="0"/>
          <w:numId w:val="38"/>
        </w:numPr>
        <w:spacing w:line="360" w:lineRule="auto"/>
        <w:ind w:left="0" w:firstLine="480"/>
        <w:rPr>
          <w:bCs/>
          <w:color w:val="auto"/>
          <w:sz w:val="24"/>
          <w:szCs w:val="24"/>
          <w:highlight w:val="none"/>
        </w:rPr>
      </w:pPr>
      <w:r>
        <w:rPr>
          <w:bCs/>
          <w:color w:val="auto"/>
          <w:sz w:val="24"/>
          <w:szCs w:val="24"/>
          <w:highlight w:val="none"/>
        </w:rPr>
        <w:t>门窗洞口侧墙、女儿墙、封闭阳台</w:t>
      </w:r>
      <w:r>
        <w:rPr>
          <w:rFonts w:hint="eastAsia"/>
          <w:bCs/>
          <w:color w:val="auto"/>
          <w:sz w:val="24"/>
          <w:szCs w:val="24"/>
          <w:highlight w:val="none"/>
          <w:lang w:eastAsia="zh-CN"/>
        </w:rPr>
        <w:t>及其他</w:t>
      </w:r>
      <w:r>
        <w:rPr>
          <w:bCs/>
          <w:color w:val="auto"/>
          <w:sz w:val="24"/>
          <w:szCs w:val="24"/>
          <w:highlight w:val="none"/>
        </w:rPr>
        <w:t>外挑的混凝土构件</w:t>
      </w:r>
      <w:r>
        <w:rPr>
          <w:rFonts w:hint="eastAsia"/>
          <w:bCs/>
          <w:color w:val="auto"/>
          <w:sz w:val="24"/>
          <w:szCs w:val="24"/>
          <w:highlight w:val="none"/>
        </w:rPr>
        <w:t>等部位应采用专门的配板</w:t>
      </w:r>
      <w:r>
        <w:rPr>
          <w:bCs/>
          <w:color w:val="auto"/>
          <w:sz w:val="24"/>
          <w:szCs w:val="24"/>
          <w:highlight w:val="none"/>
        </w:rPr>
        <w:t>，且应与墙体、屋顶相接处的保温层或防火隔离带结合紧密，并应做好细部的保温密封和防水、排水处理；</w:t>
      </w:r>
    </w:p>
    <w:p w14:paraId="0B0A034A">
      <w:pPr>
        <w:pStyle w:val="27"/>
        <w:numPr>
          <w:ilvl w:val="0"/>
          <w:numId w:val="38"/>
        </w:numPr>
        <w:spacing w:line="360" w:lineRule="auto"/>
        <w:ind w:left="0" w:firstLine="480"/>
        <w:rPr>
          <w:bCs/>
          <w:color w:val="auto"/>
          <w:sz w:val="24"/>
          <w:szCs w:val="24"/>
          <w:highlight w:val="none"/>
        </w:rPr>
      </w:pPr>
      <w:r>
        <w:rPr>
          <w:bCs/>
          <w:color w:val="auto"/>
          <w:sz w:val="24"/>
          <w:szCs w:val="24"/>
          <w:highlight w:val="none"/>
        </w:rPr>
        <w:t>外墙上安装设备、管道的固定件应预埋，且与墙体交接处应做好保温、防水和密封处理；</w:t>
      </w:r>
    </w:p>
    <w:p w14:paraId="65984443">
      <w:pPr>
        <w:pStyle w:val="27"/>
        <w:numPr>
          <w:ilvl w:val="0"/>
          <w:numId w:val="38"/>
        </w:numPr>
        <w:spacing w:line="360" w:lineRule="auto"/>
        <w:ind w:left="0" w:firstLine="480"/>
        <w:rPr>
          <w:bCs/>
          <w:color w:val="auto"/>
          <w:sz w:val="24"/>
          <w:szCs w:val="24"/>
          <w:highlight w:val="none"/>
        </w:rPr>
      </w:pPr>
      <w:r>
        <w:rPr>
          <w:bCs/>
          <w:color w:val="auto"/>
          <w:sz w:val="24"/>
          <w:szCs w:val="24"/>
          <w:highlight w:val="none"/>
        </w:rPr>
        <w:t>门窗框与墙体间的空隙可采用发泡聚氨酯填充严密，做好防水和密封处理；</w:t>
      </w:r>
    </w:p>
    <w:p w14:paraId="02608AF3">
      <w:pPr>
        <w:pStyle w:val="27"/>
        <w:numPr>
          <w:ilvl w:val="0"/>
          <w:numId w:val="38"/>
        </w:numPr>
        <w:spacing w:line="360" w:lineRule="auto"/>
        <w:ind w:left="0" w:firstLine="480"/>
        <w:rPr>
          <w:bCs/>
          <w:color w:val="auto"/>
          <w:sz w:val="24"/>
          <w:szCs w:val="24"/>
          <w:highlight w:val="none"/>
        </w:rPr>
      </w:pPr>
      <w:r>
        <w:rPr>
          <w:bCs/>
          <w:color w:val="auto"/>
          <w:sz w:val="24"/>
          <w:szCs w:val="24"/>
          <w:highlight w:val="none"/>
        </w:rPr>
        <w:t>套装双真空保温隔热装饰板不得跨越结构变形缝；</w:t>
      </w:r>
    </w:p>
    <w:p w14:paraId="1BD7E766">
      <w:pPr>
        <w:pStyle w:val="27"/>
        <w:numPr>
          <w:ilvl w:val="0"/>
          <w:numId w:val="38"/>
        </w:numPr>
        <w:spacing w:line="360" w:lineRule="auto"/>
        <w:ind w:left="0" w:firstLine="480"/>
        <w:rPr>
          <w:bCs/>
          <w:color w:val="auto"/>
          <w:sz w:val="24"/>
          <w:szCs w:val="24"/>
          <w:highlight w:val="none"/>
        </w:rPr>
      </w:pPr>
      <w:r>
        <w:rPr>
          <w:bCs/>
          <w:color w:val="auto"/>
          <w:sz w:val="24"/>
          <w:szCs w:val="24"/>
          <w:highlight w:val="none"/>
        </w:rPr>
        <w:t>外墙上的结构变形缝、伸缩缝应做好保温、防水、装饰处理；</w:t>
      </w:r>
    </w:p>
    <w:p w14:paraId="65030602">
      <w:pPr>
        <w:pStyle w:val="27"/>
        <w:numPr>
          <w:ilvl w:val="0"/>
          <w:numId w:val="38"/>
        </w:numPr>
        <w:spacing w:line="360" w:lineRule="auto"/>
        <w:ind w:left="0" w:firstLine="480"/>
        <w:rPr>
          <w:bCs/>
          <w:color w:val="auto"/>
          <w:sz w:val="24"/>
          <w:szCs w:val="24"/>
          <w:highlight w:val="none"/>
        </w:rPr>
      </w:pPr>
      <w:r>
        <w:rPr>
          <w:bCs/>
          <w:color w:val="auto"/>
          <w:sz w:val="24"/>
          <w:szCs w:val="24"/>
          <w:highlight w:val="none"/>
        </w:rPr>
        <w:t>按设计部位安装排湿透气（或透气件）构造，且排湿透气构造应斜上约 60°，</w:t>
      </w:r>
      <w:r>
        <w:rPr>
          <w:rFonts w:hint="eastAsia"/>
          <w:bCs/>
          <w:color w:val="auto"/>
          <w:sz w:val="24"/>
          <w:szCs w:val="24"/>
          <w:highlight w:val="none"/>
        </w:rPr>
        <w:t>并应</w:t>
      </w:r>
      <w:r>
        <w:rPr>
          <w:bCs/>
          <w:color w:val="auto"/>
          <w:sz w:val="24"/>
          <w:szCs w:val="24"/>
          <w:highlight w:val="none"/>
        </w:rPr>
        <w:t>按说明书要求固定。</w:t>
      </w:r>
    </w:p>
    <w:p w14:paraId="7884A4ED">
      <w:pPr>
        <w:spacing w:line="360" w:lineRule="auto"/>
        <w:rPr>
          <w:bCs/>
          <w:color w:val="auto"/>
          <w:sz w:val="24"/>
          <w:szCs w:val="24"/>
          <w:highlight w:val="none"/>
        </w:rPr>
      </w:pPr>
      <w:r>
        <w:rPr>
          <w:rFonts w:hint="eastAsia" w:ascii="仿宋_GB2312" w:eastAsia="仿宋_GB2312"/>
          <w:color w:val="auto"/>
          <w:sz w:val="24"/>
          <w:highlight w:val="none"/>
        </w:rPr>
        <w:t>【条文说明】6.</w:t>
      </w:r>
      <w:r>
        <w:rPr>
          <w:rFonts w:ascii="仿宋_GB2312" w:eastAsia="仿宋_GB2312"/>
          <w:color w:val="auto"/>
          <w:sz w:val="24"/>
          <w:highlight w:val="none"/>
        </w:rPr>
        <w:t>5</w:t>
      </w:r>
      <w:r>
        <w:rPr>
          <w:rFonts w:hint="eastAsia" w:ascii="仿宋_GB2312" w:eastAsia="仿宋_GB2312"/>
          <w:color w:val="auto"/>
          <w:sz w:val="24"/>
          <w:highlight w:val="none"/>
        </w:rPr>
        <w:t>.</w:t>
      </w:r>
      <w:r>
        <w:rPr>
          <w:rFonts w:ascii="仿宋_GB2312" w:eastAsia="仿宋_GB2312"/>
          <w:color w:val="auto"/>
          <w:sz w:val="24"/>
          <w:highlight w:val="none"/>
        </w:rPr>
        <w:t>7</w:t>
      </w:r>
      <w:r>
        <w:rPr>
          <w:rFonts w:hint="eastAsia" w:ascii="仿宋_GB2312" w:eastAsia="仿宋_GB2312"/>
          <w:color w:val="auto"/>
          <w:sz w:val="24"/>
          <w:highlight w:val="none"/>
        </w:rPr>
        <w:t xml:space="preserve"> 在空调搁板、挑檐、不封闭阳台、女儿墙内侧、门窗洞口侧面、穿墙孔洞等部位可以采用聚氨酯板、酚醛板、XPS板</w:t>
      </w:r>
      <w:r>
        <w:rPr>
          <w:rFonts w:hint="eastAsia" w:ascii="仿宋_GB2312" w:eastAsia="仿宋_GB2312"/>
          <w:color w:val="auto"/>
          <w:sz w:val="24"/>
          <w:highlight w:val="none"/>
          <w:lang w:eastAsia="zh-CN"/>
        </w:rPr>
        <w:t>等其他</w:t>
      </w:r>
      <w:r>
        <w:rPr>
          <w:rFonts w:hint="eastAsia" w:ascii="仿宋_GB2312" w:eastAsia="仿宋_GB2312"/>
          <w:color w:val="auto"/>
          <w:sz w:val="24"/>
          <w:highlight w:val="none"/>
        </w:rPr>
        <w:t>保温材料做成的可裁切保温装饰板。</w:t>
      </w:r>
    </w:p>
    <w:p w14:paraId="6E636515">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套装双真空保温隔热装饰板粘贴后，对</w:t>
      </w:r>
      <w:r>
        <w:rPr>
          <w:rFonts w:hint="eastAsia"/>
          <w:bCs/>
          <w:color w:val="auto"/>
          <w:sz w:val="24"/>
          <w:szCs w:val="24"/>
          <w:highlight w:val="none"/>
        </w:rPr>
        <w:t>下列部位</w:t>
      </w:r>
      <w:r>
        <w:rPr>
          <w:bCs/>
          <w:color w:val="auto"/>
          <w:sz w:val="24"/>
          <w:szCs w:val="24"/>
          <w:highlight w:val="none"/>
        </w:rPr>
        <w:t>应采取临时保护措施</w:t>
      </w:r>
      <w:r>
        <w:rPr>
          <w:rFonts w:hint="eastAsia"/>
          <w:bCs/>
          <w:color w:val="auto"/>
          <w:sz w:val="24"/>
          <w:szCs w:val="24"/>
          <w:highlight w:val="none"/>
        </w:rPr>
        <w:t>：</w:t>
      </w:r>
    </w:p>
    <w:p w14:paraId="648D5609">
      <w:pPr>
        <w:pStyle w:val="27"/>
        <w:numPr>
          <w:ilvl w:val="0"/>
          <w:numId w:val="39"/>
        </w:numPr>
        <w:spacing w:line="360" w:lineRule="auto"/>
        <w:ind w:left="0" w:firstLine="480"/>
        <w:rPr>
          <w:bCs/>
          <w:color w:val="auto"/>
          <w:sz w:val="24"/>
          <w:szCs w:val="24"/>
          <w:highlight w:val="none"/>
        </w:rPr>
      </w:pPr>
      <w:r>
        <w:rPr>
          <w:bCs/>
          <w:color w:val="auto"/>
          <w:sz w:val="24"/>
          <w:szCs w:val="24"/>
          <w:highlight w:val="none"/>
        </w:rPr>
        <w:t>因后续工程可能造成污染的部位</w:t>
      </w:r>
      <w:r>
        <w:rPr>
          <w:rFonts w:hint="eastAsia"/>
          <w:bCs/>
          <w:color w:val="auto"/>
          <w:sz w:val="24"/>
          <w:szCs w:val="24"/>
          <w:highlight w:val="none"/>
        </w:rPr>
        <w:t>；</w:t>
      </w:r>
    </w:p>
    <w:p w14:paraId="42D2A523">
      <w:pPr>
        <w:pStyle w:val="27"/>
        <w:numPr>
          <w:ilvl w:val="0"/>
          <w:numId w:val="39"/>
        </w:numPr>
        <w:spacing w:line="360" w:lineRule="auto"/>
        <w:ind w:left="0" w:firstLine="480"/>
        <w:rPr>
          <w:bCs/>
          <w:color w:val="auto"/>
          <w:sz w:val="24"/>
          <w:szCs w:val="24"/>
          <w:highlight w:val="none"/>
        </w:rPr>
      </w:pPr>
      <w:r>
        <w:rPr>
          <w:bCs/>
          <w:color w:val="auto"/>
          <w:sz w:val="24"/>
          <w:szCs w:val="24"/>
          <w:highlight w:val="none"/>
        </w:rPr>
        <w:t>施工中可能发生碰撞的入口、通道、阳角等部位。</w:t>
      </w:r>
    </w:p>
    <w:p w14:paraId="102CE73C">
      <w:pPr>
        <w:spacing w:line="360" w:lineRule="auto"/>
        <w:rPr>
          <w:bCs/>
          <w:color w:val="auto"/>
          <w:sz w:val="24"/>
          <w:szCs w:val="24"/>
          <w:highlight w:val="none"/>
        </w:rPr>
      </w:pPr>
      <w:r>
        <w:rPr>
          <w:rFonts w:hint="eastAsia" w:ascii="仿宋_GB2312" w:eastAsia="仿宋_GB2312"/>
          <w:color w:val="auto"/>
          <w:sz w:val="24"/>
          <w:highlight w:val="none"/>
        </w:rPr>
        <w:t>【条文说明】</w:t>
      </w:r>
      <w:r>
        <w:rPr>
          <w:rFonts w:ascii="仿宋_GB2312" w:eastAsia="仿宋_GB2312"/>
          <w:color w:val="auto"/>
          <w:sz w:val="24"/>
          <w:highlight w:val="none"/>
        </w:rPr>
        <w:t>6.5.7  对成品的保护是十分必要的，通过工程实际施工，发现存在较多的对成品保护做</w:t>
      </w:r>
      <w:r>
        <w:rPr>
          <w:rFonts w:hint="eastAsia" w:ascii="仿宋_GB2312" w:eastAsia="仿宋_GB2312"/>
          <w:color w:val="auto"/>
          <w:sz w:val="24"/>
          <w:highlight w:val="none"/>
          <w:lang w:eastAsia="zh-CN"/>
        </w:rPr>
        <w:t>得</w:t>
      </w:r>
      <w:r>
        <w:rPr>
          <w:rFonts w:ascii="仿宋_GB2312" w:eastAsia="仿宋_GB2312"/>
          <w:color w:val="auto"/>
          <w:sz w:val="24"/>
          <w:highlight w:val="none"/>
        </w:rPr>
        <w:t>不够，直接影响了保温效果且存在巨大的浪费和不良影响。</w:t>
      </w:r>
    </w:p>
    <w:p w14:paraId="13444534">
      <w:pPr>
        <w:pStyle w:val="27"/>
        <w:numPr>
          <w:ilvl w:val="1"/>
          <w:numId w:val="2"/>
        </w:numPr>
        <w:ind w:left="567" w:firstLineChars="0"/>
        <w:jc w:val="center"/>
        <w:outlineLvl w:val="1"/>
        <w:rPr>
          <w:b/>
          <w:bCs w:val="0"/>
          <w:color w:val="auto"/>
          <w:sz w:val="28"/>
          <w:szCs w:val="24"/>
          <w:highlight w:val="none"/>
        </w:rPr>
      </w:pPr>
      <w:bookmarkStart w:id="85" w:name="_Toc25456"/>
      <w:bookmarkStart w:id="86" w:name="_Toc141875152"/>
      <w:r>
        <w:rPr>
          <w:b/>
          <w:bCs w:val="0"/>
          <w:color w:val="auto"/>
          <w:sz w:val="28"/>
          <w:szCs w:val="24"/>
          <w:highlight w:val="none"/>
        </w:rPr>
        <w:t>套装双真空保温隔热装饰板外墙内保温工程</w:t>
      </w:r>
      <w:bookmarkEnd w:id="85"/>
      <w:bookmarkEnd w:id="86"/>
    </w:p>
    <w:p w14:paraId="493BE4D4">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套装双真空保温隔热装饰板施工前，根据粘结层和套装双真空保温隔热装饰板厚度和排板图在顶棚、墙面、地面上应弹出分格线。</w:t>
      </w:r>
    </w:p>
    <w:p w14:paraId="47E4E8F2">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配制、刮抹粘结砂浆应按下列规定进行：</w:t>
      </w:r>
    </w:p>
    <w:p w14:paraId="77780F9E">
      <w:pPr>
        <w:pStyle w:val="27"/>
        <w:numPr>
          <w:ilvl w:val="0"/>
          <w:numId w:val="40"/>
        </w:numPr>
        <w:spacing w:line="360" w:lineRule="auto"/>
        <w:ind w:left="0" w:firstLine="480"/>
        <w:rPr>
          <w:bCs/>
          <w:color w:val="auto"/>
          <w:sz w:val="24"/>
          <w:szCs w:val="24"/>
          <w:highlight w:val="none"/>
        </w:rPr>
      </w:pPr>
      <w:r>
        <w:rPr>
          <w:bCs/>
          <w:color w:val="auto"/>
          <w:sz w:val="24"/>
          <w:szCs w:val="24"/>
          <w:highlight w:val="none"/>
        </w:rPr>
        <w:t>应严格按供应商提供的配合比和制作工艺在现场进行配制；</w:t>
      </w:r>
    </w:p>
    <w:p w14:paraId="21A53BE6">
      <w:pPr>
        <w:pStyle w:val="27"/>
        <w:numPr>
          <w:ilvl w:val="0"/>
          <w:numId w:val="40"/>
        </w:numPr>
        <w:spacing w:line="360" w:lineRule="auto"/>
        <w:ind w:left="0" w:firstLine="480"/>
        <w:rPr>
          <w:bCs/>
          <w:color w:val="auto"/>
          <w:sz w:val="24"/>
          <w:szCs w:val="24"/>
          <w:highlight w:val="none"/>
        </w:rPr>
      </w:pPr>
      <w:r>
        <w:rPr>
          <w:bCs/>
          <w:color w:val="auto"/>
          <w:sz w:val="24"/>
          <w:szCs w:val="24"/>
          <w:highlight w:val="none"/>
        </w:rPr>
        <w:t xml:space="preserve">单次配制量不宜过多，粘结砂浆的操作时间应符合产品说明书中的有关规定，并应根据现场环境气温条件控制在2h内。 </w:t>
      </w:r>
    </w:p>
    <w:p w14:paraId="2871F0EA">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套装双真空保温隔热装饰板粘贴应符合以下规定：</w:t>
      </w:r>
    </w:p>
    <w:p w14:paraId="69A7B0D2">
      <w:pPr>
        <w:pStyle w:val="27"/>
        <w:numPr>
          <w:ilvl w:val="0"/>
          <w:numId w:val="41"/>
        </w:numPr>
        <w:spacing w:line="360" w:lineRule="auto"/>
        <w:ind w:left="0" w:firstLine="480"/>
        <w:rPr>
          <w:bCs/>
          <w:color w:val="auto"/>
          <w:sz w:val="24"/>
          <w:szCs w:val="24"/>
          <w:highlight w:val="none"/>
        </w:rPr>
      </w:pPr>
      <w:r>
        <w:rPr>
          <w:bCs/>
          <w:color w:val="auto"/>
          <w:sz w:val="24"/>
          <w:szCs w:val="24"/>
          <w:highlight w:val="none"/>
        </w:rPr>
        <w:t>套装双真空保温隔热装饰板与基层的粘结面积应符合本规程第5.5.2条的规定。</w:t>
      </w:r>
    </w:p>
    <w:p w14:paraId="212CF276">
      <w:pPr>
        <w:pStyle w:val="27"/>
        <w:numPr>
          <w:ilvl w:val="0"/>
          <w:numId w:val="41"/>
        </w:numPr>
        <w:spacing w:line="360" w:lineRule="auto"/>
        <w:ind w:left="0" w:firstLine="480"/>
        <w:rPr>
          <w:bCs/>
          <w:color w:val="auto"/>
          <w:sz w:val="24"/>
          <w:szCs w:val="24"/>
          <w:highlight w:val="none"/>
        </w:rPr>
      </w:pPr>
      <w:r>
        <w:rPr>
          <w:bCs/>
          <w:color w:val="auto"/>
          <w:sz w:val="24"/>
          <w:szCs w:val="24"/>
          <w:highlight w:val="none"/>
        </w:rPr>
        <w:t>套装双真空保温隔热装饰板应根据控制线位置，从一端向另一端顺序粘贴，且板与板之间高差不应大于2mm，板间拼缝和接缝应严密、平整</w:t>
      </w:r>
      <w:r>
        <w:rPr>
          <w:rFonts w:hint="eastAsia"/>
          <w:bCs/>
          <w:color w:val="auto"/>
          <w:sz w:val="24"/>
          <w:szCs w:val="24"/>
          <w:highlight w:val="none"/>
        </w:rPr>
        <w:t>。</w:t>
      </w:r>
    </w:p>
    <w:p w14:paraId="6E2DC132">
      <w:pPr>
        <w:pStyle w:val="27"/>
        <w:numPr>
          <w:ilvl w:val="0"/>
          <w:numId w:val="41"/>
        </w:numPr>
        <w:spacing w:line="360" w:lineRule="auto"/>
        <w:ind w:left="0" w:firstLine="480"/>
        <w:rPr>
          <w:bCs/>
          <w:color w:val="auto"/>
          <w:sz w:val="24"/>
          <w:szCs w:val="24"/>
          <w:highlight w:val="none"/>
        </w:rPr>
      </w:pPr>
      <w:r>
        <w:rPr>
          <w:bCs/>
          <w:color w:val="auto"/>
          <w:sz w:val="24"/>
          <w:szCs w:val="24"/>
          <w:highlight w:val="none"/>
        </w:rPr>
        <w:t>每粘贴完一块套装双真空保温隔热装饰板，应立即用2m靠尺和托线板检查，贴紧挤压均匀，清除板边溢出的粘结砂浆。以顶部及地面所弹参照线为准，使用橡皮锤敲击打夯套装双真空保温隔热装饰板表面，双真空保温隔热装饰安装位置应准确，按照设计要求或施工方案调整板面的平整度和垂直度</w:t>
      </w:r>
      <w:r>
        <w:rPr>
          <w:rFonts w:hint="eastAsia"/>
          <w:bCs/>
          <w:color w:val="auto"/>
          <w:sz w:val="24"/>
          <w:szCs w:val="24"/>
          <w:highlight w:val="none"/>
        </w:rPr>
        <w:t>。</w:t>
      </w:r>
    </w:p>
    <w:p w14:paraId="1F41C07D">
      <w:pPr>
        <w:pStyle w:val="27"/>
        <w:numPr>
          <w:ilvl w:val="0"/>
          <w:numId w:val="41"/>
        </w:numPr>
        <w:spacing w:line="360" w:lineRule="auto"/>
        <w:ind w:left="0" w:firstLine="480"/>
        <w:rPr>
          <w:bCs/>
          <w:color w:val="auto"/>
          <w:sz w:val="24"/>
          <w:szCs w:val="24"/>
          <w:highlight w:val="none"/>
        </w:rPr>
      </w:pPr>
      <w:r>
        <w:rPr>
          <w:bCs/>
          <w:color w:val="auto"/>
          <w:sz w:val="24"/>
          <w:szCs w:val="24"/>
          <w:highlight w:val="none"/>
        </w:rPr>
        <w:t>上层双真空保温隔热装饰的粘贴应待下层双真空保温隔热装饰的粘贴材料硬化后进行。</w:t>
      </w:r>
    </w:p>
    <w:p w14:paraId="008BAC20">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锚固组件安装应符合下列规定：</w:t>
      </w:r>
    </w:p>
    <w:p w14:paraId="5CD726F3">
      <w:pPr>
        <w:pStyle w:val="27"/>
        <w:numPr>
          <w:ilvl w:val="0"/>
          <w:numId w:val="42"/>
        </w:numPr>
        <w:spacing w:line="360" w:lineRule="auto"/>
        <w:ind w:left="0" w:firstLine="480"/>
        <w:rPr>
          <w:bCs/>
          <w:color w:val="auto"/>
          <w:sz w:val="24"/>
          <w:szCs w:val="24"/>
          <w:highlight w:val="none"/>
        </w:rPr>
      </w:pPr>
      <w:r>
        <w:rPr>
          <w:bCs/>
          <w:color w:val="auto"/>
          <w:sz w:val="24"/>
          <w:szCs w:val="24"/>
          <w:highlight w:val="none"/>
        </w:rPr>
        <w:t>单块套装双真空保温隔热装饰板粘贴完毕后应立即进行锚固组件安装；</w:t>
      </w:r>
    </w:p>
    <w:p w14:paraId="0C6D4BA8">
      <w:pPr>
        <w:pStyle w:val="27"/>
        <w:numPr>
          <w:ilvl w:val="0"/>
          <w:numId w:val="42"/>
        </w:numPr>
        <w:spacing w:line="360" w:lineRule="auto"/>
        <w:ind w:left="0" w:firstLine="480"/>
        <w:rPr>
          <w:bCs/>
          <w:color w:val="auto"/>
          <w:sz w:val="24"/>
          <w:szCs w:val="24"/>
          <w:highlight w:val="none"/>
        </w:rPr>
      </w:pPr>
      <w:r>
        <w:rPr>
          <w:bCs/>
          <w:color w:val="auto"/>
          <w:sz w:val="24"/>
          <w:szCs w:val="24"/>
          <w:highlight w:val="none"/>
        </w:rPr>
        <w:t>安装锚固组件的数量、位置和基层内锚栓有效锚固深度应</w:t>
      </w:r>
      <w:r>
        <w:rPr>
          <w:rFonts w:hint="eastAsia"/>
          <w:bCs/>
          <w:color w:val="auto"/>
          <w:sz w:val="24"/>
          <w:szCs w:val="24"/>
          <w:highlight w:val="none"/>
        </w:rPr>
        <w:t>符合</w:t>
      </w:r>
      <w:r>
        <w:rPr>
          <w:bCs/>
          <w:color w:val="auto"/>
          <w:sz w:val="24"/>
          <w:szCs w:val="24"/>
          <w:highlight w:val="none"/>
        </w:rPr>
        <w:t>本规程第 5.6.2条的规定；</w:t>
      </w:r>
    </w:p>
    <w:p w14:paraId="7EA6B464">
      <w:pPr>
        <w:pStyle w:val="27"/>
        <w:numPr>
          <w:ilvl w:val="0"/>
          <w:numId w:val="42"/>
        </w:numPr>
        <w:spacing w:line="360" w:lineRule="auto"/>
        <w:ind w:left="0" w:firstLine="480"/>
        <w:rPr>
          <w:bCs/>
          <w:color w:val="auto"/>
          <w:sz w:val="24"/>
          <w:szCs w:val="24"/>
          <w:highlight w:val="none"/>
        </w:rPr>
      </w:pPr>
      <w:r>
        <w:rPr>
          <w:bCs/>
          <w:color w:val="auto"/>
          <w:sz w:val="24"/>
          <w:szCs w:val="24"/>
          <w:highlight w:val="none"/>
        </w:rPr>
        <w:t>锚栓件的安装不应损坏套装双真空保温隔热装饰板。</w:t>
      </w:r>
    </w:p>
    <w:p w14:paraId="1FC97394">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套装双真空保温隔热装饰板接缝施工应符合以下规定：</w:t>
      </w:r>
    </w:p>
    <w:p w14:paraId="32C5DF9F">
      <w:pPr>
        <w:pStyle w:val="27"/>
        <w:numPr>
          <w:ilvl w:val="0"/>
          <w:numId w:val="43"/>
        </w:numPr>
        <w:spacing w:line="360" w:lineRule="auto"/>
        <w:ind w:left="0" w:firstLine="480"/>
        <w:rPr>
          <w:bCs/>
          <w:color w:val="auto"/>
          <w:sz w:val="24"/>
          <w:szCs w:val="24"/>
          <w:highlight w:val="none"/>
        </w:rPr>
      </w:pPr>
      <w:r>
        <w:rPr>
          <w:bCs/>
          <w:color w:val="auto"/>
          <w:sz w:val="24"/>
          <w:szCs w:val="24"/>
          <w:highlight w:val="none"/>
        </w:rPr>
        <w:t xml:space="preserve">待套装双真空保温隔热装饰板粘贴完毕且粘结砂浆硬化后，检查拼缝和接缝板间的平整度，清洁板缝的污染物后，接缝处应进行嵌缝处理； </w:t>
      </w:r>
    </w:p>
    <w:p w14:paraId="1C49EA53">
      <w:pPr>
        <w:pStyle w:val="27"/>
        <w:numPr>
          <w:ilvl w:val="0"/>
          <w:numId w:val="43"/>
        </w:numPr>
        <w:spacing w:line="360" w:lineRule="auto"/>
        <w:ind w:left="0" w:firstLine="480"/>
        <w:rPr>
          <w:bCs/>
          <w:color w:val="auto"/>
          <w:sz w:val="24"/>
          <w:szCs w:val="24"/>
          <w:highlight w:val="none"/>
        </w:rPr>
      </w:pPr>
      <w:r>
        <w:rPr>
          <w:bCs/>
          <w:color w:val="auto"/>
          <w:sz w:val="24"/>
          <w:szCs w:val="24"/>
          <w:highlight w:val="none"/>
        </w:rPr>
        <w:t>按产品说明书的规定拌制嵌缝膏，以30min内用完为宜，超过可操作时间的嵌缝</w:t>
      </w:r>
      <w:r>
        <w:rPr>
          <w:rFonts w:hint="eastAsia"/>
          <w:bCs/>
          <w:color w:val="auto"/>
          <w:sz w:val="24"/>
          <w:szCs w:val="24"/>
          <w:highlight w:val="none"/>
          <w:lang w:eastAsia="zh-CN"/>
        </w:rPr>
        <w:t>膏</w:t>
      </w:r>
      <w:r>
        <w:rPr>
          <w:bCs/>
          <w:color w:val="auto"/>
          <w:sz w:val="24"/>
          <w:szCs w:val="24"/>
          <w:highlight w:val="none"/>
        </w:rPr>
        <w:t>不应再加水使用；</w:t>
      </w:r>
    </w:p>
    <w:p w14:paraId="74EAA6EF">
      <w:pPr>
        <w:pStyle w:val="27"/>
        <w:numPr>
          <w:ilvl w:val="0"/>
          <w:numId w:val="43"/>
        </w:numPr>
        <w:spacing w:line="360" w:lineRule="auto"/>
        <w:ind w:left="0" w:firstLine="480"/>
        <w:rPr>
          <w:bCs/>
          <w:color w:val="auto"/>
          <w:sz w:val="24"/>
          <w:szCs w:val="24"/>
          <w:highlight w:val="none"/>
        </w:rPr>
      </w:pPr>
      <w:r>
        <w:rPr>
          <w:bCs/>
          <w:color w:val="auto"/>
          <w:sz w:val="24"/>
          <w:szCs w:val="24"/>
          <w:highlight w:val="none"/>
        </w:rPr>
        <w:t>嵌缝膏填入板缝内应填满、压实，嵌缝膏与板缝应充分接触；</w:t>
      </w:r>
    </w:p>
    <w:p w14:paraId="51E93FA2">
      <w:pPr>
        <w:pStyle w:val="27"/>
        <w:numPr>
          <w:ilvl w:val="0"/>
          <w:numId w:val="43"/>
        </w:numPr>
        <w:spacing w:line="360" w:lineRule="auto"/>
        <w:ind w:left="0" w:firstLine="480"/>
        <w:rPr>
          <w:bCs/>
          <w:color w:val="auto"/>
          <w:sz w:val="24"/>
          <w:szCs w:val="24"/>
          <w:highlight w:val="none"/>
        </w:rPr>
      </w:pPr>
      <w:r>
        <w:rPr>
          <w:bCs/>
          <w:color w:val="auto"/>
          <w:sz w:val="24"/>
          <w:szCs w:val="24"/>
          <w:highlight w:val="none"/>
        </w:rPr>
        <w:t>板缝修刮完毕后即可揭下美纹纸，若为覆膜板面则应在脚手架拆除后及时揭去保护膜 ，清理套装双真空保温隔热装饰板表面。</w:t>
      </w:r>
    </w:p>
    <w:p w14:paraId="366B66BB">
      <w:pPr>
        <w:pStyle w:val="27"/>
        <w:numPr>
          <w:ilvl w:val="1"/>
          <w:numId w:val="2"/>
        </w:numPr>
        <w:ind w:left="567" w:firstLineChars="0"/>
        <w:jc w:val="center"/>
        <w:outlineLvl w:val="1"/>
        <w:rPr>
          <w:b/>
          <w:bCs w:val="0"/>
          <w:color w:val="auto"/>
          <w:sz w:val="28"/>
          <w:szCs w:val="24"/>
          <w:highlight w:val="none"/>
        </w:rPr>
      </w:pPr>
      <w:bookmarkStart w:id="87" w:name="_Toc32649"/>
      <w:r>
        <w:rPr>
          <w:rFonts w:hint="eastAsia"/>
          <w:b/>
          <w:bCs w:val="0"/>
          <w:color w:val="auto"/>
          <w:sz w:val="28"/>
          <w:szCs w:val="24"/>
          <w:highlight w:val="none"/>
        </w:rPr>
        <w:t>复合预制墙板制作与施工</w:t>
      </w:r>
      <w:bookmarkEnd w:id="87"/>
    </w:p>
    <w:p w14:paraId="4F795F2D">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复合预制墙板制作与施工应符合国家现行标准《装配式混凝土建筑技术标准》GB/T 51231、《混凝土结构工程施工规范》GB 50666、《装配式混凝土结构技术规程》JGJ 1、《预制混凝土外挂墙板应用技术标准》JGJ</w:t>
      </w:r>
      <w:r>
        <w:rPr>
          <w:bCs/>
          <w:color w:val="auto"/>
          <w:sz w:val="24"/>
          <w:szCs w:val="24"/>
          <w:highlight w:val="none"/>
        </w:rPr>
        <w:t>/T</w:t>
      </w:r>
      <w:r>
        <w:rPr>
          <w:rFonts w:hint="eastAsia"/>
          <w:bCs/>
          <w:color w:val="auto"/>
          <w:sz w:val="24"/>
          <w:szCs w:val="24"/>
          <w:highlight w:val="none"/>
        </w:rPr>
        <w:t xml:space="preserve"> </w:t>
      </w:r>
      <w:r>
        <w:rPr>
          <w:bCs/>
          <w:color w:val="auto"/>
          <w:sz w:val="24"/>
          <w:szCs w:val="24"/>
          <w:highlight w:val="none"/>
        </w:rPr>
        <w:t>458</w:t>
      </w:r>
      <w:r>
        <w:rPr>
          <w:rFonts w:hint="eastAsia"/>
          <w:bCs/>
          <w:color w:val="auto"/>
          <w:sz w:val="24"/>
          <w:szCs w:val="24"/>
          <w:highlight w:val="none"/>
        </w:rPr>
        <w:t>、《建筑用真空绝热板应用技术规程》JGJ</w:t>
      </w:r>
      <w:r>
        <w:rPr>
          <w:bCs/>
          <w:color w:val="auto"/>
          <w:sz w:val="24"/>
          <w:szCs w:val="24"/>
          <w:highlight w:val="none"/>
        </w:rPr>
        <w:t>/T</w:t>
      </w:r>
      <w:r>
        <w:rPr>
          <w:rFonts w:hint="eastAsia"/>
          <w:bCs/>
          <w:color w:val="auto"/>
          <w:sz w:val="24"/>
          <w:szCs w:val="24"/>
          <w:highlight w:val="none"/>
        </w:rPr>
        <w:t xml:space="preserve"> 4</w:t>
      </w:r>
      <w:r>
        <w:rPr>
          <w:bCs/>
          <w:color w:val="auto"/>
          <w:sz w:val="24"/>
          <w:szCs w:val="24"/>
          <w:highlight w:val="none"/>
        </w:rPr>
        <w:t>16</w:t>
      </w:r>
      <w:r>
        <w:rPr>
          <w:rFonts w:hint="eastAsia"/>
          <w:bCs/>
          <w:color w:val="auto"/>
          <w:sz w:val="24"/>
          <w:szCs w:val="24"/>
          <w:highlight w:val="none"/>
        </w:rPr>
        <w:t>的有关规定。</w:t>
      </w:r>
    </w:p>
    <w:p w14:paraId="267B9D88">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套装双真空保温隔热板应按照布置图、排板图安装或铺设，并应符合下列规定：</w:t>
      </w:r>
    </w:p>
    <w:p w14:paraId="4F3A4B80">
      <w:pPr>
        <w:pStyle w:val="27"/>
        <w:numPr>
          <w:ilvl w:val="0"/>
          <w:numId w:val="44"/>
        </w:numPr>
        <w:spacing w:line="360" w:lineRule="auto"/>
        <w:ind w:left="0" w:firstLine="480"/>
        <w:rPr>
          <w:bCs/>
          <w:color w:val="auto"/>
          <w:sz w:val="24"/>
          <w:szCs w:val="24"/>
          <w:highlight w:val="none"/>
        </w:rPr>
      </w:pPr>
      <w:r>
        <w:rPr>
          <w:rFonts w:hint="eastAsia"/>
          <w:bCs/>
          <w:color w:val="auto"/>
          <w:sz w:val="24"/>
          <w:szCs w:val="24"/>
          <w:highlight w:val="none"/>
        </w:rPr>
        <w:t>首层混凝土中预先设置的拉结件应与墙板钢筋网片绑扎固定；</w:t>
      </w:r>
    </w:p>
    <w:p w14:paraId="5E23B0F4">
      <w:pPr>
        <w:pStyle w:val="27"/>
        <w:numPr>
          <w:ilvl w:val="0"/>
          <w:numId w:val="44"/>
        </w:numPr>
        <w:spacing w:line="360" w:lineRule="auto"/>
        <w:ind w:left="0" w:firstLine="480"/>
        <w:rPr>
          <w:bCs/>
          <w:color w:val="auto"/>
          <w:sz w:val="24"/>
          <w:szCs w:val="24"/>
          <w:highlight w:val="none"/>
        </w:rPr>
      </w:pPr>
      <w:r>
        <w:rPr>
          <w:rFonts w:hint="eastAsia"/>
          <w:bCs/>
          <w:color w:val="auto"/>
          <w:sz w:val="24"/>
          <w:szCs w:val="24"/>
          <w:highlight w:val="none"/>
        </w:rPr>
        <w:t>套装双真空保温隔热板铺设应在混凝土初凝前完成；</w:t>
      </w:r>
    </w:p>
    <w:p w14:paraId="37331CF2">
      <w:pPr>
        <w:pStyle w:val="27"/>
        <w:numPr>
          <w:ilvl w:val="0"/>
          <w:numId w:val="44"/>
        </w:numPr>
        <w:spacing w:line="360" w:lineRule="auto"/>
        <w:ind w:left="0" w:firstLine="480"/>
        <w:rPr>
          <w:bCs/>
          <w:color w:val="auto"/>
          <w:sz w:val="24"/>
          <w:szCs w:val="24"/>
          <w:highlight w:val="none"/>
        </w:rPr>
      </w:pPr>
      <w:r>
        <w:rPr>
          <w:rFonts w:hint="eastAsia"/>
          <w:bCs/>
          <w:color w:val="auto"/>
          <w:sz w:val="24"/>
          <w:szCs w:val="24"/>
          <w:highlight w:val="none"/>
        </w:rPr>
        <w:t>套装双真空保温隔热板铺设前应进行预处理，铺设时应减少对拉结件的扰动，当拉结件发生偏移时应及时复位；</w:t>
      </w:r>
    </w:p>
    <w:p w14:paraId="35B23D54">
      <w:pPr>
        <w:pStyle w:val="27"/>
        <w:numPr>
          <w:ilvl w:val="0"/>
          <w:numId w:val="44"/>
        </w:numPr>
        <w:spacing w:line="360" w:lineRule="auto"/>
        <w:ind w:left="0" w:firstLine="480"/>
        <w:rPr>
          <w:bCs/>
          <w:color w:val="auto"/>
          <w:sz w:val="24"/>
          <w:szCs w:val="24"/>
          <w:highlight w:val="none"/>
        </w:rPr>
      </w:pPr>
      <w:r>
        <w:rPr>
          <w:rFonts w:hint="eastAsia"/>
          <w:bCs/>
          <w:color w:val="auto"/>
          <w:sz w:val="24"/>
          <w:szCs w:val="24"/>
          <w:highlight w:val="none"/>
        </w:rPr>
        <w:t>套装双真空保温隔热板之间以及保温材料与拉结件之间应紧密贴合，套装双真空保温隔热板的孔缝应采用发泡聚氨酯等保温材料填充密实，保温材料拼缝应严密并使用粘结材料密封处理。</w:t>
      </w:r>
    </w:p>
    <w:p w14:paraId="7A78B069">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复合预制墙板安装时，墙板中间套装双真空保温隔热板接缝处的施工应满足设计要求，并应采用保温材料作为嵌缝材料。</w:t>
      </w:r>
    </w:p>
    <w:p w14:paraId="7D91C290">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复合预制墙板预留孔洞、施工孔洞、设备和管道的连接件、穿墙管线等部位的隔断热桥施工应符合下列规定：</w:t>
      </w:r>
    </w:p>
    <w:p w14:paraId="7D3303C3">
      <w:pPr>
        <w:pStyle w:val="27"/>
        <w:numPr>
          <w:ilvl w:val="0"/>
          <w:numId w:val="45"/>
        </w:numPr>
        <w:spacing w:line="360" w:lineRule="auto"/>
        <w:ind w:left="0" w:firstLine="480"/>
        <w:rPr>
          <w:bCs/>
          <w:color w:val="auto"/>
          <w:sz w:val="24"/>
          <w:szCs w:val="24"/>
          <w:highlight w:val="none"/>
        </w:rPr>
      </w:pPr>
      <w:r>
        <w:rPr>
          <w:rFonts w:hint="eastAsia"/>
          <w:bCs/>
          <w:color w:val="auto"/>
          <w:sz w:val="24"/>
          <w:szCs w:val="24"/>
          <w:highlight w:val="none"/>
        </w:rPr>
        <w:t>墙板预留孔洞部位，应采用保温材料填充后再进行灌浆封堵；</w:t>
      </w:r>
    </w:p>
    <w:p w14:paraId="72806602">
      <w:pPr>
        <w:pStyle w:val="27"/>
        <w:numPr>
          <w:ilvl w:val="0"/>
          <w:numId w:val="45"/>
        </w:numPr>
        <w:spacing w:line="360" w:lineRule="auto"/>
        <w:ind w:left="0" w:firstLine="480"/>
        <w:rPr>
          <w:bCs/>
          <w:color w:val="auto"/>
          <w:sz w:val="24"/>
          <w:szCs w:val="24"/>
          <w:highlight w:val="none"/>
        </w:rPr>
      </w:pPr>
      <w:r>
        <w:rPr>
          <w:rFonts w:hint="eastAsia"/>
          <w:bCs/>
          <w:color w:val="auto"/>
          <w:sz w:val="24"/>
          <w:szCs w:val="24"/>
          <w:highlight w:val="none"/>
        </w:rPr>
        <w:t>当管道穿越墙板时，其洞口应在工厂预留，施工时管道与孔洞间隙应采用保温材料填充密实，并应进行密封和防裂处理。</w:t>
      </w:r>
    </w:p>
    <w:p w14:paraId="3B4F02C6">
      <w:pPr>
        <w:spacing w:line="360" w:lineRule="auto"/>
        <w:rPr>
          <w:color w:val="auto"/>
          <w:sz w:val="24"/>
          <w:highlight w:val="none"/>
        </w:rPr>
      </w:pPr>
    </w:p>
    <w:p w14:paraId="12097FCB">
      <w:pPr>
        <w:spacing w:line="360" w:lineRule="auto"/>
        <w:rPr>
          <w:color w:val="auto"/>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6CF5986">
      <w:pPr>
        <w:pStyle w:val="27"/>
        <w:numPr>
          <w:ilvl w:val="0"/>
          <w:numId w:val="2"/>
        </w:numPr>
        <w:spacing w:after="240"/>
        <w:ind w:left="0" w:firstLine="0" w:firstLineChars="0"/>
        <w:jc w:val="center"/>
        <w:outlineLvl w:val="0"/>
        <w:rPr>
          <w:b/>
          <w:color w:val="auto"/>
          <w:sz w:val="36"/>
          <w:szCs w:val="32"/>
          <w:highlight w:val="none"/>
        </w:rPr>
      </w:pPr>
      <w:bookmarkStart w:id="88" w:name="_Toc5318"/>
      <w:bookmarkStart w:id="89" w:name="_Toc141875153"/>
      <w:r>
        <w:rPr>
          <w:b/>
          <w:color w:val="auto"/>
          <w:sz w:val="36"/>
          <w:szCs w:val="32"/>
          <w:highlight w:val="none"/>
        </w:rPr>
        <w:t>质量验收</w:t>
      </w:r>
      <w:bookmarkEnd w:id="88"/>
      <w:bookmarkEnd w:id="89"/>
    </w:p>
    <w:p w14:paraId="045C119E">
      <w:pPr>
        <w:pStyle w:val="27"/>
        <w:numPr>
          <w:ilvl w:val="1"/>
          <w:numId w:val="2"/>
        </w:numPr>
        <w:ind w:left="567" w:firstLineChars="0"/>
        <w:jc w:val="center"/>
        <w:outlineLvl w:val="1"/>
        <w:rPr>
          <w:b/>
          <w:bCs w:val="0"/>
          <w:color w:val="auto"/>
          <w:sz w:val="28"/>
          <w:szCs w:val="24"/>
          <w:highlight w:val="none"/>
        </w:rPr>
      </w:pPr>
      <w:bookmarkStart w:id="90" w:name="_Toc141875154"/>
      <w:bookmarkStart w:id="91" w:name="_Toc15139"/>
      <w:r>
        <w:rPr>
          <w:b/>
          <w:bCs w:val="0"/>
          <w:color w:val="auto"/>
          <w:sz w:val="28"/>
          <w:szCs w:val="24"/>
          <w:highlight w:val="none"/>
        </w:rPr>
        <w:t>一般规定</w:t>
      </w:r>
      <w:bookmarkEnd w:id="90"/>
      <w:bookmarkEnd w:id="91"/>
    </w:p>
    <w:p w14:paraId="0DB20739">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套装双真空保温隔热板外保温工程验收</w:t>
      </w:r>
      <w:r>
        <w:rPr>
          <w:rFonts w:hint="eastAsia"/>
          <w:bCs/>
          <w:color w:val="auto"/>
          <w:sz w:val="24"/>
          <w:szCs w:val="24"/>
          <w:highlight w:val="none"/>
        </w:rPr>
        <w:t>除</w:t>
      </w:r>
      <w:r>
        <w:rPr>
          <w:bCs/>
          <w:color w:val="auto"/>
          <w:sz w:val="24"/>
          <w:szCs w:val="24"/>
          <w:highlight w:val="none"/>
        </w:rPr>
        <w:t>应符合本规程的规定，尚应</w:t>
      </w:r>
      <w:r>
        <w:rPr>
          <w:rFonts w:hint="eastAsia"/>
          <w:bCs/>
          <w:color w:val="auto"/>
          <w:sz w:val="24"/>
          <w:szCs w:val="24"/>
          <w:highlight w:val="none"/>
        </w:rPr>
        <w:t>符合</w:t>
      </w:r>
      <w:r>
        <w:rPr>
          <w:bCs/>
          <w:color w:val="auto"/>
          <w:sz w:val="24"/>
          <w:szCs w:val="24"/>
          <w:highlight w:val="none"/>
        </w:rPr>
        <w:t>国家现行标准《建筑工程施工质量验收统一标准》GB 50300、《建筑节能与可再生能源利用通用规范》GB 55015、《</w:t>
      </w:r>
      <w:r>
        <w:rPr>
          <w:rFonts w:hint="eastAsia"/>
          <w:bCs/>
          <w:color w:val="auto"/>
          <w:sz w:val="24"/>
          <w:szCs w:val="24"/>
          <w:highlight w:val="none"/>
          <w:lang w:eastAsia="zh-CN"/>
        </w:rPr>
        <w:t>建筑节能工程施工质量验收标准</w:t>
      </w:r>
      <w:r>
        <w:rPr>
          <w:bCs/>
          <w:color w:val="auto"/>
          <w:sz w:val="24"/>
          <w:szCs w:val="24"/>
          <w:highlight w:val="none"/>
        </w:rPr>
        <w:t>》</w:t>
      </w:r>
      <w:r>
        <w:rPr>
          <w:rFonts w:hint="eastAsia"/>
          <w:bCs/>
          <w:color w:val="auto"/>
          <w:sz w:val="24"/>
          <w:szCs w:val="24"/>
          <w:highlight w:val="none"/>
          <w:lang w:eastAsia="zh-CN"/>
        </w:rPr>
        <w:t>GB 50411</w:t>
      </w:r>
      <w:r>
        <w:rPr>
          <w:rFonts w:hint="eastAsia"/>
          <w:bCs/>
          <w:color w:val="auto"/>
          <w:sz w:val="24"/>
          <w:szCs w:val="24"/>
          <w:highlight w:val="none"/>
        </w:rPr>
        <w:t>和</w:t>
      </w:r>
      <w:r>
        <w:rPr>
          <w:bCs/>
          <w:color w:val="auto"/>
          <w:sz w:val="24"/>
          <w:szCs w:val="24"/>
          <w:highlight w:val="none"/>
        </w:rPr>
        <w:t>《建筑装饰装修工程质量验收标准》GB 50210的有关规定。</w:t>
      </w:r>
      <w:r>
        <w:rPr>
          <w:rFonts w:hint="eastAsia"/>
          <w:bCs/>
          <w:color w:val="auto"/>
          <w:sz w:val="24"/>
          <w:szCs w:val="24"/>
          <w:highlight w:val="none"/>
        </w:rPr>
        <w:t>其中复合预制墙板工程验收尚应符合现行行业标准《装配式混凝土结构技术规程》JGJ 1的</w:t>
      </w:r>
      <w:r>
        <w:rPr>
          <w:rFonts w:hint="eastAsia"/>
          <w:bCs/>
          <w:color w:val="auto"/>
          <w:sz w:val="24"/>
          <w:szCs w:val="24"/>
          <w:highlight w:val="none"/>
          <w:lang w:eastAsia="zh-CN"/>
        </w:rPr>
        <w:t>有关</w:t>
      </w:r>
      <w:r>
        <w:rPr>
          <w:rFonts w:hint="eastAsia"/>
          <w:bCs/>
          <w:color w:val="auto"/>
          <w:sz w:val="24"/>
          <w:szCs w:val="24"/>
          <w:highlight w:val="none"/>
        </w:rPr>
        <w:t>规定。</w:t>
      </w:r>
    </w:p>
    <w:p w14:paraId="0D62A235">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套装双真空保温隔热板外保温工程应在基层墙体质量验收合格后施工，施工过程中应及时进行质量检查、隐蔽工程验收和检验批验收，施工完成后应进行墙体节能分项工程验收。</w:t>
      </w:r>
    </w:p>
    <w:p w14:paraId="68032191">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套装双真空保温隔热板外保温工程应对下列部位或内容进行隐蔽工程验收，并应有详细的文字记录和必要的图像资料：</w:t>
      </w:r>
    </w:p>
    <w:p w14:paraId="4BE6F72E">
      <w:pPr>
        <w:pStyle w:val="27"/>
        <w:numPr>
          <w:ilvl w:val="0"/>
          <w:numId w:val="46"/>
        </w:numPr>
        <w:spacing w:line="360" w:lineRule="auto"/>
        <w:ind w:firstLineChars="0"/>
        <w:rPr>
          <w:bCs/>
          <w:color w:val="auto"/>
          <w:sz w:val="24"/>
          <w:szCs w:val="24"/>
          <w:highlight w:val="none"/>
        </w:rPr>
      </w:pPr>
      <w:r>
        <w:rPr>
          <w:bCs/>
          <w:color w:val="auto"/>
          <w:sz w:val="24"/>
          <w:szCs w:val="24"/>
          <w:highlight w:val="none"/>
        </w:rPr>
        <w:t>套装双真空保温隔热板薄抹灰外墙保温工程：</w:t>
      </w:r>
    </w:p>
    <w:p w14:paraId="37D8BEA2">
      <w:pPr>
        <w:pStyle w:val="27"/>
        <w:numPr>
          <w:ilvl w:val="0"/>
          <w:numId w:val="47"/>
        </w:numPr>
        <w:spacing w:line="360" w:lineRule="auto"/>
        <w:ind w:left="0" w:firstLine="720" w:firstLineChars="300"/>
        <w:rPr>
          <w:bCs/>
          <w:color w:val="auto"/>
          <w:sz w:val="24"/>
          <w:szCs w:val="24"/>
          <w:highlight w:val="none"/>
        </w:rPr>
      </w:pPr>
      <w:r>
        <w:rPr>
          <w:bCs/>
          <w:color w:val="auto"/>
          <w:sz w:val="24"/>
          <w:szCs w:val="24"/>
          <w:highlight w:val="none"/>
        </w:rPr>
        <w:t xml:space="preserve">套装双真空保温隔热板粘结； </w:t>
      </w:r>
    </w:p>
    <w:p w14:paraId="5EB10415">
      <w:pPr>
        <w:pStyle w:val="27"/>
        <w:numPr>
          <w:ilvl w:val="0"/>
          <w:numId w:val="47"/>
        </w:numPr>
        <w:spacing w:line="360" w:lineRule="auto"/>
        <w:ind w:left="0" w:firstLine="720" w:firstLineChars="300"/>
        <w:rPr>
          <w:bCs/>
          <w:color w:val="auto"/>
          <w:sz w:val="24"/>
          <w:szCs w:val="24"/>
          <w:highlight w:val="none"/>
        </w:rPr>
      </w:pPr>
      <w:r>
        <w:rPr>
          <w:bCs/>
          <w:color w:val="auto"/>
          <w:sz w:val="24"/>
          <w:szCs w:val="24"/>
          <w:highlight w:val="none"/>
        </w:rPr>
        <w:t xml:space="preserve">套装双真空保温隔热板厚度； </w:t>
      </w:r>
    </w:p>
    <w:p w14:paraId="2DA507FF">
      <w:pPr>
        <w:pStyle w:val="27"/>
        <w:numPr>
          <w:ilvl w:val="0"/>
          <w:numId w:val="47"/>
        </w:numPr>
        <w:spacing w:line="360" w:lineRule="auto"/>
        <w:ind w:left="0" w:firstLine="720" w:firstLineChars="300"/>
        <w:rPr>
          <w:bCs/>
          <w:color w:val="auto"/>
          <w:sz w:val="24"/>
          <w:szCs w:val="24"/>
          <w:highlight w:val="none"/>
        </w:rPr>
      </w:pPr>
      <w:r>
        <w:rPr>
          <w:bCs/>
          <w:color w:val="auto"/>
          <w:sz w:val="24"/>
          <w:szCs w:val="24"/>
          <w:highlight w:val="none"/>
        </w:rPr>
        <w:t>锚栓节点做法</w:t>
      </w:r>
      <w:r>
        <w:rPr>
          <w:rFonts w:hint="eastAsia"/>
          <w:bCs/>
          <w:color w:val="auto"/>
          <w:sz w:val="24"/>
          <w:szCs w:val="24"/>
          <w:highlight w:val="none"/>
        </w:rPr>
        <w:t>，其中</w:t>
      </w:r>
      <w:r>
        <w:rPr>
          <w:rFonts w:hint="eastAsia"/>
          <w:color w:val="auto"/>
          <w:sz w:val="24"/>
          <w:highlight w:val="none"/>
        </w:rPr>
        <w:t>非透明幕墙</w:t>
      </w:r>
      <w:r>
        <w:rPr>
          <w:color w:val="auto"/>
          <w:sz w:val="24"/>
          <w:highlight w:val="none"/>
        </w:rPr>
        <w:t>套装双真空保温隔热板薄抹灰外墙外保温系统</w:t>
      </w:r>
      <w:r>
        <w:rPr>
          <w:rFonts w:hint="eastAsia"/>
          <w:color w:val="auto"/>
          <w:sz w:val="24"/>
          <w:highlight w:val="none"/>
        </w:rPr>
        <w:t>不包括此内容</w:t>
      </w:r>
      <w:r>
        <w:rPr>
          <w:bCs/>
          <w:color w:val="auto"/>
          <w:sz w:val="24"/>
          <w:szCs w:val="24"/>
          <w:highlight w:val="none"/>
        </w:rPr>
        <w:t xml:space="preserve">； </w:t>
      </w:r>
    </w:p>
    <w:p w14:paraId="306526C5">
      <w:pPr>
        <w:pStyle w:val="27"/>
        <w:numPr>
          <w:ilvl w:val="0"/>
          <w:numId w:val="47"/>
        </w:numPr>
        <w:spacing w:line="360" w:lineRule="auto"/>
        <w:ind w:left="0" w:firstLine="720" w:firstLineChars="300"/>
        <w:rPr>
          <w:bCs/>
          <w:color w:val="auto"/>
          <w:sz w:val="24"/>
          <w:szCs w:val="24"/>
          <w:highlight w:val="none"/>
        </w:rPr>
      </w:pPr>
      <w:r>
        <w:rPr>
          <w:bCs/>
          <w:color w:val="auto"/>
          <w:sz w:val="24"/>
          <w:szCs w:val="24"/>
          <w:highlight w:val="none"/>
        </w:rPr>
        <w:t xml:space="preserve">玻纤网铺设； </w:t>
      </w:r>
    </w:p>
    <w:p w14:paraId="4149369C">
      <w:pPr>
        <w:pStyle w:val="27"/>
        <w:numPr>
          <w:ilvl w:val="0"/>
          <w:numId w:val="47"/>
        </w:numPr>
        <w:spacing w:line="360" w:lineRule="auto"/>
        <w:ind w:left="0" w:firstLine="720" w:firstLineChars="300"/>
        <w:rPr>
          <w:bCs/>
          <w:color w:val="auto"/>
          <w:sz w:val="24"/>
          <w:szCs w:val="24"/>
          <w:highlight w:val="none"/>
        </w:rPr>
      </w:pPr>
      <w:r>
        <w:rPr>
          <w:bCs/>
          <w:color w:val="auto"/>
          <w:sz w:val="24"/>
          <w:szCs w:val="24"/>
          <w:highlight w:val="none"/>
        </w:rPr>
        <w:t xml:space="preserve">抹面层厚度； </w:t>
      </w:r>
    </w:p>
    <w:p w14:paraId="65EC0B16">
      <w:pPr>
        <w:pStyle w:val="27"/>
        <w:numPr>
          <w:ilvl w:val="0"/>
          <w:numId w:val="47"/>
        </w:numPr>
        <w:spacing w:line="360" w:lineRule="auto"/>
        <w:ind w:left="0" w:firstLine="720" w:firstLineChars="300"/>
        <w:rPr>
          <w:bCs/>
          <w:color w:val="auto"/>
          <w:sz w:val="24"/>
          <w:szCs w:val="24"/>
          <w:highlight w:val="none"/>
        </w:rPr>
      </w:pPr>
      <w:r>
        <w:rPr>
          <w:bCs/>
          <w:color w:val="auto"/>
          <w:sz w:val="24"/>
          <w:szCs w:val="24"/>
          <w:highlight w:val="none"/>
        </w:rPr>
        <w:t xml:space="preserve">热桥部位处理； </w:t>
      </w:r>
    </w:p>
    <w:p w14:paraId="1C10EAB3">
      <w:pPr>
        <w:pStyle w:val="27"/>
        <w:numPr>
          <w:ilvl w:val="0"/>
          <w:numId w:val="47"/>
        </w:numPr>
        <w:spacing w:line="360" w:lineRule="auto"/>
        <w:ind w:left="0" w:firstLine="720" w:firstLineChars="300"/>
        <w:rPr>
          <w:bCs/>
          <w:color w:val="auto"/>
          <w:sz w:val="24"/>
          <w:szCs w:val="24"/>
          <w:highlight w:val="none"/>
        </w:rPr>
      </w:pPr>
      <w:r>
        <w:rPr>
          <w:bCs/>
          <w:color w:val="auto"/>
          <w:sz w:val="24"/>
          <w:szCs w:val="24"/>
          <w:highlight w:val="none"/>
        </w:rPr>
        <w:t>各种变形缝处的节能施工做法；</w:t>
      </w:r>
    </w:p>
    <w:p w14:paraId="73EB6388">
      <w:pPr>
        <w:pStyle w:val="27"/>
        <w:numPr>
          <w:ilvl w:val="0"/>
          <w:numId w:val="47"/>
        </w:numPr>
        <w:spacing w:line="360" w:lineRule="auto"/>
        <w:ind w:left="0" w:firstLine="720" w:firstLineChars="300"/>
        <w:rPr>
          <w:bCs/>
          <w:color w:val="auto"/>
          <w:sz w:val="24"/>
          <w:szCs w:val="24"/>
          <w:highlight w:val="none"/>
        </w:rPr>
      </w:pPr>
      <w:r>
        <w:rPr>
          <w:bCs/>
          <w:color w:val="auto"/>
          <w:sz w:val="24"/>
          <w:szCs w:val="24"/>
          <w:highlight w:val="none"/>
        </w:rPr>
        <w:t>保温层附着的基层墙体及其表面处理。</w:t>
      </w:r>
    </w:p>
    <w:p w14:paraId="3043961D">
      <w:pPr>
        <w:pStyle w:val="27"/>
        <w:numPr>
          <w:ilvl w:val="0"/>
          <w:numId w:val="46"/>
        </w:numPr>
        <w:spacing w:line="360" w:lineRule="auto"/>
        <w:ind w:firstLineChars="0"/>
        <w:rPr>
          <w:bCs/>
          <w:color w:val="auto"/>
          <w:sz w:val="24"/>
          <w:szCs w:val="24"/>
          <w:highlight w:val="none"/>
        </w:rPr>
      </w:pPr>
      <w:r>
        <w:rPr>
          <w:bCs/>
          <w:color w:val="auto"/>
          <w:sz w:val="24"/>
          <w:szCs w:val="24"/>
          <w:highlight w:val="none"/>
        </w:rPr>
        <w:t>套装双真空保温隔热装饰板外墙保温工程：</w:t>
      </w:r>
    </w:p>
    <w:p w14:paraId="4CD06538">
      <w:pPr>
        <w:pStyle w:val="27"/>
        <w:numPr>
          <w:ilvl w:val="0"/>
          <w:numId w:val="48"/>
        </w:numPr>
        <w:spacing w:line="360" w:lineRule="auto"/>
        <w:ind w:left="0" w:firstLine="720" w:firstLineChars="300"/>
        <w:rPr>
          <w:bCs/>
          <w:color w:val="auto"/>
          <w:sz w:val="24"/>
          <w:szCs w:val="24"/>
          <w:highlight w:val="none"/>
        </w:rPr>
      </w:pPr>
      <w:r>
        <w:rPr>
          <w:bCs/>
          <w:color w:val="auto"/>
          <w:sz w:val="24"/>
          <w:szCs w:val="24"/>
          <w:highlight w:val="none"/>
        </w:rPr>
        <w:t xml:space="preserve">套装双真空保温隔热装饰板粘结或固定； </w:t>
      </w:r>
    </w:p>
    <w:p w14:paraId="197B8F6D">
      <w:pPr>
        <w:pStyle w:val="27"/>
        <w:numPr>
          <w:ilvl w:val="0"/>
          <w:numId w:val="48"/>
        </w:numPr>
        <w:spacing w:line="360" w:lineRule="auto"/>
        <w:ind w:left="0" w:firstLine="720" w:firstLineChars="300"/>
        <w:rPr>
          <w:bCs/>
          <w:color w:val="auto"/>
          <w:sz w:val="24"/>
          <w:szCs w:val="24"/>
          <w:highlight w:val="none"/>
        </w:rPr>
      </w:pPr>
      <w:r>
        <w:rPr>
          <w:bCs/>
          <w:color w:val="auto"/>
          <w:sz w:val="24"/>
          <w:szCs w:val="24"/>
          <w:highlight w:val="none"/>
        </w:rPr>
        <w:t xml:space="preserve">套装双真空保温隔热装饰板中保温材料厚度； </w:t>
      </w:r>
    </w:p>
    <w:p w14:paraId="4C2C7B6A">
      <w:pPr>
        <w:pStyle w:val="27"/>
        <w:numPr>
          <w:ilvl w:val="0"/>
          <w:numId w:val="48"/>
        </w:numPr>
        <w:spacing w:line="360" w:lineRule="auto"/>
        <w:ind w:left="0" w:firstLine="720" w:firstLineChars="300"/>
        <w:rPr>
          <w:bCs/>
          <w:color w:val="auto"/>
          <w:sz w:val="24"/>
          <w:szCs w:val="24"/>
          <w:highlight w:val="none"/>
        </w:rPr>
      </w:pPr>
      <w:r>
        <w:rPr>
          <w:bCs/>
          <w:color w:val="auto"/>
          <w:sz w:val="24"/>
          <w:szCs w:val="24"/>
          <w:highlight w:val="none"/>
        </w:rPr>
        <w:t xml:space="preserve">锚固组件节点做法； </w:t>
      </w:r>
    </w:p>
    <w:p w14:paraId="6802809F">
      <w:pPr>
        <w:pStyle w:val="27"/>
        <w:numPr>
          <w:ilvl w:val="0"/>
          <w:numId w:val="48"/>
        </w:numPr>
        <w:spacing w:line="360" w:lineRule="auto"/>
        <w:ind w:left="0" w:firstLine="720" w:firstLineChars="300"/>
        <w:rPr>
          <w:bCs/>
          <w:color w:val="auto"/>
          <w:sz w:val="24"/>
          <w:szCs w:val="24"/>
          <w:highlight w:val="none"/>
        </w:rPr>
      </w:pPr>
      <w:r>
        <w:rPr>
          <w:bCs/>
          <w:color w:val="auto"/>
          <w:sz w:val="24"/>
          <w:szCs w:val="24"/>
          <w:highlight w:val="none"/>
        </w:rPr>
        <w:t xml:space="preserve">热桥部位处理； </w:t>
      </w:r>
    </w:p>
    <w:p w14:paraId="6F16E246">
      <w:pPr>
        <w:pStyle w:val="27"/>
        <w:numPr>
          <w:ilvl w:val="0"/>
          <w:numId w:val="48"/>
        </w:numPr>
        <w:spacing w:line="360" w:lineRule="auto"/>
        <w:ind w:left="0" w:firstLine="720" w:firstLineChars="300"/>
        <w:rPr>
          <w:bCs/>
          <w:color w:val="auto"/>
          <w:sz w:val="24"/>
          <w:szCs w:val="24"/>
          <w:highlight w:val="none"/>
        </w:rPr>
      </w:pPr>
      <w:r>
        <w:rPr>
          <w:bCs/>
          <w:color w:val="auto"/>
          <w:sz w:val="24"/>
          <w:szCs w:val="24"/>
          <w:highlight w:val="none"/>
        </w:rPr>
        <w:t>各种变形缝处的节能施工做法；</w:t>
      </w:r>
    </w:p>
    <w:p w14:paraId="0B1065BF">
      <w:pPr>
        <w:pStyle w:val="27"/>
        <w:numPr>
          <w:ilvl w:val="0"/>
          <w:numId w:val="48"/>
        </w:numPr>
        <w:spacing w:line="360" w:lineRule="auto"/>
        <w:ind w:left="0" w:firstLine="720" w:firstLineChars="300"/>
        <w:rPr>
          <w:bCs/>
          <w:color w:val="auto"/>
          <w:sz w:val="24"/>
          <w:szCs w:val="24"/>
          <w:highlight w:val="none"/>
        </w:rPr>
      </w:pPr>
      <w:r>
        <w:rPr>
          <w:bCs/>
          <w:color w:val="auto"/>
          <w:sz w:val="24"/>
          <w:szCs w:val="24"/>
          <w:highlight w:val="none"/>
        </w:rPr>
        <w:t>保温层附着的基层墙体及其表面处理。</w:t>
      </w:r>
    </w:p>
    <w:p w14:paraId="2D7ADADD">
      <w:pPr>
        <w:pStyle w:val="27"/>
        <w:numPr>
          <w:ilvl w:val="0"/>
          <w:numId w:val="46"/>
        </w:numPr>
        <w:spacing w:line="360" w:lineRule="auto"/>
        <w:ind w:left="854" w:hanging="372" w:firstLineChars="0"/>
        <w:rPr>
          <w:b w:val="0"/>
          <w:bCs/>
          <w:color w:val="auto"/>
          <w:sz w:val="24"/>
          <w:szCs w:val="24"/>
          <w:highlight w:val="none"/>
        </w:rPr>
      </w:pPr>
      <w:r>
        <w:rPr>
          <w:rFonts w:hint="eastAsia"/>
          <w:bCs/>
          <w:color w:val="auto"/>
          <w:sz w:val="24"/>
          <w:szCs w:val="24"/>
          <w:highlight w:val="none"/>
        </w:rPr>
        <w:t>套装双真空保温隔热板</w:t>
      </w:r>
      <w:r>
        <w:rPr>
          <w:rFonts w:hint="eastAsia"/>
          <w:b w:val="0"/>
          <w:bCs/>
          <w:color w:val="auto"/>
          <w:sz w:val="24"/>
          <w:szCs w:val="24"/>
          <w:highlight w:val="none"/>
        </w:rPr>
        <w:t>复合预制墙板工程</w:t>
      </w:r>
    </w:p>
    <w:p w14:paraId="7A8E7EB8">
      <w:pPr>
        <w:pStyle w:val="27"/>
        <w:numPr>
          <w:ilvl w:val="0"/>
          <w:numId w:val="49"/>
        </w:numPr>
        <w:spacing w:line="360" w:lineRule="auto"/>
        <w:ind w:left="0" w:firstLine="720" w:firstLineChars="300"/>
        <w:rPr>
          <w:bCs/>
          <w:color w:val="auto"/>
          <w:sz w:val="24"/>
          <w:szCs w:val="24"/>
          <w:highlight w:val="none"/>
        </w:rPr>
      </w:pPr>
      <w:r>
        <w:rPr>
          <w:rFonts w:hint="eastAsia"/>
          <w:bCs/>
          <w:color w:val="auto"/>
          <w:sz w:val="24"/>
          <w:szCs w:val="24"/>
          <w:highlight w:val="none"/>
        </w:rPr>
        <w:t>墙板板缝、构造节点及固定方式；</w:t>
      </w:r>
    </w:p>
    <w:p w14:paraId="51EAF55E">
      <w:pPr>
        <w:pStyle w:val="27"/>
        <w:numPr>
          <w:ilvl w:val="0"/>
          <w:numId w:val="49"/>
        </w:numPr>
        <w:spacing w:line="360" w:lineRule="auto"/>
        <w:ind w:left="0" w:firstLine="720" w:firstLineChars="300"/>
        <w:rPr>
          <w:bCs/>
          <w:color w:val="auto"/>
          <w:sz w:val="24"/>
          <w:szCs w:val="24"/>
          <w:highlight w:val="none"/>
        </w:rPr>
      </w:pPr>
      <w:r>
        <w:rPr>
          <w:rFonts w:hint="eastAsia"/>
          <w:bCs/>
          <w:color w:val="auto"/>
          <w:sz w:val="24"/>
          <w:szCs w:val="24"/>
          <w:highlight w:val="none"/>
        </w:rPr>
        <w:t>预埋件；</w:t>
      </w:r>
    </w:p>
    <w:p w14:paraId="386C0D88">
      <w:pPr>
        <w:pStyle w:val="27"/>
        <w:numPr>
          <w:ilvl w:val="0"/>
          <w:numId w:val="49"/>
        </w:numPr>
        <w:spacing w:line="360" w:lineRule="auto"/>
        <w:ind w:left="0" w:firstLine="720" w:firstLineChars="300"/>
        <w:rPr>
          <w:bCs/>
          <w:color w:val="auto"/>
          <w:sz w:val="24"/>
          <w:szCs w:val="24"/>
          <w:highlight w:val="none"/>
        </w:rPr>
      </w:pPr>
      <w:r>
        <w:rPr>
          <w:rFonts w:hint="eastAsia" w:ascii="Times New Roman" w:hAnsi="Times New Roman"/>
          <w:bCs/>
          <w:color w:val="auto"/>
          <w:sz w:val="24"/>
          <w:szCs w:val="24"/>
          <w:highlight w:val="none"/>
        </w:rPr>
        <w:t>热桥部位处理；</w:t>
      </w:r>
    </w:p>
    <w:p w14:paraId="23005BC2">
      <w:pPr>
        <w:pStyle w:val="27"/>
        <w:numPr>
          <w:ilvl w:val="0"/>
          <w:numId w:val="49"/>
        </w:numPr>
        <w:spacing w:line="360" w:lineRule="auto"/>
        <w:ind w:left="0" w:firstLine="720" w:firstLineChars="300"/>
        <w:rPr>
          <w:bCs/>
          <w:color w:val="auto"/>
          <w:sz w:val="24"/>
          <w:szCs w:val="24"/>
          <w:highlight w:val="none"/>
        </w:rPr>
      </w:pPr>
      <w:r>
        <w:rPr>
          <w:rFonts w:hint="eastAsia" w:ascii="Times New Roman" w:hAnsi="Times New Roman"/>
          <w:bCs/>
          <w:color w:val="auto"/>
          <w:sz w:val="24"/>
          <w:szCs w:val="24"/>
          <w:highlight w:val="none"/>
        </w:rPr>
        <w:t>各种变形缝处的节能施工做法。</w:t>
      </w:r>
    </w:p>
    <w:p w14:paraId="7CBF9394">
      <w:pPr>
        <w:spacing w:line="360" w:lineRule="auto"/>
        <w:rPr>
          <w:rFonts w:ascii="仿宋_GB2312" w:eastAsia="仿宋_GB2312"/>
          <w:color w:val="auto"/>
          <w:sz w:val="24"/>
          <w:highlight w:val="none"/>
        </w:rPr>
      </w:pPr>
      <w:r>
        <w:rPr>
          <w:rFonts w:hint="eastAsia" w:ascii="仿宋_GB2312" w:eastAsia="仿宋_GB2312"/>
          <w:color w:val="auto"/>
          <w:sz w:val="24"/>
          <w:highlight w:val="none"/>
        </w:rPr>
        <w:t>【条文说明】</w:t>
      </w:r>
      <w:r>
        <w:rPr>
          <w:rFonts w:ascii="仿宋_GB2312" w:eastAsia="仿宋_GB2312"/>
          <w:color w:val="auto"/>
          <w:sz w:val="24"/>
          <w:highlight w:val="none"/>
        </w:rPr>
        <w:t>7.1.3</w:t>
      </w:r>
      <w:r>
        <w:rPr>
          <w:rFonts w:hint="eastAsia" w:ascii="仿宋_GB2312" w:eastAsia="仿宋_GB2312"/>
          <w:color w:val="auto"/>
          <w:sz w:val="24"/>
          <w:highlight w:val="none"/>
        </w:rPr>
        <w:t xml:space="preserve">  在整个墙体内保温工程中，基层处理、保温板粘贴或固定、保温层厚度、玻纤网铺设、抗裂层厚度、墙体热桥部位处理等均属于隐蔽工程，对工程质量影响很大，因此现行国家标准《</w:t>
      </w:r>
      <w:r>
        <w:rPr>
          <w:rFonts w:hint="eastAsia" w:ascii="仿宋_GB2312" w:eastAsia="仿宋_GB2312"/>
          <w:color w:val="auto"/>
          <w:sz w:val="24"/>
          <w:highlight w:val="none"/>
          <w:lang w:eastAsia="zh-CN"/>
        </w:rPr>
        <w:t>建筑节能工程施工质量验收标准</w:t>
      </w:r>
      <w:r>
        <w:rPr>
          <w:rFonts w:hint="eastAsia" w:ascii="仿宋_GB2312" w:eastAsia="仿宋_GB2312"/>
          <w:color w:val="auto"/>
          <w:sz w:val="24"/>
          <w:highlight w:val="none"/>
        </w:rPr>
        <w:t>》</w:t>
      </w:r>
      <w:r>
        <w:rPr>
          <w:rFonts w:hint="eastAsia" w:ascii="仿宋_GB2312" w:eastAsia="仿宋_GB2312"/>
          <w:color w:val="auto"/>
          <w:sz w:val="24"/>
          <w:highlight w:val="none"/>
          <w:lang w:eastAsia="zh-CN"/>
        </w:rPr>
        <w:t>GB 50411</w:t>
      </w:r>
      <w:r>
        <w:rPr>
          <w:rFonts w:hint="eastAsia" w:ascii="仿宋_GB2312" w:eastAsia="仿宋_GB2312"/>
          <w:color w:val="auto"/>
          <w:sz w:val="24"/>
          <w:highlight w:val="none"/>
        </w:rPr>
        <w:t>中要求在上述工序完成后要进行隐蔽工程验收并有详细的文字记录和必要的图像资料。</w:t>
      </w:r>
    </w:p>
    <w:p w14:paraId="57F53BF0">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套装双真空保温隔热板外保温工程验收的检验批划分应符合下列规定：</w:t>
      </w:r>
    </w:p>
    <w:p w14:paraId="12EBEA91">
      <w:pPr>
        <w:pStyle w:val="27"/>
        <w:numPr>
          <w:ilvl w:val="0"/>
          <w:numId w:val="50"/>
        </w:numPr>
        <w:spacing w:line="360" w:lineRule="auto"/>
        <w:ind w:left="0" w:firstLine="480"/>
        <w:rPr>
          <w:bCs/>
          <w:color w:val="auto"/>
          <w:sz w:val="24"/>
          <w:szCs w:val="24"/>
          <w:highlight w:val="none"/>
        </w:rPr>
      </w:pPr>
      <w:r>
        <w:rPr>
          <w:bCs/>
          <w:color w:val="auto"/>
          <w:sz w:val="24"/>
          <w:szCs w:val="24"/>
          <w:highlight w:val="none"/>
        </w:rPr>
        <w:t>采用相同材料、工艺和施工做法的墙面，扣除门窗洞口后的保温墙面面积，每1000m</w:t>
      </w:r>
      <w:r>
        <w:rPr>
          <w:bCs/>
          <w:color w:val="auto"/>
          <w:sz w:val="24"/>
          <w:szCs w:val="24"/>
          <w:highlight w:val="none"/>
          <w:vertAlign w:val="superscript"/>
        </w:rPr>
        <w:t>2</w:t>
      </w:r>
      <w:r>
        <w:rPr>
          <w:bCs/>
          <w:color w:val="auto"/>
          <w:sz w:val="24"/>
          <w:szCs w:val="24"/>
          <w:highlight w:val="none"/>
        </w:rPr>
        <w:t>划分为一个检验批，不足1000m</w:t>
      </w:r>
      <w:r>
        <w:rPr>
          <w:bCs/>
          <w:color w:val="auto"/>
          <w:sz w:val="24"/>
          <w:szCs w:val="24"/>
          <w:highlight w:val="none"/>
          <w:vertAlign w:val="superscript"/>
        </w:rPr>
        <w:t>2</w:t>
      </w:r>
      <w:r>
        <w:rPr>
          <w:bCs/>
          <w:color w:val="auto"/>
          <w:sz w:val="24"/>
          <w:szCs w:val="24"/>
          <w:highlight w:val="none"/>
        </w:rPr>
        <w:t>也为一个检验批；</w:t>
      </w:r>
    </w:p>
    <w:p w14:paraId="46469349">
      <w:pPr>
        <w:pStyle w:val="27"/>
        <w:numPr>
          <w:ilvl w:val="0"/>
          <w:numId w:val="50"/>
        </w:numPr>
        <w:spacing w:line="360" w:lineRule="auto"/>
        <w:ind w:left="0" w:firstLine="480"/>
        <w:rPr>
          <w:bCs/>
          <w:color w:val="auto"/>
          <w:sz w:val="24"/>
          <w:szCs w:val="24"/>
          <w:highlight w:val="none"/>
        </w:rPr>
      </w:pPr>
      <w:r>
        <w:rPr>
          <w:bCs/>
          <w:color w:val="auto"/>
          <w:sz w:val="24"/>
          <w:szCs w:val="24"/>
          <w:highlight w:val="none"/>
        </w:rPr>
        <w:t>检验批的划分也可根据与施工流程相一致且方便施工与验收的原则，由施工单位与监理单位或建设单位双方协商确定；</w:t>
      </w:r>
    </w:p>
    <w:p w14:paraId="6EECCD76">
      <w:pPr>
        <w:pStyle w:val="27"/>
        <w:numPr>
          <w:ilvl w:val="0"/>
          <w:numId w:val="50"/>
        </w:numPr>
        <w:spacing w:line="360" w:lineRule="auto"/>
        <w:ind w:left="0" w:firstLine="480"/>
        <w:rPr>
          <w:bCs/>
          <w:color w:val="auto"/>
          <w:sz w:val="24"/>
          <w:szCs w:val="24"/>
          <w:highlight w:val="none"/>
        </w:rPr>
      </w:pPr>
      <w:r>
        <w:rPr>
          <w:bCs/>
          <w:color w:val="auto"/>
          <w:sz w:val="24"/>
          <w:szCs w:val="24"/>
          <w:highlight w:val="none"/>
        </w:rPr>
        <w:t>当按计数方法抽样检验时，检验批最小抽样数量宜符合表7.1.4的规定。</w:t>
      </w:r>
    </w:p>
    <w:p w14:paraId="68C34FE7">
      <w:pPr>
        <w:widowControl/>
        <w:autoSpaceDE w:val="0"/>
        <w:autoSpaceDN w:val="0"/>
        <w:spacing w:before="156" w:beforeLines="50" w:after="156" w:afterLines="50"/>
        <w:jc w:val="center"/>
        <w:rPr>
          <w:color w:val="auto"/>
          <w:sz w:val="18"/>
          <w:szCs w:val="18"/>
          <w:highlight w:val="none"/>
        </w:rPr>
      </w:pPr>
      <w:r>
        <w:rPr>
          <w:color w:val="auto"/>
          <w:highlight w:val="none"/>
        </w:rPr>
        <w:t>表 7.1.4 检验批最小抽样数量</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14:paraId="1A55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0D09CE37">
            <w:pPr>
              <w:spacing w:line="360" w:lineRule="auto"/>
              <w:jc w:val="center"/>
              <w:rPr>
                <w:bCs/>
                <w:color w:val="auto"/>
                <w:highlight w:val="none"/>
              </w:rPr>
            </w:pPr>
            <w:r>
              <w:rPr>
                <w:bCs/>
                <w:color w:val="auto"/>
                <w:highlight w:val="none"/>
              </w:rPr>
              <w:t>检验批的容量</w:t>
            </w:r>
          </w:p>
        </w:tc>
        <w:tc>
          <w:tcPr>
            <w:tcW w:w="2074" w:type="dxa"/>
          </w:tcPr>
          <w:p w14:paraId="4888CE4C">
            <w:pPr>
              <w:spacing w:line="360" w:lineRule="auto"/>
              <w:jc w:val="center"/>
              <w:rPr>
                <w:bCs/>
                <w:color w:val="auto"/>
                <w:highlight w:val="none"/>
              </w:rPr>
            </w:pPr>
            <w:r>
              <w:rPr>
                <w:bCs/>
                <w:color w:val="auto"/>
                <w:highlight w:val="none"/>
              </w:rPr>
              <w:t>最小抽样数量</w:t>
            </w:r>
          </w:p>
        </w:tc>
        <w:tc>
          <w:tcPr>
            <w:tcW w:w="2074" w:type="dxa"/>
          </w:tcPr>
          <w:p w14:paraId="5D2EC67B">
            <w:pPr>
              <w:spacing w:line="360" w:lineRule="auto"/>
              <w:jc w:val="center"/>
              <w:rPr>
                <w:bCs/>
                <w:color w:val="auto"/>
                <w:highlight w:val="none"/>
              </w:rPr>
            </w:pPr>
            <w:r>
              <w:rPr>
                <w:bCs/>
                <w:color w:val="auto"/>
                <w:highlight w:val="none"/>
              </w:rPr>
              <w:t>检验批的容量</w:t>
            </w:r>
          </w:p>
        </w:tc>
        <w:tc>
          <w:tcPr>
            <w:tcW w:w="2074" w:type="dxa"/>
          </w:tcPr>
          <w:p w14:paraId="6C8CB562">
            <w:pPr>
              <w:spacing w:line="360" w:lineRule="auto"/>
              <w:jc w:val="center"/>
              <w:rPr>
                <w:bCs/>
                <w:color w:val="auto"/>
                <w:highlight w:val="none"/>
              </w:rPr>
            </w:pPr>
            <w:r>
              <w:rPr>
                <w:bCs/>
                <w:color w:val="auto"/>
                <w:highlight w:val="none"/>
              </w:rPr>
              <w:t>最小抽样数量</w:t>
            </w:r>
          </w:p>
        </w:tc>
      </w:tr>
      <w:tr w14:paraId="3C7A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3163D0BD">
            <w:pPr>
              <w:spacing w:line="360" w:lineRule="auto"/>
              <w:jc w:val="center"/>
              <w:rPr>
                <w:bCs/>
                <w:color w:val="auto"/>
                <w:highlight w:val="none"/>
              </w:rPr>
            </w:pPr>
            <w:r>
              <w:rPr>
                <w:bCs/>
                <w:color w:val="auto"/>
                <w:highlight w:val="none"/>
              </w:rPr>
              <w:t>2～15</w:t>
            </w:r>
          </w:p>
        </w:tc>
        <w:tc>
          <w:tcPr>
            <w:tcW w:w="2074" w:type="dxa"/>
          </w:tcPr>
          <w:p w14:paraId="496FA02B">
            <w:pPr>
              <w:spacing w:line="360" w:lineRule="auto"/>
              <w:jc w:val="center"/>
              <w:rPr>
                <w:bCs/>
                <w:color w:val="auto"/>
                <w:highlight w:val="none"/>
              </w:rPr>
            </w:pPr>
            <w:r>
              <w:rPr>
                <w:bCs/>
                <w:color w:val="auto"/>
                <w:highlight w:val="none"/>
              </w:rPr>
              <w:t>2</w:t>
            </w:r>
          </w:p>
        </w:tc>
        <w:tc>
          <w:tcPr>
            <w:tcW w:w="2074" w:type="dxa"/>
          </w:tcPr>
          <w:p w14:paraId="20336F68">
            <w:pPr>
              <w:spacing w:line="360" w:lineRule="auto"/>
              <w:jc w:val="center"/>
              <w:rPr>
                <w:bCs/>
                <w:color w:val="auto"/>
                <w:highlight w:val="none"/>
              </w:rPr>
            </w:pPr>
            <w:r>
              <w:rPr>
                <w:bCs/>
                <w:color w:val="auto"/>
                <w:highlight w:val="none"/>
              </w:rPr>
              <w:t>151～280</w:t>
            </w:r>
          </w:p>
        </w:tc>
        <w:tc>
          <w:tcPr>
            <w:tcW w:w="2074" w:type="dxa"/>
          </w:tcPr>
          <w:p w14:paraId="68E6647B">
            <w:pPr>
              <w:spacing w:line="360" w:lineRule="auto"/>
              <w:jc w:val="center"/>
              <w:rPr>
                <w:bCs/>
                <w:color w:val="auto"/>
                <w:highlight w:val="none"/>
              </w:rPr>
            </w:pPr>
            <w:r>
              <w:rPr>
                <w:bCs/>
                <w:color w:val="auto"/>
                <w:highlight w:val="none"/>
              </w:rPr>
              <w:t>13</w:t>
            </w:r>
          </w:p>
        </w:tc>
      </w:tr>
      <w:tr w14:paraId="0F3B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3C53889F">
            <w:pPr>
              <w:spacing w:line="360" w:lineRule="auto"/>
              <w:jc w:val="center"/>
              <w:rPr>
                <w:bCs/>
                <w:color w:val="auto"/>
                <w:highlight w:val="none"/>
              </w:rPr>
            </w:pPr>
            <w:r>
              <w:rPr>
                <w:bCs/>
                <w:color w:val="auto"/>
                <w:highlight w:val="none"/>
              </w:rPr>
              <w:t>16～25</w:t>
            </w:r>
          </w:p>
        </w:tc>
        <w:tc>
          <w:tcPr>
            <w:tcW w:w="2074" w:type="dxa"/>
          </w:tcPr>
          <w:p w14:paraId="10B754CC">
            <w:pPr>
              <w:spacing w:line="360" w:lineRule="auto"/>
              <w:jc w:val="center"/>
              <w:rPr>
                <w:bCs/>
                <w:color w:val="auto"/>
                <w:highlight w:val="none"/>
              </w:rPr>
            </w:pPr>
            <w:r>
              <w:rPr>
                <w:bCs/>
                <w:color w:val="auto"/>
                <w:highlight w:val="none"/>
              </w:rPr>
              <w:t>3</w:t>
            </w:r>
          </w:p>
        </w:tc>
        <w:tc>
          <w:tcPr>
            <w:tcW w:w="2074" w:type="dxa"/>
          </w:tcPr>
          <w:p w14:paraId="72C145A3">
            <w:pPr>
              <w:widowControl/>
              <w:jc w:val="center"/>
              <w:rPr>
                <w:bCs/>
                <w:color w:val="auto"/>
                <w:highlight w:val="none"/>
              </w:rPr>
            </w:pPr>
            <w:r>
              <w:rPr>
                <w:bCs/>
                <w:color w:val="auto"/>
                <w:highlight w:val="none"/>
              </w:rPr>
              <w:t xml:space="preserve">281～500 </w:t>
            </w:r>
          </w:p>
        </w:tc>
        <w:tc>
          <w:tcPr>
            <w:tcW w:w="2074" w:type="dxa"/>
          </w:tcPr>
          <w:p w14:paraId="6AA94835">
            <w:pPr>
              <w:spacing w:line="360" w:lineRule="auto"/>
              <w:jc w:val="center"/>
              <w:rPr>
                <w:bCs/>
                <w:color w:val="auto"/>
                <w:highlight w:val="none"/>
              </w:rPr>
            </w:pPr>
            <w:r>
              <w:rPr>
                <w:bCs/>
                <w:color w:val="auto"/>
                <w:highlight w:val="none"/>
              </w:rPr>
              <w:t>20</w:t>
            </w:r>
          </w:p>
        </w:tc>
      </w:tr>
      <w:tr w14:paraId="54DC9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76F9C0B1">
            <w:pPr>
              <w:spacing w:line="360" w:lineRule="auto"/>
              <w:jc w:val="center"/>
              <w:rPr>
                <w:bCs/>
                <w:color w:val="auto"/>
                <w:highlight w:val="none"/>
              </w:rPr>
            </w:pPr>
            <w:r>
              <w:rPr>
                <w:bCs/>
                <w:color w:val="auto"/>
                <w:highlight w:val="none"/>
              </w:rPr>
              <w:t>26～90</w:t>
            </w:r>
          </w:p>
        </w:tc>
        <w:tc>
          <w:tcPr>
            <w:tcW w:w="2074" w:type="dxa"/>
          </w:tcPr>
          <w:p w14:paraId="1D0A75EC">
            <w:pPr>
              <w:spacing w:line="360" w:lineRule="auto"/>
              <w:jc w:val="center"/>
              <w:rPr>
                <w:bCs/>
                <w:color w:val="auto"/>
                <w:highlight w:val="none"/>
              </w:rPr>
            </w:pPr>
            <w:r>
              <w:rPr>
                <w:bCs/>
                <w:color w:val="auto"/>
                <w:highlight w:val="none"/>
              </w:rPr>
              <w:t>5</w:t>
            </w:r>
          </w:p>
        </w:tc>
        <w:tc>
          <w:tcPr>
            <w:tcW w:w="2074" w:type="dxa"/>
          </w:tcPr>
          <w:p w14:paraId="0EA958F4">
            <w:pPr>
              <w:spacing w:line="360" w:lineRule="auto"/>
              <w:jc w:val="center"/>
              <w:rPr>
                <w:bCs/>
                <w:color w:val="auto"/>
                <w:highlight w:val="none"/>
              </w:rPr>
            </w:pPr>
            <w:r>
              <w:rPr>
                <w:bCs/>
                <w:color w:val="auto"/>
                <w:highlight w:val="none"/>
              </w:rPr>
              <w:t>501～1200</w:t>
            </w:r>
          </w:p>
        </w:tc>
        <w:tc>
          <w:tcPr>
            <w:tcW w:w="2074" w:type="dxa"/>
          </w:tcPr>
          <w:p w14:paraId="5F47D88B">
            <w:pPr>
              <w:spacing w:line="360" w:lineRule="auto"/>
              <w:jc w:val="center"/>
              <w:rPr>
                <w:bCs/>
                <w:color w:val="auto"/>
                <w:highlight w:val="none"/>
              </w:rPr>
            </w:pPr>
            <w:r>
              <w:rPr>
                <w:bCs/>
                <w:color w:val="auto"/>
                <w:highlight w:val="none"/>
              </w:rPr>
              <w:t>32</w:t>
            </w:r>
          </w:p>
        </w:tc>
      </w:tr>
      <w:tr w14:paraId="1924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tcPr>
          <w:p w14:paraId="52962F5D">
            <w:pPr>
              <w:spacing w:line="360" w:lineRule="auto"/>
              <w:jc w:val="center"/>
              <w:rPr>
                <w:bCs/>
                <w:color w:val="auto"/>
                <w:highlight w:val="none"/>
              </w:rPr>
            </w:pPr>
            <w:r>
              <w:rPr>
                <w:bCs/>
                <w:color w:val="auto"/>
                <w:highlight w:val="none"/>
              </w:rPr>
              <w:t>91～150</w:t>
            </w:r>
          </w:p>
        </w:tc>
        <w:tc>
          <w:tcPr>
            <w:tcW w:w="2074" w:type="dxa"/>
          </w:tcPr>
          <w:p w14:paraId="4A907381">
            <w:pPr>
              <w:spacing w:line="360" w:lineRule="auto"/>
              <w:jc w:val="center"/>
              <w:rPr>
                <w:bCs/>
                <w:color w:val="auto"/>
                <w:highlight w:val="none"/>
              </w:rPr>
            </w:pPr>
            <w:r>
              <w:rPr>
                <w:bCs/>
                <w:color w:val="auto"/>
                <w:highlight w:val="none"/>
              </w:rPr>
              <w:t>8</w:t>
            </w:r>
          </w:p>
        </w:tc>
        <w:tc>
          <w:tcPr>
            <w:tcW w:w="2074" w:type="dxa"/>
          </w:tcPr>
          <w:p w14:paraId="4B267CC8">
            <w:pPr>
              <w:spacing w:line="360" w:lineRule="auto"/>
              <w:jc w:val="center"/>
              <w:rPr>
                <w:bCs/>
                <w:color w:val="auto"/>
                <w:highlight w:val="none"/>
              </w:rPr>
            </w:pPr>
            <w:r>
              <w:rPr>
                <w:bCs/>
                <w:color w:val="auto"/>
                <w:highlight w:val="none"/>
              </w:rPr>
              <w:t>1201～3200</w:t>
            </w:r>
          </w:p>
        </w:tc>
        <w:tc>
          <w:tcPr>
            <w:tcW w:w="2074" w:type="dxa"/>
          </w:tcPr>
          <w:p w14:paraId="2B848722">
            <w:pPr>
              <w:spacing w:line="360" w:lineRule="auto"/>
              <w:jc w:val="center"/>
              <w:rPr>
                <w:bCs/>
                <w:color w:val="auto"/>
                <w:highlight w:val="none"/>
              </w:rPr>
            </w:pPr>
            <w:r>
              <w:rPr>
                <w:bCs/>
                <w:color w:val="auto"/>
                <w:highlight w:val="none"/>
              </w:rPr>
              <w:t>50</w:t>
            </w:r>
          </w:p>
        </w:tc>
      </w:tr>
    </w:tbl>
    <w:p w14:paraId="6B6CDC72">
      <w:pPr>
        <w:pStyle w:val="27"/>
        <w:spacing w:line="360" w:lineRule="auto"/>
        <w:ind w:firstLine="0" w:firstLineChars="0"/>
        <w:jc w:val="left"/>
        <w:rPr>
          <w:bCs/>
          <w:color w:val="auto"/>
          <w:sz w:val="24"/>
          <w:szCs w:val="24"/>
          <w:highlight w:val="none"/>
        </w:rPr>
      </w:pPr>
      <w:r>
        <w:rPr>
          <w:rFonts w:hint="eastAsia" w:ascii="仿宋_GB2312" w:eastAsia="仿宋_GB2312"/>
          <w:color w:val="auto"/>
          <w:sz w:val="24"/>
          <w:highlight w:val="none"/>
        </w:rPr>
        <w:t>【条文说明】</w:t>
      </w:r>
      <w:r>
        <w:rPr>
          <w:rFonts w:ascii="仿宋_GB2312" w:eastAsia="仿宋_GB2312"/>
          <w:color w:val="auto"/>
          <w:sz w:val="24"/>
          <w:highlight w:val="none"/>
        </w:rPr>
        <w:t>7.1.4</w:t>
      </w:r>
      <w:r>
        <w:rPr>
          <w:rFonts w:hint="eastAsia" w:ascii="仿宋_GB2312" w:eastAsia="仿宋_GB2312"/>
          <w:color w:val="auto"/>
          <w:sz w:val="24"/>
          <w:highlight w:val="none"/>
        </w:rPr>
        <w:t xml:space="preserve">  根据现行国家标准《</w:t>
      </w:r>
      <w:r>
        <w:rPr>
          <w:rFonts w:hint="eastAsia" w:ascii="仿宋_GB2312" w:eastAsia="仿宋_GB2312"/>
          <w:color w:val="auto"/>
          <w:sz w:val="24"/>
          <w:highlight w:val="none"/>
          <w:lang w:eastAsia="zh-CN"/>
        </w:rPr>
        <w:t>建筑节能工程施工质量验收标准</w:t>
      </w:r>
      <w:r>
        <w:rPr>
          <w:rFonts w:hint="eastAsia" w:ascii="仿宋_GB2312" w:eastAsia="仿宋_GB2312"/>
          <w:color w:val="auto"/>
          <w:sz w:val="24"/>
          <w:highlight w:val="none"/>
        </w:rPr>
        <w:t>》</w:t>
      </w:r>
      <w:r>
        <w:rPr>
          <w:rFonts w:hint="eastAsia" w:ascii="仿宋_GB2312" w:eastAsia="仿宋_GB2312"/>
          <w:color w:val="auto"/>
          <w:sz w:val="24"/>
          <w:highlight w:val="none"/>
          <w:lang w:eastAsia="zh-CN"/>
        </w:rPr>
        <w:t>GB 50411</w:t>
      </w:r>
      <w:r>
        <w:rPr>
          <w:rFonts w:hint="eastAsia" w:ascii="仿宋_GB2312" w:eastAsia="仿宋_GB2312"/>
          <w:color w:val="auto"/>
          <w:sz w:val="24"/>
          <w:highlight w:val="none"/>
        </w:rPr>
        <w:t>的有关规定，本条明确了现场抽样数量的要求。</w:t>
      </w:r>
    </w:p>
    <w:p w14:paraId="53B816DF">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检验批质量验收合格应符合下列规定：</w:t>
      </w:r>
    </w:p>
    <w:p w14:paraId="66B81081">
      <w:pPr>
        <w:pStyle w:val="27"/>
        <w:numPr>
          <w:ilvl w:val="0"/>
          <w:numId w:val="51"/>
        </w:numPr>
        <w:spacing w:line="440" w:lineRule="exact"/>
        <w:ind w:left="0" w:firstLine="480"/>
        <w:rPr>
          <w:bCs/>
          <w:color w:val="auto"/>
          <w:sz w:val="24"/>
          <w:szCs w:val="24"/>
          <w:highlight w:val="none"/>
        </w:rPr>
      </w:pPr>
      <w:r>
        <w:rPr>
          <w:bCs/>
          <w:color w:val="auto"/>
          <w:sz w:val="24"/>
          <w:szCs w:val="24"/>
          <w:highlight w:val="none"/>
        </w:rPr>
        <w:t>检验批应按主控项目和一般项目验收；</w:t>
      </w:r>
    </w:p>
    <w:p w14:paraId="1A5A21F0">
      <w:pPr>
        <w:pStyle w:val="27"/>
        <w:numPr>
          <w:ilvl w:val="0"/>
          <w:numId w:val="51"/>
        </w:numPr>
        <w:spacing w:line="440" w:lineRule="exact"/>
        <w:ind w:left="0" w:firstLine="480"/>
        <w:rPr>
          <w:bCs/>
          <w:color w:val="auto"/>
          <w:sz w:val="24"/>
          <w:szCs w:val="24"/>
          <w:highlight w:val="none"/>
        </w:rPr>
      </w:pPr>
      <w:r>
        <w:rPr>
          <w:bCs/>
          <w:color w:val="auto"/>
          <w:sz w:val="24"/>
          <w:szCs w:val="24"/>
          <w:highlight w:val="none"/>
        </w:rPr>
        <w:t>主控项目应全部合格；</w:t>
      </w:r>
    </w:p>
    <w:p w14:paraId="14347AFD">
      <w:pPr>
        <w:pStyle w:val="27"/>
        <w:numPr>
          <w:ilvl w:val="0"/>
          <w:numId w:val="51"/>
        </w:numPr>
        <w:spacing w:line="440" w:lineRule="exact"/>
        <w:ind w:left="0" w:firstLine="480"/>
        <w:rPr>
          <w:bCs/>
          <w:color w:val="auto"/>
          <w:sz w:val="24"/>
          <w:szCs w:val="24"/>
          <w:highlight w:val="none"/>
        </w:rPr>
      </w:pPr>
      <w:r>
        <w:rPr>
          <w:bCs/>
          <w:color w:val="auto"/>
          <w:sz w:val="24"/>
          <w:szCs w:val="24"/>
          <w:highlight w:val="none"/>
        </w:rPr>
        <w:t>一般项目采用计数检验时，应有90％以上的检查点合格，且其余检查点不</w:t>
      </w:r>
      <w:r>
        <w:rPr>
          <w:rFonts w:hint="eastAsia"/>
          <w:bCs/>
          <w:color w:val="auto"/>
          <w:sz w:val="24"/>
          <w:szCs w:val="24"/>
          <w:highlight w:val="none"/>
        </w:rPr>
        <w:t>应</w:t>
      </w:r>
      <w:r>
        <w:rPr>
          <w:bCs/>
          <w:color w:val="auto"/>
          <w:sz w:val="24"/>
          <w:szCs w:val="24"/>
          <w:highlight w:val="none"/>
        </w:rPr>
        <w:t>有严重缺陷；</w:t>
      </w:r>
    </w:p>
    <w:p w14:paraId="539DF71C">
      <w:pPr>
        <w:pStyle w:val="27"/>
        <w:numPr>
          <w:ilvl w:val="0"/>
          <w:numId w:val="51"/>
        </w:numPr>
        <w:spacing w:line="440" w:lineRule="exact"/>
        <w:ind w:left="0" w:firstLine="480"/>
        <w:rPr>
          <w:bCs/>
          <w:color w:val="auto"/>
          <w:sz w:val="24"/>
          <w:szCs w:val="24"/>
          <w:highlight w:val="none"/>
        </w:rPr>
      </w:pPr>
      <w:r>
        <w:rPr>
          <w:bCs/>
          <w:color w:val="auto"/>
          <w:sz w:val="24"/>
          <w:szCs w:val="24"/>
          <w:highlight w:val="none"/>
        </w:rPr>
        <w:t>应具有完整的施工操作依据和质量验收记录。</w:t>
      </w:r>
    </w:p>
    <w:p w14:paraId="4ABFF184">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套装双真空保温隔热板外保温</w:t>
      </w:r>
      <w:r>
        <w:rPr>
          <w:rFonts w:hint="eastAsia"/>
          <w:bCs/>
          <w:color w:val="auto"/>
          <w:sz w:val="24"/>
          <w:szCs w:val="24"/>
          <w:highlight w:val="none"/>
        </w:rPr>
        <w:t>分项工程质量验收合格应符合下列规定：</w:t>
      </w:r>
    </w:p>
    <w:p w14:paraId="286681F4">
      <w:pPr>
        <w:pStyle w:val="27"/>
        <w:numPr>
          <w:ilvl w:val="0"/>
          <w:numId w:val="52"/>
        </w:numPr>
        <w:spacing w:line="440" w:lineRule="exact"/>
        <w:ind w:firstLineChars="0"/>
        <w:rPr>
          <w:bCs/>
          <w:color w:val="auto"/>
          <w:sz w:val="24"/>
          <w:szCs w:val="24"/>
          <w:highlight w:val="none"/>
        </w:rPr>
      </w:pPr>
      <w:r>
        <w:rPr>
          <w:bCs/>
          <w:color w:val="auto"/>
          <w:sz w:val="24"/>
          <w:szCs w:val="24"/>
          <w:highlight w:val="none"/>
        </w:rPr>
        <w:t>检验批应按主控项目和一般项目验收；</w:t>
      </w:r>
    </w:p>
    <w:p w14:paraId="697A59F4">
      <w:pPr>
        <w:pStyle w:val="27"/>
        <w:numPr>
          <w:ilvl w:val="0"/>
          <w:numId w:val="52"/>
        </w:numPr>
        <w:spacing w:line="440" w:lineRule="exact"/>
        <w:ind w:left="0" w:firstLine="480" w:firstLineChars="0"/>
        <w:rPr>
          <w:bCs/>
          <w:color w:val="auto"/>
          <w:sz w:val="24"/>
          <w:szCs w:val="24"/>
          <w:highlight w:val="none"/>
        </w:rPr>
      </w:pPr>
      <w:r>
        <w:rPr>
          <w:bCs/>
          <w:color w:val="auto"/>
          <w:sz w:val="24"/>
          <w:szCs w:val="24"/>
          <w:highlight w:val="none"/>
        </w:rPr>
        <w:t>主控项目应全部合格</w:t>
      </w:r>
      <w:r>
        <w:rPr>
          <w:rFonts w:hint="eastAsia"/>
          <w:bCs/>
          <w:color w:val="auto"/>
          <w:sz w:val="24"/>
          <w:szCs w:val="24"/>
          <w:highlight w:val="none"/>
        </w:rPr>
        <w:t>。</w:t>
      </w:r>
    </w:p>
    <w:p w14:paraId="6BCDB08A">
      <w:pPr>
        <w:pStyle w:val="27"/>
        <w:numPr>
          <w:ilvl w:val="1"/>
          <w:numId w:val="2"/>
        </w:numPr>
        <w:ind w:left="567" w:firstLineChars="0"/>
        <w:jc w:val="center"/>
        <w:outlineLvl w:val="1"/>
        <w:rPr>
          <w:b/>
          <w:bCs w:val="0"/>
          <w:color w:val="auto"/>
          <w:sz w:val="28"/>
          <w:szCs w:val="24"/>
          <w:highlight w:val="none"/>
        </w:rPr>
      </w:pPr>
      <w:bookmarkStart w:id="92" w:name="_Toc141875155"/>
      <w:bookmarkStart w:id="93" w:name="_Toc28094"/>
      <w:r>
        <w:rPr>
          <w:b/>
          <w:bCs w:val="0"/>
          <w:color w:val="auto"/>
          <w:sz w:val="28"/>
          <w:szCs w:val="24"/>
          <w:highlight w:val="none"/>
        </w:rPr>
        <w:t>主控项目</w:t>
      </w:r>
      <w:bookmarkEnd w:id="92"/>
      <w:bookmarkEnd w:id="93"/>
    </w:p>
    <w:p w14:paraId="54AAAF0B">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套装双真空保温隔热板外保温工程使用的材料应由同一供应商配套供应，并应提供型式检验报告。所有材料应进行进场验收，验收结果应经监理工程师检查认可，且应形成相应的验收记录</w:t>
      </w:r>
      <w:r>
        <w:rPr>
          <w:rFonts w:hint="eastAsia"/>
          <w:bCs/>
          <w:color w:val="auto"/>
          <w:sz w:val="24"/>
          <w:szCs w:val="24"/>
          <w:highlight w:val="none"/>
        </w:rPr>
        <w:t>。</w:t>
      </w:r>
      <w:r>
        <w:rPr>
          <w:bCs/>
          <w:color w:val="auto"/>
          <w:sz w:val="24"/>
          <w:szCs w:val="24"/>
          <w:highlight w:val="none"/>
        </w:rPr>
        <w:t>各种材料的</w:t>
      </w:r>
      <w:r>
        <w:rPr>
          <w:rFonts w:hint="eastAsia"/>
          <w:bCs/>
          <w:color w:val="auto"/>
          <w:sz w:val="24"/>
          <w:szCs w:val="24"/>
          <w:highlight w:val="none"/>
        </w:rPr>
        <w:t>质量</w:t>
      </w:r>
      <w:r>
        <w:rPr>
          <w:bCs/>
          <w:color w:val="auto"/>
          <w:sz w:val="24"/>
          <w:szCs w:val="24"/>
          <w:highlight w:val="none"/>
        </w:rPr>
        <w:t>证明文件与相关技术资料应齐全，并应符合设计要求和国家现行有关标准的规定。</w:t>
      </w:r>
    </w:p>
    <w:p w14:paraId="00FE0F0D">
      <w:pPr>
        <w:spacing w:line="440" w:lineRule="exact"/>
        <w:ind w:firstLine="480" w:firstLineChars="200"/>
        <w:rPr>
          <w:color w:val="auto"/>
          <w:sz w:val="24"/>
          <w:szCs w:val="24"/>
          <w:highlight w:val="none"/>
        </w:rPr>
      </w:pPr>
      <w:r>
        <w:rPr>
          <w:bCs/>
          <w:color w:val="auto"/>
          <w:sz w:val="24"/>
          <w:szCs w:val="24"/>
          <w:highlight w:val="none"/>
        </w:rPr>
        <w:t>检验方法：观察、尺量检查；检查质量证明文件</w:t>
      </w:r>
      <w:r>
        <w:rPr>
          <w:rFonts w:hint="eastAsia"/>
          <w:bCs/>
          <w:color w:val="auto"/>
          <w:sz w:val="24"/>
          <w:szCs w:val="24"/>
          <w:highlight w:val="none"/>
          <w:lang w:eastAsia="zh-CN"/>
        </w:rPr>
        <w:t>。</w:t>
      </w:r>
    </w:p>
    <w:p w14:paraId="74CC5056">
      <w:pPr>
        <w:spacing w:line="440" w:lineRule="exact"/>
        <w:ind w:firstLine="480" w:firstLineChars="200"/>
        <w:rPr>
          <w:color w:val="auto"/>
          <w:sz w:val="24"/>
          <w:szCs w:val="24"/>
          <w:highlight w:val="none"/>
        </w:rPr>
      </w:pPr>
      <w:r>
        <w:rPr>
          <w:color w:val="auto"/>
          <w:sz w:val="24"/>
          <w:szCs w:val="24"/>
          <w:highlight w:val="none"/>
        </w:rPr>
        <w:t>检查数量：</w:t>
      </w:r>
      <w:r>
        <w:rPr>
          <w:rFonts w:hint="eastAsia"/>
          <w:color w:val="auto"/>
          <w:sz w:val="24"/>
          <w:szCs w:val="24"/>
          <w:highlight w:val="none"/>
        </w:rPr>
        <w:t>按进场批次，每批随机抽取3个试样进行检查；质量证明文件应按其出厂检验批进行检查。</w:t>
      </w:r>
    </w:p>
    <w:p w14:paraId="484E296E">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套装双真空保温隔热板外保温工程所用主要组成材料进场时，应进行施工现场见证取样复验，结果应符合设计要求，复验项目应符合表7.2.2的规定。</w:t>
      </w:r>
    </w:p>
    <w:p w14:paraId="69DFC22F">
      <w:pPr>
        <w:spacing w:line="440" w:lineRule="exact"/>
        <w:ind w:firstLine="480" w:firstLineChars="200"/>
        <w:rPr>
          <w:bCs/>
          <w:color w:val="auto"/>
          <w:sz w:val="24"/>
          <w:szCs w:val="24"/>
          <w:highlight w:val="none"/>
        </w:rPr>
      </w:pPr>
      <w:r>
        <w:rPr>
          <w:bCs/>
          <w:color w:val="auto"/>
          <w:sz w:val="24"/>
          <w:szCs w:val="24"/>
          <w:highlight w:val="none"/>
        </w:rPr>
        <w:t>检验方法：现场随机见证取样送检，核查复验报告。</w:t>
      </w:r>
    </w:p>
    <w:p w14:paraId="75F76922">
      <w:pPr>
        <w:spacing w:line="440" w:lineRule="exact"/>
        <w:ind w:firstLine="480" w:firstLineChars="200"/>
        <w:rPr>
          <w:bCs/>
          <w:color w:val="auto"/>
          <w:sz w:val="24"/>
          <w:szCs w:val="24"/>
          <w:highlight w:val="none"/>
        </w:rPr>
      </w:pPr>
      <w:r>
        <w:rPr>
          <w:bCs/>
          <w:color w:val="auto"/>
          <w:sz w:val="24"/>
          <w:szCs w:val="24"/>
          <w:highlight w:val="none"/>
        </w:rPr>
        <w:t>检查数量：同厂家、同品种产品，按照保温墙面面积，在 5000m</w:t>
      </w:r>
      <w:r>
        <w:rPr>
          <w:bCs/>
          <w:color w:val="auto"/>
          <w:sz w:val="24"/>
          <w:szCs w:val="24"/>
          <w:highlight w:val="none"/>
          <w:vertAlign w:val="superscript"/>
        </w:rPr>
        <w:t>2</w:t>
      </w:r>
      <w:r>
        <w:rPr>
          <w:bCs/>
          <w:color w:val="auto"/>
          <w:sz w:val="24"/>
          <w:szCs w:val="24"/>
          <w:highlight w:val="none"/>
        </w:rPr>
        <w:t>以内时应复验1次；面积每增加 5000m</w:t>
      </w:r>
      <w:r>
        <w:rPr>
          <w:bCs/>
          <w:color w:val="auto"/>
          <w:sz w:val="24"/>
          <w:szCs w:val="24"/>
          <w:highlight w:val="none"/>
          <w:vertAlign w:val="superscript"/>
        </w:rPr>
        <w:t>2</w:t>
      </w:r>
      <w:r>
        <w:rPr>
          <w:bCs/>
          <w:color w:val="auto"/>
          <w:sz w:val="24"/>
          <w:szCs w:val="24"/>
          <w:highlight w:val="none"/>
        </w:rPr>
        <w:t>时应增加1次，增加的面积不足规定数量时也应增加1次。同工程项目、同施工单位且同时施工的多个单位工程，可合并计算保温墙面抽检面积。</w:t>
      </w:r>
      <w:r>
        <w:rPr>
          <w:rFonts w:hint="eastAsia"/>
          <w:bCs/>
          <w:color w:val="auto"/>
          <w:sz w:val="24"/>
          <w:szCs w:val="24"/>
          <w:highlight w:val="none"/>
        </w:rPr>
        <w:t>当获得建筑节能产品认证、具有节能标识或连续三次见证取样检验均一次检验合格时，其检验批的容量可扩大一倍。</w:t>
      </w:r>
    </w:p>
    <w:p w14:paraId="6C899200">
      <w:pPr>
        <w:widowControl/>
        <w:autoSpaceDE w:val="0"/>
        <w:autoSpaceDN w:val="0"/>
        <w:spacing w:before="156" w:beforeLines="50" w:after="156" w:afterLines="50"/>
        <w:jc w:val="center"/>
        <w:rPr>
          <w:color w:val="auto"/>
          <w:sz w:val="18"/>
          <w:szCs w:val="18"/>
          <w:highlight w:val="none"/>
        </w:rPr>
      </w:pPr>
      <w:r>
        <w:rPr>
          <w:color w:val="auto"/>
          <w:highlight w:val="none"/>
        </w:rPr>
        <w:t>表 7.1.4</w:t>
      </w:r>
      <w:r>
        <w:rPr>
          <w:color w:val="auto"/>
          <w:highlight w:val="none"/>
        </w:rPr>
        <w:tab/>
      </w:r>
      <w:r>
        <w:rPr>
          <w:color w:val="auto"/>
          <w:highlight w:val="none"/>
        </w:rPr>
        <w:t>套装双真空保温隔热板外保温工程主要组成材料复验项目</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1743"/>
        <w:gridCol w:w="4069"/>
      </w:tblGrid>
      <w:tr w14:paraId="0B6E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2F28D848">
            <w:pPr>
              <w:spacing w:line="360" w:lineRule="auto"/>
              <w:jc w:val="center"/>
              <w:rPr>
                <w:bCs/>
                <w:color w:val="auto"/>
                <w:highlight w:val="none"/>
              </w:rPr>
            </w:pPr>
            <w:r>
              <w:rPr>
                <w:bCs/>
                <w:color w:val="auto"/>
                <w:highlight w:val="none"/>
              </w:rPr>
              <w:t>类别</w:t>
            </w:r>
          </w:p>
        </w:tc>
        <w:tc>
          <w:tcPr>
            <w:tcW w:w="1743" w:type="dxa"/>
            <w:vAlign w:val="center"/>
          </w:tcPr>
          <w:p w14:paraId="1ECE00B4">
            <w:pPr>
              <w:spacing w:line="360" w:lineRule="auto"/>
              <w:jc w:val="center"/>
              <w:rPr>
                <w:bCs/>
                <w:color w:val="auto"/>
                <w:highlight w:val="none"/>
              </w:rPr>
            </w:pPr>
            <w:r>
              <w:rPr>
                <w:bCs/>
                <w:color w:val="auto"/>
                <w:highlight w:val="none"/>
              </w:rPr>
              <w:t>材料</w:t>
            </w:r>
          </w:p>
        </w:tc>
        <w:tc>
          <w:tcPr>
            <w:tcW w:w="4069" w:type="dxa"/>
            <w:vAlign w:val="center"/>
          </w:tcPr>
          <w:p w14:paraId="410BC036">
            <w:pPr>
              <w:spacing w:line="360" w:lineRule="auto"/>
              <w:jc w:val="center"/>
              <w:rPr>
                <w:bCs/>
                <w:color w:val="auto"/>
                <w:highlight w:val="none"/>
              </w:rPr>
            </w:pPr>
            <w:r>
              <w:rPr>
                <w:bCs/>
                <w:color w:val="auto"/>
                <w:highlight w:val="none"/>
              </w:rPr>
              <w:t>复验项目</w:t>
            </w:r>
          </w:p>
        </w:tc>
      </w:tr>
      <w:tr w14:paraId="59FF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restart"/>
            <w:vAlign w:val="center"/>
          </w:tcPr>
          <w:p w14:paraId="5537F441">
            <w:pPr>
              <w:spacing w:line="360" w:lineRule="auto"/>
              <w:jc w:val="center"/>
              <w:rPr>
                <w:bCs/>
                <w:color w:val="auto"/>
                <w:highlight w:val="none"/>
              </w:rPr>
            </w:pPr>
            <w:r>
              <w:rPr>
                <w:bCs/>
                <w:color w:val="auto"/>
                <w:highlight w:val="none"/>
              </w:rPr>
              <w:t>套装双真空保温隔热板薄抹灰外墙保温系统</w:t>
            </w:r>
            <w:r>
              <w:rPr>
                <w:rFonts w:hint="eastAsia"/>
                <w:bCs/>
                <w:color w:val="auto"/>
                <w:highlight w:val="none"/>
              </w:rPr>
              <w:t>工程</w:t>
            </w:r>
          </w:p>
        </w:tc>
        <w:tc>
          <w:tcPr>
            <w:tcW w:w="1743" w:type="dxa"/>
            <w:vAlign w:val="center"/>
          </w:tcPr>
          <w:p w14:paraId="67B40DA3">
            <w:pPr>
              <w:spacing w:line="360" w:lineRule="auto"/>
              <w:jc w:val="center"/>
              <w:rPr>
                <w:bCs/>
                <w:color w:val="auto"/>
                <w:highlight w:val="none"/>
              </w:rPr>
            </w:pPr>
            <w:r>
              <w:rPr>
                <w:color w:val="auto"/>
                <w:highlight w:val="none"/>
              </w:rPr>
              <w:t>套装双真空保温隔热板</w:t>
            </w:r>
          </w:p>
        </w:tc>
        <w:tc>
          <w:tcPr>
            <w:tcW w:w="4069" w:type="dxa"/>
            <w:vAlign w:val="center"/>
          </w:tcPr>
          <w:p w14:paraId="4E664223">
            <w:pPr>
              <w:spacing w:line="360" w:lineRule="auto"/>
              <w:jc w:val="center"/>
              <w:rPr>
                <w:bCs/>
                <w:color w:val="auto"/>
                <w:highlight w:val="none"/>
              </w:rPr>
            </w:pPr>
            <w:r>
              <w:rPr>
                <w:color w:val="auto"/>
                <w:highlight w:val="none"/>
              </w:rPr>
              <w:t>导热系数、垂直于板面抗拉强度，压缩强度</w:t>
            </w:r>
          </w:p>
        </w:tc>
      </w:tr>
      <w:tr w14:paraId="5E46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vAlign w:val="center"/>
          </w:tcPr>
          <w:p w14:paraId="41A80BD1">
            <w:pPr>
              <w:spacing w:line="360" w:lineRule="auto"/>
              <w:jc w:val="center"/>
              <w:rPr>
                <w:bCs/>
                <w:color w:val="auto"/>
                <w:highlight w:val="none"/>
              </w:rPr>
            </w:pPr>
          </w:p>
        </w:tc>
        <w:tc>
          <w:tcPr>
            <w:tcW w:w="1743" w:type="dxa"/>
            <w:vAlign w:val="center"/>
          </w:tcPr>
          <w:p w14:paraId="71E1DD5D">
            <w:pPr>
              <w:spacing w:line="360" w:lineRule="auto"/>
              <w:jc w:val="center"/>
              <w:rPr>
                <w:bCs/>
                <w:color w:val="auto"/>
                <w:highlight w:val="none"/>
              </w:rPr>
            </w:pPr>
            <w:r>
              <w:rPr>
                <w:color w:val="auto"/>
                <w:highlight w:val="none"/>
              </w:rPr>
              <w:t>胶粘剂</w:t>
            </w:r>
          </w:p>
        </w:tc>
        <w:tc>
          <w:tcPr>
            <w:tcW w:w="4069" w:type="dxa"/>
            <w:vAlign w:val="center"/>
          </w:tcPr>
          <w:p w14:paraId="278D265E">
            <w:pPr>
              <w:spacing w:line="360" w:lineRule="auto"/>
              <w:jc w:val="center"/>
              <w:rPr>
                <w:bCs/>
                <w:color w:val="auto"/>
                <w:highlight w:val="none"/>
              </w:rPr>
            </w:pPr>
            <w:r>
              <w:rPr>
                <w:color w:val="auto"/>
                <w:highlight w:val="none"/>
              </w:rPr>
              <w:t>与水泥砂浆的拉伸粘结强度（原强度、耐水强度），与套装双真空保温隔热板的拉伸粘结强度（原强度、耐水强度）</w:t>
            </w:r>
          </w:p>
        </w:tc>
      </w:tr>
      <w:tr w14:paraId="4067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vAlign w:val="center"/>
          </w:tcPr>
          <w:p w14:paraId="3A94241A">
            <w:pPr>
              <w:spacing w:line="360" w:lineRule="auto"/>
              <w:jc w:val="center"/>
              <w:rPr>
                <w:bCs/>
                <w:color w:val="auto"/>
                <w:highlight w:val="none"/>
              </w:rPr>
            </w:pPr>
          </w:p>
        </w:tc>
        <w:tc>
          <w:tcPr>
            <w:tcW w:w="1743" w:type="dxa"/>
            <w:vAlign w:val="center"/>
          </w:tcPr>
          <w:p w14:paraId="178365C0">
            <w:pPr>
              <w:spacing w:line="360" w:lineRule="auto"/>
              <w:jc w:val="center"/>
              <w:rPr>
                <w:bCs/>
                <w:color w:val="auto"/>
                <w:highlight w:val="none"/>
              </w:rPr>
            </w:pPr>
            <w:r>
              <w:rPr>
                <w:color w:val="auto"/>
                <w:highlight w:val="none"/>
              </w:rPr>
              <w:t>抹面胶浆</w:t>
            </w:r>
          </w:p>
        </w:tc>
        <w:tc>
          <w:tcPr>
            <w:tcW w:w="4069" w:type="dxa"/>
            <w:vAlign w:val="center"/>
          </w:tcPr>
          <w:p w14:paraId="5C5421E2">
            <w:pPr>
              <w:widowControl/>
              <w:jc w:val="left"/>
              <w:rPr>
                <w:bCs/>
                <w:color w:val="auto"/>
                <w:highlight w:val="none"/>
              </w:rPr>
            </w:pPr>
            <w:r>
              <w:rPr>
                <w:color w:val="auto"/>
                <w:highlight w:val="none"/>
              </w:rPr>
              <w:t>与套装双真空保温隔热板的拉伸粘结强度（原强度、耐水强度），压折比</w:t>
            </w:r>
          </w:p>
        </w:tc>
      </w:tr>
      <w:tr w14:paraId="319C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vAlign w:val="center"/>
          </w:tcPr>
          <w:p w14:paraId="1DEE0A1B">
            <w:pPr>
              <w:spacing w:line="360" w:lineRule="auto"/>
              <w:jc w:val="center"/>
              <w:rPr>
                <w:bCs/>
                <w:color w:val="auto"/>
                <w:highlight w:val="none"/>
              </w:rPr>
            </w:pPr>
          </w:p>
        </w:tc>
        <w:tc>
          <w:tcPr>
            <w:tcW w:w="1743" w:type="dxa"/>
            <w:vAlign w:val="center"/>
          </w:tcPr>
          <w:p w14:paraId="7A845A16">
            <w:pPr>
              <w:spacing w:line="360" w:lineRule="auto"/>
              <w:jc w:val="center"/>
              <w:rPr>
                <w:bCs/>
                <w:color w:val="auto"/>
                <w:highlight w:val="none"/>
              </w:rPr>
            </w:pPr>
            <w:r>
              <w:rPr>
                <w:bCs/>
                <w:color w:val="auto"/>
                <w:highlight w:val="none"/>
              </w:rPr>
              <w:t>玻纤网</w:t>
            </w:r>
          </w:p>
        </w:tc>
        <w:tc>
          <w:tcPr>
            <w:tcW w:w="4069" w:type="dxa"/>
            <w:vAlign w:val="center"/>
          </w:tcPr>
          <w:p w14:paraId="399301D8">
            <w:pPr>
              <w:spacing w:line="360" w:lineRule="auto"/>
              <w:jc w:val="center"/>
              <w:rPr>
                <w:bCs/>
                <w:color w:val="auto"/>
                <w:highlight w:val="none"/>
              </w:rPr>
            </w:pPr>
            <w:r>
              <w:rPr>
                <w:color w:val="auto"/>
                <w:highlight w:val="none"/>
              </w:rPr>
              <w:t>耐碱断裂强力、耐碱断裂强力保留率</w:t>
            </w:r>
          </w:p>
        </w:tc>
      </w:tr>
      <w:tr w14:paraId="01E7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vAlign w:val="center"/>
          </w:tcPr>
          <w:p w14:paraId="0DFB266B">
            <w:pPr>
              <w:spacing w:line="360" w:lineRule="auto"/>
              <w:jc w:val="center"/>
              <w:rPr>
                <w:bCs/>
                <w:color w:val="auto"/>
                <w:highlight w:val="none"/>
              </w:rPr>
            </w:pPr>
          </w:p>
        </w:tc>
        <w:tc>
          <w:tcPr>
            <w:tcW w:w="1743" w:type="dxa"/>
            <w:vAlign w:val="center"/>
          </w:tcPr>
          <w:p w14:paraId="7800A3BF">
            <w:pPr>
              <w:spacing w:line="360" w:lineRule="auto"/>
              <w:jc w:val="center"/>
              <w:rPr>
                <w:bCs/>
                <w:color w:val="auto"/>
                <w:highlight w:val="none"/>
              </w:rPr>
            </w:pPr>
            <w:r>
              <w:rPr>
                <w:bCs/>
                <w:color w:val="auto"/>
                <w:highlight w:val="none"/>
              </w:rPr>
              <w:t>锚栓</w:t>
            </w:r>
            <w:r>
              <w:rPr>
                <w:rFonts w:hint="eastAsia"/>
                <w:bCs/>
                <w:color w:val="auto"/>
                <w:highlight w:val="none"/>
                <w:vertAlign w:val="superscript"/>
              </w:rPr>
              <w:t>1</w:t>
            </w:r>
          </w:p>
        </w:tc>
        <w:tc>
          <w:tcPr>
            <w:tcW w:w="4069" w:type="dxa"/>
            <w:vAlign w:val="center"/>
          </w:tcPr>
          <w:p w14:paraId="5875035F">
            <w:pPr>
              <w:spacing w:line="360" w:lineRule="auto"/>
              <w:jc w:val="center"/>
              <w:rPr>
                <w:bCs/>
                <w:color w:val="auto"/>
                <w:highlight w:val="none"/>
              </w:rPr>
            </w:pPr>
            <w:r>
              <w:rPr>
                <w:color w:val="auto"/>
                <w:highlight w:val="none"/>
              </w:rPr>
              <w:t>抗拉承载力标准值</w:t>
            </w:r>
          </w:p>
        </w:tc>
      </w:tr>
      <w:tr w14:paraId="6CE5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restart"/>
            <w:vAlign w:val="center"/>
          </w:tcPr>
          <w:p w14:paraId="5FD0197D">
            <w:pPr>
              <w:spacing w:line="360" w:lineRule="auto"/>
              <w:jc w:val="center"/>
              <w:rPr>
                <w:bCs/>
                <w:color w:val="auto"/>
                <w:highlight w:val="none"/>
              </w:rPr>
            </w:pPr>
            <w:r>
              <w:rPr>
                <w:bCs/>
                <w:color w:val="auto"/>
                <w:highlight w:val="none"/>
              </w:rPr>
              <w:t>套装双真空保温隔热装饰板外墙保温系统</w:t>
            </w:r>
            <w:r>
              <w:rPr>
                <w:rFonts w:hint="eastAsia"/>
                <w:bCs/>
                <w:color w:val="auto"/>
                <w:highlight w:val="none"/>
              </w:rPr>
              <w:t>工程</w:t>
            </w:r>
          </w:p>
        </w:tc>
        <w:tc>
          <w:tcPr>
            <w:tcW w:w="1743" w:type="dxa"/>
            <w:vAlign w:val="center"/>
          </w:tcPr>
          <w:p w14:paraId="4C5E934E">
            <w:pPr>
              <w:spacing w:line="360" w:lineRule="auto"/>
              <w:jc w:val="center"/>
              <w:rPr>
                <w:bCs/>
                <w:color w:val="auto"/>
                <w:highlight w:val="none"/>
              </w:rPr>
            </w:pPr>
            <w:r>
              <w:rPr>
                <w:bCs/>
                <w:color w:val="auto"/>
                <w:highlight w:val="none"/>
              </w:rPr>
              <w:t>套装双真空保温隔热装饰板</w:t>
            </w:r>
          </w:p>
        </w:tc>
        <w:tc>
          <w:tcPr>
            <w:tcW w:w="4069" w:type="dxa"/>
            <w:vAlign w:val="center"/>
          </w:tcPr>
          <w:p w14:paraId="12AEDB46">
            <w:pPr>
              <w:spacing w:line="360" w:lineRule="auto"/>
              <w:jc w:val="center"/>
              <w:rPr>
                <w:bCs/>
                <w:color w:val="auto"/>
                <w:highlight w:val="none"/>
              </w:rPr>
            </w:pPr>
            <w:r>
              <w:rPr>
                <w:bCs/>
                <w:color w:val="auto"/>
                <w:highlight w:val="none"/>
              </w:rPr>
              <w:t>单位面积质量、拉伸粘结强度（原强度）、保温材料导热系数</w:t>
            </w:r>
          </w:p>
        </w:tc>
      </w:tr>
      <w:tr w14:paraId="14D7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vAlign w:val="center"/>
          </w:tcPr>
          <w:p w14:paraId="2B6DAFB0">
            <w:pPr>
              <w:spacing w:line="360" w:lineRule="auto"/>
              <w:jc w:val="center"/>
              <w:rPr>
                <w:bCs/>
                <w:color w:val="auto"/>
                <w:highlight w:val="none"/>
              </w:rPr>
            </w:pPr>
          </w:p>
        </w:tc>
        <w:tc>
          <w:tcPr>
            <w:tcW w:w="1743" w:type="dxa"/>
            <w:vAlign w:val="center"/>
          </w:tcPr>
          <w:p w14:paraId="7810FA9B">
            <w:pPr>
              <w:spacing w:line="360" w:lineRule="auto"/>
              <w:jc w:val="center"/>
              <w:rPr>
                <w:bCs/>
                <w:color w:val="auto"/>
                <w:highlight w:val="none"/>
              </w:rPr>
            </w:pPr>
            <w:r>
              <w:rPr>
                <w:bCs/>
                <w:color w:val="auto"/>
                <w:highlight w:val="none"/>
              </w:rPr>
              <w:t>粘结砂浆</w:t>
            </w:r>
          </w:p>
        </w:tc>
        <w:tc>
          <w:tcPr>
            <w:tcW w:w="4069" w:type="dxa"/>
            <w:vAlign w:val="center"/>
          </w:tcPr>
          <w:p w14:paraId="3FBDB4BF">
            <w:pPr>
              <w:spacing w:line="360" w:lineRule="auto"/>
              <w:jc w:val="center"/>
              <w:rPr>
                <w:bCs/>
                <w:color w:val="auto"/>
                <w:highlight w:val="none"/>
              </w:rPr>
            </w:pPr>
            <w:r>
              <w:rPr>
                <w:bCs/>
                <w:color w:val="auto"/>
                <w:highlight w:val="none"/>
              </w:rPr>
              <w:t>与套装双真空保温隔热装饰板的拉伸粘结强度（原强度）</w:t>
            </w:r>
          </w:p>
        </w:tc>
      </w:tr>
      <w:tr w14:paraId="4A9B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Merge w:val="continue"/>
            <w:vAlign w:val="center"/>
          </w:tcPr>
          <w:p w14:paraId="5AA76215">
            <w:pPr>
              <w:spacing w:line="360" w:lineRule="auto"/>
              <w:jc w:val="center"/>
              <w:rPr>
                <w:bCs/>
                <w:color w:val="auto"/>
                <w:highlight w:val="none"/>
              </w:rPr>
            </w:pPr>
          </w:p>
        </w:tc>
        <w:tc>
          <w:tcPr>
            <w:tcW w:w="1743" w:type="dxa"/>
            <w:vAlign w:val="center"/>
          </w:tcPr>
          <w:p w14:paraId="40D33520">
            <w:pPr>
              <w:spacing w:line="360" w:lineRule="auto"/>
              <w:jc w:val="center"/>
              <w:rPr>
                <w:bCs/>
                <w:color w:val="auto"/>
                <w:highlight w:val="none"/>
              </w:rPr>
            </w:pPr>
            <w:r>
              <w:rPr>
                <w:bCs/>
                <w:color w:val="auto"/>
                <w:highlight w:val="none"/>
              </w:rPr>
              <w:t>锚固组件</w:t>
            </w:r>
          </w:p>
        </w:tc>
        <w:tc>
          <w:tcPr>
            <w:tcW w:w="4069" w:type="dxa"/>
            <w:vAlign w:val="center"/>
          </w:tcPr>
          <w:p w14:paraId="2D8C0FC6">
            <w:pPr>
              <w:spacing w:line="360" w:lineRule="auto"/>
              <w:jc w:val="center"/>
              <w:rPr>
                <w:bCs/>
                <w:color w:val="auto"/>
                <w:highlight w:val="none"/>
              </w:rPr>
            </w:pPr>
            <w:r>
              <w:rPr>
                <w:bCs/>
                <w:color w:val="auto"/>
                <w:highlight w:val="none"/>
              </w:rPr>
              <w:t>拉拔力标准值</w:t>
            </w:r>
          </w:p>
        </w:tc>
      </w:tr>
      <w:tr w14:paraId="115B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14:paraId="43C97F6C">
            <w:pPr>
              <w:spacing w:line="360" w:lineRule="auto"/>
              <w:jc w:val="center"/>
              <w:rPr>
                <w:bCs/>
                <w:color w:val="auto"/>
                <w:highlight w:val="none"/>
              </w:rPr>
            </w:pPr>
            <w:r>
              <w:rPr>
                <w:rFonts w:hint="eastAsia"/>
                <w:bCs/>
                <w:color w:val="auto"/>
                <w:highlight w:val="none"/>
              </w:rPr>
              <w:t>套装双真空保温隔热板</w:t>
            </w:r>
            <w:r>
              <w:rPr>
                <w:rFonts w:hint="eastAsia"/>
                <w:b w:val="0"/>
                <w:bCs/>
                <w:color w:val="auto"/>
                <w:sz w:val="21"/>
                <w:highlight w:val="none"/>
              </w:rPr>
              <w:t>复合预制墙板</w:t>
            </w:r>
            <w:r>
              <w:rPr>
                <w:rFonts w:hint="eastAsia"/>
                <w:bCs/>
                <w:color w:val="auto"/>
                <w:highlight w:val="none"/>
              </w:rPr>
              <w:t>工程</w:t>
            </w:r>
          </w:p>
        </w:tc>
        <w:tc>
          <w:tcPr>
            <w:tcW w:w="1743" w:type="dxa"/>
            <w:vAlign w:val="center"/>
          </w:tcPr>
          <w:p w14:paraId="276802F9">
            <w:pPr>
              <w:spacing w:line="360" w:lineRule="auto"/>
              <w:jc w:val="center"/>
              <w:rPr>
                <w:bCs/>
                <w:color w:val="auto"/>
                <w:highlight w:val="none"/>
              </w:rPr>
            </w:pPr>
            <w:r>
              <w:rPr>
                <w:color w:val="auto"/>
                <w:highlight w:val="none"/>
              </w:rPr>
              <w:t>套装双真空保温隔热板</w:t>
            </w:r>
            <w:r>
              <w:rPr>
                <w:highlight w:val="none"/>
                <w:vertAlign w:val="superscript"/>
              </w:rPr>
              <w:t>2</w:t>
            </w:r>
            <w:r>
              <w:rPr>
                <w:highlight w:val="none"/>
              </w:rPr>
              <w:t xml:space="preserve">  </w:t>
            </w:r>
          </w:p>
        </w:tc>
        <w:tc>
          <w:tcPr>
            <w:tcW w:w="4069" w:type="dxa"/>
            <w:vAlign w:val="center"/>
          </w:tcPr>
          <w:p w14:paraId="340A958E">
            <w:pPr>
              <w:spacing w:line="360" w:lineRule="auto"/>
              <w:jc w:val="center"/>
              <w:rPr>
                <w:bCs/>
                <w:color w:val="auto"/>
                <w:highlight w:val="none"/>
              </w:rPr>
            </w:pPr>
            <w:r>
              <w:rPr>
                <w:color w:val="auto"/>
                <w:highlight w:val="none"/>
              </w:rPr>
              <w:t>导热系数、垂直于板面抗拉强度，压缩强度</w:t>
            </w:r>
          </w:p>
        </w:tc>
      </w:tr>
    </w:tbl>
    <w:p w14:paraId="510852BD">
      <w:pPr>
        <w:pStyle w:val="59"/>
        <w:keepNext w:val="0"/>
        <w:keepLines w:val="0"/>
        <w:pageBreakBefore w:val="0"/>
        <w:widowControl w:val="0"/>
        <w:kinsoku/>
        <w:wordWrap/>
        <w:overflowPunct/>
        <w:topLinePunct w:val="0"/>
        <w:autoSpaceDE/>
        <w:autoSpaceDN/>
        <w:bidi w:val="0"/>
        <w:adjustRightInd/>
        <w:snapToGrid/>
        <w:spacing w:line="360" w:lineRule="auto"/>
        <w:ind w:left="630" w:leftChars="0" w:hanging="630" w:hangingChars="300"/>
        <w:jc w:val="left"/>
        <w:textAlignment w:val="auto"/>
        <w:outlineLvl w:val="2"/>
        <w:rPr>
          <w:rFonts w:ascii="宋体" w:hAnsi="宋体"/>
          <w:color w:val="auto"/>
          <w:highlight w:val="none"/>
        </w:rPr>
      </w:pPr>
      <w:r>
        <w:rPr>
          <w:rFonts w:ascii="宋体" w:hAnsi="宋体"/>
          <w:color w:val="auto"/>
          <w:highlight w:val="none"/>
        </w:rPr>
        <w:t>注：</w:t>
      </w:r>
      <w:r>
        <w:rPr>
          <w:color w:val="auto"/>
          <w:highlight w:val="none"/>
          <w:vertAlign w:val="superscript"/>
        </w:rPr>
        <w:t>1</w:t>
      </w:r>
      <w:r>
        <w:rPr>
          <w:color w:val="auto"/>
          <w:highlight w:val="none"/>
        </w:rPr>
        <w:t xml:space="preserve">  </w:t>
      </w:r>
      <w:r>
        <w:rPr>
          <w:rFonts w:hint="eastAsia"/>
          <w:color w:val="auto"/>
          <w:highlight w:val="none"/>
        </w:rPr>
        <w:t>非透明幕墙套装双真空保温隔热板薄抹灰外墙外保温系统复验项目可不包括此项。</w:t>
      </w:r>
    </w:p>
    <w:p w14:paraId="0E2A65AF">
      <w:pPr>
        <w:pStyle w:val="59"/>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2"/>
        <w:rPr>
          <w:color w:val="auto"/>
          <w:sz w:val="24"/>
          <w:szCs w:val="24"/>
          <w:highlight w:val="none"/>
        </w:rPr>
      </w:pPr>
      <w:r>
        <w:rPr>
          <w:color w:val="auto"/>
          <w:highlight w:val="none"/>
          <w:vertAlign w:val="superscript"/>
        </w:rPr>
        <w:t>2</w:t>
      </w:r>
      <w:r>
        <w:rPr>
          <w:color w:val="auto"/>
          <w:highlight w:val="none"/>
        </w:rPr>
        <w:t xml:space="preserve">  </w:t>
      </w:r>
      <w:r>
        <w:rPr>
          <w:rFonts w:hint="eastAsia" w:ascii="宋体" w:hAnsi="宋体"/>
          <w:color w:val="auto"/>
          <w:highlight w:val="none"/>
        </w:rPr>
        <w:t>套装双真空保温隔热板</w:t>
      </w:r>
      <w:r>
        <w:rPr>
          <w:rFonts w:ascii="宋体" w:hAnsi="宋体"/>
          <w:color w:val="auto"/>
          <w:highlight w:val="none"/>
        </w:rPr>
        <w:t>见证取样复验应在工厂进行。</w:t>
      </w:r>
    </w:p>
    <w:p w14:paraId="04C679EB">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套装双真空保温隔热板外墙保温工程应采用定型产品</w:t>
      </w:r>
      <w:r>
        <w:rPr>
          <w:rFonts w:hint="eastAsia"/>
          <w:bCs/>
          <w:color w:val="auto"/>
          <w:sz w:val="24"/>
          <w:szCs w:val="24"/>
          <w:highlight w:val="none"/>
        </w:rPr>
        <w:t>或</w:t>
      </w:r>
      <w:r>
        <w:rPr>
          <w:bCs/>
          <w:color w:val="auto"/>
          <w:sz w:val="24"/>
          <w:szCs w:val="24"/>
          <w:highlight w:val="none"/>
        </w:rPr>
        <w:t>成套技术，并应由同一供应商提供配套的组成材料和</w:t>
      </w:r>
      <w:r>
        <w:rPr>
          <w:rFonts w:hint="eastAsia"/>
          <w:bCs/>
          <w:color w:val="auto"/>
          <w:sz w:val="24"/>
          <w:szCs w:val="24"/>
          <w:highlight w:val="none"/>
        </w:rPr>
        <w:t>系统及其组成材料的</w:t>
      </w:r>
      <w:r>
        <w:rPr>
          <w:bCs/>
          <w:color w:val="auto"/>
          <w:sz w:val="24"/>
          <w:szCs w:val="24"/>
          <w:highlight w:val="none"/>
        </w:rPr>
        <w:t>型式检验报告。型式检验报告中应包括耐候性和抗风压性能检验项目以及配套组成材料的名称、生产单位、规格型号及主要性能参数。</w:t>
      </w:r>
    </w:p>
    <w:p w14:paraId="367C50A2">
      <w:pPr>
        <w:spacing w:line="440" w:lineRule="exact"/>
        <w:ind w:firstLine="480" w:firstLineChars="200"/>
        <w:rPr>
          <w:bCs/>
          <w:color w:val="auto"/>
          <w:sz w:val="24"/>
          <w:szCs w:val="24"/>
          <w:highlight w:val="none"/>
        </w:rPr>
      </w:pPr>
      <w:r>
        <w:rPr>
          <w:bCs/>
          <w:color w:val="auto"/>
          <w:sz w:val="24"/>
          <w:szCs w:val="24"/>
          <w:highlight w:val="none"/>
        </w:rPr>
        <w:t xml:space="preserve">检验方法：核查质量证明文件和型式检验报告。 </w:t>
      </w:r>
    </w:p>
    <w:p w14:paraId="1F017431">
      <w:pPr>
        <w:spacing w:line="440" w:lineRule="exact"/>
        <w:ind w:firstLine="480" w:firstLineChars="200"/>
        <w:rPr>
          <w:bCs/>
          <w:color w:val="auto"/>
          <w:sz w:val="24"/>
          <w:szCs w:val="24"/>
          <w:highlight w:val="none"/>
        </w:rPr>
      </w:pPr>
      <w:r>
        <w:rPr>
          <w:bCs/>
          <w:color w:val="auto"/>
          <w:sz w:val="24"/>
          <w:szCs w:val="24"/>
          <w:highlight w:val="none"/>
        </w:rPr>
        <w:t>检查数量：全数检查。</w:t>
      </w:r>
    </w:p>
    <w:p w14:paraId="733E07ED">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套装双真空保温隔热板外墙保温工程</w:t>
      </w:r>
      <w:r>
        <w:rPr>
          <w:rFonts w:hint="eastAsia"/>
          <w:bCs/>
          <w:color w:val="auto"/>
          <w:sz w:val="24"/>
          <w:szCs w:val="24"/>
          <w:highlight w:val="none"/>
        </w:rPr>
        <w:t>施工前应按设计和专项施工方案的要求对基层进行处理。</w:t>
      </w:r>
    </w:p>
    <w:p w14:paraId="61A05C7B">
      <w:pPr>
        <w:spacing w:line="440" w:lineRule="exact"/>
        <w:ind w:firstLine="480" w:firstLineChars="200"/>
        <w:rPr>
          <w:bCs/>
          <w:color w:val="auto"/>
          <w:sz w:val="24"/>
          <w:szCs w:val="24"/>
          <w:highlight w:val="none"/>
        </w:rPr>
      </w:pPr>
      <w:r>
        <w:rPr>
          <w:bCs/>
          <w:color w:val="auto"/>
          <w:sz w:val="24"/>
          <w:szCs w:val="24"/>
          <w:highlight w:val="none"/>
        </w:rPr>
        <w:t>检验方法：</w:t>
      </w:r>
      <w:r>
        <w:rPr>
          <w:rFonts w:hint="eastAsia"/>
          <w:bCs/>
          <w:color w:val="auto"/>
          <w:sz w:val="24"/>
          <w:szCs w:val="24"/>
          <w:highlight w:val="none"/>
        </w:rPr>
        <w:t>对照设计和专项施工方案观察检查；核查隐蔽工程验收记录</w:t>
      </w:r>
      <w:r>
        <w:rPr>
          <w:bCs/>
          <w:color w:val="auto"/>
          <w:sz w:val="24"/>
          <w:szCs w:val="24"/>
          <w:highlight w:val="none"/>
        </w:rPr>
        <w:t xml:space="preserve">。 </w:t>
      </w:r>
    </w:p>
    <w:p w14:paraId="5ADB89B5">
      <w:pPr>
        <w:spacing w:line="440" w:lineRule="exact"/>
        <w:ind w:firstLine="480" w:firstLineChars="200"/>
        <w:rPr>
          <w:bCs/>
          <w:color w:val="auto"/>
          <w:sz w:val="24"/>
          <w:szCs w:val="24"/>
          <w:highlight w:val="none"/>
        </w:rPr>
      </w:pPr>
      <w:r>
        <w:rPr>
          <w:bCs/>
          <w:color w:val="auto"/>
          <w:sz w:val="24"/>
          <w:szCs w:val="24"/>
          <w:highlight w:val="none"/>
        </w:rPr>
        <w:t>检查数量：全数检查。</w:t>
      </w:r>
    </w:p>
    <w:p w14:paraId="2F82157F">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套装双真空保温隔热板外墙保温工程</w:t>
      </w:r>
      <w:r>
        <w:rPr>
          <w:rFonts w:hint="eastAsia"/>
          <w:bCs/>
          <w:color w:val="auto"/>
          <w:sz w:val="24"/>
          <w:szCs w:val="24"/>
          <w:highlight w:val="none"/>
        </w:rPr>
        <w:t>的构造应满足设计要求，并应按审批的专项施工方案施工。</w:t>
      </w:r>
    </w:p>
    <w:p w14:paraId="09544111">
      <w:pPr>
        <w:spacing w:line="440" w:lineRule="exact"/>
        <w:ind w:firstLine="480" w:firstLineChars="200"/>
        <w:rPr>
          <w:bCs/>
          <w:color w:val="auto"/>
          <w:sz w:val="24"/>
          <w:szCs w:val="24"/>
          <w:highlight w:val="none"/>
        </w:rPr>
      </w:pPr>
      <w:r>
        <w:rPr>
          <w:bCs/>
          <w:color w:val="auto"/>
          <w:sz w:val="24"/>
          <w:szCs w:val="24"/>
          <w:highlight w:val="none"/>
        </w:rPr>
        <w:t>检验方法：</w:t>
      </w:r>
      <w:r>
        <w:rPr>
          <w:rFonts w:hint="eastAsia"/>
          <w:bCs/>
          <w:color w:val="auto"/>
          <w:sz w:val="24"/>
          <w:szCs w:val="24"/>
          <w:highlight w:val="none"/>
        </w:rPr>
        <w:t>对照设计和专项施工方案观察检查；核查隐蔽工程验收记录</w:t>
      </w:r>
      <w:r>
        <w:rPr>
          <w:bCs/>
          <w:color w:val="auto"/>
          <w:sz w:val="24"/>
          <w:szCs w:val="24"/>
          <w:highlight w:val="none"/>
        </w:rPr>
        <w:t xml:space="preserve">。 </w:t>
      </w:r>
    </w:p>
    <w:p w14:paraId="1F102A21">
      <w:pPr>
        <w:spacing w:line="440" w:lineRule="exact"/>
        <w:ind w:firstLine="480" w:firstLineChars="200"/>
        <w:rPr>
          <w:bCs/>
          <w:color w:val="auto"/>
          <w:sz w:val="24"/>
          <w:szCs w:val="24"/>
          <w:highlight w:val="none"/>
        </w:rPr>
      </w:pPr>
      <w:r>
        <w:rPr>
          <w:bCs/>
          <w:color w:val="auto"/>
          <w:sz w:val="24"/>
          <w:szCs w:val="24"/>
          <w:highlight w:val="none"/>
        </w:rPr>
        <w:t>检查数量：全数检查。</w:t>
      </w:r>
    </w:p>
    <w:p w14:paraId="05E27A9B">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外墙采用</w:t>
      </w:r>
      <w:r>
        <w:rPr>
          <w:bCs/>
          <w:color w:val="auto"/>
          <w:sz w:val="24"/>
          <w:szCs w:val="24"/>
          <w:highlight w:val="none"/>
        </w:rPr>
        <w:t>套装双真空保温隔热板</w:t>
      </w:r>
      <w:r>
        <w:rPr>
          <w:rFonts w:hint="eastAsia"/>
          <w:bCs/>
          <w:color w:val="auto"/>
          <w:sz w:val="24"/>
          <w:szCs w:val="24"/>
          <w:highlight w:val="none"/>
        </w:rPr>
        <w:t>时，应符合下列规定：</w:t>
      </w:r>
    </w:p>
    <w:p w14:paraId="17887B96">
      <w:pPr>
        <w:pStyle w:val="27"/>
        <w:numPr>
          <w:ilvl w:val="0"/>
          <w:numId w:val="53"/>
        </w:numPr>
        <w:spacing w:line="440" w:lineRule="exact"/>
        <w:ind w:firstLineChars="0"/>
        <w:rPr>
          <w:bCs/>
          <w:color w:val="auto"/>
          <w:sz w:val="24"/>
          <w:szCs w:val="24"/>
          <w:highlight w:val="none"/>
        </w:rPr>
      </w:pPr>
      <w:r>
        <w:rPr>
          <w:bCs/>
          <w:color w:val="auto"/>
          <w:sz w:val="24"/>
          <w:szCs w:val="24"/>
          <w:highlight w:val="none"/>
        </w:rPr>
        <w:t>套装双真空保温隔热板</w:t>
      </w:r>
      <w:r>
        <w:rPr>
          <w:rFonts w:hint="eastAsia"/>
          <w:bCs/>
          <w:color w:val="auto"/>
          <w:sz w:val="24"/>
          <w:szCs w:val="24"/>
          <w:highlight w:val="none"/>
        </w:rPr>
        <w:t>的厚度不应低于设计要求</w:t>
      </w:r>
      <w:r>
        <w:rPr>
          <w:bCs/>
          <w:color w:val="auto"/>
          <w:sz w:val="24"/>
          <w:szCs w:val="24"/>
          <w:highlight w:val="none"/>
        </w:rPr>
        <w:t>。</w:t>
      </w:r>
    </w:p>
    <w:p w14:paraId="5CF1723D">
      <w:pPr>
        <w:pStyle w:val="27"/>
        <w:numPr>
          <w:ilvl w:val="0"/>
          <w:numId w:val="53"/>
        </w:numPr>
        <w:spacing w:line="440" w:lineRule="exact"/>
        <w:ind w:left="0" w:firstLine="480"/>
        <w:rPr>
          <w:bCs/>
          <w:color w:val="auto"/>
          <w:sz w:val="24"/>
          <w:szCs w:val="24"/>
          <w:highlight w:val="none"/>
        </w:rPr>
      </w:pPr>
      <w:r>
        <w:rPr>
          <w:bCs/>
          <w:color w:val="auto"/>
          <w:sz w:val="24"/>
          <w:szCs w:val="24"/>
          <w:highlight w:val="none"/>
        </w:rPr>
        <w:t>套装双真空保温隔热板</w:t>
      </w:r>
      <w:r>
        <w:rPr>
          <w:rFonts w:hint="eastAsia"/>
          <w:bCs/>
          <w:color w:val="auto"/>
          <w:sz w:val="24"/>
          <w:szCs w:val="24"/>
          <w:highlight w:val="none"/>
        </w:rPr>
        <w:t>与基层墙体及各构造层之间的粘结或连接应牢固。有效粘结面积率和粘结强度应符合设计要求。</w:t>
      </w:r>
      <w:r>
        <w:rPr>
          <w:bCs/>
          <w:color w:val="auto"/>
          <w:sz w:val="24"/>
          <w:szCs w:val="24"/>
          <w:highlight w:val="none"/>
        </w:rPr>
        <w:t>套装双真空保温隔热板</w:t>
      </w:r>
      <w:r>
        <w:rPr>
          <w:rFonts w:hint="eastAsia"/>
          <w:bCs/>
          <w:color w:val="auto"/>
          <w:sz w:val="24"/>
          <w:szCs w:val="24"/>
          <w:highlight w:val="none"/>
        </w:rPr>
        <w:t>与基层墙体的粘结强度应做现场拉拔试验。</w:t>
      </w:r>
    </w:p>
    <w:p w14:paraId="31F460E9">
      <w:pPr>
        <w:pStyle w:val="27"/>
        <w:numPr>
          <w:ilvl w:val="0"/>
          <w:numId w:val="53"/>
        </w:numPr>
        <w:spacing w:line="440" w:lineRule="exact"/>
        <w:ind w:left="0" w:firstLine="480"/>
        <w:rPr>
          <w:bCs/>
          <w:color w:val="auto"/>
          <w:sz w:val="24"/>
          <w:szCs w:val="24"/>
          <w:highlight w:val="none"/>
        </w:rPr>
      </w:pPr>
      <w:r>
        <w:rPr>
          <w:rFonts w:hint="eastAsia"/>
          <w:bCs/>
          <w:color w:val="auto"/>
          <w:sz w:val="24"/>
          <w:szCs w:val="24"/>
          <w:highlight w:val="none"/>
        </w:rPr>
        <w:t>锚栓数量、位置、锚固深度和抗拉承载力应符合设计和施工方案要求，锚栓应进行锚固力现场拉拔试验。</w:t>
      </w:r>
    </w:p>
    <w:p w14:paraId="3FBD01B7">
      <w:pPr>
        <w:spacing w:line="440" w:lineRule="exact"/>
        <w:ind w:firstLine="480" w:firstLineChars="200"/>
        <w:rPr>
          <w:bCs/>
          <w:color w:val="auto"/>
          <w:sz w:val="24"/>
          <w:szCs w:val="24"/>
          <w:highlight w:val="none"/>
        </w:rPr>
      </w:pPr>
      <w:r>
        <w:rPr>
          <w:bCs/>
          <w:color w:val="auto"/>
          <w:sz w:val="24"/>
          <w:szCs w:val="24"/>
          <w:highlight w:val="none"/>
        </w:rPr>
        <w:t>检验方法：套装双真空保温隔热板</w:t>
      </w:r>
      <w:r>
        <w:rPr>
          <w:rFonts w:hint="eastAsia"/>
          <w:bCs/>
          <w:color w:val="auto"/>
          <w:sz w:val="24"/>
          <w:szCs w:val="24"/>
          <w:highlight w:val="none"/>
        </w:rPr>
        <w:t>的厚度检验应对照设计和专项施工方案观察检查</w:t>
      </w:r>
      <w:r>
        <w:rPr>
          <w:bCs/>
          <w:color w:val="auto"/>
          <w:sz w:val="24"/>
          <w:szCs w:val="24"/>
          <w:highlight w:val="none"/>
        </w:rPr>
        <w:t xml:space="preserve">。 </w:t>
      </w:r>
    </w:p>
    <w:p w14:paraId="31F420AE">
      <w:pPr>
        <w:spacing w:line="440" w:lineRule="exact"/>
        <w:ind w:firstLine="480" w:firstLineChars="200"/>
        <w:rPr>
          <w:bCs/>
          <w:color w:val="auto"/>
          <w:sz w:val="24"/>
          <w:szCs w:val="24"/>
          <w:highlight w:val="none"/>
        </w:rPr>
      </w:pPr>
      <w:r>
        <w:rPr>
          <w:bCs/>
          <w:color w:val="auto"/>
          <w:sz w:val="24"/>
          <w:szCs w:val="24"/>
          <w:highlight w:val="none"/>
        </w:rPr>
        <w:t>检查数量：</w:t>
      </w:r>
      <w:r>
        <w:rPr>
          <w:rFonts w:hint="eastAsia"/>
          <w:bCs/>
          <w:color w:val="auto"/>
          <w:sz w:val="24"/>
          <w:szCs w:val="24"/>
          <w:highlight w:val="none"/>
        </w:rPr>
        <w:t>每个检验批应检查3处</w:t>
      </w:r>
      <w:r>
        <w:rPr>
          <w:bCs/>
          <w:color w:val="auto"/>
          <w:sz w:val="24"/>
          <w:szCs w:val="24"/>
          <w:highlight w:val="none"/>
        </w:rPr>
        <w:t>。</w:t>
      </w:r>
    </w:p>
    <w:p w14:paraId="103244B5">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w:t>
      </w:r>
      <w:r>
        <w:rPr>
          <w:rFonts w:hint="eastAsia"/>
          <w:bCs/>
          <w:color w:val="auto"/>
          <w:sz w:val="24"/>
          <w:szCs w:val="24"/>
          <w:highlight w:val="none"/>
        </w:rPr>
        <w:t>薄抹灰外墙保温工程各类面层施工，应满足设计要求，并应符合现行国家标准《</w:t>
      </w:r>
      <w:r>
        <w:rPr>
          <w:rFonts w:hint="eastAsia"/>
          <w:bCs/>
          <w:color w:val="auto"/>
          <w:sz w:val="24"/>
          <w:szCs w:val="24"/>
          <w:highlight w:val="none"/>
          <w:lang w:eastAsia="zh-CN"/>
        </w:rPr>
        <w:t>建筑装饰装修工程质量验收标准</w:t>
      </w:r>
      <w:r>
        <w:rPr>
          <w:rFonts w:hint="eastAsia"/>
          <w:bCs/>
          <w:color w:val="auto"/>
          <w:sz w:val="24"/>
          <w:szCs w:val="24"/>
          <w:highlight w:val="none"/>
        </w:rPr>
        <w:t>》</w:t>
      </w:r>
      <w:r>
        <w:rPr>
          <w:rFonts w:hint="eastAsia"/>
          <w:bCs/>
          <w:color w:val="auto"/>
          <w:sz w:val="24"/>
          <w:szCs w:val="24"/>
          <w:highlight w:val="none"/>
          <w:lang w:eastAsia="zh-CN"/>
        </w:rPr>
        <w:t>GB 50210</w:t>
      </w:r>
      <w:r>
        <w:rPr>
          <w:rFonts w:hint="eastAsia"/>
          <w:bCs/>
          <w:color w:val="auto"/>
          <w:sz w:val="24"/>
          <w:szCs w:val="24"/>
          <w:highlight w:val="none"/>
        </w:rPr>
        <w:t>的有关规定，饰面层施工前应对已经进行隐蔽工程验收。基层应无脱层、空鼓和裂缝，基层应平整、洁净，含水率应符合饰面层施工的要求。</w:t>
      </w:r>
      <w:r>
        <w:rPr>
          <w:bCs/>
          <w:color w:val="auto"/>
          <w:sz w:val="24"/>
          <w:szCs w:val="24"/>
          <w:highlight w:val="none"/>
        </w:rPr>
        <w:t>套装双真空保温隔热板</w:t>
      </w:r>
      <w:r>
        <w:rPr>
          <w:rFonts w:hint="eastAsia"/>
          <w:bCs/>
          <w:color w:val="auto"/>
          <w:sz w:val="24"/>
          <w:szCs w:val="24"/>
          <w:highlight w:val="none"/>
        </w:rPr>
        <w:t>薄抹灰外墙外保温工程的饰面层质量应符合下列规定：</w:t>
      </w:r>
    </w:p>
    <w:p w14:paraId="6EB1BF51">
      <w:pPr>
        <w:pStyle w:val="27"/>
        <w:numPr>
          <w:ilvl w:val="0"/>
          <w:numId w:val="54"/>
        </w:numPr>
        <w:spacing w:line="360" w:lineRule="auto"/>
        <w:ind w:left="0" w:firstLine="480"/>
        <w:rPr>
          <w:bCs/>
          <w:color w:val="auto"/>
          <w:sz w:val="24"/>
          <w:szCs w:val="24"/>
          <w:highlight w:val="none"/>
        </w:rPr>
      </w:pPr>
      <w:r>
        <w:rPr>
          <w:rFonts w:hint="eastAsia"/>
          <w:bCs/>
          <w:color w:val="auto"/>
          <w:sz w:val="24"/>
          <w:szCs w:val="24"/>
          <w:highlight w:val="none"/>
        </w:rPr>
        <w:t>饰面层不得渗漏；</w:t>
      </w:r>
    </w:p>
    <w:p w14:paraId="7DF4D29D">
      <w:pPr>
        <w:pStyle w:val="27"/>
        <w:numPr>
          <w:ilvl w:val="0"/>
          <w:numId w:val="54"/>
        </w:numPr>
        <w:spacing w:line="360" w:lineRule="auto"/>
        <w:ind w:left="0" w:firstLine="480"/>
        <w:rPr>
          <w:bCs/>
          <w:color w:val="auto"/>
          <w:sz w:val="24"/>
          <w:szCs w:val="24"/>
          <w:highlight w:val="none"/>
        </w:rPr>
      </w:pPr>
      <w:r>
        <w:rPr>
          <w:bCs/>
          <w:color w:val="auto"/>
          <w:sz w:val="24"/>
          <w:szCs w:val="24"/>
          <w:highlight w:val="none"/>
        </w:rPr>
        <w:t>套装双真空保温隔热板</w:t>
      </w:r>
      <w:r>
        <w:rPr>
          <w:rFonts w:hint="eastAsia"/>
          <w:bCs/>
          <w:color w:val="auto"/>
          <w:sz w:val="24"/>
          <w:szCs w:val="24"/>
          <w:highlight w:val="none"/>
        </w:rPr>
        <w:t>及饰面层与其他部位交接的收口处，应采取密封措施。</w:t>
      </w:r>
    </w:p>
    <w:p w14:paraId="788CCB3E">
      <w:pPr>
        <w:spacing w:line="440" w:lineRule="exact"/>
        <w:ind w:firstLine="480" w:firstLineChars="200"/>
        <w:rPr>
          <w:bCs/>
          <w:color w:val="auto"/>
          <w:sz w:val="24"/>
          <w:szCs w:val="24"/>
          <w:highlight w:val="none"/>
        </w:rPr>
      </w:pPr>
      <w:r>
        <w:rPr>
          <w:rFonts w:hint="eastAsia"/>
          <w:bCs/>
          <w:color w:val="auto"/>
          <w:sz w:val="24"/>
          <w:szCs w:val="24"/>
          <w:highlight w:val="none"/>
        </w:rPr>
        <w:t xml:space="preserve">检验方法：观察检查；核查检验报告和隐蔽工程验收记录。 </w:t>
      </w:r>
    </w:p>
    <w:p w14:paraId="6BEBF4B8">
      <w:pPr>
        <w:spacing w:line="440" w:lineRule="exact"/>
        <w:ind w:firstLine="480" w:firstLineChars="200"/>
        <w:rPr>
          <w:bCs/>
          <w:color w:val="auto"/>
          <w:sz w:val="24"/>
          <w:szCs w:val="24"/>
          <w:highlight w:val="none"/>
        </w:rPr>
      </w:pPr>
      <w:r>
        <w:rPr>
          <w:rFonts w:hint="eastAsia"/>
          <w:bCs/>
          <w:color w:val="auto"/>
          <w:sz w:val="24"/>
          <w:szCs w:val="24"/>
          <w:highlight w:val="none"/>
        </w:rPr>
        <w:t>检查数量：全数检查。</w:t>
      </w:r>
    </w:p>
    <w:p w14:paraId="00F29CB9">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外墙采用复合预制墙板时，应符合下列规定：</w:t>
      </w:r>
    </w:p>
    <w:p w14:paraId="0B4E36B5">
      <w:pPr>
        <w:pStyle w:val="27"/>
        <w:numPr>
          <w:ilvl w:val="0"/>
          <w:numId w:val="55"/>
        </w:numPr>
        <w:spacing w:line="360" w:lineRule="auto"/>
        <w:ind w:left="0" w:firstLine="480"/>
        <w:rPr>
          <w:bCs/>
          <w:color w:val="auto"/>
          <w:sz w:val="24"/>
          <w:szCs w:val="24"/>
          <w:highlight w:val="none"/>
        </w:rPr>
      </w:pPr>
      <w:r>
        <w:rPr>
          <w:rFonts w:hint="eastAsia"/>
          <w:bCs/>
          <w:color w:val="auto"/>
          <w:sz w:val="24"/>
          <w:szCs w:val="24"/>
          <w:highlight w:val="none"/>
        </w:rPr>
        <w:t>复合预制墙板的结构性能、热工性能及连接方法应满足设计要求，连接构造应牢固</w:t>
      </w:r>
      <w:r>
        <w:rPr>
          <w:rFonts w:hint="eastAsia"/>
          <w:bCs/>
          <w:color w:val="auto"/>
          <w:sz w:val="24"/>
          <w:szCs w:val="24"/>
          <w:highlight w:val="none"/>
          <w:lang w:eastAsia="zh-CN"/>
        </w:rPr>
        <w:t>；</w:t>
      </w:r>
    </w:p>
    <w:p w14:paraId="605FA0C9">
      <w:pPr>
        <w:pStyle w:val="27"/>
        <w:numPr>
          <w:ilvl w:val="0"/>
          <w:numId w:val="55"/>
        </w:numPr>
        <w:spacing w:line="360" w:lineRule="auto"/>
        <w:ind w:left="0" w:firstLine="480"/>
        <w:rPr>
          <w:bCs/>
          <w:color w:val="auto"/>
          <w:sz w:val="24"/>
          <w:szCs w:val="24"/>
          <w:highlight w:val="none"/>
        </w:rPr>
      </w:pPr>
      <w:r>
        <w:rPr>
          <w:rFonts w:hint="eastAsia"/>
          <w:bCs/>
          <w:color w:val="auto"/>
          <w:sz w:val="24"/>
          <w:szCs w:val="24"/>
          <w:highlight w:val="none"/>
        </w:rPr>
        <w:t xml:space="preserve"> 复合预制墙板</w:t>
      </w:r>
      <w:r>
        <w:rPr>
          <w:bCs/>
          <w:color w:val="auto"/>
          <w:sz w:val="24"/>
          <w:szCs w:val="24"/>
          <w:highlight w:val="none"/>
        </w:rPr>
        <w:t>的板缝处理、构造节点及嵌缝做法应</w:t>
      </w:r>
      <w:r>
        <w:rPr>
          <w:rFonts w:hint="eastAsia"/>
          <w:bCs/>
          <w:color w:val="auto"/>
          <w:sz w:val="24"/>
          <w:szCs w:val="24"/>
          <w:highlight w:val="none"/>
        </w:rPr>
        <w:t>满足</w:t>
      </w:r>
      <w:r>
        <w:rPr>
          <w:bCs/>
          <w:color w:val="auto"/>
          <w:sz w:val="24"/>
          <w:szCs w:val="24"/>
          <w:highlight w:val="none"/>
        </w:rPr>
        <w:t>设计要求</w:t>
      </w:r>
      <w:r>
        <w:rPr>
          <w:rFonts w:hint="eastAsia"/>
          <w:bCs/>
          <w:color w:val="auto"/>
          <w:sz w:val="24"/>
          <w:szCs w:val="24"/>
          <w:highlight w:val="none"/>
        </w:rPr>
        <w:t>；</w:t>
      </w:r>
    </w:p>
    <w:p w14:paraId="46667F72">
      <w:pPr>
        <w:pStyle w:val="27"/>
        <w:numPr>
          <w:ilvl w:val="0"/>
          <w:numId w:val="55"/>
        </w:numPr>
        <w:spacing w:line="360" w:lineRule="auto"/>
        <w:ind w:left="0" w:firstLine="480"/>
        <w:rPr>
          <w:bCs/>
          <w:color w:val="auto"/>
          <w:sz w:val="24"/>
          <w:szCs w:val="24"/>
          <w:highlight w:val="none"/>
        </w:rPr>
      </w:pPr>
      <w:r>
        <w:rPr>
          <w:rFonts w:hint="eastAsia"/>
          <w:bCs/>
          <w:color w:val="auto"/>
          <w:sz w:val="24"/>
          <w:szCs w:val="24"/>
          <w:highlight w:val="none"/>
        </w:rPr>
        <w:t>复合预制墙板板缝不得渗漏；</w:t>
      </w:r>
    </w:p>
    <w:p w14:paraId="1B2D2943">
      <w:pPr>
        <w:spacing w:line="440" w:lineRule="exact"/>
        <w:ind w:firstLine="480" w:firstLineChars="200"/>
        <w:rPr>
          <w:bCs/>
          <w:color w:val="auto"/>
          <w:sz w:val="24"/>
          <w:szCs w:val="24"/>
          <w:highlight w:val="none"/>
        </w:rPr>
      </w:pPr>
      <w:r>
        <w:rPr>
          <w:bCs/>
          <w:color w:val="auto"/>
          <w:sz w:val="24"/>
          <w:szCs w:val="24"/>
          <w:highlight w:val="none"/>
        </w:rPr>
        <w:t>检验方法：</w:t>
      </w:r>
      <w:r>
        <w:rPr>
          <w:rFonts w:hint="eastAsia"/>
          <w:bCs/>
          <w:color w:val="auto"/>
          <w:sz w:val="24"/>
          <w:szCs w:val="24"/>
          <w:highlight w:val="none"/>
        </w:rPr>
        <w:t>核查型式检验报告、出厂检验报告和隐蔽工程验收记录。对照设计观察检查；淋水试验检查</w:t>
      </w:r>
      <w:r>
        <w:rPr>
          <w:bCs/>
          <w:color w:val="auto"/>
          <w:sz w:val="24"/>
          <w:szCs w:val="24"/>
          <w:highlight w:val="none"/>
        </w:rPr>
        <w:t>。</w:t>
      </w:r>
    </w:p>
    <w:p w14:paraId="4F543A1F">
      <w:pPr>
        <w:spacing w:line="440" w:lineRule="exact"/>
        <w:ind w:firstLine="480" w:firstLineChars="200"/>
        <w:rPr>
          <w:bCs/>
          <w:color w:val="auto"/>
          <w:sz w:val="24"/>
          <w:szCs w:val="24"/>
          <w:highlight w:val="none"/>
        </w:rPr>
      </w:pPr>
      <w:r>
        <w:rPr>
          <w:bCs/>
          <w:color w:val="auto"/>
          <w:sz w:val="24"/>
          <w:szCs w:val="24"/>
          <w:highlight w:val="none"/>
        </w:rPr>
        <w:t>检查数量：</w:t>
      </w:r>
      <w:r>
        <w:rPr>
          <w:rFonts w:hint="eastAsia"/>
          <w:bCs/>
          <w:color w:val="auto"/>
          <w:sz w:val="24"/>
          <w:szCs w:val="24"/>
          <w:highlight w:val="none"/>
        </w:rPr>
        <w:t>型式检验报告、出厂检验报告全数检查；板缝不得渗漏，可按照扣除门窗洞口后的保温墙面面积，</w:t>
      </w:r>
      <w:r>
        <w:rPr>
          <w:bCs/>
          <w:color w:val="auto"/>
          <w:sz w:val="24"/>
          <w:szCs w:val="24"/>
          <w:highlight w:val="none"/>
        </w:rPr>
        <w:t>在 5000m</w:t>
      </w:r>
      <w:r>
        <w:rPr>
          <w:bCs/>
          <w:color w:val="auto"/>
          <w:sz w:val="24"/>
          <w:szCs w:val="24"/>
          <w:highlight w:val="none"/>
          <w:vertAlign w:val="superscript"/>
        </w:rPr>
        <w:t>2</w:t>
      </w:r>
      <w:r>
        <w:rPr>
          <w:bCs/>
          <w:color w:val="auto"/>
          <w:sz w:val="24"/>
          <w:szCs w:val="24"/>
          <w:highlight w:val="none"/>
        </w:rPr>
        <w:t>以内时应</w:t>
      </w:r>
      <w:r>
        <w:rPr>
          <w:rFonts w:hint="eastAsia"/>
          <w:bCs/>
          <w:color w:val="auto"/>
          <w:sz w:val="24"/>
          <w:szCs w:val="24"/>
          <w:highlight w:val="none"/>
        </w:rPr>
        <w:t>检查</w:t>
      </w:r>
      <w:r>
        <w:rPr>
          <w:bCs/>
          <w:color w:val="auto"/>
          <w:sz w:val="24"/>
          <w:szCs w:val="24"/>
          <w:highlight w:val="none"/>
        </w:rPr>
        <w:t>1</w:t>
      </w:r>
      <w:r>
        <w:rPr>
          <w:rFonts w:hint="eastAsia"/>
          <w:bCs/>
          <w:color w:val="auto"/>
          <w:sz w:val="24"/>
          <w:szCs w:val="24"/>
          <w:highlight w:val="none"/>
        </w:rPr>
        <w:t>处</w:t>
      </w:r>
      <w:r>
        <w:rPr>
          <w:bCs/>
          <w:color w:val="auto"/>
          <w:sz w:val="24"/>
          <w:szCs w:val="24"/>
          <w:highlight w:val="none"/>
        </w:rPr>
        <w:t>；</w:t>
      </w:r>
      <w:r>
        <w:rPr>
          <w:rFonts w:hint="eastAsia"/>
          <w:bCs/>
          <w:color w:val="auto"/>
          <w:sz w:val="24"/>
          <w:szCs w:val="24"/>
          <w:highlight w:val="none"/>
        </w:rPr>
        <w:t>当</w:t>
      </w:r>
      <w:r>
        <w:rPr>
          <w:bCs/>
          <w:color w:val="auto"/>
          <w:sz w:val="24"/>
          <w:szCs w:val="24"/>
          <w:highlight w:val="none"/>
        </w:rPr>
        <w:t>面积每增加 5000m</w:t>
      </w:r>
      <w:r>
        <w:rPr>
          <w:bCs/>
          <w:color w:val="auto"/>
          <w:sz w:val="24"/>
          <w:szCs w:val="24"/>
          <w:highlight w:val="none"/>
          <w:vertAlign w:val="superscript"/>
        </w:rPr>
        <w:t>2</w:t>
      </w:r>
      <w:r>
        <w:rPr>
          <w:bCs/>
          <w:color w:val="auto"/>
          <w:sz w:val="24"/>
          <w:szCs w:val="24"/>
          <w:highlight w:val="none"/>
        </w:rPr>
        <w:t>时应增加1</w:t>
      </w:r>
      <w:r>
        <w:rPr>
          <w:rFonts w:hint="eastAsia"/>
          <w:bCs/>
          <w:color w:val="auto"/>
          <w:sz w:val="24"/>
          <w:szCs w:val="24"/>
          <w:highlight w:val="none"/>
        </w:rPr>
        <w:t>处</w:t>
      </w:r>
      <w:r>
        <w:rPr>
          <w:bCs/>
          <w:color w:val="auto"/>
          <w:sz w:val="24"/>
          <w:szCs w:val="24"/>
          <w:highlight w:val="none"/>
        </w:rPr>
        <w:t>。</w:t>
      </w:r>
      <w:r>
        <w:rPr>
          <w:rFonts w:hint="eastAsia"/>
          <w:bCs/>
          <w:color w:val="auto"/>
          <w:sz w:val="24"/>
          <w:szCs w:val="24"/>
          <w:highlight w:val="none"/>
        </w:rPr>
        <w:t>其他项目应按本规程第7</w:t>
      </w:r>
      <w:r>
        <w:rPr>
          <w:bCs/>
          <w:color w:val="auto"/>
          <w:sz w:val="24"/>
          <w:szCs w:val="24"/>
          <w:highlight w:val="none"/>
        </w:rPr>
        <w:t>.1.4</w:t>
      </w:r>
      <w:r>
        <w:rPr>
          <w:rFonts w:hint="eastAsia"/>
          <w:bCs/>
          <w:color w:val="auto"/>
          <w:sz w:val="24"/>
          <w:szCs w:val="24"/>
          <w:highlight w:val="none"/>
        </w:rPr>
        <w:t>条中</w:t>
      </w:r>
      <w:r>
        <w:rPr>
          <w:bCs/>
          <w:color w:val="auto"/>
          <w:sz w:val="24"/>
          <w:szCs w:val="24"/>
          <w:highlight w:val="none"/>
        </w:rPr>
        <w:t>检验批最小抽样数量</w:t>
      </w:r>
      <w:r>
        <w:rPr>
          <w:rFonts w:hint="eastAsia"/>
          <w:bCs/>
          <w:color w:val="auto"/>
          <w:sz w:val="24"/>
          <w:szCs w:val="24"/>
          <w:highlight w:val="none"/>
        </w:rPr>
        <w:t>的规定抽检。</w:t>
      </w:r>
    </w:p>
    <w:p w14:paraId="531BCB9E">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外墙采用</w:t>
      </w:r>
      <w:r>
        <w:rPr>
          <w:bCs/>
          <w:color w:val="auto"/>
          <w:sz w:val="24"/>
          <w:szCs w:val="24"/>
          <w:highlight w:val="none"/>
        </w:rPr>
        <w:t>套装双真空保温隔热装饰板</w:t>
      </w:r>
      <w:r>
        <w:rPr>
          <w:rFonts w:hint="eastAsia"/>
          <w:bCs/>
          <w:color w:val="auto"/>
          <w:sz w:val="24"/>
          <w:szCs w:val="24"/>
          <w:highlight w:val="none"/>
        </w:rPr>
        <w:t>时，应符合下列规定：</w:t>
      </w:r>
    </w:p>
    <w:p w14:paraId="4F5AD15A">
      <w:pPr>
        <w:pStyle w:val="27"/>
        <w:numPr>
          <w:ilvl w:val="0"/>
          <w:numId w:val="56"/>
        </w:numPr>
        <w:spacing w:line="360" w:lineRule="auto"/>
        <w:ind w:left="0" w:firstLine="480"/>
        <w:rPr>
          <w:bCs/>
          <w:color w:val="auto"/>
          <w:sz w:val="24"/>
          <w:szCs w:val="24"/>
          <w:highlight w:val="none"/>
        </w:rPr>
      </w:pPr>
      <w:r>
        <w:rPr>
          <w:bCs/>
          <w:color w:val="auto"/>
          <w:sz w:val="24"/>
          <w:szCs w:val="24"/>
          <w:highlight w:val="none"/>
        </w:rPr>
        <w:t>套装双真空保温隔热装饰板</w:t>
      </w:r>
      <w:r>
        <w:rPr>
          <w:rFonts w:hint="eastAsia"/>
          <w:bCs/>
          <w:color w:val="auto"/>
          <w:sz w:val="24"/>
          <w:szCs w:val="24"/>
          <w:highlight w:val="none"/>
        </w:rPr>
        <w:t>的安装构造、与基层墙体的连接方法应符合设计要求，连接应牢固；</w:t>
      </w:r>
    </w:p>
    <w:p w14:paraId="541F1C1A">
      <w:pPr>
        <w:pStyle w:val="27"/>
        <w:numPr>
          <w:ilvl w:val="0"/>
          <w:numId w:val="56"/>
        </w:numPr>
        <w:spacing w:line="360" w:lineRule="auto"/>
        <w:ind w:left="854" w:hanging="372" w:firstLineChars="0"/>
        <w:rPr>
          <w:bCs/>
          <w:color w:val="auto"/>
          <w:sz w:val="24"/>
          <w:szCs w:val="24"/>
          <w:highlight w:val="none"/>
        </w:rPr>
      </w:pPr>
      <w:r>
        <w:rPr>
          <w:bCs/>
          <w:color w:val="auto"/>
          <w:sz w:val="24"/>
          <w:szCs w:val="24"/>
          <w:highlight w:val="none"/>
        </w:rPr>
        <w:t>套装双真空保温隔热装饰板</w:t>
      </w:r>
      <w:r>
        <w:rPr>
          <w:rFonts w:hint="eastAsia"/>
          <w:bCs/>
          <w:color w:val="auto"/>
          <w:sz w:val="24"/>
          <w:szCs w:val="24"/>
          <w:highlight w:val="none"/>
        </w:rPr>
        <w:t>的板缝处理、构造节点</w:t>
      </w:r>
      <w:r>
        <w:rPr>
          <w:rFonts w:hint="eastAsia"/>
          <w:bCs/>
          <w:color w:val="auto"/>
          <w:sz w:val="24"/>
          <w:szCs w:val="24"/>
          <w:highlight w:val="none"/>
          <w:lang w:eastAsia="zh-CN"/>
        </w:rPr>
        <w:t>做法应</w:t>
      </w:r>
      <w:r>
        <w:rPr>
          <w:rFonts w:hint="eastAsia"/>
          <w:bCs/>
          <w:color w:val="auto"/>
          <w:sz w:val="24"/>
          <w:szCs w:val="24"/>
          <w:highlight w:val="none"/>
        </w:rPr>
        <w:t>符合设计要求；</w:t>
      </w:r>
    </w:p>
    <w:p w14:paraId="1D5039FD">
      <w:pPr>
        <w:pStyle w:val="27"/>
        <w:numPr>
          <w:ilvl w:val="0"/>
          <w:numId w:val="56"/>
        </w:numPr>
        <w:spacing w:line="360" w:lineRule="auto"/>
        <w:ind w:left="854" w:hanging="372" w:firstLineChars="0"/>
        <w:rPr>
          <w:bCs/>
          <w:color w:val="auto"/>
          <w:sz w:val="24"/>
          <w:szCs w:val="24"/>
          <w:highlight w:val="none"/>
        </w:rPr>
      </w:pPr>
      <w:r>
        <w:rPr>
          <w:bCs/>
          <w:color w:val="auto"/>
          <w:sz w:val="24"/>
          <w:szCs w:val="24"/>
          <w:highlight w:val="none"/>
        </w:rPr>
        <w:t>套装双真空保温隔热装饰板</w:t>
      </w:r>
      <w:r>
        <w:rPr>
          <w:rFonts w:hint="eastAsia"/>
          <w:bCs/>
          <w:color w:val="auto"/>
          <w:sz w:val="24"/>
          <w:szCs w:val="24"/>
          <w:highlight w:val="none"/>
        </w:rPr>
        <w:t>板缝不得渗漏；</w:t>
      </w:r>
    </w:p>
    <w:p w14:paraId="5BF3EF83">
      <w:pPr>
        <w:pStyle w:val="27"/>
        <w:numPr>
          <w:ilvl w:val="0"/>
          <w:numId w:val="56"/>
        </w:numPr>
        <w:spacing w:line="360" w:lineRule="auto"/>
        <w:ind w:left="0" w:firstLine="480"/>
        <w:rPr>
          <w:bCs/>
          <w:color w:val="auto"/>
          <w:sz w:val="24"/>
          <w:szCs w:val="24"/>
          <w:highlight w:val="none"/>
        </w:rPr>
      </w:pPr>
      <w:r>
        <w:rPr>
          <w:bCs/>
          <w:color w:val="auto"/>
          <w:sz w:val="24"/>
          <w:szCs w:val="24"/>
          <w:highlight w:val="none"/>
        </w:rPr>
        <w:t>套装双真空保温隔热装饰板</w:t>
      </w:r>
      <w:r>
        <w:rPr>
          <w:rFonts w:hint="eastAsia"/>
          <w:bCs/>
          <w:color w:val="auto"/>
          <w:sz w:val="24"/>
          <w:szCs w:val="24"/>
          <w:highlight w:val="none"/>
        </w:rPr>
        <w:t>的锚固组件应将</w:t>
      </w:r>
      <w:r>
        <w:rPr>
          <w:bCs/>
          <w:color w:val="auto"/>
          <w:sz w:val="24"/>
          <w:szCs w:val="24"/>
          <w:highlight w:val="none"/>
        </w:rPr>
        <w:t>套装双真空保温隔热装饰板</w:t>
      </w:r>
      <w:r>
        <w:rPr>
          <w:rFonts w:hint="eastAsia"/>
          <w:bCs/>
          <w:color w:val="auto"/>
          <w:sz w:val="24"/>
          <w:szCs w:val="24"/>
          <w:highlight w:val="none"/>
        </w:rPr>
        <w:t>的装饰面板固定牢固。锚栓组件数量、位置、锚栓锚固深度和抗拉承载力应符合设计和施工方案要求，锚栓应进行锚固力现场拉拔试验。</w:t>
      </w:r>
    </w:p>
    <w:p w14:paraId="03CC33E1">
      <w:pPr>
        <w:spacing w:line="440" w:lineRule="exact"/>
        <w:ind w:firstLine="480" w:firstLineChars="200"/>
        <w:rPr>
          <w:bCs/>
          <w:color w:val="auto"/>
          <w:sz w:val="24"/>
          <w:szCs w:val="24"/>
          <w:highlight w:val="none"/>
        </w:rPr>
      </w:pPr>
      <w:r>
        <w:rPr>
          <w:rFonts w:hint="eastAsia"/>
          <w:bCs/>
          <w:color w:val="auto"/>
          <w:sz w:val="24"/>
          <w:szCs w:val="24"/>
          <w:highlight w:val="none"/>
        </w:rPr>
        <w:t xml:space="preserve">检验方法：核查型式检验报告、出厂检验报告和隐蔽工程验收记录。对照设计观察检查；淋水试验检查。 </w:t>
      </w:r>
    </w:p>
    <w:p w14:paraId="28CBEE25">
      <w:pPr>
        <w:spacing w:line="440" w:lineRule="exact"/>
        <w:ind w:firstLine="480" w:firstLineChars="200"/>
        <w:rPr>
          <w:bCs/>
          <w:color w:val="auto"/>
          <w:sz w:val="24"/>
          <w:szCs w:val="24"/>
          <w:highlight w:val="none"/>
        </w:rPr>
      </w:pPr>
      <w:r>
        <w:rPr>
          <w:rFonts w:hint="eastAsia"/>
          <w:bCs/>
          <w:color w:val="auto"/>
          <w:sz w:val="24"/>
          <w:szCs w:val="24"/>
          <w:highlight w:val="none"/>
        </w:rPr>
        <w:t>检查数量：型式检验报告、出厂检验报告全数检查；板缝渗漏检查应按照扣除门窗洞口后的保温墙面面积，在5</w:t>
      </w:r>
      <w:r>
        <w:rPr>
          <w:bCs/>
          <w:color w:val="auto"/>
          <w:sz w:val="24"/>
          <w:szCs w:val="24"/>
          <w:highlight w:val="none"/>
        </w:rPr>
        <w:t>000</w:t>
      </w:r>
      <w:r>
        <w:rPr>
          <w:rFonts w:hint="eastAsia"/>
          <w:bCs/>
          <w:color w:val="auto"/>
          <w:sz w:val="24"/>
          <w:szCs w:val="24"/>
          <w:highlight w:val="none"/>
        </w:rPr>
        <w:t>m</w:t>
      </w:r>
      <w:r>
        <w:rPr>
          <w:bCs/>
          <w:color w:val="auto"/>
          <w:sz w:val="24"/>
          <w:szCs w:val="24"/>
          <w:highlight w:val="none"/>
          <w:vertAlign w:val="superscript"/>
        </w:rPr>
        <w:t>2</w:t>
      </w:r>
      <w:r>
        <w:rPr>
          <w:rFonts w:hint="eastAsia"/>
          <w:bCs/>
          <w:color w:val="auto"/>
          <w:sz w:val="24"/>
          <w:szCs w:val="24"/>
          <w:highlight w:val="none"/>
        </w:rPr>
        <w:t>以内时应检查1处，面积每增加5</w:t>
      </w:r>
      <w:r>
        <w:rPr>
          <w:bCs/>
          <w:color w:val="auto"/>
          <w:sz w:val="24"/>
          <w:szCs w:val="24"/>
          <w:highlight w:val="none"/>
        </w:rPr>
        <w:t>000</w:t>
      </w:r>
      <w:r>
        <w:rPr>
          <w:rFonts w:hint="eastAsia"/>
          <w:bCs/>
          <w:color w:val="auto"/>
          <w:sz w:val="24"/>
          <w:szCs w:val="24"/>
          <w:highlight w:val="none"/>
        </w:rPr>
        <w:t>m</w:t>
      </w:r>
      <w:r>
        <w:rPr>
          <w:bCs/>
          <w:color w:val="auto"/>
          <w:sz w:val="24"/>
          <w:szCs w:val="24"/>
          <w:highlight w:val="none"/>
          <w:vertAlign w:val="superscript"/>
        </w:rPr>
        <w:t>2</w:t>
      </w:r>
      <w:r>
        <w:rPr>
          <w:rFonts w:hint="eastAsia"/>
          <w:bCs/>
          <w:color w:val="auto"/>
          <w:sz w:val="24"/>
          <w:szCs w:val="24"/>
          <w:highlight w:val="none"/>
        </w:rPr>
        <w:t>应增加1处，其他项目应按</w:t>
      </w:r>
      <w:r>
        <w:rPr>
          <w:bCs/>
          <w:color w:val="auto"/>
          <w:sz w:val="24"/>
          <w:szCs w:val="24"/>
          <w:highlight w:val="none"/>
        </w:rPr>
        <w:t>检验批最小抽样数量</w:t>
      </w:r>
      <w:r>
        <w:rPr>
          <w:rFonts w:hint="eastAsia"/>
          <w:bCs/>
          <w:color w:val="auto"/>
          <w:sz w:val="24"/>
          <w:szCs w:val="24"/>
          <w:highlight w:val="none"/>
        </w:rPr>
        <w:t>。淋水试验检查应按照扣除门窗洞口后的保温墙面面积，在5</w:t>
      </w:r>
      <w:r>
        <w:rPr>
          <w:bCs/>
          <w:color w:val="auto"/>
          <w:sz w:val="24"/>
          <w:szCs w:val="24"/>
          <w:highlight w:val="none"/>
        </w:rPr>
        <w:t>000</w:t>
      </w:r>
      <w:r>
        <w:rPr>
          <w:rFonts w:hint="eastAsia"/>
          <w:bCs/>
          <w:color w:val="auto"/>
          <w:sz w:val="24"/>
          <w:szCs w:val="24"/>
          <w:highlight w:val="none"/>
        </w:rPr>
        <w:t>m</w:t>
      </w:r>
      <w:r>
        <w:rPr>
          <w:bCs/>
          <w:color w:val="auto"/>
          <w:sz w:val="24"/>
          <w:szCs w:val="24"/>
          <w:highlight w:val="none"/>
          <w:vertAlign w:val="superscript"/>
        </w:rPr>
        <w:t>2</w:t>
      </w:r>
      <w:r>
        <w:rPr>
          <w:rFonts w:hint="eastAsia"/>
          <w:bCs/>
          <w:color w:val="auto"/>
          <w:sz w:val="24"/>
          <w:szCs w:val="24"/>
          <w:highlight w:val="none"/>
        </w:rPr>
        <w:t>以内时应检查1处，面积每增加5</w:t>
      </w:r>
      <w:r>
        <w:rPr>
          <w:bCs/>
          <w:color w:val="auto"/>
          <w:sz w:val="24"/>
          <w:szCs w:val="24"/>
          <w:highlight w:val="none"/>
        </w:rPr>
        <w:t>000</w:t>
      </w:r>
      <w:r>
        <w:rPr>
          <w:rFonts w:hint="eastAsia"/>
          <w:bCs/>
          <w:color w:val="auto"/>
          <w:sz w:val="24"/>
          <w:szCs w:val="24"/>
          <w:highlight w:val="none"/>
        </w:rPr>
        <w:t>m</w:t>
      </w:r>
      <w:r>
        <w:rPr>
          <w:bCs/>
          <w:color w:val="auto"/>
          <w:sz w:val="24"/>
          <w:szCs w:val="24"/>
          <w:highlight w:val="none"/>
          <w:vertAlign w:val="superscript"/>
        </w:rPr>
        <w:t>2</w:t>
      </w:r>
      <w:r>
        <w:rPr>
          <w:rFonts w:hint="eastAsia"/>
          <w:bCs/>
          <w:color w:val="auto"/>
          <w:sz w:val="24"/>
          <w:szCs w:val="24"/>
          <w:highlight w:val="none"/>
        </w:rPr>
        <w:t>应增加1处。</w:t>
      </w:r>
    </w:p>
    <w:p w14:paraId="7EC19DF8">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外墙或毗邻不采暖空间墙体上的门窗洞口四周的侧面，墙体上凸窗非透明顶板、侧板和底板等外墙部位，应按设计要求采取防热桥措施</w:t>
      </w:r>
    </w:p>
    <w:p w14:paraId="050A92FE">
      <w:pPr>
        <w:spacing w:line="440" w:lineRule="exact"/>
        <w:ind w:firstLine="480" w:firstLineChars="200"/>
        <w:rPr>
          <w:bCs/>
          <w:color w:val="auto"/>
          <w:sz w:val="24"/>
          <w:szCs w:val="24"/>
          <w:highlight w:val="none"/>
        </w:rPr>
      </w:pPr>
      <w:r>
        <w:rPr>
          <w:rFonts w:hint="eastAsia"/>
          <w:bCs/>
          <w:color w:val="auto"/>
          <w:sz w:val="24"/>
          <w:szCs w:val="24"/>
          <w:highlight w:val="none"/>
        </w:rPr>
        <w:t xml:space="preserve">检验方法：观察检查；核查检验报告和隐蔽工程验收记录。 </w:t>
      </w:r>
    </w:p>
    <w:p w14:paraId="4971A918">
      <w:pPr>
        <w:spacing w:line="440" w:lineRule="exact"/>
        <w:ind w:firstLine="480" w:firstLineChars="200"/>
        <w:rPr>
          <w:bCs/>
          <w:color w:val="auto"/>
          <w:sz w:val="24"/>
          <w:szCs w:val="24"/>
          <w:highlight w:val="none"/>
        </w:rPr>
      </w:pPr>
      <w:r>
        <w:rPr>
          <w:rFonts w:hint="eastAsia"/>
          <w:bCs/>
          <w:color w:val="auto"/>
          <w:sz w:val="24"/>
          <w:szCs w:val="24"/>
          <w:highlight w:val="none"/>
        </w:rPr>
        <w:t>检查数量：应按本规程第7</w:t>
      </w:r>
      <w:r>
        <w:rPr>
          <w:bCs/>
          <w:color w:val="auto"/>
          <w:sz w:val="24"/>
          <w:szCs w:val="24"/>
          <w:highlight w:val="none"/>
        </w:rPr>
        <w:t>.1.4</w:t>
      </w:r>
      <w:r>
        <w:rPr>
          <w:rFonts w:hint="eastAsia"/>
          <w:bCs/>
          <w:color w:val="auto"/>
          <w:sz w:val="24"/>
          <w:szCs w:val="24"/>
          <w:highlight w:val="none"/>
        </w:rPr>
        <w:t>条的规定抽检，最小抽样数量不应少于5处。</w:t>
      </w:r>
    </w:p>
    <w:p w14:paraId="0A301025">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严寒和寒冷地区外墙热桥部位，应按设计要求采取隔断热桥措施，其处理应满足设计要求并应符合本规程的有关规定。</w:t>
      </w:r>
    </w:p>
    <w:p w14:paraId="4ABB54CB">
      <w:pPr>
        <w:spacing w:line="440" w:lineRule="exact"/>
        <w:ind w:firstLine="480" w:firstLineChars="200"/>
        <w:rPr>
          <w:bCs/>
          <w:color w:val="auto"/>
          <w:sz w:val="24"/>
          <w:szCs w:val="24"/>
          <w:highlight w:val="none"/>
        </w:rPr>
      </w:pPr>
      <w:r>
        <w:rPr>
          <w:rFonts w:hint="eastAsia"/>
          <w:bCs/>
          <w:color w:val="auto"/>
          <w:sz w:val="24"/>
          <w:szCs w:val="24"/>
          <w:highlight w:val="none"/>
        </w:rPr>
        <w:t xml:space="preserve">检验方法：对照设计和专项施工方案观察检查；检查隐蔽工程验收记录；使用红外热像仪检查。 </w:t>
      </w:r>
    </w:p>
    <w:p w14:paraId="12F62161">
      <w:pPr>
        <w:spacing w:line="440" w:lineRule="exact"/>
        <w:ind w:firstLine="480" w:firstLineChars="200"/>
        <w:rPr>
          <w:bCs/>
          <w:color w:val="auto"/>
          <w:sz w:val="24"/>
          <w:szCs w:val="24"/>
          <w:highlight w:val="none"/>
        </w:rPr>
      </w:pPr>
      <w:r>
        <w:rPr>
          <w:rFonts w:hint="eastAsia"/>
          <w:bCs/>
          <w:color w:val="auto"/>
          <w:sz w:val="24"/>
          <w:szCs w:val="24"/>
          <w:highlight w:val="none"/>
        </w:rPr>
        <w:t>检查数量：隐蔽工程验收记录应全数检查。隔断热桥措施按不同种类，</w:t>
      </w:r>
      <w:r>
        <w:rPr>
          <w:rFonts w:hint="eastAsia"/>
          <w:bCs/>
          <w:color w:val="auto"/>
          <w:sz w:val="24"/>
          <w:szCs w:val="24"/>
          <w:highlight w:val="none"/>
          <w:lang w:eastAsia="zh-CN"/>
        </w:rPr>
        <w:t>每</w:t>
      </w:r>
      <w:r>
        <w:rPr>
          <w:rFonts w:hint="eastAsia"/>
          <w:bCs/>
          <w:color w:val="auto"/>
          <w:sz w:val="24"/>
          <w:szCs w:val="24"/>
          <w:highlight w:val="none"/>
        </w:rPr>
        <w:t>种检查2</w:t>
      </w:r>
      <w:r>
        <w:rPr>
          <w:bCs/>
          <w:color w:val="auto"/>
          <w:sz w:val="24"/>
          <w:szCs w:val="24"/>
          <w:highlight w:val="none"/>
        </w:rPr>
        <w:t>0%</w:t>
      </w:r>
      <w:r>
        <w:rPr>
          <w:rFonts w:hint="eastAsia"/>
          <w:bCs/>
          <w:color w:val="auto"/>
          <w:sz w:val="24"/>
          <w:szCs w:val="24"/>
          <w:highlight w:val="none"/>
        </w:rPr>
        <w:t>，并不应少于5处。</w:t>
      </w:r>
    </w:p>
    <w:p w14:paraId="09C7966F">
      <w:pPr>
        <w:pStyle w:val="27"/>
        <w:spacing w:line="360" w:lineRule="auto"/>
        <w:ind w:firstLine="0" w:firstLineChars="0"/>
        <w:jc w:val="left"/>
        <w:rPr>
          <w:bCs/>
          <w:color w:val="auto"/>
          <w:sz w:val="24"/>
          <w:szCs w:val="24"/>
          <w:highlight w:val="none"/>
        </w:rPr>
      </w:pPr>
      <w:r>
        <w:rPr>
          <w:rFonts w:hint="eastAsia" w:ascii="仿宋_GB2312" w:eastAsia="仿宋_GB2312"/>
          <w:color w:val="auto"/>
          <w:sz w:val="24"/>
          <w:highlight w:val="none"/>
        </w:rPr>
        <w:t>【条文说明】</w:t>
      </w:r>
      <w:r>
        <w:rPr>
          <w:rFonts w:ascii="仿宋_GB2312" w:eastAsia="仿宋_GB2312"/>
          <w:color w:val="auto"/>
          <w:sz w:val="24"/>
          <w:highlight w:val="none"/>
        </w:rPr>
        <w:t>7.2.1~7.2.10</w:t>
      </w:r>
      <w:r>
        <w:rPr>
          <w:rFonts w:hint="eastAsia" w:ascii="仿宋_GB2312" w:eastAsia="仿宋_GB2312"/>
          <w:color w:val="auto"/>
          <w:sz w:val="24"/>
          <w:highlight w:val="none"/>
        </w:rPr>
        <w:t xml:space="preserve">  对套装双真空保温隔热板外保温工程验收的主控项目进行了详细的规定，对检查数量、检验方法也进行了明确的规定，对于保证工程质量具有重要作用。另外，根据现行国家标准《</w:t>
      </w:r>
      <w:r>
        <w:rPr>
          <w:rFonts w:hint="eastAsia" w:ascii="仿宋_GB2312" w:eastAsia="仿宋_GB2312"/>
          <w:color w:val="auto"/>
          <w:sz w:val="24"/>
          <w:highlight w:val="none"/>
          <w:lang w:eastAsia="zh-CN"/>
        </w:rPr>
        <w:t>建筑节能工程施工质量验收标准</w:t>
      </w:r>
      <w:r>
        <w:rPr>
          <w:rFonts w:hint="eastAsia" w:ascii="仿宋_GB2312" w:eastAsia="仿宋_GB2312"/>
          <w:color w:val="auto"/>
          <w:sz w:val="24"/>
          <w:highlight w:val="none"/>
        </w:rPr>
        <w:t>》</w:t>
      </w:r>
      <w:r>
        <w:rPr>
          <w:rFonts w:hint="eastAsia" w:ascii="仿宋_GB2312" w:eastAsia="仿宋_GB2312"/>
          <w:color w:val="auto"/>
          <w:sz w:val="24"/>
          <w:highlight w:val="none"/>
          <w:lang w:eastAsia="zh-CN"/>
        </w:rPr>
        <w:t>GB 50411</w:t>
      </w:r>
      <w:r>
        <w:rPr>
          <w:rFonts w:hint="eastAsia" w:ascii="仿宋_GB2312" w:eastAsia="仿宋_GB2312"/>
          <w:color w:val="auto"/>
          <w:sz w:val="24"/>
          <w:highlight w:val="none"/>
        </w:rPr>
        <w:t>的有关规定，明确了现场抽样复验项目。</w:t>
      </w:r>
    </w:p>
    <w:p w14:paraId="71A5CD4D">
      <w:pPr>
        <w:pStyle w:val="27"/>
        <w:numPr>
          <w:ilvl w:val="1"/>
          <w:numId w:val="2"/>
        </w:numPr>
        <w:ind w:left="567" w:firstLineChars="0"/>
        <w:jc w:val="center"/>
        <w:outlineLvl w:val="1"/>
        <w:rPr>
          <w:b/>
          <w:bCs w:val="0"/>
          <w:color w:val="auto"/>
          <w:sz w:val="28"/>
          <w:szCs w:val="24"/>
          <w:highlight w:val="none"/>
        </w:rPr>
      </w:pPr>
      <w:bookmarkStart w:id="94" w:name="_Toc7434"/>
      <w:bookmarkStart w:id="95" w:name="_Toc141875156"/>
      <w:r>
        <w:rPr>
          <w:b/>
          <w:bCs w:val="0"/>
          <w:color w:val="auto"/>
          <w:sz w:val="28"/>
          <w:szCs w:val="24"/>
          <w:highlight w:val="none"/>
        </w:rPr>
        <w:t>一般项目</w:t>
      </w:r>
      <w:bookmarkEnd w:id="94"/>
      <w:bookmarkEnd w:id="95"/>
    </w:p>
    <w:p w14:paraId="1D5B5CF1">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w:t>
      </w:r>
      <w:r>
        <w:rPr>
          <w:rFonts w:hint="eastAsia"/>
          <w:bCs/>
          <w:color w:val="auto"/>
          <w:sz w:val="24"/>
          <w:szCs w:val="24"/>
          <w:highlight w:val="none"/>
        </w:rPr>
        <w:t>、</w:t>
      </w:r>
      <w:r>
        <w:rPr>
          <w:bCs/>
          <w:color w:val="auto"/>
          <w:sz w:val="24"/>
          <w:szCs w:val="24"/>
          <w:highlight w:val="none"/>
        </w:rPr>
        <w:t>套装双真空保温隔热装饰板、套装双真空保温隔热板</w:t>
      </w:r>
      <w:r>
        <w:rPr>
          <w:rFonts w:hint="eastAsia"/>
          <w:bCs/>
          <w:color w:val="auto"/>
          <w:sz w:val="24"/>
          <w:szCs w:val="24"/>
          <w:highlight w:val="none"/>
        </w:rPr>
        <w:t>外墙保温系统</w:t>
      </w:r>
      <w:r>
        <w:rPr>
          <w:bCs/>
          <w:color w:val="auto"/>
          <w:sz w:val="24"/>
          <w:szCs w:val="24"/>
          <w:highlight w:val="none"/>
        </w:rPr>
        <w:t>其他组成材料的外观和包装应完整无破损，保温装饰板应平整、洁净、无歪斜和裂缝；色泽应均匀一致。</w:t>
      </w:r>
    </w:p>
    <w:p w14:paraId="26F23F29">
      <w:pPr>
        <w:spacing w:line="440" w:lineRule="exact"/>
        <w:ind w:firstLine="480" w:firstLineChars="200"/>
        <w:rPr>
          <w:bCs/>
          <w:color w:val="auto"/>
          <w:sz w:val="24"/>
          <w:szCs w:val="24"/>
          <w:highlight w:val="none"/>
        </w:rPr>
      </w:pPr>
      <w:r>
        <w:rPr>
          <w:bCs/>
          <w:color w:val="auto"/>
          <w:sz w:val="24"/>
          <w:szCs w:val="24"/>
          <w:highlight w:val="none"/>
        </w:rPr>
        <w:t>检验方法：观察检查。</w:t>
      </w:r>
    </w:p>
    <w:p w14:paraId="33B6F67D">
      <w:pPr>
        <w:spacing w:line="440" w:lineRule="exact"/>
        <w:ind w:firstLine="480" w:firstLineChars="200"/>
        <w:rPr>
          <w:bCs/>
          <w:color w:val="auto"/>
          <w:sz w:val="24"/>
          <w:szCs w:val="24"/>
          <w:highlight w:val="none"/>
        </w:rPr>
      </w:pPr>
      <w:r>
        <w:rPr>
          <w:bCs/>
          <w:color w:val="auto"/>
          <w:sz w:val="24"/>
          <w:szCs w:val="24"/>
          <w:highlight w:val="none"/>
        </w:rPr>
        <w:t>检查数量：全数检查。</w:t>
      </w:r>
    </w:p>
    <w:p w14:paraId="51BEBB53">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除寒冷和寒冷地区之外的其他地区，设置集中供暖和空调的房间，其外墙热桥部位应按设计要求材料隔断热桥措施。</w:t>
      </w:r>
    </w:p>
    <w:p w14:paraId="418CF1F1">
      <w:pPr>
        <w:spacing w:line="440" w:lineRule="exact"/>
        <w:ind w:firstLine="480" w:firstLineChars="200"/>
        <w:rPr>
          <w:bCs/>
          <w:color w:val="auto"/>
          <w:sz w:val="24"/>
          <w:szCs w:val="24"/>
          <w:highlight w:val="none"/>
        </w:rPr>
      </w:pPr>
      <w:r>
        <w:rPr>
          <w:bCs/>
          <w:color w:val="auto"/>
          <w:sz w:val="24"/>
          <w:szCs w:val="24"/>
          <w:highlight w:val="none"/>
        </w:rPr>
        <w:t>检验方法：对照设计和施工方案观察检查；检查隐蔽工程验收记录。</w:t>
      </w:r>
    </w:p>
    <w:p w14:paraId="03510994">
      <w:pPr>
        <w:spacing w:line="440" w:lineRule="exact"/>
        <w:ind w:firstLine="480" w:firstLineChars="200"/>
        <w:rPr>
          <w:bCs/>
          <w:color w:val="auto"/>
          <w:sz w:val="24"/>
          <w:szCs w:val="24"/>
          <w:highlight w:val="none"/>
        </w:rPr>
      </w:pPr>
      <w:r>
        <w:rPr>
          <w:bCs/>
          <w:color w:val="auto"/>
          <w:sz w:val="24"/>
          <w:szCs w:val="24"/>
          <w:highlight w:val="none"/>
        </w:rPr>
        <w:t>检查数量：隐蔽工程验收记录全数检查。</w:t>
      </w:r>
      <w:r>
        <w:rPr>
          <w:rFonts w:hint="eastAsia"/>
          <w:bCs/>
          <w:color w:val="auto"/>
          <w:sz w:val="24"/>
          <w:szCs w:val="24"/>
          <w:highlight w:val="none"/>
        </w:rPr>
        <w:t>隔断热桥措施按不同种类，按本规程第7</w:t>
      </w:r>
      <w:r>
        <w:rPr>
          <w:bCs/>
          <w:color w:val="auto"/>
          <w:sz w:val="24"/>
          <w:szCs w:val="24"/>
          <w:highlight w:val="none"/>
        </w:rPr>
        <w:t>.1.4</w:t>
      </w:r>
      <w:r>
        <w:rPr>
          <w:rFonts w:hint="eastAsia"/>
          <w:bCs/>
          <w:color w:val="auto"/>
          <w:sz w:val="24"/>
          <w:szCs w:val="24"/>
          <w:highlight w:val="none"/>
        </w:rPr>
        <w:t>条的规定抽检，最小抽样数量不应少于5处。</w:t>
      </w:r>
    </w:p>
    <w:p w14:paraId="7D7E4D84">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w:t>
      </w:r>
      <w:r>
        <w:rPr>
          <w:rFonts w:hint="eastAsia"/>
          <w:bCs/>
          <w:color w:val="auto"/>
          <w:sz w:val="24"/>
          <w:szCs w:val="24"/>
          <w:highlight w:val="none"/>
        </w:rPr>
        <w:t>外墙保温</w:t>
      </w:r>
      <w:r>
        <w:rPr>
          <w:bCs/>
          <w:color w:val="auto"/>
          <w:sz w:val="24"/>
          <w:szCs w:val="24"/>
          <w:highlight w:val="none"/>
        </w:rPr>
        <w:t>工程施工产生的穿墙套管、脚手眼、孔洞等墙体缺陷，应按施工方案采取隔断热桥措施及防火密封措施，不得影响墙体热工性能。</w:t>
      </w:r>
    </w:p>
    <w:p w14:paraId="03908264">
      <w:pPr>
        <w:spacing w:line="440" w:lineRule="exact"/>
        <w:ind w:firstLine="480" w:firstLineChars="200"/>
        <w:rPr>
          <w:bCs/>
          <w:color w:val="auto"/>
          <w:sz w:val="24"/>
          <w:szCs w:val="24"/>
          <w:highlight w:val="none"/>
        </w:rPr>
      </w:pPr>
      <w:r>
        <w:rPr>
          <w:bCs/>
          <w:color w:val="auto"/>
          <w:sz w:val="24"/>
          <w:szCs w:val="24"/>
          <w:highlight w:val="none"/>
        </w:rPr>
        <w:t>检验方法：对照施工方案观察检查。</w:t>
      </w:r>
    </w:p>
    <w:p w14:paraId="010A447A">
      <w:pPr>
        <w:spacing w:line="440" w:lineRule="exact"/>
        <w:ind w:firstLine="480" w:firstLineChars="200"/>
        <w:rPr>
          <w:bCs/>
          <w:color w:val="auto"/>
          <w:sz w:val="24"/>
          <w:szCs w:val="24"/>
          <w:highlight w:val="none"/>
        </w:rPr>
      </w:pPr>
      <w:r>
        <w:rPr>
          <w:bCs/>
          <w:color w:val="auto"/>
          <w:sz w:val="24"/>
          <w:szCs w:val="24"/>
          <w:highlight w:val="none"/>
        </w:rPr>
        <w:t>检查数量：全数检查。</w:t>
      </w:r>
    </w:p>
    <w:p w14:paraId="3A42B9CA">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w:t>
      </w:r>
      <w:r>
        <w:rPr>
          <w:rFonts w:hint="eastAsia"/>
          <w:bCs/>
          <w:color w:val="auto"/>
          <w:sz w:val="24"/>
          <w:szCs w:val="24"/>
          <w:highlight w:val="none"/>
        </w:rPr>
        <w:t>安装应上下错缝，各板间应挤紧拼严，拼缝应平整，碰头缝不应粘结砂浆。</w:t>
      </w:r>
    </w:p>
    <w:p w14:paraId="4D1EE5C3">
      <w:pPr>
        <w:spacing w:line="440" w:lineRule="exact"/>
        <w:ind w:firstLine="480" w:firstLineChars="200"/>
        <w:rPr>
          <w:bCs/>
          <w:color w:val="auto"/>
          <w:sz w:val="24"/>
          <w:szCs w:val="24"/>
          <w:highlight w:val="none"/>
        </w:rPr>
      </w:pPr>
      <w:r>
        <w:rPr>
          <w:bCs/>
          <w:color w:val="auto"/>
          <w:sz w:val="24"/>
          <w:szCs w:val="24"/>
          <w:highlight w:val="none"/>
        </w:rPr>
        <w:t>检验方法：</w:t>
      </w:r>
      <w:r>
        <w:rPr>
          <w:rFonts w:hint="eastAsia"/>
          <w:bCs/>
          <w:color w:val="auto"/>
          <w:sz w:val="24"/>
          <w:szCs w:val="24"/>
          <w:highlight w:val="none"/>
        </w:rPr>
        <w:t>观察；手摸检查。核查隐蔽工程验收记录</w:t>
      </w:r>
      <w:r>
        <w:rPr>
          <w:bCs/>
          <w:color w:val="auto"/>
          <w:sz w:val="24"/>
          <w:szCs w:val="24"/>
          <w:highlight w:val="none"/>
        </w:rPr>
        <w:t>。</w:t>
      </w:r>
    </w:p>
    <w:p w14:paraId="7BFE9F01">
      <w:pPr>
        <w:spacing w:line="440" w:lineRule="exact"/>
        <w:ind w:firstLine="480" w:firstLineChars="200"/>
        <w:rPr>
          <w:bCs/>
          <w:color w:val="auto"/>
          <w:sz w:val="24"/>
          <w:szCs w:val="24"/>
          <w:highlight w:val="none"/>
        </w:rPr>
      </w:pPr>
      <w:r>
        <w:rPr>
          <w:bCs/>
          <w:color w:val="auto"/>
          <w:sz w:val="24"/>
          <w:szCs w:val="24"/>
          <w:highlight w:val="none"/>
        </w:rPr>
        <w:t>检查数量：</w:t>
      </w:r>
      <w:r>
        <w:rPr>
          <w:rFonts w:hint="eastAsia"/>
          <w:bCs/>
          <w:color w:val="auto"/>
          <w:sz w:val="24"/>
          <w:szCs w:val="24"/>
          <w:highlight w:val="none"/>
        </w:rPr>
        <w:t>每个检验批抽查不少于 5 块保温板</w:t>
      </w:r>
      <w:r>
        <w:rPr>
          <w:bCs/>
          <w:color w:val="auto"/>
          <w:sz w:val="24"/>
          <w:szCs w:val="24"/>
          <w:highlight w:val="none"/>
        </w:rPr>
        <w:t>。</w:t>
      </w:r>
    </w:p>
    <w:p w14:paraId="7E77E611">
      <w:pPr>
        <w:pStyle w:val="27"/>
        <w:numPr>
          <w:ilvl w:val="2"/>
          <w:numId w:val="2"/>
        </w:numPr>
        <w:spacing w:line="360" w:lineRule="auto"/>
        <w:ind w:left="0" w:firstLine="0" w:firstLineChars="0"/>
        <w:jc w:val="left"/>
        <w:outlineLvl w:val="2"/>
        <w:rPr>
          <w:bCs/>
          <w:color w:val="auto"/>
          <w:sz w:val="24"/>
          <w:szCs w:val="24"/>
          <w:highlight w:val="none"/>
        </w:rPr>
      </w:pPr>
      <w:r>
        <w:rPr>
          <w:rFonts w:hint="eastAsia"/>
          <w:bCs/>
          <w:color w:val="auto"/>
          <w:sz w:val="24"/>
          <w:szCs w:val="24"/>
          <w:highlight w:val="none"/>
        </w:rPr>
        <w:t>玻纤网应铺压严实，包覆在抹面胶浆中，不应有空鼓、褶皱、翘曲、外露等现象。玻纤网的搭接长度、增强部位玻纤网</w:t>
      </w:r>
      <w:r>
        <w:rPr>
          <w:rFonts w:hint="eastAsia"/>
          <w:bCs/>
          <w:color w:val="auto"/>
          <w:sz w:val="24"/>
          <w:szCs w:val="24"/>
          <w:highlight w:val="none"/>
          <w:lang w:eastAsia="zh-CN"/>
        </w:rPr>
        <w:t>做法应</w:t>
      </w:r>
      <w:r>
        <w:rPr>
          <w:rFonts w:hint="eastAsia"/>
          <w:bCs/>
          <w:color w:val="auto"/>
          <w:sz w:val="24"/>
          <w:szCs w:val="24"/>
          <w:highlight w:val="none"/>
        </w:rPr>
        <w:t>符合设计和本规程的有关规定。</w:t>
      </w:r>
    </w:p>
    <w:p w14:paraId="0C9F1C98">
      <w:pPr>
        <w:spacing w:line="440" w:lineRule="exact"/>
        <w:ind w:firstLine="480" w:firstLineChars="200"/>
        <w:rPr>
          <w:bCs/>
          <w:color w:val="auto"/>
          <w:sz w:val="24"/>
          <w:szCs w:val="24"/>
          <w:highlight w:val="none"/>
        </w:rPr>
      </w:pPr>
      <w:r>
        <w:rPr>
          <w:bCs/>
          <w:color w:val="auto"/>
          <w:sz w:val="24"/>
          <w:szCs w:val="24"/>
          <w:highlight w:val="none"/>
        </w:rPr>
        <w:t>检验方法：</w:t>
      </w:r>
      <w:r>
        <w:rPr>
          <w:rFonts w:hint="eastAsia"/>
          <w:bCs/>
          <w:color w:val="auto"/>
          <w:sz w:val="24"/>
          <w:szCs w:val="24"/>
          <w:highlight w:val="none"/>
        </w:rPr>
        <w:t>观察；手摸检查。核查隐蔽工程验收记录</w:t>
      </w:r>
      <w:r>
        <w:rPr>
          <w:bCs/>
          <w:color w:val="auto"/>
          <w:sz w:val="24"/>
          <w:szCs w:val="24"/>
          <w:highlight w:val="none"/>
        </w:rPr>
        <w:t>。</w:t>
      </w:r>
    </w:p>
    <w:p w14:paraId="20F6D8A6">
      <w:pPr>
        <w:spacing w:line="440" w:lineRule="exact"/>
        <w:ind w:firstLine="480" w:firstLineChars="200"/>
        <w:rPr>
          <w:bCs/>
          <w:color w:val="auto"/>
          <w:sz w:val="24"/>
          <w:szCs w:val="24"/>
          <w:highlight w:val="none"/>
        </w:rPr>
      </w:pPr>
      <w:r>
        <w:rPr>
          <w:bCs/>
          <w:color w:val="auto"/>
          <w:sz w:val="24"/>
          <w:szCs w:val="24"/>
          <w:highlight w:val="none"/>
        </w:rPr>
        <w:t>检查数量：</w:t>
      </w:r>
      <w:r>
        <w:rPr>
          <w:rFonts w:hint="eastAsia"/>
          <w:bCs/>
          <w:color w:val="auto"/>
          <w:sz w:val="24"/>
          <w:szCs w:val="24"/>
          <w:highlight w:val="none"/>
        </w:rPr>
        <w:t>每个检验批抽查不少于 5 块保温板</w:t>
      </w:r>
      <w:r>
        <w:rPr>
          <w:bCs/>
          <w:color w:val="auto"/>
          <w:sz w:val="24"/>
          <w:szCs w:val="24"/>
          <w:highlight w:val="none"/>
        </w:rPr>
        <w:t>。</w:t>
      </w:r>
    </w:p>
    <w:p w14:paraId="7AAC165F">
      <w:pPr>
        <w:spacing w:line="440" w:lineRule="exact"/>
        <w:rPr>
          <w:bCs/>
          <w:color w:val="auto"/>
          <w:sz w:val="24"/>
          <w:szCs w:val="24"/>
          <w:highlight w:val="none"/>
        </w:rPr>
      </w:pPr>
      <w:r>
        <w:rPr>
          <w:rFonts w:hint="eastAsia" w:ascii="仿宋_GB2312" w:eastAsia="仿宋_GB2312"/>
          <w:color w:val="auto"/>
          <w:sz w:val="24"/>
          <w:highlight w:val="none"/>
        </w:rPr>
        <w:t>【条文说明】</w:t>
      </w:r>
      <w:r>
        <w:rPr>
          <w:rFonts w:ascii="仿宋_GB2312" w:eastAsia="仿宋_GB2312"/>
          <w:color w:val="auto"/>
          <w:sz w:val="24"/>
          <w:highlight w:val="none"/>
        </w:rPr>
        <w:t xml:space="preserve">7.3.5 </w:t>
      </w:r>
      <w:r>
        <w:rPr>
          <w:rFonts w:hint="eastAsia" w:ascii="仿宋_GB2312" w:eastAsia="仿宋_GB2312"/>
          <w:color w:val="auto"/>
          <w:sz w:val="24"/>
          <w:highlight w:val="none"/>
        </w:rPr>
        <w:t>7.3.5</w:t>
      </w:r>
      <w:r>
        <w:rPr>
          <w:rFonts w:hint="eastAsia" w:ascii="仿宋_GB2312" w:eastAsia="仿宋_GB2312"/>
          <w:color w:val="auto"/>
          <w:sz w:val="24"/>
          <w:highlight w:val="none"/>
        </w:rPr>
        <w:tab/>
      </w:r>
      <w:r>
        <w:rPr>
          <w:rFonts w:hint="eastAsia" w:ascii="仿宋_GB2312" w:eastAsia="仿宋_GB2312"/>
          <w:color w:val="auto"/>
          <w:sz w:val="24"/>
          <w:highlight w:val="none"/>
        </w:rPr>
        <w:t>玻纤网施工属于隐蔽工程，其质量缺陷会造成墙面开裂，严重影响工程质量，施工中应加强管理和要求。</w:t>
      </w:r>
    </w:p>
    <w:p w14:paraId="0A059586">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w:t>
      </w:r>
      <w:r>
        <w:rPr>
          <w:color w:val="auto"/>
          <w:highlight w:val="none"/>
        </w:rPr>
        <w:t>铺贴</w:t>
      </w:r>
      <w:r>
        <w:rPr>
          <w:rFonts w:hint="eastAsia"/>
          <w:bCs/>
          <w:color w:val="auto"/>
          <w:sz w:val="24"/>
          <w:szCs w:val="24"/>
          <w:highlight w:val="none"/>
        </w:rPr>
        <w:t>允许偏差和检验方法应符合表7.</w:t>
      </w:r>
      <w:r>
        <w:rPr>
          <w:bCs/>
          <w:color w:val="auto"/>
          <w:sz w:val="24"/>
          <w:szCs w:val="24"/>
          <w:highlight w:val="none"/>
        </w:rPr>
        <w:t>3.6</w:t>
      </w:r>
      <w:r>
        <w:rPr>
          <w:rFonts w:hint="eastAsia"/>
          <w:bCs/>
          <w:color w:val="auto"/>
          <w:sz w:val="24"/>
          <w:szCs w:val="24"/>
          <w:highlight w:val="none"/>
        </w:rPr>
        <w:t>的规定。</w:t>
      </w:r>
    </w:p>
    <w:p w14:paraId="44ACF251">
      <w:pPr>
        <w:spacing w:before="156" w:beforeLines="50" w:after="156" w:afterLines="50"/>
        <w:jc w:val="center"/>
        <w:textAlignment w:val="baseline"/>
        <w:rPr>
          <w:color w:val="auto"/>
          <w:highlight w:val="none"/>
        </w:rPr>
      </w:pPr>
      <w:r>
        <w:rPr>
          <w:color w:val="auto"/>
          <w:highlight w:val="none"/>
        </w:rPr>
        <w:t xml:space="preserve">表7.3.6  </w:t>
      </w:r>
      <w:r>
        <w:rPr>
          <w:rFonts w:hint="eastAsia"/>
          <w:color w:val="auto"/>
          <w:highlight w:val="none"/>
        </w:rPr>
        <w:t>真空保温隔热板</w:t>
      </w:r>
      <w:r>
        <w:rPr>
          <w:color w:val="auto"/>
          <w:highlight w:val="none"/>
        </w:rPr>
        <w:t>铺贴的允许偏差</w:t>
      </w:r>
      <w:r>
        <w:rPr>
          <w:rFonts w:hint="eastAsia"/>
          <w:color w:val="auto"/>
          <w:highlight w:val="none"/>
        </w:rPr>
        <w:t>和检验方法</w:t>
      </w: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22"/>
        <w:gridCol w:w="2049"/>
        <w:gridCol w:w="2503"/>
      </w:tblGrid>
      <w:tr w14:paraId="261FA9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622" w:type="dxa"/>
            <w:tcBorders>
              <w:tl2br w:val="nil"/>
              <w:tr2bl w:val="nil"/>
            </w:tcBorders>
            <w:vAlign w:val="center"/>
          </w:tcPr>
          <w:p w14:paraId="7B667D5B">
            <w:pPr>
              <w:tabs>
                <w:tab w:val="left" w:pos="980"/>
              </w:tabs>
              <w:autoSpaceDE w:val="0"/>
              <w:autoSpaceDN w:val="0"/>
              <w:adjustRightInd w:val="0"/>
              <w:jc w:val="center"/>
              <w:rPr>
                <w:color w:val="auto"/>
                <w:sz w:val="21"/>
                <w:szCs w:val="21"/>
                <w:highlight w:val="none"/>
              </w:rPr>
            </w:pPr>
            <w:r>
              <w:rPr>
                <w:color w:val="auto"/>
                <w:sz w:val="21"/>
                <w:szCs w:val="21"/>
                <w:highlight w:val="none"/>
              </w:rPr>
              <w:t>项   目</w:t>
            </w:r>
          </w:p>
        </w:tc>
        <w:tc>
          <w:tcPr>
            <w:tcW w:w="2049" w:type="dxa"/>
            <w:tcBorders>
              <w:tl2br w:val="nil"/>
              <w:tr2bl w:val="nil"/>
            </w:tcBorders>
            <w:vAlign w:val="center"/>
          </w:tcPr>
          <w:p w14:paraId="5146C148">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允许偏差（mm）</w:t>
            </w:r>
          </w:p>
        </w:tc>
        <w:tc>
          <w:tcPr>
            <w:tcW w:w="2503" w:type="dxa"/>
            <w:tcBorders>
              <w:tl2br w:val="nil"/>
              <w:tr2bl w:val="nil"/>
            </w:tcBorders>
            <w:vAlign w:val="center"/>
          </w:tcPr>
          <w:p w14:paraId="5A9C5A1C">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检</w:t>
            </w:r>
            <w:r>
              <w:rPr>
                <w:color w:val="auto"/>
                <w:sz w:val="21"/>
                <w:szCs w:val="21"/>
                <w:highlight w:val="none"/>
              </w:rPr>
              <w:t xml:space="preserve"> 验 方 法</w:t>
            </w:r>
          </w:p>
        </w:tc>
      </w:tr>
      <w:tr w14:paraId="0EED4B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622" w:type="dxa"/>
            <w:tcBorders>
              <w:tl2br w:val="nil"/>
              <w:tr2bl w:val="nil"/>
            </w:tcBorders>
            <w:vAlign w:val="center"/>
          </w:tcPr>
          <w:p w14:paraId="4B5D5D70">
            <w:pPr>
              <w:tabs>
                <w:tab w:val="left" w:pos="980"/>
              </w:tabs>
              <w:autoSpaceDE w:val="0"/>
              <w:autoSpaceDN w:val="0"/>
              <w:adjustRightInd w:val="0"/>
              <w:jc w:val="center"/>
              <w:rPr>
                <w:color w:val="auto"/>
                <w:sz w:val="21"/>
                <w:szCs w:val="21"/>
                <w:highlight w:val="none"/>
              </w:rPr>
            </w:pPr>
            <w:r>
              <w:rPr>
                <w:color w:val="auto"/>
                <w:sz w:val="21"/>
                <w:szCs w:val="21"/>
                <w:highlight w:val="none"/>
              </w:rPr>
              <w:t>表面平整度（mm）</w:t>
            </w:r>
          </w:p>
        </w:tc>
        <w:tc>
          <w:tcPr>
            <w:tcW w:w="2049" w:type="dxa"/>
            <w:tcBorders>
              <w:tl2br w:val="nil"/>
              <w:tr2bl w:val="nil"/>
            </w:tcBorders>
            <w:vAlign w:val="center"/>
          </w:tcPr>
          <w:p w14:paraId="0ABD76CC">
            <w:pPr>
              <w:tabs>
                <w:tab w:val="left" w:pos="980"/>
              </w:tabs>
              <w:autoSpaceDE w:val="0"/>
              <w:autoSpaceDN w:val="0"/>
              <w:adjustRightInd w:val="0"/>
              <w:jc w:val="center"/>
              <w:rPr>
                <w:color w:val="auto"/>
                <w:sz w:val="21"/>
                <w:szCs w:val="21"/>
                <w:highlight w:val="none"/>
              </w:rPr>
            </w:pPr>
            <w:r>
              <w:rPr>
                <w:color w:val="auto"/>
                <w:sz w:val="21"/>
                <w:szCs w:val="21"/>
                <w:highlight w:val="none"/>
              </w:rPr>
              <w:t>4</w:t>
            </w:r>
          </w:p>
        </w:tc>
        <w:tc>
          <w:tcPr>
            <w:tcW w:w="2503" w:type="dxa"/>
            <w:tcBorders>
              <w:tl2br w:val="nil"/>
              <w:tr2bl w:val="nil"/>
            </w:tcBorders>
            <w:vAlign w:val="center"/>
          </w:tcPr>
          <w:p w14:paraId="3457FC8E">
            <w:pPr>
              <w:tabs>
                <w:tab w:val="left" w:pos="980"/>
              </w:tabs>
              <w:autoSpaceDE w:val="0"/>
              <w:autoSpaceDN w:val="0"/>
              <w:adjustRightInd w:val="0"/>
              <w:jc w:val="center"/>
              <w:rPr>
                <w:color w:val="auto"/>
                <w:sz w:val="21"/>
                <w:szCs w:val="21"/>
                <w:highlight w:val="none"/>
              </w:rPr>
            </w:pPr>
            <w:r>
              <w:rPr>
                <w:color w:val="auto"/>
                <w:sz w:val="21"/>
                <w:szCs w:val="21"/>
                <w:highlight w:val="none"/>
              </w:rPr>
              <w:t>2m靠尺和塞尺检查</w:t>
            </w:r>
          </w:p>
        </w:tc>
      </w:tr>
      <w:tr w14:paraId="0DCA4A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622" w:type="dxa"/>
            <w:tcBorders>
              <w:tl2br w:val="nil"/>
              <w:tr2bl w:val="nil"/>
            </w:tcBorders>
            <w:vAlign w:val="center"/>
          </w:tcPr>
          <w:p w14:paraId="475410EC">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立面垂直度（mm）</w:t>
            </w:r>
          </w:p>
        </w:tc>
        <w:tc>
          <w:tcPr>
            <w:tcW w:w="2049" w:type="dxa"/>
            <w:tcBorders>
              <w:tl2br w:val="nil"/>
              <w:tr2bl w:val="nil"/>
            </w:tcBorders>
            <w:vAlign w:val="center"/>
          </w:tcPr>
          <w:p w14:paraId="723BE25A">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4</w:t>
            </w:r>
          </w:p>
        </w:tc>
        <w:tc>
          <w:tcPr>
            <w:tcW w:w="2503" w:type="dxa"/>
            <w:tcBorders>
              <w:tl2br w:val="nil"/>
              <w:tr2bl w:val="nil"/>
            </w:tcBorders>
            <w:vAlign w:val="center"/>
          </w:tcPr>
          <w:p w14:paraId="13C5B301">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2m垂直测量尺检查</w:t>
            </w:r>
          </w:p>
        </w:tc>
      </w:tr>
      <w:tr w14:paraId="69CAB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622" w:type="dxa"/>
            <w:tcBorders>
              <w:tl2br w:val="nil"/>
              <w:tr2bl w:val="nil"/>
            </w:tcBorders>
            <w:vAlign w:val="center"/>
          </w:tcPr>
          <w:p w14:paraId="10A943B3">
            <w:pPr>
              <w:tabs>
                <w:tab w:val="left" w:pos="980"/>
              </w:tabs>
              <w:autoSpaceDE w:val="0"/>
              <w:autoSpaceDN w:val="0"/>
              <w:adjustRightInd w:val="0"/>
              <w:jc w:val="center"/>
              <w:rPr>
                <w:color w:val="auto"/>
                <w:sz w:val="21"/>
                <w:szCs w:val="21"/>
                <w:highlight w:val="none"/>
              </w:rPr>
            </w:pPr>
            <w:r>
              <w:rPr>
                <w:color w:val="auto"/>
                <w:sz w:val="21"/>
                <w:szCs w:val="21"/>
                <w:highlight w:val="none"/>
              </w:rPr>
              <w:t>阴阳角垂直度（每层楼面）（mm）</w:t>
            </w:r>
          </w:p>
        </w:tc>
        <w:tc>
          <w:tcPr>
            <w:tcW w:w="2049" w:type="dxa"/>
            <w:tcBorders>
              <w:tl2br w:val="nil"/>
              <w:tr2bl w:val="nil"/>
            </w:tcBorders>
            <w:vAlign w:val="center"/>
          </w:tcPr>
          <w:p w14:paraId="7274F5A8">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4</w:t>
            </w:r>
          </w:p>
        </w:tc>
        <w:tc>
          <w:tcPr>
            <w:tcW w:w="2503" w:type="dxa"/>
            <w:tcBorders>
              <w:tl2br w:val="nil"/>
              <w:tr2bl w:val="nil"/>
            </w:tcBorders>
            <w:vAlign w:val="center"/>
          </w:tcPr>
          <w:p w14:paraId="254205FA">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2m托线板检查</w:t>
            </w:r>
          </w:p>
        </w:tc>
      </w:tr>
      <w:tr w14:paraId="3CED2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622" w:type="dxa"/>
            <w:tcBorders>
              <w:tl2br w:val="nil"/>
              <w:tr2bl w:val="nil"/>
            </w:tcBorders>
            <w:vAlign w:val="center"/>
          </w:tcPr>
          <w:p w14:paraId="3EEC4F4B">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阳角方正</w:t>
            </w:r>
          </w:p>
        </w:tc>
        <w:tc>
          <w:tcPr>
            <w:tcW w:w="2049" w:type="dxa"/>
            <w:tcBorders>
              <w:tl2br w:val="nil"/>
              <w:tr2bl w:val="nil"/>
            </w:tcBorders>
            <w:vAlign w:val="center"/>
          </w:tcPr>
          <w:p w14:paraId="03633394">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4</w:t>
            </w:r>
          </w:p>
        </w:tc>
        <w:tc>
          <w:tcPr>
            <w:tcW w:w="2503" w:type="dxa"/>
            <w:tcBorders>
              <w:tl2br w:val="nil"/>
              <w:tr2bl w:val="nil"/>
            </w:tcBorders>
            <w:vAlign w:val="center"/>
          </w:tcPr>
          <w:p w14:paraId="4D0657F5">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2</w:t>
            </w:r>
            <w:r>
              <w:rPr>
                <w:color w:val="auto"/>
                <w:sz w:val="21"/>
                <w:szCs w:val="21"/>
                <w:highlight w:val="none"/>
              </w:rPr>
              <w:t>00</w:t>
            </w:r>
            <w:r>
              <w:rPr>
                <w:rFonts w:hint="eastAsia"/>
                <w:color w:val="auto"/>
                <w:sz w:val="21"/>
                <w:szCs w:val="21"/>
                <w:highlight w:val="none"/>
              </w:rPr>
              <w:t>mm方尺检查</w:t>
            </w:r>
          </w:p>
        </w:tc>
      </w:tr>
      <w:tr w14:paraId="117049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622" w:type="dxa"/>
            <w:tcBorders>
              <w:tl2br w:val="nil"/>
              <w:tr2bl w:val="nil"/>
            </w:tcBorders>
            <w:vAlign w:val="center"/>
          </w:tcPr>
          <w:p w14:paraId="7663145A">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接缝高低差</w:t>
            </w:r>
          </w:p>
        </w:tc>
        <w:tc>
          <w:tcPr>
            <w:tcW w:w="2049" w:type="dxa"/>
            <w:tcBorders>
              <w:tl2br w:val="nil"/>
              <w:tr2bl w:val="nil"/>
            </w:tcBorders>
            <w:vAlign w:val="center"/>
          </w:tcPr>
          <w:p w14:paraId="378F6377">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1</w:t>
            </w:r>
            <w:r>
              <w:rPr>
                <w:color w:val="auto"/>
                <w:sz w:val="21"/>
                <w:szCs w:val="21"/>
                <w:highlight w:val="none"/>
              </w:rPr>
              <w:t>.5</w:t>
            </w:r>
          </w:p>
        </w:tc>
        <w:tc>
          <w:tcPr>
            <w:tcW w:w="2503" w:type="dxa"/>
            <w:tcBorders>
              <w:tl2br w:val="nil"/>
              <w:tr2bl w:val="nil"/>
            </w:tcBorders>
            <w:vAlign w:val="center"/>
          </w:tcPr>
          <w:p w14:paraId="353D2B87">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用直尺和楔形塞尺检查</w:t>
            </w:r>
          </w:p>
        </w:tc>
      </w:tr>
    </w:tbl>
    <w:p w14:paraId="03FCB78A">
      <w:pPr>
        <w:spacing w:line="440" w:lineRule="exact"/>
        <w:ind w:firstLine="480" w:firstLineChars="200"/>
        <w:rPr>
          <w:bCs/>
          <w:color w:val="auto"/>
          <w:sz w:val="24"/>
          <w:szCs w:val="24"/>
          <w:highlight w:val="none"/>
        </w:rPr>
      </w:pPr>
      <w:r>
        <w:rPr>
          <w:bCs/>
          <w:color w:val="auto"/>
          <w:sz w:val="24"/>
          <w:szCs w:val="24"/>
          <w:highlight w:val="none"/>
        </w:rPr>
        <w:t>检查数量：</w:t>
      </w:r>
      <w:r>
        <w:rPr>
          <w:rFonts w:hint="eastAsia"/>
          <w:bCs/>
          <w:color w:val="auto"/>
          <w:sz w:val="24"/>
          <w:szCs w:val="24"/>
          <w:highlight w:val="none"/>
        </w:rPr>
        <w:t>全数检查</w:t>
      </w:r>
      <w:r>
        <w:rPr>
          <w:bCs/>
          <w:color w:val="auto"/>
          <w:sz w:val="24"/>
          <w:szCs w:val="24"/>
          <w:highlight w:val="none"/>
        </w:rPr>
        <w:t>。</w:t>
      </w:r>
    </w:p>
    <w:p w14:paraId="339B6330">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套装双真空保温隔热板</w:t>
      </w:r>
      <w:r>
        <w:rPr>
          <w:rFonts w:hint="eastAsia"/>
          <w:bCs/>
          <w:color w:val="auto"/>
          <w:sz w:val="24"/>
          <w:szCs w:val="24"/>
          <w:highlight w:val="none"/>
        </w:rPr>
        <w:t>薄抹灰外墙保温墙面抹面层施工允许偏差和检验方法应符合表7</w:t>
      </w:r>
      <w:r>
        <w:rPr>
          <w:bCs/>
          <w:color w:val="auto"/>
          <w:sz w:val="24"/>
          <w:szCs w:val="24"/>
          <w:highlight w:val="none"/>
        </w:rPr>
        <w:t>.3.7</w:t>
      </w:r>
      <w:r>
        <w:rPr>
          <w:rFonts w:hint="eastAsia"/>
          <w:bCs/>
          <w:color w:val="auto"/>
          <w:sz w:val="24"/>
          <w:szCs w:val="24"/>
          <w:highlight w:val="none"/>
        </w:rPr>
        <w:t>的规定。</w:t>
      </w:r>
    </w:p>
    <w:p w14:paraId="1096E992">
      <w:pPr>
        <w:spacing w:before="156" w:beforeLines="50" w:after="156" w:afterLines="50"/>
        <w:jc w:val="center"/>
        <w:textAlignment w:val="baseline"/>
        <w:rPr>
          <w:color w:val="auto"/>
          <w:highlight w:val="none"/>
        </w:rPr>
      </w:pPr>
      <w:r>
        <w:rPr>
          <w:color w:val="auto"/>
          <w:highlight w:val="none"/>
        </w:rPr>
        <w:t xml:space="preserve">表7.3.7  </w:t>
      </w:r>
      <w:r>
        <w:rPr>
          <w:rFonts w:hint="eastAsia"/>
          <w:color w:val="auto"/>
          <w:highlight w:val="none"/>
        </w:rPr>
        <w:t>抹面层</w:t>
      </w:r>
      <w:r>
        <w:rPr>
          <w:color w:val="auto"/>
          <w:highlight w:val="none"/>
        </w:rPr>
        <w:t>的允许偏差</w:t>
      </w:r>
      <w:r>
        <w:rPr>
          <w:rFonts w:hint="eastAsia"/>
          <w:color w:val="auto"/>
          <w:highlight w:val="none"/>
        </w:rPr>
        <w:t>和检验方法</w:t>
      </w:r>
    </w:p>
    <w:tbl>
      <w:tblPr>
        <w:tblStyle w:val="1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1843"/>
        <w:gridCol w:w="3784"/>
      </w:tblGrid>
      <w:tr w14:paraId="299E0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547" w:type="dxa"/>
            <w:tcBorders>
              <w:tl2br w:val="nil"/>
              <w:tr2bl w:val="nil"/>
            </w:tcBorders>
            <w:vAlign w:val="center"/>
          </w:tcPr>
          <w:p w14:paraId="7D884F86">
            <w:pPr>
              <w:tabs>
                <w:tab w:val="left" w:pos="980"/>
              </w:tabs>
              <w:autoSpaceDE w:val="0"/>
              <w:autoSpaceDN w:val="0"/>
              <w:adjustRightInd w:val="0"/>
              <w:jc w:val="center"/>
              <w:rPr>
                <w:color w:val="auto"/>
                <w:sz w:val="21"/>
                <w:szCs w:val="21"/>
                <w:highlight w:val="none"/>
              </w:rPr>
            </w:pPr>
            <w:r>
              <w:rPr>
                <w:color w:val="auto"/>
                <w:sz w:val="21"/>
                <w:szCs w:val="21"/>
                <w:highlight w:val="none"/>
              </w:rPr>
              <w:t>项   目</w:t>
            </w:r>
          </w:p>
        </w:tc>
        <w:tc>
          <w:tcPr>
            <w:tcW w:w="1843" w:type="dxa"/>
            <w:tcBorders>
              <w:tl2br w:val="nil"/>
              <w:tr2bl w:val="nil"/>
            </w:tcBorders>
            <w:vAlign w:val="center"/>
          </w:tcPr>
          <w:p w14:paraId="3F25318C">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允许偏差（mm）</w:t>
            </w:r>
          </w:p>
        </w:tc>
        <w:tc>
          <w:tcPr>
            <w:tcW w:w="3784" w:type="dxa"/>
            <w:tcBorders>
              <w:tl2br w:val="nil"/>
              <w:tr2bl w:val="nil"/>
            </w:tcBorders>
            <w:vAlign w:val="center"/>
          </w:tcPr>
          <w:p w14:paraId="163EB158">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检</w:t>
            </w:r>
            <w:r>
              <w:rPr>
                <w:color w:val="auto"/>
                <w:sz w:val="21"/>
                <w:szCs w:val="21"/>
                <w:highlight w:val="none"/>
              </w:rPr>
              <w:t xml:space="preserve"> 验 方 法</w:t>
            </w:r>
          </w:p>
        </w:tc>
      </w:tr>
      <w:tr w14:paraId="26EA0D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547" w:type="dxa"/>
            <w:tcBorders>
              <w:tl2br w:val="nil"/>
              <w:tr2bl w:val="nil"/>
            </w:tcBorders>
            <w:vAlign w:val="center"/>
          </w:tcPr>
          <w:p w14:paraId="02C7301D">
            <w:pPr>
              <w:tabs>
                <w:tab w:val="left" w:pos="980"/>
              </w:tabs>
              <w:autoSpaceDE w:val="0"/>
              <w:autoSpaceDN w:val="0"/>
              <w:adjustRightInd w:val="0"/>
              <w:jc w:val="center"/>
              <w:rPr>
                <w:color w:val="auto"/>
                <w:sz w:val="21"/>
                <w:szCs w:val="21"/>
                <w:highlight w:val="none"/>
              </w:rPr>
            </w:pPr>
            <w:r>
              <w:rPr>
                <w:color w:val="auto"/>
                <w:sz w:val="21"/>
                <w:szCs w:val="21"/>
                <w:highlight w:val="none"/>
              </w:rPr>
              <w:t>表面平整度（mm）</w:t>
            </w:r>
          </w:p>
        </w:tc>
        <w:tc>
          <w:tcPr>
            <w:tcW w:w="1843" w:type="dxa"/>
            <w:tcBorders>
              <w:tl2br w:val="nil"/>
              <w:tr2bl w:val="nil"/>
            </w:tcBorders>
            <w:vAlign w:val="center"/>
          </w:tcPr>
          <w:p w14:paraId="3100CF7A">
            <w:pPr>
              <w:tabs>
                <w:tab w:val="left" w:pos="980"/>
              </w:tabs>
              <w:autoSpaceDE w:val="0"/>
              <w:autoSpaceDN w:val="0"/>
              <w:adjustRightInd w:val="0"/>
              <w:jc w:val="center"/>
              <w:rPr>
                <w:color w:val="auto"/>
                <w:sz w:val="21"/>
                <w:szCs w:val="21"/>
                <w:highlight w:val="none"/>
              </w:rPr>
            </w:pPr>
            <w:r>
              <w:rPr>
                <w:color w:val="auto"/>
                <w:sz w:val="21"/>
                <w:szCs w:val="21"/>
                <w:highlight w:val="none"/>
              </w:rPr>
              <w:t>3</w:t>
            </w:r>
          </w:p>
        </w:tc>
        <w:tc>
          <w:tcPr>
            <w:tcW w:w="3784" w:type="dxa"/>
            <w:tcBorders>
              <w:tl2br w:val="nil"/>
              <w:tr2bl w:val="nil"/>
            </w:tcBorders>
            <w:vAlign w:val="center"/>
          </w:tcPr>
          <w:p w14:paraId="7DFBCCD2">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2m垂直测量尺检查</w:t>
            </w:r>
          </w:p>
        </w:tc>
      </w:tr>
      <w:tr w14:paraId="5B22C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547" w:type="dxa"/>
            <w:tcBorders>
              <w:tl2br w:val="nil"/>
              <w:tr2bl w:val="nil"/>
            </w:tcBorders>
            <w:vAlign w:val="center"/>
          </w:tcPr>
          <w:p w14:paraId="235506E7">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立面垂直度（mm）</w:t>
            </w:r>
          </w:p>
        </w:tc>
        <w:tc>
          <w:tcPr>
            <w:tcW w:w="1843" w:type="dxa"/>
            <w:tcBorders>
              <w:tl2br w:val="nil"/>
              <w:tr2bl w:val="nil"/>
            </w:tcBorders>
            <w:vAlign w:val="center"/>
          </w:tcPr>
          <w:p w14:paraId="0798D85A">
            <w:pPr>
              <w:tabs>
                <w:tab w:val="left" w:pos="980"/>
              </w:tabs>
              <w:autoSpaceDE w:val="0"/>
              <w:autoSpaceDN w:val="0"/>
              <w:adjustRightInd w:val="0"/>
              <w:jc w:val="center"/>
              <w:rPr>
                <w:color w:val="auto"/>
                <w:sz w:val="21"/>
                <w:szCs w:val="21"/>
                <w:highlight w:val="none"/>
              </w:rPr>
            </w:pPr>
            <w:r>
              <w:rPr>
                <w:color w:val="auto"/>
                <w:sz w:val="21"/>
                <w:szCs w:val="21"/>
                <w:highlight w:val="none"/>
              </w:rPr>
              <w:t>3</w:t>
            </w:r>
          </w:p>
        </w:tc>
        <w:tc>
          <w:tcPr>
            <w:tcW w:w="3784" w:type="dxa"/>
            <w:tcBorders>
              <w:tl2br w:val="nil"/>
              <w:tr2bl w:val="nil"/>
            </w:tcBorders>
            <w:vAlign w:val="center"/>
          </w:tcPr>
          <w:p w14:paraId="7768591D">
            <w:pPr>
              <w:tabs>
                <w:tab w:val="left" w:pos="980"/>
              </w:tabs>
              <w:autoSpaceDE w:val="0"/>
              <w:autoSpaceDN w:val="0"/>
              <w:adjustRightInd w:val="0"/>
              <w:jc w:val="center"/>
              <w:rPr>
                <w:color w:val="auto"/>
                <w:sz w:val="21"/>
                <w:szCs w:val="21"/>
                <w:highlight w:val="none"/>
              </w:rPr>
            </w:pPr>
            <w:r>
              <w:rPr>
                <w:color w:val="auto"/>
                <w:sz w:val="21"/>
                <w:szCs w:val="21"/>
                <w:highlight w:val="none"/>
              </w:rPr>
              <w:t>2m靠尺和塞尺检查</w:t>
            </w:r>
          </w:p>
        </w:tc>
      </w:tr>
      <w:tr w14:paraId="54DB3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547" w:type="dxa"/>
            <w:tcBorders>
              <w:tl2br w:val="nil"/>
              <w:tr2bl w:val="nil"/>
            </w:tcBorders>
            <w:vAlign w:val="center"/>
          </w:tcPr>
          <w:p w14:paraId="7399369F">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阴阳角方正</w:t>
            </w:r>
          </w:p>
        </w:tc>
        <w:tc>
          <w:tcPr>
            <w:tcW w:w="1843" w:type="dxa"/>
            <w:tcBorders>
              <w:tl2br w:val="nil"/>
              <w:tr2bl w:val="nil"/>
            </w:tcBorders>
            <w:vAlign w:val="center"/>
          </w:tcPr>
          <w:p w14:paraId="4C123B3F">
            <w:pPr>
              <w:tabs>
                <w:tab w:val="left" w:pos="980"/>
              </w:tabs>
              <w:autoSpaceDE w:val="0"/>
              <w:autoSpaceDN w:val="0"/>
              <w:adjustRightInd w:val="0"/>
              <w:jc w:val="center"/>
              <w:rPr>
                <w:color w:val="auto"/>
                <w:sz w:val="21"/>
                <w:szCs w:val="21"/>
                <w:highlight w:val="none"/>
              </w:rPr>
            </w:pPr>
            <w:r>
              <w:rPr>
                <w:color w:val="auto"/>
                <w:sz w:val="21"/>
                <w:szCs w:val="21"/>
                <w:highlight w:val="none"/>
              </w:rPr>
              <w:t>3</w:t>
            </w:r>
          </w:p>
        </w:tc>
        <w:tc>
          <w:tcPr>
            <w:tcW w:w="3784" w:type="dxa"/>
            <w:tcBorders>
              <w:tl2br w:val="nil"/>
              <w:tr2bl w:val="nil"/>
            </w:tcBorders>
            <w:vAlign w:val="center"/>
          </w:tcPr>
          <w:p w14:paraId="3DEBC80C">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2</w:t>
            </w:r>
            <w:r>
              <w:rPr>
                <w:color w:val="auto"/>
                <w:sz w:val="21"/>
                <w:szCs w:val="21"/>
                <w:highlight w:val="none"/>
              </w:rPr>
              <w:t>00</w:t>
            </w:r>
            <w:r>
              <w:rPr>
                <w:rFonts w:hint="eastAsia"/>
                <w:color w:val="auto"/>
                <w:sz w:val="21"/>
                <w:szCs w:val="21"/>
                <w:highlight w:val="none"/>
              </w:rPr>
              <w:t>mm方尺检查</w:t>
            </w:r>
          </w:p>
        </w:tc>
      </w:tr>
      <w:tr w14:paraId="2365C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2547" w:type="dxa"/>
            <w:tcBorders>
              <w:tl2br w:val="nil"/>
              <w:tr2bl w:val="nil"/>
            </w:tcBorders>
            <w:vAlign w:val="center"/>
          </w:tcPr>
          <w:p w14:paraId="46D0765C">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分格条（缝）直线度</w:t>
            </w:r>
          </w:p>
        </w:tc>
        <w:tc>
          <w:tcPr>
            <w:tcW w:w="1843" w:type="dxa"/>
            <w:tcBorders>
              <w:tl2br w:val="nil"/>
              <w:tr2bl w:val="nil"/>
            </w:tcBorders>
            <w:vAlign w:val="center"/>
          </w:tcPr>
          <w:p w14:paraId="2D8EA63B">
            <w:pPr>
              <w:tabs>
                <w:tab w:val="left" w:pos="980"/>
              </w:tabs>
              <w:autoSpaceDE w:val="0"/>
              <w:autoSpaceDN w:val="0"/>
              <w:adjustRightInd w:val="0"/>
              <w:jc w:val="center"/>
              <w:rPr>
                <w:color w:val="auto"/>
                <w:sz w:val="21"/>
                <w:szCs w:val="21"/>
                <w:highlight w:val="none"/>
              </w:rPr>
            </w:pPr>
            <w:r>
              <w:rPr>
                <w:color w:val="auto"/>
                <w:sz w:val="21"/>
                <w:szCs w:val="21"/>
                <w:highlight w:val="none"/>
              </w:rPr>
              <w:t>3</w:t>
            </w:r>
          </w:p>
        </w:tc>
        <w:tc>
          <w:tcPr>
            <w:tcW w:w="3784" w:type="dxa"/>
            <w:tcBorders>
              <w:tl2br w:val="nil"/>
              <w:tr2bl w:val="nil"/>
            </w:tcBorders>
            <w:vAlign w:val="center"/>
          </w:tcPr>
          <w:p w14:paraId="251E1109">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拉5m线，不足5m拉通线，用钢直尺检查</w:t>
            </w:r>
          </w:p>
        </w:tc>
      </w:tr>
    </w:tbl>
    <w:p w14:paraId="18F50E98">
      <w:pPr>
        <w:spacing w:line="440" w:lineRule="exact"/>
        <w:ind w:firstLine="480" w:firstLineChars="200"/>
        <w:rPr>
          <w:bCs/>
          <w:color w:val="auto"/>
          <w:sz w:val="24"/>
          <w:szCs w:val="24"/>
          <w:highlight w:val="none"/>
        </w:rPr>
      </w:pPr>
      <w:r>
        <w:rPr>
          <w:bCs/>
          <w:color w:val="auto"/>
          <w:sz w:val="24"/>
          <w:szCs w:val="24"/>
          <w:highlight w:val="none"/>
        </w:rPr>
        <w:t>检查数量：</w:t>
      </w:r>
      <w:r>
        <w:rPr>
          <w:rFonts w:hint="eastAsia"/>
          <w:bCs/>
          <w:color w:val="auto"/>
          <w:sz w:val="24"/>
          <w:szCs w:val="24"/>
          <w:highlight w:val="none"/>
        </w:rPr>
        <w:t>全数检查</w:t>
      </w:r>
      <w:r>
        <w:rPr>
          <w:bCs/>
          <w:color w:val="auto"/>
          <w:sz w:val="24"/>
          <w:szCs w:val="24"/>
          <w:highlight w:val="none"/>
        </w:rPr>
        <w:t>。</w:t>
      </w:r>
    </w:p>
    <w:p w14:paraId="702559CD">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套装双真空保温隔热装饰板安装后墙面的造型、立面分格、颜色和图案等外观应符合设计要求和本规程的规定。</w:t>
      </w:r>
    </w:p>
    <w:p w14:paraId="75610FBB">
      <w:pPr>
        <w:spacing w:line="440" w:lineRule="exact"/>
        <w:ind w:firstLine="480" w:firstLineChars="200"/>
        <w:rPr>
          <w:bCs/>
          <w:color w:val="auto"/>
          <w:sz w:val="24"/>
          <w:szCs w:val="24"/>
          <w:highlight w:val="none"/>
        </w:rPr>
      </w:pPr>
      <w:r>
        <w:rPr>
          <w:bCs/>
          <w:color w:val="auto"/>
          <w:sz w:val="24"/>
          <w:szCs w:val="24"/>
          <w:highlight w:val="none"/>
        </w:rPr>
        <w:t xml:space="preserve"> 检查方法：观察和尺量检查。</w:t>
      </w:r>
    </w:p>
    <w:p w14:paraId="62F48913">
      <w:pPr>
        <w:spacing w:line="440" w:lineRule="exact"/>
        <w:ind w:firstLine="480" w:firstLineChars="200"/>
        <w:rPr>
          <w:bCs/>
          <w:color w:val="auto"/>
          <w:sz w:val="24"/>
          <w:szCs w:val="24"/>
          <w:highlight w:val="none"/>
        </w:rPr>
      </w:pPr>
      <w:r>
        <w:rPr>
          <w:bCs/>
          <w:color w:val="auto"/>
          <w:sz w:val="24"/>
          <w:szCs w:val="24"/>
          <w:highlight w:val="none"/>
        </w:rPr>
        <w:t xml:space="preserve"> 检查数量：每个检验批抽查10%，并不少于5处。</w:t>
      </w:r>
    </w:p>
    <w:p w14:paraId="31EE4322">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门窗洞口、凸窗洞口周边墙面积外墙出挑构件部位的密封措施应符合设计要求。</w:t>
      </w:r>
    </w:p>
    <w:p w14:paraId="65A6A967">
      <w:pPr>
        <w:spacing w:line="440" w:lineRule="exact"/>
        <w:ind w:firstLine="480" w:firstLineChars="200"/>
        <w:rPr>
          <w:bCs/>
          <w:color w:val="auto"/>
          <w:sz w:val="24"/>
          <w:szCs w:val="24"/>
          <w:highlight w:val="none"/>
        </w:rPr>
      </w:pPr>
      <w:r>
        <w:rPr>
          <w:bCs/>
          <w:color w:val="auto"/>
          <w:sz w:val="24"/>
          <w:szCs w:val="24"/>
          <w:highlight w:val="none"/>
        </w:rPr>
        <w:t>检验方法：观察检查；检查隐蔽工程验收记录。</w:t>
      </w:r>
    </w:p>
    <w:p w14:paraId="42DC920F">
      <w:pPr>
        <w:spacing w:line="440" w:lineRule="exact"/>
        <w:ind w:firstLine="480" w:firstLineChars="200"/>
        <w:rPr>
          <w:bCs/>
          <w:color w:val="auto"/>
          <w:sz w:val="24"/>
          <w:szCs w:val="24"/>
          <w:highlight w:val="none"/>
        </w:rPr>
      </w:pPr>
      <w:r>
        <w:rPr>
          <w:bCs/>
          <w:color w:val="auto"/>
          <w:sz w:val="24"/>
          <w:szCs w:val="24"/>
          <w:highlight w:val="none"/>
        </w:rPr>
        <w:t>检查数量：同一检验批内，抽查10%，并不少于5处。</w:t>
      </w:r>
    </w:p>
    <w:p w14:paraId="62573B5F">
      <w:pPr>
        <w:pStyle w:val="27"/>
        <w:numPr>
          <w:ilvl w:val="2"/>
          <w:numId w:val="2"/>
        </w:numPr>
        <w:spacing w:line="360" w:lineRule="auto"/>
        <w:ind w:left="0" w:firstLine="0" w:firstLineChars="0"/>
        <w:jc w:val="left"/>
        <w:outlineLvl w:val="2"/>
        <w:rPr>
          <w:bCs/>
          <w:color w:val="auto"/>
          <w:sz w:val="24"/>
          <w:szCs w:val="24"/>
          <w:highlight w:val="none"/>
        </w:rPr>
      </w:pPr>
      <w:r>
        <w:rPr>
          <w:bCs/>
          <w:color w:val="auto"/>
          <w:sz w:val="24"/>
          <w:szCs w:val="24"/>
          <w:highlight w:val="none"/>
        </w:rPr>
        <w:t>套装双真空保温隔热装饰板铺贴的允许偏差</w:t>
      </w:r>
      <w:r>
        <w:rPr>
          <w:rFonts w:hint="eastAsia"/>
          <w:bCs/>
          <w:color w:val="auto"/>
          <w:sz w:val="24"/>
          <w:szCs w:val="24"/>
          <w:highlight w:val="none"/>
        </w:rPr>
        <w:t>和检验方法</w:t>
      </w:r>
      <w:r>
        <w:rPr>
          <w:bCs/>
          <w:color w:val="auto"/>
          <w:sz w:val="24"/>
          <w:szCs w:val="24"/>
          <w:highlight w:val="none"/>
        </w:rPr>
        <w:t>应符合表8.3.5的规定。</w:t>
      </w:r>
    </w:p>
    <w:p w14:paraId="37DB7257">
      <w:pPr>
        <w:spacing w:before="156" w:beforeLines="50" w:after="156" w:afterLines="50"/>
        <w:jc w:val="center"/>
        <w:textAlignment w:val="baseline"/>
        <w:rPr>
          <w:color w:val="auto"/>
          <w:highlight w:val="none"/>
        </w:rPr>
      </w:pPr>
      <w:r>
        <w:rPr>
          <w:color w:val="auto"/>
          <w:highlight w:val="none"/>
        </w:rPr>
        <w:t>表7.3.6  套装双真空保温隔热装饰板铺贴的允许偏差</w:t>
      </w:r>
      <w:r>
        <w:rPr>
          <w:rFonts w:hint="eastAsia"/>
          <w:color w:val="auto"/>
          <w:highlight w:val="none"/>
        </w:rPr>
        <w:t>和检验方法</w:t>
      </w:r>
    </w:p>
    <w:tbl>
      <w:tblPr>
        <w:tblStyle w:val="1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64"/>
        <w:gridCol w:w="1134"/>
        <w:gridCol w:w="1101"/>
        <w:gridCol w:w="2031"/>
      </w:tblGrid>
      <w:tr w14:paraId="49213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964" w:type="dxa"/>
            <w:vMerge w:val="restart"/>
            <w:tcBorders>
              <w:tl2br w:val="nil"/>
              <w:tr2bl w:val="nil"/>
            </w:tcBorders>
            <w:vAlign w:val="center"/>
          </w:tcPr>
          <w:p w14:paraId="2BACAC9F">
            <w:pPr>
              <w:tabs>
                <w:tab w:val="left" w:pos="980"/>
              </w:tabs>
              <w:autoSpaceDE w:val="0"/>
              <w:autoSpaceDN w:val="0"/>
              <w:adjustRightInd w:val="0"/>
              <w:jc w:val="center"/>
              <w:rPr>
                <w:color w:val="auto"/>
                <w:sz w:val="21"/>
                <w:szCs w:val="21"/>
                <w:highlight w:val="none"/>
              </w:rPr>
            </w:pPr>
            <w:r>
              <w:rPr>
                <w:color w:val="auto"/>
                <w:sz w:val="21"/>
                <w:szCs w:val="21"/>
                <w:highlight w:val="none"/>
              </w:rPr>
              <w:t>项   目</w:t>
            </w:r>
          </w:p>
        </w:tc>
        <w:tc>
          <w:tcPr>
            <w:tcW w:w="2235" w:type="dxa"/>
            <w:gridSpan w:val="2"/>
            <w:tcBorders>
              <w:tl2br w:val="nil"/>
              <w:tr2bl w:val="nil"/>
            </w:tcBorders>
            <w:vAlign w:val="center"/>
          </w:tcPr>
          <w:p w14:paraId="71EE13D4">
            <w:pPr>
              <w:tabs>
                <w:tab w:val="left" w:pos="980"/>
              </w:tabs>
              <w:autoSpaceDE w:val="0"/>
              <w:autoSpaceDN w:val="0"/>
              <w:adjustRightInd w:val="0"/>
              <w:jc w:val="center"/>
              <w:rPr>
                <w:color w:val="auto"/>
                <w:sz w:val="21"/>
                <w:szCs w:val="21"/>
                <w:highlight w:val="none"/>
              </w:rPr>
            </w:pPr>
            <w:r>
              <w:rPr>
                <w:color w:val="auto"/>
                <w:sz w:val="21"/>
                <w:szCs w:val="21"/>
                <w:highlight w:val="none"/>
              </w:rPr>
              <w:t>指标</w:t>
            </w:r>
          </w:p>
        </w:tc>
        <w:tc>
          <w:tcPr>
            <w:tcW w:w="2031" w:type="dxa"/>
            <w:vMerge w:val="restart"/>
            <w:tcBorders>
              <w:tl2br w:val="nil"/>
              <w:tr2bl w:val="nil"/>
            </w:tcBorders>
            <w:vAlign w:val="center"/>
          </w:tcPr>
          <w:p w14:paraId="06E9B726">
            <w:pPr>
              <w:tabs>
                <w:tab w:val="left" w:pos="980"/>
              </w:tabs>
              <w:autoSpaceDE w:val="0"/>
              <w:autoSpaceDN w:val="0"/>
              <w:adjustRightInd w:val="0"/>
              <w:jc w:val="center"/>
              <w:rPr>
                <w:color w:val="auto"/>
                <w:sz w:val="21"/>
                <w:szCs w:val="21"/>
                <w:highlight w:val="none"/>
              </w:rPr>
            </w:pPr>
            <w:r>
              <w:rPr>
                <w:rFonts w:hint="eastAsia"/>
                <w:color w:val="auto"/>
                <w:sz w:val="21"/>
                <w:szCs w:val="21"/>
                <w:highlight w:val="none"/>
              </w:rPr>
              <w:t>检</w:t>
            </w:r>
            <w:r>
              <w:rPr>
                <w:color w:val="auto"/>
                <w:sz w:val="21"/>
                <w:szCs w:val="21"/>
                <w:highlight w:val="none"/>
              </w:rPr>
              <w:t xml:space="preserve"> 验 方 法</w:t>
            </w:r>
          </w:p>
        </w:tc>
      </w:tr>
      <w:tr w14:paraId="6046A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964" w:type="dxa"/>
            <w:vMerge w:val="continue"/>
            <w:tcBorders>
              <w:tl2br w:val="nil"/>
              <w:tr2bl w:val="nil"/>
            </w:tcBorders>
            <w:vAlign w:val="center"/>
          </w:tcPr>
          <w:p w14:paraId="164D660C">
            <w:pPr>
              <w:tabs>
                <w:tab w:val="left" w:pos="980"/>
              </w:tabs>
              <w:autoSpaceDE w:val="0"/>
              <w:autoSpaceDN w:val="0"/>
              <w:adjustRightInd w:val="0"/>
              <w:jc w:val="center"/>
              <w:rPr>
                <w:color w:val="auto"/>
                <w:sz w:val="21"/>
                <w:szCs w:val="21"/>
                <w:highlight w:val="none"/>
              </w:rPr>
            </w:pPr>
          </w:p>
        </w:tc>
        <w:tc>
          <w:tcPr>
            <w:tcW w:w="1134" w:type="dxa"/>
            <w:tcBorders>
              <w:tl2br w:val="nil"/>
              <w:tr2bl w:val="nil"/>
            </w:tcBorders>
            <w:vAlign w:val="center"/>
          </w:tcPr>
          <w:p w14:paraId="69163594">
            <w:pPr>
              <w:tabs>
                <w:tab w:val="left" w:pos="980"/>
              </w:tabs>
              <w:autoSpaceDE w:val="0"/>
              <w:autoSpaceDN w:val="0"/>
              <w:adjustRightInd w:val="0"/>
              <w:jc w:val="center"/>
              <w:rPr>
                <w:color w:val="auto"/>
                <w:sz w:val="21"/>
                <w:szCs w:val="21"/>
                <w:highlight w:val="none"/>
              </w:rPr>
            </w:pPr>
            <w:r>
              <w:rPr>
                <w:color w:val="auto"/>
                <w:sz w:val="21"/>
                <w:szCs w:val="21"/>
                <w:highlight w:val="none"/>
              </w:rPr>
              <w:t>内保温</w:t>
            </w:r>
          </w:p>
          <w:p w14:paraId="3F70DD55">
            <w:pPr>
              <w:tabs>
                <w:tab w:val="left" w:pos="980"/>
              </w:tabs>
              <w:autoSpaceDE w:val="0"/>
              <w:autoSpaceDN w:val="0"/>
              <w:adjustRightInd w:val="0"/>
              <w:jc w:val="center"/>
              <w:rPr>
                <w:color w:val="auto"/>
                <w:sz w:val="21"/>
                <w:szCs w:val="21"/>
                <w:highlight w:val="none"/>
              </w:rPr>
            </w:pPr>
            <w:r>
              <w:rPr>
                <w:color w:val="auto"/>
                <w:sz w:val="21"/>
                <w:szCs w:val="21"/>
                <w:highlight w:val="none"/>
              </w:rPr>
              <w:t>工程</w:t>
            </w:r>
          </w:p>
        </w:tc>
        <w:tc>
          <w:tcPr>
            <w:tcW w:w="1101" w:type="dxa"/>
            <w:tcBorders>
              <w:tl2br w:val="nil"/>
              <w:tr2bl w:val="nil"/>
            </w:tcBorders>
            <w:vAlign w:val="center"/>
          </w:tcPr>
          <w:p w14:paraId="29E71174">
            <w:pPr>
              <w:tabs>
                <w:tab w:val="left" w:pos="980"/>
              </w:tabs>
              <w:autoSpaceDE w:val="0"/>
              <w:autoSpaceDN w:val="0"/>
              <w:adjustRightInd w:val="0"/>
              <w:jc w:val="center"/>
              <w:rPr>
                <w:color w:val="auto"/>
                <w:sz w:val="21"/>
                <w:szCs w:val="21"/>
                <w:highlight w:val="none"/>
              </w:rPr>
            </w:pPr>
            <w:r>
              <w:rPr>
                <w:color w:val="auto"/>
                <w:sz w:val="21"/>
                <w:szCs w:val="21"/>
                <w:highlight w:val="none"/>
              </w:rPr>
              <w:t>外保温</w:t>
            </w:r>
          </w:p>
          <w:p w14:paraId="1596E665">
            <w:pPr>
              <w:tabs>
                <w:tab w:val="left" w:pos="980"/>
              </w:tabs>
              <w:autoSpaceDE w:val="0"/>
              <w:autoSpaceDN w:val="0"/>
              <w:adjustRightInd w:val="0"/>
              <w:jc w:val="center"/>
              <w:rPr>
                <w:color w:val="auto"/>
                <w:sz w:val="21"/>
                <w:szCs w:val="21"/>
                <w:highlight w:val="none"/>
              </w:rPr>
            </w:pPr>
            <w:r>
              <w:rPr>
                <w:color w:val="auto"/>
                <w:sz w:val="21"/>
                <w:szCs w:val="21"/>
                <w:highlight w:val="none"/>
              </w:rPr>
              <w:t>工程</w:t>
            </w:r>
          </w:p>
        </w:tc>
        <w:tc>
          <w:tcPr>
            <w:tcW w:w="2031" w:type="dxa"/>
            <w:vMerge w:val="continue"/>
            <w:tcBorders>
              <w:tl2br w:val="nil"/>
              <w:tr2bl w:val="nil"/>
            </w:tcBorders>
            <w:vAlign w:val="center"/>
          </w:tcPr>
          <w:p w14:paraId="3A998F7D">
            <w:pPr>
              <w:tabs>
                <w:tab w:val="left" w:pos="980"/>
              </w:tabs>
              <w:autoSpaceDE w:val="0"/>
              <w:autoSpaceDN w:val="0"/>
              <w:adjustRightInd w:val="0"/>
              <w:jc w:val="center"/>
              <w:rPr>
                <w:color w:val="auto"/>
                <w:sz w:val="21"/>
                <w:szCs w:val="21"/>
                <w:highlight w:val="none"/>
              </w:rPr>
            </w:pPr>
          </w:p>
        </w:tc>
      </w:tr>
      <w:tr w14:paraId="4261DD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4" w:type="dxa"/>
            <w:tcBorders>
              <w:tl2br w:val="nil"/>
              <w:tr2bl w:val="nil"/>
            </w:tcBorders>
            <w:vAlign w:val="center"/>
          </w:tcPr>
          <w:p w14:paraId="19A4741F">
            <w:pPr>
              <w:tabs>
                <w:tab w:val="left" w:pos="980"/>
              </w:tabs>
              <w:autoSpaceDE w:val="0"/>
              <w:autoSpaceDN w:val="0"/>
              <w:adjustRightInd w:val="0"/>
              <w:jc w:val="center"/>
              <w:rPr>
                <w:color w:val="auto"/>
                <w:sz w:val="21"/>
                <w:szCs w:val="21"/>
                <w:highlight w:val="none"/>
              </w:rPr>
            </w:pPr>
            <w:r>
              <w:rPr>
                <w:color w:val="auto"/>
                <w:sz w:val="21"/>
                <w:szCs w:val="21"/>
                <w:highlight w:val="none"/>
              </w:rPr>
              <w:t>表面平整度（mm）</w:t>
            </w:r>
          </w:p>
        </w:tc>
        <w:tc>
          <w:tcPr>
            <w:tcW w:w="1134" w:type="dxa"/>
            <w:tcBorders>
              <w:tl2br w:val="nil"/>
              <w:tr2bl w:val="nil"/>
            </w:tcBorders>
            <w:vAlign w:val="center"/>
          </w:tcPr>
          <w:p w14:paraId="69F1CCBF">
            <w:pPr>
              <w:tabs>
                <w:tab w:val="left" w:pos="980"/>
              </w:tabs>
              <w:autoSpaceDE w:val="0"/>
              <w:autoSpaceDN w:val="0"/>
              <w:adjustRightInd w:val="0"/>
              <w:jc w:val="center"/>
              <w:rPr>
                <w:color w:val="auto"/>
                <w:sz w:val="21"/>
                <w:szCs w:val="21"/>
                <w:highlight w:val="none"/>
              </w:rPr>
            </w:pPr>
            <w:r>
              <w:rPr>
                <w:color w:val="auto"/>
                <w:sz w:val="21"/>
                <w:szCs w:val="21"/>
                <w:highlight w:val="none"/>
              </w:rPr>
              <w:t>3</w:t>
            </w:r>
          </w:p>
        </w:tc>
        <w:tc>
          <w:tcPr>
            <w:tcW w:w="1101" w:type="dxa"/>
            <w:tcBorders>
              <w:tl2br w:val="nil"/>
              <w:tr2bl w:val="nil"/>
            </w:tcBorders>
            <w:vAlign w:val="center"/>
          </w:tcPr>
          <w:p w14:paraId="43F9AFC2">
            <w:pPr>
              <w:tabs>
                <w:tab w:val="left" w:pos="980"/>
              </w:tabs>
              <w:autoSpaceDE w:val="0"/>
              <w:autoSpaceDN w:val="0"/>
              <w:adjustRightInd w:val="0"/>
              <w:jc w:val="center"/>
              <w:rPr>
                <w:color w:val="auto"/>
                <w:sz w:val="21"/>
                <w:szCs w:val="21"/>
                <w:highlight w:val="none"/>
              </w:rPr>
            </w:pPr>
            <w:r>
              <w:rPr>
                <w:color w:val="auto"/>
                <w:sz w:val="21"/>
                <w:szCs w:val="21"/>
                <w:highlight w:val="none"/>
              </w:rPr>
              <w:t>3</w:t>
            </w:r>
          </w:p>
        </w:tc>
        <w:tc>
          <w:tcPr>
            <w:tcW w:w="2031" w:type="dxa"/>
            <w:tcBorders>
              <w:tl2br w:val="nil"/>
              <w:tr2bl w:val="nil"/>
            </w:tcBorders>
            <w:vAlign w:val="center"/>
          </w:tcPr>
          <w:p w14:paraId="783354F9">
            <w:pPr>
              <w:tabs>
                <w:tab w:val="left" w:pos="980"/>
              </w:tabs>
              <w:autoSpaceDE w:val="0"/>
              <w:autoSpaceDN w:val="0"/>
              <w:adjustRightInd w:val="0"/>
              <w:jc w:val="center"/>
              <w:rPr>
                <w:color w:val="auto"/>
                <w:sz w:val="21"/>
                <w:szCs w:val="21"/>
                <w:highlight w:val="none"/>
              </w:rPr>
            </w:pPr>
            <w:r>
              <w:rPr>
                <w:color w:val="auto"/>
                <w:sz w:val="21"/>
                <w:szCs w:val="21"/>
                <w:highlight w:val="none"/>
              </w:rPr>
              <w:t>2m靠尺和塞尺检查</w:t>
            </w:r>
          </w:p>
        </w:tc>
      </w:tr>
      <w:tr w14:paraId="4E782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4" w:type="dxa"/>
            <w:tcBorders>
              <w:tl2br w:val="nil"/>
              <w:tr2bl w:val="nil"/>
            </w:tcBorders>
            <w:vAlign w:val="center"/>
          </w:tcPr>
          <w:p w14:paraId="2560B33A">
            <w:pPr>
              <w:tabs>
                <w:tab w:val="left" w:pos="980"/>
              </w:tabs>
              <w:autoSpaceDE w:val="0"/>
              <w:autoSpaceDN w:val="0"/>
              <w:adjustRightInd w:val="0"/>
              <w:jc w:val="center"/>
              <w:rPr>
                <w:color w:val="auto"/>
                <w:sz w:val="21"/>
                <w:szCs w:val="21"/>
                <w:highlight w:val="none"/>
              </w:rPr>
            </w:pPr>
            <w:r>
              <w:rPr>
                <w:color w:val="auto"/>
                <w:sz w:val="21"/>
                <w:szCs w:val="21"/>
                <w:highlight w:val="none"/>
              </w:rPr>
              <w:t>接缝宽度（mm）</w:t>
            </w:r>
          </w:p>
        </w:tc>
        <w:tc>
          <w:tcPr>
            <w:tcW w:w="1134" w:type="dxa"/>
            <w:tcBorders>
              <w:tl2br w:val="nil"/>
              <w:tr2bl w:val="nil"/>
            </w:tcBorders>
            <w:vAlign w:val="center"/>
          </w:tcPr>
          <w:p w14:paraId="74DDD801">
            <w:pPr>
              <w:tabs>
                <w:tab w:val="left" w:pos="980"/>
              </w:tabs>
              <w:autoSpaceDE w:val="0"/>
              <w:autoSpaceDN w:val="0"/>
              <w:adjustRightInd w:val="0"/>
              <w:jc w:val="center"/>
              <w:rPr>
                <w:color w:val="auto"/>
                <w:sz w:val="21"/>
                <w:szCs w:val="21"/>
                <w:highlight w:val="none"/>
              </w:rPr>
            </w:pPr>
            <w:r>
              <w:rPr>
                <w:color w:val="auto"/>
                <w:sz w:val="21"/>
                <w:szCs w:val="21"/>
                <w:highlight w:val="none"/>
              </w:rPr>
              <w:t>1</w:t>
            </w:r>
          </w:p>
        </w:tc>
        <w:tc>
          <w:tcPr>
            <w:tcW w:w="1101" w:type="dxa"/>
            <w:tcBorders>
              <w:tl2br w:val="nil"/>
              <w:tr2bl w:val="nil"/>
            </w:tcBorders>
            <w:vAlign w:val="center"/>
          </w:tcPr>
          <w:p w14:paraId="44CCBCD3">
            <w:pPr>
              <w:tabs>
                <w:tab w:val="left" w:pos="980"/>
              </w:tabs>
              <w:autoSpaceDE w:val="0"/>
              <w:autoSpaceDN w:val="0"/>
              <w:adjustRightInd w:val="0"/>
              <w:jc w:val="center"/>
              <w:rPr>
                <w:color w:val="auto"/>
                <w:sz w:val="21"/>
                <w:szCs w:val="21"/>
                <w:highlight w:val="none"/>
              </w:rPr>
            </w:pPr>
            <w:r>
              <w:rPr>
                <w:color w:val="auto"/>
                <w:sz w:val="21"/>
                <w:szCs w:val="21"/>
                <w:highlight w:val="none"/>
              </w:rPr>
              <w:t>2</w:t>
            </w:r>
          </w:p>
        </w:tc>
        <w:tc>
          <w:tcPr>
            <w:tcW w:w="2031" w:type="dxa"/>
            <w:tcBorders>
              <w:tl2br w:val="nil"/>
              <w:tr2bl w:val="nil"/>
            </w:tcBorders>
            <w:vAlign w:val="center"/>
          </w:tcPr>
          <w:p w14:paraId="29C6F80F">
            <w:pPr>
              <w:tabs>
                <w:tab w:val="left" w:pos="980"/>
              </w:tabs>
              <w:autoSpaceDE w:val="0"/>
              <w:autoSpaceDN w:val="0"/>
              <w:adjustRightInd w:val="0"/>
              <w:jc w:val="center"/>
              <w:rPr>
                <w:color w:val="auto"/>
                <w:sz w:val="21"/>
                <w:szCs w:val="21"/>
                <w:highlight w:val="none"/>
              </w:rPr>
            </w:pPr>
            <w:r>
              <w:rPr>
                <w:color w:val="auto"/>
                <w:sz w:val="21"/>
                <w:szCs w:val="21"/>
                <w:highlight w:val="none"/>
              </w:rPr>
              <w:t>直尺检查</w:t>
            </w:r>
          </w:p>
        </w:tc>
      </w:tr>
      <w:tr w14:paraId="3F5E64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4" w:type="dxa"/>
            <w:tcBorders>
              <w:tl2br w:val="nil"/>
              <w:tr2bl w:val="nil"/>
            </w:tcBorders>
            <w:vAlign w:val="center"/>
          </w:tcPr>
          <w:p w14:paraId="09C6EF3F">
            <w:pPr>
              <w:tabs>
                <w:tab w:val="left" w:pos="980"/>
              </w:tabs>
              <w:autoSpaceDE w:val="0"/>
              <w:autoSpaceDN w:val="0"/>
              <w:adjustRightInd w:val="0"/>
              <w:jc w:val="center"/>
              <w:rPr>
                <w:color w:val="auto"/>
                <w:sz w:val="21"/>
                <w:szCs w:val="21"/>
                <w:highlight w:val="none"/>
              </w:rPr>
            </w:pPr>
            <w:r>
              <w:rPr>
                <w:color w:val="auto"/>
                <w:sz w:val="21"/>
                <w:szCs w:val="21"/>
                <w:highlight w:val="none"/>
              </w:rPr>
              <w:t>相邻面板之间高低差（mm）</w:t>
            </w:r>
          </w:p>
        </w:tc>
        <w:tc>
          <w:tcPr>
            <w:tcW w:w="1134" w:type="dxa"/>
            <w:tcBorders>
              <w:tl2br w:val="nil"/>
              <w:tr2bl w:val="nil"/>
            </w:tcBorders>
            <w:vAlign w:val="center"/>
          </w:tcPr>
          <w:p w14:paraId="5D9C7D53">
            <w:pPr>
              <w:tabs>
                <w:tab w:val="left" w:pos="980"/>
              </w:tabs>
              <w:autoSpaceDE w:val="0"/>
              <w:autoSpaceDN w:val="0"/>
              <w:adjustRightInd w:val="0"/>
              <w:jc w:val="center"/>
              <w:rPr>
                <w:color w:val="auto"/>
                <w:sz w:val="21"/>
                <w:szCs w:val="21"/>
                <w:highlight w:val="none"/>
              </w:rPr>
            </w:pPr>
            <w:r>
              <w:rPr>
                <w:color w:val="auto"/>
                <w:sz w:val="21"/>
                <w:szCs w:val="21"/>
                <w:highlight w:val="none"/>
              </w:rPr>
              <w:t>0.5</w:t>
            </w:r>
          </w:p>
        </w:tc>
        <w:tc>
          <w:tcPr>
            <w:tcW w:w="1101" w:type="dxa"/>
            <w:tcBorders>
              <w:tl2br w:val="nil"/>
              <w:tr2bl w:val="nil"/>
            </w:tcBorders>
            <w:vAlign w:val="center"/>
          </w:tcPr>
          <w:p w14:paraId="7CBABA91">
            <w:pPr>
              <w:tabs>
                <w:tab w:val="left" w:pos="980"/>
              </w:tabs>
              <w:autoSpaceDE w:val="0"/>
              <w:autoSpaceDN w:val="0"/>
              <w:adjustRightInd w:val="0"/>
              <w:jc w:val="center"/>
              <w:rPr>
                <w:color w:val="auto"/>
                <w:sz w:val="21"/>
                <w:szCs w:val="21"/>
                <w:highlight w:val="none"/>
              </w:rPr>
            </w:pPr>
            <w:r>
              <w:rPr>
                <w:color w:val="auto"/>
                <w:sz w:val="21"/>
                <w:szCs w:val="21"/>
                <w:highlight w:val="none"/>
              </w:rPr>
              <w:t>2</w:t>
            </w:r>
          </w:p>
        </w:tc>
        <w:tc>
          <w:tcPr>
            <w:tcW w:w="2031" w:type="dxa"/>
            <w:tcBorders>
              <w:tl2br w:val="nil"/>
              <w:tr2bl w:val="nil"/>
            </w:tcBorders>
            <w:vAlign w:val="center"/>
          </w:tcPr>
          <w:p w14:paraId="458D968D">
            <w:pPr>
              <w:tabs>
                <w:tab w:val="left" w:pos="980"/>
              </w:tabs>
              <w:autoSpaceDE w:val="0"/>
              <w:autoSpaceDN w:val="0"/>
              <w:adjustRightInd w:val="0"/>
              <w:jc w:val="center"/>
              <w:rPr>
                <w:color w:val="auto"/>
                <w:sz w:val="21"/>
                <w:szCs w:val="21"/>
                <w:highlight w:val="none"/>
              </w:rPr>
            </w:pPr>
            <w:r>
              <w:rPr>
                <w:color w:val="auto"/>
                <w:sz w:val="21"/>
                <w:szCs w:val="21"/>
                <w:highlight w:val="none"/>
              </w:rPr>
              <w:t>靠尺，深度尺检查</w:t>
            </w:r>
          </w:p>
        </w:tc>
      </w:tr>
      <w:tr w14:paraId="509FE9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4" w:type="dxa"/>
            <w:tcBorders>
              <w:tl2br w:val="nil"/>
              <w:tr2bl w:val="nil"/>
            </w:tcBorders>
            <w:vAlign w:val="center"/>
          </w:tcPr>
          <w:p w14:paraId="66AECAC6">
            <w:pPr>
              <w:tabs>
                <w:tab w:val="left" w:pos="980"/>
              </w:tabs>
              <w:autoSpaceDE w:val="0"/>
              <w:autoSpaceDN w:val="0"/>
              <w:adjustRightInd w:val="0"/>
              <w:jc w:val="center"/>
              <w:rPr>
                <w:color w:val="auto"/>
                <w:sz w:val="21"/>
                <w:szCs w:val="21"/>
                <w:highlight w:val="none"/>
              </w:rPr>
            </w:pPr>
            <w:r>
              <w:rPr>
                <w:color w:val="auto"/>
                <w:sz w:val="21"/>
                <w:szCs w:val="21"/>
                <w:highlight w:val="none"/>
              </w:rPr>
              <w:t>分格条（缝）水平、垂直度（mm）</w:t>
            </w:r>
          </w:p>
        </w:tc>
        <w:tc>
          <w:tcPr>
            <w:tcW w:w="1134" w:type="dxa"/>
            <w:tcBorders>
              <w:tl2br w:val="nil"/>
              <w:tr2bl w:val="nil"/>
            </w:tcBorders>
            <w:vAlign w:val="center"/>
          </w:tcPr>
          <w:p w14:paraId="55761AA2">
            <w:pPr>
              <w:tabs>
                <w:tab w:val="left" w:pos="980"/>
              </w:tabs>
              <w:autoSpaceDE w:val="0"/>
              <w:autoSpaceDN w:val="0"/>
              <w:adjustRightInd w:val="0"/>
              <w:jc w:val="center"/>
              <w:rPr>
                <w:color w:val="auto"/>
                <w:sz w:val="21"/>
                <w:szCs w:val="21"/>
                <w:highlight w:val="none"/>
              </w:rPr>
            </w:pPr>
            <w:r>
              <w:rPr>
                <w:color w:val="auto"/>
                <w:sz w:val="21"/>
                <w:szCs w:val="21"/>
                <w:highlight w:val="none"/>
              </w:rPr>
              <w:t>2</w:t>
            </w:r>
          </w:p>
        </w:tc>
        <w:tc>
          <w:tcPr>
            <w:tcW w:w="1101" w:type="dxa"/>
            <w:tcBorders>
              <w:tl2br w:val="nil"/>
              <w:tr2bl w:val="nil"/>
            </w:tcBorders>
            <w:vAlign w:val="center"/>
          </w:tcPr>
          <w:p w14:paraId="1ED975EE">
            <w:pPr>
              <w:tabs>
                <w:tab w:val="left" w:pos="980"/>
              </w:tabs>
              <w:autoSpaceDE w:val="0"/>
              <w:autoSpaceDN w:val="0"/>
              <w:adjustRightInd w:val="0"/>
              <w:jc w:val="center"/>
              <w:rPr>
                <w:color w:val="auto"/>
                <w:sz w:val="21"/>
                <w:szCs w:val="21"/>
                <w:highlight w:val="none"/>
              </w:rPr>
            </w:pPr>
            <w:r>
              <w:rPr>
                <w:color w:val="auto"/>
                <w:sz w:val="21"/>
                <w:szCs w:val="21"/>
                <w:highlight w:val="none"/>
              </w:rPr>
              <w:t>3</w:t>
            </w:r>
          </w:p>
        </w:tc>
        <w:tc>
          <w:tcPr>
            <w:tcW w:w="2031" w:type="dxa"/>
            <w:tcBorders>
              <w:tl2br w:val="nil"/>
              <w:tr2bl w:val="nil"/>
            </w:tcBorders>
            <w:vAlign w:val="center"/>
          </w:tcPr>
          <w:p w14:paraId="2AB8F96E">
            <w:pPr>
              <w:tabs>
                <w:tab w:val="left" w:pos="980"/>
              </w:tabs>
              <w:autoSpaceDE w:val="0"/>
              <w:autoSpaceDN w:val="0"/>
              <w:adjustRightInd w:val="0"/>
              <w:jc w:val="center"/>
              <w:rPr>
                <w:color w:val="auto"/>
                <w:sz w:val="21"/>
                <w:szCs w:val="21"/>
                <w:highlight w:val="none"/>
              </w:rPr>
            </w:pPr>
            <w:r>
              <w:rPr>
                <w:color w:val="auto"/>
                <w:sz w:val="21"/>
                <w:szCs w:val="21"/>
                <w:highlight w:val="none"/>
              </w:rPr>
              <w:t>经纬仪，垂直仪检查</w:t>
            </w:r>
          </w:p>
        </w:tc>
      </w:tr>
      <w:tr w14:paraId="49608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4" w:type="dxa"/>
            <w:tcBorders>
              <w:tl2br w:val="nil"/>
              <w:tr2bl w:val="nil"/>
            </w:tcBorders>
            <w:vAlign w:val="center"/>
          </w:tcPr>
          <w:p w14:paraId="2561449B">
            <w:pPr>
              <w:tabs>
                <w:tab w:val="left" w:pos="980"/>
              </w:tabs>
              <w:autoSpaceDE w:val="0"/>
              <w:autoSpaceDN w:val="0"/>
              <w:adjustRightInd w:val="0"/>
              <w:jc w:val="center"/>
              <w:rPr>
                <w:color w:val="auto"/>
                <w:sz w:val="21"/>
                <w:szCs w:val="21"/>
                <w:highlight w:val="none"/>
              </w:rPr>
            </w:pPr>
            <w:r>
              <w:rPr>
                <w:color w:val="auto"/>
                <w:sz w:val="21"/>
                <w:szCs w:val="21"/>
                <w:highlight w:val="none"/>
              </w:rPr>
              <w:t>墙面垂直度（每层楼面）（mm）</w:t>
            </w:r>
          </w:p>
        </w:tc>
        <w:tc>
          <w:tcPr>
            <w:tcW w:w="1134" w:type="dxa"/>
            <w:tcBorders>
              <w:tl2br w:val="nil"/>
              <w:tr2bl w:val="nil"/>
            </w:tcBorders>
            <w:vAlign w:val="center"/>
          </w:tcPr>
          <w:p w14:paraId="59EDD004">
            <w:pPr>
              <w:tabs>
                <w:tab w:val="left" w:pos="980"/>
              </w:tabs>
              <w:autoSpaceDE w:val="0"/>
              <w:autoSpaceDN w:val="0"/>
              <w:adjustRightInd w:val="0"/>
              <w:jc w:val="center"/>
              <w:rPr>
                <w:color w:val="auto"/>
                <w:sz w:val="21"/>
                <w:szCs w:val="21"/>
                <w:highlight w:val="none"/>
              </w:rPr>
            </w:pPr>
            <w:r>
              <w:rPr>
                <w:color w:val="auto"/>
                <w:sz w:val="21"/>
                <w:szCs w:val="21"/>
                <w:highlight w:val="none"/>
              </w:rPr>
              <w:t>2</w:t>
            </w:r>
          </w:p>
        </w:tc>
        <w:tc>
          <w:tcPr>
            <w:tcW w:w="1101" w:type="dxa"/>
            <w:tcBorders>
              <w:tl2br w:val="nil"/>
              <w:tr2bl w:val="nil"/>
            </w:tcBorders>
            <w:vAlign w:val="center"/>
          </w:tcPr>
          <w:p w14:paraId="57C8BE25">
            <w:pPr>
              <w:tabs>
                <w:tab w:val="left" w:pos="980"/>
              </w:tabs>
              <w:autoSpaceDE w:val="0"/>
              <w:autoSpaceDN w:val="0"/>
              <w:adjustRightInd w:val="0"/>
              <w:jc w:val="center"/>
              <w:rPr>
                <w:color w:val="auto"/>
                <w:sz w:val="21"/>
                <w:szCs w:val="21"/>
                <w:highlight w:val="none"/>
              </w:rPr>
            </w:pPr>
            <w:r>
              <w:rPr>
                <w:color w:val="auto"/>
                <w:sz w:val="21"/>
                <w:szCs w:val="21"/>
                <w:highlight w:val="none"/>
              </w:rPr>
              <w:t>4</w:t>
            </w:r>
          </w:p>
        </w:tc>
        <w:tc>
          <w:tcPr>
            <w:tcW w:w="2031" w:type="dxa"/>
            <w:tcBorders>
              <w:tl2br w:val="nil"/>
              <w:tr2bl w:val="nil"/>
            </w:tcBorders>
            <w:vAlign w:val="center"/>
          </w:tcPr>
          <w:p w14:paraId="7B5929C2">
            <w:pPr>
              <w:tabs>
                <w:tab w:val="left" w:pos="980"/>
              </w:tabs>
              <w:autoSpaceDE w:val="0"/>
              <w:autoSpaceDN w:val="0"/>
              <w:adjustRightInd w:val="0"/>
              <w:jc w:val="center"/>
              <w:rPr>
                <w:color w:val="auto"/>
                <w:sz w:val="21"/>
                <w:szCs w:val="21"/>
                <w:highlight w:val="none"/>
              </w:rPr>
            </w:pPr>
            <w:r>
              <w:rPr>
                <w:color w:val="auto"/>
                <w:sz w:val="21"/>
                <w:szCs w:val="21"/>
                <w:highlight w:val="none"/>
              </w:rPr>
              <w:t>经纬仪，垂直仪检查</w:t>
            </w:r>
          </w:p>
        </w:tc>
      </w:tr>
      <w:tr w14:paraId="13E95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64" w:type="dxa"/>
            <w:tcBorders>
              <w:tl2br w:val="nil"/>
              <w:tr2bl w:val="nil"/>
            </w:tcBorders>
            <w:vAlign w:val="center"/>
          </w:tcPr>
          <w:p w14:paraId="2828FF19">
            <w:pPr>
              <w:tabs>
                <w:tab w:val="left" w:pos="980"/>
              </w:tabs>
              <w:autoSpaceDE w:val="0"/>
              <w:autoSpaceDN w:val="0"/>
              <w:adjustRightInd w:val="0"/>
              <w:jc w:val="center"/>
              <w:rPr>
                <w:color w:val="auto"/>
                <w:sz w:val="21"/>
                <w:szCs w:val="21"/>
                <w:highlight w:val="none"/>
              </w:rPr>
            </w:pPr>
            <w:r>
              <w:rPr>
                <w:color w:val="auto"/>
                <w:sz w:val="21"/>
                <w:szCs w:val="21"/>
                <w:highlight w:val="none"/>
              </w:rPr>
              <w:t>阴阳角垂直度（每层楼面）（mm）</w:t>
            </w:r>
          </w:p>
        </w:tc>
        <w:tc>
          <w:tcPr>
            <w:tcW w:w="1134" w:type="dxa"/>
            <w:tcBorders>
              <w:tl2br w:val="nil"/>
              <w:tr2bl w:val="nil"/>
            </w:tcBorders>
            <w:vAlign w:val="center"/>
          </w:tcPr>
          <w:p w14:paraId="1F37BAAC">
            <w:pPr>
              <w:tabs>
                <w:tab w:val="left" w:pos="980"/>
              </w:tabs>
              <w:autoSpaceDE w:val="0"/>
              <w:autoSpaceDN w:val="0"/>
              <w:adjustRightInd w:val="0"/>
              <w:jc w:val="center"/>
              <w:rPr>
                <w:color w:val="auto"/>
                <w:sz w:val="21"/>
                <w:szCs w:val="21"/>
                <w:highlight w:val="none"/>
              </w:rPr>
            </w:pPr>
            <w:r>
              <w:rPr>
                <w:color w:val="auto"/>
                <w:sz w:val="21"/>
                <w:szCs w:val="21"/>
                <w:highlight w:val="none"/>
              </w:rPr>
              <w:t>3</w:t>
            </w:r>
          </w:p>
        </w:tc>
        <w:tc>
          <w:tcPr>
            <w:tcW w:w="1101" w:type="dxa"/>
            <w:tcBorders>
              <w:tl2br w:val="nil"/>
              <w:tr2bl w:val="nil"/>
            </w:tcBorders>
            <w:vAlign w:val="center"/>
          </w:tcPr>
          <w:p w14:paraId="354E46D1">
            <w:pPr>
              <w:tabs>
                <w:tab w:val="left" w:pos="980"/>
              </w:tabs>
              <w:autoSpaceDE w:val="0"/>
              <w:autoSpaceDN w:val="0"/>
              <w:adjustRightInd w:val="0"/>
              <w:jc w:val="center"/>
              <w:rPr>
                <w:color w:val="auto"/>
                <w:sz w:val="21"/>
                <w:szCs w:val="21"/>
                <w:highlight w:val="none"/>
              </w:rPr>
            </w:pPr>
            <w:r>
              <w:rPr>
                <w:color w:val="auto"/>
                <w:sz w:val="21"/>
                <w:szCs w:val="21"/>
                <w:highlight w:val="none"/>
              </w:rPr>
              <w:t>4</w:t>
            </w:r>
          </w:p>
        </w:tc>
        <w:tc>
          <w:tcPr>
            <w:tcW w:w="2031" w:type="dxa"/>
            <w:tcBorders>
              <w:tl2br w:val="nil"/>
              <w:tr2bl w:val="nil"/>
            </w:tcBorders>
            <w:vAlign w:val="center"/>
          </w:tcPr>
          <w:p w14:paraId="5C3EBC09">
            <w:pPr>
              <w:tabs>
                <w:tab w:val="left" w:pos="980"/>
              </w:tabs>
              <w:autoSpaceDE w:val="0"/>
              <w:autoSpaceDN w:val="0"/>
              <w:adjustRightInd w:val="0"/>
              <w:jc w:val="center"/>
              <w:rPr>
                <w:color w:val="auto"/>
                <w:sz w:val="21"/>
                <w:szCs w:val="21"/>
                <w:highlight w:val="none"/>
              </w:rPr>
            </w:pPr>
            <w:r>
              <w:rPr>
                <w:color w:val="auto"/>
                <w:sz w:val="21"/>
                <w:szCs w:val="21"/>
                <w:highlight w:val="none"/>
              </w:rPr>
              <w:t>2m靠尺和塞尺检查</w:t>
            </w:r>
          </w:p>
        </w:tc>
      </w:tr>
    </w:tbl>
    <w:p w14:paraId="06CA133A">
      <w:pPr>
        <w:spacing w:line="440" w:lineRule="exact"/>
        <w:ind w:firstLine="480" w:firstLineChars="200"/>
        <w:rPr>
          <w:bCs/>
          <w:color w:val="auto"/>
          <w:sz w:val="24"/>
          <w:szCs w:val="24"/>
          <w:highlight w:val="none"/>
        </w:rPr>
      </w:pPr>
      <w:r>
        <w:rPr>
          <w:bCs/>
          <w:color w:val="auto"/>
          <w:sz w:val="24"/>
          <w:szCs w:val="24"/>
          <w:highlight w:val="none"/>
        </w:rPr>
        <w:t>检验方法：检查隐蔽工程验收记录</w:t>
      </w:r>
      <w:r>
        <w:rPr>
          <w:rFonts w:hint="eastAsia"/>
          <w:bCs/>
          <w:color w:val="auto"/>
          <w:sz w:val="24"/>
          <w:szCs w:val="24"/>
          <w:highlight w:val="none"/>
        </w:rPr>
        <w:t>。</w:t>
      </w:r>
    </w:p>
    <w:p w14:paraId="0BA2E38B">
      <w:pPr>
        <w:spacing w:line="440" w:lineRule="exact"/>
        <w:ind w:firstLine="480" w:firstLineChars="200"/>
        <w:rPr>
          <w:bCs/>
          <w:color w:val="auto"/>
          <w:sz w:val="24"/>
          <w:szCs w:val="24"/>
          <w:highlight w:val="none"/>
        </w:rPr>
      </w:pPr>
      <w:r>
        <w:rPr>
          <w:bCs/>
          <w:color w:val="auto"/>
          <w:sz w:val="24"/>
          <w:szCs w:val="24"/>
          <w:highlight w:val="none"/>
        </w:rPr>
        <w:t>检查数量：每个检验批抽查10%，并不少于10处。</w:t>
      </w:r>
    </w:p>
    <w:p w14:paraId="60614C90">
      <w:pPr>
        <w:pStyle w:val="27"/>
        <w:numPr>
          <w:ilvl w:val="2"/>
          <w:numId w:val="2"/>
        </w:numPr>
        <w:spacing w:line="360" w:lineRule="auto"/>
        <w:ind w:left="0" w:firstLine="0" w:firstLineChars="0"/>
        <w:jc w:val="left"/>
        <w:outlineLvl w:val="2"/>
        <w:rPr>
          <w:bCs/>
          <w:color w:val="auto"/>
          <w:sz w:val="24"/>
          <w:szCs w:val="24"/>
          <w:highlight w:val="none"/>
        </w:rPr>
      </w:pPr>
      <w:bookmarkStart w:id="96" w:name="_Toc4019"/>
      <w:bookmarkStart w:id="97" w:name="_Toc12981"/>
      <w:bookmarkStart w:id="98" w:name="_Toc2769"/>
      <w:bookmarkStart w:id="99" w:name="_Toc12336"/>
      <w:bookmarkStart w:id="100" w:name="_Toc32010"/>
      <w:bookmarkStart w:id="101" w:name="_Toc1937"/>
      <w:bookmarkStart w:id="102" w:name="_Toc14865"/>
      <w:r>
        <w:rPr>
          <w:rFonts w:hint="eastAsia"/>
          <w:bCs/>
          <w:color w:val="auto"/>
          <w:sz w:val="24"/>
          <w:szCs w:val="24"/>
          <w:highlight w:val="none"/>
        </w:rPr>
        <w:t>复合预制墙板墙体的允许偏差和检验方法应符合现行行业标准《装配式混凝土结构技术规程》JGJ 1的有关规定。</w:t>
      </w:r>
    </w:p>
    <w:p w14:paraId="071BE39E">
      <w:pPr>
        <w:spacing w:line="440" w:lineRule="exact"/>
        <w:ind w:firstLine="480" w:firstLineChars="200"/>
        <w:rPr>
          <w:color w:val="auto"/>
          <w:sz w:val="24"/>
          <w:szCs w:val="24"/>
          <w:highlight w:val="none"/>
        </w:rPr>
      </w:pPr>
      <w:r>
        <w:rPr>
          <w:rFonts w:hint="eastAsia"/>
          <w:color w:val="auto"/>
          <w:sz w:val="24"/>
          <w:szCs w:val="24"/>
          <w:highlight w:val="none"/>
        </w:rPr>
        <w:t xml:space="preserve">  检验方法：观察，尺量检查。</w:t>
      </w:r>
    </w:p>
    <w:p w14:paraId="28D80721">
      <w:pPr>
        <w:spacing w:line="440" w:lineRule="exact"/>
        <w:ind w:firstLine="480" w:firstLineChars="200"/>
        <w:rPr>
          <w:color w:val="auto"/>
          <w:sz w:val="24"/>
          <w:szCs w:val="24"/>
          <w:highlight w:val="none"/>
        </w:rPr>
      </w:pPr>
      <w:r>
        <w:rPr>
          <w:rFonts w:hint="eastAsia"/>
          <w:color w:val="auto"/>
          <w:sz w:val="24"/>
          <w:szCs w:val="24"/>
          <w:highlight w:val="none"/>
        </w:rPr>
        <w:t xml:space="preserve">  检查数量：每个检验批抽查10%，并不少于5处。</w:t>
      </w:r>
    </w:p>
    <w:p w14:paraId="1D54A6D7">
      <w:pPr>
        <w:spacing w:line="440" w:lineRule="exact"/>
        <w:ind w:firstLine="480" w:firstLineChars="200"/>
        <w:rPr>
          <w:bCs/>
          <w:color w:val="auto"/>
          <w:sz w:val="24"/>
          <w:szCs w:val="24"/>
          <w:highlight w:val="none"/>
        </w:rPr>
      </w:pPr>
      <w:r>
        <w:rPr>
          <w:sz w:val="24"/>
          <w:szCs w:val="24"/>
          <w:highlight w:val="none"/>
        </w:rPr>
        <w:t xml:space="preserve"> </w:t>
      </w:r>
      <w:r>
        <w:rPr>
          <w:bCs/>
          <w:color w:val="auto"/>
          <w:sz w:val="24"/>
          <w:szCs w:val="24"/>
          <w:highlight w:val="none"/>
        </w:rPr>
        <w:t xml:space="preserve"> </w:t>
      </w:r>
    </w:p>
    <w:p w14:paraId="060779D5">
      <w:pPr>
        <w:keepNext/>
        <w:keepLines/>
        <w:spacing w:before="156" w:beforeLines="50" w:after="156" w:afterLines="50"/>
        <w:jc w:val="center"/>
        <w:outlineLvl w:val="0"/>
        <w:rPr>
          <w:b/>
          <w:color w:val="auto"/>
          <w:kern w:val="44"/>
          <w:sz w:val="30"/>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74C7EF5">
      <w:pPr>
        <w:keepNext/>
        <w:keepLines/>
        <w:spacing w:before="156" w:beforeLines="50" w:after="156" w:afterLines="50"/>
        <w:jc w:val="center"/>
        <w:outlineLvl w:val="0"/>
        <w:rPr>
          <w:b/>
          <w:color w:val="auto"/>
          <w:kern w:val="44"/>
          <w:sz w:val="30"/>
          <w:szCs w:val="24"/>
          <w:highlight w:val="none"/>
        </w:rPr>
      </w:pPr>
      <w:bookmarkStart w:id="103" w:name="_Toc141875157"/>
      <w:bookmarkStart w:id="104" w:name="_Toc20793"/>
      <w:r>
        <w:rPr>
          <w:b/>
          <w:color w:val="auto"/>
          <w:kern w:val="44"/>
          <w:sz w:val="30"/>
          <w:szCs w:val="24"/>
          <w:highlight w:val="none"/>
        </w:rPr>
        <w:t>用词说明</w:t>
      </w:r>
      <w:bookmarkEnd w:id="96"/>
      <w:bookmarkEnd w:id="97"/>
      <w:bookmarkEnd w:id="98"/>
      <w:bookmarkEnd w:id="99"/>
      <w:bookmarkEnd w:id="100"/>
      <w:bookmarkEnd w:id="101"/>
      <w:bookmarkEnd w:id="102"/>
      <w:bookmarkEnd w:id="103"/>
      <w:bookmarkEnd w:id="104"/>
    </w:p>
    <w:p w14:paraId="72534A48">
      <w:pPr>
        <w:widowControl/>
        <w:adjustRightInd w:val="0"/>
        <w:snapToGrid w:val="0"/>
        <w:spacing w:line="360" w:lineRule="auto"/>
        <w:jc w:val="left"/>
        <w:rPr>
          <w:bCs/>
          <w:color w:val="auto"/>
          <w:sz w:val="24"/>
          <w:szCs w:val="24"/>
          <w:highlight w:val="none"/>
        </w:rPr>
      </w:pPr>
      <w:r>
        <w:rPr>
          <w:bCs/>
          <w:color w:val="auto"/>
          <w:sz w:val="24"/>
          <w:szCs w:val="24"/>
          <w:highlight w:val="none"/>
        </w:rPr>
        <w:t>为便于在执行本规程条款时区别对待，对要求严格程度不同的用词说明如下：</w:t>
      </w:r>
    </w:p>
    <w:p w14:paraId="780D6606">
      <w:pPr>
        <w:widowControl/>
        <w:numPr>
          <w:ilvl w:val="0"/>
          <w:numId w:val="57"/>
        </w:numPr>
        <w:adjustRightInd w:val="0"/>
        <w:snapToGrid w:val="0"/>
        <w:spacing w:line="360" w:lineRule="auto"/>
        <w:ind w:left="420" w:leftChars="200"/>
        <w:jc w:val="left"/>
        <w:rPr>
          <w:bCs/>
          <w:color w:val="auto"/>
          <w:sz w:val="24"/>
          <w:szCs w:val="24"/>
          <w:highlight w:val="none"/>
        </w:rPr>
      </w:pPr>
      <w:r>
        <w:rPr>
          <w:bCs/>
          <w:color w:val="auto"/>
          <w:sz w:val="24"/>
          <w:szCs w:val="24"/>
          <w:highlight w:val="none"/>
        </w:rPr>
        <w:t xml:space="preserve"> 表示很严格，非这样做不可的：</w:t>
      </w:r>
    </w:p>
    <w:p w14:paraId="5ACC8179">
      <w:pPr>
        <w:widowControl/>
        <w:adjustRightInd w:val="0"/>
        <w:snapToGrid w:val="0"/>
        <w:spacing w:line="360" w:lineRule="auto"/>
        <w:ind w:left="420" w:leftChars="200"/>
        <w:jc w:val="left"/>
        <w:rPr>
          <w:bCs/>
          <w:color w:val="auto"/>
          <w:sz w:val="24"/>
          <w:szCs w:val="24"/>
          <w:highlight w:val="none"/>
        </w:rPr>
      </w:pPr>
      <w:r>
        <w:rPr>
          <w:bCs/>
          <w:color w:val="auto"/>
          <w:sz w:val="24"/>
          <w:szCs w:val="24"/>
          <w:highlight w:val="none"/>
        </w:rPr>
        <w:t xml:space="preserve">   正面词采用“必须”，反面词采用“严禁”；</w:t>
      </w:r>
    </w:p>
    <w:p w14:paraId="5D364AB1">
      <w:pPr>
        <w:widowControl/>
        <w:numPr>
          <w:ilvl w:val="0"/>
          <w:numId w:val="57"/>
        </w:numPr>
        <w:adjustRightInd w:val="0"/>
        <w:snapToGrid w:val="0"/>
        <w:spacing w:line="360" w:lineRule="auto"/>
        <w:ind w:left="420" w:leftChars="200"/>
        <w:jc w:val="left"/>
        <w:rPr>
          <w:bCs/>
          <w:color w:val="auto"/>
          <w:sz w:val="24"/>
          <w:szCs w:val="24"/>
          <w:highlight w:val="none"/>
        </w:rPr>
      </w:pPr>
      <w:r>
        <w:rPr>
          <w:bCs/>
          <w:color w:val="auto"/>
          <w:sz w:val="24"/>
          <w:szCs w:val="24"/>
          <w:highlight w:val="none"/>
        </w:rPr>
        <w:t xml:space="preserve"> 表示严格，在正常情况下均应这样做的：</w:t>
      </w:r>
    </w:p>
    <w:p w14:paraId="50137059">
      <w:pPr>
        <w:widowControl/>
        <w:adjustRightInd w:val="0"/>
        <w:snapToGrid w:val="0"/>
        <w:spacing w:line="360" w:lineRule="auto"/>
        <w:ind w:left="420" w:leftChars="200"/>
        <w:jc w:val="left"/>
        <w:rPr>
          <w:bCs/>
          <w:color w:val="auto"/>
          <w:sz w:val="24"/>
          <w:szCs w:val="24"/>
          <w:highlight w:val="none"/>
        </w:rPr>
      </w:pPr>
      <w:r>
        <w:rPr>
          <w:bCs/>
          <w:color w:val="auto"/>
          <w:sz w:val="24"/>
          <w:szCs w:val="24"/>
          <w:highlight w:val="none"/>
        </w:rPr>
        <w:t xml:space="preserve">   正面词采用“应”，反面词采用“不应”或“不得”；</w:t>
      </w:r>
    </w:p>
    <w:p w14:paraId="28E9A86F">
      <w:pPr>
        <w:widowControl/>
        <w:numPr>
          <w:ilvl w:val="0"/>
          <w:numId w:val="57"/>
        </w:numPr>
        <w:adjustRightInd w:val="0"/>
        <w:snapToGrid w:val="0"/>
        <w:spacing w:line="360" w:lineRule="auto"/>
        <w:ind w:left="420" w:leftChars="200"/>
        <w:jc w:val="left"/>
        <w:rPr>
          <w:bCs/>
          <w:color w:val="auto"/>
          <w:sz w:val="24"/>
          <w:szCs w:val="24"/>
          <w:highlight w:val="none"/>
        </w:rPr>
      </w:pPr>
      <w:r>
        <w:rPr>
          <w:bCs/>
          <w:color w:val="auto"/>
          <w:sz w:val="24"/>
          <w:szCs w:val="24"/>
          <w:highlight w:val="none"/>
        </w:rPr>
        <w:t xml:space="preserve"> 表示允许稍有选择，在条件许可时首先应这样做的：</w:t>
      </w:r>
    </w:p>
    <w:p w14:paraId="4B222901">
      <w:pPr>
        <w:widowControl/>
        <w:adjustRightInd w:val="0"/>
        <w:snapToGrid w:val="0"/>
        <w:spacing w:line="360" w:lineRule="auto"/>
        <w:ind w:left="420" w:leftChars="200"/>
        <w:jc w:val="left"/>
        <w:rPr>
          <w:bCs/>
          <w:color w:val="auto"/>
          <w:sz w:val="24"/>
          <w:szCs w:val="24"/>
          <w:highlight w:val="none"/>
        </w:rPr>
      </w:pPr>
      <w:r>
        <w:rPr>
          <w:bCs/>
          <w:color w:val="auto"/>
          <w:sz w:val="24"/>
          <w:szCs w:val="24"/>
          <w:highlight w:val="none"/>
        </w:rPr>
        <w:t xml:space="preserve">   正面词采用“宜”，反面词采用“不宜”；</w:t>
      </w:r>
    </w:p>
    <w:p w14:paraId="35B09497">
      <w:pPr>
        <w:widowControl/>
        <w:numPr>
          <w:ilvl w:val="0"/>
          <w:numId w:val="57"/>
        </w:numPr>
        <w:adjustRightInd w:val="0"/>
        <w:snapToGrid w:val="0"/>
        <w:spacing w:line="360" w:lineRule="auto"/>
        <w:ind w:left="420" w:leftChars="200"/>
        <w:jc w:val="left"/>
        <w:rPr>
          <w:bCs/>
          <w:color w:val="auto"/>
          <w:sz w:val="24"/>
          <w:szCs w:val="24"/>
          <w:highlight w:val="none"/>
        </w:rPr>
      </w:pPr>
      <w:r>
        <w:rPr>
          <w:bCs/>
          <w:color w:val="auto"/>
          <w:sz w:val="24"/>
          <w:szCs w:val="24"/>
          <w:highlight w:val="none"/>
        </w:rPr>
        <w:t xml:space="preserve"> 表示有选择，在一定条件下可以这样做的，采用“可”。</w:t>
      </w:r>
    </w:p>
    <w:p w14:paraId="298AA734">
      <w:pPr>
        <w:spacing w:line="360" w:lineRule="auto"/>
        <w:ind w:firstLine="420" w:firstLineChars="175"/>
        <w:rPr>
          <w:color w:val="auto"/>
          <w:sz w:val="24"/>
          <w:szCs w:val="24"/>
          <w:highlight w:val="none"/>
        </w:rPr>
      </w:pPr>
    </w:p>
    <w:p w14:paraId="7F5C8BFD">
      <w:pPr>
        <w:spacing w:line="360" w:lineRule="auto"/>
        <w:ind w:firstLine="420" w:firstLineChars="175"/>
        <w:rPr>
          <w:color w:val="auto"/>
          <w:sz w:val="24"/>
          <w:szCs w:val="24"/>
          <w:highlight w:val="none"/>
        </w:rPr>
      </w:pPr>
    </w:p>
    <w:p w14:paraId="53CC6FFC">
      <w:pPr>
        <w:spacing w:line="360" w:lineRule="auto"/>
        <w:ind w:firstLine="420" w:firstLineChars="175"/>
        <w:rPr>
          <w:color w:val="auto"/>
          <w:sz w:val="24"/>
          <w:szCs w:val="24"/>
          <w:highlight w:val="none"/>
        </w:rPr>
      </w:pPr>
    </w:p>
    <w:p w14:paraId="0387921B">
      <w:pPr>
        <w:spacing w:line="360" w:lineRule="auto"/>
        <w:ind w:firstLine="420" w:firstLineChars="175"/>
        <w:rPr>
          <w:color w:val="auto"/>
          <w:sz w:val="24"/>
          <w:szCs w:val="24"/>
          <w:highlight w:val="none"/>
        </w:rPr>
      </w:pPr>
    </w:p>
    <w:p w14:paraId="668FF979">
      <w:pPr>
        <w:spacing w:line="360" w:lineRule="auto"/>
        <w:ind w:firstLine="420" w:firstLineChars="175"/>
        <w:rPr>
          <w:color w:val="auto"/>
          <w:sz w:val="24"/>
          <w:szCs w:val="24"/>
          <w:highlight w:val="none"/>
        </w:rPr>
      </w:pPr>
    </w:p>
    <w:p w14:paraId="2445AD4F">
      <w:pPr>
        <w:spacing w:line="360" w:lineRule="auto"/>
        <w:ind w:firstLine="420" w:firstLineChars="175"/>
        <w:rPr>
          <w:color w:val="auto"/>
          <w:sz w:val="24"/>
          <w:szCs w:val="24"/>
          <w:highlight w:val="none"/>
        </w:rPr>
      </w:pPr>
    </w:p>
    <w:p w14:paraId="69DAAAA7">
      <w:pPr>
        <w:spacing w:line="360" w:lineRule="auto"/>
        <w:ind w:firstLine="420" w:firstLineChars="175"/>
        <w:rPr>
          <w:color w:val="auto"/>
          <w:sz w:val="24"/>
          <w:szCs w:val="24"/>
          <w:highlight w:val="none"/>
        </w:rPr>
      </w:pPr>
    </w:p>
    <w:p w14:paraId="7123E149">
      <w:pPr>
        <w:spacing w:line="360" w:lineRule="auto"/>
        <w:ind w:firstLine="420" w:firstLineChars="175"/>
        <w:rPr>
          <w:color w:val="auto"/>
          <w:sz w:val="24"/>
          <w:szCs w:val="24"/>
          <w:highlight w:val="none"/>
        </w:rPr>
      </w:pPr>
    </w:p>
    <w:p w14:paraId="2D11A79F">
      <w:pPr>
        <w:spacing w:line="360" w:lineRule="auto"/>
        <w:ind w:firstLine="420" w:firstLineChars="175"/>
        <w:rPr>
          <w:color w:val="auto"/>
          <w:sz w:val="24"/>
          <w:szCs w:val="24"/>
          <w:highlight w:val="none"/>
        </w:rPr>
      </w:pPr>
    </w:p>
    <w:p w14:paraId="24E76BA0">
      <w:pPr>
        <w:spacing w:line="360" w:lineRule="auto"/>
        <w:ind w:firstLine="420" w:firstLineChars="175"/>
        <w:rPr>
          <w:color w:val="auto"/>
          <w:sz w:val="24"/>
          <w:szCs w:val="24"/>
          <w:highlight w:val="none"/>
        </w:rPr>
      </w:pPr>
    </w:p>
    <w:p w14:paraId="7C1207E6">
      <w:pPr>
        <w:spacing w:line="360" w:lineRule="auto"/>
        <w:ind w:firstLine="420" w:firstLineChars="175"/>
        <w:rPr>
          <w:color w:val="auto"/>
          <w:sz w:val="24"/>
          <w:szCs w:val="24"/>
          <w:highlight w:val="none"/>
        </w:rPr>
      </w:pPr>
    </w:p>
    <w:p w14:paraId="1A9A8892">
      <w:pPr>
        <w:spacing w:line="360" w:lineRule="auto"/>
        <w:ind w:firstLine="420" w:firstLineChars="175"/>
        <w:rPr>
          <w:color w:val="auto"/>
          <w:sz w:val="24"/>
          <w:szCs w:val="24"/>
          <w:highlight w:val="none"/>
        </w:rPr>
      </w:pPr>
    </w:p>
    <w:p w14:paraId="6158E04A">
      <w:pPr>
        <w:spacing w:line="360" w:lineRule="auto"/>
        <w:ind w:firstLine="420" w:firstLineChars="175"/>
        <w:rPr>
          <w:color w:val="auto"/>
          <w:sz w:val="24"/>
          <w:szCs w:val="24"/>
          <w:highlight w:val="none"/>
        </w:rPr>
      </w:pPr>
    </w:p>
    <w:p w14:paraId="3B17CFCA">
      <w:pPr>
        <w:spacing w:line="360" w:lineRule="auto"/>
        <w:ind w:firstLine="420" w:firstLineChars="175"/>
        <w:rPr>
          <w:color w:val="auto"/>
          <w:sz w:val="24"/>
          <w:szCs w:val="24"/>
          <w:highlight w:val="none"/>
        </w:rPr>
      </w:pPr>
    </w:p>
    <w:p w14:paraId="54A93DAA">
      <w:pPr>
        <w:spacing w:line="360" w:lineRule="auto"/>
        <w:ind w:firstLine="420" w:firstLineChars="175"/>
        <w:rPr>
          <w:color w:val="auto"/>
          <w:sz w:val="24"/>
          <w:szCs w:val="24"/>
          <w:highlight w:val="none"/>
        </w:rPr>
      </w:pPr>
    </w:p>
    <w:p w14:paraId="2587F724">
      <w:pPr>
        <w:spacing w:line="360" w:lineRule="auto"/>
        <w:ind w:firstLine="420" w:firstLineChars="175"/>
        <w:rPr>
          <w:color w:val="auto"/>
          <w:sz w:val="24"/>
          <w:szCs w:val="24"/>
          <w:highlight w:val="none"/>
        </w:rPr>
      </w:pPr>
    </w:p>
    <w:p w14:paraId="00E0FD20">
      <w:pPr>
        <w:widowControl/>
        <w:jc w:val="left"/>
        <w:rPr>
          <w:color w:val="auto"/>
          <w:sz w:val="24"/>
          <w:szCs w:val="24"/>
          <w:highlight w:val="none"/>
        </w:rPr>
      </w:pPr>
      <w:r>
        <w:rPr>
          <w:color w:val="auto"/>
          <w:sz w:val="24"/>
          <w:szCs w:val="24"/>
          <w:highlight w:val="none"/>
        </w:rPr>
        <w:br w:type="page"/>
      </w:r>
    </w:p>
    <w:p w14:paraId="140D9BEA">
      <w:pPr>
        <w:tabs>
          <w:tab w:val="left" w:pos="19"/>
        </w:tabs>
        <w:spacing w:line="360" w:lineRule="auto"/>
        <w:jc w:val="center"/>
        <w:outlineLvl w:val="0"/>
        <w:rPr>
          <w:b/>
          <w:color w:val="auto"/>
          <w:sz w:val="30"/>
          <w:highlight w:val="none"/>
        </w:rPr>
      </w:pPr>
      <w:bookmarkStart w:id="105" w:name="_Toc74137315"/>
      <w:bookmarkStart w:id="106" w:name="_Toc502325497"/>
      <w:bookmarkStart w:id="107" w:name="_Toc485043058"/>
      <w:bookmarkStart w:id="108" w:name="_Toc141875158"/>
      <w:bookmarkStart w:id="109" w:name="_Toc485647659"/>
      <w:bookmarkStart w:id="110" w:name="_Toc26662"/>
      <w:bookmarkStart w:id="111" w:name="_Toc6815068"/>
      <w:r>
        <w:rPr>
          <w:b/>
          <w:color w:val="auto"/>
          <w:sz w:val="30"/>
          <w:highlight w:val="none"/>
        </w:rPr>
        <w:t>引用标准名录</w:t>
      </w:r>
      <w:bookmarkEnd w:id="105"/>
      <w:bookmarkEnd w:id="106"/>
      <w:bookmarkEnd w:id="107"/>
      <w:bookmarkEnd w:id="108"/>
      <w:bookmarkEnd w:id="109"/>
      <w:bookmarkEnd w:id="110"/>
      <w:bookmarkEnd w:id="111"/>
    </w:p>
    <w:p w14:paraId="721B8608">
      <w:pPr>
        <w:widowControl/>
        <w:tabs>
          <w:tab w:val="left" w:pos="312"/>
        </w:tabs>
        <w:adjustRightInd w:val="0"/>
        <w:snapToGrid w:val="0"/>
        <w:spacing w:line="360" w:lineRule="auto"/>
        <w:ind w:firstLine="720" w:firstLineChars="300"/>
        <w:jc w:val="left"/>
        <w:rPr>
          <w:b/>
          <w:color w:val="auto"/>
          <w:sz w:val="30"/>
          <w:highlight w:val="none"/>
        </w:rPr>
      </w:pPr>
      <w:r>
        <w:rPr>
          <w:bCs/>
          <w:color w:val="auto"/>
          <w:sz w:val="24"/>
          <w:szCs w:val="24"/>
          <w:highlight w:val="none"/>
        </w:rPr>
        <w:t>本标准引用下列标准。其中，注日期的，仅对该日期对应的版本适用本标准；不注日期的，其最新版适用于本标准。</w:t>
      </w:r>
    </w:p>
    <w:p w14:paraId="0F889B1A">
      <w:pPr>
        <w:widowControl/>
        <w:tabs>
          <w:tab w:val="left" w:pos="312"/>
        </w:tabs>
        <w:adjustRightInd w:val="0"/>
        <w:snapToGrid w:val="0"/>
        <w:spacing w:line="360" w:lineRule="auto"/>
        <w:jc w:val="left"/>
        <w:rPr>
          <w:color w:val="auto"/>
          <w:sz w:val="24"/>
          <w:highlight w:val="none"/>
        </w:rPr>
      </w:pPr>
      <w:bookmarkStart w:id="112" w:name="_Toc85814246"/>
      <w:r>
        <w:rPr>
          <w:rFonts w:hint="eastAsia"/>
          <w:color w:val="auto"/>
          <w:sz w:val="24"/>
          <w:highlight w:val="none"/>
        </w:rPr>
        <w:t>《建筑节能与可再生能源利用通用规范》</w:t>
      </w:r>
      <w:r>
        <w:rPr>
          <w:color w:val="auto"/>
          <w:sz w:val="24"/>
          <w:highlight w:val="none"/>
        </w:rPr>
        <w:t>GB 55015</w:t>
      </w:r>
    </w:p>
    <w:p w14:paraId="5FED65FE">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《建筑与市政工程防水通用规范》</w:t>
      </w:r>
      <w:r>
        <w:rPr>
          <w:bCs/>
          <w:color w:val="auto"/>
          <w:sz w:val="24"/>
          <w:szCs w:val="22"/>
          <w:highlight w:val="none"/>
        </w:rPr>
        <w:t>GB 55030</w:t>
      </w:r>
    </w:p>
    <w:p w14:paraId="5D966B94">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《建筑防火通用规范》</w:t>
      </w:r>
      <w:r>
        <w:rPr>
          <w:color w:val="auto"/>
          <w:sz w:val="24"/>
          <w:highlight w:val="none"/>
        </w:rPr>
        <w:t>GB 55037</w:t>
      </w:r>
    </w:p>
    <w:p w14:paraId="5F463684">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《建筑结构荷载规范》</w:t>
      </w:r>
      <w:r>
        <w:rPr>
          <w:bCs/>
          <w:color w:val="auto"/>
          <w:sz w:val="24"/>
          <w:szCs w:val="22"/>
          <w:highlight w:val="none"/>
        </w:rPr>
        <w:t>GB 50009</w:t>
      </w:r>
    </w:p>
    <w:p w14:paraId="7ECA7EFA">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《混凝土结构设计规范》</w:t>
      </w:r>
      <w:r>
        <w:rPr>
          <w:bCs/>
          <w:color w:val="auto"/>
          <w:sz w:val="24"/>
          <w:szCs w:val="22"/>
          <w:highlight w:val="none"/>
        </w:rPr>
        <w:t>GB 50010</w:t>
      </w:r>
    </w:p>
    <w:p w14:paraId="780D1FC4">
      <w:pPr>
        <w:widowControl/>
        <w:tabs>
          <w:tab w:val="left" w:pos="312"/>
        </w:tabs>
        <w:adjustRightInd w:val="0"/>
        <w:snapToGrid w:val="0"/>
        <w:spacing w:line="360" w:lineRule="auto"/>
        <w:jc w:val="left"/>
        <w:rPr>
          <w:color w:val="auto"/>
          <w:sz w:val="24"/>
          <w:highlight w:val="none"/>
        </w:rPr>
      </w:pPr>
      <w:r>
        <w:rPr>
          <w:rFonts w:hint="eastAsia"/>
          <w:bCs/>
          <w:color w:val="auto"/>
          <w:sz w:val="24"/>
          <w:szCs w:val="22"/>
          <w:highlight w:val="none"/>
        </w:rPr>
        <w:t>《建筑抗震设计规范》</w:t>
      </w:r>
      <w:r>
        <w:rPr>
          <w:bCs/>
          <w:color w:val="auto"/>
          <w:sz w:val="24"/>
          <w:szCs w:val="22"/>
          <w:highlight w:val="none"/>
        </w:rPr>
        <w:t>GB 50011</w:t>
      </w:r>
    </w:p>
    <w:p w14:paraId="502ADD82">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《建筑设计防火规范》</w:t>
      </w:r>
      <w:r>
        <w:rPr>
          <w:color w:val="auto"/>
          <w:sz w:val="24"/>
          <w:highlight w:val="none"/>
        </w:rPr>
        <w:t>GB 50016</w:t>
      </w:r>
    </w:p>
    <w:p w14:paraId="68FA647B">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《民用建筑热工设计规范》</w:t>
      </w:r>
      <w:r>
        <w:rPr>
          <w:color w:val="auto"/>
          <w:sz w:val="24"/>
          <w:highlight w:val="none"/>
        </w:rPr>
        <w:t>GB 50176</w:t>
      </w:r>
    </w:p>
    <w:p w14:paraId="4535EEE8">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《砌体结构工程施工质量验收规范》</w:t>
      </w:r>
      <w:r>
        <w:rPr>
          <w:bCs/>
          <w:color w:val="auto"/>
          <w:sz w:val="24"/>
          <w:szCs w:val="22"/>
          <w:highlight w:val="none"/>
        </w:rPr>
        <w:t>GB50203</w:t>
      </w:r>
    </w:p>
    <w:p w14:paraId="1DAE7D03">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《混凝土结构工程施工质量验收规范》</w:t>
      </w:r>
      <w:r>
        <w:rPr>
          <w:bCs/>
          <w:color w:val="auto"/>
          <w:sz w:val="24"/>
          <w:szCs w:val="22"/>
          <w:highlight w:val="none"/>
        </w:rPr>
        <w:t>GB 50204</w:t>
      </w:r>
    </w:p>
    <w:p w14:paraId="564CB904">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《建筑装饰装修工程质量验收标准》</w:t>
      </w:r>
      <w:r>
        <w:rPr>
          <w:bCs/>
          <w:color w:val="auto"/>
          <w:sz w:val="24"/>
          <w:szCs w:val="22"/>
          <w:highlight w:val="none"/>
        </w:rPr>
        <w:t>GB 50210</w:t>
      </w:r>
    </w:p>
    <w:p w14:paraId="2BC430FD">
      <w:pPr>
        <w:widowControl/>
        <w:tabs>
          <w:tab w:val="left" w:pos="312"/>
        </w:tabs>
        <w:adjustRightInd w:val="0"/>
        <w:snapToGrid w:val="0"/>
        <w:spacing w:line="360" w:lineRule="auto"/>
        <w:jc w:val="left"/>
        <w:rPr>
          <w:color w:val="auto"/>
          <w:sz w:val="24"/>
          <w:highlight w:val="none"/>
        </w:rPr>
      </w:pPr>
      <w:r>
        <w:rPr>
          <w:rFonts w:hint="eastAsia"/>
          <w:bCs/>
          <w:color w:val="auto"/>
          <w:sz w:val="24"/>
          <w:szCs w:val="22"/>
          <w:highlight w:val="none"/>
        </w:rPr>
        <w:t>《建筑工程施工质量验收统一标准》</w:t>
      </w:r>
      <w:r>
        <w:rPr>
          <w:bCs/>
          <w:color w:val="auto"/>
          <w:sz w:val="24"/>
          <w:szCs w:val="22"/>
          <w:highlight w:val="none"/>
        </w:rPr>
        <w:t>GB 50300</w:t>
      </w:r>
    </w:p>
    <w:p w14:paraId="3EBA94AB">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《民用建筑工程室内环境污染控制标准》</w:t>
      </w:r>
      <w:r>
        <w:rPr>
          <w:color w:val="auto"/>
          <w:sz w:val="24"/>
          <w:highlight w:val="none"/>
        </w:rPr>
        <w:t>GB 50325</w:t>
      </w:r>
    </w:p>
    <w:p w14:paraId="7474A2B3">
      <w:pPr>
        <w:widowControl/>
        <w:tabs>
          <w:tab w:val="left" w:pos="312"/>
        </w:tabs>
        <w:adjustRightInd w:val="0"/>
        <w:snapToGrid w:val="0"/>
        <w:spacing w:line="360" w:lineRule="auto"/>
        <w:jc w:val="left"/>
        <w:rPr>
          <w:rFonts w:hint="eastAsia"/>
          <w:bCs/>
          <w:color w:val="auto"/>
          <w:sz w:val="24"/>
          <w:szCs w:val="22"/>
          <w:highlight w:val="none"/>
          <w:lang w:eastAsia="zh-CN"/>
        </w:rPr>
      </w:pPr>
      <w:r>
        <w:rPr>
          <w:rFonts w:hint="eastAsia"/>
          <w:bCs/>
          <w:color w:val="auto"/>
          <w:sz w:val="24"/>
          <w:szCs w:val="22"/>
          <w:highlight w:val="none"/>
        </w:rPr>
        <w:t>《</w:t>
      </w:r>
      <w:r>
        <w:rPr>
          <w:rFonts w:hint="eastAsia"/>
          <w:bCs/>
          <w:color w:val="auto"/>
          <w:sz w:val="24"/>
          <w:szCs w:val="22"/>
          <w:highlight w:val="none"/>
          <w:lang w:eastAsia="zh-CN"/>
        </w:rPr>
        <w:t>建筑节能工程施工质量验收标准</w:t>
      </w:r>
      <w:r>
        <w:rPr>
          <w:rFonts w:hint="eastAsia"/>
          <w:bCs/>
          <w:color w:val="auto"/>
          <w:sz w:val="24"/>
          <w:szCs w:val="22"/>
          <w:highlight w:val="none"/>
        </w:rPr>
        <w:t>》</w:t>
      </w:r>
      <w:r>
        <w:rPr>
          <w:rFonts w:hint="eastAsia"/>
          <w:bCs/>
          <w:color w:val="auto"/>
          <w:sz w:val="24"/>
          <w:szCs w:val="22"/>
          <w:highlight w:val="none"/>
          <w:lang w:eastAsia="zh-CN"/>
        </w:rPr>
        <w:t>GB 50411</w:t>
      </w:r>
    </w:p>
    <w:p w14:paraId="0C3377D4">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《建设工程施工现场消防安全技术规范》</w:t>
      </w:r>
      <w:r>
        <w:rPr>
          <w:color w:val="auto"/>
          <w:sz w:val="24"/>
          <w:highlight w:val="none"/>
        </w:rPr>
        <w:t>GB 50720</w:t>
      </w:r>
    </w:p>
    <w:p w14:paraId="5FD71D5C">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《建筑工程绿色施工规范》</w:t>
      </w:r>
      <w:r>
        <w:rPr>
          <w:color w:val="auto"/>
          <w:sz w:val="24"/>
          <w:highlight w:val="none"/>
        </w:rPr>
        <w:t>GB/T 50905</w:t>
      </w:r>
    </w:p>
    <w:p w14:paraId="217DB787">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《近零能耗建筑技术标准》</w:t>
      </w:r>
      <w:r>
        <w:rPr>
          <w:color w:val="auto"/>
          <w:sz w:val="24"/>
          <w:highlight w:val="none"/>
        </w:rPr>
        <w:t>GB/T 51350</w:t>
      </w:r>
    </w:p>
    <w:p w14:paraId="25A2D4FF">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《漆膜、腻子膜干燥时间测定法》</w:t>
      </w:r>
      <w:r>
        <w:rPr>
          <w:bCs/>
          <w:color w:val="auto"/>
          <w:sz w:val="24"/>
          <w:szCs w:val="22"/>
          <w:highlight w:val="none"/>
        </w:rPr>
        <w:t>GB/T 1728</w:t>
      </w:r>
    </w:p>
    <w:p w14:paraId="3ABE5F4E">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《一般工业用铝及铝合金板、带材</w:t>
      </w:r>
      <w:r>
        <w:rPr>
          <w:bCs/>
          <w:color w:val="auto"/>
          <w:sz w:val="24"/>
          <w:szCs w:val="22"/>
          <w:highlight w:val="none"/>
        </w:rPr>
        <w:t xml:space="preserve"> </w:t>
      </w:r>
      <w:r>
        <w:rPr>
          <w:rFonts w:hint="eastAsia"/>
          <w:bCs/>
          <w:color w:val="auto"/>
          <w:sz w:val="24"/>
          <w:szCs w:val="22"/>
          <w:highlight w:val="none"/>
        </w:rPr>
        <w:t>第</w:t>
      </w:r>
      <w:r>
        <w:rPr>
          <w:bCs/>
          <w:color w:val="auto"/>
          <w:sz w:val="24"/>
          <w:szCs w:val="22"/>
          <w:highlight w:val="none"/>
        </w:rPr>
        <w:t>2</w:t>
      </w:r>
      <w:r>
        <w:rPr>
          <w:rFonts w:hint="eastAsia"/>
          <w:bCs/>
          <w:color w:val="auto"/>
          <w:sz w:val="24"/>
          <w:szCs w:val="22"/>
          <w:highlight w:val="none"/>
        </w:rPr>
        <w:t>部分：力学性能》</w:t>
      </w:r>
      <w:r>
        <w:rPr>
          <w:bCs/>
          <w:color w:val="auto"/>
          <w:sz w:val="24"/>
          <w:szCs w:val="22"/>
          <w:highlight w:val="none"/>
        </w:rPr>
        <w:t>GB/T 3880.2</w:t>
      </w:r>
    </w:p>
    <w:p w14:paraId="2F66F6B2">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《陶瓷砖》</w:t>
      </w:r>
      <w:r>
        <w:rPr>
          <w:color w:val="auto"/>
          <w:sz w:val="24"/>
          <w:highlight w:val="none"/>
        </w:rPr>
        <w:t>GB/T 4100</w:t>
      </w:r>
    </w:p>
    <w:p w14:paraId="57EE98D3">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《建筑材料放射性核素限量》</w:t>
      </w:r>
      <w:r>
        <w:rPr>
          <w:color w:val="auto"/>
          <w:sz w:val="24"/>
          <w:highlight w:val="none"/>
        </w:rPr>
        <w:t>GB 6566</w:t>
      </w:r>
    </w:p>
    <w:p w14:paraId="34E1622A">
      <w:pPr>
        <w:widowControl/>
        <w:tabs>
          <w:tab w:val="left" w:pos="312"/>
        </w:tabs>
        <w:adjustRightInd w:val="0"/>
        <w:snapToGrid w:val="0"/>
        <w:spacing w:line="360" w:lineRule="auto"/>
        <w:jc w:val="left"/>
        <w:rPr>
          <w:color w:val="auto"/>
          <w:sz w:val="24"/>
          <w:highlight w:val="none"/>
        </w:rPr>
      </w:pPr>
      <w:r>
        <w:rPr>
          <w:rFonts w:hint="eastAsia"/>
          <w:bCs/>
          <w:color w:val="auto"/>
          <w:sz w:val="24"/>
          <w:szCs w:val="22"/>
          <w:highlight w:val="none"/>
        </w:rPr>
        <w:t>《分析实验室用水规格和试验方法》</w:t>
      </w:r>
      <w:r>
        <w:rPr>
          <w:bCs/>
          <w:color w:val="auto"/>
          <w:sz w:val="24"/>
          <w:szCs w:val="22"/>
          <w:highlight w:val="none"/>
        </w:rPr>
        <w:t>GB/T 6682</w:t>
      </w:r>
    </w:p>
    <w:p w14:paraId="176F4BD2">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《增强材料机织物试验方法第</w:t>
      </w:r>
      <w:r>
        <w:rPr>
          <w:bCs/>
          <w:color w:val="auto"/>
          <w:sz w:val="24"/>
          <w:szCs w:val="22"/>
          <w:highlight w:val="none"/>
        </w:rPr>
        <w:t>5</w:t>
      </w:r>
      <w:r>
        <w:rPr>
          <w:rFonts w:hint="eastAsia"/>
          <w:bCs/>
          <w:color w:val="auto"/>
          <w:sz w:val="24"/>
          <w:szCs w:val="22"/>
          <w:highlight w:val="none"/>
        </w:rPr>
        <w:t>部分：玻璃纤维拉伸断裂强力和断裂伸长的测定》</w:t>
      </w:r>
      <w:r>
        <w:rPr>
          <w:bCs/>
          <w:color w:val="auto"/>
          <w:sz w:val="24"/>
          <w:szCs w:val="22"/>
          <w:highlight w:val="none"/>
        </w:rPr>
        <w:t>GB/T 7689.5</w:t>
      </w:r>
    </w:p>
    <w:p w14:paraId="30C2DE40">
      <w:pPr>
        <w:widowControl/>
        <w:tabs>
          <w:tab w:val="left" w:pos="312"/>
        </w:tabs>
        <w:adjustRightInd w:val="0"/>
        <w:snapToGrid w:val="0"/>
        <w:spacing w:line="360" w:lineRule="auto"/>
        <w:jc w:val="left"/>
        <w:rPr>
          <w:bCs/>
          <w:color w:val="auto"/>
          <w:sz w:val="24"/>
          <w:szCs w:val="22"/>
          <w:highlight w:val="none"/>
        </w:rPr>
      </w:pPr>
      <w:r>
        <w:rPr>
          <w:rFonts w:hint="eastAsia"/>
          <w:color w:val="auto"/>
          <w:sz w:val="24"/>
          <w:highlight w:val="none"/>
        </w:rPr>
        <w:t>《数值修约规则与极限数值的表示和判定》</w:t>
      </w:r>
      <w:r>
        <w:rPr>
          <w:color w:val="auto"/>
          <w:sz w:val="24"/>
          <w:highlight w:val="none"/>
        </w:rPr>
        <w:t>GB/T 8170</w:t>
      </w:r>
    </w:p>
    <w:p w14:paraId="3A88823C">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《建筑材料及制品燃烧性能分级》</w:t>
      </w:r>
      <w:r>
        <w:rPr>
          <w:color w:val="auto"/>
          <w:sz w:val="24"/>
          <w:highlight w:val="none"/>
        </w:rPr>
        <w:t>GB 8624</w:t>
      </w:r>
    </w:p>
    <w:p w14:paraId="7D557CAA">
      <w:pPr>
        <w:widowControl/>
        <w:tabs>
          <w:tab w:val="left" w:pos="312"/>
        </w:tabs>
        <w:adjustRightInd w:val="0"/>
        <w:snapToGrid w:val="0"/>
        <w:spacing w:line="360" w:lineRule="auto"/>
        <w:jc w:val="left"/>
        <w:rPr>
          <w:color w:val="auto"/>
          <w:sz w:val="24"/>
          <w:highlight w:val="none"/>
        </w:rPr>
      </w:pPr>
      <w:r>
        <w:rPr>
          <w:rFonts w:hint="eastAsia"/>
          <w:bCs/>
          <w:color w:val="auto"/>
          <w:sz w:val="24"/>
          <w:szCs w:val="22"/>
          <w:highlight w:val="none"/>
        </w:rPr>
        <w:t>《涂料用乳液和涂料、塑料用聚合物分散体</w:t>
      </w:r>
      <w:r>
        <w:rPr>
          <w:bCs/>
          <w:color w:val="auto"/>
          <w:sz w:val="24"/>
          <w:szCs w:val="22"/>
          <w:highlight w:val="none"/>
        </w:rPr>
        <w:t xml:space="preserve"> </w:t>
      </w:r>
      <w:r>
        <w:rPr>
          <w:rFonts w:hint="eastAsia"/>
          <w:bCs/>
          <w:color w:val="auto"/>
          <w:sz w:val="24"/>
          <w:szCs w:val="22"/>
          <w:highlight w:val="none"/>
        </w:rPr>
        <w:t>白点温度和最低成膜温度的测定》</w:t>
      </w:r>
      <w:r>
        <w:rPr>
          <w:bCs/>
          <w:color w:val="auto"/>
          <w:sz w:val="24"/>
          <w:szCs w:val="22"/>
          <w:highlight w:val="none"/>
        </w:rPr>
        <w:t>GB/T 9267</w:t>
      </w:r>
    </w:p>
    <w:p w14:paraId="2804121D">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《乳胶漆耐冻融性的测定》</w:t>
      </w:r>
      <w:r>
        <w:rPr>
          <w:bCs/>
          <w:color w:val="auto"/>
          <w:sz w:val="24"/>
          <w:szCs w:val="22"/>
          <w:highlight w:val="none"/>
        </w:rPr>
        <w:t>GB/T 9268</w:t>
      </w:r>
    </w:p>
    <w:p w14:paraId="15F92BFF">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《增强制品试验方法第</w:t>
      </w:r>
      <w:r>
        <w:rPr>
          <w:bCs/>
          <w:color w:val="auto"/>
          <w:sz w:val="24"/>
          <w:szCs w:val="22"/>
          <w:highlight w:val="none"/>
        </w:rPr>
        <w:t>3</w:t>
      </w:r>
      <w:r>
        <w:rPr>
          <w:rFonts w:hint="eastAsia"/>
          <w:bCs/>
          <w:color w:val="auto"/>
          <w:sz w:val="24"/>
          <w:szCs w:val="22"/>
          <w:highlight w:val="none"/>
        </w:rPr>
        <w:t>部分</w:t>
      </w:r>
      <w:r>
        <w:rPr>
          <w:rFonts w:hint="eastAsia"/>
          <w:bCs/>
          <w:color w:val="auto"/>
          <w:sz w:val="24"/>
          <w:szCs w:val="22"/>
          <w:highlight w:val="none"/>
          <w:lang w:eastAsia="zh-CN"/>
        </w:rPr>
        <w:t>：</w:t>
      </w:r>
      <w:r>
        <w:rPr>
          <w:rFonts w:hint="eastAsia"/>
          <w:bCs/>
          <w:color w:val="auto"/>
          <w:sz w:val="24"/>
          <w:szCs w:val="22"/>
          <w:highlight w:val="none"/>
        </w:rPr>
        <w:t>单位面积质量的测定》</w:t>
      </w:r>
      <w:r>
        <w:rPr>
          <w:bCs/>
          <w:color w:val="auto"/>
          <w:sz w:val="24"/>
          <w:szCs w:val="22"/>
          <w:highlight w:val="none"/>
        </w:rPr>
        <w:t>GB/T 9914.3</w:t>
      </w:r>
    </w:p>
    <w:p w14:paraId="6488A749">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《彩色涂层钢板及钢带》</w:t>
      </w:r>
      <w:r>
        <w:rPr>
          <w:bCs/>
          <w:color w:val="auto"/>
          <w:sz w:val="24"/>
          <w:szCs w:val="22"/>
          <w:highlight w:val="none"/>
        </w:rPr>
        <w:t>GB/T 12754</w:t>
      </w:r>
    </w:p>
    <w:p w14:paraId="65782F11">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《绝热稳态传热性质的测定</w:t>
      </w:r>
      <w:r>
        <w:rPr>
          <w:color w:val="auto"/>
          <w:sz w:val="24"/>
          <w:highlight w:val="none"/>
        </w:rPr>
        <w:t xml:space="preserve"> </w:t>
      </w:r>
      <w:r>
        <w:rPr>
          <w:rFonts w:hint="eastAsia"/>
          <w:color w:val="auto"/>
          <w:sz w:val="24"/>
          <w:highlight w:val="none"/>
        </w:rPr>
        <w:t>标定和防护热箱法》</w:t>
      </w:r>
      <w:r>
        <w:rPr>
          <w:color w:val="auto"/>
          <w:sz w:val="24"/>
          <w:highlight w:val="none"/>
        </w:rPr>
        <w:t>GB/T 13475</w:t>
      </w:r>
    </w:p>
    <w:p w14:paraId="2FE12196">
      <w:pPr>
        <w:widowControl/>
        <w:tabs>
          <w:tab w:val="left" w:pos="312"/>
        </w:tabs>
        <w:adjustRightInd w:val="0"/>
        <w:snapToGrid w:val="0"/>
        <w:spacing w:line="360" w:lineRule="auto"/>
        <w:jc w:val="left"/>
        <w:rPr>
          <w:rFonts w:hint="eastAsia"/>
          <w:bCs/>
          <w:color w:val="auto"/>
          <w:sz w:val="24"/>
          <w:szCs w:val="22"/>
          <w:highlight w:val="none"/>
          <w:lang w:eastAsia="zh-CN"/>
        </w:rPr>
      </w:pPr>
      <w:r>
        <w:rPr>
          <w:rFonts w:hint="eastAsia"/>
          <w:bCs/>
          <w:color w:val="auto"/>
          <w:sz w:val="24"/>
          <w:szCs w:val="22"/>
          <w:highlight w:val="none"/>
        </w:rPr>
        <w:t>《硅酮和改性硅酮建筑密封胶》</w:t>
      </w:r>
      <w:r>
        <w:rPr>
          <w:rFonts w:hint="eastAsia"/>
          <w:bCs/>
          <w:color w:val="auto"/>
          <w:sz w:val="24"/>
          <w:szCs w:val="22"/>
          <w:highlight w:val="none"/>
          <w:lang w:eastAsia="zh-CN"/>
        </w:rPr>
        <w:t>GB/T 14683</w:t>
      </w:r>
    </w:p>
    <w:p w14:paraId="1A66BCC7">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《建筑用墙面涂料中有害物质限量》</w:t>
      </w:r>
      <w:r>
        <w:rPr>
          <w:bCs/>
          <w:color w:val="auto"/>
          <w:sz w:val="24"/>
          <w:szCs w:val="22"/>
          <w:highlight w:val="none"/>
        </w:rPr>
        <w:t>GB 18582</w:t>
      </w:r>
    </w:p>
    <w:p w14:paraId="5890E66D">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w:t>
      </w:r>
      <w:r>
        <w:rPr>
          <w:rFonts w:hint="eastAsia"/>
          <w:bCs/>
          <w:color w:val="auto"/>
          <w:sz w:val="24"/>
          <w:szCs w:val="22"/>
          <w:highlight w:val="none"/>
          <w:lang w:eastAsia="zh-CN"/>
        </w:rPr>
        <w:t>天然花岗石建筑板材</w:t>
      </w:r>
      <w:r>
        <w:rPr>
          <w:rFonts w:hint="eastAsia"/>
          <w:bCs/>
          <w:color w:val="auto"/>
          <w:sz w:val="24"/>
          <w:szCs w:val="22"/>
          <w:highlight w:val="none"/>
        </w:rPr>
        <w:t>》</w:t>
      </w:r>
      <w:r>
        <w:rPr>
          <w:rFonts w:hint="eastAsia"/>
          <w:bCs/>
          <w:color w:val="auto"/>
          <w:sz w:val="24"/>
          <w:szCs w:val="22"/>
          <w:highlight w:val="none"/>
          <w:lang w:eastAsia="zh-CN"/>
        </w:rPr>
        <w:t>GB/T 18601</w:t>
      </w:r>
    </w:p>
    <w:p w14:paraId="3E6B9E8C">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《天然大理石建筑板材》</w:t>
      </w:r>
      <w:r>
        <w:rPr>
          <w:bCs/>
          <w:color w:val="auto"/>
          <w:sz w:val="24"/>
          <w:szCs w:val="22"/>
          <w:highlight w:val="none"/>
        </w:rPr>
        <w:t>GB/T 19766</w:t>
      </w:r>
    </w:p>
    <w:p w14:paraId="0585B998">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《玻璃纤维网布耐碱性试验方法氢氧化钠溶液浸泡法》</w:t>
      </w:r>
      <w:r>
        <w:rPr>
          <w:bCs/>
          <w:color w:val="auto"/>
          <w:sz w:val="24"/>
          <w:szCs w:val="22"/>
          <w:highlight w:val="none"/>
        </w:rPr>
        <w:t>GB/T 20102</w:t>
      </w:r>
    </w:p>
    <w:p w14:paraId="34D321AB">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《建筑涂料用乳液》</w:t>
      </w:r>
      <w:r>
        <w:rPr>
          <w:bCs/>
          <w:color w:val="auto"/>
          <w:sz w:val="24"/>
          <w:szCs w:val="22"/>
          <w:highlight w:val="none"/>
        </w:rPr>
        <w:t>GB/T 20623</w:t>
      </w:r>
    </w:p>
    <w:p w14:paraId="3D7924CC">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《聚合物水泥防水涂料》</w:t>
      </w:r>
      <w:r>
        <w:rPr>
          <w:bCs/>
          <w:color w:val="auto"/>
          <w:sz w:val="24"/>
          <w:szCs w:val="22"/>
          <w:highlight w:val="none"/>
        </w:rPr>
        <w:t>GB/T 23445</w:t>
      </w:r>
    </w:p>
    <w:p w14:paraId="46208ED1">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《建筑用阻燃密封胶》</w:t>
      </w:r>
      <w:r>
        <w:rPr>
          <w:bCs/>
          <w:color w:val="auto"/>
          <w:sz w:val="24"/>
          <w:szCs w:val="22"/>
          <w:highlight w:val="none"/>
        </w:rPr>
        <w:t>GB/T 24267</w:t>
      </w:r>
    </w:p>
    <w:p w14:paraId="00E43628">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《预拌砂浆》</w:t>
      </w:r>
      <w:r>
        <w:rPr>
          <w:bCs/>
          <w:color w:val="auto"/>
          <w:sz w:val="24"/>
          <w:szCs w:val="22"/>
          <w:highlight w:val="none"/>
        </w:rPr>
        <w:t>GB/T 25181</w:t>
      </w:r>
    </w:p>
    <w:p w14:paraId="55F2A1B7">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《模塑聚苯板薄抹灰外墙外保温系统材料》</w:t>
      </w:r>
      <w:r>
        <w:rPr>
          <w:bCs/>
          <w:color w:val="auto"/>
          <w:sz w:val="24"/>
          <w:szCs w:val="22"/>
          <w:highlight w:val="none"/>
        </w:rPr>
        <w:t>GB/T 29906</w:t>
      </w:r>
    </w:p>
    <w:p w14:paraId="13CE32A9">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《外墙内保温复合板系统》</w:t>
      </w:r>
      <w:r>
        <w:rPr>
          <w:bCs/>
          <w:color w:val="auto"/>
          <w:sz w:val="24"/>
          <w:szCs w:val="22"/>
          <w:highlight w:val="none"/>
        </w:rPr>
        <w:t>GB/T 30593</w:t>
      </w:r>
    </w:p>
    <w:p w14:paraId="74A1D3F7">
      <w:pPr>
        <w:widowControl/>
        <w:tabs>
          <w:tab w:val="left" w:pos="312"/>
        </w:tabs>
        <w:adjustRightInd w:val="0"/>
        <w:snapToGrid w:val="0"/>
        <w:spacing w:line="360" w:lineRule="auto"/>
        <w:jc w:val="left"/>
        <w:rPr>
          <w:bCs/>
          <w:color w:val="auto"/>
          <w:sz w:val="24"/>
          <w:szCs w:val="22"/>
          <w:highlight w:val="none"/>
        </w:rPr>
      </w:pPr>
      <w:r>
        <w:rPr>
          <w:rFonts w:hint="eastAsia"/>
          <w:color w:val="auto"/>
          <w:sz w:val="24"/>
          <w:highlight w:val="none"/>
        </w:rPr>
        <w:t>《外墙外保温系统动态风压试验方法》</w:t>
      </w:r>
      <w:r>
        <w:rPr>
          <w:color w:val="auto"/>
          <w:sz w:val="24"/>
          <w:highlight w:val="none"/>
        </w:rPr>
        <w:t>GB/T 36585</w:t>
      </w:r>
    </w:p>
    <w:p w14:paraId="5622498F">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《真空绝热板》</w:t>
      </w:r>
      <w:r>
        <w:rPr>
          <w:color w:val="auto"/>
          <w:sz w:val="24"/>
          <w:highlight w:val="none"/>
        </w:rPr>
        <w:t>GB/T 37608</w:t>
      </w:r>
    </w:p>
    <w:p w14:paraId="68FB85C0">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《一般工业用铝及铝合金板、带材</w:t>
      </w:r>
      <w:r>
        <w:rPr>
          <w:bCs/>
          <w:color w:val="auto"/>
          <w:sz w:val="24"/>
          <w:szCs w:val="22"/>
          <w:highlight w:val="none"/>
        </w:rPr>
        <w:t xml:space="preserve"> </w:t>
      </w:r>
      <w:r>
        <w:rPr>
          <w:rFonts w:hint="eastAsia"/>
          <w:bCs/>
          <w:color w:val="auto"/>
          <w:sz w:val="24"/>
          <w:szCs w:val="22"/>
          <w:highlight w:val="none"/>
        </w:rPr>
        <w:t>第</w:t>
      </w:r>
      <w:r>
        <w:rPr>
          <w:bCs/>
          <w:color w:val="auto"/>
          <w:sz w:val="24"/>
          <w:szCs w:val="22"/>
          <w:highlight w:val="none"/>
        </w:rPr>
        <w:t>2</w:t>
      </w:r>
      <w:r>
        <w:rPr>
          <w:rFonts w:hint="eastAsia"/>
          <w:bCs/>
          <w:color w:val="auto"/>
          <w:sz w:val="24"/>
          <w:szCs w:val="22"/>
          <w:highlight w:val="none"/>
        </w:rPr>
        <w:t>部分：力学性能》</w:t>
      </w:r>
      <w:r>
        <w:rPr>
          <w:bCs/>
          <w:color w:val="auto"/>
          <w:sz w:val="24"/>
          <w:szCs w:val="22"/>
          <w:highlight w:val="none"/>
        </w:rPr>
        <w:t>GB/T 3880.2</w:t>
      </w:r>
    </w:p>
    <w:p w14:paraId="2E132A73">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w:t>
      </w:r>
      <w:r>
        <w:rPr>
          <w:rFonts w:hint="eastAsia"/>
          <w:color w:val="auto"/>
          <w:sz w:val="24"/>
          <w:highlight w:val="none"/>
          <w:lang w:eastAsia="zh-CN"/>
        </w:rPr>
        <w:t>纤维增强硅酸钙板 第1部分：无石棉硅酸钙板</w:t>
      </w:r>
      <w:r>
        <w:rPr>
          <w:rFonts w:hint="eastAsia"/>
          <w:color w:val="auto"/>
          <w:sz w:val="24"/>
          <w:highlight w:val="none"/>
        </w:rPr>
        <w:t>》</w:t>
      </w:r>
      <w:r>
        <w:rPr>
          <w:rFonts w:hint="eastAsia"/>
          <w:color w:val="auto"/>
          <w:sz w:val="24"/>
          <w:highlight w:val="none"/>
          <w:lang w:eastAsia="zh-CN"/>
        </w:rPr>
        <w:t>JC/T 564.1</w:t>
      </w:r>
    </w:p>
    <w:p w14:paraId="7BA88755">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《建筑防水涂料中有害物质限量》</w:t>
      </w:r>
      <w:r>
        <w:rPr>
          <w:color w:val="auto"/>
          <w:sz w:val="24"/>
          <w:highlight w:val="none"/>
        </w:rPr>
        <w:t>JC 1066</w:t>
      </w:r>
    </w:p>
    <w:p w14:paraId="69ADDF5C">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w:t>
      </w:r>
      <w:r>
        <w:rPr>
          <w:rFonts w:hint="eastAsia"/>
          <w:color w:val="auto"/>
          <w:sz w:val="24"/>
          <w:highlight w:val="none"/>
          <w:lang w:eastAsia="zh-CN"/>
        </w:rPr>
        <w:t>外墙外保温工程技术标准</w:t>
      </w:r>
      <w:r>
        <w:rPr>
          <w:rFonts w:hint="eastAsia"/>
          <w:color w:val="auto"/>
          <w:sz w:val="24"/>
          <w:highlight w:val="none"/>
        </w:rPr>
        <w:t>》</w:t>
      </w:r>
      <w:r>
        <w:rPr>
          <w:rFonts w:hint="eastAsia"/>
          <w:color w:val="auto"/>
          <w:sz w:val="24"/>
          <w:highlight w:val="none"/>
          <w:lang w:eastAsia="zh-CN"/>
        </w:rPr>
        <w:t>JGJ 144</w:t>
      </w:r>
    </w:p>
    <w:p w14:paraId="16B802D5">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《外墙内保温板》</w:t>
      </w:r>
      <w:r>
        <w:rPr>
          <w:color w:val="auto"/>
          <w:sz w:val="24"/>
          <w:highlight w:val="none"/>
        </w:rPr>
        <w:t>JG/T 159</w:t>
      </w:r>
    </w:p>
    <w:p w14:paraId="5AAD3500">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《保温装饰板外墙外保温系统材料》</w:t>
      </w:r>
      <w:r>
        <w:rPr>
          <w:color w:val="auto"/>
          <w:sz w:val="24"/>
          <w:highlight w:val="none"/>
        </w:rPr>
        <w:t>JG/T 287</w:t>
      </w:r>
    </w:p>
    <w:p w14:paraId="178581E9">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《外墙用非承重纤维增强水泥板》</w:t>
      </w:r>
      <w:r>
        <w:rPr>
          <w:color w:val="auto"/>
          <w:sz w:val="24"/>
          <w:highlight w:val="none"/>
        </w:rPr>
        <w:t>JG/T 396</w:t>
      </w:r>
    </w:p>
    <w:p w14:paraId="6EEA364A">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《建筑用真空绝热板应用技术规程》</w:t>
      </w:r>
      <w:r>
        <w:rPr>
          <w:color w:val="auto"/>
          <w:sz w:val="24"/>
          <w:highlight w:val="none"/>
        </w:rPr>
        <w:t>JGJ/T 416</w:t>
      </w:r>
    </w:p>
    <w:p w14:paraId="4932DDD6">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w:t>
      </w:r>
      <w:r>
        <w:rPr>
          <w:rFonts w:hint="eastAsia"/>
          <w:color w:val="auto"/>
          <w:sz w:val="24"/>
          <w:highlight w:val="none"/>
          <w:lang w:eastAsia="zh-CN"/>
        </w:rPr>
        <w:t>建筑用真空绝热板</w:t>
      </w:r>
      <w:r>
        <w:rPr>
          <w:rFonts w:hint="eastAsia"/>
          <w:color w:val="auto"/>
          <w:sz w:val="24"/>
          <w:highlight w:val="none"/>
        </w:rPr>
        <w:t>》</w:t>
      </w:r>
      <w:r>
        <w:rPr>
          <w:rFonts w:hint="eastAsia"/>
          <w:color w:val="auto"/>
          <w:sz w:val="24"/>
          <w:highlight w:val="none"/>
          <w:lang w:eastAsia="zh-CN"/>
        </w:rPr>
        <w:t>JG/T 438</w:t>
      </w:r>
    </w:p>
    <w:p w14:paraId="3F399594">
      <w:pPr>
        <w:widowControl/>
        <w:tabs>
          <w:tab w:val="left" w:pos="312"/>
        </w:tabs>
        <w:adjustRightInd w:val="0"/>
        <w:snapToGrid w:val="0"/>
        <w:spacing w:line="360" w:lineRule="auto"/>
        <w:jc w:val="left"/>
        <w:rPr>
          <w:color w:val="auto"/>
          <w:sz w:val="24"/>
          <w:highlight w:val="none"/>
        </w:rPr>
      </w:pPr>
    </w:p>
    <w:p w14:paraId="3E88A42C">
      <w:pPr>
        <w:widowControl/>
        <w:tabs>
          <w:tab w:val="left" w:pos="312"/>
        </w:tabs>
        <w:adjustRightInd w:val="0"/>
        <w:snapToGrid w:val="0"/>
        <w:spacing w:line="360" w:lineRule="auto"/>
        <w:jc w:val="left"/>
        <w:rPr>
          <w:color w:val="auto"/>
          <w:sz w:val="24"/>
          <w:highlight w:val="none"/>
        </w:rPr>
      </w:pPr>
    </w:p>
    <w:p w14:paraId="67D5B2C3">
      <w:pPr>
        <w:widowControl/>
        <w:tabs>
          <w:tab w:val="left" w:pos="312"/>
        </w:tabs>
        <w:adjustRightInd w:val="0"/>
        <w:snapToGrid w:val="0"/>
        <w:spacing w:line="360" w:lineRule="auto"/>
        <w:jc w:val="left"/>
        <w:rPr>
          <w:color w:val="auto"/>
          <w:sz w:val="24"/>
          <w:highlight w:val="none"/>
        </w:rPr>
      </w:pPr>
    </w:p>
    <w:p w14:paraId="204FBAC7">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《纤维水泥平板第</w:t>
      </w:r>
      <w:r>
        <w:rPr>
          <w:color w:val="auto"/>
          <w:sz w:val="24"/>
          <w:highlight w:val="none"/>
        </w:rPr>
        <w:t xml:space="preserve"> 1 </w:t>
      </w:r>
      <w:r>
        <w:rPr>
          <w:rFonts w:hint="eastAsia"/>
          <w:color w:val="auto"/>
          <w:sz w:val="24"/>
          <w:highlight w:val="none"/>
        </w:rPr>
        <w:t>部分：无石棉纤维水泥平板》</w:t>
      </w:r>
      <w:r>
        <w:rPr>
          <w:color w:val="auto"/>
          <w:sz w:val="24"/>
          <w:highlight w:val="none"/>
        </w:rPr>
        <w:t>JC/T 412.1</w:t>
      </w:r>
    </w:p>
    <w:p w14:paraId="368DB249">
      <w:pPr>
        <w:widowControl/>
        <w:tabs>
          <w:tab w:val="left" w:pos="312"/>
        </w:tabs>
        <w:adjustRightInd w:val="0"/>
        <w:snapToGrid w:val="0"/>
        <w:spacing w:line="360" w:lineRule="auto"/>
        <w:jc w:val="left"/>
        <w:rPr>
          <w:color w:val="auto"/>
          <w:sz w:val="24"/>
          <w:highlight w:val="none"/>
        </w:rPr>
      </w:pPr>
      <w:r>
        <w:rPr>
          <w:rFonts w:hint="eastAsia"/>
          <w:color w:val="auto"/>
          <w:sz w:val="24"/>
          <w:highlight w:val="none"/>
        </w:rPr>
        <w:t>《建筑陶瓷薄板应用技术规程》</w:t>
      </w:r>
      <w:r>
        <w:rPr>
          <w:color w:val="auto"/>
          <w:sz w:val="24"/>
          <w:highlight w:val="none"/>
        </w:rPr>
        <w:t>JGJ/T 172</w:t>
      </w:r>
    </w:p>
    <w:p w14:paraId="4518CE30">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w:t>
      </w:r>
      <w:r>
        <w:rPr>
          <w:rFonts w:hint="eastAsia"/>
          <w:bCs/>
          <w:color w:val="auto"/>
          <w:sz w:val="24"/>
          <w:szCs w:val="22"/>
          <w:highlight w:val="none"/>
          <w:lang w:eastAsia="zh-CN"/>
        </w:rPr>
        <w:t>铝及铝合金彩色涂层板、带材</w:t>
      </w:r>
      <w:r>
        <w:rPr>
          <w:rFonts w:hint="eastAsia"/>
          <w:bCs/>
          <w:color w:val="auto"/>
          <w:sz w:val="24"/>
          <w:szCs w:val="22"/>
          <w:highlight w:val="none"/>
        </w:rPr>
        <w:t>》</w:t>
      </w:r>
      <w:r>
        <w:rPr>
          <w:rFonts w:hint="eastAsia"/>
          <w:bCs/>
          <w:color w:val="auto"/>
          <w:sz w:val="24"/>
          <w:szCs w:val="22"/>
          <w:highlight w:val="none"/>
          <w:lang w:eastAsia="zh-CN"/>
        </w:rPr>
        <w:t>YS/T 431</w:t>
      </w:r>
    </w:p>
    <w:p w14:paraId="1F90B066">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《外墙保温用锚栓》</w:t>
      </w:r>
      <w:r>
        <w:rPr>
          <w:bCs/>
          <w:color w:val="auto"/>
          <w:sz w:val="24"/>
          <w:szCs w:val="22"/>
          <w:highlight w:val="none"/>
        </w:rPr>
        <w:t>JG/T 366</w:t>
      </w:r>
    </w:p>
    <w:p w14:paraId="74B53901">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《耐碱玻璃纤维网布》</w:t>
      </w:r>
      <w:r>
        <w:rPr>
          <w:bCs/>
          <w:color w:val="auto"/>
          <w:sz w:val="24"/>
          <w:szCs w:val="22"/>
          <w:highlight w:val="none"/>
        </w:rPr>
        <w:t>JC/T 841</w:t>
      </w:r>
    </w:p>
    <w:p w14:paraId="01A414BB">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《建筑外墙防水工程技术规程》</w:t>
      </w:r>
      <w:r>
        <w:rPr>
          <w:bCs/>
          <w:color w:val="auto"/>
          <w:sz w:val="24"/>
          <w:szCs w:val="22"/>
          <w:highlight w:val="none"/>
        </w:rPr>
        <w:t>JGJ/T 235</w:t>
      </w:r>
    </w:p>
    <w:p w14:paraId="7D3AC6C6">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《外墙外保温工程技术标准》</w:t>
      </w:r>
      <w:r>
        <w:rPr>
          <w:bCs/>
          <w:color w:val="auto"/>
          <w:sz w:val="24"/>
          <w:szCs w:val="22"/>
          <w:highlight w:val="none"/>
        </w:rPr>
        <w:t>JGJ 144</w:t>
      </w:r>
    </w:p>
    <w:p w14:paraId="73925F3C">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《粘结石膏》</w:t>
      </w:r>
      <w:r>
        <w:rPr>
          <w:bCs/>
          <w:color w:val="auto"/>
          <w:sz w:val="24"/>
          <w:szCs w:val="22"/>
          <w:highlight w:val="none"/>
        </w:rPr>
        <w:t>JC/T 1025</w:t>
      </w:r>
    </w:p>
    <w:p w14:paraId="5B2E037E">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《抹灰石膏》</w:t>
      </w:r>
      <w:r>
        <w:rPr>
          <w:bCs/>
          <w:color w:val="auto"/>
          <w:sz w:val="24"/>
          <w:szCs w:val="22"/>
          <w:highlight w:val="none"/>
        </w:rPr>
        <w:t>GB/T 28627</w:t>
      </w:r>
    </w:p>
    <w:p w14:paraId="1CBE9448">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《粘结石膏》</w:t>
      </w:r>
      <w:r>
        <w:rPr>
          <w:bCs/>
          <w:color w:val="auto"/>
          <w:sz w:val="24"/>
          <w:szCs w:val="22"/>
          <w:highlight w:val="none"/>
        </w:rPr>
        <w:t>JC/T 1025</w:t>
      </w:r>
    </w:p>
    <w:p w14:paraId="6EBBFE02">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《建筑用真空绝热板应用技术规程》</w:t>
      </w:r>
      <w:r>
        <w:rPr>
          <w:bCs/>
          <w:color w:val="auto"/>
          <w:sz w:val="24"/>
          <w:szCs w:val="22"/>
          <w:highlight w:val="none"/>
        </w:rPr>
        <w:t>JGJ/T 416</w:t>
      </w:r>
    </w:p>
    <w:p w14:paraId="7156ED8E">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《建筑室内用腻子》</w:t>
      </w:r>
      <w:r>
        <w:rPr>
          <w:bCs/>
          <w:color w:val="auto"/>
          <w:sz w:val="24"/>
          <w:szCs w:val="22"/>
          <w:highlight w:val="none"/>
        </w:rPr>
        <w:t>JG/T 298</w:t>
      </w:r>
    </w:p>
    <w:p w14:paraId="104EF54D">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《合成树脂乳液砂壁状建筑涂料》</w:t>
      </w:r>
      <w:r>
        <w:rPr>
          <w:bCs/>
          <w:color w:val="auto"/>
          <w:sz w:val="24"/>
          <w:szCs w:val="22"/>
          <w:highlight w:val="none"/>
        </w:rPr>
        <w:t>JG/T 24</w:t>
      </w:r>
    </w:p>
    <w:p w14:paraId="1312D5B3">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《漆膜耐水性测定法》</w:t>
      </w:r>
      <w:r>
        <w:rPr>
          <w:bCs/>
          <w:color w:val="auto"/>
          <w:sz w:val="24"/>
          <w:szCs w:val="22"/>
          <w:highlight w:val="none"/>
        </w:rPr>
        <w:t>GB/T 1733</w:t>
      </w:r>
    </w:p>
    <w:p w14:paraId="42B4AC56">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《合成树脂乳液砂壁状建筑涂料》</w:t>
      </w:r>
      <w:r>
        <w:rPr>
          <w:bCs/>
          <w:color w:val="auto"/>
          <w:sz w:val="24"/>
          <w:szCs w:val="22"/>
          <w:highlight w:val="none"/>
        </w:rPr>
        <w:t>JG/T 24</w:t>
      </w:r>
    </w:p>
    <w:p w14:paraId="7C76FEA3">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《外墙保温用锚栓》</w:t>
      </w:r>
      <w:r>
        <w:rPr>
          <w:bCs/>
          <w:color w:val="auto"/>
          <w:sz w:val="24"/>
          <w:szCs w:val="22"/>
          <w:highlight w:val="none"/>
        </w:rPr>
        <w:t>JG/T 366</w:t>
      </w:r>
    </w:p>
    <w:p w14:paraId="46099AA1">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《冷轧高强度建筑结构用薄钢板》</w:t>
      </w:r>
      <w:r>
        <w:rPr>
          <w:bCs/>
          <w:color w:val="auto"/>
          <w:sz w:val="24"/>
          <w:szCs w:val="22"/>
          <w:highlight w:val="none"/>
        </w:rPr>
        <w:t>JG/T 378</w:t>
      </w:r>
    </w:p>
    <w:p w14:paraId="72C8212C">
      <w:pPr>
        <w:widowControl/>
        <w:tabs>
          <w:tab w:val="left" w:pos="312"/>
        </w:tabs>
        <w:adjustRightInd w:val="0"/>
        <w:snapToGrid w:val="0"/>
        <w:spacing w:line="360" w:lineRule="auto"/>
        <w:jc w:val="left"/>
        <w:rPr>
          <w:bCs/>
          <w:color w:val="auto"/>
          <w:sz w:val="24"/>
          <w:szCs w:val="22"/>
          <w:highlight w:val="none"/>
        </w:rPr>
      </w:pPr>
      <w:r>
        <w:rPr>
          <w:rFonts w:hint="eastAsia"/>
          <w:bCs/>
          <w:color w:val="auto"/>
          <w:sz w:val="24"/>
          <w:szCs w:val="22"/>
          <w:highlight w:val="none"/>
        </w:rPr>
        <w:t>《</w:t>
      </w:r>
      <w:r>
        <w:rPr>
          <w:rFonts w:hint="eastAsia"/>
          <w:bCs/>
          <w:color w:val="auto"/>
          <w:sz w:val="24"/>
          <w:szCs w:val="22"/>
          <w:highlight w:val="none"/>
          <w:lang w:eastAsia="zh-CN"/>
        </w:rPr>
        <w:t>建筑用钢门窗型材</w:t>
      </w:r>
      <w:r>
        <w:rPr>
          <w:rFonts w:hint="eastAsia"/>
          <w:bCs/>
          <w:color w:val="auto"/>
          <w:sz w:val="24"/>
          <w:szCs w:val="22"/>
          <w:highlight w:val="none"/>
        </w:rPr>
        <w:t>》</w:t>
      </w:r>
      <w:r>
        <w:rPr>
          <w:rFonts w:hint="eastAsia"/>
          <w:bCs/>
          <w:color w:val="auto"/>
          <w:sz w:val="24"/>
          <w:szCs w:val="22"/>
          <w:highlight w:val="none"/>
          <w:lang w:eastAsia="zh-CN"/>
        </w:rPr>
        <w:t>JG/T 115</w:t>
      </w:r>
    </w:p>
    <w:p w14:paraId="0D99C2E4">
      <w:pPr>
        <w:tabs>
          <w:tab w:val="left" w:pos="19"/>
        </w:tabs>
        <w:spacing w:line="360" w:lineRule="auto"/>
        <w:jc w:val="left"/>
        <w:outlineLvl w:val="0"/>
        <w:rPr>
          <w:b/>
          <w:color w:val="auto"/>
          <w:sz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113" w:name="_Toc141875159"/>
    </w:p>
    <w:p w14:paraId="63942A59">
      <w:pPr>
        <w:tabs>
          <w:tab w:val="left" w:pos="19"/>
        </w:tabs>
        <w:spacing w:line="360" w:lineRule="auto"/>
        <w:jc w:val="left"/>
        <w:outlineLvl w:val="0"/>
        <w:rPr>
          <w:b/>
          <w:color w:val="auto"/>
          <w:sz w:val="30"/>
          <w:highlight w:val="none"/>
        </w:rPr>
      </w:pPr>
      <w:bookmarkStart w:id="114" w:name="_Toc23526"/>
      <w:r>
        <w:rPr>
          <w:b/>
          <w:color w:val="auto"/>
          <w:sz w:val="30"/>
          <w:highlight w:val="none"/>
        </w:rPr>
        <w:t>附：条文说明</w:t>
      </w:r>
      <w:bookmarkEnd w:id="112"/>
      <w:bookmarkEnd w:id="113"/>
      <w:bookmarkEnd w:id="114"/>
    </w:p>
    <w:p w14:paraId="54284942">
      <w:pPr>
        <w:spacing w:line="360" w:lineRule="auto"/>
        <w:rPr>
          <w:b/>
          <w:color w:val="auto"/>
          <w:sz w:val="28"/>
          <w:szCs w:val="28"/>
          <w:highlight w:val="none"/>
        </w:rPr>
      </w:pPr>
    </w:p>
    <w:p w14:paraId="29D72E43">
      <w:pPr>
        <w:spacing w:line="360" w:lineRule="auto"/>
        <w:rPr>
          <w:b/>
          <w:color w:val="auto"/>
          <w:sz w:val="28"/>
          <w:szCs w:val="28"/>
          <w:highlight w:val="none"/>
        </w:rPr>
      </w:pPr>
    </w:p>
    <w:p w14:paraId="0E46FE1D">
      <w:pPr>
        <w:spacing w:line="360" w:lineRule="auto"/>
        <w:ind w:firstLine="720" w:firstLineChars="200"/>
        <w:jc w:val="center"/>
        <w:rPr>
          <w:b/>
          <w:bCs/>
          <w:color w:val="auto"/>
          <w:sz w:val="36"/>
          <w:szCs w:val="36"/>
          <w:highlight w:val="none"/>
        </w:rPr>
      </w:pPr>
      <w:r>
        <w:rPr>
          <w:color w:val="auto"/>
          <w:sz w:val="36"/>
          <w:szCs w:val="36"/>
          <w:highlight w:val="none"/>
        </w:rPr>
        <w:t>中国工程建设标准化协会标准</w:t>
      </w:r>
    </w:p>
    <w:p w14:paraId="774BC4D4">
      <w:pPr>
        <w:jc w:val="center"/>
        <w:rPr>
          <w:b/>
          <w:color w:val="auto"/>
          <w:sz w:val="32"/>
          <w:szCs w:val="32"/>
          <w:highlight w:val="none"/>
        </w:rPr>
      </w:pPr>
    </w:p>
    <w:p w14:paraId="3AF34F79">
      <w:pPr>
        <w:spacing w:line="360" w:lineRule="auto"/>
        <w:jc w:val="center"/>
        <w:rPr>
          <w:b/>
          <w:color w:val="auto"/>
          <w:sz w:val="28"/>
          <w:szCs w:val="28"/>
          <w:highlight w:val="none"/>
        </w:rPr>
      </w:pPr>
    </w:p>
    <w:p w14:paraId="2B71C849">
      <w:pPr>
        <w:spacing w:line="360" w:lineRule="auto"/>
        <w:jc w:val="center"/>
        <w:rPr>
          <w:b/>
          <w:color w:val="auto"/>
          <w:sz w:val="28"/>
          <w:szCs w:val="28"/>
          <w:highlight w:val="none"/>
        </w:rPr>
      </w:pPr>
    </w:p>
    <w:p w14:paraId="66C55ABD">
      <w:pPr>
        <w:spacing w:line="360" w:lineRule="auto"/>
        <w:jc w:val="center"/>
        <w:rPr>
          <w:b/>
          <w:color w:val="auto"/>
          <w:sz w:val="48"/>
          <w:szCs w:val="48"/>
          <w:highlight w:val="none"/>
        </w:rPr>
      </w:pPr>
      <w:r>
        <w:rPr>
          <w:rFonts w:hint="eastAsia"/>
          <w:b/>
          <w:color w:val="auto"/>
          <w:sz w:val="48"/>
          <w:szCs w:val="48"/>
          <w:highlight w:val="none"/>
        </w:rPr>
        <w:t>套装双真空保温隔热板应用技术规程</w:t>
      </w:r>
    </w:p>
    <w:p w14:paraId="32172B2F">
      <w:pPr>
        <w:spacing w:line="360" w:lineRule="auto"/>
        <w:jc w:val="center"/>
        <w:rPr>
          <w:b/>
          <w:color w:val="auto"/>
          <w:sz w:val="48"/>
          <w:szCs w:val="48"/>
          <w:highlight w:val="none"/>
        </w:rPr>
      </w:pPr>
    </w:p>
    <w:p w14:paraId="3C42C2F4">
      <w:pPr>
        <w:spacing w:line="360" w:lineRule="auto"/>
        <w:jc w:val="center"/>
        <w:rPr>
          <w:b/>
          <w:color w:val="auto"/>
          <w:sz w:val="32"/>
          <w:szCs w:val="32"/>
          <w:highlight w:val="none"/>
        </w:rPr>
      </w:pPr>
      <w:r>
        <w:rPr>
          <w:b/>
          <w:color w:val="auto"/>
          <w:sz w:val="32"/>
          <w:szCs w:val="32"/>
          <w:highlight w:val="none"/>
        </w:rPr>
        <w:t>T/CECS *** -20XX</w:t>
      </w:r>
    </w:p>
    <w:p w14:paraId="01A1BC4F">
      <w:pPr>
        <w:spacing w:line="360" w:lineRule="auto"/>
        <w:jc w:val="center"/>
        <w:rPr>
          <w:b/>
          <w:color w:val="auto"/>
          <w:sz w:val="44"/>
          <w:szCs w:val="44"/>
          <w:highlight w:val="none"/>
        </w:rPr>
      </w:pPr>
    </w:p>
    <w:p w14:paraId="65082EE9">
      <w:pPr>
        <w:spacing w:line="360" w:lineRule="auto"/>
        <w:jc w:val="center"/>
        <w:rPr>
          <w:b/>
          <w:color w:val="auto"/>
          <w:sz w:val="44"/>
          <w:szCs w:val="44"/>
          <w:highlight w:val="none"/>
        </w:rPr>
      </w:pPr>
    </w:p>
    <w:p w14:paraId="44CD7817">
      <w:pPr>
        <w:spacing w:line="360" w:lineRule="auto"/>
        <w:jc w:val="center"/>
        <w:rPr>
          <w:b/>
          <w:color w:val="auto"/>
          <w:sz w:val="44"/>
          <w:szCs w:val="44"/>
          <w:highlight w:val="none"/>
        </w:rPr>
      </w:pPr>
      <w:bookmarkStart w:id="115" w:name="_Toc489623311"/>
      <w:bookmarkStart w:id="116" w:name="_Toc487617105"/>
      <w:bookmarkStart w:id="117" w:name="_Toc490230521"/>
      <w:r>
        <w:rPr>
          <w:b/>
          <w:color w:val="auto"/>
          <w:sz w:val="44"/>
          <w:szCs w:val="44"/>
          <w:highlight w:val="none"/>
        </w:rPr>
        <w:t>条文说明</w:t>
      </w:r>
      <w:bookmarkEnd w:id="115"/>
      <w:bookmarkEnd w:id="116"/>
      <w:bookmarkEnd w:id="117"/>
    </w:p>
    <w:p w14:paraId="06EAF9E1">
      <w:pPr>
        <w:spacing w:line="360" w:lineRule="auto"/>
        <w:jc w:val="center"/>
        <w:rPr>
          <w:b/>
          <w:color w:val="auto"/>
          <w:sz w:val="28"/>
          <w:szCs w:val="28"/>
          <w:highlight w:val="none"/>
        </w:rPr>
      </w:pPr>
    </w:p>
    <w:p w14:paraId="34B4414E">
      <w:pPr>
        <w:spacing w:line="360" w:lineRule="auto"/>
        <w:jc w:val="center"/>
        <w:rPr>
          <w:b/>
          <w:color w:val="auto"/>
          <w:sz w:val="28"/>
          <w:szCs w:val="28"/>
          <w:highlight w:val="none"/>
        </w:rPr>
      </w:pPr>
    </w:p>
    <w:p w14:paraId="3EEB8517">
      <w:pPr>
        <w:spacing w:line="360" w:lineRule="auto"/>
        <w:jc w:val="center"/>
        <w:rPr>
          <w:b/>
          <w:color w:val="auto"/>
          <w:sz w:val="28"/>
          <w:szCs w:val="28"/>
          <w:highlight w:val="none"/>
        </w:rPr>
      </w:pPr>
    </w:p>
    <w:p w14:paraId="32370477">
      <w:pPr>
        <w:spacing w:line="360" w:lineRule="auto"/>
        <w:jc w:val="center"/>
        <w:rPr>
          <w:b/>
          <w:color w:val="auto"/>
          <w:sz w:val="28"/>
          <w:szCs w:val="28"/>
          <w:highlight w:val="none"/>
        </w:rPr>
      </w:pPr>
    </w:p>
    <w:p w14:paraId="4F5384FE">
      <w:pPr>
        <w:spacing w:line="360" w:lineRule="auto"/>
        <w:jc w:val="center"/>
        <w:rPr>
          <w:b/>
          <w:color w:val="auto"/>
          <w:sz w:val="28"/>
          <w:szCs w:val="28"/>
          <w:highlight w:val="none"/>
        </w:rPr>
      </w:pPr>
    </w:p>
    <w:p w14:paraId="1E1E24E6">
      <w:pPr>
        <w:spacing w:line="360" w:lineRule="auto"/>
        <w:jc w:val="center"/>
        <w:rPr>
          <w:b/>
          <w:color w:val="auto"/>
          <w:sz w:val="28"/>
          <w:szCs w:val="28"/>
          <w:highlight w:val="none"/>
        </w:rPr>
      </w:pPr>
    </w:p>
    <w:p w14:paraId="3BCEADCE">
      <w:pPr>
        <w:spacing w:line="360" w:lineRule="auto"/>
        <w:jc w:val="center"/>
        <w:rPr>
          <w:b/>
          <w:color w:val="auto"/>
          <w:sz w:val="28"/>
          <w:szCs w:val="28"/>
          <w:highlight w:val="none"/>
        </w:rPr>
      </w:pPr>
    </w:p>
    <w:p w14:paraId="331B3E06">
      <w:pPr>
        <w:spacing w:line="360" w:lineRule="auto"/>
        <w:jc w:val="center"/>
        <w:rPr>
          <w:b/>
          <w:color w:val="auto"/>
          <w:sz w:val="28"/>
          <w:szCs w:val="28"/>
          <w:highlight w:val="none"/>
        </w:rPr>
      </w:pPr>
    </w:p>
    <w:p w14:paraId="4F913363">
      <w:pPr>
        <w:spacing w:line="360" w:lineRule="auto"/>
        <w:jc w:val="center"/>
        <w:rPr>
          <w:b/>
          <w:color w:val="auto"/>
          <w:sz w:val="28"/>
          <w:szCs w:val="28"/>
          <w:highlight w:val="none"/>
        </w:rPr>
      </w:pPr>
    </w:p>
    <w:p w14:paraId="73DF5E0D">
      <w:pPr>
        <w:widowControl/>
        <w:jc w:val="center"/>
        <w:rPr>
          <w:b/>
          <w:color w:val="auto"/>
          <w:sz w:val="32"/>
          <w:szCs w:val="32"/>
          <w:highlight w:val="none"/>
        </w:rPr>
      </w:pPr>
      <w:r>
        <w:rPr>
          <w:b/>
          <w:color w:val="auto"/>
          <w:sz w:val="32"/>
          <w:szCs w:val="32"/>
          <w:highlight w:val="none"/>
        </w:rPr>
        <w:t>制 定 说 明</w:t>
      </w:r>
    </w:p>
    <w:p w14:paraId="539AC1B9">
      <w:pPr>
        <w:widowControl/>
        <w:spacing w:line="360" w:lineRule="auto"/>
        <w:ind w:firstLine="480" w:firstLineChars="200"/>
        <w:jc w:val="left"/>
        <w:rPr>
          <w:color w:val="auto"/>
          <w:sz w:val="24"/>
          <w:szCs w:val="24"/>
          <w:highlight w:val="none"/>
        </w:rPr>
      </w:pPr>
      <w:r>
        <w:rPr>
          <w:color w:val="auto"/>
          <w:sz w:val="24"/>
          <w:szCs w:val="24"/>
          <w:highlight w:val="none"/>
        </w:rPr>
        <w:t>本规程制定过程中，编制组进行了</w:t>
      </w:r>
      <w:r>
        <w:rPr>
          <w:rFonts w:hint="eastAsia"/>
          <w:color w:val="auto"/>
          <w:sz w:val="24"/>
          <w:szCs w:val="24"/>
          <w:highlight w:val="none"/>
        </w:rPr>
        <w:t>套装双真空保温隔热板外保温系统</w:t>
      </w:r>
      <w:r>
        <w:rPr>
          <w:color w:val="auto"/>
          <w:sz w:val="24"/>
          <w:szCs w:val="24"/>
          <w:highlight w:val="none"/>
        </w:rPr>
        <w:t>发展现状的调查研究，总结了</w:t>
      </w:r>
      <w:r>
        <w:rPr>
          <w:rFonts w:hint="eastAsia"/>
          <w:color w:val="auto"/>
          <w:sz w:val="24"/>
          <w:szCs w:val="24"/>
          <w:highlight w:val="none"/>
        </w:rPr>
        <w:t>套装双真空保温隔热板外保温</w:t>
      </w:r>
      <w:r>
        <w:rPr>
          <w:color w:val="auto"/>
          <w:sz w:val="24"/>
          <w:szCs w:val="24"/>
          <w:highlight w:val="none"/>
        </w:rPr>
        <w:t>工程建设的实践经验，同时参考了国外先进技术法规、技术标准，通过对</w:t>
      </w:r>
      <w:r>
        <w:rPr>
          <w:rFonts w:hint="eastAsia"/>
          <w:color w:val="auto"/>
          <w:sz w:val="24"/>
          <w:szCs w:val="24"/>
          <w:highlight w:val="none"/>
        </w:rPr>
        <w:t>套装双真空保温隔热板</w:t>
      </w:r>
      <w:r>
        <w:rPr>
          <w:color w:val="auto"/>
          <w:sz w:val="24"/>
          <w:szCs w:val="24"/>
          <w:highlight w:val="none"/>
        </w:rPr>
        <w:t>进行</w:t>
      </w:r>
      <w:r>
        <w:rPr>
          <w:rFonts w:hint="eastAsia"/>
          <w:color w:val="auto"/>
          <w:sz w:val="24"/>
          <w:szCs w:val="24"/>
          <w:highlight w:val="none"/>
        </w:rPr>
        <w:t>物理性能试验研究和系统构造研究</w:t>
      </w:r>
      <w:r>
        <w:rPr>
          <w:color w:val="auto"/>
          <w:sz w:val="24"/>
          <w:szCs w:val="24"/>
          <w:highlight w:val="none"/>
        </w:rPr>
        <w:t>，取得了阶段性成果。</w:t>
      </w:r>
    </w:p>
    <w:p w14:paraId="20D28650">
      <w:pPr>
        <w:widowControl/>
        <w:spacing w:line="360" w:lineRule="auto"/>
        <w:ind w:firstLine="480" w:firstLineChars="200"/>
        <w:jc w:val="left"/>
        <w:rPr>
          <w:color w:val="auto"/>
          <w:sz w:val="24"/>
          <w:szCs w:val="24"/>
          <w:highlight w:val="none"/>
        </w:rPr>
      </w:pPr>
      <w:r>
        <w:rPr>
          <w:color w:val="auto"/>
          <w:sz w:val="24"/>
          <w:szCs w:val="24"/>
          <w:highlight w:val="none"/>
        </w:rPr>
        <w:t>本规程编制原则为：（1）科学合理、具有可操作性；（2）实事求是，规程使用人应严格遵守规程有关规定；（3）保证施工效率的同时又能保证质量等。</w:t>
      </w:r>
    </w:p>
    <w:p w14:paraId="3A95E247">
      <w:pPr>
        <w:widowControl/>
        <w:spacing w:line="360" w:lineRule="auto"/>
        <w:ind w:firstLine="480" w:firstLineChars="200"/>
        <w:jc w:val="left"/>
        <w:rPr>
          <w:color w:val="auto"/>
          <w:sz w:val="24"/>
          <w:szCs w:val="24"/>
          <w:highlight w:val="none"/>
        </w:rPr>
      </w:pPr>
      <w:r>
        <w:rPr>
          <w:color w:val="auto"/>
          <w:sz w:val="24"/>
          <w:szCs w:val="24"/>
          <w:highlight w:val="none"/>
        </w:rPr>
        <w:t>关于</w:t>
      </w:r>
      <w:r>
        <w:rPr>
          <w:rFonts w:hint="eastAsia"/>
          <w:color w:val="auto"/>
          <w:sz w:val="24"/>
          <w:szCs w:val="24"/>
          <w:highlight w:val="none"/>
        </w:rPr>
        <w:t>套装双真空保温隔热板热工性能和力学性能</w:t>
      </w:r>
      <w:r>
        <w:rPr>
          <w:color w:val="auto"/>
          <w:sz w:val="24"/>
          <w:szCs w:val="24"/>
          <w:highlight w:val="none"/>
        </w:rPr>
        <w:t>等重要问题，编制组给出了</w:t>
      </w:r>
      <w:r>
        <w:rPr>
          <w:rFonts w:hint="eastAsia"/>
          <w:color w:val="auto"/>
          <w:sz w:val="24"/>
          <w:szCs w:val="24"/>
          <w:highlight w:val="none"/>
        </w:rPr>
        <w:t>合理的性能要求</w:t>
      </w:r>
      <w:r>
        <w:rPr>
          <w:color w:val="auto"/>
          <w:sz w:val="24"/>
          <w:szCs w:val="24"/>
          <w:highlight w:val="none"/>
        </w:rPr>
        <w:t>，编制组将对其他尚需深入研究的有关问题多方取证、试验探究和工程应用后对规程进行更新补充。</w:t>
      </w:r>
    </w:p>
    <w:p w14:paraId="1DA11D6D">
      <w:pPr>
        <w:widowControl/>
        <w:spacing w:line="360" w:lineRule="auto"/>
        <w:ind w:firstLine="480" w:firstLineChars="200"/>
        <w:jc w:val="left"/>
        <w:rPr>
          <w:b/>
          <w:color w:val="auto"/>
          <w:sz w:val="28"/>
          <w:szCs w:val="28"/>
          <w:highlight w:val="none"/>
        </w:rPr>
      </w:pPr>
      <w:r>
        <w:rPr>
          <w:color w:val="auto"/>
          <w:sz w:val="24"/>
          <w:szCs w:val="24"/>
          <w:highlight w:val="none"/>
        </w:rPr>
        <w:t>为便于广大技术和管理人员在使用本规程时能正确理解和执行条款规定，《</w:t>
      </w:r>
      <w:r>
        <w:rPr>
          <w:rFonts w:hint="eastAsia"/>
          <w:color w:val="auto"/>
          <w:sz w:val="24"/>
          <w:szCs w:val="24"/>
          <w:highlight w:val="none"/>
        </w:rPr>
        <w:t>套装双真空保温隔热板应用技术规程</w:t>
      </w:r>
      <w:r>
        <w:rPr>
          <w:color w:val="auto"/>
          <w:sz w:val="24"/>
          <w:szCs w:val="24"/>
          <w:highlight w:val="none"/>
        </w:rPr>
        <w:t>》编制组按章、节、条顺序编制了本规程的条文说明，对条款的规定的目的、依据以及执行中需注意的有关事项等进行了说明。本条文说明不具备与标准正文及附录同等的法律效力，仅供使用者作为理解和把握标准规定的参考。</w:t>
      </w:r>
      <w:r>
        <w:rPr>
          <w:b/>
          <w:color w:val="auto"/>
          <w:sz w:val="28"/>
          <w:szCs w:val="28"/>
          <w:highlight w:val="none"/>
        </w:rPr>
        <w:br w:type="page"/>
      </w:r>
    </w:p>
    <w:p w14:paraId="3DDC5E70">
      <w:pPr>
        <w:spacing w:line="360" w:lineRule="auto"/>
        <w:jc w:val="center"/>
        <w:rPr>
          <w:b/>
          <w:color w:val="auto"/>
          <w:sz w:val="28"/>
          <w:szCs w:val="28"/>
          <w:highlight w:val="none"/>
        </w:rPr>
      </w:pPr>
    </w:p>
    <w:p w14:paraId="0A3BC327">
      <w:pPr>
        <w:spacing w:line="360" w:lineRule="auto"/>
        <w:jc w:val="center"/>
        <w:rPr>
          <w:b/>
          <w:color w:val="auto"/>
          <w:sz w:val="28"/>
          <w:szCs w:val="28"/>
          <w:highlight w:val="none"/>
        </w:rPr>
      </w:pPr>
      <w:r>
        <w:rPr>
          <w:b/>
          <w:color w:val="auto"/>
          <w:sz w:val="28"/>
          <w:szCs w:val="28"/>
          <w:highlight w:val="none"/>
        </w:rPr>
        <w:t>目  次</w:t>
      </w:r>
    </w:p>
    <w:p w14:paraId="7E0E0683">
      <w:pPr>
        <w:pStyle w:val="14"/>
        <w:tabs>
          <w:tab w:val="left" w:pos="420"/>
        </w:tabs>
        <w:rPr>
          <w:rFonts w:ascii="Times New Roman" w:hAnsi="Times New Roman" w:eastAsiaTheme="minorEastAsia"/>
          <w:bCs/>
          <w:kern w:val="2"/>
          <w:szCs w:val="22"/>
          <w:highlight w:val="none"/>
          <w14:ligatures w14:val="standardContextual"/>
        </w:rPr>
      </w:pPr>
      <w:r>
        <w:rPr>
          <w:rFonts w:ascii="Times New Roman" w:hAnsi="Times New Roman"/>
          <w:bCs/>
          <w:sz w:val="28"/>
          <w:szCs w:val="28"/>
          <w:highlight w:val="none"/>
        </w:rPr>
        <w:fldChar w:fldCharType="begin"/>
      </w:r>
      <w:r>
        <w:rPr>
          <w:rFonts w:ascii="Times New Roman" w:hAnsi="Times New Roman"/>
          <w:bCs/>
          <w:sz w:val="28"/>
          <w:szCs w:val="28"/>
          <w:highlight w:val="none"/>
        </w:rPr>
        <w:instrText xml:space="preserve"> TOC \o "1-2" \h \z \u </w:instrText>
      </w:r>
      <w:r>
        <w:rPr>
          <w:rFonts w:ascii="Times New Roman" w:hAnsi="Times New Roman"/>
          <w:bCs/>
          <w:sz w:val="28"/>
          <w:szCs w:val="28"/>
          <w:highlight w:val="none"/>
        </w:rPr>
        <w:fldChar w:fldCharType="separate"/>
      </w:r>
      <w:r>
        <w:rPr>
          <w:highlight w:val="none"/>
        </w:rPr>
        <w:fldChar w:fldCharType="begin"/>
      </w:r>
      <w:r>
        <w:rPr>
          <w:highlight w:val="none"/>
        </w:rPr>
        <w:instrText xml:space="preserve"> HYPERLINK \l "_Toc141875132" </w:instrText>
      </w:r>
      <w:r>
        <w:rPr>
          <w:highlight w:val="none"/>
        </w:rPr>
        <w:fldChar w:fldCharType="separate"/>
      </w:r>
      <w:r>
        <w:rPr>
          <w:rStyle w:val="23"/>
          <w:rFonts w:ascii="Times New Roman" w:hAnsi="Times New Roman"/>
          <w:bCs/>
          <w:color w:val="auto"/>
          <w:highlight w:val="none"/>
        </w:rPr>
        <w:t>1</w:t>
      </w:r>
      <w:r>
        <w:rPr>
          <w:rFonts w:ascii="Times New Roman" w:hAnsi="Times New Roman" w:eastAsiaTheme="minorEastAsia"/>
          <w:bCs/>
          <w:kern w:val="2"/>
          <w:szCs w:val="22"/>
          <w:highlight w:val="none"/>
          <w14:ligatures w14:val="standardContextual"/>
        </w:rPr>
        <w:tab/>
      </w:r>
      <w:r>
        <w:rPr>
          <w:rStyle w:val="23"/>
          <w:rFonts w:ascii="Times New Roman" w:hAnsi="Times New Roman"/>
          <w:bCs/>
          <w:color w:val="auto"/>
          <w:highlight w:val="none"/>
        </w:rPr>
        <w:t>总则</w:t>
      </w:r>
      <w:r>
        <w:rPr>
          <w:rFonts w:ascii="Times New Roman" w:hAnsi="Times New Roman"/>
          <w:bCs/>
          <w:highlight w:val="none"/>
        </w:rPr>
        <w:tab/>
      </w:r>
      <w:r>
        <w:rPr>
          <w:rFonts w:ascii="Times New Roman" w:hAnsi="Times New Roman"/>
          <w:bCs/>
          <w:highlight w:val="none"/>
        </w:rPr>
        <w:fldChar w:fldCharType="begin"/>
      </w:r>
      <w:r>
        <w:rPr>
          <w:rFonts w:ascii="Times New Roman" w:hAnsi="Times New Roman"/>
          <w:bCs/>
          <w:highlight w:val="none"/>
        </w:rPr>
        <w:instrText xml:space="preserve"> PAGEREF _Toc141875132 \h </w:instrText>
      </w:r>
      <w:r>
        <w:rPr>
          <w:rFonts w:ascii="Times New Roman" w:hAnsi="Times New Roman"/>
          <w:bCs/>
          <w:highlight w:val="none"/>
        </w:rPr>
        <w:fldChar w:fldCharType="separate"/>
      </w:r>
      <w:r>
        <w:rPr>
          <w:rFonts w:ascii="Times New Roman" w:hAnsi="Times New Roman"/>
          <w:bCs/>
          <w:highlight w:val="none"/>
        </w:rPr>
        <w:t>1</w:t>
      </w:r>
      <w:r>
        <w:rPr>
          <w:rFonts w:ascii="Times New Roman" w:hAnsi="Times New Roman"/>
          <w:bCs/>
          <w:highlight w:val="none"/>
        </w:rPr>
        <w:fldChar w:fldCharType="end"/>
      </w:r>
      <w:r>
        <w:rPr>
          <w:rFonts w:ascii="Times New Roman" w:hAnsi="Times New Roman"/>
          <w:bCs/>
          <w:highlight w:val="none"/>
        </w:rPr>
        <w:fldChar w:fldCharType="end"/>
      </w:r>
    </w:p>
    <w:p w14:paraId="30EE118B">
      <w:pPr>
        <w:pStyle w:val="14"/>
        <w:tabs>
          <w:tab w:val="left" w:pos="420"/>
        </w:tabs>
        <w:rPr>
          <w:rFonts w:ascii="Times New Roman" w:hAnsi="Times New Roman" w:eastAsiaTheme="minorEastAsia"/>
          <w:bCs/>
          <w:kern w:val="2"/>
          <w:szCs w:val="22"/>
          <w:highlight w:val="none"/>
          <w14:ligatures w14:val="standardContextual"/>
        </w:rPr>
      </w:pPr>
      <w:r>
        <w:rPr>
          <w:highlight w:val="none"/>
        </w:rPr>
        <w:fldChar w:fldCharType="begin"/>
      </w:r>
      <w:r>
        <w:rPr>
          <w:highlight w:val="none"/>
        </w:rPr>
        <w:instrText xml:space="preserve"> HYPERLINK \l "_Toc141875133" </w:instrText>
      </w:r>
      <w:r>
        <w:rPr>
          <w:highlight w:val="none"/>
        </w:rPr>
        <w:fldChar w:fldCharType="separate"/>
      </w:r>
      <w:r>
        <w:rPr>
          <w:rStyle w:val="23"/>
          <w:rFonts w:ascii="Times New Roman" w:hAnsi="Times New Roman"/>
          <w:bCs/>
          <w:color w:val="auto"/>
          <w:highlight w:val="none"/>
        </w:rPr>
        <w:t>2</w:t>
      </w:r>
      <w:r>
        <w:rPr>
          <w:rFonts w:ascii="Times New Roman" w:hAnsi="Times New Roman" w:eastAsiaTheme="minorEastAsia"/>
          <w:bCs/>
          <w:kern w:val="2"/>
          <w:szCs w:val="22"/>
          <w:highlight w:val="none"/>
          <w14:ligatures w14:val="standardContextual"/>
        </w:rPr>
        <w:tab/>
      </w:r>
      <w:r>
        <w:rPr>
          <w:rStyle w:val="23"/>
          <w:rFonts w:ascii="Times New Roman" w:hAnsi="Times New Roman"/>
          <w:bCs/>
          <w:color w:val="auto"/>
          <w:highlight w:val="none"/>
        </w:rPr>
        <w:t>术语</w:t>
      </w:r>
      <w:r>
        <w:rPr>
          <w:rFonts w:ascii="Times New Roman" w:hAnsi="Times New Roman"/>
          <w:bCs/>
          <w:highlight w:val="none"/>
        </w:rPr>
        <w:tab/>
      </w:r>
      <w:r>
        <w:rPr>
          <w:rFonts w:ascii="Times New Roman" w:hAnsi="Times New Roman"/>
          <w:bCs/>
          <w:highlight w:val="none"/>
        </w:rPr>
        <w:fldChar w:fldCharType="begin"/>
      </w:r>
      <w:r>
        <w:rPr>
          <w:rFonts w:ascii="Times New Roman" w:hAnsi="Times New Roman"/>
          <w:bCs/>
          <w:highlight w:val="none"/>
        </w:rPr>
        <w:instrText xml:space="preserve"> PAGEREF _Toc141875133 \h </w:instrText>
      </w:r>
      <w:r>
        <w:rPr>
          <w:rFonts w:ascii="Times New Roman" w:hAnsi="Times New Roman"/>
          <w:bCs/>
          <w:highlight w:val="none"/>
        </w:rPr>
        <w:fldChar w:fldCharType="separate"/>
      </w:r>
      <w:r>
        <w:rPr>
          <w:rFonts w:ascii="Times New Roman" w:hAnsi="Times New Roman"/>
          <w:bCs/>
          <w:highlight w:val="none"/>
        </w:rPr>
        <w:t>2</w:t>
      </w:r>
      <w:r>
        <w:rPr>
          <w:rFonts w:ascii="Times New Roman" w:hAnsi="Times New Roman"/>
          <w:bCs/>
          <w:highlight w:val="none"/>
        </w:rPr>
        <w:fldChar w:fldCharType="end"/>
      </w:r>
      <w:r>
        <w:rPr>
          <w:rFonts w:ascii="Times New Roman" w:hAnsi="Times New Roman"/>
          <w:bCs/>
          <w:highlight w:val="none"/>
        </w:rPr>
        <w:fldChar w:fldCharType="end"/>
      </w:r>
    </w:p>
    <w:p w14:paraId="1A9B422E">
      <w:pPr>
        <w:pStyle w:val="14"/>
        <w:tabs>
          <w:tab w:val="left" w:pos="420"/>
        </w:tabs>
        <w:rPr>
          <w:rFonts w:ascii="Times New Roman" w:hAnsi="Times New Roman" w:eastAsiaTheme="minorEastAsia"/>
          <w:bCs/>
          <w:kern w:val="2"/>
          <w:szCs w:val="22"/>
          <w:highlight w:val="none"/>
          <w14:ligatures w14:val="standardContextual"/>
        </w:rPr>
      </w:pPr>
      <w:r>
        <w:rPr>
          <w:highlight w:val="none"/>
        </w:rPr>
        <w:fldChar w:fldCharType="begin"/>
      </w:r>
      <w:r>
        <w:rPr>
          <w:highlight w:val="none"/>
        </w:rPr>
        <w:instrText xml:space="preserve"> HYPERLINK \l "_Toc141875134" </w:instrText>
      </w:r>
      <w:r>
        <w:rPr>
          <w:highlight w:val="none"/>
        </w:rPr>
        <w:fldChar w:fldCharType="separate"/>
      </w:r>
      <w:r>
        <w:rPr>
          <w:rStyle w:val="23"/>
          <w:rFonts w:ascii="Times New Roman" w:hAnsi="Times New Roman"/>
          <w:bCs/>
          <w:color w:val="auto"/>
          <w:highlight w:val="none"/>
        </w:rPr>
        <w:t>3</w:t>
      </w:r>
      <w:r>
        <w:rPr>
          <w:rFonts w:ascii="Times New Roman" w:hAnsi="Times New Roman" w:eastAsiaTheme="minorEastAsia"/>
          <w:bCs/>
          <w:kern w:val="2"/>
          <w:szCs w:val="22"/>
          <w:highlight w:val="none"/>
          <w14:ligatures w14:val="standardContextual"/>
        </w:rPr>
        <w:tab/>
      </w:r>
      <w:r>
        <w:rPr>
          <w:rStyle w:val="23"/>
          <w:rFonts w:ascii="Times New Roman" w:hAnsi="Times New Roman"/>
          <w:bCs/>
          <w:color w:val="auto"/>
          <w:highlight w:val="none"/>
        </w:rPr>
        <w:t>基本规定</w:t>
      </w:r>
      <w:r>
        <w:rPr>
          <w:rFonts w:ascii="Times New Roman" w:hAnsi="Times New Roman"/>
          <w:bCs/>
          <w:highlight w:val="none"/>
        </w:rPr>
        <w:tab/>
      </w:r>
      <w:r>
        <w:rPr>
          <w:rFonts w:ascii="Times New Roman" w:hAnsi="Times New Roman"/>
          <w:bCs/>
          <w:highlight w:val="none"/>
        </w:rPr>
        <w:fldChar w:fldCharType="begin"/>
      </w:r>
      <w:r>
        <w:rPr>
          <w:rFonts w:ascii="Times New Roman" w:hAnsi="Times New Roman"/>
          <w:bCs/>
          <w:highlight w:val="none"/>
        </w:rPr>
        <w:instrText xml:space="preserve"> PAGEREF _Toc141875134 \h </w:instrText>
      </w:r>
      <w:r>
        <w:rPr>
          <w:rFonts w:ascii="Times New Roman" w:hAnsi="Times New Roman"/>
          <w:bCs/>
          <w:highlight w:val="none"/>
        </w:rPr>
        <w:fldChar w:fldCharType="separate"/>
      </w:r>
      <w:r>
        <w:rPr>
          <w:rFonts w:ascii="Times New Roman" w:hAnsi="Times New Roman"/>
          <w:bCs/>
          <w:highlight w:val="none"/>
        </w:rPr>
        <w:t>1</w:t>
      </w:r>
      <w:r>
        <w:rPr>
          <w:rFonts w:ascii="Times New Roman" w:hAnsi="Times New Roman"/>
          <w:bCs/>
          <w:highlight w:val="none"/>
        </w:rPr>
        <w:fldChar w:fldCharType="end"/>
      </w:r>
      <w:r>
        <w:rPr>
          <w:rFonts w:ascii="Times New Roman" w:hAnsi="Times New Roman"/>
          <w:bCs/>
          <w:highlight w:val="none"/>
        </w:rPr>
        <w:fldChar w:fldCharType="end"/>
      </w:r>
    </w:p>
    <w:p w14:paraId="5BD76B99">
      <w:pPr>
        <w:pStyle w:val="14"/>
        <w:tabs>
          <w:tab w:val="left" w:pos="420"/>
        </w:tabs>
        <w:rPr>
          <w:rFonts w:ascii="Times New Roman" w:hAnsi="Times New Roman" w:eastAsiaTheme="minorEastAsia"/>
          <w:bCs/>
          <w:kern w:val="2"/>
          <w:szCs w:val="22"/>
          <w:highlight w:val="none"/>
          <w14:ligatures w14:val="standardContextual"/>
        </w:rPr>
      </w:pPr>
      <w:r>
        <w:rPr>
          <w:highlight w:val="none"/>
        </w:rPr>
        <w:fldChar w:fldCharType="begin"/>
      </w:r>
      <w:r>
        <w:rPr>
          <w:highlight w:val="none"/>
        </w:rPr>
        <w:instrText xml:space="preserve"> HYPERLINK \l "_Toc141875135" </w:instrText>
      </w:r>
      <w:r>
        <w:rPr>
          <w:highlight w:val="none"/>
        </w:rPr>
        <w:fldChar w:fldCharType="separate"/>
      </w:r>
      <w:r>
        <w:rPr>
          <w:rStyle w:val="23"/>
          <w:rFonts w:ascii="Times New Roman" w:hAnsi="Times New Roman"/>
          <w:bCs/>
          <w:color w:val="auto"/>
          <w:highlight w:val="none"/>
        </w:rPr>
        <w:t>4</w:t>
      </w:r>
      <w:r>
        <w:rPr>
          <w:rFonts w:ascii="Times New Roman" w:hAnsi="Times New Roman" w:eastAsiaTheme="minorEastAsia"/>
          <w:bCs/>
          <w:kern w:val="2"/>
          <w:szCs w:val="22"/>
          <w:highlight w:val="none"/>
          <w14:ligatures w14:val="standardContextual"/>
        </w:rPr>
        <w:tab/>
      </w:r>
      <w:r>
        <w:rPr>
          <w:rStyle w:val="23"/>
          <w:rFonts w:ascii="Times New Roman" w:hAnsi="Times New Roman"/>
          <w:bCs/>
          <w:color w:val="auto"/>
          <w:highlight w:val="none"/>
        </w:rPr>
        <w:t>性能要求</w:t>
      </w:r>
      <w:r>
        <w:rPr>
          <w:rFonts w:ascii="Times New Roman" w:hAnsi="Times New Roman"/>
          <w:bCs/>
          <w:highlight w:val="none"/>
        </w:rPr>
        <w:tab/>
      </w:r>
      <w:r>
        <w:rPr>
          <w:rFonts w:ascii="Times New Roman" w:hAnsi="Times New Roman"/>
          <w:bCs/>
          <w:highlight w:val="none"/>
        </w:rPr>
        <w:fldChar w:fldCharType="begin"/>
      </w:r>
      <w:r>
        <w:rPr>
          <w:rFonts w:ascii="Times New Roman" w:hAnsi="Times New Roman"/>
          <w:bCs/>
          <w:highlight w:val="none"/>
        </w:rPr>
        <w:instrText xml:space="preserve"> PAGEREF _Toc141875135 \h </w:instrText>
      </w:r>
      <w:r>
        <w:rPr>
          <w:rFonts w:ascii="Times New Roman" w:hAnsi="Times New Roman"/>
          <w:bCs/>
          <w:highlight w:val="none"/>
        </w:rPr>
        <w:fldChar w:fldCharType="separate"/>
      </w:r>
      <w:r>
        <w:rPr>
          <w:rFonts w:ascii="Times New Roman" w:hAnsi="Times New Roman"/>
          <w:bCs/>
          <w:highlight w:val="none"/>
        </w:rPr>
        <w:t>3</w:t>
      </w:r>
      <w:r>
        <w:rPr>
          <w:rFonts w:ascii="Times New Roman" w:hAnsi="Times New Roman"/>
          <w:bCs/>
          <w:highlight w:val="none"/>
        </w:rPr>
        <w:fldChar w:fldCharType="end"/>
      </w:r>
      <w:r>
        <w:rPr>
          <w:rFonts w:ascii="Times New Roman" w:hAnsi="Times New Roman"/>
          <w:bCs/>
          <w:highlight w:val="none"/>
        </w:rPr>
        <w:fldChar w:fldCharType="end"/>
      </w:r>
    </w:p>
    <w:p w14:paraId="3AFDA4A7">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"_Toc141875136" </w:instrText>
      </w:r>
      <w:r>
        <w:rPr>
          <w:highlight w:val="none"/>
        </w:rPr>
        <w:fldChar w:fldCharType="separate"/>
      </w:r>
      <w:r>
        <w:rPr>
          <w:rStyle w:val="23"/>
          <w:bCs/>
          <w:color w:val="auto"/>
          <w:highlight w:val="none"/>
        </w:rPr>
        <w:t>4.1</w:t>
      </w:r>
      <w:r>
        <w:rPr>
          <w:rFonts w:eastAsiaTheme="minorEastAsia"/>
          <w:bCs/>
          <w:color w:val="auto"/>
          <w:kern w:val="2"/>
          <w:szCs w:val="22"/>
          <w:highlight w:val="none"/>
          <w14:ligatures w14:val="standardContextual"/>
        </w:rPr>
        <w:tab/>
      </w:r>
      <w:r>
        <w:rPr>
          <w:rStyle w:val="23"/>
          <w:bCs/>
          <w:color w:val="auto"/>
          <w:highlight w:val="none"/>
        </w:rPr>
        <w:t>一般规定</w:t>
      </w:r>
      <w:r>
        <w:rPr>
          <w:bCs/>
          <w:color w:val="auto"/>
          <w:highlight w:val="none"/>
        </w:rPr>
        <w:tab/>
      </w:r>
      <w:r>
        <w:rPr>
          <w:bCs/>
          <w:color w:val="auto"/>
          <w:highlight w:val="none"/>
        </w:rPr>
        <w:fldChar w:fldCharType="begin"/>
      </w:r>
      <w:r>
        <w:rPr>
          <w:bCs/>
          <w:color w:val="auto"/>
          <w:highlight w:val="none"/>
        </w:rPr>
        <w:instrText xml:space="preserve"> PAGEREF _Toc141875136 \h </w:instrText>
      </w:r>
      <w:r>
        <w:rPr>
          <w:bCs/>
          <w:color w:val="auto"/>
          <w:highlight w:val="none"/>
        </w:rPr>
        <w:fldChar w:fldCharType="separate"/>
      </w:r>
      <w:r>
        <w:rPr>
          <w:bCs/>
          <w:color w:val="auto"/>
          <w:highlight w:val="none"/>
        </w:rPr>
        <w:t>3</w:t>
      </w:r>
      <w:r>
        <w:rPr>
          <w:bCs/>
          <w:color w:val="auto"/>
          <w:highlight w:val="none"/>
        </w:rPr>
        <w:fldChar w:fldCharType="end"/>
      </w:r>
      <w:r>
        <w:rPr>
          <w:bCs/>
          <w:color w:val="auto"/>
          <w:highlight w:val="none"/>
        </w:rPr>
        <w:fldChar w:fldCharType="end"/>
      </w:r>
    </w:p>
    <w:p w14:paraId="0F094945">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"_Toc141875137" </w:instrText>
      </w:r>
      <w:r>
        <w:rPr>
          <w:highlight w:val="none"/>
        </w:rPr>
        <w:fldChar w:fldCharType="separate"/>
      </w:r>
      <w:r>
        <w:rPr>
          <w:rStyle w:val="23"/>
          <w:bCs/>
          <w:color w:val="auto"/>
          <w:highlight w:val="none"/>
        </w:rPr>
        <w:t>4.2</w:t>
      </w:r>
      <w:r>
        <w:rPr>
          <w:rFonts w:eastAsiaTheme="minorEastAsia"/>
          <w:bCs/>
          <w:color w:val="auto"/>
          <w:kern w:val="2"/>
          <w:szCs w:val="22"/>
          <w:highlight w:val="none"/>
          <w14:ligatures w14:val="standardContextual"/>
        </w:rPr>
        <w:tab/>
      </w:r>
      <w:r>
        <w:rPr>
          <w:rStyle w:val="23"/>
          <w:bCs/>
          <w:color w:val="auto"/>
          <w:highlight w:val="none"/>
        </w:rPr>
        <w:t>系统</w:t>
      </w:r>
      <w:r>
        <w:rPr>
          <w:bCs/>
          <w:color w:val="auto"/>
          <w:highlight w:val="none"/>
        </w:rPr>
        <w:tab/>
      </w:r>
      <w:r>
        <w:rPr>
          <w:bCs/>
          <w:color w:val="auto"/>
          <w:highlight w:val="none"/>
        </w:rPr>
        <w:fldChar w:fldCharType="begin"/>
      </w:r>
      <w:r>
        <w:rPr>
          <w:bCs/>
          <w:color w:val="auto"/>
          <w:highlight w:val="none"/>
        </w:rPr>
        <w:instrText xml:space="preserve"> PAGEREF _Toc141875137 \h </w:instrText>
      </w:r>
      <w:r>
        <w:rPr>
          <w:bCs/>
          <w:color w:val="auto"/>
          <w:highlight w:val="none"/>
        </w:rPr>
        <w:fldChar w:fldCharType="separate"/>
      </w:r>
      <w:r>
        <w:rPr>
          <w:bCs/>
          <w:color w:val="auto"/>
          <w:highlight w:val="none"/>
        </w:rPr>
        <w:t>3</w:t>
      </w:r>
      <w:r>
        <w:rPr>
          <w:bCs/>
          <w:color w:val="auto"/>
          <w:highlight w:val="none"/>
        </w:rPr>
        <w:fldChar w:fldCharType="end"/>
      </w:r>
      <w:r>
        <w:rPr>
          <w:bCs/>
          <w:color w:val="auto"/>
          <w:highlight w:val="none"/>
        </w:rPr>
        <w:fldChar w:fldCharType="end"/>
      </w:r>
    </w:p>
    <w:p w14:paraId="06FC9AE8">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"_Toc141875138" </w:instrText>
      </w:r>
      <w:r>
        <w:rPr>
          <w:highlight w:val="none"/>
        </w:rPr>
        <w:fldChar w:fldCharType="separate"/>
      </w:r>
      <w:r>
        <w:rPr>
          <w:rStyle w:val="23"/>
          <w:bCs/>
          <w:color w:val="auto"/>
          <w:highlight w:val="none"/>
        </w:rPr>
        <w:t>4.3</w:t>
      </w:r>
      <w:r>
        <w:rPr>
          <w:rFonts w:eastAsiaTheme="minorEastAsia"/>
          <w:bCs/>
          <w:color w:val="auto"/>
          <w:kern w:val="2"/>
          <w:szCs w:val="22"/>
          <w:highlight w:val="none"/>
          <w14:ligatures w14:val="standardContextual"/>
        </w:rPr>
        <w:tab/>
      </w:r>
      <w:r>
        <w:rPr>
          <w:rStyle w:val="23"/>
          <w:bCs/>
          <w:color w:val="auto"/>
          <w:highlight w:val="none"/>
        </w:rPr>
        <w:t>保温材料</w:t>
      </w:r>
      <w:r>
        <w:rPr>
          <w:bCs/>
          <w:color w:val="auto"/>
          <w:highlight w:val="none"/>
        </w:rPr>
        <w:tab/>
      </w:r>
      <w:r>
        <w:rPr>
          <w:bCs/>
          <w:color w:val="auto"/>
          <w:highlight w:val="none"/>
        </w:rPr>
        <w:fldChar w:fldCharType="begin"/>
      </w:r>
      <w:r>
        <w:rPr>
          <w:bCs/>
          <w:color w:val="auto"/>
          <w:highlight w:val="none"/>
        </w:rPr>
        <w:instrText xml:space="preserve"> PAGEREF _Toc141875138 \h </w:instrText>
      </w:r>
      <w:r>
        <w:rPr>
          <w:bCs/>
          <w:color w:val="auto"/>
          <w:highlight w:val="none"/>
        </w:rPr>
        <w:fldChar w:fldCharType="separate"/>
      </w:r>
      <w:r>
        <w:rPr>
          <w:bCs/>
          <w:color w:val="auto"/>
          <w:highlight w:val="none"/>
        </w:rPr>
        <w:t>6</w:t>
      </w:r>
      <w:r>
        <w:rPr>
          <w:bCs/>
          <w:color w:val="auto"/>
          <w:highlight w:val="none"/>
        </w:rPr>
        <w:fldChar w:fldCharType="end"/>
      </w:r>
      <w:r>
        <w:rPr>
          <w:bCs/>
          <w:color w:val="auto"/>
          <w:highlight w:val="none"/>
        </w:rPr>
        <w:fldChar w:fldCharType="end"/>
      </w:r>
    </w:p>
    <w:p w14:paraId="33494B8C">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"_Toc141875139" </w:instrText>
      </w:r>
      <w:r>
        <w:rPr>
          <w:highlight w:val="none"/>
        </w:rPr>
        <w:fldChar w:fldCharType="separate"/>
      </w:r>
      <w:r>
        <w:rPr>
          <w:rStyle w:val="23"/>
          <w:bCs/>
          <w:color w:val="auto"/>
          <w:highlight w:val="none"/>
        </w:rPr>
        <w:t>4.4</w:t>
      </w:r>
      <w:r>
        <w:rPr>
          <w:rFonts w:eastAsiaTheme="minorEastAsia"/>
          <w:bCs/>
          <w:color w:val="auto"/>
          <w:kern w:val="2"/>
          <w:szCs w:val="22"/>
          <w:highlight w:val="none"/>
          <w14:ligatures w14:val="standardContextual"/>
        </w:rPr>
        <w:tab/>
      </w:r>
      <w:r>
        <w:rPr>
          <w:rStyle w:val="23"/>
          <w:bCs/>
          <w:color w:val="auto"/>
          <w:highlight w:val="none"/>
        </w:rPr>
        <w:t>配套材料</w:t>
      </w:r>
      <w:r>
        <w:rPr>
          <w:bCs/>
          <w:color w:val="auto"/>
          <w:highlight w:val="none"/>
        </w:rPr>
        <w:tab/>
      </w:r>
      <w:r>
        <w:rPr>
          <w:bCs/>
          <w:color w:val="auto"/>
          <w:highlight w:val="none"/>
        </w:rPr>
        <w:fldChar w:fldCharType="begin"/>
      </w:r>
      <w:r>
        <w:rPr>
          <w:bCs/>
          <w:color w:val="auto"/>
          <w:highlight w:val="none"/>
        </w:rPr>
        <w:instrText xml:space="preserve"> PAGEREF _Toc141875139 \h </w:instrText>
      </w:r>
      <w:r>
        <w:rPr>
          <w:bCs/>
          <w:color w:val="auto"/>
          <w:highlight w:val="none"/>
        </w:rPr>
        <w:fldChar w:fldCharType="separate"/>
      </w:r>
      <w:r>
        <w:rPr>
          <w:bCs/>
          <w:color w:val="auto"/>
          <w:highlight w:val="none"/>
        </w:rPr>
        <w:t>10</w:t>
      </w:r>
      <w:r>
        <w:rPr>
          <w:bCs/>
          <w:color w:val="auto"/>
          <w:highlight w:val="none"/>
        </w:rPr>
        <w:fldChar w:fldCharType="end"/>
      </w:r>
      <w:r>
        <w:rPr>
          <w:bCs/>
          <w:color w:val="auto"/>
          <w:highlight w:val="none"/>
        </w:rPr>
        <w:fldChar w:fldCharType="end"/>
      </w:r>
    </w:p>
    <w:p w14:paraId="6EBCE392">
      <w:pPr>
        <w:pStyle w:val="14"/>
        <w:tabs>
          <w:tab w:val="left" w:pos="420"/>
        </w:tabs>
        <w:rPr>
          <w:rFonts w:ascii="Times New Roman" w:hAnsi="Times New Roman" w:eastAsiaTheme="minorEastAsia"/>
          <w:bCs/>
          <w:kern w:val="2"/>
          <w:szCs w:val="22"/>
          <w:highlight w:val="none"/>
          <w14:ligatures w14:val="standardContextual"/>
        </w:rPr>
      </w:pPr>
      <w:r>
        <w:rPr>
          <w:highlight w:val="none"/>
        </w:rPr>
        <w:fldChar w:fldCharType="begin"/>
      </w:r>
      <w:r>
        <w:rPr>
          <w:highlight w:val="none"/>
        </w:rPr>
        <w:instrText xml:space="preserve"> HYPERLINK \l "_Toc141875140" </w:instrText>
      </w:r>
      <w:r>
        <w:rPr>
          <w:highlight w:val="none"/>
        </w:rPr>
        <w:fldChar w:fldCharType="separate"/>
      </w:r>
      <w:r>
        <w:rPr>
          <w:rStyle w:val="23"/>
          <w:rFonts w:ascii="Times New Roman" w:hAnsi="Times New Roman"/>
          <w:bCs/>
          <w:color w:val="auto"/>
          <w:highlight w:val="none"/>
        </w:rPr>
        <w:t>5</w:t>
      </w:r>
      <w:r>
        <w:rPr>
          <w:rFonts w:ascii="Times New Roman" w:hAnsi="Times New Roman" w:eastAsiaTheme="minorEastAsia"/>
          <w:bCs/>
          <w:kern w:val="2"/>
          <w:szCs w:val="22"/>
          <w:highlight w:val="none"/>
          <w14:ligatures w14:val="standardContextual"/>
        </w:rPr>
        <w:tab/>
      </w:r>
      <w:r>
        <w:rPr>
          <w:rStyle w:val="23"/>
          <w:rFonts w:ascii="Times New Roman" w:hAnsi="Times New Roman"/>
          <w:bCs/>
          <w:color w:val="auto"/>
          <w:highlight w:val="none"/>
        </w:rPr>
        <w:t>设计</w:t>
      </w:r>
      <w:r>
        <w:rPr>
          <w:rFonts w:ascii="Times New Roman" w:hAnsi="Times New Roman"/>
          <w:bCs/>
          <w:highlight w:val="none"/>
        </w:rPr>
        <w:tab/>
      </w:r>
      <w:r>
        <w:rPr>
          <w:rFonts w:ascii="Times New Roman" w:hAnsi="Times New Roman"/>
          <w:bCs/>
          <w:highlight w:val="none"/>
        </w:rPr>
        <w:fldChar w:fldCharType="begin"/>
      </w:r>
      <w:r>
        <w:rPr>
          <w:rFonts w:ascii="Times New Roman" w:hAnsi="Times New Roman"/>
          <w:bCs/>
          <w:highlight w:val="none"/>
        </w:rPr>
        <w:instrText xml:space="preserve"> PAGEREF _Toc141875140 \h </w:instrText>
      </w:r>
      <w:r>
        <w:rPr>
          <w:rFonts w:ascii="Times New Roman" w:hAnsi="Times New Roman"/>
          <w:bCs/>
          <w:highlight w:val="none"/>
        </w:rPr>
        <w:fldChar w:fldCharType="separate"/>
      </w:r>
      <w:r>
        <w:rPr>
          <w:rFonts w:ascii="Times New Roman" w:hAnsi="Times New Roman"/>
          <w:bCs/>
          <w:highlight w:val="none"/>
        </w:rPr>
        <w:t>18</w:t>
      </w:r>
      <w:r>
        <w:rPr>
          <w:rFonts w:ascii="Times New Roman" w:hAnsi="Times New Roman"/>
          <w:bCs/>
          <w:highlight w:val="none"/>
        </w:rPr>
        <w:fldChar w:fldCharType="end"/>
      </w:r>
      <w:r>
        <w:rPr>
          <w:rFonts w:ascii="Times New Roman" w:hAnsi="Times New Roman"/>
          <w:bCs/>
          <w:highlight w:val="none"/>
        </w:rPr>
        <w:fldChar w:fldCharType="end"/>
      </w:r>
    </w:p>
    <w:p w14:paraId="34A1B61A">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"_Toc141875141" </w:instrText>
      </w:r>
      <w:r>
        <w:rPr>
          <w:highlight w:val="none"/>
        </w:rPr>
        <w:fldChar w:fldCharType="separate"/>
      </w:r>
      <w:r>
        <w:rPr>
          <w:rStyle w:val="23"/>
          <w:bCs/>
          <w:color w:val="auto"/>
          <w:highlight w:val="none"/>
        </w:rPr>
        <w:t>5.1</w:t>
      </w:r>
      <w:r>
        <w:rPr>
          <w:rFonts w:eastAsiaTheme="minorEastAsia"/>
          <w:bCs/>
          <w:color w:val="auto"/>
          <w:kern w:val="2"/>
          <w:szCs w:val="22"/>
          <w:highlight w:val="none"/>
          <w14:ligatures w14:val="standardContextual"/>
        </w:rPr>
        <w:tab/>
      </w:r>
      <w:r>
        <w:rPr>
          <w:rStyle w:val="23"/>
          <w:bCs/>
          <w:color w:val="auto"/>
          <w:highlight w:val="none"/>
        </w:rPr>
        <w:t>一般规定</w:t>
      </w:r>
      <w:r>
        <w:rPr>
          <w:bCs/>
          <w:color w:val="auto"/>
          <w:highlight w:val="none"/>
        </w:rPr>
        <w:tab/>
      </w:r>
      <w:r>
        <w:rPr>
          <w:bCs/>
          <w:color w:val="auto"/>
          <w:highlight w:val="none"/>
        </w:rPr>
        <w:fldChar w:fldCharType="begin"/>
      </w:r>
      <w:r>
        <w:rPr>
          <w:bCs/>
          <w:color w:val="auto"/>
          <w:highlight w:val="none"/>
        </w:rPr>
        <w:instrText xml:space="preserve"> PAGEREF _Toc141875141 \h </w:instrText>
      </w:r>
      <w:r>
        <w:rPr>
          <w:bCs/>
          <w:color w:val="auto"/>
          <w:highlight w:val="none"/>
        </w:rPr>
        <w:fldChar w:fldCharType="separate"/>
      </w:r>
      <w:r>
        <w:rPr>
          <w:bCs/>
          <w:color w:val="auto"/>
          <w:highlight w:val="none"/>
        </w:rPr>
        <w:t>18</w:t>
      </w:r>
      <w:r>
        <w:rPr>
          <w:bCs/>
          <w:color w:val="auto"/>
          <w:highlight w:val="none"/>
        </w:rPr>
        <w:fldChar w:fldCharType="end"/>
      </w:r>
      <w:r>
        <w:rPr>
          <w:bCs/>
          <w:color w:val="auto"/>
          <w:highlight w:val="none"/>
        </w:rPr>
        <w:fldChar w:fldCharType="end"/>
      </w:r>
    </w:p>
    <w:p w14:paraId="60E7982F">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"_Toc141875142" </w:instrText>
      </w:r>
      <w:r>
        <w:rPr>
          <w:highlight w:val="none"/>
        </w:rPr>
        <w:fldChar w:fldCharType="separate"/>
      </w:r>
      <w:r>
        <w:rPr>
          <w:rStyle w:val="23"/>
          <w:bCs/>
          <w:color w:val="auto"/>
          <w:highlight w:val="none"/>
        </w:rPr>
        <w:t>5.2</w:t>
      </w:r>
      <w:r>
        <w:rPr>
          <w:rFonts w:eastAsiaTheme="minorEastAsia"/>
          <w:bCs/>
          <w:color w:val="auto"/>
          <w:kern w:val="2"/>
          <w:szCs w:val="22"/>
          <w:highlight w:val="none"/>
          <w14:ligatures w14:val="standardContextual"/>
        </w:rPr>
        <w:tab/>
      </w:r>
      <w:r>
        <w:rPr>
          <w:rStyle w:val="23"/>
          <w:bCs/>
          <w:color w:val="auto"/>
          <w:highlight w:val="none"/>
        </w:rPr>
        <w:t>抗风荷载设计</w:t>
      </w:r>
      <w:r>
        <w:rPr>
          <w:bCs/>
          <w:color w:val="auto"/>
          <w:highlight w:val="none"/>
        </w:rPr>
        <w:tab/>
      </w:r>
      <w:r>
        <w:rPr>
          <w:bCs/>
          <w:color w:val="auto"/>
          <w:highlight w:val="none"/>
        </w:rPr>
        <w:fldChar w:fldCharType="begin"/>
      </w:r>
      <w:r>
        <w:rPr>
          <w:bCs/>
          <w:color w:val="auto"/>
          <w:highlight w:val="none"/>
        </w:rPr>
        <w:instrText xml:space="preserve"> PAGEREF _Toc141875142 \h </w:instrText>
      </w:r>
      <w:r>
        <w:rPr>
          <w:bCs/>
          <w:color w:val="auto"/>
          <w:highlight w:val="none"/>
        </w:rPr>
        <w:fldChar w:fldCharType="separate"/>
      </w:r>
      <w:r>
        <w:rPr>
          <w:bCs/>
          <w:color w:val="auto"/>
          <w:highlight w:val="none"/>
        </w:rPr>
        <w:t>20</w:t>
      </w:r>
      <w:r>
        <w:rPr>
          <w:bCs/>
          <w:color w:val="auto"/>
          <w:highlight w:val="none"/>
        </w:rPr>
        <w:fldChar w:fldCharType="end"/>
      </w:r>
      <w:r>
        <w:rPr>
          <w:bCs/>
          <w:color w:val="auto"/>
          <w:highlight w:val="none"/>
        </w:rPr>
        <w:fldChar w:fldCharType="end"/>
      </w:r>
    </w:p>
    <w:p w14:paraId="16CD3875">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"_Toc141875143" </w:instrText>
      </w:r>
      <w:r>
        <w:rPr>
          <w:highlight w:val="none"/>
        </w:rPr>
        <w:fldChar w:fldCharType="separate"/>
      </w:r>
      <w:r>
        <w:rPr>
          <w:rStyle w:val="23"/>
          <w:bCs/>
          <w:color w:val="auto"/>
          <w:highlight w:val="none"/>
        </w:rPr>
        <w:t>5.3</w:t>
      </w:r>
      <w:r>
        <w:rPr>
          <w:rFonts w:eastAsiaTheme="minorEastAsia"/>
          <w:bCs/>
          <w:color w:val="auto"/>
          <w:kern w:val="2"/>
          <w:szCs w:val="22"/>
          <w:highlight w:val="none"/>
          <w14:ligatures w14:val="standardContextual"/>
        </w:rPr>
        <w:tab/>
      </w:r>
      <w:r>
        <w:rPr>
          <w:rStyle w:val="23"/>
          <w:bCs/>
          <w:color w:val="auto"/>
          <w:highlight w:val="none"/>
        </w:rPr>
        <w:t>套装双真空保温隔热板薄抹灰外墙外保温系统设计</w:t>
      </w:r>
      <w:r>
        <w:rPr>
          <w:bCs/>
          <w:color w:val="auto"/>
          <w:highlight w:val="none"/>
        </w:rPr>
        <w:tab/>
      </w:r>
      <w:r>
        <w:rPr>
          <w:bCs/>
          <w:color w:val="auto"/>
          <w:highlight w:val="none"/>
        </w:rPr>
        <w:fldChar w:fldCharType="begin"/>
      </w:r>
      <w:r>
        <w:rPr>
          <w:bCs/>
          <w:color w:val="auto"/>
          <w:highlight w:val="none"/>
        </w:rPr>
        <w:instrText xml:space="preserve"> PAGEREF _Toc141875143 \h </w:instrText>
      </w:r>
      <w:r>
        <w:rPr>
          <w:bCs/>
          <w:color w:val="auto"/>
          <w:highlight w:val="none"/>
        </w:rPr>
        <w:fldChar w:fldCharType="separate"/>
      </w:r>
      <w:r>
        <w:rPr>
          <w:bCs/>
          <w:color w:val="auto"/>
          <w:highlight w:val="none"/>
        </w:rPr>
        <w:t>21</w:t>
      </w:r>
      <w:r>
        <w:rPr>
          <w:bCs/>
          <w:color w:val="auto"/>
          <w:highlight w:val="none"/>
        </w:rPr>
        <w:fldChar w:fldCharType="end"/>
      </w:r>
      <w:r>
        <w:rPr>
          <w:bCs/>
          <w:color w:val="auto"/>
          <w:highlight w:val="none"/>
        </w:rPr>
        <w:fldChar w:fldCharType="end"/>
      </w:r>
    </w:p>
    <w:p w14:paraId="011C8453">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"_Toc141875144" </w:instrText>
      </w:r>
      <w:r>
        <w:rPr>
          <w:highlight w:val="none"/>
        </w:rPr>
        <w:fldChar w:fldCharType="separate"/>
      </w:r>
      <w:r>
        <w:rPr>
          <w:rStyle w:val="23"/>
          <w:bCs/>
          <w:color w:val="auto"/>
          <w:highlight w:val="none"/>
        </w:rPr>
        <w:t>5.4</w:t>
      </w:r>
      <w:r>
        <w:rPr>
          <w:rFonts w:eastAsiaTheme="minorEastAsia"/>
          <w:bCs/>
          <w:color w:val="auto"/>
          <w:kern w:val="2"/>
          <w:szCs w:val="22"/>
          <w:highlight w:val="none"/>
          <w14:ligatures w14:val="standardContextual"/>
        </w:rPr>
        <w:tab/>
      </w:r>
      <w:r>
        <w:rPr>
          <w:rStyle w:val="23"/>
          <w:bCs/>
          <w:color w:val="auto"/>
          <w:highlight w:val="none"/>
        </w:rPr>
        <w:t>套装双真空保温隔热板薄抹灰外墙内保温系统设计</w:t>
      </w:r>
      <w:r>
        <w:rPr>
          <w:bCs/>
          <w:color w:val="auto"/>
          <w:highlight w:val="none"/>
        </w:rPr>
        <w:tab/>
      </w:r>
      <w:r>
        <w:rPr>
          <w:bCs/>
          <w:color w:val="auto"/>
          <w:highlight w:val="none"/>
        </w:rPr>
        <w:fldChar w:fldCharType="begin"/>
      </w:r>
      <w:r>
        <w:rPr>
          <w:bCs/>
          <w:color w:val="auto"/>
          <w:highlight w:val="none"/>
        </w:rPr>
        <w:instrText xml:space="preserve"> PAGEREF _Toc141875144 \h </w:instrText>
      </w:r>
      <w:r>
        <w:rPr>
          <w:bCs/>
          <w:color w:val="auto"/>
          <w:highlight w:val="none"/>
        </w:rPr>
        <w:fldChar w:fldCharType="separate"/>
      </w:r>
      <w:r>
        <w:rPr>
          <w:bCs/>
          <w:color w:val="auto"/>
          <w:highlight w:val="none"/>
        </w:rPr>
        <w:t>24</w:t>
      </w:r>
      <w:r>
        <w:rPr>
          <w:bCs/>
          <w:color w:val="auto"/>
          <w:highlight w:val="none"/>
        </w:rPr>
        <w:fldChar w:fldCharType="end"/>
      </w:r>
      <w:r>
        <w:rPr>
          <w:bCs/>
          <w:color w:val="auto"/>
          <w:highlight w:val="none"/>
        </w:rPr>
        <w:fldChar w:fldCharType="end"/>
      </w:r>
    </w:p>
    <w:p w14:paraId="52288D37">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"_Toc141875145" </w:instrText>
      </w:r>
      <w:r>
        <w:rPr>
          <w:highlight w:val="none"/>
        </w:rPr>
        <w:fldChar w:fldCharType="separate"/>
      </w:r>
      <w:r>
        <w:rPr>
          <w:rStyle w:val="23"/>
          <w:bCs/>
          <w:color w:val="auto"/>
          <w:highlight w:val="none"/>
        </w:rPr>
        <w:t>5.5</w:t>
      </w:r>
      <w:r>
        <w:rPr>
          <w:rFonts w:eastAsiaTheme="minorEastAsia"/>
          <w:bCs/>
          <w:color w:val="auto"/>
          <w:kern w:val="2"/>
          <w:szCs w:val="22"/>
          <w:highlight w:val="none"/>
          <w14:ligatures w14:val="standardContextual"/>
        </w:rPr>
        <w:tab/>
      </w:r>
      <w:r>
        <w:rPr>
          <w:rStyle w:val="23"/>
          <w:bCs/>
          <w:color w:val="auto"/>
          <w:highlight w:val="none"/>
        </w:rPr>
        <w:t>套装双真空保温隔热装饰板外墙外保温系统设计</w:t>
      </w:r>
      <w:r>
        <w:rPr>
          <w:bCs/>
          <w:color w:val="auto"/>
          <w:highlight w:val="none"/>
        </w:rPr>
        <w:tab/>
      </w:r>
      <w:r>
        <w:rPr>
          <w:bCs/>
          <w:color w:val="auto"/>
          <w:highlight w:val="none"/>
        </w:rPr>
        <w:fldChar w:fldCharType="begin"/>
      </w:r>
      <w:r>
        <w:rPr>
          <w:bCs/>
          <w:color w:val="auto"/>
          <w:highlight w:val="none"/>
        </w:rPr>
        <w:instrText xml:space="preserve"> PAGEREF _Toc141875145 \h </w:instrText>
      </w:r>
      <w:r>
        <w:rPr>
          <w:bCs/>
          <w:color w:val="auto"/>
          <w:highlight w:val="none"/>
        </w:rPr>
        <w:fldChar w:fldCharType="separate"/>
      </w:r>
      <w:r>
        <w:rPr>
          <w:bCs/>
          <w:color w:val="auto"/>
          <w:highlight w:val="none"/>
        </w:rPr>
        <w:t>26</w:t>
      </w:r>
      <w:r>
        <w:rPr>
          <w:bCs/>
          <w:color w:val="auto"/>
          <w:highlight w:val="none"/>
        </w:rPr>
        <w:fldChar w:fldCharType="end"/>
      </w:r>
      <w:r>
        <w:rPr>
          <w:bCs/>
          <w:color w:val="auto"/>
          <w:highlight w:val="none"/>
        </w:rPr>
        <w:fldChar w:fldCharType="end"/>
      </w:r>
    </w:p>
    <w:p w14:paraId="0A7DD1BC">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"_Toc141875146" </w:instrText>
      </w:r>
      <w:r>
        <w:rPr>
          <w:highlight w:val="none"/>
        </w:rPr>
        <w:fldChar w:fldCharType="separate"/>
      </w:r>
      <w:r>
        <w:rPr>
          <w:rStyle w:val="23"/>
          <w:bCs/>
          <w:color w:val="auto"/>
          <w:highlight w:val="none"/>
        </w:rPr>
        <w:t>5.6</w:t>
      </w:r>
      <w:r>
        <w:rPr>
          <w:rFonts w:eastAsiaTheme="minorEastAsia"/>
          <w:bCs/>
          <w:color w:val="auto"/>
          <w:kern w:val="2"/>
          <w:szCs w:val="22"/>
          <w:highlight w:val="none"/>
          <w14:ligatures w14:val="standardContextual"/>
        </w:rPr>
        <w:tab/>
      </w:r>
      <w:r>
        <w:rPr>
          <w:rStyle w:val="23"/>
          <w:bCs/>
          <w:color w:val="auto"/>
          <w:highlight w:val="none"/>
        </w:rPr>
        <w:t>套装双真空保温隔热装饰板外墙内保温系统设计</w:t>
      </w:r>
      <w:r>
        <w:rPr>
          <w:bCs/>
          <w:color w:val="auto"/>
          <w:highlight w:val="none"/>
        </w:rPr>
        <w:tab/>
      </w:r>
      <w:r>
        <w:rPr>
          <w:bCs/>
          <w:color w:val="auto"/>
          <w:highlight w:val="none"/>
        </w:rPr>
        <w:fldChar w:fldCharType="begin"/>
      </w:r>
      <w:r>
        <w:rPr>
          <w:bCs/>
          <w:color w:val="auto"/>
          <w:highlight w:val="none"/>
        </w:rPr>
        <w:instrText xml:space="preserve"> PAGEREF _Toc141875146 \h </w:instrText>
      </w:r>
      <w:r>
        <w:rPr>
          <w:bCs/>
          <w:color w:val="auto"/>
          <w:highlight w:val="none"/>
        </w:rPr>
        <w:fldChar w:fldCharType="separate"/>
      </w:r>
      <w:r>
        <w:rPr>
          <w:bCs/>
          <w:color w:val="auto"/>
          <w:highlight w:val="none"/>
        </w:rPr>
        <w:t>28</w:t>
      </w:r>
      <w:r>
        <w:rPr>
          <w:bCs/>
          <w:color w:val="auto"/>
          <w:highlight w:val="none"/>
        </w:rPr>
        <w:fldChar w:fldCharType="end"/>
      </w:r>
      <w:r>
        <w:rPr>
          <w:bCs/>
          <w:color w:val="auto"/>
          <w:highlight w:val="none"/>
        </w:rPr>
        <w:fldChar w:fldCharType="end"/>
      </w:r>
    </w:p>
    <w:p w14:paraId="0AFD5A83">
      <w:pPr>
        <w:pStyle w:val="14"/>
        <w:tabs>
          <w:tab w:val="left" w:pos="420"/>
        </w:tabs>
        <w:rPr>
          <w:rFonts w:ascii="Times New Roman" w:hAnsi="Times New Roman" w:eastAsiaTheme="minorEastAsia"/>
          <w:bCs/>
          <w:kern w:val="2"/>
          <w:szCs w:val="22"/>
          <w:highlight w:val="none"/>
          <w14:ligatures w14:val="standardContextual"/>
        </w:rPr>
      </w:pPr>
      <w:r>
        <w:rPr>
          <w:highlight w:val="none"/>
        </w:rPr>
        <w:fldChar w:fldCharType="begin"/>
      </w:r>
      <w:r>
        <w:rPr>
          <w:highlight w:val="none"/>
        </w:rPr>
        <w:instrText xml:space="preserve"> HYPERLINK \l "_Toc141875147" </w:instrText>
      </w:r>
      <w:r>
        <w:rPr>
          <w:highlight w:val="none"/>
        </w:rPr>
        <w:fldChar w:fldCharType="separate"/>
      </w:r>
      <w:r>
        <w:rPr>
          <w:rStyle w:val="23"/>
          <w:rFonts w:ascii="Times New Roman" w:hAnsi="Times New Roman"/>
          <w:bCs/>
          <w:color w:val="auto"/>
          <w:highlight w:val="none"/>
        </w:rPr>
        <w:t>6</w:t>
      </w:r>
      <w:r>
        <w:rPr>
          <w:rFonts w:ascii="Times New Roman" w:hAnsi="Times New Roman" w:eastAsiaTheme="minorEastAsia"/>
          <w:bCs/>
          <w:kern w:val="2"/>
          <w:szCs w:val="22"/>
          <w:highlight w:val="none"/>
          <w14:ligatures w14:val="standardContextual"/>
        </w:rPr>
        <w:tab/>
      </w:r>
      <w:r>
        <w:rPr>
          <w:rStyle w:val="23"/>
          <w:rFonts w:ascii="Times New Roman" w:hAnsi="Times New Roman"/>
          <w:bCs/>
          <w:color w:val="auto"/>
          <w:highlight w:val="none"/>
        </w:rPr>
        <w:t>施工</w:t>
      </w:r>
      <w:r>
        <w:rPr>
          <w:rFonts w:ascii="Times New Roman" w:hAnsi="Times New Roman"/>
          <w:bCs/>
          <w:highlight w:val="none"/>
        </w:rPr>
        <w:tab/>
      </w:r>
      <w:r>
        <w:rPr>
          <w:rFonts w:ascii="Times New Roman" w:hAnsi="Times New Roman"/>
          <w:bCs/>
          <w:highlight w:val="none"/>
        </w:rPr>
        <w:fldChar w:fldCharType="begin"/>
      </w:r>
      <w:r>
        <w:rPr>
          <w:rFonts w:ascii="Times New Roman" w:hAnsi="Times New Roman"/>
          <w:bCs/>
          <w:highlight w:val="none"/>
        </w:rPr>
        <w:instrText xml:space="preserve"> PAGEREF _Toc141875147 \h </w:instrText>
      </w:r>
      <w:r>
        <w:rPr>
          <w:rFonts w:ascii="Times New Roman" w:hAnsi="Times New Roman"/>
          <w:bCs/>
          <w:highlight w:val="none"/>
        </w:rPr>
        <w:fldChar w:fldCharType="separate"/>
      </w:r>
      <w:r>
        <w:rPr>
          <w:rFonts w:ascii="Times New Roman" w:hAnsi="Times New Roman"/>
          <w:bCs/>
          <w:highlight w:val="none"/>
        </w:rPr>
        <w:t>31</w:t>
      </w:r>
      <w:r>
        <w:rPr>
          <w:rFonts w:ascii="Times New Roman" w:hAnsi="Times New Roman"/>
          <w:bCs/>
          <w:highlight w:val="none"/>
        </w:rPr>
        <w:fldChar w:fldCharType="end"/>
      </w:r>
      <w:r>
        <w:rPr>
          <w:rFonts w:ascii="Times New Roman" w:hAnsi="Times New Roman"/>
          <w:bCs/>
          <w:highlight w:val="none"/>
        </w:rPr>
        <w:fldChar w:fldCharType="end"/>
      </w:r>
    </w:p>
    <w:p w14:paraId="486413FE">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"_Toc141875148" </w:instrText>
      </w:r>
      <w:r>
        <w:rPr>
          <w:highlight w:val="none"/>
        </w:rPr>
        <w:fldChar w:fldCharType="separate"/>
      </w:r>
      <w:r>
        <w:rPr>
          <w:rStyle w:val="23"/>
          <w:bCs/>
          <w:color w:val="auto"/>
          <w:highlight w:val="none"/>
        </w:rPr>
        <w:t>6.1</w:t>
      </w:r>
      <w:r>
        <w:rPr>
          <w:rFonts w:eastAsiaTheme="minorEastAsia"/>
          <w:bCs/>
          <w:color w:val="auto"/>
          <w:kern w:val="2"/>
          <w:szCs w:val="22"/>
          <w:highlight w:val="none"/>
          <w14:ligatures w14:val="standardContextual"/>
        </w:rPr>
        <w:tab/>
      </w:r>
      <w:r>
        <w:rPr>
          <w:rStyle w:val="23"/>
          <w:bCs/>
          <w:color w:val="auto"/>
          <w:highlight w:val="none"/>
        </w:rPr>
        <w:t>一般规定</w:t>
      </w:r>
      <w:r>
        <w:rPr>
          <w:bCs/>
          <w:color w:val="auto"/>
          <w:highlight w:val="none"/>
        </w:rPr>
        <w:tab/>
      </w:r>
      <w:r>
        <w:rPr>
          <w:bCs/>
          <w:color w:val="auto"/>
          <w:highlight w:val="none"/>
        </w:rPr>
        <w:fldChar w:fldCharType="begin"/>
      </w:r>
      <w:r>
        <w:rPr>
          <w:bCs/>
          <w:color w:val="auto"/>
          <w:highlight w:val="none"/>
        </w:rPr>
        <w:instrText xml:space="preserve"> PAGEREF _Toc141875148 \h </w:instrText>
      </w:r>
      <w:r>
        <w:rPr>
          <w:bCs/>
          <w:color w:val="auto"/>
          <w:highlight w:val="none"/>
        </w:rPr>
        <w:fldChar w:fldCharType="separate"/>
      </w:r>
      <w:r>
        <w:rPr>
          <w:bCs/>
          <w:color w:val="auto"/>
          <w:highlight w:val="none"/>
        </w:rPr>
        <w:t>31</w:t>
      </w:r>
      <w:r>
        <w:rPr>
          <w:bCs/>
          <w:color w:val="auto"/>
          <w:highlight w:val="none"/>
        </w:rPr>
        <w:fldChar w:fldCharType="end"/>
      </w:r>
      <w:r>
        <w:rPr>
          <w:bCs/>
          <w:color w:val="auto"/>
          <w:highlight w:val="none"/>
        </w:rPr>
        <w:fldChar w:fldCharType="end"/>
      </w:r>
    </w:p>
    <w:p w14:paraId="7394B4E4">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"_Toc141875149" </w:instrText>
      </w:r>
      <w:r>
        <w:rPr>
          <w:highlight w:val="none"/>
        </w:rPr>
        <w:fldChar w:fldCharType="separate"/>
      </w:r>
      <w:r>
        <w:rPr>
          <w:rStyle w:val="23"/>
          <w:bCs/>
          <w:color w:val="auto"/>
          <w:highlight w:val="none"/>
        </w:rPr>
        <w:t>6.2</w:t>
      </w:r>
      <w:r>
        <w:rPr>
          <w:rFonts w:eastAsiaTheme="minorEastAsia"/>
          <w:bCs/>
          <w:color w:val="auto"/>
          <w:kern w:val="2"/>
          <w:szCs w:val="22"/>
          <w:highlight w:val="none"/>
          <w14:ligatures w14:val="standardContextual"/>
        </w:rPr>
        <w:tab/>
      </w:r>
      <w:r>
        <w:rPr>
          <w:rStyle w:val="23"/>
          <w:bCs/>
          <w:color w:val="auto"/>
          <w:highlight w:val="none"/>
        </w:rPr>
        <w:t>套装双真空保温隔热板薄抹灰外墙外保温工程</w:t>
      </w:r>
      <w:r>
        <w:rPr>
          <w:bCs/>
          <w:color w:val="auto"/>
          <w:highlight w:val="none"/>
        </w:rPr>
        <w:tab/>
      </w:r>
      <w:r>
        <w:rPr>
          <w:bCs/>
          <w:color w:val="auto"/>
          <w:highlight w:val="none"/>
        </w:rPr>
        <w:fldChar w:fldCharType="begin"/>
      </w:r>
      <w:r>
        <w:rPr>
          <w:bCs/>
          <w:color w:val="auto"/>
          <w:highlight w:val="none"/>
        </w:rPr>
        <w:instrText xml:space="preserve"> PAGEREF _Toc141875149 \h </w:instrText>
      </w:r>
      <w:r>
        <w:rPr>
          <w:bCs/>
          <w:color w:val="auto"/>
          <w:highlight w:val="none"/>
        </w:rPr>
        <w:fldChar w:fldCharType="separate"/>
      </w:r>
      <w:r>
        <w:rPr>
          <w:bCs/>
          <w:color w:val="auto"/>
          <w:highlight w:val="none"/>
        </w:rPr>
        <w:t>32</w:t>
      </w:r>
      <w:r>
        <w:rPr>
          <w:bCs/>
          <w:color w:val="auto"/>
          <w:highlight w:val="none"/>
        </w:rPr>
        <w:fldChar w:fldCharType="end"/>
      </w:r>
      <w:r>
        <w:rPr>
          <w:bCs/>
          <w:color w:val="auto"/>
          <w:highlight w:val="none"/>
        </w:rPr>
        <w:fldChar w:fldCharType="end"/>
      </w:r>
    </w:p>
    <w:p w14:paraId="1D359CF6">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"_Toc141875150" </w:instrText>
      </w:r>
      <w:r>
        <w:rPr>
          <w:highlight w:val="none"/>
        </w:rPr>
        <w:fldChar w:fldCharType="separate"/>
      </w:r>
      <w:r>
        <w:rPr>
          <w:rStyle w:val="23"/>
          <w:bCs/>
          <w:color w:val="auto"/>
          <w:highlight w:val="none"/>
        </w:rPr>
        <w:t>6.3</w:t>
      </w:r>
      <w:r>
        <w:rPr>
          <w:rFonts w:eastAsiaTheme="minorEastAsia"/>
          <w:bCs/>
          <w:color w:val="auto"/>
          <w:kern w:val="2"/>
          <w:szCs w:val="22"/>
          <w:highlight w:val="none"/>
          <w14:ligatures w14:val="standardContextual"/>
        </w:rPr>
        <w:tab/>
      </w:r>
      <w:r>
        <w:rPr>
          <w:rStyle w:val="23"/>
          <w:bCs/>
          <w:color w:val="auto"/>
          <w:highlight w:val="none"/>
        </w:rPr>
        <w:t>套装双真空保温隔热板薄抹灰外墙内保温工程</w:t>
      </w:r>
      <w:r>
        <w:rPr>
          <w:bCs/>
          <w:color w:val="auto"/>
          <w:highlight w:val="none"/>
        </w:rPr>
        <w:tab/>
      </w:r>
      <w:r>
        <w:rPr>
          <w:bCs/>
          <w:color w:val="auto"/>
          <w:highlight w:val="none"/>
        </w:rPr>
        <w:fldChar w:fldCharType="begin"/>
      </w:r>
      <w:r>
        <w:rPr>
          <w:bCs/>
          <w:color w:val="auto"/>
          <w:highlight w:val="none"/>
        </w:rPr>
        <w:instrText xml:space="preserve"> PAGEREF _Toc141875150 \h </w:instrText>
      </w:r>
      <w:r>
        <w:rPr>
          <w:bCs/>
          <w:color w:val="auto"/>
          <w:highlight w:val="none"/>
        </w:rPr>
        <w:fldChar w:fldCharType="separate"/>
      </w:r>
      <w:r>
        <w:rPr>
          <w:bCs/>
          <w:color w:val="auto"/>
          <w:highlight w:val="none"/>
        </w:rPr>
        <w:t>36</w:t>
      </w:r>
      <w:r>
        <w:rPr>
          <w:bCs/>
          <w:color w:val="auto"/>
          <w:highlight w:val="none"/>
        </w:rPr>
        <w:fldChar w:fldCharType="end"/>
      </w:r>
      <w:r>
        <w:rPr>
          <w:bCs/>
          <w:color w:val="auto"/>
          <w:highlight w:val="none"/>
        </w:rPr>
        <w:fldChar w:fldCharType="end"/>
      </w:r>
    </w:p>
    <w:p w14:paraId="29F51A33">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"_Toc141875151" </w:instrText>
      </w:r>
      <w:r>
        <w:rPr>
          <w:highlight w:val="none"/>
        </w:rPr>
        <w:fldChar w:fldCharType="separate"/>
      </w:r>
      <w:r>
        <w:rPr>
          <w:rStyle w:val="23"/>
          <w:bCs/>
          <w:color w:val="auto"/>
          <w:highlight w:val="none"/>
        </w:rPr>
        <w:t>6.4</w:t>
      </w:r>
      <w:r>
        <w:rPr>
          <w:rFonts w:eastAsiaTheme="minorEastAsia"/>
          <w:bCs/>
          <w:color w:val="auto"/>
          <w:kern w:val="2"/>
          <w:szCs w:val="22"/>
          <w:highlight w:val="none"/>
          <w14:ligatures w14:val="standardContextual"/>
        </w:rPr>
        <w:tab/>
      </w:r>
      <w:r>
        <w:rPr>
          <w:rStyle w:val="23"/>
          <w:bCs/>
          <w:color w:val="auto"/>
          <w:highlight w:val="none"/>
        </w:rPr>
        <w:t>套装双真空保温隔热装饰板外墙外保温工程</w:t>
      </w:r>
      <w:r>
        <w:rPr>
          <w:bCs/>
          <w:color w:val="auto"/>
          <w:highlight w:val="none"/>
        </w:rPr>
        <w:tab/>
      </w:r>
      <w:r>
        <w:rPr>
          <w:bCs/>
          <w:color w:val="auto"/>
          <w:highlight w:val="none"/>
        </w:rPr>
        <w:fldChar w:fldCharType="begin"/>
      </w:r>
      <w:r>
        <w:rPr>
          <w:bCs/>
          <w:color w:val="auto"/>
          <w:highlight w:val="none"/>
        </w:rPr>
        <w:instrText xml:space="preserve"> PAGEREF _Toc141875151 \h </w:instrText>
      </w:r>
      <w:r>
        <w:rPr>
          <w:bCs/>
          <w:color w:val="auto"/>
          <w:highlight w:val="none"/>
        </w:rPr>
        <w:fldChar w:fldCharType="separate"/>
      </w:r>
      <w:r>
        <w:rPr>
          <w:bCs/>
          <w:color w:val="auto"/>
          <w:highlight w:val="none"/>
        </w:rPr>
        <w:t>37</w:t>
      </w:r>
      <w:r>
        <w:rPr>
          <w:bCs/>
          <w:color w:val="auto"/>
          <w:highlight w:val="none"/>
        </w:rPr>
        <w:fldChar w:fldCharType="end"/>
      </w:r>
      <w:r>
        <w:rPr>
          <w:bCs/>
          <w:color w:val="auto"/>
          <w:highlight w:val="none"/>
        </w:rPr>
        <w:fldChar w:fldCharType="end"/>
      </w:r>
    </w:p>
    <w:p w14:paraId="0115C103">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"_Toc141875152" </w:instrText>
      </w:r>
      <w:r>
        <w:rPr>
          <w:highlight w:val="none"/>
        </w:rPr>
        <w:fldChar w:fldCharType="separate"/>
      </w:r>
      <w:r>
        <w:rPr>
          <w:rStyle w:val="23"/>
          <w:bCs/>
          <w:color w:val="auto"/>
          <w:highlight w:val="none"/>
        </w:rPr>
        <w:t>6.5</w:t>
      </w:r>
      <w:r>
        <w:rPr>
          <w:rFonts w:eastAsiaTheme="minorEastAsia"/>
          <w:bCs/>
          <w:color w:val="auto"/>
          <w:kern w:val="2"/>
          <w:szCs w:val="22"/>
          <w:highlight w:val="none"/>
          <w14:ligatures w14:val="standardContextual"/>
        </w:rPr>
        <w:tab/>
      </w:r>
      <w:r>
        <w:rPr>
          <w:rStyle w:val="23"/>
          <w:bCs/>
          <w:color w:val="auto"/>
          <w:highlight w:val="none"/>
        </w:rPr>
        <w:t>套装双真空保温隔热装饰板外墙内保温工程</w:t>
      </w:r>
      <w:r>
        <w:rPr>
          <w:bCs/>
          <w:color w:val="auto"/>
          <w:highlight w:val="none"/>
        </w:rPr>
        <w:tab/>
      </w:r>
      <w:r>
        <w:rPr>
          <w:bCs/>
          <w:color w:val="auto"/>
          <w:highlight w:val="none"/>
        </w:rPr>
        <w:fldChar w:fldCharType="begin"/>
      </w:r>
      <w:r>
        <w:rPr>
          <w:bCs/>
          <w:color w:val="auto"/>
          <w:highlight w:val="none"/>
        </w:rPr>
        <w:instrText xml:space="preserve"> PAGEREF _Toc141875152 \h </w:instrText>
      </w:r>
      <w:r>
        <w:rPr>
          <w:bCs/>
          <w:color w:val="auto"/>
          <w:highlight w:val="none"/>
        </w:rPr>
        <w:fldChar w:fldCharType="separate"/>
      </w:r>
      <w:r>
        <w:rPr>
          <w:bCs/>
          <w:color w:val="auto"/>
          <w:highlight w:val="none"/>
        </w:rPr>
        <w:t>40</w:t>
      </w:r>
      <w:r>
        <w:rPr>
          <w:bCs/>
          <w:color w:val="auto"/>
          <w:highlight w:val="none"/>
        </w:rPr>
        <w:fldChar w:fldCharType="end"/>
      </w:r>
      <w:r>
        <w:rPr>
          <w:bCs/>
          <w:color w:val="auto"/>
          <w:highlight w:val="none"/>
        </w:rPr>
        <w:fldChar w:fldCharType="end"/>
      </w:r>
    </w:p>
    <w:p w14:paraId="0FC47670">
      <w:pPr>
        <w:pStyle w:val="14"/>
        <w:tabs>
          <w:tab w:val="left" w:pos="420"/>
        </w:tabs>
        <w:rPr>
          <w:rFonts w:ascii="Times New Roman" w:hAnsi="Times New Roman" w:eastAsiaTheme="minorEastAsia"/>
          <w:bCs/>
          <w:kern w:val="2"/>
          <w:szCs w:val="22"/>
          <w:highlight w:val="none"/>
          <w14:ligatures w14:val="standardContextual"/>
        </w:rPr>
      </w:pPr>
      <w:r>
        <w:rPr>
          <w:highlight w:val="none"/>
        </w:rPr>
        <w:fldChar w:fldCharType="begin"/>
      </w:r>
      <w:r>
        <w:rPr>
          <w:highlight w:val="none"/>
        </w:rPr>
        <w:instrText xml:space="preserve"> HYPERLINK \l "_Toc141875153" </w:instrText>
      </w:r>
      <w:r>
        <w:rPr>
          <w:highlight w:val="none"/>
        </w:rPr>
        <w:fldChar w:fldCharType="separate"/>
      </w:r>
      <w:r>
        <w:rPr>
          <w:rStyle w:val="23"/>
          <w:rFonts w:ascii="Times New Roman" w:hAnsi="Times New Roman"/>
          <w:bCs/>
          <w:color w:val="auto"/>
          <w:highlight w:val="none"/>
        </w:rPr>
        <w:t>7</w:t>
      </w:r>
      <w:r>
        <w:rPr>
          <w:rFonts w:ascii="Times New Roman" w:hAnsi="Times New Roman" w:eastAsiaTheme="minorEastAsia"/>
          <w:bCs/>
          <w:kern w:val="2"/>
          <w:szCs w:val="22"/>
          <w:highlight w:val="none"/>
          <w14:ligatures w14:val="standardContextual"/>
        </w:rPr>
        <w:tab/>
      </w:r>
      <w:r>
        <w:rPr>
          <w:rStyle w:val="23"/>
          <w:rFonts w:ascii="Times New Roman" w:hAnsi="Times New Roman"/>
          <w:bCs/>
          <w:color w:val="auto"/>
          <w:highlight w:val="none"/>
        </w:rPr>
        <w:t>质量验收</w:t>
      </w:r>
      <w:r>
        <w:rPr>
          <w:rFonts w:ascii="Times New Roman" w:hAnsi="Times New Roman"/>
          <w:bCs/>
          <w:highlight w:val="none"/>
        </w:rPr>
        <w:tab/>
      </w:r>
      <w:r>
        <w:rPr>
          <w:rFonts w:ascii="Times New Roman" w:hAnsi="Times New Roman"/>
          <w:bCs/>
          <w:highlight w:val="none"/>
        </w:rPr>
        <w:fldChar w:fldCharType="begin"/>
      </w:r>
      <w:r>
        <w:rPr>
          <w:rFonts w:ascii="Times New Roman" w:hAnsi="Times New Roman"/>
          <w:bCs/>
          <w:highlight w:val="none"/>
        </w:rPr>
        <w:instrText xml:space="preserve"> PAGEREF _Toc141875153 \h </w:instrText>
      </w:r>
      <w:r>
        <w:rPr>
          <w:rFonts w:ascii="Times New Roman" w:hAnsi="Times New Roman"/>
          <w:bCs/>
          <w:highlight w:val="none"/>
        </w:rPr>
        <w:fldChar w:fldCharType="separate"/>
      </w:r>
      <w:r>
        <w:rPr>
          <w:rFonts w:ascii="Times New Roman" w:hAnsi="Times New Roman"/>
          <w:bCs/>
          <w:highlight w:val="none"/>
        </w:rPr>
        <w:t>43</w:t>
      </w:r>
      <w:r>
        <w:rPr>
          <w:rFonts w:ascii="Times New Roman" w:hAnsi="Times New Roman"/>
          <w:bCs/>
          <w:highlight w:val="none"/>
        </w:rPr>
        <w:fldChar w:fldCharType="end"/>
      </w:r>
      <w:r>
        <w:rPr>
          <w:rFonts w:ascii="Times New Roman" w:hAnsi="Times New Roman"/>
          <w:bCs/>
          <w:highlight w:val="none"/>
        </w:rPr>
        <w:fldChar w:fldCharType="end"/>
      </w:r>
    </w:p>
    <w:p w14:paraId="003D2474">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"_Toc141875154" </w:instrText>
      </w:r>
      <w:r>
        <w:rPr>
          <w:highlight w:val="none"/>
        </w:rPr>
        <w:fldChar w:fldCharType="separate"/>
      </w:r>
      <w:r>
        <w:rPr>
          <w:rStyle w:val="23"/>
          <w:bCs/>
          <w:color w:val="auto"/>
          <w:highlight w:val="none"/>
        </w:rPr>
        <w:t>7.1</w:t>
      </w:r>
      <w:r>
        <w:rPr>
          <w:rFonts w:eastAsiaTheme="minorEastAsia"/>
          <w:bCs/>
          <w:color w:val="auto"/>
          <w:kern w:val="2"/>
          <w:szCs w:val="22"/>
          <w:highlight w:val="none"/>
          <w14:ligatures w14:val="standardContextual"/>
        </w:rPr>
        <w:tab/>
      </w:r>
      <w:r>
        <w:rPr>
          <w:rStyle w:val="23"/>
          <w:bCs/>
          <w:color w:val="auto"/>
          <w:highlight w:val="none"/>
        </w:rPr>
        <w:t>一般规定</w:t>
      </w:r>
      <w:r>
        <w:rPr>
          <w:bCs/>
          <w:color w:val="auto"/>
          <w:highlight w:val="none"/>
        </w:rPr>
        <w:tab/>
      </w:r>
      <w:r>
        <w:rPr>
          <w:bCs/>
          <w:color w:val="auto"/>
          <w:highlight w:val="none"/>
        </w:rPr>
        <w:fldChar w:fldCharType="begin"/>
      </w:r>
      <w:r>
        <w:rPr>
          <w:bCs/>
          <w:color w:val="auto"/>
          <w:highlight w:val="none"/>
        </w:rPr>
        <w:instrText xml:space="preserve"> PAGEREF _Toc141875154 \h </w:instrText>
      </w:r>
      <w:r>
        <w:rPr>
          <w:bCs/>
          <w:color w:val="auto"/>
          <w:highlight w:val="none"/>
        </w:rPr>
        <w:fldChar w:fldCharType="separate"/>
      </w:r>
      <w:r>
        <w:rPr>
          <w:bCs/>
          <w:color w:val="auto"/>
          <w:highlight w:val="none"/>
        </w:rPr>
        <w:t>43</w:t>
      </w:r>
      <w:r>
        <w:rPr>
          <w:bCs/>
          <w:color w:val="auto"/>
          <w:highlight w:val="none"/>
        </w:rPr>
        <w:fldChar w:fldCharType="end"/>
      </w:r>
      <w:r>
        <w:rPr>
          <w:bCs/>
          <w:color w:val="auto"/>
          <w:highlight w:val="none"/>
        </w:rPr>
        <w:fldChar w:fldCharType="end"/>
      </w:r>
    </w:p>
    <w:p w14:paraId="1D0F08F9">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"_Toc141875155" </w:instrText>
      </w:r>
      <w:r>
        <w:rPr>
          <w:highlight w:val="none"/>
        </w:rPr>
        <w:fldChar w:fldCharType="separate"/>
      </w:r>
      <w:r>
        <w:rPr>
          <w:rStyle w:val="23"/>
          <w:bCs/>
          <w:color w:val="auto"/>
          <w:highlight w:val="none"/>
        </w:rPr>
        <w:t>7.2</w:t>
      </w:r>
      <w:r>
        <w:rPr>
          <w:rFonts w:eastAsiaTheme="minorEastAsia"/>
          <w:bCs/>
          <w:color w:val="auto"/>
          <w:kern w:val="2"/>
          <w:szCs w:val="22"/>
          <w:highlight w:val="none"/>
          <w14:ligatures w14:val="standardContextual"/>
        </w:rPr>
        <w:tab/>
      </w:r>
      <w:r>
        <w:rPr>
          <w:rStyle w:val="23"/>
          <w:bCs/>
          <w:color w:val="auto"/>
          <w:highlight w:val="none"/>
        </w:rPr>
        <w:t>主控项目</w:t>
      </w:r>
      <w:r>
        <w:rPr>
          <w:bCs/>
          <w:color w:val="auto"/>
          <w:highlight w:val="none"/>
        </w:rPr>
        <w:tab/>
      </w:r>
      <w:r>
        <w:rPr>
          <w:bCs/>
          <w:color w:val="auto"/>
          <w:highlight w:val="none"/>
        </w:rPr>
        <w:fldChar w:fldCharType="begin"/>
      </w:r>
      <w:r>
        <w:rPr>
          <w:bCs/>
          <w:color w:val="auto"/>
          <w:highlight w:val="none"/>
        </w:rPr>
        <w:instrText xml:space="preserve"> PAGEREF _Toc141875155 \h </w:instrText>
      </w:r>
      <w:r>
        <w:rPr>
          <w:bCs/>
          <w:color w:val="auto"/>
          <w:highlight w:val="none"/>
        </w:rPr>
        <w:fldChar w:fldCharType="separate"/>
      </w:r>
      <w:r>
        <w:rPr>
          <w:bCs/>
          <w:color w:val="auto"/>
          <w:highlight w:val="none"/>
        </w:rPr>
        <w:t>45</w:t>
      </w:r>
      <w:r>
        <w:rPr>
          <w:bCs/>
          <w:color w:val="auto"/>
          <w:highlight w:val="none"/>
        </w:rPr>
        <w:fldChar w:fldCharType="end"/>
      </w:r>
      <w:r>
        <w:rPr>
          <w:bCs/>
          <w:color w:val="auto"/>
          <w:highlight w:val="none"/>
        </w:rPr>
        <w:fldChar w:fldCharType="end"/>
      </w:r>
    </w:p>
    <w:p w14:paraId="511C4DC7">
      <w:pPr>
        <w:pStyle w:val="15"/>
        <w:tabs>
          <w:tab w:val="left" w:pos="1050"/>
        </w:tabs>
        <w:rPr>
          <w:rFonts w:eastAsiaTheme="minorEastAsia"/>
          <w:bCs/>
          <w:color w:val="auto"/>
          <w:kern w:val="2"/>
          <w:szCs w:val="22"/>
          <w:highlight w:val="none"/>
          <w14:ligatures w14:val="standardContextual"/>
        </w:rPr>
      </w:pPr>
      <w:r>
        <w:rPr>
          <w:highlight w:val="none"/>
        </w:rPr>
        <w:fldChar w:fldCharType="begin"/>
      </w:r>
      <w:r>
        <w:rPr>
          <w:highlight w:val="none"/>
        </w:rPr>
        <w:instrText xml:space="preserve"> HYPERLINK \l "_Toc141875156" </w:instrText>
      </w:r>
      <w:r>
        <w:rPr>
          <w:highlight w:val="none"/>
        </w:rPr>
        <w:fldChar w:fldCharType="separate"/>
      </w:r>
      <w:r>
        <w:rPr>
          <w:rStyle w:val="23"/>
          <w:bCs/>
          <w:color w:val="auto"/>
          <w:highlight w:val="none"/>
        </w:rPr>
        <w:t>7.3</w:t>
      </w:r>
      <w:r>
        <w:rPr>
          <w:rFonts w:eastAsiaTheme="minorEastAsia"/>
          <w:bCs/>
          <w:color w:val="auto"/>
          <w:kern w:val="2"/>
          <w:szCs w:val="22"/>
          <w:highlight w:val="none"/>
          <w14:ligatures w14:val="standardContextual"/>
        </w:rPr>
        <w:tab/>
      </w:r>
      <w:r>
        <w:rPr>
          <w:rStyle w:val="23"/>
          <w:bCs/>
          <w:color w:val="auto"/>
          <w:highlight w:val="none"/>
        </w:rPr>
        <w:t>一般项目</w:t>
      </w:r>
      <w:r>
        <w:rPr>
          <w:bCs/>
          <w:color w:val="auto"/>
          <w:highlight w:val="none"/>
        </w:rPr>
        <w:tab/>
      </w:r>
      <w:r>
        <w:rPr>
          <w:bCs/>
          <w:color w:val="auto"/>
          <w:highlight w:val="none"/>
        </w:rPr>
        <w:fldChar w:fldCharType="begin"/>
      </w:r>
      <w:r>
        <w:rPr>
          <w:bCs/>
          <w:color w:val="auto"/>
          <w:highlight w:val="none"/>
        </w:rPr>
        <w:instrText xml:space="preserve"> PAGEREF _Toc141875156 \h </w:instrText>
      </w:r>
      <w:r>
        <w:rPr>
          <w:bCs/>
          <w:color w:val="auto"/>
          <w:highlight w:val="none"/>
        </w:rPr>
        <w:fldChar w:fldCharType="separate"/>
      </w:r>
      <w:r>
        <w:rPr>
          <w:bCs/>
          <w:color w:val="auto"/>
          <w:highlight w:val="none"/>
        </w:rPr>
        <w:t>48</w:t>
      </w:r>
      <w:r>
        <w:rPr>
          <w:bCs/>
          <w:color w:val="auto"/>
          <w:highlight w:val="none"/>
        </w:rPr>
        <w:fldChar w:fldCharType="end"/>
      </w:r>
      <w:r>
        <w:rPr>
          <w:bCs/>
          <w:color w:val="auto"/>
          <w:highlight w:val="none"/>
        </w:rPr>
        <w:fldChar w:fldCharType="end"/>
      </w:r>
    </w:p>
    <w:p w14:paraId="370F6F28">
      <w:pPr>
        <w:pStyle w:val="14"/>
        <w:rPr>
          <w:rFonts w:ascii="Times New Roman" w:hAnsi="Times New Roman" w:eastAsiaTheme="minorEastAsia"/>
          <w:bCs/>
          <w:kern w:val="2"/>
          <w:szCs w:val="22"/>
          <w:highlight w:val="none"/>
          <w14:ligatures w14:val="standardContextual"/>
        </w:rPr>
      </w:pPr>
      <w:r>
        <w:rPr>
          <w:highlight w:val="none"/>
        </w:rPr>
        <w:fldChar w:fldCharType="begin"/>
      </w:r>
      <w:r>
        <w:rPr>
          <w:highlight w:val="none"/>
        </w:rPr>
        <w:instrText xml:space="preserve"> HYPERLINK \l "_Toc141875157" </w:instrText>
      </w:r>
      <w:r>
        <w:rPr>
          <w:highlight w:val="none"/>
        </w:rPr>
        <w:fldChar w:fldCharType="separate"/>
      </w:r>
      <w:r>
        <w:rPr>
          <w:rStyle w:val="23"/>
          <w:rFonts w:ascii="Times New Roman" w:hAnsi="Times New Roman"/>
          <w:bCs/>
          <w:color w:val="auto"/>
          <w:kern w:val="44"/>
          <w:highlight w:val="none"/>
        </w:rPr>
        <w:t>用词说明</w:t>
      </w:r>
      <w:r>
        <w:rPr>
          <w:rFonts w:ascii="Times New Roman" w:hAnsi="Times New Roman"/>
          <w:bCs/>
          <w:highlight w:val="none"/>
        </w:rPr>
        <w:tab/>
      </w:r>
      <w:r>
        <w:rPr>
          <w:rFonts w:ascii="Times New Roman" w:hAnsi="Times New Roman"/>
          <w:bCs/>
          <w:highlight w:val="none"/>
        </w:rPr>
        <w:fldChar w:fldCharType="begin"/>
      </w:r>
      <w:r>
        <w:rPr>
          <w:rFonts w:ascii="Times New Roman" w:hAnsi="Times New Roman"/>
          <w:bCs/>
          <w:highlight w:val="none"/>
        </w:rPr>
        <w:instrText xml:space="preserve"> PAGEREF _Toc141875157 \h </w:instrText>
      </w:r>
      <w:r>
        <w:rPr>
          <w:rFonts w:ascii="Times New Roman" w:hAnsi="Times New Roman"/>
          <w:bCs/>
          <w:highlight w:val="none"/>
        </w:rPr>
        <w:fldChar w:fldCharType="separate"/>
      </w:r>
      <w:r>
        <w:rPr>
          <w:rFonts w:ascii="Times New Roman" w:hAnsi="Times New Roman"/>
          <w:bCs/>
          <w:highlight w:val="none"/>
        </w:rPr>
        <w:t>52</w:t>
      </w:r>
      <w:r>
        <w:rPr>
          <w:rFonts w:ascii="Times New Roman" w:hAnsi="Times New Roman"/>
          <w:bCs/>
          <w:highlight w:val="none"/>
        </w:rPr>
        <w:fldChar w:fldCharType="end"/>
      </w:r>
      <w:r>
        <w:rPr>
          <w:rFonts w:ascii="Times New Roman" w:hAnsi="Times New Roman"/>
          <w:bCs/>
          <w:highlight w:val="none"/>
        </w:rPr>
        <w:fldChar w:fldCharType="end"/>
      </w:r>
    </w:p>
    <w:p w14:paraId="6ACC9471">
      <w:pPr>
        <w:pStyle w:val="14"/>
        <w:rPr>
          <w:rFonts w:ascii="Times New Roman" w:hAnsi="Times New Roman" w:eastAsiaTheme="minorEastAsia"/>
          <w:bCs/>
          <w:kern w:val="2"/>
          <w:szCs w:val="22"/>
          <w:highlight w:val="none"/>
          <w14:ligatures w14:val="standardContextual"/>
        </w:rPr>
      </w:pPr>
      <w:r>
        <w:rPr>
          <w:highlight w:val="none"/>
        </w:rPr>
        <w:fldChar w:fldCharType="begin"/>
      </w:r>
      <w:r>
        <w:rPr>
          <w:highlight w:val="none"/>
        </w:rPr>
        <w:instrText xml:space="preserve"> HYPERLINK \l "_Toc141875158" </w:instrText>
      </w:r>
      <w:r>
        <w:rPr>
          <w:highlight w:val="none"/>
        </w:rPr>
        <w:fldChar w:fldCharType="separate"/>
      </w:r>
      <w:r>
        <w:rPr>
          <w:rStyle w:val="23"/>
          <w:rFonts w:ascii="Times New Roman" w:hAnsi="Times New Roman"/>
          <w:bCs/>
          <w:color w:val="auto"/>
          <w:highlight w:val="none"/>
        </w:rPr>
        <w:t>引用标准名录</w:t>
      </w:r>
      <w:r>
        <w:rPr>
          <w:rFonts w:ascii="Times New Roman" w:hAnsi="Times New Roman"/>
          <w:bCs/>
          <w:highlight w:val="none"/>
        </w:rPr>
        <w:tab/>
      </w:r>
      <w:r>
        <w:rPr>
          <w:rFonts w:ascii="Times New Roman" w:hAnsi="Times New Roman"/>
          <w:bCs/>
          <w:highlight w:val="none"/>
        </w:rPr>
        <w:fldChar w:fldCharType="begin"/>
      </w:r>
      <w:r>
        <w:rPr>
          <w:rFonts w:ascii="Times New Roman" w:hAnsi="Times New Roman"/>
          <w:bCs/>
          <w:highlight w:val="none"/>
        </w:rPr>
        <w:instrText xml:space="preserve"> PAGEREF _Toc141875158 \h </w:instrText>
      </w:r>
      <w:r>
        <w:rPr>
          <w:rFonts w:ascii="Times New Roman" w:hAnsi="Times New Roman"/>
          <w:bCs/>
          <w:highlight w:val="none"/>
        </w:rPr>
        <w:fldChar w:fldCharType="separate"/>
      </w:r>
      <w:r>
        <w:rPr>
          <w:rFonts w:ascii="Times New Roman" w:hAnsi="Times New Roman"/>
          <w:bCs/>
          <w:highlight w:val="none"/>
        </w:rPr>
        <w:t>53</w:t>
      </w:r>
      <w:r>
        <w:rPr>
          <w:rFonts w:ascii="Times New Roman" w:hAnsi="Times New Roman"/>
          <w:bCs/>
          <w:highlight w:val="none"/>
        </w:rPr>
        <w:fldChar w:fldCharType="end"/>
      </w:r>
      <w:r>
        <w:rPr>
          <w:rFonts w:ascii="Times New Roman" w:hAnsi="Times New Roman"/>
          <w:bCs/>
          <w:highlight w:val="none"/>
        </w:rPr>
        <w:fldChar w:fldCharType="end"/>
      </w:r>
    </w:p>
    <w:p w14:paraId="77E7B244">
      <w:pPr>
        <w:pStyle w:val="14"/>
        <w:rPr>
          <w:rFonts w:ascii="Times New Roman" w:hAnsi="Times New Roman" w:eastAsiaTheme="minorEastAsia"/>
          <w:bCs/>
          <w:kern w:val="2"/>
          <w:szCs w:val="22"/>
          <w:highlight w:val="none"/>
          <w14:ligatures w14:val="standardContextual"/>
        </w:rPr>
      </w:pPr>
      <w:r>
        <w:rPr>
          <w:highlight w:val="none"/>
        </w:rPr>
        <w:fldChar w:fldCharType="begin"/>
      </w:r>
      <w:r>
        <w:rPr>
          <w:highlight w:val="none"/>
        </w:rPr>
        <w:instrText xml:space="preserve"> HYPERLINK \l "_Toc141875159" </w:instrText>
      </w:r>
      <w:r>
        <w:rPr>
          <w:highlight w:val="none"/>
        </w:rPr>
        <w:fldChar w:fldCharType="separate"/>
      </w:r>
      <w:r>
        <w:rPr>
          <w:rStyle w:val="23"/>
          <w:rFonts w:ascii="Times New Roman" w:hAnsi="Times New Roman"/>
          <w:bCs/>
          <w:color w:val="auto"/>
          <w:highlight w:val="none"/>
        </w:rPr>
        <w:t>附：条文说明</w:t>
      </w:r>
      <w:r>
        <w:rPr>
          <w:rFonts w:ascii="Times New Roman" w:hAnsi="Times New Roman"/>
          <w:bCs/>
          <w:highlight w:val="none"/>
        </w:rPr>
        <w:tab/>
      </w:r>
      <w:r>
        <w:rPr>
          <w:rFonts w:ascii="Times New Roman" w:hAnsi="Times New Roman"/>
          <w:bCs/>
          <w:highlight w:val="none"/>
        </w:rPr>
        <w:fldChar w:fldCharType="begin"/>
      </w:r>
      <w:r>
        <w:rPr>
          <w:rFonts w:ascii="Times New Roman" w:hAnsi="Times New Roman"/>
          <w:bCs/>
          <w:highlight w:val="none"/>
        </w:rPr>
        <w:instrText xml:space="preserve"> PAGEREF _Toc141875159 \h </w:instrText>
      </w:r>
      <w:r>
        <w:rPr>
          <w:rFonts w:ascii="Times New Roman" w:hAnsi="Times New Roman"/>
          <w:bCs/>
          <w:highlight w:val="none"/>
        </w:rPr>
        <w:fldChar w:fldCharType="separate"/>
      </w:r>
      <w:r>
        <w:rPr>
          <w:rFonts w:ascii="Times New Roman" w:hAnsi="Times New Roman"/>
          <w:bCs/>
          <w:highlight w:val="none"/>
        </w:rPr>
        <w:t>56</w:t>
      </w:r>
      <w:r>
        <w:rPr>
          <w:rFonts w:ascii="Times New Roman" w:hAnsi="Times New Roman"/>
          <w:bCs/>
          <w:highlight w:val="none"/>
        </w:rPr>
        <w:fldChar w:fldCharType="end"/>
      </w:r>
      <w:r>
        <w:rPr>
          <w:rFonts w:ascii="Times New Roman" w:hAnsi="Times New Roman"/>
          <w:bCs/>
          <w:highlight w:val="none"/>
        </w:rPr>
        <w:fldChar w:fldCharType="end"/>
      </w:r>
    </w:p>
    <w:p w14:paraId="42BE8465">
      <w:pPr>
        <w:spacing w:line="360" w:lineRule="auto"/>
        <w:jc w:val="center"/>
        <w:rPr>
          <w:b/>
          <w:color w:val="auto"/>
          <w:sz w:val="28"/>
          <w:szCs w:val="28"/>
          <w:highlight w:val="none"/>
        </w:rPr>
      </w:pPr>
      <w:r>
        <w:rPr>
          <w:bCs/>
          <w:color w:val="auto"/>
          <w:sz w:val="28"/>
          <w:szCs w:val="28"/>
          <w:highlight w:val="none"/>
        </w:rPr>
        <w:fldChar w:fldCharType="end"/>
      </w:r>
    </w:p>
    <w:p w14:paraId="734A5328">
      <w:pPr>
        <w:spacing w:line="360" w:lineRule="auto"/>
        <w:jc w:val="center"/>
        <w:rPr>
          <w:b/>
          <w:color w:val="auto"/>
          <w:sz w:val="28"/>
          <w:szCs w:val="28"/>
          <w:highlight w:val="none"/>
        </w:rPr>
      </w:pPr>
    </w:p>
    <w:p w14:paraId="5A0EA258">
      <w:pPr>
        <w:spacing w:line="360" w:lineRule="auto"/>
        <w:jc w:val="center"/>
        <w:rPr>
          <w:b/>
          <w:color w:val="auto"/>
          <w:sz w:val="28"/>
          <w:szCs w:val="28"/>
          <w:highlight w:val="none"/>
        </w:rPr>
      </w:pPr>
    </w:p>
    <w:p w14:paraId="3BC3D424">
      <w:pPr>
        <w:spacing w:line="360" w:lineRule="auto"/>
        <w:jc w:val="center"/>
        <w:rPr>
          <w:b/>
          <w:color w:val="auto"/>
          <w:sz w:val="28"/>
          <w:szCs w:val="28"/>
          <w:highlight w:val="none"/>
        </w:rPr>
      </w:pPr>
    </w:p>
    <w:p w14:paraId="50075D80">
      <w:pPr>
        <w:spacing w:line="360" w:lineRule="auto"/>
        <w:jc w:val="center"/>
        <w:rPr>
          <w:b/>
          <w:color w:val="auto"/>
          <w:sz w:val="28"/>
          <w:szCs w:val="28"/>
          <w:highlight w:val="none"/>
        </w:rPr>
      </w:pPr>
    </w:p>
    <w:p w14:paraId="078F054E">
      <w:pPr>
        <w:spacing w:line="360" w:lineRule="auto"/>
        <w:jc w:val="center"/>
        <w:rPr>
          <w:b/>
          <w:color w:val="auto"/>
          <w:sz w:val="28"/>
          <w:szCs w:val="28"/>
          <w:highlight w:val="none"/>
        </w:rPr>
      </w:pPr>
    </w:p>
    <w:p w14:paraId="2175648C">
      <w:pPr>
        <w:spacing w:line="360" w:lineRule="auto"/>
        <w:jc w:val="center"/>
        <w:rPr>
          <w:b/>
          <w:color w:val="auto"/>
          <w:sz w:val="28"/>
          <w:szCs w:val="28"/>
          <w:highlight w:val="none"/>
        </w:rPr>
      </w:pPr>
    </w:p>
    <w:p w14:paraId="1D070F99">
      <w:pPr>
        <w:spacing w:line="360" w:lineRule="auto"/>
        <w:jc w:val="center"/>
        <w:rPr>
          <w:b/>
          <w:color w:val="auto"/>
          <w:sz w:val="28"/>
          <w:szCs w:val="28"/>
          <w:highlight w:val="none"/>
        </w:rPr>
      </w:pPr>
    </w:p>
    <w:p w14:paraId="7873302C">
      <w:pPr>
        <w:spacing w:line="360" w:lineRule="auto"/>
        <w:jc w:val="center"/>
        <w:rPr>
          <w:b/>
          <w:color w:val="auto"/>
          <w:sz w:val="28"/>
          <w:szCs w:val="28"/>
          <w:highlight w:val="none"/>
        </w:rPr>
      </w:pPr>
    </w:p>
    <w:p w14:paraId="55FA001F">
      <w:pPr>
        <w:spacing w:line="360" w:lineRule="auto"/>
        <w:jc w:val="center"/>
        <w:rPr>
          <w:b/>
          <w:color w:val="auto"/>
          <w:sz w:val="28"/>
          <w:szCs w:val="28"/>
          <w:highlight w:val="none"/>
        </w:rPr>
      </w:pPr>
    </w:p>
    <w:p w14:paraId="0D02D5D3">
      <w:pPr>
        <w:spacing w:line="360" w:lineRule="auto"/>
        <w:rPr>
          <w:b/>
          <w:color w:val="auto"/>
          <w:sz w:val="28"/>
          <w:szCs w:val="28"/>
          <w:highlight w:val="none"/>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Roman">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14988">
    <w:pPr>
      <w:pStyle w:val="12"/>
      <w:ind w:left="525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57785" cy="131445"/>
              <wp:effectExtent l="0" t="0" r="0" b="0"/>
              <wp:wrapNone/>
              <wp:docPr id="4" name="文本框 3"/>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14:paraId="0BB04B53">
                          <w:pPr>
                            <w:pStyle w:val="12"/>
                            <w:ind w:left="5250"/>
                            <w:jc w:val="center"/>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0.35pt;width:4.55pt;mso-position-horizontal:center;mso-position-horizontal-relative:margin;mso-wrap-style:none;z-index:25166643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L3UTQAAAAAgEAAA8AAAAAAAAAAQAgAAAAIgAAAGRycy9kb3du&#10;cmV2LnhtbFBLAQIUABQAAAAIAIdO4kBfvck+zgEAAJYDAAAOAAAAAAAAAAEAIAAAAB8BAABkcnMv&#10;ZTJvRG9jLnhtbFBLBQYAAAAABgAGAFkBAABfBQAAAAA=&#10;">
              <v:fill on="f" focussize="0,0"/>
              <v:stroke on="f"/>
              <v:imagedata o:title=""/>
              <o:lock v:ext="edit" aspectratio="f"/>
              <v:textbox inset="0mm,0mm,0mm,0mm" style="mso-fit-shape-to-text:t;">
                <w:txbxContent>
                  <w:p w14:paraId="0BB04B53">
                    <w:pPr>
                      <w:pStyle w:val="12"/>
                      <w:ind w:left="5250"/>
                      <w:jc w:val="cente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FAFBC">
    <w:pPr>
      <w:pStyle w:val="12"/>
      <w:ind w:left="525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124" name="文本框 3"/>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14:paraId="6822A7F4">
                          <w:pPr>
                            <w:pStyle w:val="12"/>
                            <w:ind w:left="5250"/>
                            <w:jc w:val="center"/>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Pi91E0AAAAAIBAAAPAAAAAAAAAAEAIAAAACIAAABkcnMvZG93&#10;bnJldi54bWxQSwECFAAUAAAACACHTuJAlrrzss8BAACYAwAADgAAAAAAAAABACAAAAAfAQAAZHJz&#10;L2Uyb0RvYy54bWxQSwUGAAAAAAYABgBZAQAAYAUAAAAA&#10;">
              <v:fill on="f" focussize="0,0"/>
              <v:stroke on="f"/>
              <v:imagedata o:title=""/>
              <o:lock v:ext="edit" aspectratio="f"/>
              <v:textbox inset="0mm,0mm,0mm,0mm" style="mso-fit-shape-to-text:t;">
                <w:txbxContent>
                  <w:p w14:paraId="6822A7F4">
                    <w:pPr>
                      <w:pStyle w:val="12"/>
                      <w:ind w:left="5250"/>
                      <w:jc w:val="cente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5D1AE">
    <w:pPr>
      <w:pStyle w:val="12"/>
      <w:jc w:val="center"/>
      <w:rPr>
        <w:rFonts w:ascii="Times New Roman" w:hAnsi="Times New Roman" w:cs="Times New Roman"/>
      </w:rPr>
    </w:pPr>
  </w:p>
  <w:p w14:paraId="6F163486">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9086676"/>
    </w:sdtPr>
    <w:sdtEndPr>
      <w:rPr>
        <w:rFonts w:ascii="Times New Roman" w:hAnsi="Times New Roman" w:cs="Times New Roman"/>
      </w:rPr>
    </w:sdtEndPr>
    <w:sdtContent>
      <w:p w14:paraId="74D1C86B">
        <w:pPr>
          <w:pStyle w:val="12"/>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8</w:t>
        </w:r>
        <w:r>
          <w:rPr>
            <w:rFonts w:ascii="Times New Roman" w:hAnsi="Times New Roman" w:cs="Times New Roman"/>
          </w:rPr>
          <w:fldChar w:fldCharType="end"/>
        </w:r>
      </w:p>
    </w:sdtContent>
  </w:sdt>
  <w:p w14:paraId="060AAE87">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8456FB"/>
    <w:multiLevelType w:val="multilevel"/>
    <w:tmpl w:val="E98456FB"/>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
    <w:nsid w:val="065F1AAC"/>
    <w:multiLevelType w:val="multilevel"/>
    <w:tmpl w:val="065F1AAC"/>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2">
    <w:nsid w:val="087B0EBA"/>
    <w:multiLevelType w:val="multilevel"/>
    <w:tmpl w:val="087B0EBA"/>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3">
    <w:nsid w:val="0B5978B4"/>
    <w:multiLevelType w:val="multilevel"/>
    <w:tmpl w:val="0B5978B4"/>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4">
    <w:nsid w:val="0C985829"/>
    <w:multiLevelType w:val="multilevel"/>
    <w:tmpl w:val="0C985829"/>
    <w:lvl w:ilvl="0" w:tentative="0">
      <w:start w:val="1"/>
      <w:numFmt w:val="decimal"/>
      <w:lvlText w:val="%1)"/>
      <w:lvlJc w:val="left"/>
      <w:pPr>
        <w:ind w:left="854" w:hanging="372"/>
      </w:pPr>
      <w:rPr>
        <w:rFonts w:hint="default"/>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5">
    <w:nsid w:val="0E5F1128"/>
    <w:multiLevelType w:val="multilevel"/>
    <w:tmpl w:val="0E5F1128"/>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6">
    <w:nsid w:val="120E623A"/>
    <w:multiLevelType w:val="multilevel"/>
    <w:tmpl w:val="120E623A"/>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7">
    <w:nsid w:val="142202C1"/>
    <w:multiLevelType w:val="multilevel"/>
    <w:tmpl w:val="142202C1"/>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8">
    <w:nsid w:val="155C16B6"/>
    <w:multiLevelType w:val="multilevel"/>
    <w:tmpl w:val="155C16B6"/>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9">
    <w:nsid w:val="177E777E"/>
    <w:multiLevelType w:val="multilevel"/>
    <w:tmpl w:val="177E777E"/>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0">
    <w:nsid w:val="20FE5AB2"/>
    <w:multiLevelType w:val="multilevel"/>
    <w:tmpl w:val="20FE5AB2"/>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1">
    <w:nsid w:val="22B94E94"/>
    <w:multiLevelType w:val="multilevel"/>
    <w:tmpl w:val="22B94E94"/>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12">
    <w:nsid w:val="23332659"/>
    <w:multiLevelType w:val="multilevel"/>
    <w:tmpl w:val="23332659"/>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13">
    <w:nsid w:val="23EF3ECE"/>
    <w:multiLevelType w:val="multilevel"/>
    <w:tmpl w:val="23EF3ECE"/>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4">
    <w:nsid w:val="250141A5"/>
    <w:multiLevelType w:val="multilevel"/>
    <w:tmpl w:val="250141A5"/>
    <w:lvl w:ilvl="0" w:tentative="0">
      <w:start w:val="1"/>
      <w:numFmt w:val="decimal"/>
      <w:lvlText w:val="%1"/>
      <w:lvlJc w:val="left"/>
      <w:pPr>
        <w:ind w:left="720" w:hanging="360"/>
      </w:pPr>
      <w:rPr>
        <w:rFonts w:hint="default"/>
        <w:b/>
        <w:bCs w:val="0"/>
      </w:rPr>
    </w:lvl>
    <w:lvl w:ilvl="1" w:tentative="0">
      <w:start w:val="1"/>
      <w:numFmt w:val="lowerLetter"/>
      <w:lvlText w:val="%2)"/>
      <w:lvlJc w:val="left"/>
      <w:pPr>
        <w:ind w:left="1240" w:hanging="440"/>
      </w:pPr>
    </w:lvl>
    <w:lvl w:ilvl="2" w:tentative="0">
      <w:start w:val="1"/>
      <w:numFmt w:val="lowerRoman"/>
      <w:lvlText w:val="%3."/>
      <w:lvlJc w:val="right"/>
      <w:pPr>
        <w:ind w:left="1680" w:hanging="440"/>
      </w:pPr>
    </w:lvl>
    <w:lvl w:ilvl="3" w:tentative="0">
      <w:start w:val="1"/>
      <w:numFmt w:val="decimal"/>
      <w:lvlText w:val="%4."/>
      <w:lvlJc w:val="left"/>
      <w:pPr>
        <w:ind w:left="2120" w:hanging="440"/>
      </w:pPr>
    </w:lvl>
    <w:lvl w:ilvl="4" w:tentative="0">
      <w:start w:val="1"/>
      <w:numFmt w:val="lowerLetter"/>
      <w:lvlText w:val="%5)"/>
      <w:lvlJc w:val="left"/>
      <w:pPr>
        <w:ind w:left="2560" w:hanging="440"/>
      </w:pPr>
    </w:lvl>
    <w:lvl w:ilvl="5" w:tentative="0">
      <w:start w:val="1"/>
      <w:numFmt w:val="lowerRoman"/>
      <w:lvlText w:val="%6."/>
      <w:lvlJc w:val="right"/>
      <w:pPr>
        <w:ind w:left="3000" w:hanging="440"/>
      </w:pPr>
    </w:lvl>
    <w:lvl w:ilvl="6" w:tentative="0">
      <w:start w:val="1"/>
      <w:numFmt w:val="decimal"/>
      <w:lvlText w:val="%7."/>
      <w:lvlJc w:val="left"/>
      <w:pPr>
        <w:ind w:left="3440" w:hanging="440"/>
      </w:pPr>
    </w:lvl>
    <w:lvl w:ilvl="7" w:tentative="0">
      <w:start w:val="1"/>
      <w:numFmt w:val="lowerLetter"/>
      <w:lvlText w:val="%8)"/>
      <w:lvlJc w:val="left"/>
      <w:pPr>
        <w:ind w:left="3880" w:hanging="440"/>
      </w:pPr>
    </w:lvl>
    <w:lvl w:ilvl="8" w:tentative="0">
      <w:start w:val="1"/>
      <w:numFmt w:val="lowerRoman"/>
      <w:lvlText w:val="%9."/>
      <w:lvlJc w:val="right"/>
      <w:pPr>
        <w:ind w:left="4320" w:hanging="440"/>
      </w:pPr>
    </w:lvl>
  </w:abstractNum>
  <w:abstractNum w:abstractNumId="15">
    <w:nsid w:val="29A73815"/>
    <w:multiLevelType w:val="multilevel"/>
    <w:tmpl w:val="29A73815"/>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16">
    <w:nsid w:val="2A9D7FDD"/>
    <w:multiLevelType w:val="multilevel"/>
    <w:tmpl w:val="2A9D7FDD"/>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17">
    <w:nsid w:val="2CA62388"/>
    <w:multiLevelType w:val="multilevel"/>
    <w:tmpl w:val="2CA62388"/>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18">
    <w:nsid w:val="2EA943D7"/>
    <w:multiLevelType w:val="multilevel"/>
    <w:tmpl w:val="2EA943D7"/>
    <w:lvl w:ilvl="0" w:tentative="0">
      <w:start w:val="1"/>
      <w:numFmt w:val="decimal"/>
      <w:lvlText w:val="%1)"/>
      <w:lvlJc w:val="left"/>
      <w:pPr>
        <w:ind w:left="854" w:hanging="372"/>
      </w:pPr>
      <w:rPr>
        <w:rFonts w:hint="default"/>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9">
    <w:nsid w:val="2EF656EA"/>
    <w:multiLevelType w:val="multilevel"/>
    <w:tmpl w:val="2EF656EA"/>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20">
    <w:nsid w:val="306A20B6"/>
    <w:multiLevelType w:val="multilevel"/>
    <w:tmpl w:val="306A20B6"/>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21">
    <w:nsid w:val="319261D2"/>
    <w:multiLevelType w:val="multilevel"/>
    <w:tmpl w:val="319261D2"/>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22">
    <w:nsid w:val="33D35D09"/>
    <w:multiLevelType w:val="multilevel"/>
    <w:tmpl w:val="33D35D09"/>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23">
    <w:nsid w:val="36A06721"/>
    <w:multiLevelType w:val="multilevel"/>
    <w:tmpl w:val="36A06721"/>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24">
    <w:nsid w:val="37730143"/>
    <w:multiLevelType w:val="multilevel"/>
    <w:tmpl w:val="37730143"/>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25">
    <w:nsid w:val="3AB446ED"/>
    <w:multiLevelType w:val="multilevel"/>
    <w:tmpl w:val="3AB446ED"/>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26">
    <w:nsid w:val="3B6F52ED"/>
    <w:multiLevelType w:val="multilevel"/>
    <w:tmpl w:val="3B6F52ED"/>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27">
    <w:nsid w:val="3C2D481F"/>
    <w:multiLevelType w:val="multilevel"/>
    <w:tmpl w:val="3C2D481F"/>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28">
    <w:nsid w:val="3EFE4F09"/>
    <w:multiLevelType w:val="multilevel"/>
    <w:tmpl w:val="3EFE4F09"/>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29">
    <w:nsid w:val="4071663D"/>
    <w:multiLevelType w:val="multilevel"/>
    <w:tmpl w:val="4071663D"/>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30">
    <w:nsid w:val="43E5745E"/>
    <w:multiLevelType w:val="multilevel"/>
    <w:tmpl w:val="43E5745E"/>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31">
    <w:nsid w:val="4857772F"/>
    <w:multiLevelType w:val="multilevel"/>
    <w:tmpl w:val="4857772F"/>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32">
    <w:nsid w:val="48966FF7"/>
    <w:multiLevelType w:val="multilevel"/>
    <w:tmpl w:val="48966FF7"/>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33">
    <w:nsid w:val="4F385F20"/>
    <w:multiLevelType w:val="multilevel"/>
    <w:tmpl w:val="4F385F20"/>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34">
    <w:nsid w:val="4FD02EE7"/>
    <w:multiLevelType w:val="multilevel"/>
    <w:tmpl w:val="4FD02EE7"/>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35">
    <w:nsid w:val="51840729"/>
    <w:multiLevelType w:val="multilevel"/>
    <w:tmpl w:val="51840729"/>
    <w:lvl w:ilvl="0" w:tentative="0">
      <w:start w:val="1"/>
      <w:numFmt w:val="decimal"/>
      <w:lvlText w:val="%1"/>
      <w:lvlJc w:val="left"/>
      <w:pPr>
        <w:ind w:left="720" w:hanging="360"/>
      </w:pPr>
      <w:rPr>
        <w:rFonts w:hint="default"/>
        <w:b/>
        <w:bCs w:val="0"/>
      </w:rPr>
    </w:lvl>
    <w:lvl w:ilvl="1" w:tentative="0">
      <w:start w:val="1"/>
      <w:numFmt w:val="lowerLetter"/>
      <w:lvlText w:val="%2)"/>
      <w:lvlJc w:val="left"/>
      <w:pPr>
        <w:ind w:left="1240" w:hanging="440"/>
      </w:pPr>
    </w:lvl>
    <w:lvl w:ilvl="2" w:tentative="0">
      <w:start w:val="1"/>
      <w:numFmt w:val="lowerRoman"/>
      <w:lvlText w:val="%3."/>
      <w:lvlJc w:val="right"/>
      <w:pPr>
        <w:ind w:left="1680" w:hanging="440"/>
      </w:pPr>
    </w:lvl>
    <w:lvl w:ilvl="3" w:tentative="0">
      <w:start w:val="1"/>
      <w:numFmt w:val="decimal"/>
      <w:lvlText w:val="%4."/>
      <w:lvlJc w:val="left"/>
      <w:pPr>
        <w:ind w:left="2120" w:hanging="440"/>
      </w:pPr>
    </w:lvl>
    <w:lvl w:ilvl="4" w:tentative="0">
      <w:start w:val="1"/>
      <w:numFmt w:val="lowerLetter"/>
      <w:lvlText w:val="%5)"/>
      <w:lvlJc w:val="left"/>
      <w:pPr>
        <w:ind w:left="2560" w:hanging="440"/>
      </w:pPr>
    </w:lvl>
    <w:lvl w:ilvl="5" w:tentative="0">
      <w:start w:val="1"/>
      <w:numFmt w:val="lowerRoman"/>
      <w:lvlText w:val="%6."/>
      <w:lvlJc w:val="right"/>
      <w:pPr>
        <w:ind w:left="3000" w:hanging="440"/>
      </w:pPr>
    </w:lvl>
    <w:lvl w:ilvl="6" w:tentative="0">
      <w:start w:val="1"/>
      <w:numFmt w:val="decimal"/>
      <w:lvlText w:val="%7."/>
      <w:lvlJc w:val="left"/>
      <w:pPr>
        <w:ind w:left="3440" w:hanging="440"/>
      </w:pPr>
    </w:lvl>
    <w:lvl w:ilvl="7" w:tentative="0">
      <w:start w:val="1"/>
      <w:numFmt w:val="lowerLetter"/>
      <w:lvlText w:val="%8)"/>
      <w:lvlJc w:val="left"/>
      <w:pPr>
        <w:ind w:left="3880" w:hanging="440"/>
      </w:pPr>
    </w:lvl>
    <w:lvl w:ilvl="8" w:tentative="0">
      <w:start w:val="1"/>
      <w:numFmt w:val="lowerRoman"/>
      <w:lvlText w:val="%9."/>
      <w:lvlJc w:val="right"/>
      <w:pPr>
        <w:ind w:left="4320" w:hanging="440"/>
      </w:pPr>
    </w:lvl>
  </w:abstractNum>
  <w:abstractNum w:abstractNumId="36">
    <w:nsid w:val="52EE2865"/>
    <w:multiLevelType w:val="multilevel"/>
    <w:tmpl w:val="52EE2865"/>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37">
    <w:nsid w:val="542438A2"/>
    <w:multiLevelType w:val="multilevel"/>
    <w:tmpl w:val="542438A2"/>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38">
    <w:nsid w:val="56F00BBB"/>
    <w:multiLevelType w:val="multilevel"/>
    <w:tmpl w:val="56F00BBB"/>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39">
    <w:nsid w:val="57C263E1"/>
    <w:multiLevelType w:val="multilevel"/>
    <w:tmpl w:val="57C263E1"/>
    <w:lvl w:ilvl="0" w:tentative="0">
      <w:start w:val="1"/>
      <w:numFmt w:val="decimal"/>
      <w:lvlText w:val="%1)"/>
      <w:lvlJc w:val="left"/>
      <w:pPr>
        <w:ind w:left="854" w:hanging="372"/>
      </w:pPr>
      <w:rPr>
        <w:rFonts w:hint="default"/>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40">
    <w:nsid w:val="5ABC237E"/>
    <w:multiLevelType w:val="multilevel"/>
    <w:tmpl w:val="5ABC237E"/>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41">
    <w:nsid w:val="5B1213F4"/>
    <w:multiLevelType w:val="multilevel"/>
    <w:tmpl w:val="5B1213F4"/>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42">
    <w:nsid w:val="5DB374D6"/>
    <w:multiLevelType w:val="multilevel"/>
    <w:tmpl w:val="5DB374D6"/>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43">
    <w:nsid w:val="5DC50C82"/>
    <w:multiLevelType w:val="singleLevel"/>
    <w:tmpl w:val="5DC50C82"/>
    <w:lvl w:ilvl="0" w:tentative="0">
      <w:start w:val="1"/>
      <w:numFmt w:val="decimal"/>
      <w:suff w:val="nothing"/>
      <w:lvlText w:val="%1"/>
      <w:lvlJc w:val="left"/>
      <w:pPr>
        <w:ind w:left="0" w:firstLine="0"/>
      </w:pPr>
      <w:rPr>
        <w:rFonts w:hint="eastAsia"/>
      </w:rPr>
    </w:lvl>
  </w:abstractNum>
  <w:abstractNum w:abstractNumId="44">
    <w:nsid w:val="60306552"/>
    <w:multiLevelType w:val="multilevel"/>
    <w:tmpl w:val="60306552"/>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45">
    <w:nsid w:val="631F76CC"/>
    <w:multiLevelType w:val="multilevel"/>
    <w:tmpl w:val="631F76CC"/>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46">
    <w:nsid w:val="657D3FBC"/>
    <w:multiLevelType w:val="multilevel"/>
    <w:tmpl w:val="657D3FBC"/>
    <w:lvl w:ilvl="0" w:tentative="0">
      <w:start w:val="1"/>
      <w:numFmt w:val="upperLetter"/>
      <w:pStyle w:val="53"/>
      <w:suff w:val="nothing"/>
      <w:lvlText w:val="附　录　%1"/>
      <w:lvlJc w:val="left"/>
      <w:pPr>
        <w:ind w:left="0" w:firstLine="0"/>
      </w:pPr>
      <w:rPr>
        <w:rFonts w:hint="eastAsia" w:ascii="黑体" w:hAnsi="Times New Roman" w:eastAsia="黑体"/>
        <w:b w:val="0"/>
        <w:i w:val="0"/>
        <w:sz w:val="21"/>
      </w:rPr>
    </w:lvl>
    <w:lvl w:ilvl="1" w:tentative="0">
      <w:start w:val="1"/>
      <w:numFmt w:val="decimal"/>
      <w:pStyle w:val="4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0"/>
      <w:suff w:val="nothing"/>
      <w:lvlText w:val="%1.%2.%3　"/>
      <w:lvlJc w:val="left"/>
      <w:pPr>
        <w:ind w:left="0" w:firstLine="0"/>
      </w:pPr>
      <w:rPr>
        <w:rFonts w:hint="eastAsia" w:ascii="黑体" w:hAnsi="Times New Roman" w:eastAsia="黑体"/>
        <w:b w:val="0"/>
        <w:i w:val="0"/>
        <w:sz w:val="21"/>
      </w:rPr>
    </w:lvl>
    <w:lvl w:ilvl="3" w:tentative="0">
      <w:start w:val="1"/>
      <w:numFmt w:val="decimal"/>
      <w:pStyle w:val="51"/>
      <w:suff w:val="nothing"/>
      <w:lvlText w:val="%1.%2.%3.%4　"/>
      <w:lvlJc w:val="left"/>
      <w:pPr>
        <w:ind w:left="0" w:firstLine="0"/>
      </w:pPr>
      <w:rPr>
        <w:rFonts w:hint="eastAsia" w:ascii="黑体" w:hAnsi="Times New Roman" w:eastAsia="黑体"/>
        <w:b w:val="0"/>
        <w:i w:val="0"/>
        <w:sz w:val="21"/>
      </w:rPr>
    </w:lvl>
    <w:lvl w:ilvl="4" w:tentative="0">
      <w:start w:val="1"/>
      <w:numFmt w:val="decimal"/>
      <w:pStyle w:val="52"/>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7">
    <w:nsid w:val="661865D6"/>
    <w:multiLevelType w:val="multilevel"/>
    <w:tmpl w:val="661865D6"/>
    <w:lvl w:ilvl="0" w:tentative="0">
      <w:start w:val="1"/>
      <w:numFmt w:val="decimal"/>
      <w:lvlText w:val="%1"/>
      <w:lvlJc w:val="left"/>
      <w:pPr>
        <w:ind w:left="842" w:hanging="360"/>
      </w:pPr>
      <w:rPr>
        <w:rFonts w:hint="default"/>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48">
    <w:nsid w:val="67904776"/>
    <w:multiLevelType w:val="multilevel"/>
    <w:tmpl w:val="67904776"/>
    <w:lvl w:ilvl="0" w:tentative="0">
      <w:start w:val="1"/>
      <w:numFmt w:val="decimal"/>
      <w:lvlText w:val="%1"/>
      <w:lvlJc w:val="left"/>
      <w:pPr>
        <w:ind w:left="425" w:hanging="425"/>
      </w:pPr>
      <w:rPr>
        <w:rFonts w:hint="eastAsia"/>
      </w:rPr>
    </w:lvl>
    <w:lvl w:ilvl="1" w:tentative="0">
      <w:start w:val="1"/>
      <w:numFmt w:val="decimal"/>
      <w:lvlText w:val="%1.%2"/>
      <w:lvlJc w:val="left"/>
      <w:pPr>
        <w:ind w:left="425" w:hanging="425"/>
      </w:pPr>
      <w:rPr>
        <w:rFonts w:hint="default" w:ascii="Times New Roman" w:hAnsi="Times New Roman" w:eastAsia="宋体"/>
        <w:sz w:val="24"/>
      </w:rPr>
    </w:lvl>
    <w:lvl w:ilvl="2" w:tentative="0">
      <w:start w:val="1"/>
      <w:numFmt w:val="decimal"/>
      <w:lvlText w:val="%1.%2.%3"/>
      <w:lvlJc w:val="left"/>
      <w:pPr>
        <w:ind w:left="425" w:hanging="425"/>
      </w:pPr>
      <w:rPr>
        <w:rFonts w:hint="eastAsia"/>
      </w:rPr>
    </w:lvl>
    <w:lvl w:ilvl="3" w:tentative="0">
      <w:start w:val="1"/>
      <w:numFmt w:val="decimal"/>
      <w:lvlText w:val="%1.%2.%3.%4"/>
      <w:lvlJc w:val="left"/>
      <w:pPr>
        <w:ind w:left="425" w:hanging="425"/>
      </w:pPr>
      <w:rPr>
        <w:rFonts w:hint="eastAsia"/>
      </w:rPr>
    </w:lvl>
    <w:lvl w:ilvl="4" w:tentative="0">
      <w:start w:val="1"/>
      <w:numFmt w:val="decima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49">
    <w:nsid w:val="6BBC4E66"/>
    <w:multiLevelType w:val="multilevel"/>
    <w:tmpl w:val="6BBC4E66"/>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50">
    <w:nsid w:val="6EAA4D1F"/>
    <w:multiLevelType w:val="multilevel"/>
    <w:tmpl w:val="6EAA4D1F"/>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Times New Roman" w:hAnsi="Times New Roman" w:eastAsia="宋体" w:cs="Times New Roman"/>
        <w:b/>
        <w:bCs w:val="0"/>
        <w:sz w:val="28"/>
        <w:szCs w:val="28"/>
      </w:rPr>
    </w:lvl>
    <w:lvl w:ilvl="2" w:tentative="0">
      <w:start w:val="1"/>
      <w:numFmt w:val="decimal"/>
      <w:lvlText w:val="%1.%2.%3"/>
      <w:lvlJc w:val="left"/>
      <w:pPr>
        <w:ind w:left="3261"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abstractNum w:abstractNumId="51">
    <w:nsid w:val="78D967BD"/>
    <w:multiLevelType w:val="multilevel"/>
    <w:tmpl w:val="78D967BD"/>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52">
    <w:nsid w:val="79F570BF"/>
    <w:multiLevelType w:val="multilevel"/>
    <w:tmpl w:val="79F570BF"/>
    <w:lvl w:ilvl="0" w:tentative="0">
      <w:start w:val="1"/>
      <w:numFmt w:val="decimal"/>
      <w:lvlText w:val="%1"/>
      <w:lvlJc w:val="left"/>
      <w:pPr>
        <w:ind w:left="842" w:hanging="360"/>
      </w:pPr>
      <w:rPr>
        <w:rFonts w:hint="default"/>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53">
    <w:nsid w:val="7AB4120B"/>
    <w:multiLevelType w:val="multilevel"/>
    <w:tmpl w:val="7AB4120B"/>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54">
    <w:nsid w:val="7B4E214D"/>
    <w:multiLevelType w:val="multilevel"/>
    <w:tmpl w:val="7B4E214D"/>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55">
    <w:nsid w:val="7DB6114F"/>
    <w:multiLevelType w:val="multilevel"/>
    <w:tmpl w:val="7DB6114F"/>
    <w:lvl w:ilvl="0" w:tentative="0">
      <w:start w:val="1"/>
      <w:numFmt w:val="decimal"/>
      <w:lvlText w:val="%1"/>
      <w:lvlJc w:val="left"/>
      <w:pPr>
        <w:ind w:left="854" w:hanging="372"/>
      </w:pPr>
      <w:rPr>
        <w:rFonts w:hint="default" w:ascii="Times New Roman" w:hAnsi="Times New Roman" w:cs="Times New Roman"/>
        <w:b/>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56">
    <w:nsid w:val="7DF60AA4"/>
    <w:multiLevelType w:val="multilevel"/>
    <w:tmpl w:val="7DF60AA4"/>
    <w:lvl w:ilvl="0" w:tentative="0">
      <w:start w:val="1"/>
      <w:numFmt w:val="decimal"/>
      <w:lvlText w:val="%1"/>
      <w:lvlJc w:val="left"/>
      <w:pPr>
        <w:ind w:left="425" w:hanging="425"/>
      </w:pPr>
      <w:rPr>
        <w:rFonts w:hint="default"/>
        <w:b/>
        <w:bCs w:val="0"/>
      </w:rPr>
    </w:lvl>
    <w:lvl w:ilvl="1" w:tentative="0">
      <w:start w:val="1"/>
      <w:numFmt w:val="decimal"/>
      <w:lvlText w:val="%1.%2"/>
      <w:lvlJc w:val="left"/>
      <w:pPr>
        <w:ind w:left="992" w:hanging="567"/>
      </w:pPr>
      <w:rPr>
        <w:rFonts w:hint="default" w:ascii="宋体" w:hAnsi="宋体" w:eastAsia="宋体" w:cs="Times New Roman"/>
        <w:b/>
        <w:bCs w:val="0"/>
        <w:sz w:val="28"/>
        <w:szCs w:val="28"/>
      </w:rPr>
    </w:lvl>
    <w:lvl w:ilvl="2" w:tentative="0">
      <w:start w:val="1"/>
      <w:numFmt w:val="decimal"/>
      <w:lvlText w:val="%1.%2.%3"/>
      <w:lvlJc w:val="left"/>
      <w:pPr>
        <w:ind w:left="2978" w:hanging="567"/>
      </w:pPr>
      <w:rPr>
        <w:rFonts w:hint="default" w:ascii="Times New Roman" w:hAnsi="Times New Roman" w:eastAsia="宋体" w:cs="Times New Roman"/>
        <w:b/>
        <w:bCs/>
        <w:color w:val="auto"/>
        <w:sz w:val="24"/>
        <w:szCs w:val="24"/>
      </w:rPr>
    </w:lvl>
    <w:lvl w:ilvl="3" w:tentative="0">
      <w:start w:val="1"/>
      <w:numFmt w:val="decimal"/>
      <w:lvlText w:val="%1.%2.%3.%4"/>
      <w:lvlJc w:val="left"/>
      <w:pPr>
        <w:ind w:left="1984" w:hanging="708"/>
      </w:pPr>
      <w:rPr>
        <w:rFonts w:hint="default"/>
      </w:rPr>
    </w:lvl>
    <w:lvl w:ilvl="4" w:tentative="0">
      <w:start w:val="1"/>
      <w:numFmt w:val="decimal"/>
      <w:lvlText w:val="%1.%2.%3.%4.%5"/>
      <w:lvlJc w:val="left"/>
      <w:pPr>
        <w:ind w:left="2551" w:hanging="850"/>
      </w:pPr>
      <w:rPr>
        <w:rFonts w:hint="default"/>
      </w:rPr>
    </w:lvl>
    <w:lvl w:ilvl="5" w:tentative="0">
      <w:start w:val="1"/>
      <w:numFmt w:val="decimal"/>
      <w:lvlText w:val="%1.%2.%3.%4.%5.%6"/>
      <w:lvlJc w:val="left"/>
      <w:pPr>
        <w:ind w:left="3260" w:hanging="1134"/>
      </w:pPr>
      <w:rPr>
        <w:rFonts w:hint="default"/>
      </w:rPr>
    </w:lvl>
    <w:lvl w:ilvl="6" w:tentative="0">
      <w:start w:val="1"/>
      <w:numFmt w:val="decimal"/>
      <w:lvlText w:val="%1.%2.%3.%4.%5.%6.%7"/>
      <w:lvlJc w:val="left"/>
      <w:pPr>
        <w:ind w:left="3827" w:hanging="1276"/>
      </w:pPr>
      <w:rPr>
        <w:rFonts w:hint="default"/>
      </w:rPr>
    </w:lvl>
    <w:lvl w:ilvl="7" w:tentative="0">
      <w:start w:val="1"/>
      <w:numFmt w:val="decimal"/>
      <w:lvlText w:val="%1.%2.%3.%4.%5.%6.%7.%8"/>
      <w:lvlJc w:val="left"/>
      <w:pPr>
        <w:ind w:left="4394" w:hanging="1418"/>
      </w:pPr>
      <w:rPr>
        <w:rFonts w:hint="default"/>
      </w:rPr>
    </w:lvl>
    <w:lvl w:ilvl="8" w:tentative="0">
      <w:start w:val="1"/>
      <w:numFmt w:val="decimal"/>
      <w:lvlText w:val="%1.%2.%3.%4.%5.%6.%7.%8.%9"/>
      <w:lvlJc w:val="left"/>
      <w:pPr>
        <w:ind w:left="5102" w:hanging="1700"/>
      </w:pPr>
      <w:rPr>
        <w:rFonts w:hint="default"/>
      </w:rPr>
    </w:lvl>
  </w:abstractNum>
  <w:num w:numId="1">
    <w:abstractNumId w:val="46"/>
  </w:num>
  <w:num w:numId="2">
    <w:abstractNumId w:val="50"/>
  </w:num>
  <w:num w:numId="3">
    <w:abstractNumId w:val="48"/>
    <w:lvlOverride w:ilvl="0">
      <w:lvl w:ilvl="0" w:tentative="1">
        <w:start w:val="0"/>
        <w:numFmt w:val="decimal"/>
        <w:lvlText w:val=""/>
        <w:lvlJc w:val="left"/>
      </w:lvl>
    </w:lvlOverride>
    <w:lvlOverride w:ilvl="1">
      <w:lvl w:ilvl="1" w:tentative="1">
        <w:start w:val="1"/>
        <w:numFmt w:val="decimal"/>
        <w:lvlText w:val="%1.%2"/>
        <w:lvlJc w:val="left"/>
        <w:pPr>
          <w:ind w:left="425" w:hanging="425"/>
        </w:pPr>
        <w:rPr>
          <w:rFonts w:hint="default" w:ascii="Times New Roman" w:hAnsi="Times New Roman" w:eastAsia="宋体"/>
          <w:b/>
          <w:bCs w:val="0"/>
          <w:sz w:val="24"/>
        </w:rPr>
      </w:lvl>
    </w:lvlOverride>
    <w:lvlOverride w:ilvl="2">
      <w:lvl w:ilvl="2" w:tentative="1">
        <w:start w:val="1"/>
        <w:numFmt w:val="decimal"/>
        <w:lvlText w:val="%1.%2.%3"/>
        <w:lvlJc w:val="left"/>
        <w:pPr>
          <w:ind w:left="425" w:hanging="425"/>
        </w:pPr>
        <w:rPr>
          <w:rFonts w:hint="eastAsia"/>
          <w:b/>
          <w:bCs w:val="0"/>
        </w:rPr>
      </w:lvl>
    </w:lvlOverride>
  </w:num>
  <w:num w:numId="4">
    <w:abstractNumId w:val="8"/>
  </w:num>
  <w:num w:numId="5">
    <w:abstractNumId w:val="49"/>
  </w:num>
  <w:num w:numId="6">
    <w:abstractNumId w:val="55"/>
  </w:num>
  <w:num w:numId="7">
    <w:abstractNumId w:val="30"/>
  </w:num>
  <w:num w:numId="8">
    <w:abstractNumId w:val="13"/>
  </w:num>
  <w:num w:numId="9">
    <w:abstractNumId w:val="42"/>
  </w:num>
  <w:num w:numId="10">
    <w:abstractNumId w:val="41"/>
  </w:num>
  <w:num w:numId="11">
    <w:abstractNumId w:val="32"/>
  </w:num>
  <w:num w:numId="12">
    <w:abstractNumId w:val="25"/>
  </w:num>
  <w:num w:numId="13">
    <w:abstractNumId w:val="5"/>
  </w:num>
  <w:num w:numId="14">
    <w:abstractNumId w:val="19"/>
  </w:num>
  <w:num w:numId="15">
    <w:abstractNumId w:val="45"/>
  </w:num>
  <w:num w:numId="16">
    <w:abstractNumId w:val="0"/>
  </w:num>
  <w:num w:numId="17">
    <w:abstractNumId w:val="52"/>
  </w:num>
  <w:num w:numId="18">
    <w:abstractNumId w:val="47"/>
  </w:num>
  <w:num w:numId="19">
    <w:abstractNumId w:val="53"/>
  </w:num>
  <w:num w:numId="20">
    <w:abstractNumId w:val="54"/>
  </w:num>
  <w:num w:numId="21">
    <w:abstractNumId w:val="3"/>
  </w:num>
  <w:num w:numId="22">
    <w:abstractNumId w:val="33"/>
  </w:num>
  <w:num w:numId="23">
    <w:abstractNumId w:val="20"/>
  </w:num>
  <w:num w:numId="24">
    <w:abstractNumId w:val="1"/>
  </w:num>
  <w:num w:numId="25">
    <w:abstractNumId w:val="34"/>
  </w:num>
  <w:num w:numId="26">
    <w:abstractNumId w:val="37"/>
  </w:num>
  <w:num w:numId="27">
    <w:abstractNumId w:val="21"/>
  </w:num>
  <w:num w:numId="28">
    <w:abstractNumId w:val="56"/>
  </w:num>
  <w:num w:numId="29">
    <w:abstractNumId w:val="44"/>
  </w:num>
  <w:num w:numId="30">
    <w:abstractNumId w:val="31"/>
  </w:num>
  <w:num w:numId="31">
    <w:abstractNumId w:val="35"/>
  </w:num>
  <w:num w:numId="32">
    <w:abstractNumId w:val="14"/>
  </w:num>
  <w:num w:numId="33">
    <w:abstractNumId w:val="26"/>
  </w:num>
  <w:num w:numId="34">
    <w:abstractNumId w:val="11"/>
  </w:num>
  <w:num w:numId="35">
    <w:abstractNumId w:val="2"/>
  </w:num>
  <w:num w:numId="36">
    <w:abstractNumId w:val="38"/>
  </w:num>
  <w:num w:numId="37">
    <w:abstractNumId w:val="40"/>
  </w:num>
  <w:num w:numId="38">
    <w:abstractNumId w:val="6"/>
  </w:num>
  <w:num w:numId="39">
    <w:abstractNumId w:val="12"/>
  </w:num>
  <w:num w:numId="40">
    <w:abstractNumId w:val="22"/>
  </w:num>
  <w:num w:numId="41">
    <w:abstractNumId w:val="36"/>
  </w:num>
  <w:num w:numId="42">
    <w:abstractNumId w:val="24"/>
  </w:num>
  <w:num w:numId="43">
    <w:abstractNumId w:val="17"/>
  </w:num>
  <w:num w:numId="44">
    <w:abstractNumId w:val="15"/>
  </w:num>
  <w:num w:numId="45">
    <w:abstractNumId w:val="16"/>
  </w:num>
  <w:num w:numId="46">
    <w:abstractNumId w:val="23"/>
  </w:num>
  <w:num w:numId="47">
    <w:abstractNumId w:val="39"/>
  </w:num>
  <w:num w:numId="48">
    <w:abstractNumId w:val="4"/>
  </w:num>
  <w:num w:numId="49">
    <w:abstractNumId w:val="18"/>
  </w:num>
  <w:num w:numId="50">
    <w:abstractNumId w:val="51"/>
  </w:num>
  <w:num w:numId="51">
    <w:abstractNumId w:val="7"/>
  </w:num>
  <w:num w:numId="52">
    <w:abstractNumId w:val="9"/>
  </w:num>
  <w:num w:numId="53">
    <w:abstractNumId w:val="27"/>
  </w:num>
  <w:num w:numId="54">
    <w:abstractNumId w:val="28"/>
  </w:num>
  <w:num w:numId="55">
    <w:abstractNumId w:val="29"/>
  </w:num>
  <w:num w:numId="56">
    <w:abstractNumId w:val="10"/>
  </w:num>
  <w:num w:numId="5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RjNmQ2ZjViZTEzMTdhNmY4NTFlOGJlN2MwNTA5ZDkifQ=="/>
  </w:docVars>
  <w:rsids>
    <w:rsidRoot w:val="00396523"/>
    <w:rsid w:val="000000C1"/>
    <w:rsid w:val="000020C4"/>
    <w:rsid w:val="00002FDE"/>
    <w:rsid w:val="000031F8"/>
    <w:rsid w:val="00004BEC"/>
    <w:rsid w:val="00010FD1"/>
    <w:rsid w:val="0001129B"/>
    <w:rsid w:val="00012781"/>
    <w:rsid w:val="00012BDE"/>
    <w:rsid w:val="00013ABD"/>
    <w:rsid w:val="00014635"/>
    <w:rsid w:val="000162DA"/>
    <w:rsid w:val="00017A3A"/>
    <w:rsid w:val="00017CB4"/>
    <w:rsid w:val="0002042A"/>
    <w:rsid w:val="00022317"/>
    <w:rsid w:val="000226A4"/>
    <w:rsid w:val="00022C14"/>
    <w:rsid w:val="0002619F"/>
    <w:rsid w:val="000278C4"/>
    <w:rsid w:val="00031A77"/>
    <w:rsid w:val="00032464"/>
    <w:rsid w:val="00035194"/>
    <w:rsid w:val="00035E4E"/>
    <w:rsid w:val="00036D74"/>
    <w:rsid w:val="00037422"/>
    <w:rsid w:val="00040A52"/>
    <w:rsid w:val="00042450"/>
    <w:rsid w:val="00043D7C"/>
    <w:rsid w:val="00044B38"/>
    <w:rsid w:val="00044C4F"/>
    <w:rsid w:val="00045267"/>
    <w:rsid w:val="000461D5"/>
    <w:rsid w:val="000463A5"/>
    <w:rsid w:val="00047635"/>
    <w:rsid w:val="000505CF"/>
    <w:rsid w:val="00052357"/>
    <w:rsid w:val="00053AF2"/>
    <w:rsid w:val="00054B57"/>
    <w:rsid w:val="00055721"/>
    <w:rsid w:val="0005572C"/>
    <w:rsid w:val="00057412"/>
    <w:rsid w:val="000575C6"/>
    <w:rsid w:val="0006289B"/>
    <w:rsid w:val="00063593"/>
    <w:rsid w:val="00063DBA"/>
    <w:rsid w:val="000649A9"/>
    <w:rsid w:val="00064D6A"/>
    <w:rsid w:val="00065FD9"/>
    <w:rsid w:val="0006650E"/>
    <w:rsid w:val="00066A30"/>
    <w:rsid w:val="000704D6"/>
    <w:rsid w:val="00071748"/>
    <w:rsid w:val="0007198C"/>
    <w:rsid w:val="00071F8D"/>
    <w:rsid w:val="00073716"/>
    <w:rsid w:val="00075AB6"/>
    <w:rsid w:val="00076E63"/>
    <w:rsid w:val="00080008"/>
    <w:rsid w:val="0008094F"/>
    <w:rsid w:val="00082164"/>
    <w:rsid w:val="00082257"/>
    <w:rsid w:val="00082847"/>
    <w:rsid w:val="0008308C"/>
    <w:rsid w:val="000838BC"/>
    <w:rsid w:val="00083D7E"/>
    <w:rsid w:val="00084A2A"/>
    <w:rsid w:val="00084E27"/>
    <w:rsid w:val="00084EC1"/>
    <w:rsid w:val="00085BDC"/>
    <w:rsid w:val="00086760"/>
    <w:rsid w:val="00093C5A"/>
    <w:rsid w:val="00094F4C"/>
    <w:rsid w:val="00095354"/>
    <w:rsid w:val="000957B7"/>
    <w:rsid w:val="000A1EDE"/>
    <w:rsid w:val="000A2113"/>
    <w:rsid w:val="000A21ED"/>
    <w:rsid w:val="000A3DFC"/>
    <w:rsid w:val="000A6741"/>
    <w:rsid w:val="000A717B"/>
    <w:rsid w:val="000A7777"/>
    <w:rsid w:val="000B0701"/>
    <w:rsid w:val="000B18C8"/>
    <w:rsid w:val="000B37BC"/>
    <w:rsid w:val="000B5D74"/>
    <w:rsid w:val="000B5ED1"/>
    <w:rsid w:val="000B5F5E"/>
    <w:rsid w:val="000B7CFE"/>
    <w:rsid w:val="000C398A"/>
    <w:rsid w:val="000C3A26"/>
    <w:rsid w:val="000C4916"/>
    <w:rsid w:val="000C5206"/>
    <w:rsid w:val="000C6099"/>
    <w:rsid w:val="000C7CBD"/>
    <w:rsid w:val="000D0EB1"/>
    <w:rsid w:val="000D3904"/>
    <w:rsid w:val="000D431B"/>
    <w:rsid w:val="000D44C0"/>
    <w:rsid w:val="000D5339"/>
    <w:rsid w:val="000D7F55"/>
    <w:rsid w:val="000E02C6"/>
    <w:rsid w:val="000E28D1"/>
    <w:rsid w:val="000E3401"/>
    <w:rsid w:val="000E5F37"/>
    <w:rsid w:val="000F0564"/>
    <w:rsid w:val="000F098D"/>
    <w:rsid w:val="000F10B8"/>
    <w:rsid w:val="000F26CF"/>
    <w:rsid w:val="000F62A9"/>
    <w:rsid w:val="000F644B"/>
    <w:rsid w:val="000F73D5"/>
    <w:rsid w:val="001025D0"/>
    <w:rsid w:val="00103357"/>
    <w:rsid w:val="00103CE5"/>
    <w:rsid w:val="00104F25"/>
    <w:rsid w:val="00105832"/>
    <w:rsid w:val="0010687A"/>
    <w:rsid w:val="001103F5"/>
    <w:rsid w:val="00110432"/>
    <w:rsid w:val="001124A5"/>
    <w:rsid w:val="00112CCC"/>
    <w:rsid w:val="00116B0C"/>
    <w:rsid w:val="00116F59"/>
    <w:rsid w:val="00117152"/>
    <w:rsid w:val="001232B3"/>
    <w:rsid w:val="0012451C"/>
    <w:rsid w:val="00126485"/>
    <w:rsid w:val="00126E48"/>
    <w:rsid w:val="0013021D"/>
    <w:rsid w:val="00132629"/>
    <w:rsid w:val="0013271A"/>
    <w:rsid w:val="001333D0"/>
    <w:rsid w:val="00135724"/>
    <w:rsid w:val="00136EFB"/>
    <w:rsid w:val="00137F1D"/>
    <w:rsid w:val="001405B4"/>
    <w:rsid w:val="00140A27"/>
    <w:rsid w:val="00140B88"/>
    <w:rsid w:val="00142542"/>
    <w:rsid w:val="00142876"/>
    <w:rsid w:val="00146901"/>
    <w:rsid w:val="00146AEA"/>
    <w:rsid w:val="00146E3D"/>
    <w:rsid w:val="00150DE7"/>
    <w:rsid w:val="00151061"/>
    <w:rsid w:val="00151EB4"/>
    <w:rsid w:val="001526EA"/>
    <w:rsid w:val="001528F8"/>
    <w:rsid w:val="00154FFD"/>
    <w:rsid w:val="00156AB0"/>
    <w:rsid w:val="0015731E"/>
    <w:rsid w:val="001579A3"/>
    <w:rsid w:val="00157FCD"/>
    <w:rsid w:val="0016020D"/>
    <w:rsid w:val="00160C8A"/>
    <w:rsid w:val="00160EEC"/>
    <w:rsid w:val="00161656"/>
    <w:rsid w:val="00161F3B"/>
    <w:rsid w:val="0016502F"/>
    <w:rsid w:val="001667C0"/>
    <w:rsid w:val="001669CD"/>
    <w:rsid w:val="00170370"/>
    <w:rsid w:val="001705EA"/>
    <w:rsid w:val="0017152E"/>
    <w:rsid w:val="00172485"/>
    <w:rsid w:val="001734C7"/>
    <w:rsid w:val="00174CD8"/>
    <w:rsid w:val="00175870"/>
    <w:rsid w:val="001765E8"/>
    <w:rsid w:val="00177932"/>
    <w:rsid w:val="00177DD1"/>
    <w:rsid w:val="00182497"/>
    <w:rsid w:val="00182748"/>
    <w:rsid w:val="00182D6D"/>
    <w:rsid w:val="00183E9F"/>
    <w:rsid w:val="00184CEC"/>
    <w:rsid w:val="00185771"/>
    <w:rsid w:val="00190051"/>
    <w:rsid w:val="00190064"/>
    <w:rsid w:val="00190514"/>
    <w:rsid w:val="00190BDC"/>
    <w:rsid w:val="00191A4A"/>
    <w:rsid w:val="00192DD0"/>
    <w:rsid w:val="001932F1"/>
    <w:rsid w:val="00196A54"/>
    <w:rsid w:val="001A14FD"/>
    <w:rsid w:val="001A181F"/>
    <w:rsid w:val="001A20D2"/>
    <w:rsid w:val="001A21F7"/>
    <w:rsid w:val="001A24FA"/>
    <w:rsid w:val="001A3A34"/>
    <w:rsid w:val="001A7614"/>
    <w:rsid w:val="001B0355"/>
    <w:rsid w:val="001B0FAF"/>
    <w:rsid w:val="001B12AA"/>
    <w:rsid w:val="001B2F3F"/>
    <w:rsid w:val="001B3469"/>
    <w:rsid w:val="001B4040"/>
    <w:rsid w:val="001B431C"/>
    <w:rsid w:val="001B4524"/>
    <w:rsid w:val="001B53EA"/>
    <w:rsid w:val="001B6074"/>
    <w:rsid w:val="001B6485"/>
    <w:rsid w:val="001B670A"/>
    <w:rsid w:val="001B7EC5"/>
    <w:rsid w:val="001C1254"/>
    <w:rsid w:val="001C2226"/>
    <w:rsid w:val="001C44EB"/>
    <w:rsid w:val="001D0EDC"/>
    <w:rsid w:val="001D155F"/>
    <w:rsid w:val="001D16FC"/>
    <w:rsid w:val="001D1FB7"/>
    <w:rsid w:val="001D3F9C"/>
    <w:rsid w:val="001D463E"/>
    <w:rsid w:val="001D5A1A"/>
    <w:rsid w:val="001D5AFA"/>
    <w:rsid w:val="001D6CFF"/>
    <w:rsid w:val="001D7EE3"/>
    <w:rsid w:val="001E0521"/>
    <w:rsid w:val="001E0C50"/>
    <w:rsid w:val="001E0FCD"/>
    <w:rsid w:val="001E10B5"/>
    <w:rsid w:val="001E3887"/>
    <w:rsid w:val="001E4A7A"/>
    <w:rsid w:val="001E4B0D"/>
    <w:rsid w:val="001E4C0E"/>
    <w:rsid w:val="001E572D"/>
    <w:rsid w:val="001E60CE"/>
    <w:rsid w:val="001E71E2"/>
    <w:rsid w:val="001F0211"/>
    <w:rsid w:val="001F1AA5"/>
    <w:rsid w:val="001F33C5"/>
    <w:rsid w:val="001F4ED9"/>
    <w:rsid w:val="00203126"/>
    <w:rsid w:val="002032FC"/>
    <w:rsid w:val="0020497E"/>
    <w:rsid w:val="00205AA9"/>
    <w:rsid w:val="00207FDD"/>
    <w:rsid w:val="00210D71"/>
    <w:rsid w:val="00211502"/>
    <w:rsid w:val="00214700"/>
    <w:rsid w:val="00214DEA"/>
    <w:rsid w:val="00217EFE"/>
    <w:rsid w:val="002205F0"/>
    <w:rsid w:val="002208BF"/>
    <w:rsid w:val="00221D51"/>
    <w:rsid w:val="00222782"/>
    <w:rsid w:val="00223C12"/>
    <w:rsid w:val="00224581"/>
    <w:rsid w:val="002251B8"/>
    <w:rsid w:val="00226AF1"/>
    <w:rsid w:val="00226F39"/>
    <w:rsid w:val="00227C88"/>
    <w:rsid w:val="00227EEC"/>
    <w:rsid w:val="00230863"/>
    <w:rsid w:val="0023134B"/>
    <w:rsid w:val="002326D9"/>
    <w:rsid w:val="00235729"/>
    <w:rsid w:val="00237D1C"/>
    <w:rsid w:val="00237DEF"/>
    <w:rsid w:val="00243398"/>
    <w:rsid w:val="00243C66"/>
    <w:rsid w:val="002452F0"/>
    <w:rsid w:val="0024555E"/>
    <w:rsid w:val="00246635"/>
    <w:rsid w:val="00247813"/>
    <w:rsid w:val="002504F0"/>
    <w:rsid w:val="00254854"/>
    <w:rsid w:val="00254FAF"/>
    <w:rsid w:val="00255BE1"/>
    <w:rsid w:val="0025658D"/>
    <w:rsid w:val="00257727"/>
    <w:rsid w:val="00264628"/>
    <w:rsid w:val="002649E2"/>
    <w:rsid w:val="002662E2"/>
    <w:rsid w:val="002703D3"/>
    <w:rsid w:val="00272A02"/>
    <w:rsid w:val="002732A5"/>
    <w:rsid w:val="00273617"/>
    <w:rsid w:val="00273CB4"/>
    <w:rsid w:val="00274910"/>
    <w:rsid w:val="00275974"/>
    <w:rsid w:val="00276ACC"/>
    <w:rsid w:val="00276E5E"/>
    <w:rsid w:val="00277608"/>
    <w:rsid w:val="00277BC4"/>
    <w:rsid w:val="0028069B"/>
    <w:rsid w:val="00281DF8"/>
    <w:rsid w:val="00281ED4"/>
    <w:rsid w:val="00282CB6"/>
    <w:rsid w:val="00282CB8"/>
    <w:rsid w:val="002832A2"/>
    <w:rsid w:val="00283A11"/>
    <w:rsid w:val="002851D4"/>
    <w:rsid w:val="00286BAE"/>
    <w:rsid w:val="0029247F"/>
    <w:rsid w:val="002937B7"/>
    <w:rsid w:val="00294B5A"/>
    <w:rsid w:val="00295272"/>
    <w:rsid w:val="00296AD7"/>
    <w:rsid w:val="00297316"/>
    <w:rsid w:val="002A0526"/>
    <w:rsid w:val="002A0E66"/>
    <w:rsid w:val="002A3360"/>
    <w:rsid w:val="002A609D"/>
    <w:rsid w:val="002A7972"/>
    <w:rsid w:val="002B1B11"/>
    <w:rsid w:val="002B2B41"/>
    <w:rsid w:val="002B48A4"/>
    <w:rsid w:val="002B49B8"/>
    <w:rsid w:val="002B5922"/>
    <w:rsid w:val="002B6728"/>
    <w:rsid w:val="002C0263"/>
    <w:rsid w:val="002C0689"/>
    <w:rsid w:val="002C0743"/>
    <w:rsid w:val="002C2810"/>
    <w:rsid w:val="002C2CDE"/>
    <w:rsid w:val="002C34FF"/>
    <w:rsid w:val="002C3CD7"/>
    <w:rsid w:val="002C6D3E"/>
    <w:rsid w:val="002C6E0D"/>
    <w:rsid w:val="002D0B55"/>
    <w:rsid w:val="002D41B9"/>
    <w:rsid w:val="002D54BD"/>
    <w:rsid w:val="002D5A3E"/>
    <w:rsid w:val="002D6327"/>
    <w:rsid w:val="002D65F0"/>
    <w:rsid w:val="002D6B11"/>
    <w:rsid w:val="002D73E3"/>
    <w:rsid w:val="002E08F7"/>
    <w:rsid w:val="002E1968"/>
    <w:rsid w:val="002E225A"/>
    <w:rsid w:val="002E2BB7"/>
    <w:rsid w:val="002E33E3"/>
    <w:rsid w:val="002E64A0"/>
    <w:rsid w:val="002E7B7B"/>
    <w:rsid w:val="002F04CA"/>
    <w:rsid w:val="002F4EE3"/>
    <w:rsid w:val="003006A4"/>
    <w:rsid w:val="003041E4"/>
    <w:rsid w:val="0030535D"/>
    <w:rsid w:val="0030753C"/>
    <w:rsid w:val="00307A42"/>
    <w:rsid w:val="00312353"/>
    <w:rsid w:val="003129FC"/>
    <w:rsid w:val="0031379C"/>
    <w:rsid w:val="00313999"/>
    <w:rsid w:val="00314C75"/>
    <w:rsid w:val="00314CB0"/>
    <w:rsid w:val="00317033"/>
    <w:rsid w:val="0031766A"/>
    <w:rsid w:val="00317D14"/>
    <w:rsid w:val="003204E5"/>
    <w:rsid w:val="003206BA"/>
    <w:rsid w:val="00320777"/>
    <w:rsid w:val="00322500"/>
    <w:rsid w:val="00326805"/>
    <w:rsid w:val="00327804"/>
    <w:rsid w:val="00327909"/>
    <w:rsid w:val="0033172C"/>
    <w:rsid w:val="00332065"/>
    <w:rsid w:val="0033277B"/>
    <w:rsid w:val="003329A6"/>
    <w:rsid w:val="00333985"/>
    <w:rsid w:val="00334E5A"/>
    <w:rsid w:val="003378E3"/>
    <w:rsid w:val="003379CB"/>
    <w:rsid w:val="00337F0A"/>
    <w:rsid w:val="00340CBF"/>
    <w:rsid w:val="003411A6"/>
    <w:rsid w:val="00341799"/>
    <w:rsid w:val="003419A2"/>
    <w:rsid w:val="00342181"/>
    <w:rsid w:val="003425A3"/>
    <w:rsid w:val="00342B9F"/>
    <w:rsid w:val="00342EAD"/>
    <w:rsid w:val="00343646"/>
    <w:rsid w:val="003442D6"/>
    <w:rsid w:val="00344A51"/>
    <w:rsid w:val="003453EA"/>
    <w:rsid w:val="003461CE"/>
    <w:rsid w:val="003464B5"/>
    <w:rsid w:val="00347CBC"/>
    <w:rsid w:val="00350A22"/>
    <w:rsid w:val="00351F4C"/>
    <w:rsid w:val="003524DC"/>
    <w:rsid w:val="00352641"/>
    <w:rsid w:val="00354FA2"/>
    <w:rsid w:val="00355BB1"/>
    <w:rsid w:val="00355CFA"/>
    <w:rsid w:val="0035649D"/>
    <w:rsid w:val="003628F6"/>
    <w:rsid w:val="00362EBF"/>
    <w:rsid w:val="003631A6"/>
    <w:rsid w:val="003637C7"/>
    <w:rsid w:val="00366A04"/>
    <w:rsid w:val="00366A51"/>
    <w:rsid w:val="0036785F"/>
    <w:rsid w:val="00367F57"/>
    <w:rsid w:val="0037204D"/>
    <w:rsid w:val="00373057"/>
    <w:rsid w:val="00373E48"/>
    <w:rsid w:val="003748FC"/>
    <w:rsid w:val="00374F95"/>
    <w:rsid w:val="00376E64"/>
    <w:rsid w:val="003770BB"/>
    <w:rsid w:val="003813D6"/>
    <w:rsid w:val="003840AD"/>
    <w:rsid w:val="0039008C"/>
    <w:rsid w:val="00394F1A"/>
    <w:rsid w:val="00396523"/>
    <w:rsid w:val="00396825"/>
    <w:rsid w:val="003A0C27"/>
    <w:rsid w:val="003A234B"/>
    <w:rsid w:val="003A2657"/>
    <w:rsid w:val="003A2BAD"/>
    <w:rsid w:val="003A37AA"/>
    <w:rsid w:val="003A5069"/>
    <w:rsid w:val="003A60FF"/>
    <w:rsid w:val="003B274F"/>
    <w:rsid w:val="003B33BC"/>
    <w:rsid w:val="003B344E"/>
    <w:rsid w:val="003B4F14"/>
    <w:rsid w:val="003B590F"/>
    <w:rsid w:val="003B65ED"/>
    <w:rsid w:val="003C1147"/>
    <w:rsid w:val="003C3782"/>
    <w:rsid w:val="003C4F74"/>
    <w:rsid w:val="003C52D2"/>
    <w:rsid w:val="003C60F3"/>
    <w:rsid w:val="003C665F"/>
    <w:rsid w:val="003C754B"/>
    <w:rsid w:val="003C7F5E"/>
    <w:rsid w:val="003D00AD"/>
    <w:rsid w:val="003D08A6"/>
    <w:rsid w:val="003D2340"/>
    <w:rsid w:val="003D2773"/>
    <w:rsid w:val="003D3BFB"/>
    <w:rsid w:val="003D7B18"/>
    <w:rsid w:val="003E021F"/>
    <w:rsid w:val="003E102D"/>
    <w:rsid w:val="003E1587"/>
    <w:rsid w:val="003E3FC5"/>
    <w:rsid w:val="003E4345"/>
    <w:rsid w:val="003E5EB5"/>
    <w:rsid w:val="003E626E"/>
    <w:rsid w:val="003F195D"/>
    <w:rsid w:val="003F2A08"/>
    <w:rsid w:val="003F2D69"/>
    <w:rsid w:val="003F3370"/>
    <w:rsid w:val="003F34A0"/>
    <w:rsid w:val="003F5120"/>
    <w:rsid w:val="003F549B"/>
    <w:rsid w:val="003F61C1"/>
    <w:rsid w:val="003F6861"/>
    <w:rsid w:val="003F6897"/>
    <w:rsid w:val="003F790E"/>
    <w:rsid w:val="003F7BE4"/>
    <w:rsid w:val="003F7CD8"/>
    <w:rsid w:val="004008FE"/>
    <w:rsid w:val="00402DD8"/>
    <w:rsid w:val="0040351E"/>
    <w:rsid w:val="004040C9"/>
    <w:rsid w:val="00405F15"/>
    <w:rsid w:val="004063F1"/>
    <w:rsid w:val="004103C2"/>
    <w:rsid w:val="00411CAF"/>
    <w:rsid w:val="00415B87"/>
    <w:rsid w:val="00416A22"/>
    <w:rsid w:val="00416D23"/>
    <w:rsid w:val="00417784"/>
    <w:rsid w:val="00420276"/>
    <w:rsid w:val="0042063C"/>
    <w:rsid w:val="00421666"/>
    <w:rsid w:val="00421C65"/>
    <w:rsid w:val="004226DB"/>
    <w:rsid w:val="004244EA"/>
    <w:rsid w:val="00424702"/>
    <w:rsid w:val="004255E7"/>
    <w:rsid w:val="0042592C"/>
    <w:rsid w:val="004259B6"/>
    <w:rsid w:val="004266E5"/>
    <w:rsid w:val="004340A3"/>
    <w:rsid w:val="004369AD"/>
    <w:rsid w:val="00440D40"/>
    <w:rsid w:val="00441821"/>
    <w:rsid w:val="00441C33"/>
    <w:rsid w:val="00441CE6"/>
    <w:rsid w:val="00442B92"/>
    <w:rsid w:val="00442D37"/>
    <w:rsid w:val="00443791"/>
    <w:rsid w:val="00446E75"/>
    <w:rsid w:val="0044710A"/>
    <w:rsid w:val="00447585"/>
    <w:rsid w:val="004513B4"/>
    <w:rsid w:val="00452D1E"/>
    <w:rsid w:val="00454FFB"/>
    <w:rsid w:val="00455ACF"/>
    <w:rsid w:val="00457319"/>
    <w:rsid w:val="0046012F"/>
    <w:rsid w:val="00461A12"/>
    <w:rsid w:val="00461CF3"/>
    <w:rsid w:val="004643AE"/>
    <w:rsid w:val="0046584B"/>
    <w:rsid w:val="0047003C"/>
    <w:rsid w:val="00471836"/>
    <w:rsid w:val="00472914"/>
    <w:rsid w:val="00472B3C"/>
    <w:rsid w:val="00472D81"/>
    <w:rsid w:val="004733CE"/>
    <w:rsid w:val="00474A00"/>
    <w:rsid w:val="00474D5D"/>
    <w:rsid w:val="0047543A"/>
    <w:rsid w:val="00476F58"/>
    <w:rsid w:val="004774B4"/>
    <w:rsid w:val="00477EF9"/>
    <w:rsid w:val="00480515"/>
    <w:rsid w:val="00480642"/>
    <w:rsid w:val="004810E0"/>
    <w:rsid w:val="00483ABB"/>
    <w:rsid w:val="00484FBE"/>
    <w:rsid w:val="00485BA1"/>
    <w:rsid w:val="00487B25"/>
    <w:rsid w:val="0049037C"/>
    <w:rsid w:val="00491CD7"/>
    <w:rsid w:val="0049257C"/>
    <w:rsid w:val="0049291F"/>
    <w:rsid w:val="00492EF9"/>
    <w:rsid w:val="00493A43"/>
    <w:rsid w:val="004A11A2"/>
    <w:rsid w:val="004A1545"/>
    <w:rsid w:val="004A1837"/>
    <w:rsid w:val="004A2229"/>
    <w:rsid w:val="004A36E2"/>
    <w:rsid w:val="004A39CE"/>
    <w:rsid w:val="004A4082"/>
    <w:rsid w:val="004A42B1"/>
    <w:rsid w:val="004A4512"/>
    <w:rsid w:val="004A4517"/>
    <w:rsid w:val="004A4689"/>
    <w:rsid w:val="004A5D8F"/>
    <w:rsid w:val="004A7F4C"/>
    <w:rsid w:val="004B08B4"/>
    <w:rsid w:val="004B2EC2"/>
    <w:rsid w:val="004B314E"/>
    <w:rsid w:val="004B48E6"/>
    <w:rsid w:val="004B4A9D"/>
    <w:rsid w:val="004B6B27"/>
    <w:rsid w:val="004C508A"/>
    <w:rsid w:val="004C724D"/>
    <w:rsid w:val="004C7B6D"/>
    <w:rsid w:val="004D05CA"/>
    <w:rsid w:val="004D07FA"/>
    <w:rsid w:val="004D15F2"/>
    <w:rsid w:val="004D40DC"/>
    <w:rsid w:val="004D49A8"/>
    <w:rsid w:val="004D6A7F"/>
    <w:rsid w:val="004D6C2F"/>
    <w:rsid w:val="004D6F18"/>
    <w:rsid w:val="004E1893"/>
    <w:rsid w:val="004E195F"/>
    <w:rsid w:val="004E1D7D"/>
    <w:rsid w:val="004E23AF"/>
    <w:rsid w:val="004E2557"/>
    <w:rsid w:val="004E4767"/>
    <w:rsid w:val="004E4FDD"/>
    <w:rsid w:val="004E5E2D"/>
    <w:rsid w:val="004F0BAA"/>
    <w:rsid w:val="004F1BD3"/>
    <w:rsid w:val="004F1BFD"/>
    <w:rsid w:val="004F1FB4"/>
    <w:rsid w:val="004F4270"/>
    <w:rsid w:val="004F514F"/>
    <w:rsid w:val="004F58D4"/>
    <w:rsid w:val="004F600E"/>
    <w:rsid w:val="004F762D"/>
    <w:rsid w:val="00500876"/>
    <w:rsid w:val="00500D71"/>
    <w:rsid w:val="00501376"/>
    <w:rsid w:val="00502AE5"/>
    <w:rsid w:val="00506CAB"/>
    <w:rsid w:val="00506DFE"/>
    <w:rsid w:val="00510411"/>
    <w:rsid w:val="005111FC"/>
    <w:rsid w:val="0051144F"/>
    <w:rsid w:val="00511745"/>
    <w:rsid w:val="00511D8D"/>
    <w:rsid w:val="00512988"/>
    <w:rsid w:val="00512A8D"/>
    <w:rsid w:val="00512CCE"/>
    <w:rsid w:val="00512D8B"/>
    <w:rsid w:val="0051311B"/>
    <w:rsid w:val="00513CC6"/>
    <w:rsid w:val="00513E3C"/>
    <w:rsid w:val="00514B18"/>
    <w:rsid w:val="005157A5"/>
    <w:rsid w:val="00515A2D"/>
    <w:rsid w:val="00515AC5"/>
    <w:rsid w:val="00517319"/>
    <w:rsid w:val="00517758"/>
    <w:rsid w:val="0052214C"/>
    <w:rsid w:val="00522C8F"/>
    <w:rsid w:val="00524498"/>
    <w:rsid w:val="00524ABB"/>
    <w:rsid w:val="00524D2B"/>
    <w:rsid w:val="00525B77"/>
    <w:rsid w:val="00525DCE"/>
    <w:rsid w:val="00525EFE"/>
    <w:rsid w:val="00526E23"/>
    <w:rsid w:val="00527AF6"/>
    <w:rsid w:val="005304AC"/>
    <w:rsid w:val="00530901"/>
    <w:rsid w:val="00532850"/>
    <w:rsid w:val="005348BD"/>
    <w:rsid w:val="00534C3C"/>
    <w:rsid w:val="00535000"/>
    <w:rsid w:val="00535F8A"/>
    <w:rsid w:val="00535FE7"/>
    <w:rsid w:val="00536052"/>
    <w:rsid w:val="005371DD"/>
    <w:rsid w:val="00540087"/>
    <w:rsid w:val="0054291F"/>
    <w:rsid w:val="00542CC5"/>
    <w:rsid w:val="005434F1"/>
    <w:rsid w:val="0054442B"/>
    <w:rsid w:val="00545356"/>
    <w:rsid w:val="005457AF"/>
    <w:rsid w:val="00546C59"/>
    <w:rsid w:val="00546DF7"/>
    <w:rsid w:val="00547612"/>
    <w:rsid w:val="00550E19"/>
    <w:rsid w:val="00550EAE"/>
    <w:rsid w:val="005517CD"/>
    <w:rsid w:val="00552FA3"/>
    <w:rsid w:val="00555636"/>
    <w:rsid w:val="00556EE1"/>
    <w:rsid w:val="005573FF"/>
    <w:rsid w:val="0056155A"/>
    <w:rsid w:val="005635D0"/>
    <w:rsid w:val="00564E79"/>
    <w:rsid w:val="00565ABD"/>
    <w:rsid w:val="005667AD"/>
    <w:rsid w:val="00566B6E"/>
    <w:rsid w:val="00567FC6"/>
    <w:rsid w:val="00571269"/>
    <w:rsid w:val="00572E6A"/>
    <w:rsid w:val="005737F5"/>
    <w:rsid w:val="00573AE1"/>
    <w:rsid w:val="00573B1B"/>
    <w:rsid w:val="00574062"/>
    <w:rsid w:val="00575899"/>
    <w:rsid w:val="00577BCD"/>
    <w:rsid w:val="005808D5"/>
    <w:rsid w:val="00580E13"/>
    <w:rsid w:val="00582DBF"/>
    <w:rsid w:val="0058454B"/>
    <w:rsid w:val="00586D99"/>
    <w:rsid w:val="00586EC8"/>
    <w:rsid w:val="00592238"/>
    <w:rsid w:val="00593425"/>
    <w:rsid w:val="005939D1"/>
    <w:rsid w:val="00593C5D"/>
    <w:rsid w:val="00595964"/>
    <w:rsid w:val="005961AE"/>
    <w:rsid w:val="005A0849"/>
    <w:rsid w:val="005A08CA"/>
    <w:rsid w:val="005A1247"/>
    <w:rsid w:val="005A1ED0"/>
    <w:rsid w:val="005A2396"/>
    <w:rsid w:val="005A356B"/>
    <w:rsid w:val="005A4225"/>
    <w:rsid w:val="005A4B04"/>
    <w:rsid w:val="005A4D53"/>
    <w:rsid w:val="005A7029"/>
    <w:rsid w:val="005A7630"/>
    <w:rsid w:val="005B0650"/>
    <w:rsid w:val="005B1D81"/>
    <w:rsid w:val="005B559E"/>
    <w:rsid w:val="005C027F"/>
    <w:rsid w:val="005C05F9"/>
    <w:rsid w:val="005C062C"/>
    <w:rsid w:val="005C10FA"/>
    <w:rsid w:val="005C26B3"/>
    <w:rsid w:val="005C3131"/>
    <w:rsid w:val="005C32AC"/>
    <w:rsid w:val="005C33C0"/>
    <w:rsid w:val="005C3AE4"/>
    <w:rsid w:val="005C5C1C"/>
    <w:rsid w:val="005C640F"/>
    <w:rsid w:val="005C6518"/>
    <w:rsid w:val="005C72E4"/>
    <w:rsid w:val="005D2A41"/>
    <w:rsid w:val="005D4C46"/>
    <w:rsid w:val="005D50AD"/>
    <w:rsid w:val="005D5141"/>
    <w:rsid w:val="005D6EE1"/>
    <w:rsid w:val="005D7445"/>
    <w:rsid w:val="005D7718"/>
    <w:rsid w:val="005E312F"/>
    <w:rsid w:val="005E3AB4"/>
    <w:rsid w:val="005E4244"/>
    <w:rsid w:val="005E466C"/>
    <w:rsid w:val="005E4711"/>
    <w:rsid w:val="005E5E41"/>
    <w:rsid w:val="005E6E18"/>
    <w:rsid w:val="005F0365"/>
    <w:rsid w:val="005F082A"/>
    <w:rsid w:val="005F1112"/>
    <w:rsid w:val="005F213D"/>
    <w:rsid w:val="005F29F2"/>
    <w:rsid w:val="005F2D52"/>
    <w:rsid w:val="005F4E9B"/>
    <w:rsid w:val="005F5736"/>
    <w:rsid w:val="005F5B89"/>
    <w:rsid w:val="005F650B"/>
    <w:rsid w:val="006005CE"/>
    <w:rsid w:val="00600AE8"/>
    <w:rsid w:val="00600F5D"/>
    <w:rsid w:val="006017E9"/>
    <w:rsid w:val="00602469"/>
    <w:rsid w:val="00604AC9"/>
    <w:rsid w:val="006057CC"/>
    <w:rsid w:val="00605A65"/>
    <w:rsid w:val="006062FA"/>
    <w:rsid w:val="006063A4"/>
    <w:rsid w:val="006117FB"/>
    <w:rsid w:val="00611FD0"/>
    <w:rsid w:val="00616DA9"/>
    <w:rsid w:val="00620CA9"/>
    <w:rsid w:val="0062273D"/>
    <w:rsid w:val="006229B0"/>
    <w:rsid w:val="00623228"/>
    <w:rsid w:val="00623D21"/>
    <w:rsid w:val="00623E48"/>
    <w:rsid w:val="00625F29"/>
    <w:rsid w:val="00631B93"/>
    <w:rsid w:val="006329E3"/>
    <w:rsid w:val="00633C0E"/>
    <w:rsid w:val="00635158"/>
    <w:rsid w:val="00636BA3"/>
    <w:rsid w:val="00637402"/>
    <w:rsid w:val="00637C15"/>
    <w:rsid w:val="006411BC"/>
    <w:rsid w:val="00641A86"/>
    <w:rsid w:val="00642416"/>
    <w:rsid w:val="00642515"/>
    <w:rsid w:val="006438EA"/>
    <w:rsid w:val="0064414B"/>
    <w:rsid w:val="00646865"/>
    <w:rsid w:val="006471FD"/>
    <w:rsid w:val="00650B3E"/>
    <w:rsid w:val="0065239D"/>
    <w:rsid w:val="00652CBF"/>
    <w:rsid w:val="0065560C"/>
    <w:rsid w:val="00656FEF"/>
    <w:rsid w:val="006604CD"/>
    <w:rsid w:val="00663670"/>
    <w:rsid w:val="00666942"/>
    <w:rsid w:val="00666E70"/>
    <w:rsid w:val="00670137"/>
    <w:rsid w:val="00671725"/>
    <w:rsid w:val="00676C7E"/>
    <w:rsid w:val="0067768C"/>
    <w:rsid w:val="006779E3"/>
    <w:rsid w:val="006802F5"/>
    <w:rsid w:val="00680760"/>
    <w:rsid w:val="00681432"/>
    <w:rsid w:val="0068239A"/>
    <w:rsid w:val="006844E7"/>
    <w:rsid w:val="00684CBF"/>
    <w:rsid w:val="00685339"/>
    <w:rsid w:val="006856E8"/>
    <w:rsid w:val="00687AE6"/>
    <w:rsid w:val="006918C7"/>
    <w:rsid w:val="006929BF"/>
    <w:rsid w:val="00692C57"/>
    <w:rsid w:val="00693F73"/>
    <w:rsid w:val="006A1994"/>
    <w:rsid w:val="006A2DFD"/>
    <w:rsid w:val="006A3790"/>
    <w:rsid w:val="006A3F1F"/>
    <w:rsid w:val="006A5383"/>
    <w:rsid w:val="006A637A"/>
    <w:rsid w:val="006A7936"/>
    <w:rsid w:val="006B352D"/>
    <w:rsid w:val="006B40B5"/>
    <w:rsid w:val="006B497E"/>
    <w:rsid w:val="006B5BE2"/>
    <w:rsid w:val="006B5F6D"/>
    <w:rsid w:val="006B6461"/>
    <w:rsid w:val="006C076D"/>
    <w:rsid w:val="006C249B"/>
    <w:rsid w:val="006C30F5"/>
    <w:rsid w:val="006C6334"/>
    <w:rsid w:val="006C751F"/>
    <w:rsid w:val="006C75AC"/>
    <w:rsid w:val="006C7D5A"/>
    <w:rsid w:val="006D1B17"/>
    <w:rsid w:val="006D2770"/>
    <w:rsid w:val="006D310D"/>
    <w:rsid w:val="006D372F"/>
    <w:rsid w:val="006D3EB8"/>
    <w:rsid w:val="006D5419"/>
    <w:rsid w:val="006D5ACD"/>
    <w:rsid w:val="006D5AF1"/>
    <w:rsid w:val="006D64C0"/>
    <w:rsid w:val="006D6D06"/>
    <w:rsid w:val="006D752B"/>
    <w:rsid w:val="006D7BA3"/>
    <w:rsid w:val="006E07BA"/>
    <w:rsid w:val="006E0C7E"/>
    <w:rsid w:val="006E189B"/>
    <w:rsid w:val="006E1A27"/>
    <w:rsid w:val="006E27D3"/>
    <w:rsid w:val="006E2ADF"/>
    <w:rsid w:val="006E2DCB"/>
    <w:rsid w:val="006E5330"/>
    <w:rsid w:val="006E57E2"/>
    <w:rsid w:val="006E5ABF"/>
    <w:rsid w:val="006E6686"/>
    <w:rsid w:val="006E725A"/>
    <w:rsid w:val="006F0AE1"/>
    <w:rsid w:val="006F0F35"/>
    <w:rsid w:val="006F1264"/>
    <w:rsid w:val="006F3131"/>
    <w:rsid w:val="006F5D70"/>
    <w:rsid w:val="006F787B"/>
    <w:rsid w:val="00700D12"/>
    <w:rsid w:val="007016BD"/>
    <w:rsid w:val="00701724"/>
    <w:rsid w:val="0070265E"/>
    <w:rsid w:val="007026A9"/>
    <w:rsid w:val="00702F84"/>
    <w:rsid w:val="00705DD4"/>
    <w:rsid w:val="00706806"/>
    <w:rsid w:val="00706F16"/>
    <w:rsid w:val="00707D84"/>
    <w:rsid w:val="007108C1"/>
    <w:rsid w:val="00710E62"/>
    <w:rsid w:val="007135D7"/>
    <w:rsid w:val="00713B43"/>
    <w:rsid w:val="00715594"/>
    <w:rsid w:val="00715EB6"/>
    <w:rsid w:val="007174BD"/>
    <w:rsid w:val="007204A7"/>
    <w:rsid w:val="00721ABC"/>
    <w:rsid w:val="00722D97"/>
    <w:rsid w:val="00725A50"/>
    <w:rsid w:val="0072721C"/>
    <w:rsid w:val="00727501"/>
    <w:rsid w:val="007307E8"/>
    <w:rsid w:val="0073356D"/>
    <w:rsid w:val="00733F54"/>
    <w:rsid w:val="00734DCD"/>
    <w:rsid w:val="00735550"/>
    <w:rsid w:val="007361BD"/>
    <w:rsid w:val="00736D46"/>
    <w:rsid w:val="0073771D"/>
    <w:rsid w:val="00741282"/>
    <w:rsid w:val="007416EF"/>
    <w:rsid w:val="00742E09"/>
    <w:rsid w:val="00744350"/>
    <w:rsid w:val="00745643"/>
    <w:rsid w:val="00746CF9"/>
    <w:rsid w:val="00747277"/>
    <w:rsid w:val="00747692"/>
    <w:rsid w:val="00747695"/>
    <w:rsid w:val="00751072"/>
    <w:rsid w:val="007517C5"/>
    <w:rsid w:val="0075428C"/>
    <w:rsid w:val="00755702"/>
    <w:rsid w:val="007575E6"/>
    <w:rsid w:val="00761F76"/>
    <w:rsid w:val="0076391F"/>
    <w:rsid w:val="00763C71"/>
    <w:rsid w:val="00763CDD"/>
    <w:rsid w:val="007645F1"/>
    <w:rsid w:val="007648B5"/>
    <w:rsid w:val="00771634"/>
    <w:rsid w:val="00772031"/>
    <w:rsid w:val="00772155"/>
    <w:rsid w:val="0077240B"/>
    <w:rsid w:val="007742C3"/>
    <w:rsid w:val="007743D8"/>
    <w:rsid w:val="00776236"/>
    <w:rsid w:val="00776AA3"/>
    <w:rsid w:val="00776DFD"/>
    <w:rsid w:val="00776E87"/>
    <w:rsid w:val="00777157"/>
    <w:rsid w:val="0077758F"/>
    <w:rsid w:val="007777EF"/>
    <w:rsid w:val="00783F87"/>
    <w:rsid w:val="007849DD"/>
    <w:rsid w:val="00785445"/>
    <w:rsid w:val="00786E4D"/>
    <w:rsid w:val="00787521"/>
    <w:rsid w:val="007877DF"/>
    <w:rsid w:val="007901BD"/>
    <w:rsid w:val="00790DB3"/>
    <w:rsid w:val="0079127D"/>
    <w:rsid w:val="00791C2D"/>
    <w:rsid w:val="007922D7"/>
    <w:rsid w:val="00793BCC"/>
    <w:rsid w:val="00793DC2"/>
    <w:rsid w:val="00794780"/>
    <w:rsid w:val="00795FB5"/>
    <w:rsid w:val="00796DE9"/>
    <w:rsid w:val="007972AA"/>
    <w:rsid w:val="00797E52"/>
    <w:rsid w:val="007A0F62"/>
    <w:rsid w:val="007A251A"/>
    <w:rsid w:val="007A5BBB"/>
    <w:rsid w:val="007A6027"/>
    <w:rsid w:val="007A695F"/>
    <w:rsid w:val="007B104F"/>
    <w:rsid w:val="007B1980"/>
    <w:rsid w:val="007B2674"/>
    <w:rsid w:val="007B4B1D"/>
    <w:rsid w:val="007B7DD8"/>
    <w:rsid w:val="007C13DD"/>
    <w:rsid w:val="007C2ADA"/>
    <w:rsid w:val="007C2F6D"/>
    <w:rsid w:val="007C3619"/>
    <w:rsid w:val="007C4C94"/>
    <w:rsid w:val="007C5BEA"/>
    <w:rsid w:val="007D08FE"/>
    <w:rsid w:val="007D1354"/>
    <w:rsid w:val="007D1457"/>
    <w:rsid w:val="007D1A88"/>
    <w:rsid w:val="007D2870"/>
    <w:rsid w:val="007D62BE"/>
    <w:rsid w:val="007D67DF"/>
    <w:rsid w:val="007E120F"/>
    <w:rsid w:val="007E1D75"/>
    <w:rsid w:val="007E20A7"/>
    <w:rsid w:val="007E2307"/>
    <w:rsid w:val="007E2504"/>
    <w:rsid w:val="007E3CAE"/>
    <w:rsid w:val="007E4BCD"/>
    <w:rsid w:val="007E506A"/>
    <w:rsid w:val="007E54A4"/>
    <w:rsid w:val="007E6CD5"/>
    <w:rsid w:val="007F0587"/>
    <w:rsid w:val="007F0BB0"/>
    <w:rsid w:val="007F1BA5"/>
    <w:rsid w:val="007F2DF2"/>
    <w:rsid w:val="007F4BAC"/>
    <w:rsid w:val="00802951"/>
    <w:rsid w:val="00803781"/>
    <w:rsid w:val="00803F6E"/>
    <w:rsid w:val="00805151"/>
    <w:rsid w:val="008053ED"/>
    <w:rsid w:val="00806383"/>
    <w:rsid w:val="0080661B"/>
    <w:rsid w:val="00807FB0"/>
    <w:rsid w:val="00810607"/>
    <w:rsid w:val="00811E7E"/>
    <w:rsid w:val="008141CA"/>
    <w:rsid w:val="00815B20"/>
    <w:rsid w:val="00816654"/>
    <w:rsid w:val="0081681A"/>
    <w:rsid w:val="00820834"/>
    <w:rsid w:val="008209A3"/>
    <w:rsid w:val="00824549"/>
    <w:rsid w:val="00824AA7"/>
    <w:rsid w:val="00824D7C"/>
    <w:rsid w:val="00826DA4"/>
    <w:rsid w:val="00830BFA"/>
    <w:rsid w:val="00834F0F"/>
    <w:rsid w:val="008360A8"/>
    <w:rsid w:val="0083711B"/>
    <w:rsid w:val="0083736F"/>
    <w:rsid w:val="00837BDC"/>
    <w:rsid w:val="00837C11"/>
    <w:rsid w:val="00844B67"/>
    <w:rsid w:val="008458C6"/>
    <w:rsid w:val="00845AA4"/>
    <w:rsid w:val="008557CC"/>
    <w:rsid w:val="00855A1E"/>
    <w:rsid w:val="008577CE"/>
    <w:rsid w:val="00860B2B"/>
    <w:rsid w:val="0086254E"/>
    <w:rsid w:val="00862636"/>
    <w:rsid w:val="00863107"/>
    <w:rsid w:val="008642CF"/>
    <w:rsid w:val="00864602"/>
    <w:rsid w:val="00864819"/>
    <w:rsid w:val="00865F31"/>
    <w:rsid w:val="008707BA"/>
    <w:rsid w:val="008720CC"/>
    <w:rsid w:val="00873235"/>
    <w:rsid w:val="0087342A"/>
    <w:rsid w:val="00877745"/>
    <w:rsid w:val="00880025"/>
    <w:rsid w:val="0088169A"/>
    <w:rsid w:val="00881E7E"/>
    <w:rsid w:val="0088280C"/>
    <w:rsid w:val="008831DD"/>
    <w:rsid w:val="00885356"/>
    <w:rsid w:val="00886F75"/>
    <w:rsid w:val="00891207"/>
    <w:rsid w:val="00891295"/>
    <w:rsid w:val="008918B8"/>
    <w:rsid w:val="00891969"/>
    <w:rsid w:val="008923D0"/>
    <w:rsid w:val="008929A5"/>
    <w:rsid w:val="00893DBF"/>
    <w:rsid w:val="00894EFB"/>
    <w:rsid w:val="008956B5"/>
    <w:rsid w:val="00896787"/>
    <w:rsid w:val="008968D8"/>
    <w:rsid w:val="008A135E"/>
    <w:rsid w:val="008A22F4"/>
    <w:rsid w:val="008A2904"/>
    <w:rsid w:val="008A2D2B"/>
    <w:rsid w:val="008A4215"/>
    <w:rsid w:val="008A5305"/>
    <w:rsid w:val="008A7A02"/>
    <w:rsid w:val="008B0F07"/>
    <w:rsid w:val="008B36DD"/>
    <w:rsid w:val="008B4CE6"/>
    <w:rsid w:val="008B58EA"/>
    <w:rsid w:val="008B5A63"/>
    <w:rsid w:val="008C0B19"/>
    <w:rsid w:val="008C1B1A"/>
    <w:rsid w:val="008C2042"/>
    <w:rsid w:val="008C5675"/>
    <w:rsid w:val="008C6CF8"/>
    <w:rsid w:val="008C6E78"/>
    <w:rsid w:val="008C7155"/>
    <w:rsid w:val="008C72B4"/>
    <w:rsid w:val="008D2047"/>
    <w:rsid w:val="008D29F2"/>
    <w:rsid w:val="008D2BA6"/>
    <w:rsid w:val="008D4921"/>
    <w:rsid w:val="008D4B87"/>
    <w:rsid w:val="008D7146"/>
    <w:rsid w:val="008D7302"/>
    <w:rsid w:val="008D75A1"/>
    <w:rsid w:val="008E048D"/>
    <w:rsid w:val="008E300D"/>
    <w:rsid w:val="008F56D4"/>
    <w:rsid w:val="008F6B0D"/>
    <w:rsid w:val="00900500"/>
    <w:rsid w:val="00901DB4"/>
    <w:rsid w:val="00903470"/>
    <w:rsid w:val="009043D1"/>
    <w:rsid w:val="00906092"/>
    <w:rsid w:val="00906283"/>
    <w:rsid w:val="00906EE6"/>
    <w:rsid w:val="00910441"/>
    <w:rsid w:val="00916A72"/>
    <w:rsid w:val="00917EDA"/>
    <w:rsid w:val="00921ABB"/>
    <w:rsid w:val="00921BAE"/>
    <w:rsid w:val="009220A9"/>
    <w:rsid w:val="00923908"/>
    <w:rsid w:val="00924383"/>
    <w:rsid w:val="0092474E"/>
    <w:rsid w:val="00926010"/>
    <w:rsid w:val="0092688C"/>
    <w:rsid w:val="009279CF"/>
    <w:rsid w:val="00931230"/>
    <w:rsid w:val="0093158D"/>
    <w:rsid w:val="00931D07"/>
    <w:rsid w:val="00933223"/>
    <w:rsid w:val="009334A8"/>
    <w:rsid w:val="0093384D"/>
    <w:rsid w:val="00933BE7"/>
    <w:rsid w:val="0093412F"/>
    <w:rsid w:val="00935CFF"/>
    <w:rsid w:val="00940417"/>
    <w:rsid w:val="00940647"/>
    <w:rsid w:val="009409F5"/>
    <w:rsid w:val="00942440"/>
    <w:rsid w:val="0094586A"/>
    <w:rsid w:val="00945D50"/>
    <w:rsid w:val="00945E27"/>
    <w:rsid w:val="009469F3"/>
    <w:rsid w:val="00950F4B"/>
    <w:rsid w:val="0095109B"/>
    <w:rsid w:val="00951DE6"/>
    <w:rsid w:val="0095332B"/>
    <w:rsid w:val="00953AF2"/>
    <w:rsid w:val="00954108"/>
    <w:rsid w:val="0095452B"/>
    <w:rsid w:val="009557D9"/>
    <w:rsid w:val="0095703B"/>
    <w:rsid w:val="00957769"/>
    <w:rsid w:val="0095781E"/>
    <w:rsid w:val="0096124C"/>
    <w:rsid w:val="00961614"/>
    <w:rsid w:val="00961813"/>
    <w:rsid w:val="00961B2A"/>
    <w:rsid w:val="0096246B"/>
    <w:rsid w:val="0096325D"/>
    <w:rsid w:val="0096393E"/>
    <w:rsid w:val="0096514D"/>
    <w:rsid w:val="00966A68"/>
    <w:rsid w:val="00966CC7"/>
    <w:rsid w:val="009678F1"/>
    <w:rsid w:val="00971B5E"/>
    <w:rsid w:val="009722D2"/>
    <w:rsid w:val="00972646"/>
    <w:rsid w:val="00972ADD"/>
    <w:rsid w:val="009756DB"/>
    <w:rsid w:val="009765B9"/>
    <w:rsid w:val="009807AE"/>
    <w:rsid w:val="00980E6E"/>
    <w:rsid w:val="00982E95"/>
    <w:rsid w:val="00985928"/>
    <w:rsid w:val="009862AB"/>
    <w:rsid w:val="009926CD"/>
    <w:rsid w:val="00994190"/>
    <w:rsid w:val="00994210"/>
    <w:rsid w:val="009951EC"/>
    <w:rsid w:val="00996976"/>
    <w:rsid w:val="009A09E2"/>
    <w:rsid w:val="009A0D99"/>
    <w:rsid w:val="009A279A"/>
    <w:rsid w:val="009A3B20"/>
    <w:rsid w:val="009A544A"/>
    <w:rsid w:val="009A557C"/>
    <w:rsid w:val="009A6100"/>
    <w:rsid w:val="009A6CD3"/>
    <w:rsid w:val="009A72CF"/>
    <w:rsid w:val="009B0702"/>
    <w:rsid w:val="009B0FAA"/>
    <w:rsid w:val="009B28C7"/>
    <w:rsid w:val="009B7695"/>
    <w:rsid w:val="009B76CC"/>
    <w:rsid w:val="009C1026"/>
    <w:rsid w:val="009C1B83"/>
    <w:rsid w:val="009C1BAC"/>
    <w:rsid w:val="009C1E2C"/>
    <w:rsid w:val="009C227F"/>
    <w:rsid w:val="009C310A"/>
    <w:rsid w:val="009C3438"/>
    <w:rsid w:val="009C3FA8"/>
    <w:rsid w:val="009C4717"/>
    <w:rsid w:val="009C4DC5"/>
    <w:rsid w:val="009C7152"/>
    <w:rsid w:val="009C7606"/>
    <w:rsid w:val="009C7B62"/>
    <w:rsid w:val="009D1510"/>
    <w:rsid w:val="009D17E3"/>
    <w:rsid w:val="009D37E5"/>
    <w:rsid w:val="009D4078"/>
    <w:rsid w:val="009D6608"/>
    <w:rsid w:val="009D695F"/>
    <w:rsid w:val="009D7503"/>
    <w:rsid w:val="009E317E"/>
    <w:rsid w:val="009E496E"/>
    <w:rsid w:val="009E4B64"/>
    <w:rsid w:val="009E4F66"/>
    <w:rsid w:val="009E5BD6"/>
    <w:rsid w:val="009E6C8C"/>
    <w:rsid w:val="009F00A3"/>
    <w:rsid w:val="009F17E3"/>
    <w:rsid w:val="009F1817"/>
    <w:rsid w:val="009F21E8"/>
    <w:rsid w:val="009F5BAB"/>
    <w:rsid w:val="009F6A7F"/>
    <w:rsid w:val="009F6F8F"/>
    <w:rsid w:val="009F771D"/>
    <w:rsid w:val="00A005EA"/>
    <w:rsid w:val="00A0062D"/>
    <w:rsid w:val="00A01058"/>
    <w:rsid w:val="00A02167"/>
    <w:rsid w:val="00A025B1"/>
    <w:rsid w:val="00A053FD"/>
    <w:rsid w:val="00A057A8"/>
    <w:rsid w:val="00A05E68"/>
    <w:rsid w:val="00A10BF6"/>
    <w:rsid w:val="00A11B66"/>
    <w:rsid w:val="00A13CFC"/>
    <w:rsid w:val="00A20872"/>
    <w:rsid w:val="00A20C0C"/>
    <w:rsid w:val="00A21C82"/>
    <w:rsid w:val="00A22C3C"/>
    <w:rsid w:val="00A234FB"/>
    <w:rsid w:val="00A2361E"/>
    <w:rsid w:val="00A249C5"/>
    <w:rsid w:val="00A25763"/>
    <w:rsid w:val="00A31313"/>
    <w:rsid w:val="00A32CF4"/>
    <w:rsid w:val="00A332C2"/>
    <w:rsid w:val="00A34233"/>
    <w:rsid w:val="00A35A29"/>
    <w:rsid w:val="00A37B61"/>
    <w:rsid w:val="00A402FF"/>
    <w:rsid w:val="00A40506"/>
    <w:rsid w:val="00A4212E"/>
    <w:rsid w:val="00A42686"/>
    <w:rsid w:val="00A42820"/>
    <w:rsid w:val="00A42CFF"/>
    <w:rsid w:val="00A479D2"/>
    <w:rsid w:val="00A47A9B"/>
    <w:rsid w:val="00A5300C"/>
    <w:rsid w:val="00A534AC"/>
    <w:rsid w:val="00A57878"/>
    <w:rsid w:val="00A60243"/>
    <w:rsid w:val="00A60FBE"/>
    <w:rsid w:val="00A619DA"/>
    <w:rsid w:val="00A61E63"/>
    <w:rsid w:val="00A62DF1"/>
    <w:rsid w:val="00A66DEE"/>
    <w:rsid w:val="00A66EEB"/>
    <w:rsid w:val="00A66FA0"/>
    <w:rsid w:val="00A73808"/>
    <w:rsid w:val="00A74F5A"/>
    <w:rsid w:val="00A756A4"/>
    <w:rsid w:val="00A75E84"/>
    <w:rsid w:val="00A77822"/>
    <w:rsid w:val="00A821CD"/>
    <w:rsid w:val="00A8240E"/>
    <w:rsid w:val="00A82A4E"/>
    <w:rsid w:val="00A92427"/>
    <w:rsid w:val="00A9382E"/>
    <w:rsid w:val="00A93A06"/>
    <w:rsid w:val="00A93A4C"/>
    <w:rsid w:val="00A93C8A"/>
    <w:rsid w:val="00A94DCA"/>
    <w:rsid w:val="00A95DC4"/>
    <w:rsid w:val="00A967A5"/>
    <w:rsid w:val="00A96F76"/>
    <w:rsid w:val="00AA0531"/>
    <w:rsid w:val="00AA1544"/>
    <w:rsid w:val="00AA77C1"/>
    <w:rsid w:val="00AB09E8"/>
    <w:rsid w:val="00AB1992"/>
    <w:rsid w:val="00AB2466"/>
    <w:rsid w:val="00AB28A1"/>
    <w:rsid w:val="00AB4DED"/>
    <w:rsid w:val="00AC01BC"/>
    <w:rsid w:val="00AC04C5"/>
    <w:rsid w:val="00AC0E78"/>
    <w:rsid w:val="00AC1625"/>
    <w:rsid w:val="00AC2145"/>
    <w:rsid w:val="00AC22F3"/>
    <w:rsid w:val="00AC57BC"/>
    <w:rsid w:val="00AD35BD"/>
    <w:rsid w:val="00AD4208"/>
    <w:rsid w:val="00AD446E"/>
    <w:rsid w:val="00AD4FA7"/>
    <w:rsid w:val="00AD5CF1"/>
    <w:rsid w:val="00AE1A8E"/>
    <w:rsid w:val="00AE1CD5"/>
    <w:rsid w:val="00AE21EC"/>
    <w:rsid w:val="00AE29B6"/>
    <w:rsid w:val="00AE2CCE"/>
    <w:rsid w:val="00AE5084"/>
    <w:rsid w:val="00AE6B41"/>
    <w:rsid w:val="00AE7669"/>
    <w:rsid w:val="00AF0C58"/>
    <w:rsid w:val="00AF0F1B"/>
    <w:rsid w:val="00AF0FED"/>
    <w:rsid w:val="00AF1E0F"/>
    <w:rsid w:val="00AF4B9D"/>
    <w:rsid w:val="00AF6118"/>
    <w:rsid w:val="00AF681C"/>
    <w:rsid w:val="00B00092"/>
    <w:rsid w:val="00B011FE"/>
    <w:rsid w:val="00B01385"/>
    <w:rsid w:val="00B0513D"/>
    <w:rsid w:val="00B053D3"/>
    <w:rsid w:val="00B10F92"/>
    <w:rsid w:val="00B11AF2"/>
    <w:rsid w:val="00B11EB0"/>
    <w:rsid w:val="00B1465F"/>
    <w:rsid w:val="00B178F5"/>
    <w:rsid w:val="00B17D49"/>
    <w:rsid w:val="00B17DBC"/>
    <w:rsid w:val="00B20EB4"/>
    <w:rsid w:val="00B22F08"/>
    <w:rsid w:val="00B2330A"/>
    <w:rsid w:val="00B2440F"/>
    <w:rsid w:val="00B26F59"/>
    <w:rsid w:val="00B351E6"/>
    <w:rsid w:val="00B3639F"/>
    <w:rsid w:val="00B37488"/>
    <w:rsid w:val="00B37F64"/>
    <w:rsid w:val="00B4050F"/>
    <w:rsid w:val="00B40B79"/>
    <w:rsid w:val="00B435D4"/>
    <w:rsid w:val="00B440BA"/>
    <w:rsid w:val="00B441DD"/>
    <w:rsid w:val="00B45B3F"/>
    <w:rsid w:val="00B4697C"/>
    <w:rsid w:val="00B46A48"/>
    <w:rsid w:val="00B46EF7"/>
    <w:rsid w:val="00B503C2"/>
    <w:rsid w:val="00B51961"/>
    <w:rsid w:val="00B521E0"/>
    <w:rsid w:val="00B53214"/>
    <w:rsid w:val="00B53A02"/>
    <w:rsid w:val="00B53AA0"/>
    <w:rsid w:val="00B53F87"/>
    <w:rsid w:val="00B546DF"/>
    <w:rsid w:val="00B602BF"/>
    <w:rsid w:val="00B60568"/>
    <w:rsid w:val="00B609A9"/>
    <w:rsid w:val="00B60FFD"/>
    <w:rsid w:val="00B61300"/>
    <w:rsid w:val="00B6131D"/>
    <w:rsid w:val="00B6131E"/>
    <w:rsid w:val="00B6137A"/>
    <w:rsid w:val="00B61612"/>
    <w:rsid w:val="00B62542"/>
    <w:rsid w:val="00B64F4B"/>
    <w:rsid w:val="00B66753"/>
    <w:rsid w:val="00B6677F"/>
    <w:rsid w:val="00B66A71"/>
    <w:rsid w:val="00B66D21"/>
    <w:rsid w:val="00B67AE0"/>
    <w:rsid w:val="00B704F7"/>
    <w:rsid w:val="00B7235B"/>
    <w:rsid w:val="00B75125"/>
    <w:rsid w:val="00B75874"/>
    <w:rsid w:val="00B758C0"/>
    <w:rsid w:val="00B7737B"/>
    <w:rsid w:val="00B77A73"/>
    <w:rsid w:val="00B77AFA"/>
    <w:rsid w:val="00B80011"/>
    <w:rsid w:val="00B800EF"/>
    <w:rsid w:val="00B80631"/>
    <w:rsid w:val="00B806CA"/>
    <w:rsid w:val="00B80D17"/>
    <w:rsid w:val="00B80EC2"/>
    <w:rsid w:val="00B82FD8"/>
    <w:rsid w:val="00B8360A"/>
    <w:rsid w:val="00B85F56"/>
    <w:rsid w:val="00B862B1"/>
    <w:rsid w:val="00B87216"/>
    <w:rsid w:val="00B90487"/>
    <w:rsid w:val="00B91846"/>
    <w:rsid w:val="00B91CE4"/>
    <w:rsid w:val="00B942B2"/>
    <w:rsid w:val="00B953DB"/>
    <w:rsid w:val="00B95C6E"/>
    <w:rsid w:val="00BA06C8"/>
    <w:rsid w:val="00BA0CFA"/>
    <w:rsid w:val="00BA1621"/>
    <w:rsid w:val="00BA31E0"/>
    <w:rsid w:val="00BA3A60"/>
    <w:rsid w:val="00BA6882"/>
    <w:rsid w:val="00BA6C3C"/>
    <w:rsid w:val="00BB014A"/>
    <w:rsid w:val="00BB0409"/>
    <w:rsid w:val="00BB140B"/>
    <w:rsid w:val="00BB2531"/>
    <w:rsid w:val="00BB2B4E"/>
    <w:rsid w:val="00BB2DAC"/>
    <w:rsid w:val="00BB38F1"/>
    <w:rsid w:val="00BB4303"/>
    <w:rsid w:val="00BB4B5C"/>
    <w:rsid w:val="00BB571F"/>
    <w:rsid w:val="00BB6F0D"/>
    <w:rsid w:val="00BB79B4"/>
    <w:rsid w:val="00BB7DB3"/>
    <w:rsid w:val="00BC0E42"/>
    <w:rsid w:val="00BC1776"/>
    <w:rsid w:val="00BC1DB7"/>
    <w:rsid w:val="00BC1F05"/>
    <w:rsid w:val="00BC3E33"/>
    <w:rsid w:val="00BC6EC1"/>
    <w:rsid w:val="00BC7A37"/>
    <w:rsid w:val="00BD007C"/>
    <w:rsid w:val="00BD1E15"/>
    <w:rsid w:val="00BD2180"/>
    <w:rsid w:val="00BD4137"/>
    <w:rsid w:val="00BD42B8"/>
    <w:rsid w:val="00BD6BBA"/>
    <w:rsid w:val="00BD778D"/>
    <w:rsid w:val="00BE3010"/>
    <w:rsid w:val="00BE4DDA"/>
    <w:rsid w:val="00BE591D"/>
    <w:rsid w:val="00BE6811"/>
    <w:rsid w:val="00BF0DC5"/>
    <w:rsid w:val="00BF1F79"/>
    <w:rsid w:val="00BF46FB"/>
    <w:rsid w:val="00BF5CF2"/>
    <w:rsid w:val="00BF5E9D"/>
    <w:rsid w:val="00BF5F1D"/>
    <w:rsid w:val="00BF6283"/>
    <w:rsid w:val="00BF6AE0"/>
    <w:rsid w:val="00BF79CB"/>
    <w:rsid w:val="00BF7AEF"/>
    <w:rsid w:val="00BF7C39"/>
    <w:rsid w:val="00C006F7"/>
    <w:rsid w:val="00C00799"/>
    <w:rsid w:val="00C01288"/>
    <w:rsid w:val="00C01E1D"/>
    <w:rsid w:val="00C02F14"/>
    <w:rsid w:val="00C031BD"/>
    <w:rsid w:val="00C03389"/>
    <w:rsid w:val="00C04E09"/>
    <w:rsid w:val="00C04E12"/>
    <w:rsid w:val="00C05545"/>
    <w:rsid w:val="00C077F7"/>
    <w:rsid w:val="00C07D87"/>
    <w:rsid w:val="00C10C3B"/>
    <w:rsid w:val="00C11466"/>
    <w:rsid w:val="00C11AEB"/>
    <w:rsid w:val="00C11AFC"/>
    <w:rsid w:val="00C12BA4"/>
    <w:rsid w:val="00C1319E"/>
    <w:rsid w:val="00C139D3"/>
    <w:rsid w:val="00C1619D"/>
    <w:rsid w:val="00C20112"/>
    <w:rsid w:val="00C2067A"/>
    <w:rsid w:val="00C20FB6"/>
    <w:rsid w:val="00C23A50"/>
    <w:rsid w:val="00C248BC"/>
    <w:rsid w:val="00C3004B"/>
    <w:rsid w:val="00C30F76"/>
    <w:rsid w:val="00C31049"/>
    <w:rsid w:val="00C328A5"/>
    <w:rsid w:val="00C32968"/>
    <w:rsid w:val="00C3472A"/>
    <w:rsid w:val="00C35C6C"/>
    <w:rsid w:val="00C36475"/>
    <w:rsid w:val="00C36513"/>
    <w:rsid w:val="00C3754F"/>
    <w:rsid w:val="00C40A5F"/>
    <w:rsid w:val="00C40B9D"/>
    <w:rsid w:val="00C413D1"/>
    <w:rsid w:val="00C433D1"/>
    <w:rsid w:val="00C43D22"/>
    <w:rsid w:val="00C43E26"/>
    <w:rsid w:val="00C4448C"/>
    <w:rsid w:val="00C45FCC"/>
    <w:rsid w:val="00C4619C"/>
    <w:rsid w:val="00C4713B"/>
    <w:rsid w:val="00C4774B"/>
    <w:rsid w:val="00C500B3"/>
    <w:rsid w:val="00C53C06"/>
    <w:rsid w:val="00C53DB0"/>
    <w:rsid w:val="00C57AEB"/>
    <w:rsid w:val="00C57E68"/>
    <w:rsid w:val="00C57FFA"/>
    <w:rsid w:val="00C60B33"/>
    <w:rsid w:val="00C62FB8"/>
    <w:rsid w:val="00C63CAB"/>
    <w:rsid w:val="00C6406D"/>
    <w:rsid w:val="00C6470F"/>
    <w:rsid w:val="00C64770"/>
    <w:rsid w:val="00C65869"/>
    <w:rsid w:val="00C6787F"/>
    <w:rsid w:val="00C7021D"/>
    <w:rsid w:val="00C709E6"/>
    <w:rsid w:val="00C714B4"/>
    <w:rsid w:val="00C723DE"/>
    <w:rsid w:val="00C74DC7"/>
    <w:rsid w:val="00C77CD9"/>
    <w:rsid w:val="00C80E1D"/>
    <w:rsid w:val="00C84B98"/>
    <w:rsid w:val="00C867A3"/>
    <w:rsid w:val="00C86E3B"/>
    <w:rsid w:val="00C87029"/>
    <w:rsid w:val="00C87C5E"/>
    <w:rsid w:val="00C907C4"/>
    <w:rsid w:val="00C90B9C"/>
    <w:rsid w:val="00C91B34"/>
    <w:rsid w:val="00C9357B"/>
    <w:rsid w:val="00C94275"/>
    <w:rsid w:val="00C946B8"/>
    <w:rsid w:val="00C9477A"/>
    <w:rsid w:val="00CA04B2"/>
    <w:rsid w:val="00CA054A"/>
    <w:rsid w:val="00CA1675"/>
    <w:rsid w:val="00CA1D67"/>
    <w:rsid w:val="00CA2180"/>
    <w:rsid w:val="00CA2693"/>
    <w:rsid w:val="00CA26DF"/>
    <w:rsid w:val="00CA2A1A"/>
    <w:rsid w:val="00CA4B07"/>
    <w:rsid w:val="00CB0F59"/>
    <w:rsid w:val="00CB1577"/>
    <w:rsid w:val="00CB27BE"/>
    <w:rsid w:val="00CB44D2"/>
    <w:rsid w:val="00CB4AAD"/>
    <w:rsid w:val="00CB5D6F"/>
    <w:rsid w:val="00CB6567"/>
    <w:rsid w:val="00CB6B22"/>
    <w:rsid w:val="00CC205D"/>
    <w:rsid w:val="00CC3A08"/>
    <w:rsid w:val="00CC4971"/>
    <w:rsid w:val="00CC4D1B"/>
    <w:rsid w:val="00CC5336"/>
    <w:rsid w:val="00CC53A9"/>
    <w:rsid w:val="00CC5863"/>
    <w:rsid w:val="00CC711F"/>
    <w:rsid w:val="00CC737D"/>
    <w:rsid w:val="00CC75FB"/>
    <w:rsid w:val="00CD16EE"/>
    <w:rsid w:val="00CD1EB0"/>
    <w:rsid w:val="00CD32A2"/>
    <w:rsid w:val="00CD449C"/>
    <w:rsid w:val="00CD51DD"/>
    <w:rsid w:val="00CD6FEC"/>
    <w:rsid w:val="00CD755C"/>
    <w:rsid w:val="00CD7B9E"/>
    <w:rsid w:val="00CE278D"/>
    <w:rsid w:val="00CE73A1"/>
    <w:rsid w:val="00CF17EF"/>
    <w:rsid w:val="00CF1EE2"/>
    <w:rsid w:val="00CF30DC"/>
    <w:rsid w:val="00CF326E"/>
    <w:rsid w:val="00CF3E48"/>
    <w:rsid w:val="00CF53EB"/>
    <w:rsid w:val="00CF5B34"/>
    <w:rsid w:val="00CF7124"/>
    <w:rsid w:val="00CF7B82"/>
    <w:rsid w:val="00CF7D82"/>
    <w:rsid w:val="00D00D07"/>
    <w:rsid w:val="00D01450"/>
    <w:rsid w:val="00D04174"/>
    <w:rsid w:val="00D05876"/>
    <w:rsid w:val="00D0599E"/>
    <w:rsid w:val="00D06DDC"/>
    <w:rsid w:val="00D11122"/>
    <w:rsid w:val="00D11DAD"/>
    <w:rsid w:val="00D120DD"/>
    <w:rsid w:val="00D128F3"/>
    <w:rsid w:val="00D12D6A"/>
    <w:rsid w:val="00D1328F"/>
    <w:rsid w:val="00D1335A"/>
    <w:rsid w:val="00D14B0A"/>
    <w:rsid w:val="00D15D43"/>
    <w:rsid w:val="00D21CA9"/>
    <w:rsid w:val="00D223C8"/>
    <w:rsid w:val="00D23336"/>
    <w:rsid w:val="00D240F9"/>
    <w:rsid w:val="00D243EB"/>
    <w:rsid w:val="00D25A80"/>
    <w:rsid w:val="00D262A4"/>
    <w:rsid w:val="00D27CC8"/>
    <w:rsid w:val="00D322DD"/>
    <w:rsid w:val="00D34FD6"/>
    <w:rsid w:val="00D36D0A"/>
    <w:rsid w:val="00D375A0"/>
    <w:rsid w:val="00D37742"/>
    <w:rsid w:val="00D426AA"/>
    <w:rsid w:val="00D4350B"/>
    <w:rsid w:val="00D43AD6"/>
    <w:rsid w:val="00D46C2C"/>
    <w:rsid w:val="00D51638"/>
    <w:rsid w:val="00D518FD"/>
    <w:rsid w:val="00D51DB9"/>
    <w:rsid w:val="00D51FC4"/>
    <w:rsid w:val="00D5528A"/>
    <w:rsid w:val="00D57587"/>
    <w:rsid w:val="00D60AE8"/>
    <w:rsid w:val="00D60F58"/>
    <w:rsid w:val="00D6136D"/>
    <w:rsid w:val="00D61A8E"/>
    <w:rsid w:val="00D6378A"/>
    <w:rsid w:val="00D6460B"/>
    <w:rsid w:val="00D6479E"/>
    <w:rsid w:val="00D64A5E"/>
    <w:rsid w:val="00D656FE"/>
    <w:rsid w:val="00D67CBE"/>
    <w:rsid w:val="00D7124B"/>
    <w:rsid w:val="00D71C1C"/>
    <w:rsid w:val="00D723BE"/>
    <w:rsid w:val="00D72558"/>
    <w:rsid w:val="00D735C6"/>
    <w:rsid w:val="00D76A09"/>
    <w:rsid w:val="00D76A3B"/>
    <w:rsid w:val="00D76F76"/>
    <w:rsid w:val="00D771A4"/>
    <w:rsid w:val="00D77C69"/>
    <w:rsid w:val="00D806B7"/>
    <w:rsid w:val="00D81A86"/>
    <w:rsid w:val="00D82188"/>
    <w:rsid w:val="00D82301"/>
    <w:rsid w:val="00D86636"/>
    <w:rsid w:val="00D92B88"/>
    <w:rsid w:val="00D9375D"/>
    <w:rsid w:val="00D94EBF"/>
    <w:rsid w:val="00D966BD"/>
    <w:rsid w:val="00D975C8"/>
    <w:rsid w:val="00D97C05"/>
    <w:rsid w:val="00DA2007"/>
    <w:rsid w:val="00DA3333"/>
    <w:rsid w:val="00DA4016"/>
    <w:rsid w:val="00DA503B"/>
    <w:rsid w:val="00DA67FF"/>
    <w:rsid w:val="00DA777F"/>
    <w:rsid w:val="00DB029D"/>
    <w:rsid w:val="00DB085F"/>
    <w:rsid w:val="00DB0BE0"/>
    <w:rsid w:val="00DB126F"/>
    <w:rsid w:val="00DB145B"/>
    <w:rsid w:val="00DB167A"/>
    <w:rsid w:val="00DB2DA3"/>
    <w:rsid w:val="00DB3612"/>
    <w:rsid w:val="00DB4B36"/>
    <w:rsid w:val="00DB5285"/>
    <w:rsid w:val="00DB5DD1"/>
    <w:rsid w:val="00DC03FE"/>
    <w:rsid w:val="00DC1216"/>
    <w:rsid w:val="00DC13CC"/>
    <w:rsid w:val="00DC69B5"/>
    <w:rsid w:val="00DC6D84"/>
    <w:rsid w:val="00DD0CFB"/>
    <w:rsid w:val="00DD4A4E"/>
    <w:rsid w:val="00DD5985"/>
    <w:rsid w:val="00DD6CFB"/>
    <w:rsid w:val="00DD6ED3"/>
    <w:rsid w:val="00DD77A8"/>
    <w:rsid w:val="00DD77C7"/>
    <w:rsid w:val="00DD7D31"/>
    <w:rsid w:val="00DE12F7"/>
    <w:rsid w:val="00DE3161"/>
    <w:rsid w:val="00DE44E4"/>
    <w:rsid w:val="00DE5EF5"/>
    <w:rsid w:val="00DE6CB5"/>
    <w:rsid w:val="00DF172B"/>
    <w:rsid w:val="00DF1A19"/>
    <w:rsid w:val="00DF2B31"/>
    <w:rsid w:val="00DF3F08"/>
    <w:rsid w:val="00DF4D72"/>
    <w:rsid w:val="00DF61A5"/>
    <w:rsid w:val="00DF6B98"/>
    <w:rsid w:val="00DF6C93"/>
    <w:rsid w:val="00DF7CA0"/>
    <w:rsid w:val="00E00EBC"/>
    <w:rsid w:val="00E01013"/>
    <w:rsid w:val="00E0333E"/>
    <w:rsid w:val="00E049F6"/>
    <w:rsid w:val="00E0567A"/>
    <w:rsid w:val="00E05C4D"/>
    <w:rsid w:val="00E100ED"/>
    <w:rsid w:val="00E1011B"/>
    <w:rsid w:val="00E11166"/>
    <w:rsid w:val="00E1132A"/>
    <w:rsid w:val="00E11C64"/>
    <w:rsid w:val="00E1311F"/>
    <w:rsid w:val="00E143AA"/>
    <w:rsid w:val="00E15621"/>
    <w:rsid w:val="00E1565F"/>
    <w:rsid w:val="00E156D3"/>
    <w:rsid w:val="00E1609D"/>
    <w:rsid w:val="00E17808"/>
    <w:rsid w:val="00E223A1"/>
    <w:rsid w:val="00E263E3"/>
    <w:rsid w:val="00E3083A"/>
    <w:rsid w:val="00E30880"/>
    <w:rsid w:val="00E3095E"/>
    <w:rsid w:val="00E3102C"/>
    <w:rsid w:val="00E33A4A"/>
    <w:rsid w:val="00E33C96"/>
    <w:rsid w:val="00E344AD"/>
    <w:rsid w:val="00E350E8"/>
    <w:rsid w:val="00E354B1"/>
    <w:rsid w:val="00E36C46"/>
    <w:rsid w:val="00E36D98"/>
    <w:rsid w:val="00E40D04"/>
    <w:rsid w:val="00E43663"/>
    <w:rsid w:val="00E44031"/>
    <w:rsid w:val="00E44944"/>
    <w:rsid w:val="00E46E76"/>
    <w:rsid w:val="00E474EE"/>
    <w:rsid w:val="00E516AC"/>
    <w:rsid w:val="00E51D3B"/>
    <w:rsid w:val="00E52714"/>
    <w:rsid w:val="00E535E6"/>
    <w:rsid w:val="00E5393A"/>
    <w:rsid w:val="00E53CEB"/>
    <w:rsid w:val="00E555EE"/>
    <w:rsid w:val="00E617F5"/>
    <w:rsid w:val="00E62518"/>
    <w:rsid w:val="00E62779"/>
    <w:rsid w:val="00E6415D"/>
    <w:rsid w:val="00E65278"/>
    <w:rsid w:val="00E663B0"/>
    <w:rsid w:val="00E67B44"/>
    <w:rsid w:val="00E707DF"/>
    <w:rsid w:val="00E72A8C"/>
    <w:rsid w:val="00E7320D"/>
    <w:rsid w:val="00E74393"/>
    <w:rsid w:val="00E749BF"/>
    <w:rsid w:val="00E74BED"/>
    <w:rsid w:val="00E77476"/>
    <w:rsid w:val="00E801E1"/>
    <w:rsid w:val="00E81910"/>
    <w:rsid w:val="00E82103"/>
    <w:rsid w:val="00E82721"/>
    <w:rsid w:val="00E84815"/>
    <w:rsid w:val="00E84BDB"/>
    <w:rsid w:val="00E8613F"/>
    <w:rsid w:val="00E87E27"/>
    <w:rsid w:val="00E902CE"/>
    <w:rsid w:val="00E975F9"/>
    <w:rsid w:val="00EA0450"/>
    <w:rsid w:val="00EA0BA0"/>
    <w:rsid w:val="00EA1D2C"/>
    <w:rsid w:val="00EA2247"/>
    <w:rsid w:val="00EA23EE"/>
    <w:rsid w:val="00EA4ADA"/>
    <w:rsid w:val="00EA52DA"/>
    <w:rsid w:val="00EA7141"/>
    <w:rsid w:val="00EA767D"/>
    <w:rsid w:val="00EA7C63"/>
    <w:rsid w:val="00EA7D90"/>
    <w:rsid w:val="00EB2A00"/>
    <w:rsid w:val="00EB3110"/>
    <w:rsid w:val="00EB3157"/>
    <w:rsid w:val="00EB46CF"/>
    <w:rsid w:val="00EB7AEF"/>
    <w:rsid w:val="00EC1398"/>
    <w:rsid w:val="00EC2797"/>
    <w:rsid w:val="00EC28F8"/>
    <w:rsid w:val="00EC3A35"/>
    <w:rsid w:val="00EC3AA0"/>
    <w:rsid w:val="00EC6C0F"/>
    <w:rsid w:val="00ED1571"/>
    <w:rsid w:val="00ED1973"/>
    <w:rsid w:val="00ED33FF"/>
    <w:rsid w:val="00ED368A"/>
    <w:rsid w:val="00ED4CAE"/>
    <w:rsid w:val="00ED6A2F"/>
    <w:rsid w:val="00EE4442"/>
    <w:rsid w:val="00EE5DC3"/>
    <w:rsid w:val="00EE5E79"/>
    <w:rsid w:val="00EE6206"/>
    <w:rsid w:val="00EE7F6B"/>
    <w:rsid w:val="00EF343D"/>
    <w:rsid w:val="00EF4B05"/>
    <w:rsid w:val="00EF56B7"/>
    <w:rsid w:val="00EF6B66"/>
    <w:rsid w:val="00EF7F61"/>
    <w:rsid w:val="00F00230"/>
    <w:rsid w:val="00F018C0"/>
    <w:rsid w:val="00F023B0"/>
    <w:rsid w:val="00F02965"/>
    <w:rsid w:val="00F03743"/>
    <w:rsid w:val="00F0559B"/>
    <w:rsid w:val="00F1341A"/>
    <w:rsid w:val="00F137D5"/>
    <w:rsid w:val="00F143D9"/>
    <w:rsid w:val="00F150D6"/>
    <w:rsid w:val="00F15A4C"/>
    <w:rsid w:val="00F16910"/>
    <w:rsid w:val="00F1717A"/>
    <w:rsid w:val="00F17281"/>
    <w:rsid w:val="00F179FF"/>
    <w:rsid w:val="00F22260"/>
    <w:rsid w:val="00F23BDB"/>
    <w:rsid w:val="00F24030"/>
    <w:rsid w:val="00F24C69"/>
    <w:rsid w:val="00F27105"/>
    <w:rsid w:val="00F302D6"/>
    <w:rsid w:val="00F30982"/>
    <w:rsid w:val="00F31263"/>
    <w:rsid w:val="00F34569"/>
    <w:rsid w:val="00F37E2F"/>
    <w:rsid w:val="00F40996"/>
    <w:rsid w:val="00F43B66"/>
    <w:rsid w:val="00F44CA7"/>
    <w:rsid w:val="00F478D9"/>
    <w:rsid w:val="00F50A95"/>
    <w:rsid w:val="00F5100C"/>
    <w:rsid w:val="00F51695"/>
    <w:rsid w:val="00F51958"/>
    <w:rsid w:val="00F51EE6"/>
    <w:rsid w:val="00F53714"/>
    <w:rsid w:val="00F53E4E"/>
    <w:rsid w:val="00F54B98"/>
    <w:rsid w:val="00F55E28"/>
    <w:rsid w:val="00F5732B"/>
    <w:rsid w:val="00F57CE4"/>
    <w:rsid w:val="00F57F6B"/>
    <w:rsid w:val="00F61D5B"/>
    <w:rsid w:val="00F653F9"/>
    <w:rsid w:val="00F70770"/>
    <w:rsid w:val="00F716BB"/>
    <w:rsid w:val="00F71EB4"/>
    <w:rsid w:val="00F72E40"/>
    <w:rsid w:val="00F731A8"/>
    <w:rsid w:val="00F7451D"/>
    <w:rsid w:val="00F74777"/>
    <w:rsid w:val="00F76F15"/>
    <w:rsid w:val="00F808FC"/>
    <w:rsid w:val="00F82E5D"/>
    <w:rsid w:val="00F83F5F"/>
    <w:rsid w:val="00F846BC"/>
    <w:rsid w:val="00F869FB"/>
    <w:rsid w:val="00F87378"/>
    <w:rsid w:val="00F911F5"/>
    <w:rsid w:val="00F91CEB"/>
    <w:rsid w:val="00F924C0"/>
    <w:rsid w:val="00F936AA"/>
    <w:rsid w:val="00F96856"/>
    <w:rsid w:val="00F96F1E"/>
    <w:rsid w:val="00F9709B"/>
    <w:rsid w:val="00F9709C"/>
    <w:rsid w:val="00FA126C"/>
    <w:rsid w:val="00FA2146"/>
    <w:rsid w:val="00FA2F8D"/>
    <w:rsid w:val="00FA3E1C"/>
    <w:rsid w:val="00FA4DFE"/>
    <w:rsid w:val="00FA6184"/>
    <w:rsid w:val="00FA6928"/>
    <w:rsid w:val="00FA7F06"/>
    <w:rsid w:val="00FB06D3"/>
    <w:rsid w:val="00FB3E0C"/>
    <w:rsid w:val="00FB415D"/>
    <w:rsid w:val="00FB475E"/>
    <w:rsid w:val="00FB60DA"/>
    <w:rsid w:val="00FB7F95"/>
    <w:rsid w:val="00FC1715"/>
    <w:rsid w:val="00FC1812"/>
    <w:rsid w:val="00FC4413"/>
    <w:rsid w:val="00FC461E"/>
    <w:rsid w:val="00FC5B9E"/>
    <w:rsid w:val="00FD1C10"/>
    <w:rsid w:val="00FD3AFF"/>
    <w:rsid w:val="00FD5C76"/>
    <w:rsid w:val="00FD60D9"/>
    <w:rsid w:val="00FD6D69"/>
    <w:rsid w:val="00FD7174"/>
    <w:rsid w:val="00FD79B2"/>
    <w:rsid w:val="00FD7D5D"/>
    <w:rsid w:val="00FD7ECF"/>
    <w:rsid w:val="00FE1B10"/>
    <w:rsid w:val="00FE1F6C"/>
    <w:rsid w:val="00FE2C4E"/>
    <w:rsid w:val="00FE5853"/>
    <w:rsid w:val="00FE636A"/>
    <w:rsid w:val="00FE7B26"/>
    <w:rsid w:val="00FF17A8"/>
    <w:rsid w:val="00FF1C29"/>
    <w:rsid w:val="00FF1F2E"/>
    <w:rsid w:val="00FF2B42"/>
    <w:rsid w:val="00FF4B34"/>
    <w:rsid w:val="00FF503E"/>
    <w:rsid w:val="00FF706F"/>
    <w:rsid w:val="00FF7ED5"/>
    <w:rsid w:val="04C04587"/>
    <w:rsid w:val="114C217D"/>
    <w:rsid w:val="1B3069C0"/>
    <w:rsid w:val="204001F8"/>
    <w:rsid w:val="222710B9"/>
    <w:rsid w:val="22B4727C"/>
    <w:rsid w:val="2CAC2575"/>
    <w:rsid w:val="2FC27A6F"/>
    <w:rsid w:val="3B9F29DF"/>
    <w:rsid w:val="571A7AF9"/>
    <w:rsid w:val="59B037F3"/>
    <w:rsid w:val="65585B52"/>
    <w:rsid w:val="6680376D"/>
    <w:rsid w:val="677553FF"/>
    <w:rsid w:val="68DE4599"/>
    <w:rsid w:val="6AFA344E"/>
    <w:rsid w:val="75810C56"/>
    <w:rsid w:val="76105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color w:val="0000FF"/>
      <w:sz w:val="21"/>
      <w:szCs w:val="21"/>
      <w:lang w:val="en-US" w:eastAsia="zh-CN" w:bidi="ar-SA"/>
    </w:rPr>
  </w:style>
  <w:style w:type="paragraph" w:styleId="2">
    <w:name w:val="heading 1"/>
    <w:basedOn w:val="1"/>
    <w:next w:val="1"/>
    <w:link w:val="3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qFormat/>
    <w:uiPriority w:val="0"/>
    <w:pPr>
      <w:keepNext/>
      <w:keepLines/>
      <w:spacing w:line="415" w:lineRule="auto"/>
      <w:jc w:val="center"/>
      <w:outlineLvl w:val="1"/>
    </w:pPr>
    <w:rPr>
      <w:rFonts w:ascii="宋体"/>
      <w:b/>
      <w:bCs/>
      <w:color w:val="auto"/>
      <w:kern w:val="2"/>
      <w:sz w:val="28"/>
      <w:szCs w:val="28"/>
      <w:lang w:val="zh-CN"/>
    </w:rPr>
  </w:style>
  <w:style w:type="paragraph" w:styleId="4">
    <w:name w:val="heading 3"/>
    <w:basedOn w:val="1"/>
    <w:next w:val="1"/>
    <w:link w:val="34"/>
    <w:autoRedefine/>
    <w:unhideWhenUsed/>
    <w:qFormat/>
    <w:uiPriority w:val="9"/>
    <w:pPr>
      <w:keepNext/>
      <w:keepLines/>
      <w:spacing w:before="260" w:after="260" w:line="416" w:lineRule="auto"/>
      <w:outlineLvl w:val="2"/>
    </w:pPr>
    <w:rPr>
      <w:b/>
      <w:bCs/>
      <w:sz w:val="32"/>
      <w:szCs w:val="32"/>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link w:val="39"/>
    <w:autoRedefine/>
    <w:semiHidden/>
    <w:unhideWhenUsed/>
    <w:qFormat/>
    <w:uiPriority w:val="99"/>
    <w:pPr>
      <w:jc w:val="left"/>
    </w:pPr>
  </w:style>
  <w:style w:type="paragraph" w:styleId="6">
    <w:name w:val="Body Text"/>
    <w:basedOn w:val="1"/>
    <w:link w:val="36"/>
    <w:autoRedefine/>
    <w:qFormat/>
    <w:uiPriority w:val="1"/>
    <w:rPr>
      <w:rFonts w:eastAsia="Times New Roman"/>
      <w:sz w:val="25"/>
      <w:szCs w:val="25"/>
    </w:rPr>
  </w:style>
  <w:style w:type="paragraph" w:styleId="7">
    <w:name w:val="List 2"/>
    <w:basedOn w:val="1"/>
    <w:autoRedefine/>
    <w:qFormat/>
    <w:uiPriority w:val="99"/>
    <w:pPr>
      <w:ind w:left="100" w:leftChars="200" w:hanging="200" w:hangingChars="200"/>
      <w:jc w:val="left"/>
    </w:pPr>
    <w:rPr>
      <w:color w:val="auto"/>
      <w:kern w:val="2"/>
    </w:rPr>
  </w:style>
  <w:style w:type="paragraph" w:styleId="8">
    <w:name w:val="toc 3"/>
    <w:basedOn w:val="1"/>
    <w:next w:val="1"/>
    <w:autoRedefine/>
    <w:unhideWhenUsed/>
    <w:qFormat/>
    <w:uiPriority w:val="39"/>
    <w:pPr>
      <w:ind w:left="840" w:leftChars="400"/>
    </w:pPr>
  </w:style>
  <w:style w:type="paragraph" w:styleId="9">
    <w:name w:val="Plain Text"/>
    <w:basedOn w:val="1"/>
    <w:link w:val="46"/>
    <w:autoRedefine/>
    <w:semiHidden/>
    <w:unhideWhenUsed/>
    <w:qFormat/>
    <w:uiPriority w:val="99"/>
    <w:rPr>
      <w:rFonts w:ascii="宋体" w:hAnsi="Courier New" w:cs="Courier New"/>
    </w:rPr>
  </w:style>
  <w:style w:type="paragraph" w:styleId="10">
    <w:name w:val="Date"/>
    <w:basedOn w:val="1"/>
    <w:next w:val="1"/>
    <w:link w:val="29"/>
    <w:autoRedefine/>
    <w:semiHidden/>
    <w:unhideWhenUsed/>
    <w:qFormat/>
    <w:uiPriority w:val="99"/>
    <w:pPr>
      <w:ind w:left="100" w:leftChars="2500"/>
    </w:pPr>
  </w:style>
  <w:style w:type="paragraph" w:styleId="11">
    <w:name w:val="Balloon Text"/>
    <w:basedOn w:val="1"/>
    <w:link w:val="30"/>
    <w:autoRedefine/>
    <w:semiHidden/>
    <w:unhideWhenUsed/>
    <w:qFormat/>
    <w:uiPriority w:val="99"/>
    <w:rPr>
      <w:sz w:val="18"/>
      <w:szCs w:val="18"/>
    </w:rPr>
  </w:style>
  <w:style w:type="paragraph" w:styleId="12">
    <w:name w:val="footer"/>
    <w:basedOn w:val="1"/>
    <w:link w:val="26"/>
    <w:autoRedefine/>
    <w:unhideWhenUsed/>
    <w:qFormat/>
    <w:uiPriority w:val="0"/>
    <w:pPr>
      <w:tabs>
        <w:tab w:val="center" w:pos="4153"/>
        <w:tab w:val="right" w:pos="8306"/>
      </w:tabs>
      <w:snapToGrid w:val="0"/>
      <w:jc w:val="left"/>
    </w:pPr>
    <w:rPr>
      <w:rFonts w:asciiTheme="minorHAnsi" w:hAnsiTheme="minorHAnsi" w:eastAsiaTheme="minorEastAsia" w:cstheme="minorBidi"/>
      <w:color w:val="auto"/>
      <w:kern w:val="2"/>
      <w:sz w:val="18"/>
      <w:szCs w:val="18"/>
    </w:rPr>
  </w:style>
  <w:style w:type="paragraph" w:styleId="13">
    <w:name w:val="header"/>
    <w:basedOn w:val="1"/>
    <w:link w:val="25"/>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color w:val="auto"/>
      <w:kern w:val="2"/>
      <w:sz w:val="18"/>
      <w:szCs w:val="18"/>
    </w:rPr>
  </w:style>
  <w:style w:type="paragraph" w:styleId="14">
    <w:name w:val="toc 1"/>
    <w:basedOn w:val="1"/>
    <w:next w:val="1"/>
    <w:autoRedefine/>
    <w:unhideWhenUsed/>
    <w:qFormat/>
    <w:uiPriority w:val="39"/>
    <w:pPr>
      <w:tabs>
        <w:tab w:val="right" w:leader="dot" w:pos="8296"/>
      </w:tabs>
      <w:spacing w:line="276" w:lineRule="auto"/>
    </w:pPr>
    <w:rPr>
      <w:rFonts w:ascii="宋体" w:hAnsi="宋体"/>
      <w:color w:val="auto"/>
    </w:rPr>
  </w:style>
  <w:style w:type="paragraph" w:styleId="15">
    <w:name w:val="toc 2"/>
    <w:basedOn w:val="1"/>
    <w:next w:val="1"/>
    <w:autoRedefine/>
    <w:unhideWhenUsed/>
    <w:qFormat/>
    <w:uiPriority w:val="39"/>
    <w:pPr>
      <w:tabs>
        <w:tab w:val="right" w:leader="dot" w:pos="8296"/>
      </w:tabs>
      <w:spacing w:line="276" w:lineRule="auto"/>
      <w:ind w:left="420" w:leftChars="200"/>
    </w:pPr>
  </w:style>
  <w:style w:type="paragraph" w:styleId="16">
    <w:name w:val="Normal (Web)"/>
    <w:basedOn w:val="1"/>
    <w:autoRedefine/>
    <w:qFormat/>
    <w:uiPriority w:val="99"/>
    <w:pPr>
      <w:spacing w:before="100" w:beforeAutospacing="1" w:after="100" w:afterAutospacing="1"/>
      <w:jc w:val="left"/>
    </w:pPr>
    <w:rPr>
      <w:sz w:val="24"/>
    </w:rPr>
  </w:style>
  <w:style w:type="paragraph" w:styleId="17">
    <w:name w:val="annotation subject"/>
    <w:basedOn w:val="5"/>
    <w:next w:val="5"/>
    <w:link w:val="40"/>
    <w:autoRedefine/>
    <w:semiHidden/>
    <w:unhideWhenUsed/>
    <w:qFormat/>
    <w:uiPriority w:val="99"/>
    <w:rPr>
      <w:b/>
      <w:bCs/>
    </w:rPr>
  </w:style>
  <w:style w:type="table" w:styleId="19">
    <w:name w:val="Table Grid"/>
    <w:basedOn w:val="1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22"/>
    <w:rPr>
      <w:b/>
      <w:bCs/>
    </w:rPr>
  </w:style>
  <w:style w:type="character" w:styleId="22">
    <w:name w:val="FollowedHyperlink"/>
    <w:basedOn w:val="20"/>
    <w:autoRedefine/>
    <w:semiHidden/>
    <w:unhideWhenUsed/>
    <w:qFormat/>
    <w:uiPriority w:val="99"/>
    <w:rPr>
      <w:color w:val="954F72" w:themeColor="followedHyperlink"/>
      <w:u w:val="single"/>
      <w14:textFill>
        <w14:solidFill>
          <w14:schemeClr w14:val="folHlink"/>
        </w14:solidFill>
      </w14:textFill>
    </w:rPr>
  </w:style>
  <w:style w:type="character" w:styleId="23">
    <w:name w:val="Hyperlink"/>
    <w:basedOn w:val="20"/>
    <w:autoRedefine/>
    <w:unhideWhenUsed/>
    <w:qFormat/>
    <w:uiPriority w:val="99"/>
    <w:rPr>
      <w:color w:val="0000FF"/>
      <w:u w:val="single"/>
    </w:rPr>
  </w:style>
  <w:style w:type="character" w:styleId="24">
    <w:name w:val="annotation reference"/>
    <w:basedOn w:val="20"/>
    <w:autoRedefine/>
    <w:semiHidden/>
    <w:unhideWhenUsed/>
    <w:qFormat/>
    <w:uiPriority w:val="99"/>
    <w:rPr>
      <w:sz w:val="21"/>
      <w:szCs w:val="21"/>
    </w:rPr>
  </w:style>
  <w:style w:type="character" w:customStyle="1" w:styleId="25">
    <w:name w:val="页眉 字符"/>
    <w:basedOn w:val="20"/>
    <w:link w:val="13"/>
    <w:autoRedefine/>
    <w:qFormat/>
    <w:uiPriority w:val="99"/>
    <w:rPr>
      <w:sz w:val="18"/>
      <w:szCs w:val="18"/>
    </w:rPr>
  </w:style>
  <w:style w:type="character" w:customStyle="1" w:styleId="26">
    <w:name w:val="页脚 字符"/>
    <w:basedOn w:val="20"/>
    <w:link w:val="12"/>
    <w:autoRedefine/>
    <w:qFormat/>
    <w:uiPriority w:val="0"/>
    <w:rPr>
      <w:sz w:val="18"/>
      <w:szCs w:val="18"/>
    </w:rPr>
  </w:style>
  <w:style w:type="paragraph" w:styleId="27">
    <w:name w:val="List Paragraph"/>
    <w:basedOn w:val="1"/>
    <w:link w:val="48"/>
    <w:autoRedefine/>
    <w:qFormat/>
    <w:uiPriority w:val="99"/>
    <w:pPr>
      <w:ind w:firstLine="420" w:firstLineChars="200"/>
    </w:pPr>
  </w:style>
  <w:style w:type="paragraph" w:customStyle="1" w:styleId="28">
    <w:name w:val="Default"/>
    <w:autoRedefine/>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character" w:customStyle="1" w:styleId="29">
    <w:name w:val="日期 字符"/>
    <w:basedOn w:val="20"/>
    <w:link w:val="10"/>
    <w:autoRedefine/>
    <w:semiHidden/>
    <w:qFormat/>
    <w:uiPriority w:val="99"/>
    <w:rPr>
      <w:rFonts w:ascii="Times New Roman" w:hAnsi="Times New Roman" w:eastAsia="宋体" w:cs="Times New Roman"/>
      <w:color w:val="0000FF"/>
      <w:sz w:val="21"/>
      <w:szCs w:val="21"/>
    </w:rPr>
  </w:style>
  <w:style w:type="character" w:customStyle="1" w:styleId="30">
    <w:name w:val="批注框文本 字符"/>
    <w:basedOn w:val="20"/>
    <w:link w:val="11"/>
    <w:autoRedefine/>
    <w:semiHidden/>
    <w:qFormat/>
    <w:uiPriority w:val="99"/>
    <w:rPr>
      <w:rFonts w:ascii="Times New Roman" w:hAnsi="Times New Roman" w:eastAsia="宋体" w:cs="Times New Roman"/>
      <w:color w:val="0000FF"/>
      <w:sz w:val="18"/>
      <w:szCs w:val="18"/>
    </w:rPr>
  </w:style>
  <w:style w:type="character" w:customStyle="1" w:styleId="31">
    <w:name w:val="标题 2 字符"/>
    <w:basedOn w:val="20"/>
    <w:autoRedefine/>
    <w:semiHidden/>
    <w:qFormat/>
    <w:uiPriority w:val="9"/>
    <w:rPr>
      <w:rFonts w:asciiTheme="majorHAnsi" w:hAnsiTheme="majorHAnsi" w:eastAsiaTheme="majorEastAsia" w:cstheme="majorBidi"/>
      <w:b/>
      <w:bCs/>
      <w:color w:val="0000FF"/>
      <w:sz w:val="32"/>
      <w:szCs w:val="32"/>
    </w:rPr>
  </w:style>
  <w:style w:type="character" w:customStyle="1" w:styleId="32">
    <w:name w:val="标题 2 字符1"/>
    <w:link w:val="3"/>
    <w:autoRedefine/>
    <w:qFormat/>
    <w:uiPriority w:val="0"/>
    <w:rPr>
      <w:rFonts w:ascii="宋体" w:hAnsi="Times New Roman" w:eastAsia="宋体" w:cs="Times New Roman"/>
      <w:b/>
      <w:bCs/>
      <w:kern w:val="2"/>
      <w:sz w:val="28"/>
      <w:szCs w:val="28"/>
      <w:lang w:val="zh-CN" w:eastAsia="zh-CN"/>
    </w:rPr>
  </w:style>
  <w:style w:type="character" w:styleId="33">
    <w:name w:val="Placeholder Text"/>
    <w:basedOn w:val="20"/>
    <w:autoRedefine/>
    <w:semiHidden/>
    <w:qFormat/>
    <w:uiPriority w:val="99"/>
    <w:rPr>
      <w:color w:val="808080"/>
    </w:rPr>
  </w:style>
  <w:style w:type="character" w:customStyle="1" w:styleId="34">
    <w:name w:val="标题 3 字符"/>
    <w:basedOn w:val="20"/>
    <w:link w:val="4"/>
    <w:autoRedefine/>
    <w:qFormat/>
    <w:uiPriority w:val="9"/>
    <w:rPr>
      <w:rFonts w:ascii="Times New Roman" w:hAnsi="Times New Roman" w:eastAsia="宋体" w:cs="Times New Roman"/>
      <w:b/>
      <w:bCs/>
      <w:color w:val="0000FF"/>
      <w:sz w:val="32"/>
      <w:szCs w:val="32"/>
    </w:rPr>
  </w:style>
  <w:style w:type="character" w:customStyle="1" w:styleId="35">
    <w:name w:val="标题 1 字符"/>
    <w:basedOn w:val="20"/>
    <w:link w:val="2"/>
    <w:autoRedefine/>
    <w:qFormat/>
    <w:uiPriority w:val="9"/>
    <w:rPr>
      <w:rFonts w:ascii="Times New Roman" w:hAnsi="Times New Roman" w:eastAsia="宋体" w:cs="Times New Roman"/>
      <w:b/>
      <w:bCs/>
      <w:color w:val="0000FF"/>
      <w:kern w:val="44"/>
      <w:sz w:val="44"/>
      <w:szCs w:val="44"/>
    </w:rPr>
  </w:style>
  <w:style w:type="character" w:customStyle="1" w:styleId="36">
    <w:name w:val="正文文本 字符"/>
    <w:basedOn w:val="20"/>
    <w:link w:val="6"/>
    <w:autoRedefine/>
    <w:qFormat/>
    <w:uiPriority w:val="1"/>
    <w:rPr>
      <w:rFonts w:ascii="Times New Roman" w:hAnsi="Times New Roman" w:eastAsia="Times New Roman" w:cs="Times New Roman"/>
      <w:color w:val="0000FF"/>
      <w:sz w:val="25"/>
      <w:szCs w:val="25"/>
    </w:rPr>
  </w:style>
  <w:style w:type="character" w:customStyle="1" w:styleId="37">
    <w:name w:val="ss2"/>
    <w:basedOn w:val="20"/>
    <w:autoRedefine/>
    <w:qFormat/>
    <w:uiPriority w:val="0"/>
  </w:style>
  <w:style w:type="paragraph" w:customStyle="1" w:styleId="38">
    <w:name w:val="TOC 标题1"/>
    <w:basedOn w:val="2"/>
    <w:next w:val="1"/>
    <w:autoRedefine/>
    <w:semiHidden/>
    <w:unhideWhenUsed/>
    <w:qFormat/>
    <w:uiPriority w:val="39"/>
    <w:pPr>
      <w:outlineLvl w:val="9"/>
    </w:pPr>
  </w:style>
  <w:style w:type="character" w:customStyle="1" w:styleId="39">
    <w:name w:val="批注文字 字符"/>
    <w:basedOn w:val="20"/>
    <w:link w:val="5"/>
    <w:autoRedefine/>
    <w:semiHidden/>
    <w:qFormat/>
    <w:uiPriority w:val="99"/>
    <w:rPr>
      <w:rFonts w:ascii="Times New Roman" w:hAnsi="Times New Roman" w:eastAsia="宋体" w:cs="Times New Roman"/>
      <w:color w:val="0000FF"/>
      <w:sz w:val="21"/>
      <w:szCs w:val="21"/>
    </w:rPr>
  </w:style>
  <w:style w:type="character" w:customStyle="1" w:styleId="40">
    <w:name w:val="批注主题 字符"/>
    <w:basedOn w:val="39"/>
    <w:link w:val="17"/>
    <w:autoRedefine/>
    <w:semiHidden/>
    <w:qFormat/>
    <w:uiPriority w:val="99"/>
    <w:rPr>
      <w:rFonts w:ascii="Times New Roman" w:hAnsi="Times New Roman" w:eastAsia="宋体" w:cs="Times New Roman"/>
      <w:b/>
      <w:bCs/>
      <w:color w:val="0000FF"/>
      <w:sz w:val="21"/>
      <w:szCs w:val="21"/>
    </w:rPr>
  </w:style>
  <w:style w:type="paragraph" w:customStyle="1" w:styleId="41">
    <w:name w:val="修订1"/>
    <w:autoRedefine/>
    <w:hidden/>
    <w:semiHidden/>
    <w:qFormat/>
    <w:uiPriority w:val="99"/>
    <w:rPr>
      <w:rFonts w:ascii="Times New Roman" w:hAnsi="Times New Roman" w:eastAsia="宋体" w:cs="Times New Roman"/>
      <w:color w:val="0000FF"/>
      <w:sz w:val="21"/>
      <w:szCs w:val="21"/>
      <w:lang w:val="en-US" w:eastAsia="zh-CN" w:bidi="ar-SA"/>
    </w:rPr>
  </w:style>
  <w:style w:type="paragraph" w:customStyle="1" w:styleId="42">
    <w:name w:val="扉页（出版时间地点）"/>
    <w:basedOn w:val="1"/>
    <w:autoRedefine/>
    <w:qFormat/>
    <w:uiPriority w:val="0"/>
    <w:pPr>
      <w:jc w:val="center"/>
    </w:pPr>
    <w:rPr>
      <w:rFonts w:eastAsia="黑体" w:cs="宋体"/>
      <w:color w:val="auto"/>
      <w:kern w:val="2"/>
      <w:szCs w:val="20"/>
    </w:rPr>
  </w:style>
  <w:style w:type="paragraph" w:customStyle="1" w:styleId="43">
    <w:name w:val="规程英文名称（封面）"/>
    <w:basedOn w:val="9"/>
    <w:autoRedefine/>
    <w:qFormat/>
    <w:uiPriority w:val="0"/>
    <w:pPr>
      <w:widowControl/>
      <w:snapToGrid w:val="0"/>
      <w:spacing w:line="360" w:lineRule="auto"/>
      <w:ind w:left="178" w:leftChars="85"/>
      <w:jc w:val="center"/>
    </w:pPr>
    <w:rPr>
      <w:rFonts w:ascii="Times New Roman" w:hAnsi="Times New Roman" w:eastAsia="黑体" w:cs="Times New Roman"/>
      <w:color w:val="auto"/>
      <w:sz w:val="44"/>
      <w:szCs w:val="44"/>
    </w:rPr>
  </w:style>
  <w:style w:type="paragraph" w:customStyle="1" w:styleId="44">
    <w:name w:val="标准扉页（标准名称）"/>
    <w:basedOn w:val="1"/>
    <w:autoRedefine/>
    <w:qFormat/>
    <w:uiPriority w:val="0"/>
    <w:pPr>
      <w:jc w:val="center"/>
    </w:pPr>
    <w:rPr>
      <w:rFonts w:eastAsia="黑体"/>
      <w:color w:val="auto"/>
      <w:kern w:val="2"/>
      <w:sz w:val="30"/>
      <w:szCs w:val="20"/>
    </w:rPr>
  </w:style>
  <w:style w:type="paragraph" w:customStyle="1" w:styleId="45">
    <w:name w:val="标准扉页（福建省工程建设地方标准）"/>
    <w:basedOn w:val="1"/>
    <w:autoRedefine/>
    <w:qFormat/>
    <w:uiPriority w:val="0"/>
    <w:pPr>
      <w:jc w:val="center"/>
    </w:pPr>
    <w:rPr>
      <w:rFonts w:eastAsia="黑体"/>
      <w:color w:val="auto"/>
      <w:kern w:val="2"/>
      <w:sz w:val="28"/>
      <w:szCs w:val="20"/>
    </w:rPr>
  </w:style>
  <w:style w:type="character" w:customStyle="1" w:styleId="46">
    <w:name w:val="纯文本 字符"/>
    <w:basedOn w:val="20"/>
    <w:link w:val="9"/>
    <w:autoRedefine/>
    <w:semiHidden/>
    <w:qFormat/>
    <w:uiPriority w:val="99"/>
    <w:rPr>
      <w:rFonts w:ascii="宋体" w:hAnsi="Courier New" w:eastAsia="宋体" w:cs="Courier New"/>
      <w:color w:val="0000FF"/>
      <w:sz w:val="21"/>
      <w:szCs w:val="21"/>
    </w:rPr>
  </w:style>
  <w:style w:type="paragraph" w:customStyle="1" w:styleId="47">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8">
    <w:name w:val="列表段落 字符"/>
    <w:link w:val="27"/>
    <w:autoRedefine/>
    <w:qFormat/>
    <w:locked/>
    <w:uiPriority w:val="34"/>
    <w:rPr>
      <w:color w:val="0000FF"/>
      <w:sz w:val="21"/>
      <w:szCs w:val="21"/>
    </w:rPr>
  </w:style>
  <w:style w:type="paragraph" w:customStyle="1" w:styleId="49">
    <w:name w:val="附录一级条标题"/>
    <w:basedOn w:val="1"/>
    <w:next w:val="1"/>
    <w:autoRedefine/>
    <w:qFormat/>
    <w:uiPriority w:val="0"/>
    <w:pPr>
      <w:widowControl/>
      <w:numPr>
        <w:ilvl w:val="1"/>
        <w:numId w:val="1"/>
      </w:numPr>
      <w:wordWrap w:val="0"/>
      <w:overflowPunct w:val="0"/>
      <w:autoSpaceDE w:val="0"/>
      <w:autoSpaceDN w:val="0"/>
      <w:textAlignment w:val="baseline"/>
      <w:outlineLvl w:val="2"/>
    </w:pPr>
    <w:rPr>
      <w:rFonts w:ascii="黑体" w:eastAsia="黑体"/>
      <w:color w:val="auto"/>
      <w:kern w:val="21"/>
      <w:szCs w:val="20"/>
    </w:rPr>
  </w:style>
  <w:style w:type="paragraph" w:customStyle="1" w:styleId="50">
    <w:name w:val="附录二级条标题"/>
    <w:basedOn w:val="49"/>
    <w:next w:val="1"/>
    <w:autoRedefine/>
    <w:qFormat/>
    <w:uiPriority w:val="0"/>
    <w:pPr>
      <w:numPr>
        <w:ilvl w:val="2"/>
      </w:numPr>
      <w:outlineLvl w:val="3"/>
    </w:pPr>
  </w:style>
  <w:style w:type="paragraph" w:customStyle="1" w:styleId="51">
    <w:name w:val="附录三级条标题"/>
    <w:basedOn w:val="50"/>
    <w:next w:val="1"/>
    <w:autoRedefine/>
    <w:qFormat/>
    <w:uiPriority w:val="0"/>
    <w:pPr>
      <w:numPr>
        <w:ilvl w:val="3"/>
      </w:numPr>
      <w:outlineLvl w:val="4"/>
    </w:pPr>
  </w:style>
  <w:style w:type="paragraph" w:customStyle="1" w:styleId="52">
    <w:name w:val="附录四级条标题"/>
    <w:basedOn w:val="51"/>
    <w:next w:val="1"/>
    <w:autoRedefine/>
    <w:qFormat/>
    <w:uiPriority w:val="0"/>
    <w:pPr>
      <w:numPr>
        <w:ilvl w:val="4"/>
      </w:numPr>
      <w:outlineLvl w:val="5"/>
    </w:pPr>
  </w:style>
  <w:style w:type="paragraph" w:customStyle="1" w:styleId="53">
    <w:name w:val="正文表标题"/>
    <w:next w:val="1"/>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54">
    <w:name w:val="正文标题"/>
    <w:basedOn w:val="1"/>
    <w:link w:val="55"/>
    <w:autoRedefine/>
    <w:qFormat/>
    <w:uiPriority w:val="0"/>
    <w:pPr>
      <w:spacing w:line="360" w:lineRule="auto"/>
    </w:pPr>
    <w:rPr>
      <w:rFonts w:cs="黑体"/>
      <w:bCs/>
      <w:color w:val="auto"/>
      <w:kern w:val="2"/>
      <w:szCs w:val="24"/>
    </w:rPr>
  </w:style>
  <w:style w:type="character" w:customStyle="1" w:styleId="55">
    <w:name w:val="正文标题 Char"/>
    <w:basedOn w:val="20"/>
    <w:link w:val="54"/>
    <w:autoRedefine/>
    <w:qFormat/>
    <w:uiPriority w:val="0"/>
    <w:rPr>
      <w:rFonts w:cs="黑体"/>
      <w:bCs/>
      <w:kern w:val="2"/>
      <w:sz w:val="21"/>
      <w:szCs w:val="24"/>
    </w:rPr>
  </w:style>
  <w:style w:type="character" w:customStyle="1" w:styleId="56">
    <w:name w:val="javascript"/>
    <w:basedOn w:val="20"/>
    <w:autoRedefine/>
    <w:qFormat/>
    <w:uiPriority w:val="99"/>
  </w:style>
  <w:style w:type="character" w:customStyle="1" w:styleId="57">
    <w:name w:val="fontstyle01"/>
    <w:basedOn w:val="20"/>
    <w:autoRedefine/>
    <w:qFormat/>
    <w:uiPriority w:val="0"/>
    <w:rPr>
      <w:rFonts w:hint="eastAsia" w:ascii="宋体" w:hAnsi="宋体" w:eastAsia="宋体"/>
      <w:color w:val="000000"/>
      <w:sz w:val="22"/>
      <w:szCs w:val="22"/>
    </w:rPr>
  </w:style>
  <w:style w:type="paragraph" w:customStyle="1" w:styleId="58">
    <w:name w:val="Revision"/>
    <w:autoRedefine/>
    <w:hidden/>
    <w:unhideWhenUsed/>
    <w:qFormat/>
    <w:uiPriority w:val="99"/>
    <w:rPr>
      <w:rFonts w:ascii="Times New Roman" w:hAnsi="Times New Roman" w:eastAsia="宋体" w:cs="Times New Roman"/>
      <w:color w:val="0000FF"/>
      <w:sz w:val="21"/>
      <w:szCs w:val="21"/>
      <w:lang w:val="en-US" w:eastAsia="zh-CN" w:bidi="ar-SA"/>
    </w:rPr>
  </w:style>
  <w:style w:type="paragraph" w:customStyle="1" w:styleId="59">
    <w:name w:val="列表段落1"/>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image" Target="media/image1.emf"/><Relationship Id="rId79" Type="http://schemas.openxmlformats.org/officeDocument/2006/relationships/customXml" Target="../customXml/item1.xml"/><Relationship Id="rId78" Type="http://schemas.openxmlformats.org/officeDocument/2006/relationships/image" Target="media/image38.wmf"/><Relationship Id="rId77" Type="http://schemas.openxmlformats.org/officeDocument/2006/relationships/oleObject" Target="embeddings/oleObject33.bin"/><Relationship Id="rId76" Type="http://schemas.openxmlformats.org/officeDocument/2006/relationships/image" Target="media/image37.wmf"/><Relationship Id="rId75" Type="http://schemas.openxmlformats.org/officeDocument/2006/relationships/oleObject" Target="embeddings/oleObject32.bin"/><Relationship Id="rId74" Type="http://schemas.openxmlformats.org/officeDocument/2006/relationships/image" Target="media/image36.png"/><Relationship Id="rId73" Type="http://schemas.openxmlformats.org/officeDocument/2006/relationships/image" Target="media/image35.png"/><Relationship Id="rId72" Type="http://schemas.openxmlformats.org/officeDocument/2006/relationships/image" Target="media/image34.png"/><Relationship Id="rId71" Type="http://schemas.openxmlformats.org/officeDocument/2006/relationships/image" Target="media/image33.png"/><Relationship Id="rId70" Type="http://schemas.openxmlformats.org/officeDocument/2006/relationships/image" Target="media/image32.png"/><Relationship Id="rId7" Type="http://schemas.openxmlformats.org/officeDocument/2006/relationships/theme" Target="theme/theme1.xml"/><Relationship Id="rId69" Type="http://schemas.openxmlformats.org/officeDocument/2006/relationships/image" Target="media/image31.png"/><Relationship Id="rId68" Type="http://schemas.openxmlformats.org/officeDocument/2006/relationships/image" Target="media/image30.png"/><Relationship Id="rId67" Type="http://schemas.openxmlformats.org/officeDocument/2006/relationships/image" Target="media/image29.png"/><Relationship Id="rId66" Type="http://schemas.openxmlformats.org/officeDocument/2006/relationships/image" Target="media/image28.wmf"/><Relationship Id="rId65" Type="http://schemas.openxmlformats.org/officeDocument/2006/relationships/oleObject" Target="embeddings/oleObject31.bin"/><Relationship Id="rId64" Type="http://schemas.openxmlformats.org/officeDocument/2006/relationships/image" Target="media/image27.wmf"/><Relationship Id="rId63" Type="http://schemas.openxmlformats.org/officeDocument/2006/relationships/oleObject" Target="embeddings/oleObject30.bin"/><Relationship Id="rId62" Type="http://schemas.openxmlformats.org/officeDocument/2006/relationships/image" Target="media/image26.png"/><Relationship Id="rId61" Type="http://schemas.openxmlformats.org/officeDocument/2006/relationships/oleObject" Target="embeddings/oleObject29.bin"/><Relationship Id="rId60" Type="http://schemas.openxmlformats.org/officeDocument/2006/relationships/image" Target="media/image25.wmf"/><Relationship Id="rId6" Type="http://schemas.openxmlformats.org/officeDocument/2006/relationships/footer" Target="footer4.xml"/><Relationship Id="rId59" Type="http://schemas.openxmlformats.org/officeDocument/2006/relationships/oleObject" Target="embeddings/oleObject28.bin"/><Relationship Id="rId58" Type="http://schemas.openxmlformats.org/officeDocument/2006/relationships/image" Target="media/image24.wmf"/><Relationship Id="rId57" Type="http://schemas.openxmlformats.org/officeDocument/2006/relationships/oleObject" Target="embeddings/oleObject27.bin"/><Relationship Id="rId56" Type="http://schemas.openxmlformats.org/officeDocument/2006/relationships/image" Target="media/image23.wmf"/><Relationship Id="rId55" Type="http://schemas.openxmlformats.org/officeDocument/2006/relationships/oleObject" Target="embeddings/oleObject26.bin"/><Relationship Id="rId54" Type="http://schemas.openxmlformats.org/officeDocument/2006/relationships/image" Target="media/image22.wmf"/><Relationship Id="rId53" Type="http://schemas.openxmlformats.org/officeDocument/2006/relationships/oleObject" Target="embeddings/oleObject25.bin"/><Relationship Id="rId52" Type="http://schemas.openxmlformats.org/officeDocument/2006/relationships/image" Target="media/image21.wmf"/><Relationship Id="rId51" Type="http://schemas.openxmlformats.org/officeDocument/2006/relationships/oleObject" Target="embeddings/oleObject24.bin"/><Relationship Id="rId50" Type="http://schemas.openxmlformats.org/officeDocument/2006/relationships/image" Target="media/image20.wmf"/><Relationship Id="rId5" Type="http://schemas.openxmlformats.org/officeDocument/2006/relationships/footer" Target="footer3.xml"/><Relationship Id="rId49" Type="http://schemas.openxmlformats.org/officeDocument/2006/relationships/oleObject" Target="embeddings/oleObject23.bin"/><Relationship Id="rId48" Type="http://schemas.openxmlformats.org/officeDocument/2006/relationships/image" Target="media/image19.wmf"/><Relationship Id="rId47" Type="http://schemas.openxmlformats.org/officeDocument/2006/relationships/oleObject" Target="embeddings/oleObject22.bin"/><Relationship Id="rId46" Type="http://schemas.openxmlformats.org/officeDocument/2006/relationships/image" Target="media/image18.wmf"/><Relationship Id="rId45" Type="http://schemas.openxmlformats.org/officeDocument/2006/relationships/oleObject" Target="embeddings/oleObject21.bin"/><Relationship Id="rId44" Type="http://schemas.openxmlformats.org/officeDocument/2006/relationships/oleObject" Target="embeddings/oleObject20.bin"/><Relationship Id="rId43" Type="http://schemas.openxmlformats.org/officeDocument/2006/relationships/oleObject" Target="embeddings/oleObject19.bin"/><Relationship Id="rId42" Type="http://schemas.openxmlformats.org/officeDocument/2006/relationships/image" Target="media/image17.wmf"/><Relationship Id="rId41" Type="http://schemas.openxmlformats.org/officeDocument/2006/relationships/oleObject" Target="embeddings/oleObject18.bin"/><Relationship Id="rId40" Type="http://schemas.openxmlformats.org/officeDocument/2006/relationships/image" Target="media/image16.w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5.wmf"/><Relationship Id="rId37" Type="http://schemas.openxmlformats.org/officeDocument/2006/relationships/oleObject" Target="embeddings/oleObject16.bin"/><Relationship Id="rId36" Type="http://schemas.openxmlformats.org/officeDocument/2006/relationships/image" Target="media/image14.wmf"/><Relationship Id="rId35" Type="http://schemas.openxmlformats.org/officeDocument/2006/relationships/oleObject" Target="embeddings/oleObject15.bin"/><Relationship Id="rId34" Type="http://schemas.openxmlformats.org/officeDocument/2006/relationships/image" Target="media/image13.wmf"/><Relationship Id="rId33" Type="http://schemas.openxmlformats.org/officeDocument/2006/relationships/oleObject" Target="embeddings/oleObject14.bin"/><Relationship Id="rId32" Type="http://schemas.openxmlformats.org/officeDocument/2006/relationships/image" Target="media/image12.wmf"/><Relationship Id="rId31" Type="http://schemas.openxmlformats.org/officeDocument/2006/relationships/oleObject" Target="embeddings/oleObject13.bin"/><Relationship Id="rId30" Type="http://schemas.openxmlformats.org/officeDocument/2006/relationships/image" Target="media/image11.w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0.wmf"/><Relationship Id="rId27" Type="http://schemas.openxmlformats.org/officeDocument/2006/relationships/oleObject" Target="embeddings/oleObject11.bin"/><Relationship Id="rId26" Type="http://schemas.openxmlformats.org/officeDocument/2006/relationships/image" Target="media/image9.wmf"/><Relationship Id="rId25" Type="http://schemas.openxmlformats.org/officeDocument/2006/relationships/oleObject" Target="embeddings/oleObject10.bin"/><Relationship Id="rId24" Type="http://schemas.openxmlformats.org/officeDocument/2006/relationships/image" Target="media/image8.wmf"/><Relationship Id="rId23" Type="http://schemas.openxmlformats.org/officeDocument/2006/relationships/oleObject" Target="embeddings/oleObject9.bin"/><Relationship Id="rId22" Type="http://schemas.openxmlformats.org/officeDocument/2006/relationships/image" Target="media/image7.wmf"/><Relationship Id="rId21" Type="http://schemas.openxmlformats.org/officeDocument/2006/relationships/oleObject" Target="embeddings/oleObject8.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oleObject" Target="embeddings/oleObject6.bin"/><Relationship Id="rId17" Type="http://schemas.openxmlformats.org/officeDocument/2006/relationships/image" Target="media/image5.wmf"/><Relationship Id="rId16" Type="http://schemas.openxmlformats.org/officeDocument/2006/relationships/image" Target="media/image4.wmf"/><Relationship Id="rId15" Type="http://schemas.openxmlformats.org/officeDocument/2006/relationships/oleObject" Target="embeddings/oleObject5.bin"/><Relationship Id="rId14" Type="http://schemas.openxmlformats.org/officeDocument/2006/relationships/oleObject" Target="embeddings/oleObject4.bin"/><Relationship Id="rId13" Type="http://schemas.openxmlformats.org/officeDocument/2006/relationships/oleObject" Target="embeddings/oleObject3.bin"/><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AF5D8D-6CFC-4D77-9236-5D7E73181AF8}">
  <ds:schemaRefs/>
</ds:datastoreItem>
</file>

<file path=docProps/app.xml><?xml version="1.0" encoding="utf-8"?>
<Properties xmlns="http://schemas.openxmlformats.org/officeDocument/2006/extended-properties" xmlns:vt="http://schemas.openxmlformats.org/officeDocument/2006/docPropsVTypes">
  <Template>Normal.dotm</Template>
  <Pages>68</Pages>
  <Words>33952</Words>
  <Characters>38730</Characters>
  <Lines>335</Lines>
  <Paragraphs>94</Paragraphs>
  <TotalTime>38</TotalTime>
  <ScaleCrop>false</ScaleCrop>
  <LinksUpToDate>false</LinksUpToDate>
  <CharactersWithSpaces>40087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2024-01-08T11:51:00Z</dcterms:created>
  <dc:creator>lenovo lenovo</dc:creator>
  <cp:lastModifiedBy>王雪</cp:lastModifiedBy>
  <cp:lastPrinted>2024-03-15T07:16:00Z</cp:lastPrinted>
  <dcterms:modified xsi:type="dcterms:W3CDTF">2024-08-13T02:58:28Z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CB95E9F525984844AFA9CC4FC56664F4_13</vt:lpwstr>
  </property>
</Properties>
</file>