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 w:firstLineChars="2"/>
        <w:contextualSpacing/>
        <w:jc w:val="left"/>
        <w:rPr>
          <w:rFonts w:eastAsia="黑体"/>
          <w:color w:val="auto"/>
          <w:sz w:val="28"/>
          <w:szCs w:val="28"/>
          <w:u w:val="single"/>
          <w:lang w:bidi="en-US"/>
        </w:rPr>
      </w:pPr>
      <w:bookmarkStart w:id="0" w:name="_Toc110542207"/>
      <w:bookmarkStart w:id="1" w:name="_Toc111198150"/>
      <w:bookmarkStart w:id="2" w:name="_Toc110541188"/>
      <w:bookmarkStart w:id="3" w:name="_Toc110630628"/>
      <w:bookmarkStart w:id="4" w:name="_Toc110540609"/>
      <w:bookmarkStart w:id="5" w:name="_Toc110540150"/>
      <w:bookmarkStart w:id="6" w:name="_Toc110422961"/>
      <w:bookmarkStart w:id="7" w:name="_Toc110538551"/>
      <w:bookmarkStart w:id="8" w:name="_Toc110172686"/>
      <w:bookmarkStart w:id="9" w:name="_Toc111198380"/>
      <w:bookmarkStart w:id="10" w:name="_Toc110630469"/>
      <w:bookmarkStart w:id="11" w:name="_Toc110541899"/>
      <w:bookmarkStart w:id="12" w:name="_Toc111198485"/>
      <w:bookmarkStart w:id="13" w:name="_Toc110539221"/>
      <w:bookmarkStart w:id="14" w:name="_Toc110541738"/>
      <w:bookmarkStart w:id="15" w:name="_Toc110868405"/>
      <w:bookmarkStart w:id="16" w:name="_Toc110541694"/>
      <w:bookmarkStart w:id="17" w:name="_Toc110541137"/>
      <w:r>
        <w:rPr>
          <w:rFonts w:eastAsia="黑体"/>
          <w:color w:val="auto"/>
          <w:sz w:val="28"/>
          <w:szCs w:val="28"/>
          <w:u w:val="single"/>
        </w:rPr>
        <w:drawing>
          <wp:inline distT="0" distB="0" distL="0" distR="0">
            <wp:extent cx="1560195" cy="1026160"/>
            <wp:effectExtent l="0" t="0" r="1905" b="2540"/>
            <wp:docPr id="1" name="图片 1" descr="CECS新LOGO（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ECS新LOGO（小）"/>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0" y="0"/>
                      <a:ext cx="1571094" cy="1033359"/>
                    </a:xfrm>
                    <a:prstGeom prst="rect">
                      <a:avLst/>
                    </a:prstGeom>
                    <a:noFill/>
                  </pic:spPr>
                </pic:pic>
              </a:graphicData>
            </a:graphic>
          </wp:inline>
        </w:drawing>
      </w:r>
      <w:r>
        <w:rPr>
          <w:rFonts w:eastAsia="黑体"/>
          <w:color w:val="auto"/>
          <w:sz w:val="28"/>
          <w:szCs w:val="28"/>
          <w:u w:val="single"/>
          <w:lang w:bidi="en-US"/>
        </w:rPr>
        <w:t xml:space="preserve">                          T/CECS XXX-202X</w:t>
      </w:r>
    </w:p>
    <w:p>
      <w:pPr>
        <w:ind w:firstLine="6" w:firstLineChars="2"/>
        <w:contextualSpacing/>
        <w:jc w:val="right"/>
        <w:rPr>
          <w:rFonts w:eastAsia="黑体"/>
          <w:b/>
          <w:color w:val="auto"/>
          <w:sz w:val="28"/>
          <w:szCs w:val="28"/>
          <w:u w:val="single"/>
          <w:lang w:bidi="en-US"/>
        </w:rPr>
      </w:pPr>
    </w:p>
    <w:p>
      <w:pPr>
        <w:ind w:firstLine="6" w:firstLineChars="2"/>
        <w:contextualSpacing/>
        <w:jc w:val="left"/>
        <w:rPr>
          <w:rFonts w:eastAsia="黑体"/>
          <w:color w:val="auto"/>
          <w:spacing w:val="25"/>
          <w:sz w:val="28"/>
          <w:szCs w:val="28"/>
          <w:lang w:bidi="en-US"/>
        </w:rPr>
      </w:pPr>
    </w:p>
    <w:p>
      <w:pPr>
        <w:ind w:firstLine="7" w:firstLineChars="2"/>
        <w:contextualSpacing/>
        <w:jc w:val="center"/>
        <w:rPr>
          <w:b/>
          <w:color w:val="auto"/>
          <w:sz w:val="32"/>
          <w:szCs w:val="28"/>
          <w:lang w:bidi="en-US"/>
        </w:rPr>
      </w:pPr>
      <w:r>
        <w:rPr>
          <w:b/>
          <w:color w:val="auto"/>
          <w:spacing w:val="25"/>
          <w:sz w:val="32"/>
          <w:szCs w:val="28"/>
          <w:lang w:bidi="en-US"/>
        </w:rPr>
        <w:t>中国工程建设标准化协会标</w:t>
      </w:r>
      <w:r>
        <w:rPr>
          <w:b/>
          <w:color w:val="auto"/>
          <w:sz w:val="32"/>
          <w:szCs w:val="28"/>
          <w:lang w:bidi="en-US"/>
        </w:rPr>
        <w:t>准</w:t>
      </w:r>
    </w:p>
    <w:p>
      <w:pPr>
        <w:ind w:firstLine="6" w:firstLineChars="2"/>
        <w:contextualSpacing/>
        <w:jc w:val="center"/>
        <w:rPr>
          <w:b/>
          <w:color w:val="auto"/>
          <w:sz w:val="32"/>
          <w:szCs w:val="30"/>
          <w:lang w:bidi="en-US"/>
        </w:rPr>
      </w:pPr>
    </w:p>
    <w:p>
      <w:pPr>
        <w:snapToGrid w:val="0"/>
        <w:spacing w:line="312" w:lineRule="auto"/>
        <w:ind w:firstLine="196" w:firstLineChars="41"/>
        <w:jc w:val="center"/>
        <w:rPr>
          <w:bCs/>
          <w:color w:val="auto"/>
          <w:sz w:val="48"/>
          <w:szCs w:val="36"/>
        </w:rPr>
      </w:pPr>
      <w:r>
        <w:rPr>
          <w:bCs/>
          <w:color w:val="auto"/>
          <w:sz w:val="48"/>
          <w:szCs w:val="36"/>
          <w:lang w:val="zh-CN"/>
        </w:rPr>
        <w:t>城市</w:t>
      </w:r>
      <w:r>
        <w:rPr>
          <w:rFonts w:hint="eastAsia"/>
          <w:bCs/>
          <w:color w:val="auto"/>
          <w:sz w:val="48"/>
          <w:szCs w:val="36"/>
          <w:lang w:val="zh-CN"/>
        </w:rPr>
        <w:t>道路工程信息模型应用标准</w:t>
      </w:r>
    </w:p>
    <w:p>
      <w:pPr>
        <w:snapToGrid w:val="0"/>
        <w:spacing w:line="312" w:lineRule="auto"/>
        <w:ind w:firstLine="198" w:firstLineChars="71"/>
        <w:jc w:val="center"/>
        <w:rPr>
          <w:color w:val="auto"/>
          <w:sz w:val="28"/>
          <w:szCs w:val="28"/>
        </w:rPr>
      </w:pPr>
      <w:r>
        <w:rPr>
          <w:color w:val="auto"/>
          <w:sz w:val="28"/>
          <w:szCs w:val="28"/>
        </w:rPr>
        <w:t xml:space="preserve">Standard for </w:t>
      </w:r>
      <w:r>
        <w:rPr>
          <w:rFonts w:hint="eastAsia"/>
          <w:color w:val="auto"/>
          <w:sz w:val="28"/>
          <w:szCs w:val="28"/>
        </w:rPr>
        <w:t>u</w:t>
      </w:r>
      <w:r>
        <w:rPr>
          <w:color w:val="auto"/>
          <w:sz w:val="28"/>
          <w:szCs w:val="28"/>
        </w:rPr>
        <w:t xml:space="preserve">rban </w:t>
      </w:r>
      <w:r>
        <w:rPr>
          <w:rFonts w:hint="eastAsia"/>
          <w:color w:val="auto"/>
          <w:sz w:val="28"/>
          <w:szCs w:val="28"/>
        </w:rPr>
        <w:t>road engineering information modeling</w:t>
      </w:r>
    </w:p>
    <w:p>
      <w:pPr>
        <w:ind w:firstLine="5" w:firstLineChars="2"/>
        <w:contextualSpacing/>
        <w:jc w:val="center"/>
        <w:rPr>
          <w:rFonts w:eastAsia="黑体"/>
          <w:b/>
          <w:color w:val="auto"/>
          <w:lang w:bidi="en-US"/>
        </w:rPr>
      </w:pPr>
    </w:p>
    <w:p>
      <w:pPr>
        <w:ind w:firstLine="6" w:firstLineChars="2"/>
        <w:contextualSpacing/>
        <w:jc w:val="center"/>
        <w:rPr>
          <w:rFonts w:eastAsia="黑体"/>
          <w:color w:val="auto"/>
          <w:sz w:val="32"/>
          <w:szCs w:val="28"/>
          <w:lang w:bidi="en-US"/>
        </w:rPr>
      </w:pPr>
      <w:r>
        <w:rPr>
          <w:rFonts w:eastAsia="黑体"/>
          <w:color w:val="auto"/>
          <w:sz w:val="32"/>
          <w:szCs w:val="28"/>
          <w:lang w:bidi="en-US"/>
        </w:rPr>
        <w:t>（</w:t>
      </w:r>
      <w:r>
        <w:rPr>
          <w:rFonts w:hint="eastAsia" w:eastAsia="黑体"/>
          <w:color w:val="auto"/>
          <w:sz w:val="32"/>
          <w:szCs w:val="28"/>
          <w:lang w:val="en-US" w:eastAsia="zh-CN" w:bidi="en-US"/>
        </w:rPr>
        <w:t>征求意见</w:t>
      </w:r>
      <w:r>
        <w:rPr>
          <w:rFonts w:eastAsia="黑体"/>
          <w:color w:val="auto"/>
          <w:sz w:val="32"/>
          <w:szCs w:val="28"/>
          <w:lang w:bidi="en-US"/>
        </w:rPr>
        <w:t>稿）</w:t>
      </w:r>
    </w:p>
    <w:p>
      <w:pPr>
        <w:ind w:firstLine="7" w:firstLineChars="2"/>
        <w:contextualSpacing/>
        <w:jc w:val="center"/>
        <w:rPr>
          <w:rFonts w:eastAsia="黑体"/>
          <w:b/>
          <w:color w:val="auto"/>
          <w:sz w:val="36"/>
          <w:szCs w:val="36"/>
          <w:lang w:bidi="en-US"/>
        </w:rPr>
      </w:pPr>
    </w:p>
    <w:p>
      <w:pPr>
        <w:ind w:firstLine="7" w:firstLineChars="2"/>
        <w:contextualSpacing/>
        <w:jc w:val="center"/>
        <w:rPr>
          <w:rFonts w:eastAsia="黑体"/>
          <w:b/>
          <w:color w:val="auto"/>
          <w:sz w:val="36"/>
          <w:szCs w:val="36"/>
          <w:lang w:bidi="en-US"/>
        </w:rPr>
      </w:pPr>
    </w:p>
    <w:p>
      <w:pPr>
        <w:ind w:firstLine="7" w:firstLineChars="2"/>
        <w:contextualSpacing/>
        <w:jc w:val="center"/>
        <w:rPr>
          <w:rFonts w:eastAsia="黑体"/>
          <w:b/>
          <w:color w:val="auto"/>
          <w:sz w:val="36"/>
          <w:szCs w:val="36"/>
          <w:lang w:bidi="en-US"/>
        </w:rPr>
      </w:pPr>
    </w:p>
    <w:p>
      <w:pPr>
        <w:ind w:firstLine="7" w:firstLineChars="2"/>
        <w:contextualSpacing/>
        <w:jc w:val="center"/>
        <w:rPr>
          <w:rFonts w:eastAsia="黑体"/>
          <w:b/>
          <w:color w:val="auto"/>
          <w:sz w:val="36"/>
          <w:szCs w:val="36"/>
          <w:lang w:bidi="en-US"/>
        </w:rPr>
      </w:pPr>
    </w:p>
    <w:p>
      <w:pPr>
        <w:ind w:firstLine="7" w:firstLineChars="2"/>
        <w:contextualSpacing/>
        <w:jc w:val="center"/>
        <w:rPr>
          <w:rFonts w:eastAsia="黑体"/>
          <w:b/>
          <w:color w:val="auto"/>
          <w:sz w:val="36"/>
          <w:szCs w:val="36"/>
          <w:lang w:bidi="en-US"/>
        </w:rPr>
      </w:pPr>
    </w:p>
    <w:p>
      <w:pPr>
        <w:ind w:firstLine="7" w:firstLineChars="2"/>
        <w:contextualSpacing/>
        <w:jc w:val="center"/>
        <w:rPr>
          <w:rFonts w:eastAsia="黑体"/>
          <w:b/>
          <w:color w:val="auto"/>
          <w:sz w:val="36"/>
          <w:szCs w:val="36"/>
          <w:lang w:bidi="en-US"/>
        </w:rPr>
      </w:pPr>
    </w:p>
    <w:p>
      <w:pPr>
        <w:ind w:firstLine="7" w:firstLineChars="2"/>
        <w:contextualSpacing/>
        <w:jc w:val="center"/>
        <w:rPr>
          <w:rFonts w:eastAsia="黑体"/>
          <w:b/>
          <w:color w:val="auto"/>
          <w:sz w:val="36"/>
          <w:szCs w:val="36"/>
          <w:lang w:bidi="en-US"/>
        </w:rPr>
      </w:pPr>
    </w:p>
    <w:p>
      <w:pPr>
        <w:ind w:firstLine="7" w:firstLineChars="2"/>
        <w:contextualSpacing/>
        <w:jc w:val="center"/>
        <w:rPr>
          <w:rFonts w:eastAsia="黑体"/>
          <w:b/>
          <w:color w:val="auto"/>
          <w:sz w:val="36"/>
          <w:szCs w:val="36"/>
          <w:lang w:bidi="en-US"/>
        </w:rPr>
      </w:pPr>
    </w:p>
    <w:p>
      <w:pPr>
        <w:ind w:firstLine="723"/>
        <w:contextualSpacing/>
        <w:rPr>
          <w:rFonts w:eastAsia="黑体"/>
          <w:b/>
          <w:color w:val="auto"/>
          <w:sz w:val="36"/>
          <w:szCs w:val="36"/>
          <w:lang w:bidi="en-US"/>
        </w:rPr>
      </w:pPr>
    </w:p>
    <w:p>
      <w:pPr>
        <w:ind w:firstLine="6" w:firstLineChars="2"/>
        <w:contextualSpacing/>
        <w:jc w:val="center"/>
        <w:rPr>
          <w:rFonts w:eastAsia="仿宋"/>
          <w:b/>
          <w:color w:val="auto"/>
          <w:sz w:val="28"/>
          <w:lang w:bidi="en-US"/>
        </w:rPr>
      </w:pPr>
      <w:r>
        <w:rPr>
          <w:rFonts w:eastAsia="仿宋"/>
          <w:b/>
          <w:color w:val="auto"/>
          <w:sz w:val="28"/>
          <w:lang w:bidi="en-US"/>
        </w:rPr>
        <w:t>中国计划出版社</w:t>
      </w:r>
    </w:p>
    <w:p>
      <w:pPr>
        <w:ind w:firstLine="6" w:firstLineChars="2"/>
        <w:contextualSpacing/>
        <w:jc w:val="center"/>
        <w:rPr>
          <w:rFonts w:eastAsia="黑体"/>
          <w:color w:val="auto"/>
          <w:sz w:val="30"/>
          <w:szCs w:val="30"/>
          <w:lang w:bidi="en-US"/>
        </w:rPr>
      </w:pPr>
    </w:p>
    <w:p>
      <w:pPr>
        <w:ind w:firstLine="6" w:firstLineChars="2"/>
        <w:contextualSpacing/>
        <w:jc w:val="center"/>
        <w:rPr>
          <w:rFonts w:eastAsia="黑体"/>
          <w:color w:val="auto"/>
          <w:sz w:val="30"/>
          <w:szCs w:val="30"/>
          <w:lang w:bidi="en-US"/>
        </w:rPr>
      </w:pPr>
    </w:p>
    <w:p>
      <w:pPr>
        <w:ind w:firstLine="6" w:firstLineChars="2"/>
        <w:contextualSpacing/>
        <w:jc w:val="center"/>
        <w:rPr>
          <w:rFonts w:eastAsia="黑体"/>
          <w:color w:val="auto"/>
          <w:sz w:val="30"/>
          <w:szCs w:val="30"/>
          <w:lang w:bidi="en-US"/>
        </w:rPr>
      </w:pPr>
    </w:p>
    <w:p>
      <w:pPr>
        <w:ind w:firstLine="6" w:firstLineChars="2"/>
        <w:contextualSpacing/>
        <w:jc w:val="center"/>
        <w:rPr>
          <w:rFonts w:eastAsia="黑体"/>
          <w:color w:val="auto"/>
          <w:sz w:val="30"/>
          <w:szCs w:val="30"/>
          <w:lang w:bidi="en-US"/>
        </w:rPr>
      </w:pPr>
    </w:p>
    <w:p>
      <w:pPr>
        <w:ind w:firstLine="6" w:firstLineChars="2"/>
        <w:contextualSpacing/>
        <w:jc w:val="center"/>
        <w:rPr>
          <w:rFonts w:eastAsia="黑体"/>
          <w:color w:val="auto"/>
          <w:sz w:val="30"/>
          <w:szCs w:val="30"/>
          <w:lang w:bidi="en-US"/>
        </w:rPr>
      </w:pPr>
    </w:p>
    <w:p>
      <w:pPr>
        <w:ind w:firstLine="6" w:firstLineChars="2"/>
        <w:contextualSpacing/>
        <w:jc w:val="center"/>
        <w:rPr>
          <w:rFonts w:eastAsia="黑体"/>
          <w:color w:val="auto"/>
          <w:sz w:val="30"/>
          <w:szCs w:val="30"/>
          <w:lang w:bidi="en-US"/>
        </w:rPr>
      </w:pPr>
    </w:p>
    <w:p>
      <w:pPr>
        <w:ind w:firstLine="6" w:firstLineChars="2"/>
        <w:contextualSpacing/>
        <w:jc w:val="center"/>
        <w:rPr>
          <w:rFonts w:eastAsia="黑体"/>
          <w:color w:val="auto"/>
          <w:sz w:val="30"/>
          <w:szCs w:val="30"/>
          <w:lang w:bidi="en-US"/>
        </w:rPr>
      </w:pPr>
    </w:p>
    <w:p>
      <w:pPr>
        <w:ind w:firstLine="6" w:firstLineChars="2"/>
        <w:contextualSpacing/>
        <w:jc w:val="center"/>
        <w:rPr>
          <w:rFonts w:eastAsia="黑体"/>
          <w:color w:val="auto"/>
          <w:sz w:val="30"/>
          <w:szCs w:val="30"/>
          <w:lang w:bidi="en-US"/>
        </w:rPr>
      </w:pPr>
    </w:p>
    <w:p>
      <w:pPr>
        <w:ind w:firstLine="6" w:firstLineChars="2"/>
        <w:contextualSpacing/>
        <w:jc w:val="center"/>
        <w:rPr>
          <w:rFonts w:eastAsia="黑体"/>
          <w:color w:val="auto"/>
          <w:sz w:val="30"/>
          <w:szCs w:val="30"/>
          <w:lang w:bidi="en-US"/>
        </w:rPr>
      </w:pPr>
    </w:p>
    <w:p>
      <w:pPr>
        <w:ind w:firstLine="6" w:firstLineChars="2"/>
        <w:contextualSpacing/>
        <w:jc w:val="center"/>
        <w:rPr>
          <w:rFonts w:eastAsia="黑体"/>
          <w:color w:val="auto"/>
          <w:sz w:val="30"/>
          <w:szCs w:val="30"/>
          <w:lang w:bidi="en-US"/>
        </w:rPr>
      </w:pPr>
    </w:p>
    <w:p>
      <w:pPr>
        <w:ind w:firstLine="6" w:firstLineChars="2"/>
        <w:contextualSpacing/>
        <w:jc w:val="center"/>
        <w:rPr>
          <w:rFonts w:eastAsia="黑体"/>
          <w:color w:val="auto"/>
          <w:sz w:val="30"/>
          <w:szCs w:val="30"/>
          <w:lang w:bidi="en-US"/>
        </w:rPr>
      </w:pPr>
    </w:p>
    <w:p>
      <w:pPr>
        <w:ind w:firstLine="6" w:firstLineChars="2"/>
        <w:contextualSpacing/>
        <w:jc w:val="center"/>
        <w:rPr>
          <w:rFonts w:eastAsia="黑体"/>
          <w:color w:val="auto"/>
          <w:sz w:val="30"/>
          <w:szCs w:val="30"/>
          <w:lang w:bidi="en-US"/>
        </w:rPr>
      </w:pPr>
    </w:p>
    <w:p>
      <w:pPr>
        <w:ind w:firstLine="6" w:firstLineChars="2"/>
        <w:contextualSpacing/>
        <w:jc w:val="center"/>
        <w:rPr>
          <w:rFonts w:eastAsia="黑体"/>
          <w:color w:val="auto"/>
          <w:sz w:val="30"/>
          <w:szCs w:val="30"/>
          <w:lang w:bidi="en-US"/>
        </w:rPr>
      </w:pPr>
    </w:p>
    <w:p>
      <w:pPr>
        <w:ind w:firstLine="6" w:firstLineChars="2"/>
        <w:contextualSpacing/>
        <w:jc w:val="center"/>
        <w:rPr>
          <w:rFonts w:eastAsia="黑体"/>
          <w:color w:val="auto"/>
          <w:sz w:val="30"/>
          <w:szCs w:val="30"/>
          <w:lang w:bidi="en-US"/>
        </w:rPr>
      </w:pPr>
    </w:p>
    <w:p>
      <w:pPr>
        <w:ind w:firstLine="6" w:firstLineChars="2"/>
        <w:contextualSpacing/>
        <w:jc w:val="center"/>
        <w:rPr>
          <w:rFonts w:eastAsia="黑体"/>
          <w:color w:val="auto"/>
          <w:sz w:val="30"/>
          <w:szCs w:val="30"/>
          <w:lang w:bidi="en-US"/>
        </w:rPr>
      </w:pPr>
    </w:p>
    <w:p>
      <w:pPr>
        <w:ind w:firstLine="6" w:firstLineChars="2"/>
        <w:contextualSpacing/>
        <w:jc w:val="center"/>
        <w:rPr>
          <w:rFonts w:eastAsia="黑体"/>
          <w:color w:val="auto"/>
          <w:sz w:val="30"/>
          <w:szCs w:val="30"/>
          <w:lang w:bidi="en-US"/>
        </w:rPr>
      </w:pPr>
    </w:p>
    <w:p>
      <w:pPr>
        <w:ind w:firstLine="6" w:firstLineChars="2"/>
        <w:contextualSpacing/>
        <w:jc w:val="center"/>
        <w:rPr>
          <w:rFonts w:eastAsia="黑体"/>
          <w:color w:val="auto"/>
          <w:sz w:val="30"/>
          <w:szCs w:val="30"/>
          <w:lang w:bidi="en-US"/>
        </w:rPr>
      </w:pPr>
    </w:p>
    <w:p>
      <w:pPr>
        <w:ind w:firstLine="6" w:firstLineChars="2"/>
        <w:contextualSpacing/>
        <w:jc w:val="center"/>
        <w:rPr>
          <w:rFonts w:eastAsia="黑体"/>
          <w:color w:val="auto"/>
          <w:sz w:val="30"/>
          <w:szCs w:val="30"/>
          <w:lang w:bidi="en-US"/>
        </w:rPr>
      </w:pPr>
    </w:p>
    <w:p>
      <w:pPr>
        <w:ind w:firstLine="6" w:firstLineChars="2"/>
        <w:contextualSpacing/>
        <w:jc w:val="center"/>
        <w:rPr>
          <w:rFonts w:eastAsia="黑体"/>
          <w:color w:val="auto"/>
          <w:sz w:val="30"/>
          <w:szCs w:val="30"/>
          <w:lang w:bidi="en-US"/>
        </w:rPr>
      </w:pPr>
    </w:p>
    <w:p>
      <w:pPr>
        <w:ind w:firstLine="6" w:firstLineChars="2"/>
        <w:contextualSpacing/>
        <w:jc w:val="center"/>
        <w:rPr>
          <w:rFonts w:eastAsia="黑体"/>
          <w:color w:val="auto"/>
          <w:sz w:val="30"/>
          <w:szCs w:val="30"/>
          <w:lang w:bidi="en-US"/>
        </w:rPr>
      </w:pPr>
    </w:p>
    <w:p>
      <w:pPr>
        <w:ind w:firstLine="6" w:firstLineChars="2"/>
        <w:contextualSpacing/>
        <w:jc w:val="center"/>
        <w:rPr>
          <w:rFonts w:eastAsia="黑体"/>
          <w:color w:val="auto"/>
          <w:sz w:val="30"/>
          <w:szCs w:val="30"/>
          <w:lang w:bidi="en-US"/>
        </w:rPr>
      </w:pPr>
    </w:p>
    <w:p>
      <w:pPr>
        <w:ind w:firstLine="6" w:firstLineChars="2"/>
        <w:contextualSpacing/>
        <w:jc w:val="center"/>
        <w:rPr>
          <w:rFonts w:eastAsia="黑体"/>
          <w:color w:val="auto"/>
          <w:sz w:val="30"/>
          <w:szCs w:val="30"/>
          <w:lang w:bidi="en-US"/>
        </w:rPr>
      </w:pPr>
    </w:p>
    <w:p>
      <w:pPr>
        <w:ind w:firstLine="690"/>
        <w:jc w:val="center"/>
        <w:rPr>
          <w:rFonts w:eastAsia="黑体"/>
          <w:color w:val="auto"/>
          <w:spacing w:val="25"/>
          <w:sz w:val="32"/>
          <w:szCs w:val="28"/>
          <w:lang w:bidi="en-US"/>
        </w:rPr>
      </w:pPr>
    </w:p>
    <w:p>
      <w:pPr>
        <w:ind w:firstLine="690"/>
        <w:jc w:val="center"/>
        <w:rPr>
          <w:rFonts w:eastAsia="黑体"/>
          <w:b/>
          <w:color w:val="auto"/>
          <w:spacing w:val="80"/>
          <w:sz w:val="36"/>
          <w:szCs w:val="32"/>
          <w:lang w:bidi="en-US"/>
        </w:rPr>
      </w:pPr>
      <w:r>
        <w:rPr>
          <w:rFonts w:eastAsia="黑体"/>
          <w:color w:val="auto"/>
          <w:spacing w:val="25"/>
          <w:sz w:val="32"/>
          <w:szCs w:val="28"/>
          <w:lang w:bidi="en-US"/>
        </w:rPr>
        <w:t>中国工程建设标准化协会标准</w:t>
      </w:r>
    </w:p>
    <w:p>
      <w:pPr>
        <w:ind w:firstLine="10" w:firstLineChars="2"/>
        <w:contextualSpacing/>
        <w:jc w:val="center"/>
        <w:rPr>
          <w:rFonts w:eastAsia="黑体"/>
          <w:b/>
          <w:color w:val="auto"/>
          <w:spacing w:val="80"/>
          <w:sz w:val="32"/>
          <w:szCs w:val="32"/>
          <w:lang w:bidi="en-US"/>
        </w:rPr>
      </w:pPr>
    </w:p>
    <w:p>
      <w:pPr>
        <w:snapToGrid w:val="0"/>
        <w:spacing w:line="312" w:lineRule="auto"/>
        <w:ind w:firstLine="960"/>
        <w:jc w:val="center"/>
        <w:rPr>
          <w:bCs/>
          <w:color w:val="auto"/>
          <w:sz w:val="48"/>
          <w:szCs w:val="36"/>
        </w:rPr>
      </w:pPr>
      <w:r>
        <w:rPr>
          <w:bCs/>
          <w:color w:val="auto"/>
          <w:sz w:val="48"/>
          <w:szCs w:val="36"/>
          <w:lang w:val="zh-CN"/>
        </w:rPr>
        <w:t>城市</w:t>
      </w:r>
      <w:r>
        <w:rPr>
          <w:rFonts w:hint="eastAsia"/>
          <w:bCs/>
          <w:color w:val="auto"/>
          <w:sz w:val="48"/>
          <w:szCs w:val="36"/>
          <w:lang w:val="zh-CN"/>
        </w:rPr>
        <w:t>道路工程信息模型应用标准</w:t>
      </w:r>
    </w:p>
    <w:p>
      <w:pPr>
        <w:snapToGrid w:val="0"/>
        <w:spacing w:line="312" w:lineRule="auto"/>
        <w:ind w:firstLine="560"/>
        <w:jc w:val="center"/>
        <w:rPr>
          <w:color w:val="auto"/>
          <w:sz w:val="28"/>
          <w:szCs w:val="28"/>
        </w:rPr>
      </w:pPr>
      <w:r>
        <w:rPr>
          <w:color w:val="auto"/>
          <w:sz w:val="28"/>
          <w:szCs w:val="28"/>
        </w:rPr>
        <w:t xml:space="preserve">Standard for </w:t>
      </w:r>
      <w:r>
        <w:rPr>
          <w:rFonts w:hint="eastAsia"/>
          <w:color w:val="auto"/>
          <w:sz w:val="28"/>
          <w:szCs w:val="28"/>
        </w:rPr>
        <w:t>u</w:t>
      </w:r>
      <w:r>
        <w:rPr>
          <w:color w:val="auto"/>
          <w:sz w:val="28"/>
          <w:szCs w:val="28"/>
        </w:rPr>
        <w:t xml:space="preserve">rban </w:t>
      </w:r>
      <w:r>
        <w:rPr>
          <w:rFonts w:hint="eastAsia"/>
          <w:color w:val="auto"/>
          <w:sz w:val="28"/>
          <w:szCs w:val="28"/>
        </w:rPr>
        <w:t>road engineering information modeling</w:t>
      </w:r>
    </w:p>
    <w:p>
      <w:pPr>
        <w:ind w:firstLine="6" w:firstLineChars="2"/>
        <w:contextualSpacing/>
        <w:jc w:val="center"/>
        <w:rPr>
          <w:rFonts w:eastAsia="黑体"/>
          <w:b/>
          <w:color w:val="auto"/>
          <w:sz w:val="28"/>
          <w:lang w:bidi="en-US"/>
        </w:rPr>
      </w:pPr>
      <w:r>
        <w:rPr>
          <w:rFonts w:eastAsia="黑体"/>
          <w:b/>
          <w:color w:val="auto"/>
          <w:sz w:val="28"/>
          <w:lang w:bidi="en-US"/>
        </w:rPr>
        <w:t>T/CECS XXX—202X</w:t>
      </w:r>
    </w:p>
    <w:p>
      <w:pPr>
        <w:ind w:firstLine="4" w:firstLineChars="2"/>
        <w:contextualSpacing/>
        <w:jc w:val="center"/>
        <w:rPr>
          <w:color w:val="auto"/>
          <w:szCs w:val="21"/>
          <w:lang w:bidi="en-US"/>
        </w:rPr>
      </w:pPr>
    </w:p>
    <w:p>
      <w:pPr>
        <w:ind w:firstLine="4" w:firstLineChars="2"/>
        <w:contextualSpacing/>
        <w:jc w:val="center"/>
        <w:rPr>
          <w:color w:val="auto"/>
          <w:szCs w:val="21"/>
          <w:lang w:bidi="en-US"/>
        </w:rPr>
      </w:pPr>
    </w:p>
    <w:p>
      <w:pPr>
        <w:ind w:firstLine="565" w:firstLineChars="202"/>
        <w:contextualSpacing/>
        <w:rPr>
          <w:color w:val="auto"/>
          <w:sz w:val="28"/>
          <w:szCs w:val="28"/>
          <w:lang w:bidi="en-US"/>
        </w:rPr>
      </w:pPr>
      <w:r>
        <w:rPr>
          <w:color w:val="auto"/>
          <w:sz w:val="28"/>
          <w:szCs w:val="28"/>
          <w:lang w:bidi="en-US"/>
        </w:rPr>
        <w:t>主编单位：北京市市政工程设计研究总院有限公司</w:t>
      </w:r>
    </w:p>
    <w:p>
      <w:pPr>
        <w:ind w:firstLine="565" w:firstLineChars="202"/>
        <w:contextualSpacing/>
        <w:rPr>
          <w:color w:val="auto"/>
          <w:sz w:val="28"/>
          <w:szCs w:val="28"/>
          <w:lang w:bidi="en-US"/>
        </w:rPr>
      </w:pPr>
      <w:r>
        <w:rPr>
          <w:color w:val="auto"/>
          <w:sz w:val="28"/>
          <w:szCs w:val="28"/>
          <w:lang w:bidi="en-US"/>
        </w:rPr>
        <w:t>批准单位:    中国工程建设标准化协会</w:t>
      </w:r>
    </w:p>
    <w:p>
      <w:pPr>
        <w:ind w:firstLine="565" w:firstLineChars="202"/>
        <w:contextualSpacing/>
        <w:rPr>
          <w:color w:val="auto"/>
          <w:sz w:val="28"/>
          <w:szCs w:val="28"/>
          <w:lang w:bidi="en-US"/>
        </w:rPr>
      </w:pPr>
      <w:r>
        <w:rPr>
          <w:color w:val="auto"/>
          <w:sz w:val="28"/>
          <w:szCs w:val="28"/>
          <w:lang w:bidi="en-US"/>
        </w:rPr>
        <w:t>执行日期：       202x年xx月xx日</w:t>
      </w:r>
    </w:p>
    <w:p>
      <w:pPr>
        <w:ind w:firstLine="1104" w:firstLineChars="460"/>
        <w:contextualSpacing/>
        <w:jc w:val="left"/>
        <w:rPr>
          <w:color w:val="auto"/>
          <w:szCs w:val="21"/>
          <w:lang w:bidi="en-US"/>
        </w:rPr>
      </w:pPr>
    </w:p>
    <w:p>
      <w:pPr>
        <w:ind w:firstLine="1104" w:firstLineChars="460"/>
        <w:contextualSpacing/>
        <w:jc w:val="left"/>
        <w:rPr>
          <w:color w:val="auto"/>
          <w:szCs w:val="21"/>
          <w:lang w:bidi="en-US"/>
        </w:rPr>
      </w:pPr>
    </w:p>
    <w:p>
      <w:pPr>
        <w:ind w:firstLine="1104" w:firstLineChars="460"/>
        <w:contextualSpacing/>
        <w:jc w:val="left"/>
        <w:rPr>
          <w:color w:val="auto"/>
          <w:szCs w:val="21"/>
          <w:lang w:bidi="en-US"/>
        </w:rPr>
      </w:pPr>
    </w:p>
    <w:p>
      <w:pPr>
        <w:ind w:firstLine="1104" w:firstLineChars="460"/>
        <w:contextualSpacing/>
        <w:jc w:val="left"/>
        <w:rPr>
          <w:color w:val="auto"/>
          <w:szCs w:val="21"/>
          <w:lang w:bidi="en-US"/>
        </w:rPr>
      </w:pPr>
    </w:p>
    <w:p>
      <w:pPr>
        <w:ind w:firstLine="1104" w:firstLineChars="460"/>
        <w:contextualSpacing/>
        <w:jc w:val="left"/>
        <w:rPr>
          <w:color w:val="auto"/>
          <w:szCs w:val="21"/>
          <w:lang w:bidi="en-US"/>
        </w:rPr>
      </w:pPr>
    </w:p>
    <w:p>
      <w:pPr>
        <w:ind w:firstLine="1104" w:firstLineChars="460"/>
        <w:contextualSpacing/>
        <w:jc w:val="left"/>
        <w:rPr>
          <w:color w:val="auto"/>
          <w:szCs w:val="21"/>
          <w:lang w:bidi="en-US"/>
        </w:rPr>
      </w:pPr>
    </w:p>
    <w:p>
      <w:pPr>
        <w:ind w:firstLine="1104" w:firstLineChars="460"/>
        <w:contextualSpacing/>
        <w:jc w:val="left"/>
        <w:rPr>
          <w:color w:val="auto"/>
          <w:szCs w:val="21"/>
          <w:lang w:bidi="en-US"/>
        </w:rPr>
      </w:pPr>
    </w:p>
    <w:p>
      <w:pPr>
        <w:ind w:firstLine="1104" w:firstLineChars="460"/>
        <w:contextualSpacing/>
        <w:jc w:val="left"/>
        <w:rPr>
          <w:color w:val="auto"/>
          <w:szCs w:val="21"/>
          <w:lang w:bidi="en-US"/>
        </w:rPr>
      </w:pPr>
    </w:p>
    <w:p>
      <w:pPr>
        <w:ind w:firstLine="1104" w:firstLineChars="460"/>
        <w:contextualSpacing/>
        <w:jc w:val="left"/>
        <w:rPr>
          <w:color w:val="auto"/>
          <w:szCs w:val="21"/>
          <w:lang w:bidi="en-US"/>
        </w:rPr>
      </w:pPr>
    </w:p>
    <w:p>
      <w:pPr>
        <w:ind w:firstLine="1104" w:firstLineChars="460"/>
        <w:contextualSpacing/>
        <w:jc w:val="left"/>
        <w:rPr>
          <w:color w:val="auto"/>
          <w:szCs w:val="21"/>
          <w:lang w:bidi="en-US"/>
        </w:rPr>
      </w:pPr>
    </w:p>
    <w:p>
      <w:pPr>
        <w:ind w:firstLine="1104" w:firstLineChars="460"/>
        <w:contextualSpacing/>
        <w:jc w:val="left"/>
        <w:rPr>
          <w:color w:val="auto"/>
          <w:szCs w:val="21"/>
          <w:lang w:bidi="en-US"/>
        </w:rPr>
      </w:pPr>
    </w:p>
    <w:p>
      <w:pPr>
        <w:ind w:firstLine="1104" w:firstLineChars="460"/>
        <w:contextualSpacing/>
        <w:jc w:val="left"/>
        <w:rPr>
          <w:color w:val="auto"/>
          <w:szCs w:val="21"/>
          <w:lang w:bidi="en-US"/>
        </w:rPr>
      </w:pPr>
    </w:p>
    <w:p>
      <w:pPr>
        <w:ind w:firstLine="6" w:firstLineChars="2"/>
        <w:contextualSpacing/>
        <w:jc w:val="center"/>
        <w:rPr>
          <w:rFonts w:eastAsia="仿宋"/>
          <w:b/>
          <w:color w:val="auto"/>
          <w:sz w:val="28"/>
          <w:lang w:bidi="en-US"/>
        </w:rPr>
      </w:pPr>
      <w:r>
        <w:rPr>
          <w:rFonts w:eastAsia="仿宋"/>
          <w:b/>
          <w:color w:val="auto"/>
          <w:sz w:val="28"/>
          <w:lang w:bidi="en-US"/>
        </w:rPr>
        <w:t>中国计划出版社</w:t>
      </w:r>
    </w:p>
    <w:p>
      <w:pPr>
        <w:ind w:firstLine="480"/>
        <w:jc w:val="center"/>
        <w:rPr>
          <w:rFonts w:eastAsia="黑体"/>
          <w:color w:val="auto"/>
          <w:lang w:bidi="en-US"/>
        </w:rPr>
      </w:pPr>
      <w:r>
        <w:rPr>
          <w:rFonts w:eastAsia="黑体"/>
          <w:color w:val="auto"/>
          <w:lang w:bidi="en-US"/>
        </w:rPr>
        <w:t>202x  北    京</w:t>
      </w:r>
    </w:p>
    <w:p>
      <w:pPr>
        <w:ind w:firstLine="480"/>
        <w:jc w:val="center"/>
        <w:rPr>
          <w:color w:val="auto"/>
          <w:lang w:bidi="en-US"/>
        </w:rPr>
      </w:pPr>
    </w:p>
    <w:p>
      <w:pPr>
        <w:ind w:firstLine="480"/>
        <w:jc w:val="center"/>
        <w:rPr>
          <w:color w:val="auto"/>
          <w:lang w:bidi="en-US"/>
        </w:rPr>
      </w:pPr>
    </w:p>
    <w:p>
      <w:pPr>
        <w:ind w:firstLine="480"/>
        <w:jc w:val="center"/>
        <w:rPr>
          <w:color w:val="auto"/>
          <w:lang w:bidi="en-US"/>
        </w:rPr>
      </w:pPr>
    </w:p>
    <w:p>
      <w:pPr>
        <w:ind w:firstLine="480"/>
        <w:jc w:val="center"/>
        <w:rPr>
          <w:color w:val="auto"/>
          <w:lang w:bidi="en-US"/>
        </w:rPr>
      </w:pPr>
    </w:p>
    <w:p>
      <w:pPr>
        <w:ind w:firstLine="480"/>
        <w:jc w:val="center"/>
        <w:rPr>
          <w:color w:val="auto"/>
          <w:lang w:bidi="en-US"/>
        </w:rPr>
      </w:pPr>
    </w:p>
    <w:p>
      <w:pPr>
        <w:ind w:firstLine="480"/>
        <w:jc w:val="center"/>
        <w:rPr>
          <w:color w:val="auto"/>
          <w:lang w:bidi="en-US"/>
        </w:rPr>
      </w:pPr>
    </w:p>
    <w:p>
      <w:pPr>
        <w:ind w:firstLine="480"/>
        <w:jc w:val="center"/>
        <w:rPr>
          <w:color w:val="auto"/>
          <w:lang w:bidi="en-US"/>
        </w:rPr>
      </w:pPr>
    </w:p>
    <w:p>
      <w:pPr>
        <w:ind w:firstLine="480"/>
        <w:jc w:val="center"/>
        <w:rPr>
          <w:color w:val="auto"/>
          <w:lang w:bidi="en-US"/>
        </w:rPr>
      </w:pPr>
    </w:p>
    <w:p>
      <w:pPr>
        <w:ind w:firstLine="480"/>
        <w:jc w:val="center"/>
        <w:rPr>
          <w:color w:val="auto"/>
          <w:lang w:bidi="en-US"/>
        </w:rPr>
      </w:pPr>
    </w:p>
    <w:p>
      <w:pPr>
        <w:ind w:firstLine="480"/>
        <w:jc w:val="center"/>
        <w:rPr>
          <w:color w:val="auto"/>
          <w:lang w:bidi="en-US"/>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p>
    <w:p>
      <w:pPr>
        <w:ind w:firstLine="480"/>
        <w:jc w:val="center"/>
        <w:rPr>
          <w:color w:val="auto"/>
        </w:rPr>
      </w:pPr>
      <w:bookmarkStart w:id="18" w:name="_Toc477868555"/>
      <w:bookmarkStart w:id="19" w:name="_Toc477252953"/>
      <w:bookmarkStart w:id="20" w:name="_Toc5870297"/>
      <w:bookmarkStart w:id="21" w:name="_Toc474413854"/>
      <w:bookmarkStart w:id="22" w:name="_Toc25846956"/>
      <w:bookmarkStart w:id="23" w:name="_Toc9593296"/>
      <w:bookmarkStart w:id="24" w:name="_Toc25237656"/>
      <w:bookmarkStart w:id="25" w:name="_Toc25238617"/>
      <w:bookmarkStart w:id="26" w:name="_Toc11678019"/>
      <w:bookmarkStart w:id="27" w:name="_Toc4555"/>
      <w:bookmarkStart w:id="28" w:name="_Toc477253120"/>
      <w:bookmarkStart w:id="29" w:name="_Toc424199562"/>
      <w:bookmarkStart w:id="30" w:name="_Toc477869223"/>
      <w:bookmarkStart w:id="31" w:name="_Toc9007131"/>
      <w:bookmarkStart w:id="32" w:name="_Toc426725729"/>
      <w:bookmarkStart w:id="33" w:name="_Toc9351715"/>
      <w:bookmarkStart w:id="34" w:name="_Toc25239284"/>
      <w:bookmarkStart w:id="35" w:name="_Toc25239502"/>
      <w:bookmarkStart w:id="36" w:name="_Toc451430711"/>
      <w:bookmarkStart w:id="37" w:name="_Toc25568985"/>
      <w:bookmarkStart w:id="38" w:name="_Toc13133614"/>
      <w:bookmarkStart w:id="39" w:name="_Toc9860786"/>
      <w:bookmarkStart w:id="40" w:name="_Toc9859632"/>
      <w:bookmarkStart w:id="41" w:name="_Toc477252867"/>
      <w:bookmarkStart w:id="42" w:name="_Toc56372177"/>
      <w:bookmarkStart w:id="43" w:name="_Toc5870493"/>
      <w:bookmarkStart w:id="44" w:name="_Toc9428830"/>
      <w:bookmarkStart w:id="45" w:name="_Toc474416654"/>
      <w:bookmarkStart w:id="46" w:name="_Toc469304044"/>
      <w:bookmarkStart w:id="47" w:name="_Toc11067145"/>
      <w:bookmarkStart w:id="48" w:name="_Toc24634332"/>
      <w:bookmarkStart w:id="49" w:name="_Toc7094480"/>
      <w:bookmarkStart w:id="50" w:name="_Toc5649"/>
      <w:bookmarkStart w:id="51" w:name="_Toc56435276"/>
      <w:bookmarkStart w:id="52" w:name="_Toc25833084"/>
      <w:bookmarkStart w:id="53" w:name="_Toc469303982"/>
      <w:bookmarkStart w:id="54" w:name="_Toc468969826"/>
      <w:bookmarkStart w:id="55" w:name="_Toc474416718"/>
      <w:bookmarkStart w:id="56" w:name="_Toc8907390"/>
      <w:bookmarkStart w:id="57" w:name="_Toc56412168"/>
      <w:bookmarkStart w:id="58" w:name="_Toc25241308"/>
      <w:bookmarkStart w:id="59" w:name="_Toc9408245"/>
      <w:bookmarkStart w:id="60" w:name="_Toc25238801"/>
      <w:bookmarkStart w:id="61" w:name="_Toc7094136"/>
      <w:bookmarkStart w:id="62" w:name="_Toc453189493"/>
    </w:p>
    <w:p>
      <w:pPr>
        <w:ind w:firstLine="0" w:firstLineChars="0"/>
        <w:jc w:val="center"/>
        <w:rPr>
          <w:rFonts w:eastAsia="黑体"/>
          <w:color w:val="auto"/>
          <w:sz w:val="32"/>
        </w:rPr>
      </w:pPr>
      <w:r>
        <w:rPr>
          <w:rFonts w:eastAsia="黑体"/>
          <w:color w:val="auto"/>
          <w:sz w:val="32"/>
        </w:rPr>
        <w:t>前    言</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pPr>
        <w:ind w:firstLine="480"/>
        <w:rPr>
          <w:color w:val="auto"/>
        </w:rPr>
      </w:pPr>
      <w:r>
        <w:rPr>
          <w:color w:val="auto"/>
        </w:rPr>
        <w:t>根据中国工程建设标准化协会《关于印发&lt;202</w:t>
      </w:r>
      <w:r>
        <w:rPr>
          <w:rFonts w:hint="eastAsia"/>
          <w:color w:val="auto"/>
        </w:rPr>
        <w:t>0</w:t>
      </w:r>
      <w:r>
        <w:rPr>
          <w:color w:val="auto"/>
        </w:rPr>
        <w:t>年第</w:t>
      </w:r>
      <w:r>
        <w:rPr>
          <w:rFonts w:hint="eastAsia"/>
          <w:color w:val="auto"/>
        </w:rPr>
        <w:t>二</w:t>
      </w:r>
      <w:r>
        <w:rPr>
          <w:color w:val="auto"/>
        </w:rPr>
        <w:t>批协会标准制订、修订计划&gt;的通知》（建标协字</w:t>
      </w:r>
      <w:r>
        <w:rPr>
          <w:rFonts w:hint="eastAsia"/>
          <w:color w:val="auto"/>
        </w:rPr>
        <w:t>〔</w:t>
      </w:r>
      <w:r>
        <w:rPr>
          <w:color w:val="auto"/>
        </w:rPr>
        <w:t>202</w:t>
      </w:r>
      <w:r>
        <w:rPr>
          <w:rFonts w:hint="eastAsia"/>
          <w:color w:val="auto"/>
        </w:rPr>
        <w:t>0〕23</w:t>
      </w:r>
      <w:r>
        <w:rPr>
          <w:color w:val="auto"/>
        </w:rPr>
        <w:t>号）的要求，标准编制组经广泛调查研究，认真总结工程实践经验，参考有关国际标准和国</w:t>
      </w:r>
      <w:r>
        <w:rPr>
          <w:rFonts w:hint="eastAsia"/>
          <w:color w:val="auto"/>
        </w:rPr>
        <w:t>内</w:t>
      </w:r>
      <w:r>
        <w:rPr>
          <w:color w:val="auto"/>
        </w:rPr>
        <w:t>外</w:t>
      </w:r>
      <w:r>
        <w:rPr>
          <w:rFonts w:hint="eastAsia"/>
          <w:color w:val="auto"/>
        </w:rPr>
        <w:t>现行</w:t>
      </w:r>
      <w:r>
        <w:rPr>
          <w:color w:val="auto"/>
        </w:rPr>
        <w:t>标准，并在广泛征求意见的基础上，编制本标准。</w:t>
      </w:r>
    </w:p>
    <w:p>
      <w:pPr>
        <w:ind w:firstLine="480"/>
        <w:rPr>
          <w:color w:val="auto"/>
        </w:rPr>
      </w:pPr>
      <w:r>
        <w:rPr>
          <w:color w:val="auto"/>
        </w:rPr>
        <w:t>本标准共分</w:t>
      </w:r>
      <w:r>
        <w:rPr>
          <w:rFonts w:hint="eastAsia"/>
          <w:color w:val="auto"/>
          <w:lang w:val="en-US" w:eastAsia="zh-CN"/>
        </w:rPr>
        <w:t>8</w:t>
      </w:r>
      <w:r>
        <w:rPr>
          <w:color w:val="auto"/>
        </w:rPr>
        <w:t>章节，主要技术内容包括：总则、术语</w:t>
      </w:r>
      <w:r>
        <w:rPr>
          <w:rFonts w:hint="eastAsia"/>
          <w:color w:val="auto"/>
          <w:lang w:val="en-US" w:eastAsia="zh-CN"/>
        </w:rPr>
        <w:t>和缩略词</w:t>
      </w:r>
      <w:r>
        <w:rPr>
          <w:color w:val="auto"/>
        </w:rPr>
        <w:t>、基本规定、</w:t>
      </w:r>
      <w:r>
        <w:rPr>
          <w:rFonts w:hint="eastAsia"/>
          <w:color w:val="auto"/>
          <w:lang w:val="en-US" w:eastAsia="zh-CN"/>
        </w:rPr>
        <w:t>协同管理</w:t>
      </w:r>
      <w:r>
        <w:rPr>
          <w:color w:val="auto"/>
        </w:rPr>
        <w:t>、</w:t>
      </w:r>
      <w:r>
        <w:rPr>
          <w:rFonts w:hint="eastAsia"/>
          <w:color w:val="auto"/>
          <w:lang w:val="en-US" w:eastAsia="zh-CN"/>
        </w:rPr>
        <w:t>工程前期阶段</w:t>
      </w:r>
      <w:r>
        <w:rPr>
          <w:color w:val="auto"/>
        </w:rPr>
        <w:t>、</w:t>
      </w:r>
      <w:r>
        <w:rPr>
          <w:rFonts w:hint="eastAsia"/>
          <w:color w:val="auto"/>
          <w:lang w:val="en-US" w:eastAsia="zh-CN"/>
        </w:rPr>
        <w:t>勘察设计阶段、施工阶段、运维阶段</w:t>
      </w:r>
      <w:r>
        <w:rPr>
          <w:color w:val="auto"/>
        </w:rPr>
        <w:t>。</w:t>
      </w:r>
    </w:p>
    <w:p>
      <w:pPr>
        <w:ind w:firstLine="480"/>
        <w:rPr>
          <w:color w:val="auto"/>
        </w:rPr>
      </w:pPr>
      <w:r>
        <w:rPr>
          <w:rFonts w:hint="eastAsia"/>
          <w:color w:val="auto"/>
        </w:rPr>
        <w:t>本标准的某些内容可能直接或间接涉及专利，本标准的发布机构不承担识别这些专利的责任。</w:t>
      </w:r>
    </w:p>
    <w:p>
      <w:pPr>
        <w:spacing w:line="312" w:lineRule="auto"/>
        <w:ind w:firstLine="480"/>
        <w:rPr>
          <w:color w:val="auto"/>
        </w:rPr>
      </w:pPr>
      <w:r>
        <w:rPr>
          <w:color w:val="auto"/>
        </w:rPr>
        <w:t>本标准由中国工程建设标准化协会城市交通专业委员会归口管理，</w:t>
      </w:r>
      <w:r>
        <w:rPr>
          <w:rFonts w:hint="eastAsia"/>
          <w:color w:val="auto"/>
        </w:rPr>
        <w:t>由北京市市政工程设计研究总院有限公司负责具体技术内容的解释。执行过程中如有意见或建议，请反馈至北京市市政工程设计研究总院有限公司（北京市海淀区西直门北大街32号3号楼，邮政编码：100082，邮箱：</w:t>
      </w:r>
      <w:r>
        <w:rPr>
          <w:rFonts w:hint="eastAsia"/>
          <w:color w:val="auto"/>
          <w:lang w:val="en-US" w:eastAsia="zh-CN"/>
        </w:rPr>
        <w:t>lijiangang_1@bmedi.cn</w:t>
      </w:r>
      <w:r>
        <w:rPr>
          <w:rFonts w:hint="eastAsia"/>
          <w:color w:val="auto"/>
        </w:rPr>
        <w:t xml:space="preserve"> ）</w:t>
      </w:r>
    </w:p>
    <w:p>
      <w:pPr>
        <w:ind w:firstLine="484" w:firstLineChars="202"/>
        <w:contextualSpacing/>
        <w:rPr>
          <w:bCs/>
          <w:color w:val="auto"/>
          <w:szCs w:val="21"/>
          <w:lang w:bidi="en-US"/>
        </w:rPr>
      </w:pPr>
    </w:p>
    <w:tbl>
      <w:tblPr>
        <w:tblStyle w:val="75"/>
        <w:tblW w:w="8534"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16"/>
        <w:gridCol w:w="62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316" w:type="dxa"/>
          </w:tcPr>
          <w:p>
            <w:pPr>
              <w:ind w:firstLine="482"/>
              <w:contextualSpacing/>
              <w:jc w:val="left"/>
              <w:rPr>
                <w:rFonts w:asciiTheme="minorHAnsi" w:hAnsiTheme="minorHAnsi" w:eastAsiaTheme="minorEastAsia" w:cstheme="minorBidi"/>
                <w:bCs/>
                <w:color w:val="auto"/>
                <w:kern w:val="0"/>
                <w:lang w:val="zh-CN" w:bidi="en-US"/>
              </w:rPr>
            </w:pPr>
            <w:r>
              <w:rPr>
                <w:rFonts w:asciiTheme="minorHAnsi" w:hAnsiTheme="minorHAnsi" w:eastAsiaTheme="minorEastAsia" w:cstheme="minorBidi"/>
                <w:b/>
                <w:bCs/>
                <w:color w:val="auto"/>
                <w:kern w:val="0"/>
                <w:lang w:val="zh-CN" w:bidi="en-US"/>
              </w:rPr>
              <w:t>主编单位</w:t>
            </w:r>
            <w:r>
              <w:rPr>
                <w:rFonts w:asciiTheme="minorHAnsi" w:hAnsiTheme="minorHAnsi" w:eastAsiaTheme="minorEastAsia" w:cstheme="minorBidi"/>
                <w:b/>
                <w:bCs/>
                <w:color w:val="auto"/>
                <w:kern w:val="0"/>
                <w:lang w:bidi="en-US"/>
              </w:rPr>
              <w:t>：</w:t>
            </w:r>
          </w:p>
        </w:tc>
        <w:tc>
          <w:tcPr>
            <w:tcW w:w="6218" w:type="dxa"/>
          </w:tcPr>
          <w:p>
            <w:pPr>
              <w:ind w:firstLine="480"/>
              <w:contextualSpacing/>
              <w:rPr>
                <w:rFonts w:asciiTheme="minorHAnsi" w:hAnsiTheme="minorHAnsi" w:eastAsiaTheme="minorEastAsia" w:cstheme="minorBidi"/>
                <w:bCs/>
                <w:color w:val="auto"/>
                <w:kern w:val="0"/>
                <w:lang w:val="zh-CN" w:bidi="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316" w:type="dxa"/>
          </w:tcPr>
          <w:p>
            <w:pPr>
              <w:ind w:firstLine="482"/>
              <w:contextualSpacing/>
              <w:jc w:val="left"/>
              <w:rPr>
                <w:rFonts w:asciiTheme="minorHAnsi" w:hAnsiTheme="minorHAnsi" w:eastAsiaTheme="minorEastAsia" w:cstheme="minorBidi"/>
                <w:bCs/>
                <w:color w:val="auto"/>
                <w:kern w:val="0"/>
                <w:lang w:val="zh-CN" w:bidi="en-US"/>
              </w:rPr>
            </w:pPr>
            <w:r>
              <w:rPr>
                <w:rFonts w:asciiTheme="minorHAnsi" w:hAnsiTheme="minorHAnsi" w:eastAsiaTheme="minorEastAsia" w:cstheme="minorBidi"/>
                <w:b/>
                <w:bCs/>
                <w:color w:val="auto"/>
                <w:kern w:val="0"/>
                <w:lang w:val="zh-CN" w:bidi="en-US"/>
              </w:rPr>
              <w:t>参编单位</w:t>
            </w:r>
            <w:r>
              <w:rPr>
                <w:rFonts w:asciiTheme="minorHAnsi" w:hAnsiTheme="minorHAnsi" w:eastAsiaTheme="minorEastAsia" w:cstheme="minorBidi"/>
                <w:b/>
                <w:bCs/>
                <w:color w:val="auto"/>
                <w:kern w:val="0"/>
                <w:lang w:bidi="en-US"/>
              </w:rPr>
              <w:t>：</w:t>
            </w:r>
          </w:p>
        </w:tc>
        <w:tc>
          <w:tcPr>
            <w:tcW w:w="6218" w:type="dxa"/>
          </w:tcPr>
          <w:p>
            <w:pPr>
              <w:ind w:firstLine="480"/>
              <w:contextualSpacing/>
              <w:rPr>
                <w:rFonts w:asciiTheme="minorHAnsi" w:hAnsiTheme="minorHAnsi" w:eastAsiaTheme="minorEastAsia" w:cstheme="minorBidi"/>
                <w:bCs/>
                <w:color w:val="auto"/>
                <w:kern w:val="0"/>
                <w:lang w:bidi="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316" w:type="dxa"/>
          </w:tcPr>
          <w:p>
            <w:pPr>
              <w:ind w:firstLine="482"/>
              <w:contextualSpacing/>
              <w:jc w:val="left"/>
              <w:rPr>
                <w:rFonts w:asciiTheme="minorHAnsi" w:hAnsiTheme="minorHAnsi" w:eastAsiaTheme="minorEastAsia" w:cstheme="minorBidi"/>
                <w:bCs/>
                <w:color w:val="auto"/>
                <w:kern w:val="0"/>
                <w:lang w:val="zh-CN" w:bidi="en-US"/>
              </w:rPr>
            </w:pPr>
            <w:r>
              <w:rPr>
                <w:rFonts w:asciiTheme="minorHAnsi" w:hAnsiTheme="minorHAnsi" w:eastAsiaTheme="minorEastAsia" w:cstheme="minorBidi"/>
                <w:b/>
                <w:bCs/>
                <w:color w:val="auto"/>
                <w:kern w:val="0"/>
                <w:lang w:bidi="en-US"/>
              </w:rPr>
              <w:t>主      编</w:t>
            </w:r>
            <w:r>
              <w:rPr>
                <w:rFonts w:asciiTheme="minorHAnsi" w:hAnsiTheme="minorHAnsi" w:eastAsiaTheme="minorEastAsia" w:cstheme="minorBidi"/>
                <w:bCs/>
                <w:color w:val="auto"/>
                <w:kern w:val="0"/>
                <w:lang w:val="zh-CN" w:bidi="en-US"/>
              </w:rPr>
              <w:t>：</w:t>
            </w:r>
          </w:p>
        </w:tc>
        <w:tc>
          <w:tcPr>
            <w:tcW w:w="6218" w:type="dxa"/>
          </w:tcPr>
          <w:p>
            <w:pPr>
              <w:ind w:firstLine="480"/>
              <w:contextualSpacing/>
              <w:rPr>
                <w:rFonts w:asciiTheme="minorHAnsi" w:hAnsiTheme="minorHAnsi" w:eastAsiaTheme="minorEastAsia" w:cstheme="minorBidi"/>
                <w:bCs/>
                <w:color w:val="auto"/>
                <w:kern w:val="0"/>
                <w:lang w:val="zh-CN" w:bidi="en-US"/>
              </w:rPr>
            </w:pPr>
            <w:r>
              <w:rPr>
                <w:rFonts w:asciiTheme="minorHAnsi" w:hAnsiTheme="minorHAnsi" w:eastAsiaTheme="minorEastAsia" w:cstheme="minorBidi"/>
                <w:color w:val="auto"/>
                <w:kern w:val="2"/>
              </w:rPr>
              <w:t>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316" w:type="dxa"/>
          </w:tcPr>
          <w:p>
            <w:pPr>
              <w:ind w:firstLine="482"/>
              <w:contextualSpacing/>
              <w:jc w:val="left"/>
              <w:rPr>
                <w:rFonts w:asciiTheme="minorHAnsi" w:hAnsiTheme="minorHAnsi" w:eastAsiaTheme="minorEastAsia" w:cstheme="minorBidi"/>
                <w:bCs/>
                <w:color w:val="auto"/>
                <w:kern w:val="0"/>
                <w:lang w:val="zh-CN" w:bidi="en-US"/>
              </w:rPr>
            </w:pPr>
            <w:r>
              <w:rPr>
                <w:rFonts w:asciiTheme="minorHAnsi" w:hAnsiTheme="minorHAnsi" w:eastAsiaTheme="minorEastAsia" w:cstheme="minorBidi"/>
                <w:b/>
                <w:bCs/>
                <w:color w:val="auto"/>
                <w:kern w:val="0"/>
                <w:lang w:bidi="en-US"/>
              </w:rPr>
              <w:t>主要起草人：</w:t>
            </w:r>
          </w:p>
        </w:tc>
        <w:tc>
          <w:tcPr>
            <w:tcW w:w="6218" w:type="dxa"/>
          </w:tcPr>
          <w:p>
            <w:pPr>
              <w:ind w:firstLine="480"/>
              <w:contextualSpacing/>
              <w:rPr>
                <w:rFonts w:asciiTheme="minorHAnsi" w:hAnsiTheme="minorHAnsi" w:eastAsiaTheme="minorEastAsia" w:cstheme="minorBidi"/>
                <w:bCs/>
                <w:color w:val="auto"/>
                <w:kern w:val="0"/>
                <w:lang w:val="zh-CN" w:bidi="en-US"/>
              </w:rPr>
            </w:pPr>
            <w:r>
              <w:rPr>
                <w:rFonts w:asciiTheme="minorHAnsi" w:hAnsiTheme="minorHAnsi" w:eastAsiaTheme="minorEastAsia" w:cstheme="minorBidi"/>
                <w:color w:val="auto"/>
                <w:kern w:val="2"/>
              </w:rPr>
              <w:t>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316" w:type="dxa"/>
          </w:tcPr>
          <w:p>
            <w:pPr>
              <w:ind w:firstLine="482"/>
              <w:contextualSpacing/>
              <w:jc w:val="left"/>
              <w:rPr>
                <w:rFonts w:asciiTheme="minorHAnsi" w:hAnsiTheme="minorHAnsi" w:eastAsiaTheme="minorEastAsia" w:cstheme="minorBidi"/>
                <w:b/>
                <w:bCs/>
                <w:color w:val="auto"/>
                <w:kern w:val="2"/>
                <w:lang w:bidi="en-US"/>
              </w:rPr>
            </w:pPr>
          </w:p>
        </w:tc>
        <w:tc>
          <w:tcPr>
            <w:tcW w:w="6218" w:type="dxa"/>
          </w:tcPr>
          <w:p>
            <w:pPr>
              <w:ind w:firstLine="480"/>
              <w:contextualSpacing/>
              <w:rPr>
                <w:rFonts w:asciiTheme="minorHAnsi" w:hAnsiTheme="minorHAnsi" w:eastAsiaTheme="minorEastAsia" w:cstheme="minorBidi"/>
                <w:bCs/>
                <w:color w:val="auto"/>
                <w:kern w:val="2"/>
                <w:lang w:val="zh-CN" w:bidi="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316" w:type="dxa"/>
          </w:tcPr>
          <w:p>
            <w:pPr>
              <w:ind w:firstLine="482"/>
              <w:contextualSpacing/>
              <w:jc w:val="left"/>
              <w:rPr>
                <w:rFonts w:asciiTheme="minorHAnsi" w:hAnsiTheme="minorHAnsi" w:eastAsiaTheme="minorEastAsia" w:cstheme="minorBidi"/>
                <w:b/>
                <w:bCs/>
                <w:color w:val="auto"/>
                <w:kern w:val="2"/>
                <w:lang w:bidi="en-US"/>
              </w:rPr>
            </w:pPr>
          </w:p>
        </w:tc>
        <w:tc>
          <w:tcPr>
            <w:tcW w:w="6218" w:type="dxa"/>
          </w:tcPr>
          <w:p>
            <w:pPr>
              <w:ind w:firstLine="480"/>
              <w:contextualSpacing/>
              <w:rPr>
                <w:rFonts w:asciiTheme="minorHAnsi" w:hAnsiTheme="minorHAnsi" w:eastAsiaTheme="minorEastAsia" w:cstheme="minorBidi"/>
                <w:bCs/>
                <w:color w:val="auto"/>
                <w:kern w:val="2"/>
                <w:lang w:val="zh-CN" w:bidi="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316" w:type="dxa"/>
          </w:tcPr>
          <w:p>
            <w:pPr>
              <w:ind w:firstLine="482"/>
              <w:contextualSpacing/>
              <w:jc w:val="left"/>
              <w:rPr>
                <w:rFonts w:asciiTheme="minorHAnsi" w:hAnsiTheme="minorHAnsi" w:eastAsiaTheme="minorEastAsia" w:cstheme="minorBidi"/>
                <w:bCs/>
                <w:color w:val="auto"/>
                <w:kern w:val="0"/>
                <w:lang w:val="zh-CN" w:bidi="en-US"/>
              </w:rPr>
            </w:pPr>
            <w:r>
              <w:rPr>
                <w:rFonts w:asciiTheme="minorHAnsi" w:hAnsiTheme="minorHAnsi" w:eastAsiaTheme="minorEastAsia" w:cstheme="minorBidi"/>
                <w:b/>
                <w:bCs/>
                <w:color w:val="auto"/>
                <w:kern w:val="0"/>
                <w:lang w:bidi="en-US"/>
              </w:rPr>
              <w:t>主要审查人：</w:t>
            </w:r>
          </w:p>
        </w:tc>
        <w:tc>
          <w:tcPr>
            <w:tcW w:w="6218" w:type="dxa"/>
          </w:tcPr>
          <w:p>
            <w:pPr>
              <w:ind w:firstLine="480"/>
              <w:contextualSpacing/>
              <w:rPr>
                <w:rFonts w:asciiTheme="minorHAnsi" w:hAnsiTheme="minorHAnsi" w:eastAsiaTheme="minorEastAsia" w:cstheme="minorBidi"/>
                <w:color w:val="auto"/>
                <w:kern w:val="2"/>
              </w:rPr>
            </w:pPr>
            <w:r>
              <w:rPr>
                <w:rFonts w:asciiTheme="minorHAnsi" w:hAnsiTheme="minorHAnsi" w:eastAsiaTheme="minorEastAsia" w:cstheme="minorBidi"/>
                <w:color w:val="auto"/>
                <w:kern w:val="2"/>
              </w:rPr>
              <w:t>略</w:t>
            </w:r>
          </w:p>
          <w:p>
            <w:pPr>
              <w:ind w:firstLine="480"/>
              <w:contextualSpacing/>
              <w:rPr>
                <w:rFonts w:asciiTheme="minorHAnsi" w:hAnsiTheme="minorHAnsi" w:eastAsiaTheme="minorEastAsia" w:cstheme="minorBidi"/>
                <w:color w:val="auto"/>
                <w:kern w:val="2"/>
              </w:rPr>
            </w:pPr>
          </w:p>
          <w:p>
            <w:pPr>
              <w:ind w:firstLine="480"/>
              <w:contextualSpacing/>
              <w:rPr>
                <w:rFonts w:asciiTheme="minorHAnsi" w:hAnsiTheme="minorHAnsi" w:eastAsiaTheme="minorEastAsia" w:cstheme="minorBidi"/>
                <w:color w:val="auto"/>
                <w:kern w:val="2"/>
              </w:rPr>
            </w:pPr>
          </w:p>
          <w:p>
            <w:pPr>
              <w:ind w:firstLine="480"/>
              <w:contextualSpacing/>
              <w:rPr>
                <w:rFonts w:asciiTheme="minorHAnsi" w:hAnsiTheme="minorHAnsi" w:eastAsiaTheme="minorEastAsia" w:cstheme="minorBidi"/>
                <w:color w:val="auto"/>
                <w:kern w:val="2"/>
              </w:rPr>
            </w:pPr>
          </w:p>
          <w:p>
            <w:pPr>
              <w:ind w:firstLine="480"/>
              <w:contextualSpacing/>
              <w:rPr>
                <w:rFonts w:asciiTheme="minorHAnsi" w:hAnsiTheme="minorHAnsi" w:eastAsiaTheme="minorEastAsia" w:cstheme="minorBidi"/>
                <w:color w:val="auto"/>
                <w:kern w:val="2"/>
              </w:rPr>
            </w:pPr>
          </w:p>
          <w:p>
            <w:pPr>
              <w:ind w:firstLine="480"/>
              <w:contextualSpacing/>
              <w:rPr>
                <w:rFonts w:asciiTheme="minorHAnsi" w:hAnsiTheme="minorHAnsi" w:eastAsiaTheme="minorEastAsia" w:cstheme="minorBidi"/>
                <w:bCs/>
                <w:color w:val="auto"/>
                <w:kern w:val="0"/>
                <w:lang w:val="zh-CN" w:bidi="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316" w:type="dxa"/>
          </w:tcPr>
          <w:p>
            <w:pPr>
              <w:ind w:firstLine="482"/>
              <w:contextualSpacing/>
              <w:jc w:val="left"/>
              <w:rPr>
                <w:rFonts w:asciiTheme="minorHAnsi" w:hAnsiTheme="minorHAnsi" w:eastAsiaTheme="minorEastAsia" w:cstheme="minorBidi"/>
                <w:b/>
                <w:bCs/>
                <w:color w:val="auto"/>
                <w:kern w:val="2"/>
                <w:lang w:bidi="en-US"/>
              </w:rPr>
            </w:pPr>
          </w:p>
          <w:p>
            <w:pPr>
              <w:ind w:firstLine="482"/>
              <w:contextualSpacing/>
              <w:jc w:val="left"/>
              <w:rPr>
                <w:rFonts w:asciiTheme="minorHAnsi" w:hAnsiTheme="minorHAnsi" w:eastAsiaTheme="minorEastAsia" w:cstheme="minorBidi"/>
                <w:b/>
                <w:bCs/>
                <w:color w:val="auto"/>
                <w:kern w:val="2"/>
                <w:lang w:bidi="en-US"/>
              </w:rPr>
            </w:pPr>
          </w:p>
        </w:tc>
        <w:tc>
          <w:tcPr>
            <w:tcW w:w="6218" w:type="dxa"/>
          </w:tcPr>
          <w:p>
            <w:pPr>
              <w:ind w:firstLine="480"/>
              <w:contextualSpacing/>
              <w:rPr>
                <w:rFonts w:asciiTheme="minorHAnsi" w:hAnsiTheme="minorHAnsi" w:eastAsiaTheme="minorEastAsia" w:cstheme="minorBidi"/>
                <w:bCs/>
                <w:color w:val="auto"/>
                <w:kern w:val="2"/>
                <w:lang w:val="zh-CN" w:bidi="en-US"/>
              </w:rPr>
            </w:pPr>
          </w:p>
        </w:tc>
      </w:tr>
    </w:tbl>
    <w:p>
      <w:pPr>
        <w:ind w:firstLine="480"/>
        <w:jc w:val="center"/>
        <w:rPr>
          <w:color w:val="auto"/>
        </w:rPr>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pPr>
    </w:p>
    <w:p>
      <w:pPr>
        <w:pStyle w:val="50"/>
        <w:spacing w:line="240" w:lineRule="auto"/>
        <w:rPr>
          <w:color w:val="auto"/>
          <w:sz w:val="32"/>
        </w:rPr>
      </w:pPr>
      <w:r>
        <w:rPr>
          <w:color w:val="auto"/>
          <w:sz w:val="32"/>
        </w:rPr>
        <w:t>目       次</w:t>
      </w:r>
    </w:p>
    <w:p>
      <w:pPr>
        <w:pStyle w:val="50"/>
        <w:tabs>
          <w:tab w:val="right" w:leader="dot" w:pos="8306"/>
          <w:tab w:val="clear" w:pos="482"/>
          <w:tab w:val="clear" w:pos="8296"/>
        </w:tabs>
        <w:spacing w:line="240" w:lineRule="auto"/>
      </w:pPr>
      <w:r>
        <w:rPr>
          <w:color w:val="auto"/>
        </w:rPr>
        <w:fldChar w:fldCharType="begin"/>
      </w:r>
      <w:r>
        <w:rPr>
          <w:color w:val="auto"/>
        </w:rPr>
        <w:instrText xml:space="preserve"> TOC \o "1-2" \h \z \u </w:instrText>
      </w:r>
      <w:r>
        <w:rPr>
          <w:color w:val="auto"/>
        </w:rPr>
        <w:fldChar w:fldCharType="separate"/>
      </w:r>
      <w:r>
        <w:rPr>
          <w:color w:val="auto"/>
        </w:rPr>
        <w:fldChar w:fldCharType="begin"/>
      </w:r>
      <w:r>
        <w:instrText xml:space="preserve"> HYPERLINK \l _Toc13658 </w:instrText>
      </w:r>
      <w:r>
        <w:fldChar w:fldCharType="separate"/>
      </w:r>
      <w:r>
        <w:rPr>
          <w:rFonts w:hint="eastAsia"/>
        </w:rPr>
        <w:t xml:space="preserve">1 </w:t>
      </w:r>
      <w:r>
        <w:t>总则</w:t>
      </w:r>
      <w:r>
        <w:tab/>
      </w:r>
      <w:r>
        <w:fldChar w:fldCharType="begin"/>
      </w:r>
      <w:r>
        <w:instrText xml:space="preserve"> PAGEREF _Toc13658 \h </w:instrText>
      </w:r>
      <w:r>
        <w:fldChar w:fldCharType="separate"/>
      </w:r>
      <w:r>
        <w:t>1</w:t>
      </w:r>
      <w:r>
        <w:fldChar w:fldCharType="end"/>
      </w:r>
      <w:r>
        <w:rPr>
          <w:color w:val="auto"/>
        </w:rPr>
        <w:fldChar w:fldCharType="end"/>
      </w:r>
    </w:p>
    <w:p>
      <w:pPr>
        <w:pStyle w:val="50"/>
        <w:tabs>
          <w:tab w:val="right" w:leader="dot" w:pos="8306"/>
          <w:tab w:val="clear" w:pos="482"/>
          <w:tab w:val="clear" w:pos="8296"/>
        </w:tabs>
        <w:spacing w:line="240" w:lineRule="auto"/>
      </w:pPr>
      <w:r>
        <w:rPr>
          <w:bCs/>
          <w:caps/>
          <w:color w:val="auto"/>
        </w:rPr>
        <w:fldChar w:fldCharType="begin"/>
      </w:r>
      <w:r>
        <w:rPr>
          <w:bCs/>
          <w:caps/>
        </w:rPr>
        <w:instrText xml:space="preserve"> HYPERLINK \l _Toc27099 </w:instrText>
      </w:r>
      <w:r>
        <w:rPr>
          <w:bCs/>
          <w:caps/>
        </w:rPr>
        <w:fldChar w:fldCharType="separate"/>
      </w:r>
      <w:r>
        <w:rPr>
          <w:rFonts w:hint="eastAsia"/>
        </w:rPr>
        <w:t xml:space="preserve">2 </w:t>
      </w:r>
      <w:r>
        <w:t>术语</w:t>
      </w:r>
      <w:r>
        <w:rPr>
          <w:rFonts w:hint="eastAsia"/>
        </w:rPr>
        <w:t>和</w:t>
      </w:r>
      <w:r>
        <w:t>缩略词</w:t>
      </w:r>
      <w:r>
        <w:tab/>
      </w:r>
      <w:r>
        <w:fldChar w:fldCharType="begin"/>
      </w:r>
      <w:r>
        <w:instrText xml:space="preserve"> PAGEREF _Toc27099 \h </w:instrText>
      </w:r>
      <w:r>
        <w:fldChar w:fldCharType="separate"/>
      </w:r>
      <w:r>
        <w:t>2</w:t>
      </w:r>
      <w:r>
        <w:fldChar w:fldCharType="end"/>
      </w:r>
      <w:r>
        <w:rPr>
          <w:bCs/>
          <w:caps/>
          <w:color w:val="auto"/>
        </w:rPr>
        <w:fldChar w:fldCharType="end"/>
      </w:r>
    </w:p>
    <w:p>
      <w:pPr>
        <w:pStyle w:val="61"/>
        <w:tabs>
          <w:tab w:val="right" w:leader="dot" w:pos="8306"/>
        </w:tabs>
        <w:spacing w:line="240" w:lineRule="auto"/>
      </w:pPr>
      <w:r>
        <w:rPr>
          <w:bCs/>
          <w:caps/>
          <w:color w:val="auto"/>
        </w:rPr>
        <w:fldChar w:fldCharType="begin"/>
      </w:r>
      <w:r>
        <w:rPr>
          <w:bCs/>
          <w:caps/>
        </w:rPr>
        <w:instrText xml:space="preserve"> HYPERLINK \l _Toc22094 </w:instrText>
      </w:r>
      <w:r>
        <w:rPr>
          <w:bCs/>
          <w:caps/>
        </w:rPr>
        <w:fldChar w:fldCharType="separate"/>
      </w:r>
      <w:r>
        <w:rPr>
          <w:rFonts w:hint="eastAsia"/>
        </w:rPr>
        <w:t>2</w:t>
      </w:r>
      <w:r>
        <w:t>.1 术语</w:t>
      </w:r>
      <w:r>
        <w:tab/>
      </w:r>
      <w:r>
        <w:fldChar w:fldCharType="begin"/>
      </w:r>
      <w:r>
        <w:instrText xml:space="preserve"> PAGEREF _Toc22094 \h </w:instrText>
      </w:r>
      <w:r>
        <w:fldChar w:fldCharType="separate"/>
      </w:r>
      <w:r>
        <w:t>2</w:t>
      </w:r>
      <w:r>
        <w:fldChar w:fldCharType="end"/>
      </w:r>
      <w:r>
        <w:rPr>
          <w:bCs/>
          <w:caps/>
          <w:color w:val="auto"/>
        </w:rPr>
        <w:fldChar w:fldCharType="end"/>
      </w:r>
    </w:p>
    <w:p>
      <w:pPr>
        <w:pStyle w:val="61"/>
        <w:tabs>
          <w:tab w:val="right" w:leader="dot" w:pos="8306"/>
        </w:tabs>
        <w:spacing w:line="240" w:lineRule="auto"/>
      </w:pPr>
      <w:r>
        <w:rPr>
          <w:bCs/>
          <w:caps/>
          <w:color w:val="auto"/>
        </w:rPr>
        <w:fldChar w:fldCharType="begin"/>
      </w:r>
      <w:r>
        <w:rPr>
          <w:bCs/>
          <w:caps/>
        </w:rPr>
        <w:instrText xml:space="preserve"> HYPERLINK \l _Toc21246 </w:instrText>
      </w:r>
      <w:r>
        <w:rPr>
          <w:bCs/>
          <w:caps/>
        </w:rPr>
        <w:fldChar w:fldCharType="separate"/>
      </w:r>
      <w:r>
        <w:rPr>
          <w:rFonts w:hint="eastAsia"/>
        </w:rPr>
        <w:t>2</w:t>
      </w:r>
      <w:r>
        <w:t>.2  缩略词</w:t>
      </w:r>
      <w:r>
        <w:tab/>
      </w:r>
      <w:r>
        <w:fldChar w:fldCharType="begin"/>
      </w:r>
      <w:r>
        <w:instrText xml:space="preserve"> PAGEREF _Toc21246 \h </w:instrText>
      </w:r>
      <w:r>
        <w:fldChar w:fldCharType="separate"/>
      </w:r>
      <w:r>
        <w:t>3</w:t>
      </w:r>
      <w:r>
        <w:fldChar w:fldCharType="end"/>
      </w:r>
      <w:r>
        <w:rPr>
          <w:bCs/>
          <w:caps/>
          <w:color w:val="auto"/>
        </w:rPr>
        <w:fldChar w:fldCharType="end"/>
      </w:r>
    </w:p>
    <w:p>
      <w:pPr>
        <w:pStyle w:val="50"/>
        <w:tabs>
          <w:tab w:val="right" w:leader="dot" w:pos="8306"/>
          <w:tab w:val="clear" w:pos="482"/>
          <w:tab w:val="clear" w:pos="8296"/>
        </w:tabs>
        <w:spacing w:line="240" w:lineRule="auto"/>
      </w:pPr>
      <w:r>
        <w:rPr>
          <w:bCs/>
          <w:caps/>
          <w:color w:val="auto"/>
        </w:rPr>
        <w:fldChar w:fldCharType="begin"/>
      </w:r>
      <w:r>
        <w:rPr>
          <w:bCs/>
          <w:caps/>
        </w:rPr>
        <w:instrText xml:space="preserve"> HYPERLINK \l _Toc14080 </w:instrText>
      </w:r>
      <w:r>
        <w:rPr>
          <w:bCs/>
          <w:caps/>
        </w:rPr>
        <w:fldChar w:fldCharType="separate"/>
      </w:r>
      <w:r>
        <w:rPr>
          <w:rFonts w:hint="eastAsia"/>
        </w:rPr>
        <w:t>3 基本规定</w:t>
      </w:r>
      <w:r>
        <w:tab/>
      </w:r>
      <w:r>
        <w:fldChar w:fldCharType="begin"/>
      </w:r>
      <w:r>
        <w:instrText xml:space="preserve"> PAGEREF _Toc14080 \h </w:instrText>
      </w:r>
      <w:r>
        <w:fldChar w:fldCharType="separate"/>
      </w:r>
      <w:r>
        <w:t>5</w:t>
      </w:r>
      <w:r>
        <w:fldChar w:fldCharType="end"/>
      </w:r>
      <w:r>
        <w:rPr>
          <w:bCs/>
          <w:caps/>
          <w:color w:val="auto"/>
        </w:rPr>
        <w:fldChar w:fldCharType="end"/>
      </w:r>
    </w:p>
    <w:p>
      <w:pPr>
        <w:pStyle w:val="50"/>
        <w:tabs>
          <w:tab w:val="right" w:leader="dot" w:pos="8306"/>
          <w:tab w:val="clear" w:pos="482"/>
          <w:tab w:val="clear" w:pos="8296"/>
        </w:tabs>
        <w:spacing w:line="240" w:lineRule="auto"/>
      </w:pPr>
      <w:r>
        <w:rPr>
          <w:bCs/>
          <w:caps/>
          <w:color w:val="auto"/>
        </w:rPr>
        <w:fldChar w:fldCharType="begin"/>
      </w:r>
      <w:r>
        <w:rPr>
          <w:bCs/>
          <w:caps/>
        </w:rPr>
        <w:instrText xml:space="preserve"> HYPERLINK \l _Toc23607 </w:instrText>
      </w:r>
      <w:r>
        <w:rPr>
          <w:bCs/>
          <w:caps/>
        </w:rPr>
        <w:fldChar w:fldCharType="separate"/>
      </w:r>
      <w:r>
        <w:rPr>
          <w:rFonts w:hint="eastAsia"/>
        </w:rPr>
        <w:t>4 协同管理</w:t>
      </w:r>
      <w:r>
        <w:tab/>
      </w:r>
      <w:r>
        <w:fldChar w:fldCharType="begin"/>
      </w:r>
      <w:r>
        <w:instrText xml:space="preserve"> PAGEREF _Toc23607 \h </w:instrText>
      </w:r>
      <w:r>
        <w:fldChar w:fldCharType="separate"/>
      </w:r>
      <w:r>
        <w:t>7</w:t>
      </w:r>
      <w:r>
        <w:fldChar w:fldCharType="end"/>
      </w:r>
      <w:r>
        <w:rPr>
          <w:bCs/>
          <w:caps/>
          <w:color w:val="auto"/>
        </w:rPr>
        <w:fldChar w:fldCharType="end"/>
      </w:r>
    </w:p>
    <w:p>
      <w:pPr>
        <w:pStyle w:val="61"/>
        <w:tabs>
          <w:tab w:val="right" w:leader="dot" w:pos="8306"/>
        </w:tabs>
        <w:spacing w:line="240" w:lineRule="auto"/>
      </w:pPr>
      <w:r>
        <w:rPr>
          <w:bCs/>
          <w:caps/>
          <w:color w:val="auto"/>
        </w:rPr>
        <w:fldChar w:fldCharType="begin"/>
      </w:r>
      <w:r>
        <w:rPr>
          <w:bCs/>
          <w:caps/>
        </w:rPr>
        <w:instrText xml:space="preserve"> HYPERLINK \l _Toc6796 </w:instrText>
      </w:r>
      <w:r>
        <w:rPr>
          <w:bCs/>
          <w:caps/>
        </w:rPr>
        <w:fldChar w:fldCharType="separate"/>
      </w:r>
      <w:r>
        <w:t>4.1 一般规定</w:t>
      </w:r>
      <w:r>
        <w:tab/>
      </w:r>
      <w:r>
        <w:fldChar w:fldCharType="begin"/>
      </w:r>
      <w:r>
        <w:instrText xml:space="preserve"> PAGEREF _Toc6796 \h </w:instrText>
      </w:r>
      <w:r>
        <w:fldChar w:fldCharType="separate"/>
      </w:r>
      <w:r>
        <w:t>7</w:t>
      </w:r>
      <w:r>
        <w:fldChar w:fldCharType="end"/>
      </w:r>
      <w:r>
        <w:rPr>
          <w:bCs/>
          <w:caps/>
          <w:color w:val="auto"/>
        </w:rPr>
        <w:fldChar w:fldCharType="end"/>
      </w:r>
    </w:p>
    <w:p>
      <w:pPr>
        <w:pStyle w:val="61"/>
        <w:tabs>
          <w:tab w:val="right" w:leader="dot" w:pos="8306"/>
        </w:tabs>
        <w:spacing w:line="240" w:lineRule="auto"/>
      </w:pPr>
      <w:r>
        <w:rPr>
          <w:bCs/>
          <w:caps/>
          <w:color w:val="auto"/>
        </w:rPr>
        <w:fldChar w:fldCharType="begin"/>
      </w:r>
      <w:r>
        <w:rPr>
          <w:bCs/>
          <w:caps/>
        </w:rPr>
        <w:instrText xml:space="preserve"> HYPERLINK \l _Toc12430 </w:instrText>
      </w:r>
      <w:r>
        <w:rPr>
          <w:bCs/>
          <w:caps/>
        </w:rPr>
        <w:fldChar w:fldCharType="separate"/>
      </w:r>
      <w:r>
        <w:rPr>
          <w:rFonts w:hint="eastAsia"/>
          <w:lang w:val="en-US" w:eastAsia="zh-CN"/>
        </w:rPr>
        <w:t>4</w:t>
      </w:r>
      <w:r>
        <w:t>.</w:t>
      </w:r>
      <w:r>
        <w:rPr>
          <w:rFonts w:hint="eastAsia"/>
        </w:rPr>
        <w:t>2</w:t>
      </w:r>
      <w:r>
        <w:t xml:space="preserve"> </w:t>
      </w:r>
      <w:r>
        <w:rPr>
          <w:rFonts w:hint="eastAsia"/>
        </w:rPr>
        <w:t>应用</w:t>
      </w:r>
      <w:r>
        <w:t>策划</w:t>
      </w:r>
      <w:r>
        <w:tab/>
      </w:r>
      <w:r>
        <w:fldChar w:fldCharType="begin"/>
      </w:r>
      <w:r>
        <w:instrText xml:space="preserve"> PAGEREF _Toc12430 \h </w:instrText>
      </w:r>
      <w:r>
        <w:fldChar w:fldCharType="separate"/>
      </w:r>
      <w:r>
        <w:t>7</w:t>
      </w:r>
      <w:r>
        <w:fldChar w:fldCharType="end"/>
      </w:r>
      <w:r>
        <w:rPr>
          <w:bCs/>
          <w:caps/>
          <w:color w:val="auto"/>
        </w:rPr>
        <w:fldChar w:fldCharType="end"/>
      </w:r>
    </w:p>
    <w:p>
      <w:pPr>
        <w:pStyle w:val="61"/>
        <w:tabs>
          <w:tab w:val="right" w:leader="dot" w:pos="8306"/>
        </w:tabs>
        <w:spacing w:line="240" w:lineRule="auto"/>
      </w:pPr>
      <w:r>
        <w:rPr>
          <w:bCs/>
          <w:caps/>
          <w:color w:val="auto"/>
        </w:rPr>
        <w:fldChar w:fldCharType="begin"/>
      </w:r>
      <w:r>
        <w:rPr>
          <w:bCs/>
          <w:caps/>
        </w:rPr>
        <w:instrText xml:space="preserve"> HYPERLINK \l _Toc10930 </w:instrText>
      </w:r>
      <w:r>
        <w:rPr>
          <w:bCs/>
          <w:caps/>
        </w:rPr>
        <w:fldChar w:fldCharType="separate"/>
      </w:r>
      <w:r>
        <w:rPr>
          <w:rFonts w:hint="eastAsia"/>
          <w:lang w:val="en-US" w:eastAsia="zh-CN"/>
        </w:rPr>
        <w:t>4</w:t>
      </w:r>
      <w:r>
        <w:t>.3</w:t>
      </w:r>
      <w:r>
        <w:rPr>
          <w:rFonts w:hint="eastAsia"/>
        </w:rPr>
        <w:t xml:space="preserve"> 数据环境</w:t>
      </w:r>
      <w:r>
        <w:tab/>
      </w:r>
      <w:r>
        <w:fldChar w:fldCharType="begin"/>
      </w:r>
      <w:r>
        <w:instrText xml:space="preserve"> PAGEREF _Toc10930 \h </w:instrText>
      </w:r>
      <w:r>
        <w:fldChar w:fldCharType="separate"/>
      </w:r>
      <w:r>
        <w:t>9</w:t>
      </w:r>
      <w:r>
        <w:fldChar w:fldCharType="end"/>
      </w:r>
      <w:r>
        <w:rPr>
          <w:bCs/>
          <w:caps/>
          <w:color w:val="auto"/>
        </w:rPr>
        <w:fldChar w:fldCharType="end"/>
      </w:r>
    </w:p>
    <w:p>
      <w:pPr>
        <w:pStyle w:val="61"/>
        <w:tabs>
          <w:tab w:val="right" w:leader="dot" w:pos="8306"/>
        </w:tabs>
        <w:spacing w:line="240" w:lineRule="auto"/>
      </w:pPr>
      <w:r>
        <w:rPr>
          <w:bCs/>
          <w:caps/>
          <w:color w:val="auto"/>
        </w:rPr>
        <w:fldChar w:fldCharType="begin"/>
      </w:r>
      <w:r>
        <w:rPr>
          <w:bCs/>
          <w:caps/>
        </w:rPr>
        <w:instrText xml:space="preserve"> HYPERLINK \l _Toc14904 </w:instrText>
      </w:r>
      <w:r>
        <w:rPr>
          <w:bCs/>
          <w:caps/>
        </w:rPr>
        <w:fldChar w:fldCharType="separate"/>
      </w:r>
      <w:r>
        <w:rPr>
          <w:rFonts w:hint="eastAsia"/>
          <w:lang w:val="en-US" w:eastAsia="zh-CN"/>
        </w:rPr>
        <w:t>4</w:t>
      </w:r>
      <w:r>
        <w:t>.</w:t>
      </w:r>
      <w:r>
        <w:rPr>
          <w:rFonts w:hint="eastAsia"/>
        </w:rPr>
        <w:t>4</w:t>
      </w:r>
      <w:r>
        <w:t xml:space="preserve"> </w:t>
      </w:r>
      <w:r>
        <w:rPr>
          <w:rFonts w:hint="eastAsia"/>
        </w:rPr>
        <w:t>数据互用</w:t>
      </w:r>
      <w:r>
        <w:tab/>
      </w:r>
      <w:r>
        <w:fldChar w:fldCharType="begin"/>
      </w:r>
      <w:r>
        <w:instrText xml:space="preserve"> PAGEREF _Toc14904 \h </w:instrText>
      </w:r>
      <w:r>
        <w:fldChar w:fldCharType="separate"/>
      </w:r>
      <w:r>
        <w:t>9</w:t>
      </w:r>
      <w:r>
        <w:fldChar w:fldCharType="end"/>
      </w:r>
      <w:r>
        <w:rPr>
          <w:bCs/>
          <w:caps/>
          <w:color w:val="auto"/>
        </w:rPr>
        <w:fldChar w:fldCharType="end"/>
      </w:r>
    </w:p>
    <w:p>
      <w:pPr>
        <w:pStyle w:val="61"/>
        <w:tabs>
          <w:tab w:val="right" w:leader="dot" w:pos="8306"/>
        </w:tabs>
        <w:spacing w:line="240" w:lineRule="auto"/>
      </w:pPr>
      <w:r>
        <w:rPr>
          <w:bCs/>
          <w:caps/>
          <w:color w:val="auto"/>
        </w:rPr>
        <w:fldChar w:fldCharType="begin"/>
      </w:r>
      <w:r>
        <w:rPr>
          <w:bCs/>
          <w:caps/>
        </w:rPr>
        <w:instrText xml:space="preserve"> HYPERLINK \l _Toc14975 </w:instrText>
      </w:r>
      <w:r>
        <w:rPr>
          <w:bCs/>
          <w:caps/>
        </w:rPr>
        <w:fldChar w:fldCharType="separate"/>
      </w:r>
      <w:r>
        <w:rPr>
          <w:rFonts w:hint="eastAsia"/>
          <w:lang w:val="en-US" w:eastAsia="zh-CN"/>
        </w:rPr>
        <w:t>4</w:t>
      </w:r>
      <w:r>
        <w:t>.</w:t>
      </w:r>
      <w:r>
        <w:rPr>
          <w:rFonts w:hint="eastAsia"/>
        </w:rPr>
        <w:t>5</w:t>
      </w:r>
      <w:r>
        <w:t xml:space="preserve"> </w:t>
      </w:r>
      <w:r>
        <w:rPr>
          <w:rFonts w:hint="eastAsia"/>
        </w:rPr>
        <w:t>数据安全</w:t>
      </w:r>
      <w:r>
        <w:tab/>
      </w:r>
      <w:r>
        <w:fldChar w:fldCharType="begin"/>
      </w:r>
      <w:r>
        <w:instrText xml:space="preserve"> PAGEREF _Toc14975 \h </w:instrText>
      </w:r>
      <w:r>
        <w:fldChar w:fldCharType="separate"/>
      </w:r>
      <w:r>
        <w:t>10</w:t>
      </w:r>
      <w:r>
        <w:fldChar w:fldCharType="end"/>
      </w:r>
      <w:r>
        <w:rPr>
          <w:bCs/>
          <w:caps/>
          <w:color w:val="auto"/>
        </w:rPr>
        <w:fldChar w:fldCharType="end"/>
      </w:r>
    </w:p>
    <w:p>
      <w:pPr>
        <w:pStyle w:val="61"/>
        <w:tabs>
          <w:tab w:val="right" w:leader="dot" w:pos="8306"/>
        </w:tabs>
        <w:spacing w:line="240" w:lineRule="auto"/>
      </w:pPr>
      <w:r>
        <w:rPr>
          <w:bCs/>
          <w:caps/>
          <w:color w:val="auto"/>
        </w:rPr>
        <w:fldChar w:fldCharType="begin"/>
      </w:r>
      <w:r>
        <w:rPr>
          <w:bCs/>
          <w:caps/>
        </w:rPr>
        <w:instrText xml:space="preserve"> HYPERLINK \l _Toc29457 </w:instrText>
      </w:r>
      <w:r>
        <w:rPr>
          <w:bCs/>
          <w:caps/>
        </w:rPr>
        <w:fldChar w:fldCharType="separate"/>
      </w:r>
      <w:r>
        <w:rPr>
          <w:rFonts w:hint="eastAsia"/>
        </w:rPr>
        <w:t>4</w:t>
      </w:r>
      <w:r>
        <w:t>.</w:t>
      </w:r>
      <w:r>
        <w:rPr>
          <w:rFonts w:hint="eastAsia"/>
          <w:lang w:val="en-US" w:eastAsia="zh-CN"/>
        </w:rPr>
        <w:t>6</w:t>
      </w:r>
      <w:r>
        <w:t xml:space="preserve"> </w:t>
      </w:r>
      <w:r>
        <w:rPr>
          <w:rFonts w:hint="eastAsia"/>
        </w:rPr>
        <w:t>模型创建</w:t>
      </w:r>
      <w:r>
        <w:tab/>
      </w:r>
      <w:r>
        <w:fldChar w:fldCharType="begin"/>
      </w:r>
      <w:r>
        <w:instrText xml:space="preserve"> PAGEREF _Toc29457 \h </w:instrText>
      </w:r>
      <w:r>
        <w:fldChar w:fldCharType="separate"/>
      </w:r>
      <w:r>
        <w:t>10</w:t>
      </w:r>
      <w:r>
        <w:fldChar w:fldCharType="end"/>
      </w:r>
      <w:r>
        <w:rPr>
          <w:bCs/>
          <w:caps/>
          <w:color w:val="auto"/>
        </w:rPr>
        <w:fldChar w:fldCharType="end"/>
      </w:r>
    </w:p>
    <w:p>
      <w:pPr>
        <w:pStyle w:val="61"/>
        <w:tabs>
          <w:tab w:val="right" w:leader="dot" w:pos="8306"/>
        </w:tabs>
        <w:spacing w:line="240" w:lineRule="auto"/>
      </w:pPr>
      <w:r>
        <w:rPr>
          <w:bCs/>
          <w:caps/>
          <w:color w:val="auto"/>
        </w:rPr>
        <w:fldChar w:fldCharType="begin"/>
      </w:r>
      <w:r>
        <w:rPr>
          <w:bCs/>
          <w:caps/>
        </w:rPr>
        <w:instrText xml:space="preserve"> HYPERLINK \l _Toc2906 </w:instrText>
      </w:r>
      <w:r>
        <w:rPr>
          <w:bCs/>
          <w:caps/>
        </w:rPr>
        <w:fldChar w:fldCharType="separate"/>
      </w:r>
      <w:r>
        <w:t>4.</w:t>
      </w:r>
      <w:r>
        <w:rPr>
          <w:rFonts w:hint="eastAsia"/>
          <w:lang w:val="en-US" w:eastAsia="zh-CN"/>
        </w:rPr>
        <w:t>7</w:t>
      </w:r>
      <w:r>
        <w:t xml:space="preserve">  </w:t>
      </w:r>
      <w:r>
        <w:rPr>
          <w:rFonts w:hint="eastAsia"/>
        </w:rPr>
        <w:t>交付协同</w:t>
      </w:r>
      <w:r>
        <w:tab/>
      </w:r>
      <w:r>
        <w:fldChar w:fldCharType="begin"/>
      </w:r>
      <w:r>
        <w:instrText xml:space="preserve"> PAGEREF _Toc2906 \h </w:instrText>
      </w:r>
      <w:r>
        <w:fldChar w:fldCharType="separate"/>
      </w:r>
      <w:r>
        <w:t>12</w:t>
      </w:r>
      <w:r>
        <w:fldChar w:fldCharType="end"/>
      </w:r>
      <w:r>
        <w:rPr>
          <w:bCs/>
          <w:caps/>
          <w:color w:val="auto"/>
        </w:rPr>
        <w:fldChar w:fldCharType="end"/>
      </w:r>
    </w:p>
    <w:p>
      <w:pPr>
        <w:pStyle w:val="61"/>
        <w:tabs>
          <w:tab w:val="right" w:leader="dot" w:pos="8306"/>
        </w:tabs>
        <w:spacing w:line="240" w:lineRule="auto"/>
      </w:pPr>
      <w:r>
        <w:rPr>
          <w:bCs/>
          <w:caps/>
          <w:color w:val="auto"/>
        </w:rPr>
        <w:fldChar w:fldCharType="begin"/>
      </w:r>
      <w:r>
        <w:rPr>
          <w:bCs/>
          <w:caps/>
        </w:rPr>
        <w:instrText xml:space="preserve"> HYPERLINK \l _Toc29171 </w:instrText>
      </w:r>
      <w:r>
        <w:rPr>
          <w:bCs/>
          <w:caps/>
        </w:rPr>
        <w:fldChar w:fldCharType="separate"/>
      </w:r>
      <w:r>
        <w:t>4.</w:t>
      </w:r>
      <w:r>
        <w:rPr>
          <w:rFonts w:hint="eastAsia"/>
          <w:lang w:val="en-US" w:eastAsia="zh-CN"/>
        </w:rPr>
        <w:t>8</w:t>
      </w:r>
      <w:r>
        <w:t xml:space="preserve">  </w:t>
      </w:r>
      <w:r>
        <w:rPr>
          <w:rFonts w:hint="eastAsia"/>
          <w:lang w:val="en-US" w:eastAsia="zh-CN"/>
        </w:rPr>
        <w:t>模型</w:t>
      </w:r>
      <w:r>
        <w:rPr>
          <w:rFonts w:hint="eastAsia"/>
        </w:rPr>
        <w:t>协同管理</w:t>
      </w:r>
      <w:r>
        <w:tab/>
      </w:r>
      <w:r>
        <w:fldChar w:fldCharType="begin"/>
      </w:r>
      <w:r>
        <w:instrText xml:space="preserve"> PAGEREF _Toc29171 \h </w:instrText>
      </w:r>
      <w:r>
        <w:fldChar w:fldCharType="separate"/>
      </w:r>
      <w:r>
        <w:t>13</w:t>
      </w:r>
      <w:r>
        <w:fldChar w:fldCharType="end"/>
      </w:r>
      <w:r>
        <w:rPr>
          <w:bCs/>
          <w:caps/>
          <w:color w:val="auto"/>
        </w:rPr>
        <w:fldChar w:fldCharType="end"/>
      </w:r>
    </w:p>
    <w:p>
      <w:pPr>
        <w:pStyle w:val="50"/>
        <w:tabs>
          <w:tab w:val="right" w:leader="dot" w:pos="8306"/>
          <w:tab w:val="clear" w:pos="482"/>
          <w:tab w:val="clear" w:pos="8296"/>
        </w:tabs>
        <w:spacing w:line="240" w:lineRule="auto"/>
      </w:pPr>
      <w:r>
        <w:rPr>
          <w:bCs/>
          <w:caps/>
          <w:color w:val="auto"/>
        </w:rPr>
        <w:fldChar w:fldCharType="begin"/>
      </w:r>
      <w:r>
        <w:rPr>
          <w:bCs/>
          <w:caps/>
        </w:rPr>
        <w:instrText xml:space="preserve"> HYPERLINK \l _Toc3964 </w:instrText>
      </w:r>
      <w:r>
        <w:rPr>
          <w:bCs/>
          <w:caps/>
        </w:rPr>
        <w:fldChar w:fldCharType="separate"/>
      </w:r>
      <w:r>
        <w:rPr>
          <w:rFonts w:hint="eastAsia"/>
        </w:rPr>
        <w:t>5 工程前期阶段</w:t>
      </w:r>
      <w:r>
        <w:tab/>
      </w:r>
      <w:r>
        <w:fldChar w:fldCharType="begin"/>
      </w:r>
      <w:r>
        <w:instrText xml:space="preserve"> PAGEREF _Toc3964 \h </w:instrText>
      </w:r>
      <w:r>
        <w:fldChar w:fldCharType="separate"/>
      </w:r>
      <w:r>
        <w:t>15</w:t>
      </w:r>
      <w:r>
        <w:fldChar w:fldCharType="end"/>
      </w:r>
      <w:r>
        <w:rPr>
          <w:bCs/>
          <w:caps/>
          <w:color w:val="auto"/>
        </w:rPr>
        <w:fldChar w:fldCharType="end"/>
      </w:r>
    </w:p>
    <w:p>
      <w:pPr>
        <w:pStyle w:val="61"/>
        <w:tabs>
          <w:tab w:val="right" w:leader="dot" w:pos="8306"/>
        </w:tabs>
        <w:spacing w:line="240" w:lineRule="auto"/>
      </w:pPr>
      <w:r>
        <w:rPr>
          <w:bCs/>
          <w:caps/>
          <w:color w:val="auto"/>
        </w:rPr>
        <w:fldChar w:fldCharType="begin"/>
      </w:r>
      <w:r>
        <w:rPr>
          <w:bCs/>
          <w:caps/>
        </w:rPr>
        <w:instrText xml:space="preserve"> HYPERLINK \l _Toc25559 </w:instrText>
      </w:r>
      <w:r>
        <w:rPr>
          <w:bCs/>
          <w:caps/>
        </w:rPr>
        <w:fldChar w:fldCharType="separate"/>
      </w:r>
      <w:r>
        <w:t>5.1 一般规定</w:t>
      </w:r>
      <w:r>
        <w:tab/>
      </w:r>
      <w:r>
        <w:fldChar w:fldCharType="begin"/>
      </w:r>
      <w:r>
        <w:instrText xml:space="preserve"> PAGEREF _Toc25559 \h </w:instrText>
      </w:r>
      <w:r>
        <w:fldChar w:fldCharType="separate"/>
      </w:r>
      <w:r>
        <w:t>15</w:t>
      </w:r>
      <w:r>
        <w:fldChar w:fldCharType="end"/>
      </w:r>
      <w:r>
        <w:rPr>
          <w:bCs/>
          <w:caps/>
          <w:color w:val="auto"/>
        </w:rPr>
        <w:fldChar w:fldCharType="end"/>
      </w:r>
    </w:p>
    <w:p>
      <w:pPr>
        <w:pStyle w:val="61"/>
        <w:tabs>
          <w:tab w:val="right" w:leader="dot" w:pos="8306"/>
        </w:tabs>
        <w:spacing w:line="240" w:lineRule="auto"/>
      </w:pPr>
      <w:r>
        <w:rPr>
          <w:bCs/>
          <w:caps/>
          <w:color w:val="auto"/>
        </w:rPr>
        <w:fldChar w:fldCharType="begin"/>
      </w:r>
      <w:r>
        <w:rPr>
          <w:bCs/>
          <w:caps/>
        </w:rPr>
        <w:instrText xml:space="preserve"> HYPERLINK \l _Toc15637 </w:instrText>
      </w:r>
      <w:r>
        <w:rPr>
          <w:bCs/>
          <w:caps/>
        </w:rPr>
        <w:fldChar w:fldCharType="separate"/>
      </w:r>
      <w:r>
        <w:t>5.</w:t>
      </w:r>
      <w:r>
        <w:rPr>
          <w:rFonts w:hint="eastAsia"/>
        </w:rPr>
        <w:t>2</w:t>
      </w:r>
      <w:r>
        <w:t xml:space="preserve"> </w:t>
      </w:r>
      <w:r>
        <w:rPr>
          <w:rFonts w:hint="eastAsia"/>
        </w:rPr>
        <w:t>方案信息模型应用</w:t>
      </w:r>
      <w:r>
        <w:tab/>
      </w:r>
      <w:r>
        <w:fldChar w:fldCharType="begin"/>
      </w:r>
      <w:r>
        <w:instrText xml:space="preserve"> PAGEREF _Toc15637 \h </w:instrText>
      </w:r>
      <w:r>
        <w:fldChar w:fldCharType="separate"/>
      </w:r>
      <w:r>
        <w:t>16</w:t>
      </w:r>
      <w:r>
        <w:fldChar w:fldCharType="end"/>
      </w:r>
      <w:r>
        <w:rPr>
          <w:bCs/>
          <w:caps/>
          <w:color w:val="auto"/>
        </w:rPr>
        <w:fldChar w:fldCharType="end"/>
      </w:r>
    </w:p>
    <w:p>
      <w:pPr>
        <w:pStyle w:val="50"/>
        <w:tabs>
          <w:tab w:val="right" w:leader="dot" w:pos="8306"/>
          <w:tab w:val="clear" w:pos="482"/>
          <w:tab w:val="clear" w:pos="8296"/>
        </w:tabs>
        <w:spacing w:line="240" w:lineRule="auto"/>
      </w:pPr>
      <w:r>
        <w:rPr>
          <w:bCs/>
          <w:caps/>
          <w:color w:val="auto"/>
        </w:rPr>
        <w:fldChar w:fldCharType="begin"/>
      </w:r>
      <w:r>
        <w:rPr>
          <w:bCs/>
          <w:caps/>
        </w:rPr>
        <w:instrText xml:space="preserve"> HYPERLINK \l _Toc22237 </w:instrText>
      </w:r>
      <w:r>
        <w:rPr>
          <w:bCs/>
          <w:caps/>
        </w:rPr>
        <w:fldChar w:fldCharType="separate"/>
      </w:r>
      <w:r>
        <w:rPr>
          <w:rFonts w:hint="eastAsia"/>
        </w:rPr>
        <w:t>6 勘察、</w:t>
      </w:r>
      <w:r>
        <w:t>设计阶段</w:t>
      </w:r>
      <w:r>
        <w:tab/>
      </w:r>
      <w:r>
        <w:fldChar w:fldCharType="begin"/>
      </w:r>
      <w:r>
        <w:instrText xml:space="preserve"> PAGEREF _Toc22237 \h </w:instrText>
      </w:r>
      <w:r>
        <w:fldChar w:fldCharType="separate"/>
      </w:r>
      <w:r>
        <w:t>17</w:t>
      </w:r>
      <w:r>
        <w:fldChar w:fldCharType="end"/>
      </w:r>
      <w:r>
        <w:rPr>
          <w:bCs/>
          <w:caps/>
          <w:color w:val="auto"/>
        </w:rPr>
        <w:fldChar w:fldCharType="end"/>
      </w:r>
    </w:p>
    <w:p>
      <w:pPr>
        <w:pStyle w:val="61"/>
        <w:tabs>
          <w:tab w:val="right" w:leader="dot" w:pos="8306"/>
        </w:tabs>
        <w:spacing w:line="240" w:lineRule="auto"/>
      </w:pPr>
      <w:r>
        <w:rPr>
          <w:bCs/>
          <w:caps/>
          <w:color w:val="auto"/>
        </w:rPr>
        <w:fldChar w:fldCharType="begin"/>
      </w:r>
      <w:r>
        <w:rPr>
          <w:bCs/>
          <w:caps/>
        </w:rPr>
        <w:instrText xml:space="preserve"> HYPERLINK \l _Toc24494 </w:instrText>
      </w:r>
      <w:r>
        <w:rPr>
          <w:bCs/>
          <w:caps/>
        </w:rPr>
        <w:fldChar w:fldCharType="separate"/>
      </w:r>
      <w:r>
        <w:t>6.1 一般规定</w:t>
      </w:r>
      <w:r>
        <w:tab/>
      </w:r>
      <w:r>
        <w:fldChar w:fldCharType="begin"/>
      </w:r>
      <w:r>
        <w:instrText xml:space="preserve"> PAGEREF _Toc24494 \h </w:instrText>
      </w:r>
      <w:r>
        <w:fldChar w:fldCharType="separate"/>
      </w:r>
      <w:r>
        <w:t>17</w:t>
      </w:r>
      <w:r>
        <w:fldChar w:fldCharType="end"/>
      </w:r>
      <w:r>
        <w:rPr>
          <w:bCs/>
          <w:caps/>
          <w:color w:val="auto"/>
        </w:rPr>
        <w:fldChar w:fldCharType="end"/>
      </w:r>
    </w:p>
    <w:p>
      <w:pPr>
        <w:pStyle w:val="61"/>
        <w:tabs>
          <w:tab w:val="right" w:leader="dot" w:pos="8306"/>
        </w:tabs>
        <w:spacing w:line="240" w:lineRule="auto"/>
      </w:pPr>
      <w:r>
        <w:rPr>
          <w:bCs/>
          <w:caps/>
          <w:color w:val="auto"/>
        </w:rPr>
        <w:fldChar w:fldCharType="begin"/>
      </w:r>
      <w:r>
        <w:rPr>
          <w:bCs/>
          <w:caps/>
        </w:rPr>
        <w:instrText xml:space="preserve"> HYPERLINK \l _Toc11950 </w:instrText>
      </w:r>
      <w:r>
        <w:rPr>
          <w:bCs/>
          <w:caps/>
        </w:rPr>
        <w:fldChar w:fldCharType="separate"/>
      </w:r>
      <w:r>
        <w:t>6.</w:t>
      </w:r>
      <w:r>
        <w:rPr>
          <w:rFonts w:hint="eastAsia"/>
        </w:rPr>
        <w:t>2</w:t>
      </w:r>
      <w:r>
        <w:t xml:space="preserve"> </w:t>
      </w:r>
      <w:r>
        <w:rPr>
          <w:rFonts w:hint="eastAsia"/>
        </w:rPr>
        <w:t>勘察信息模型应用</w:t>
      </w:r>
      <w:r>
        <w:tab/>
      </w:r>
      <w:r>
        <w:fldChar w:fldCharType="begin"/>
      </w:r>
      <w:r>
        <w:instrText xml:space="preserve"> PAGEREF _Toc11950 \h </w:instrText>
      </w:r>
      <w:r>
        <w:fldChar w:fldCharType="separate"/>
      </w:r>
      <w:r>
        <w:t>17</w:t>
      </w:r>
      <w:r>
        <w:fldChar w:fldCharType="end"/>
      </w:r>
      <w:r>
        <w:rPr>
          <w:bCs/>
          <w:caps/>
          <w:color w:val="auto"/>
        </w:rPr>
        <w:fldChar w:fldCharType="end"/>
      </w:r>
    </w:p>
    <w:p>
      <w:pPr>
        <w:pStyle w:val="61"/>
        <w:tabs>
          <w:tab w:val="right" w:leader="dot" w:pos="8306"/>
        </w:tabs>
        <w:spacing w:line="240" w:lineRule="auto"/>
      </w:pPr>
      <w:r>
        <w:rPr>
          <w:bCs/>
          <w:caps/>
          <w:color w:val="auto"/>
        </w:rPr>
        <w:fldChar w:fldCharType="begin"/>
      </w:r>
      <w:r>
        <w:rPr>
          <w:bCs/>
          <w:caps/>
        </w:rPr>
        <w:instrText xml:space="preserve"> HYPERLINK \l _Toc392 </w:instrText>
      </w:r>
      <w:r>
        <w:rPr>
          <w:bCs/>
          <w:caps/>
        </w:rPr>
        <w:fldChar w:fldCharType="separate"/>
      </w:r>
      <w:r>
        <w:t>6.</w:t>
      </w:r>
      <w:r>
        <w:rPr>
          <w:rFonts w:hint="eastAsia"/>
        </w:rPr>
        <w:t>3</w:t>
      </w:r>
      <w:r>
        <w:t xml:space="preserve"> </w:t>
      </w:r>
      <w:r>
        <w:rPr>
          <w:rFonts w:hint="eastAsia"/>
        </w:rPr>
        <w:t>设计信息模型应用</w:t>
      </w:r>
      <w:r>
        <w:tab/>
      </w:r>
      <w:r>
        <w:fldChar w:fldCharType="begin"/>
      </w:r>
      <w:r>
        <w:instrText xml:space="preserve"> PAGEREF _Toc392 \h </w:instrText>
      </w:r>
      <w:r>
        <w:fldChar w:fldCharType="separate"/>
      </w:r>
      <w:r>
        <w:t>18</w:t>
      </w:r>
      <w:r>
        <w:fldChar w:fldCharType="end"/>
      </w:r>
      <w:r>
        <w:rPr>
          <w:bCs/>
          <w:caps/>
          <w:color w:val="auto"/>
        </w:rPr>
        <w:fldChar w:fldCharType="end"/>
      </w:r>
    </w:p>
    <w:p>
      <w:pPr>
        <w:pStyle w:val="61"/>
        <w:tabs>
          <w:tab w:val="right" w:leader="dot" w:pos="8306"/>
        </w:tabs>
        <w:spacing w:line="240" w:lineRule="auto"/>
      </w:pPr>
      <w:r>
        <w:rPr>
          <w:bCs/>
          <w:caps/>
          <w:color w:val="auto"/>
        </w:rPr>
        <w:fldChar w:fldCharType="begin"/>
      </w:r>
      <w:r>
        <w:rPr>
          <w:bCs/>
          <w:caps/>
        </w:rPr>
        <w:instrText xml:space="preserve"> HYPERLINK \l _Toc5334 </w:instrText>
      </w:r>
      <w:r>
        <w:rPr>
          <w:bCs/>
          <w:caps/>
        </w:rPr>
        <w:fldChar w:fldCharType="separate"/>
      </w:r>
      <w:r>
        <w:t>6.</w:t>
      </w:r>
      <w:r>
        <w:rPr>
          <w:rFonts w:hint="eastAsia"/>
        </w:rPr>
        <w:t>4 协同应用</w:t>
      </w:r>
      <w:r>
        <w:tab/>
      </w:r>
      <w:r>
        <w:fldChar w:fldCharType="begin"/>
      </w:r>
      <w:r>
        <w:instrText xml:space="preserve"> PAGEREF _Toc5334 \h </w:instrText>
      </w:r>
      <w:r>
        <w:fldChar w:fldCharType="separate"/>
      </w:r>
      <w:r>
        <w:t>20</w:t>
      </w:r>
      <w:r>
        <w:fldChar w:fldCharType="end"/>
      </w:r>
      <w:r>
        <w:rPr>
          <w:bCs/>
          <w:caps/>
          <w:color w:val="auto"/>
        </w:rPr>
        <w:fldChar w:fldCharType="end"/>
      </w:r>
    </w:p>
    <w:p>
      <w:pPr>
        <w:pStyle w:val="61"/>
        <w:tabs>
          <w:tab w:val="right" w:leader="dot" w:pos="8306"/>
        </w:tabs>
        <w:spacing w:line="240" w:lineRule="auto"/>
      </w:pPr>
      <w:r>
        <w:rPr>
          <w:bCs/>
          <w:caps/>
          <w:color w:val="auto"/>
        </w:rPr>
        <w:fldChar w:fldCharType="begin"/>
      </w:r>
      <w:r>
        <w:rPr>
          <w:bCs/>
          <w:caps/>
        </w:rPr>
        <w:instrText xml:space="preserve"> HYPERLINK \l _Toc5386 </w:instrText>
      </w:r>
      <w:r>
        <w:rPr>
          <w:bCs/>
          <w:caps/>
        </w:rPr>
        <w:fldChar w:fldCharType="separate"/>
      </w:r>
      <w:r>
        <w:t xml:space="preserve">6.5 </w:t>
      </w:r>
      <w:r>
        <w:rPr>
          <w:rFonts w:hint="eastAsia"/>
        </w:rPr>
        <w:t>交付准备</w:t>
      </w:r>
      <w:r>
        <w:tab/>
      </w:r>
      <w:r>
        <w:fldChar w:fldCharType="begin"/>
      </w:r>
      <w:r>
        <w:instrText xml:space="preserve"> PAGEREF _Toc5386 \h </w:instrText>
      </w:r>
      <w:r>
        <w:fldChar w:fldCharType="separate"/>
      </w:r>
      <w:r>
        <w:t>20</w:t>
      </w:r>
      <w:r>
        <w:fldChar w:fldCharType="end"/>
      </w:r>
      <w:r>
        <w:rPr>
          <w:bCs/>
          <w:caps/>
          <w:color w:val="auto"/>
        </w:rPr>
        <w:fldChar w:fldCharType="end"/>
      </w:r>
    </w:p>
    <w:p>
      <w:pPr>
        <w:pStyle w:val="61"/>
        <w:tabs>
          <w:tab w:val="right" w:leader="dot" w:pos="8306"/>
        </w:tabs>
        <w:spacing w:line="240" w:lineRule="auto"/>
      </w:pPr>
      <w:r>
        <w:rPr>
          <w:bCs/>
          <w:caps/>
          <w:color w:val="auto"/>
        </w:rPr>
        <w:fldChar w:fldCharType="begin"/>
      </w:r>
      <w:r>
        <w:rPr>
          <w:bCs/>
          <w:caps/>
        </w:rPr>
        <w:instrText xml:space="preserve"> HYPERLINK \l _Toc3334 </w:instrText>
      </w:r>
      <w:r>
        <w:rPr>
          <w:bCs/>
          <w:caps/>
        </w:rPr>
        <w:fldChar w:fldCharType="separate"/>
      </w:r>
      <w:r>
        <w:t>6.</w:t>
      </w:r>
      <w:r>
        <w:rPr>
          <w:rFonts w:hint="eastAsia"/>
        </w:rPr>
        <w:t>6</w:t>
      </w:r>
      <w:r>
        <w:t xml:space="preserve"> </w:t>
      </w:r>
      <w:r>
        <w:rPr>
          <w:rFonts w:hint="eastAsia"/>
        </w:rPr>
        <w:t>设计交付与归档</w:t>
      </w:r>
      <w:r>
        <w:tab/>
      </w:r>
      <w:r>
        <w:fldChar w:fldCharType="begin"/>
      </w:r>
      <w:r>
        <w:instrText xml:space="preserve"> PAGEREF _Toc3334 \h </w:instrText>
      </w:r>
      <w:r>
        <w:fldChar w:fldCharType="separate"/>
      </w:r>
      <w:r>
        <w:t>21</w:t>
      </w:r>
      <w:r>
        <w:fldChar w:fldCharType="end"/>
      </w:r>
      <w:r>
        <w:rPr>
          <w:bCs/>
          <w:caps/>
          <w:color w:val="auto"/>
        </w:rPr>
        <w:fldChar w:fldCharType="end"/>
      </w:r>
    </w:p>
    <w:p>
      <w:pPr>
        <w:pStyle w:val="50"/>
        <w:tabs>
          <w:tab w:val="right" w:leader="dot" w:pos="8306"/>
          <w:tab w:val="clear" w:pos="482"/>
          <w:tab w:val="clear" w:pos="8296"/>
        </w:tabs>
        <w:spacing w:line="240" w:lineRule="auto"/>
      </w:pPr>
      <w:r>
        <w:rPr>
          <w:bCs/>
          <w:caps/>
          <w:color w:val="auto"/>
        </w:rPr>
        <w:fldChar w:fldCharType="begin"/>
      </w:r>
      <w:r>
        <w:rPr>
          <w:bCs/>
          <w:caps/>
        </w:rPr>
        <w:instrText xml:space="preserve"> HYPERLINK \l _Toc1655 </w:instrText>
      </w:r>
      <w:r>
        <w:rPr>
          <w:bCs/>
          <w:caps/>
        </w:rPr>
        <w:fldChar w:fldCharType="separate"/>
      </w:r>
      <w:r>
        <w:rPr>
          <w:rFonts w:hint="eastAsia"/>
        </w:rPr>
        <w:t xml:space="preserve">7 </w:t>
      </w:r>
      <w:r>
        <w:t>施工阶段</w:t>
      </w:r>
      <w:r>
        <w:tab/>
      </w:r>
      <w:r>
        <w:fldChar w:fldCharType="begin"/>
      </w:r>
      <w:r>
        <w:instrText xml:space="preserve"> PAGEREF _Toc1655 \h </w:instrText>
      </w:r>
      <w:r>
        <w:fldChar w:fldCharType="separate"/>
      </w:r>
      <w:r>
        <w:t>22</w:t>
      </w:r>
      <w:r>
        <w:fldChar w:fldCharType="end"/>
      </w:r>
      <w:r>
        <w:rPr>
          <w:bCs/>
          <w:caps/>
          <w:color w:val="auto"/>
        </w:rPr>
        <w:fldChar w:fldCharType="end"/>
      </w:r>
    </w:p>
    <w:p>
      <w:pPr>
        <w:pStyle w:val="61"/>
        <w:tabs>
          <w:tab w:val="right" w:leader="dot" w:pos="8306"/>
        </w:tabs>
        <w:spacing w:line="240" w:lineRule="auto"/>
      </w:pPr>
      <w:r>
        <w:rPr>
          <w:bCs/>
          <w:caps/>
          <w:color w:val="auto"/>
        </w:rPr>
        <w:fldChar w:fldCharType="begin"/>
      </w:r>
      <w:r>
        <w:rPr>
          <w:bCs/>
          <w:caps/>
        </w:rPr>
        <w:instrText xml:space="preserve"> HYPERLINK \l _Toc21606 </w:instrText>
      </w:r>
      <w:r>
        <w:rPr>
          <w:bCs/>
          <w:caps/>
        </w:rPr>
        <w:fldChar w:fldCharType="separate"/>
      </w:r>
      <w:r>
        <w:t>7.1 一般规定</w:t>
      </w:r>
      <w:r>
        <w:tab/>
      </w:r>
      <w:r>
        <w:fldChar w:fldCharType="begin"/>
      </w:r>
      <w:r>
        <w:instrText xml:space="preserve"> PAGEREF _Toc21606 \h </w:instrText>
      </w:r>
      <w:r>
        <w:fldChar w:fldCharType="separate"/>
      </w:r>
      <w:r>
        <w:t>22</w:t>
      </w:r>
      <w:r>
        <w:fldChar w:fldCharType="end"/>
      </w:r>
      <w:r>
        <w:rPr>
          <w:bCs/>
          <w:caps/>
          <w:color w:val="auto"/>
        </w:rPr>
        <w:fldChar w:fldCharType="end"/>
      </w:r>
    </w:p>
    <w:p>
      <w:pPr>
        <w:pStyle w:val="61"/>
        <w:tabs>
          <w:tab w:val="right" w:leader="dot" w:pos="8306"/>
        </w:tabs>
        <w:spacing w:line="240" w:lineRule="auto"/>
      </w:pPr>
      <w:r>
        <w:rPr>
          <w:bCs/>
          <w:caps/>
          <w:color w:val="auto"/>
        </w:rPr>
        <w:fldChar w:fldCharType="begin"/>
      </w:r>
      <w:r>
        <w:rPr>
          <w:bCs/>
          <w:caps/>
        </w:rPr>
        <w:instrText xml:space="preserve"> HYPERLINK \l _Toc24709 </w:instrText>
      </w:r>
      <w:r>
        <w:rPr>
          <w:bCs/>
          <w:caps/>
        </w:rPr>
        <w:fldChar w:fldCharType="separate"/>
      </w:r>
      <w:r>
        <w:t>7.2 深化设计</w:t>
      </w:r>
      <w:r>
        <w:tab/>
      </w:r>
      <w:r>
        <w:fldChar w:fldCharType="begin"/>
      </w:r>
      <w:r>
        <w:instrText xml:space="preserve"> PAGEREF _Toc24709 \h </w:instrText>
      </w:r>
      <w:r>
        <w:fldChar w:fldCharType="separate"/>
      </w:r>
      <w:r>
        <w:t>23</w:t>
      </w:r>
      <w:r>
        <w:fldChar w:fldCharType="end"/>
      </w:r>
      <w:r>
        <w:rPr>
          <w:bCs/>
          <w:caps/>
          <w:color w:val="auto"/>
        </w:rPr>
        <w:fldChar w:fldCharType="end"/>
      </w:r>
    </w:p>
    <w:p>
      <w:pPr>
        <w:pStyle w:val="61"/>
        <w:tabs>
          <w:tab w:val="right" w:leader="dot" w:pos="8306"/>
        </w:tabs>
        <w:spacing w:line="240" w:lineRule="auto"/>
      </w:pPr>
      <w:r>
        <w:rPr>
          <w:bCs/>
          <w:caps/>
          <w:color w:val="auto"/>
        </w:rPr>
        <w:fldChar w:fldCharType="begin"/>
      </w:r>
      <w:r>
        <w:rPr>
          <w:bCs/>
          <w:caps/>
        </w:rPr>
        <w:instrText xml:space="preserve"> HYPERLINK \l _Toc11347 </w:instrText>
      </w:r>
      <w:r>
        <w:rPr>
          <w:bCs/>
          <w:caps/>
        </w:rPr>
        <w:fldChar w:fldCharType="separate"/>
      </w:r>
      <w:r>
        <w:t>7.</w:t>
      </w:r>
      <w:r>
        <w:rPr>
          <w:rFonts w:hint="eastAsia"/>
        </w:rPr>
        <w:t>3</w:t>
      </w:r>
      <w:r>
        <w:t xml:space="preserve"> 施工</w:t>
      </w:r>
      <w:r>
        <w:rPr>
          <w:rFonts w:hint="eastAsia"/>
        </w:rPr>
        <w:t>应用</w:t>
      </w:r>
      <w:r>
        <w:tab/>
      </w:r>
      <w:r>
        <w:fldChar w:fldCharType="begin"/>
      </w:r>
      <w:r>
        <w:instrText xml:space="preserve"> PAGEREF _Toc11347 \h </w:instrText>
      </w:r>
      <w:r>
        <w:fldChar w:fldCharType="separate"/>
      </w:r>
      <w:r>
        <w:t>24</w:t>
      </w:r>
      <w:r>
        <w:fldChar w:fldCharType="end"/>
      </w:r>
      <w:r>
        <w:rPr>
          <w:bCs/>
          <w:caps/>
          <w:color w:val="auto"/>
        </w:rPr>
        <w:fldChar w:fldCharType="end"/>
      </w:r>
    </w:p>
    <w:p>
      <w:pPr>
        <w:pStyle w:val="61"/>
        <w:tabs>
          <w:tab w:val="right" w:leader="dot" w:pos="8306"/>
        </w:tabs>
        <w:spacing w:line="240" w:lineRule="auto"/>
      </w:pPr>
      <w:r>
        <w:rPr>
          <w:bCs/>
          <w:caps/>
          <w:color w:val="auto"/>
        </w:rPr>
        <w:fldChar w:fldCharType="begin"/>
      </w:r>
      <w:r>
        <w:rPr>
          <w:bCs/>
          <w:caps/>
        </w:rPr>
        <w:instrText xml:space="preserve"> HYPERLINK \l _Toc17043 </w:instrText>
      </w:r>
      <w:r>
        <w:rPr>
          <w:bCs/>
          <w:caps/>
        </w:rPr>
        <w:fldChar w:fldCharType="separate"/>
      </w:r>
      <w:r>
        <w:t xml:space="preserve">7.4 </w:t>
      </w:r>
      <w:r>
        <w:rPr>
          <w:rFonts w:hint="eastAsia"/>
        </w:rPr>
        <w:t>工程建设项目</w:t>
      </w:r>
      <w:r>
        <w:t>管理</w:t>
      </w:r>
      <w:r>
        <w:tab/>
      </w:r>
      <w:r>
        <w:fldChar w:fldCharType="begin"/>
      </w:r>
      <w:r>
        <w:instrText xml:space="preserve"> PAGEREF _Toc17043 \h </w:instrText>
      </w:r>
      <w:r>
        <w:fldChar w:fldCharType="separate"/>
      </w:r>
      <w:r>
        <w:t>24</w:t>
      </w:r>
      <w:r>
        <w:fldChar w:fldCharType="end"/>
      </w:r>
      <w:r>
        <w:rPr>
          <w:bCs/>
          <w:caps/>
          <w:color w:val="auto"/>
        </w:rPr>
        <w:fldChar w:fldCharType="end"/>
      </w:r>
    </w:p>
    <w:p>
      <w:pPr>
        <w:pStyle w:val="61"/>
        <w:tabs>
          <w:tab w:val="right" w:leader="dot" w:pos="8306"/>
        </w:tabs>
        <w:spacing w:line="240" w:lineRule="auto"/>
      </w:pPr>
      <w:r>
        <w:rPr>
          <w:bCs/>
          <w:caps/>
          <w:color w:val="auto"/>
        </w:rPr>
        <w:fldChar w:fldCharType="begin"/>
      </w:r>
      <w:r>
        <w:rPr>
          <w:bCs/>
          <w:caps/>
        </w:rPr>
        <w:instrText xml:space="preserve"> HYPERLINK \l _Toc29766 </w:instrText>
      </w:r>
      <w:r>
        <w:rPr>
          <w:bCs/>
          <w:caps/>
        </w:rPr>
        <w:fldChar w:fldCharType="separate"/>
      </w:r>
      <w:r>
        <w:t xml:space="preserve">7.5 </w:t>
      </w:r>
      <w:r>
        <w:rPr>
          <w:rFonts w:hint="eastAsia"/>
        </w:rPr>
        <w:t>施工监理</w:t>
      </w:r>
      <w:r>
        <w:tab/>
      </w:r>
      <w:r>
        <w:fldChar w:fldCharType="begin"/>
      </w:r>
      <w:r>
        <w:instrText xml:space="preserve"> PAGEREF _Toc29766 \h </w:instrText>
      </w:r>
      <w:r>
        <w:fldChar w:fldCharType="separate"/>
      </w:r>
      <w:r>
        <w:t>26</w:t>
      </w:r>
      <w:r>
        <w:fldChar w:fldCharType="end"/>
      </w:r>
      <w:r>
        <w:rPr>
          <w:bCs/>
          <w:caps/>
          <w:color w:val="auto"/>
        </w:rPr>
        <w:fldChar w:fldCharType="end"/>
      </w:r>
    </w:p>
    <w:p>
      <w:pPr>
        <w:pStyle w:val="61"/>
        <w:tabs>
          <w:tab w:val="right" w:leader="dot" w:pos="8306"/>
        </w:tabs>
        <w:spacing w:line="240" w:lineRule="auto"/>
      </w:pPr>
      <w:r>
        <w:rPr>
          <w:bCs/>
          <w:caps/>
          <w:color w:val="auto"/>
        </w:rPr>
        <w:fldChar w:fldCharType="begin"/>
      </w:r>
      <w:r>
        <w:rPr>
          <w:bCs/>
          <w:caps/>
        </w:rPr>
        <w:instrText xml:space="preserve"> HYPERLINK \l _Toc7557 </w:instrText>
      </w:r>
      <w:r>
        <w:rPr>
          <w:bCs/>
          <w:caps/>
        </w:rPr>
        <w:fldChar w:fldCharType="separate"/>
      </w:r>
      <w:r>
        <w:t xml:space="preserve">7.6 </w:t>
      </w:r>
      <w:r>
        <w:rPr>
          <w:rFonts w:hint="eastAsia"/>
        </w:rPr>
        <w:t>施工监控</w:t>
      </w:r>
      <w:r>
        <w:tab/>
      </w:r>
      <w:r>
        <w:fldChar w:fldCharType="begin"/>
      </w:r>
      <w:r>
        <w:instrText xml:space="preserve"> PAGEREF _Toc7557 \h </w:instrText>
      </w:r>
      <w:r>
        <w:fldChar w:fldCharType="separate"/>
      </w:r>
      <w:r>
        <w:t>27</w:t>
      </w:r>
      <w:r>
        <w:fldChar w:fldCharType="end"/>
      </w:r>
      <w:r>
        <w:rPr>
          <w:bCs/>
          <w:caps/>
          <w:color w:val="auto"/>
        </w:rPr>
        <w:fldChar w:fldCharType="end"/>
      </w:r>
    </w:p>
    <w:p>
      <w:pPr>
        <w:pStyle w:val="61"/>
        <w:tabs>
          <w:tab w:val="right" w:leader="dot" w:pos="8306"/>
        </w:tabs>
        <w:spacing w:line="240" w:lineRule="auto"/>
      </w:pPr>
      <w:r>
        <w:rPr>
          <w:bCs/>
          <w:caps/>
          <w:color w:val="auto"/>
        </w:rPr>
        <w:fldChar w:fldCharType="begin"/>
      </w:r>
      <w:r>
        <w:rPr>
          <w:bCs/>
          <w:caps/>
        </w:rPr>
        <w:instrText xml:space="preserve"> HYPERLINK \l _Toc21427 </w:instrText>
      </w:r>
      <w:r>
        <w:rPr>
          <w:bCs/>
          <w:caps/>
        </w:rPr>
        <w:fldChar w:fldCharType="separate"/>
      </w:r>
      <w:r>
        <w:t xml:space="preserve">7.7 </w:t>
      </w:r>
      <w:r>
        <w:rPr>
          <w:rFonts w:hint="eastAsia"/>
        </w:rPr>
        <w:t>竣工验收与交付</w:t>
      </w:r>
      <w:r>
        <w:tab/>
      </w:r>
      <w:r>
        <w:fldChar w:fldCharType="begin"/>
      </w:r>
      <w:r>
        <w:instrText xml:space="preserve"> PAGEREF _Toc21427 \h </w:instrText>
      </w:r>
      <w:r>
        <w:fldChar w:fldCharType="separate"/>
      </w:r>
      <w:r>
        <w:t>28</w:t>
      </w:r>
      <w:r>
        <w:fldChar w:fldCharType="end"/>
      </w:r>
      <w:r>
        <w:rPr>
          <w:bCs/>
          <w:caps/>
          <w:color w:val="auto"/>
        </w:rPr>
        <w:fldChar w:fldCharType="end"/>
      </w:r>
    </w:p>
    <w:p>
      <w:pPr>
        <w:pStyle w:val="61"/>
        <w:tabs>
          <w:tab w:val="right" w:leader="dot" w:pos="8306"/>
        </w:tabs>
        <w:spacing w:line="240" w:lineRule="auto"/>
      </w:pPr>
      <w:r>
        <w:rPr>
          <w:bCs/>
          <w:caps/>
          <w:color w:val="auto"/>
        </w:rPr>
        <w:fldChar w:fldCharType="begin"/>
      </w:r>
      <w:r>
        <w:rPr>
          <w:bCs/>
          <w:caps/>
        </w:rPr>
        <w:instrText xml:space="preserve"> HYPERLINK \l _Toc5268 </w:instrText>
      </w:r>
      <w:r>
        <w:rPr>
          <w:bCs/>
          <w:caps/>
        </w:rPr>
        <w:fldChar w:fldCharType="separate"/>
      </w:r>
      <w:r>
        <w:rPr>
          <w:rFonts w:hint="eastAsia"/>
        </w:rPr>
        <w:t>7</w:t>
      </w:r>
      <w:r>
        <w:t>.</w:t>
      </w:r>
      <w:r>
        <w:rPr>
          <w:rFonts w:hint="eastAsia"/>
        </w:rPr>
        <w:t>8</w:t>
      </w:r>
      <w:r>
        <w:t xml:space="preserve"> </w:t>
      </w:r>
      <w:r>
        <w:rPr>
          <w:rFonts w:hint="eastAsia"/>
        </w:rPr>
        <w:t xml:space="preserve"> 竣工资料归档</w:t>
      </w:r>
      <w:r>
        <w:tab/>
      </w:r>
      <w:r>
        <w:fldChar w:fldCharType="begin"/>
      </w:r>
      <w:r>
        <w:instrText xml:space="preserve"> PAGEREF _Toc5268 \h </w:instrText>
      </w:r>
      <w:r>
        <w:fldChar w:fldCharType="separate"/>
      </w:r>
      <w:r>
        <w:t>29</w:t>
      </w:r>
      <w:r>
        <w:fldChar w:fldCharType="end"/>
      </w:r>
      <w:r>
        <w:rPr>
          <w:bCs/>
          <w:caps/>
          <w:color w:val="auto"/>
        </w:rPr>
        <w:fldChar w:fldCharType="end"/>
      </w:r>
    </w:p>
    <w:p>
      <w:pPr>
        <w:pStyle w:val="50"/>
        <w:tabs>
          <w:tab w:val="right" w:leader="dot" w:pos="8306"/>
          <w:tab w:val="clear" w:pos="482"/>
          <w:tab w:val="clear" w:pos="8296"/>
        </w:tabs>
        <w:spacing w:line="240" w:lineRule="auto"/>
      </w:pPr>
      <w:r>
        <w:rPr>
          <w:bCs/>
          <w:caps/>
          <w:color w:val="auto"/>
        </w:rPr>
        <w:fldChar w:fldCharType="begin"/>
      </w:r>
      <w:r>
        <w:rPr>
          <w:bCs/>
          <w:caps/>
        </w:rPr>
        <w:instrText xml:space="preserve"> HYPERLINK \l _Toc31778 </w:instrText>
      </w:r>
      <w:r>
        <w:rPr>
          <w:bCs/>
          <w:caps/>
        </w:rPr>
        <w:fldChar w:fldCharType="separate"/>
      </w:r>
      <w:r>
        <w:rPr>
          <w:rFonts w:hint="eastAsia"/>
        </w:rPr>
        <w:t xml:space="preserve">8 </w:t>
      </w:r>
      <w:r>
        <w:t>运维阶段</w:t>
      </w:r>
      <w:r>
        <w:tab/>
      </w:r>
      <w:r>
        <w:fldChar w:fldCharType="begin"/>
      </w:r>
      <w:r>
        <w:instrText xml:space="preserve"> PAGEREF _Toc31778 \h </w:instrText>
      </w:r>
      <w:r>
        <w:fldChar w:fldCharType="separate"/>
      </w:r>
      <w:r>
        <w:t>31</w:t>
      </w:r>
      <w:r>
        <w:fldChar w:fldCharType="end"/>
      </w:r>
      <w:r>
        <w:rPr>
          <w:bCs/>
          <w:caps/>
          <w:color w:val="auto"/>
        </w:rPr>
        <w:fldChar w:fldCharType="end"/>
      </w:r>
    </w:p>
    <w:p>
      <w:pPr>
        <w:pStyle w:val="61"/>
        <w:tabs>
          <w:tab w:val="right" w:leader="dot" w:pos="8306"/>
        </w:tabs>
        <w:spacing w:line="240" w:lineRule="auto"/>
      </w:pPr>
      <w:r>
        <w:rPr>
          <w:bCs/>
          <w:caps/>
          <w:color w:val="auto"/>
        </w:rPr>
        <w:fldChar w:fldCharType="begin"/>
      </w:r>
      <w:r>
        <w:rPr>
          <w:bCs/>
          <w:caps/>
        </w:rPr>
        <w:instrText xml:space="preserve"> HYPERLINK \l _Toc2454 </w:instrText>
      </w:r>
      <w:r>
        <w:rPr>
          <w:bCs/>
          <w:caps/>
        </w:rPr>
        <w:fldChar w:fldCharType="separate"/>
      </w:r>
      <w:r>
        <w:t>8.1 一般规定</w:t>
      </w:r>
      <w:r>
        <w:tab/>
      </w:r>
      <w:r>
        <w:fldChar w:fldCharType="begin"/>
      </w:r>
      <w:r>
        <w:instrText xml:space="preserve"> PAGEREF _Toc2454 \h </w:instrText>
      </w:r>
      <w:r>
        <w:fldChar w:fldCharType="separate"/>
      </w:r>
      <w:r>
        <w:t>31</w:t>
      </w:r>
      <w:r>
        <w:fldChar w:fldCharType="end"/>
      </w:r>
      <w:r>
        <w:rPr>
          <w:bCs/>
          <w:caps/>
          <w:color w:val="auto"/>
        </w:rPr>
        <w:fldChar w:fldCharType="end"/>
      </w:r>
    </w:p>
    <w:p>
      <w:pPr>
        <w:pStyle w:val="61"/>
        <w:tabs>
          <w:tab w:val="right" w:leader="dot" w:pos="8306"/>
        </w:tabs>
        <w:spacing w:line="240" w:lineRule="auto"/>
      </w:pPr>
      <w:r>
        <w:rPr>
          <w:bCs/>
          <w:caps/>
          <w:color w:val="auto"/>
        </w:rPr>
        <w:fldChar w:fldCharType="begin"/>
      </w:r>
      <w:r>
        <w:rPr>
          <w:bCs/>
          <w:caps/>
        </w:rPr>
        <w:instrText xml:space="preserve"> HYPERLINK \l _Toc3281 </w:instrText>
      </w:r>
      <w:r>
        <w:rPr>
          <w:bCs/>
          <w:caps/>
        </w:rPr>
        <w:fldChar w:fldCharType="separate"/>
      </w:r>
      <w:r>
        <w:t>8.</w:t>
      </w:r>
      <w:r>
        <w:rPr>
          <w:rFonts w:hint="eastAsia"/>
        </w:rPr>
        <w:t>2</w:t>
      </w:r>
      <w:r>
        <w:t xml:space="preserve"> </w:t>
      </w:r>
      <w:r>
        <w:rPr>
          <w:rFonts w:hint="eastAsia"/>
        </w:rPr>
        <w:t>智慧交通与运营管理</w:t>
      </w:r>
      <w:r>
        <w:tab/>
      </w:r>
      <w:r>
        <w:fldChar w:fldCharType="begin"/>
      </w:r>
      <w:r>
        <w:instrText xml:space="preserve"> PAGEREF _Toc3281 \h </w:instrText>
      </w:r>
      <w:r>
        <w:fldChar w:fldCharType="separate"/>
      </w:r>
      <w:r>
        <w:t>31</w:t>
      </w:r>
      <w:r>
        <w:fldChar w:fldCharType="end"/>
      </w:r>
      <w:r>
        <w:rPr>
          <w:bCs/>
          <w:caps/>
          <w:color w:val="auto"/>
        </w:rPr>
        <w:fldChar w:fldCharType="end"/>
      </w:r>
    </w:p>
    <w:p>
      <w:pPr>
        <w:pStyle w:val="61"/>
        <w:tabs>
          <w:tab w:val="right" w:leader="dot" w:pos="8306"/>
        </w:tabs>
        <w:spacing w:line="240" w:lineRule="auto"/>
      </w:pPr>
      <w:r>
        <w:rPr>
          <w:bCs/>
          <w:caps/>
          <w:color w:val="auto"/>
        </w:rPr>
        <w:fldChar w:fldCharType="begin"/>
      </w:r>
      <w:r>
        <w:rPr>
          <w:bCs/>
          <w:caps/>
        </w:rPr>
        <w:instrText xml:space="preserve"> HYPERLINK \l _Toc22664 </w:instrText>
      </w:r>
      <w:r>
        <w:rPr>
          <w:bCs/>
          <w:caps/>
        </w:rPr>
        <w:fldChar w:fldCharType="separate"/>
      </w:r>
      <w:r>
        <w:t>8.</w:t>
      </w:r>
      <w:r>
        <w:rPr>
          <w:rFonts w:hint="eastAsia"/>
        </w:rPr>
        <w:t>3</w:t>
      </w:r>
      <w:r>
        <w:t xml:space="preserve"> </w:t>
      </w:r>
      <w:r>
        <w:rPr>
          <w:rFonts w:hint="eastAsia"/>
        </w:rPr>
        <w:t>养护管理</w:t>
      </w:r>
      <w:r>
        <w:tab/>
      </w:r>
      <w:r>
        <w:fldChar w:fldCharType="begin"/>
      </w:r>
      <w:r>
        <w:instrText xml:space="preserve"> PAGEREF _Toc22664 \h </w:instrText>
      </w:r>
      <w:r>
        <w:fldChar w:fldCharType="separate"/>
      </w:r>
      <w:r>
        <w:t>32</w:t>
      </w:r>
      <w:r>
        <w:fldChar w:fldCharType="end"/>
      </w:r>
      <w:r>
        <w:rPr>
          <w:bCs/>
          <w:caps/>
          <w:color w:val="auto"/>
        </w:rPr>
        <w:fldChar w:fldCharType="end"/>
      </w:r>
    </w:p>
    <w:p>
      <w:pPr>
        <w:pStyle w:val="61"/>
        <w:tabs>
          <w:tab w:val="right" w:leader="dot" w:pos="8306"/>
        </w:tabs>
        <w:spacing w:line="240" w:lineRule="auto"/>
      </w:pPr>
      <w:r>
        <w:rPr>
          <w:bCs/>
          <w:caps/>
          <w:color w:val="auto"/>
        </w:rPr>
        <w:fldChar w:fldCharType="begin"/>
      </w:r>
      <w:r>
        <w:rPr>
          <w:bCs/>
          <w:caps/>
        </w:rPr>
        <w:instrText xml:space="preserve"> HYPERLINK \l _Toc11421 </w:instrText>
      </w:r>
      <w:r>
        <w:rPr>
          <w:bCs/>
          <w:caps/>
        </w:rPr>
        <w:fldChar w:fldCharType="separate"/>
      </w:r>
      <w:r>
        <w:t>8.</w:t>
      </w:r>
      <w:r>
        <w:rPr>
          <w:rFonts w:hint="eastAsia"/>
        </w:rPr>
        <w:t>4</w:t>
      </w:r>
      <w:r>
        <w:t xml:space="preserve"> </w:t>
      </w:r>
      <w:r>
        <w:rPr>
          <w:rFonts w:hint="eastAsia"/>
        </w:rPr>
        <w:t>资产管理</w:t>
      </w:r>
      <w:r>
        <w:tab/>
      </w:r>
      <w:r>
        <w:fldChar w:fldCharType="begin"/>
      </w:r>
      <w:r>
        <w:instrText xml:space="preserve"> PAGEREF _Toc11421 \h </w:instrText>
      </w:r>
      <w:r>
        <w:fldChar w:fldCharType="separate"/>
      </w:r>
      <w:r>
        <w:t>32</w:t>
      </w:r>
      <w:r>
        <w:fldChar w:fldCharType="end"/>
      </w:r>
      <w:r>
        <w:rPr>
          <w:bCs/>
          <w:caps/>
          <w:color w:val="auto"/>
        </w:rPr>
        <w:fldChar w:fldCharType="end"/>
      </w:r>
    </w:p>
    <w:p>
      <w:pPr>
        <w:pStyle w:val="61"/>
        <w:tabs>
          <w:tab w:val="right" w:leader="dot" w:pos="8306"/>
        </w:tabs>
        <w:spacing w:line="240" w:lineRule="auto"/>
      </w:pPr>
      <w:r>
        <w:rPr>
          <w:bCs/>
          <w:caps/>
          <w:color w:val="auto"/>
        </w:rPr>
        <w:fldChar w:fldCharType="begin"/>
      </w:r>
      <w:r>
        <w:rPr>
          <w:bCs/>
          <w:caps/>
        </w:rPr>
        <w:instrText xml:space="preserve"> HYPERLINK \l _Toc9311 </w:instrText>
      </w:r>
      <w:r>
        <w:rPr>
          <w:bCs/>
          <w:caps/>
        </w:rPr>
        <w:fldChar w:fldCharType="separate"/>
      </w:r>
      <w:r>
        <w:t>8.</w:t>
      </w:r>
      <w:r>
        <w:rPr>
          <w:rFonts w:hint="eastAsia"/>
        </w:rPr>
        <w:t>5</w:t>
      </w:r>
      <w:r>
        <w:t xml:space="preserve"> </w:t>
      </w:r>
      <w:r>
        <w:rPr>
          <w:rFonts w:hint="eastAsia"/>
        </w:rPr>
        <w:t>健康监测</w:t>
      </w:r>
      <w:r>
        <w:tab/>
      </w:r>
      <w:r>
        <w:fldChar w:fldCharType="begin"/>
      </w:r>
      <w:r>
        <w:instrText xml:space="preserve"> PAGEREF _Toc9311 \h </w:instrText>
      </w:r>
      <w:r>
        <w:fldChar w:fldCharType="separate"/>
      </w:r>
      <w:r>
        <w:t>32</w:t>
      </w:r>
      <w:r>
        <w:fldChar w:fldCharType="end"/>
      </w:r>
      <w:r>
        <w:rPr>
          <w:bCs/>
          <w:caps/>
          <w:color w:val="auto"/>
        </w:rPr>
        <w:fldChar w:fldCharType="end"/>
      </w:r>
    </w:p>
    <w:p>
      <w:pPr>
        <w:pStyle w:val="61"/>
        <w:tabs>
          <w:tab w:val="right" w:leader="dot" w:pos="8306"/>
        </w:tabs>
        <w:spacing w:line="240" w:lineRule="auto"/>
      </w:pPr>
      <w:r>
        <w:rPr>
          <w:bCs/>
          <w:caps/>
          <w:color w:val="auto"/>
        </w:rPr>
        <w:fldChar w:fldCharType="begin"/>
      </w:r>
      <w:r>
        <w:rPr>
          <w:bCs/>
          <w:caps/>
        </w:rPr>
        <w:instrText xml:space="preserve"> HYPERLINK \l _Toc21513 </w:instrText>
      </w:r>
      <w:r>
        <w:rPr>
          <w:bCs/>
          <w:caps/>
        </w:rPr>
        <w:fldChar w:fldCharType="separate"/>
      </w:r>
      <w:r>
        <w:t xml:space="preserve">8.6 </w:t>
      </w:r>
      <w:r>
        <w:rPr>
          <w:rFonts w:hint="eastAsia"/>
        </w:rPr>
        <w:t>应急管理</w:t>
      </w:r>
      <w:r>
        <w:tab/>
      </w:r>
      <w:r>
        <w:fldChar w:fldCharType="begin"/>
      </w:r>
      <w:r>
        <w:instrText xml:space="preserve"> PAGEREF _Toc21513 \h </w:instrText>
      </w:r>
      <w:r>
        <w:fldChar w:fldCharType="separate"/>
      </w:r>
      <w:r>
        <w:t>33</w:t>
      </w:r>
      <w:r>
        <w:fldChar w:fldCharType="end"/>
      </w:r>
      <w:r>
        <w:rPr>
          <w:bCs/>
          <w:caps/>
          <w:color w:val="auto"/>
        </w:rPr>
        <w:fldChar w:fldCharType="end"/>
      </w:r>
    </w:p>
    <w:p>
      <w:pPr>
        <w:pStyle w:val="50"/>
        <w:tabs>
          <w:tab w:val="right" w:leader="dot" w:pos="8306"/>
          <w:tab w:val="clear" w:pos="482"/>
          <w:tab w:val="clear" w:pos="8296"/>
        </w:tabs>
        <w:spacing w:line="240" w:lineRule="auto"/>
      </w:pPr>
      <w:r>
        <w:rPr>
          <w:bCs/>
          <w:caps/>
          <w:color w:val="auto"/>
        </w:rPr>
        <w:fldChar w:fldCharType="begin"/>
      </w:r>
      <w:r>
        <w:rPr>
          <w:bCs/>
          <w:caps/>
        </w:rPr>
        <w:instrText xml:space="preserve"> HYPERLINK \l _Toc26475 </w:instrText>
      </w:r>
      <w:r>
        <w:rPr>
          <w:bCs/>
          <w:caps/>
        </w:rPr>
        <w:fldChar w:fldCharType="separate"/>
      </w:r>
      <w:r>
        <w:t>附录A</w:t>
      </w:r>
      <w:r>
        <w:rPr>
          <w:rFonts w:hint="eastAsia"/>
        </w:rPr>
        <w:t>:</w:t>
      </w:r>
      <w:r>
        <w:t xml:space="preserve"> </w:t>
      </w:r>
      <w:r>
        <w:rPr>
          <w:rFonts w:hint="eastAsia"/>
        </w:rPr>
        <w:t>各阶段模型应用点汇总</w:t>
      </w:r>
      <w:r>
        <w:tab/>
      </w:r>
      <w:r>
        <w:fldChar w:fldCharType="begin"/>
      </w:r>
      <w:r>
        <w:instrText xml:space="preserve"> PAGEREF _Toc26475 \h </w:instrText>
      </w:r>
      <w:r>
        <w:fldChar w:fldCharType="separate"/>
      </w:r>
      <w:r>
        <w:t>34</w:t>
      </w:r>
      <w:r>
        <w:fldChar w:fldCharType="end"/>
      </w:r>
      <w:r>
        <w:rPr>
          <w:bCs/>
          <w:caps/>
          <w:color w:val="auto"/>
        </w:rPr>
        <w:fldChar w:fldCharType="end"/>
      </w:r>
    </w:p>
    <w:p>
      <w:pPr>
        <w:pStyle w:val="50"/>
        <w:tabs>
          <w:tab w:val="right" w:leader="dot" w:pos="8306"/>
          <w:tab w:val="clear" w:pos="482"/>
          <w:tab w:val="clear" w:pos="8296"/>
        </w:tabs>
        <w:spacing w:line="240" w:lineRule="auto"/>
      </w:pPr>
      <w:r>
        <w:rPr>
          <w:bCs/>
          <w:caps/>
          <w:color w:val="auto"/>
        </w:rPr>
        <w:fldChar w:fldCharType="begin"/>
      </w:r>
      <w:r>
        <w:rPr>
          <w:bCs/>
          <w:caps/>
        </w:rPr>
        <w:instrText xml:space="preserve"> HYPERLINK \l _Toc20630 </w:instrText>
      </w:r>
      <w:r>
        <w:rPr>
          <w:bCs/>
          <w:caps/>
        </w:rPr>
        <w:fldChar w:fldCharType="separate"/>
      </w:r>
      <w:r>
        <w:t>附录B</w:t>
      </w:r>
      <w:r>
        <w:rPr>
          <w:rFonts w:hint="eastAsia"/>
        </w:rPr>
        <w:t>:</w:t>
      </w:r>
      <w:r>
        <w:t xml:space="preserve"> 模型单元系统分类</w:t>
      </w:r>
      <w:r>
        <w:tab/>
      </w:r>
      <w:r>
        <w:fldChar w:fldCharType="begin"/>
      </w:r>
      <w:r>
        <w:instrText xml:space="preserve"> PAGEREF _Toc20630 \h </w:instrText>
      </w:r>
      <w:r>
        <w:fldChar w:fldCharType="separate"/>
      </w:r>
      <w:r>
        <w:t>37</w:t>
      </w:r>
      <w:r>
        <w:fldChar w:fldCharType="end"/>
      </w:r>
      <w:r>
        <w:rPr>
          <w:bCs/>
          <w:caps/>
          <w:color w:val="auto"/>
        </w:rPr>
        <w:fldChar w:fldCharType="end"/>
      </w:r>
    </w:p>
    <w:p>
      <w:pPr>
        <w:pStyle w:val="50"/>
        <w:tabs>
          <w:tab w:val="right" w:leader="dot" w:pos="8306"/>
          <w:tab w:val="clear" w:pos="482"/>
          <w:tab w:val="clear" w:pos="8296"/>
        </w:tabs>
        <w:spacing w:line="240" w:lineRule="auto"/>
      </w:pPr>
      <w:r>
        <w:rPr>
          <w:bCs/>
          <w:caps/>
          <w:color w:val="auto"/>
        </w:rPr>
        <w:fldChar w:fldCharType="begin"/>
      </w:r>
      <w:r>
        <w:rPr>
          <w:bCs/>
          <w:caps/>
        </w:rPr>
        <w:instrText xml:space="preserve"> HYPERLINK \l _Toc19412 </w:instrText>
      </w:r>
      <w:r>
        <w:rPr>
          <w:bCs/>
          <w:caps/>
        </w:rPr>
        <w:fldChar w:fldCharType="separate"/>
      </w:r>
      <w:r>
        <w:t>附录C</w:t>
      </w:r>
      <w:r>
        <w:rPr>
          <w:rFonts w:hint="eastAsia"/>
        </w:rPr>
        <w:t>: 模型单元属性分类</w:t>
      </w:r>
      <w:r>
        <w:tab/>
      </w:r>
      <w:r>
        <w:fldChar w:fldCharType="begin"/>
      </w:r>
      <w:r>
        <w:instrText xml:space="preserve"> PAGEREF _Toc19412 \h </w:instrText>
      </w:r>
      <w:r>
        <w:fldChar w:fldCharType="separate"/>
      </w:r>
      <w:r>
        <w:t>40</w:t>
      </w:r>
      <w:r>
        <w:fldChar w:fldCharType="end"/>
      </w:r>
      <w:r>
        <w:rPr>
          <w:bCs/>
          <w:caps/>
          <w:color w:val="auto"/>
        </w:rPr>
        <w:fldChar w:fldCharType="end"/>
      </w:r>
    </w:p>
    <w:p>
      <w:pPr>
        <w:pStyle w:val="50"/>
        <w:tabs>
          <w:tab w:val="right" w:leader="dot" w:pos="8306"/>
          <w:tab w:val="clear" w:pos="482"/>
          <w:tab w:val="clear" w:pos="8296"/>
        </w:tabs>
        <w:spacing w:line="240" w:lineRule="auto"/>
      </w:pPr>
      <w:r>
        <w:rPr>
          <w:bCs/>
          <w:caps/>
          <w:color w:val="auto"/>
        </w:rPr>
        <w:fldChar w:fldCharType="begin"/>
      </w:r>
      <w:r>
        <w:rPr>
          <w:bCs/>
          <w:caps/>
        </w:rPr>
        <w:instrText xml:space="preserve"> HYPERLINK \l _Toc5069 </w:instrText>
      </w:r>
      <w:r>
        <w:rPr>
          <w:bCs/>
          <w:caps/>
        </w:rPr>
        <w:fldChar w:fldCharType="separate"/>
      </w:r>
      <w:r>
        <w:t>附录D</w:t>
      </w:r>
      <w:r>
        <w:rPr>
          <w:rFonts w:hint="eastAsia"/>
        </w:rPr>
        <w:t>: 项目关键指标表</w:t>
      </w:r>
      <w:r>
        <w:tab/>
      </w:r>
      <w:r>
        <w:fldChar w:fldCharType="begin"/>
      </w:r>
      <w:r>
        <w:instrText xml:space="preserve"> PAGEREF _Toc5069 \h </w:instrText>
      </w:r>
      <w:r>
        <w:fldChar w:fldCharType="separate"/>
      </w:r>
      <w:r>
        <w:t>41</w:t>
      </w:r>
      <w:r>
        <w:fldChar w:fldCharType="end"/>
      </w:r>
      <w:r>
        <w:rPr>
          <w:bCs/>
          <w:caps/>
          <w:color w:val="auto"/>
        </w:rPr>
        <w:fldChar w:fldCharType="end"/>
      </w:r>
    </w:p>
    <w:p>
      <w:pPr>
        <w:pStyle w:val="50"/>
        <w:tabs>
          <w:tab w:val="right" w:leader="dot" w:pos="8306"/>
          <w:tab w:val="clear" w:pos="482"/>
          <w:tab w:val="clear" w:pos="8296"/>
        </w:tabs>
        <w:spacing w:line="240" w:lineRule="auto"/>
      </w:pPr>
      <w:r>
        <w:rPr>
          <w:bCs/>
          <w:caps/>
          <w:color w:val="auto"/>
        </w:rPr>
        <w:fldChar w:fldCharType="begin"/>
      </w:r>
      <w:r>
        <w:rPr>
          <w:bCs/>
          <w:caps/>
        </w:rPr>
        <w:instrText xml:space="preserve"> HYPERLINK \l _Toc13559 </w:instrText>
      </w:r>
      <w:r>
        <w:rPr>
          <w:bCs/>
          <w:caps/>
        </w:rPr>
        <w:fldChar w:fldCharType="separate"/>
      </w:r>
      <w:r>
        <w:t>附录E</w:t>
      </w:r>
      <w:r>
        <w:rPr>
          <w:rFonts w:hint="eastAsia"/>
        </w:rPr>
        <w:t>: 模型组件单元拆分与命名规则表</w:t>
      </w:r>
      <w:r>
        <w:tab/>
      </w:r>
      <w:r>
        <w:fldChar w:fldCharType="begin"/>
      </w:r>
      <w:r>
        <w:instrText xml:space="preserve"> PAGEREF _Toc13559 \h </w:instrText>
      </w:r>
      <w:r>
        <w:fldChar w:fldCharType="separate"/>
      </w:r>
      <w:r>
        <w:t>42</w:t>
      </w:r>
      <w:r>
        <w:fldChar w:fldCharType="end"/>
      </w:r>
      <w:r>
        <w:rPr>
          <w:bCs/>
          <w:caps/>
          <w:color w:val="auto"/>
        </w:rPr>
        <w:fldChar w:fldCharType="end"/>
      </w:r>
    </w:p>
    <w:p>
      <w:pPr>
        <w:pStyle w:val="50"/>
        <w:tabs>
          <w:tab w:val="right" w:leader="dot" w:pos="8306"/>
          <w:tab w:val="clear" w:pos="482"/>
          <w:tab w:val="clear" w:pos="8296"/>
        </w:tabs>
        <w:spacing w:line="240" w:lineRule="auto"/>
      </w:pPr>
      <w:r>
        <w:rPr>
          <w:bCs/>
          <w:caps/>
          <w:color w:val="auto"/>
        </w:rPr>
        <w:fldChar w:fldCharType="begin"/>
      </w:r>
      <w:r>
        <w:rPr>
          <w:bCs/>
          <w:caps/>
        </w:rPr>
        <w:instrText xml:space="preserve"> HYPERLINK \l _Toc13225 </w:instrText>
      </w:r>
      <w:r>
        <w:rPr>
          <w:bCs/>
          <w:caps/>
        </w:rPr>
        <w:fldChar w:fldCharType="separate"/>
      </w:r>
      <w:r>
        <w:rPr>
          <w:rFonts w:eastAsia="黑体"/>
          <w:szCs w:val="28"/>
        </w:rPr>
        <w:t>本</w:t>
      </w:r>
      <w:r>
        <w:rPr>
          <w:rFonts w:hint="eastAsia" w:eastAsia="黑体"/>
          <w:szCs w:val="28"/>
        </w:rPr>
        <w:t>标准</w:t>
      </w:r>
      <w:r>
        <w:rPr>
          <w:rFonts w:eastAsia="黑体"/>
          <w:szCs w:val="28"/>
        </w:rPr>
        <w:t>用词说明</w:t>
      </w:r>
      <w:r>
        <w:tab/>
      </w:r>
      <w:r>
        <w:fldChar w:fldCharType="begin"/>
      </w:r>
      <w:r>
        <w:instrText xml:space="preserve"> PAGEREF _Toc13225 \h </w:instrText>
      </w:r>
      <w:r>
        <w:fldChar w:fldCharType="separate"/>
      </w:r>
      <w:r>
        <w:t>91</w:t>
      </w:r>
      <w:r>
        <w:fldChar w:fldCharType="end"/>
      </w:r>
      <w:r>
        <w:rPr>
          <w:bCs/>
          <w:caps/>
          <w:color w:val="auto"/>
        </w:rPr>
        <w:fldChar w:fldCharType="end"/>
      </w:r>
    </w:p>
    <w:p>
      <w:pPr>
        <w:pStyle w:val="50"/>
        <w:tabs>
          <w:tab w:val="right" w:leader="dot" w:pos="8306"/>
          <w:tab w:val="clear" w:pos="482"/>
          <w:tab w:val="clear" w:pos="8296"/>
        </w:tabs>
        <w:spacing w:line="240" w:lineRule="auto"/>
        <w:rPr>
          <w:bCs/>
          <w:caps/>
          <w:color w:val="auto"/>
        </w:rPr>
      </w:pPr>
      <w:r>
        <w:rPr>
          <w:bCs/>
          <w:caps/>
          <w:color w:val="auto"/>
        </w:rPr>
        <w:fldChar w:fldCharType="begin"/>
      </w:r>
      <w:r>
        <w:rPr>
          <w:bCs/>
          <w:caps/>
        </w:rPr>
        <w:instrText xml:space="preserve"> HYPERLINK \l _Toc26797 </w:instrText>
      </w:r>
      <w:r>
        <w:rPr>
          <w:bCs/>
          <w:caps/>
        </w:rPr>
        <w:fldChar w:fldCharType="separate"/>
      </w:r>
      <w:r>
        <w:rPr>
          <w:rFonts w:eastAsia="黑体"/>
          <w:szCs w:val="28"/>
        </w:rPr>
        <w:t>参考与引用标准名录</w:t>
      </w:r>
      <w:r>
        <w:tab/>
      </w:r>
      <w:r>
        <w:fldChar w:fldCharType="begin"/>
      </w:r>
      <w:r>
        <w:instrText xml:space="preserve"> PAGEREF _Toc26797 \h </w:instrText>
      </w:r>
      <w:r>
        <w:fldChar w:fldCharType="separate"/>
      </w:r>
      <w:r>
        <w:t>92</w:t>
      </w:r>
      <w:r>
        <w:fldChar w:fldCharType="end"/>
      </w:r>
      <w:r>
        <w:rPr>
          <w:bCs/>
          <w:caps/>
          <w:color w:val="auto"/>
        </w:rPr>
        <w:fldChar w:fldCharType="end"/>
      </w:r>
    </w:p>
    <w:p>
      <w:pPr>
        <w:ind w:left="0" w:leftChars="0" w:firstLine="0" w:firstLineChars="0"/>
        <w:rPr>
          <w:rFonts w:hint="default" w:ascii="Times New Roman" w:hAnsi="Times New Roman" w:eastAsia="黑体" w:cs="Times New Roman"/>
          <w:b/>
          <w:bCs/>
          <w:caps/>
          <w:sz w:val="28"/>
          <w:szCs w:val="28"/>
          <w:lang w:val="en-US" w:eastAsia="zh-CN" w:bidi="ar-SA"/>
        </w:rPr>
      </w:pPr>
      <w:r>
        <w:rPr>
          <w:rFonts w:hint="eastAsia" w:ascii="Times New Roman" w:hAnsi="Times New Roman" w:eastAsia="黑体" w:cs="Times New Roman"/>
          <w:b/>
          <w:bCs/>
          <w:caps/>
          <w:sz w:val="28"/>
          <w:szCs w:val="28"/>
          <w:lang w:val="en-US" w:eastAsia="zh-CN" w:bidi="ar-SA"/>
        </w:rPr>
        <w:t>附：条</w:t>
      </w:r>
      <w:r>
        <w:rPr>
          <w:rFonts w:hint="eastAsia" w:eastAsia="黑体" w:cs="Times New Roman"/>
          <w:b/>
          <w:bCs/>
          <w:caps/>
          <w:sz w:val="28"/>
          <w:szCs w:val="28"/>
          <w:lang w:val="en-US" w:eastAsia="zh-CN" w:bidi="ar-SA"/>
        </w:rPr>
        <w:t xml:space="preserve"> </w:t>
      </w:r>
      <w:r>
        <w:rPr>
          <w:rFonts w:hint="eastAsia" w:ascii="Times New Roman" w:hAnsi="Times New Roman" w:eastAsia="黑体" w:cs="Times New Roman"/>
          <w:b/>
          <w:bCs/>
          <w:caps/>
          <w:sz w:val="28"/>
          <w:szCs w:val="28"/>
          <w:lang w:val="en-US" w:eastAsia="zh-CN" w:bidi="ar-SA"/>
        </w:rPr>
        <w:t>文</w:t>
      </w:r>
      <w:r>
        <w:rPr>
          <w:rFonts w:hint="eastAsia" w:eastAsia="黑体" w:cs="Times New Roman"/>
          <w:b/>
          <w:bCs/>
          <w:caps/>
          <w:sz w:val="28"/>
          <w:szCs w:val="28"/>
          <w:lang w:val="en-US" w:eastAsia="zh-CN" w:bidi="ar-SA"/>
        </w:rPr>
        <w:t xml:space="preserve"> </w:t>
      </w:r>
      <w:r>
        <w:rPr>
          <w:rFonts w:hint="eastAsia" w:ascii="Times New Roman" w:hAnsi="Times New Roman" w:eastAsia="黑体" w:cs="Times New Roman"/>
          <w:b/>
          <w:bCs/>
          <w:caps/>
          <w:sz w:val="28"/>
          <w:szCs w:val="28"/>
          <w:lang w:val="en-US" w:eastAsia="zh-CN" w:bidi="ar-SA"/>
        </w:rPr>
        <w:t>说</w:t>
      </w:r>
      <w:r>
        <w:rPr>
          <w:rFonts w:hint="eastAsia" w:eastAsia="黑体" w:cs="Times New Roman"/>
          <w:b/>
          <w:bCs/>
          <w:caps/>
          <w:sz w:val="28"/>
          <w:szCs w:val="28"/>
          <w:lang w:val="en-US" w:eastAsia="zh-CN" w:bidi="ar-SA"/>
        </w:rPr>
        <w:t xml:space="preserve"> </w:t>
      </w:r>
      <w:r>
        <w:rPr>
          <w:rFonts w:hint="eastAsia" w:ascii="Times New Roman" w:hAnsi="Times New Roman" w:eastAsia="黑体" w:cs="Times New Roman"/>
          <w:b/>
          <w:bCs/>
          <w:caps/>
          <w:sz w:val="28"/>
          <w:szCs w:val="28"/>
          <w:lang w:val="en-US" w:eastAsia="zh-CN" w:bidi="ar-SA"/>
        </w:rPr>
        <w:t>明</w:t>
      </w:r>
      <w:r>
        <w:rPr>
          <w:rFonts w:hint="eastAsia" w:eastAsia="黑体" w:cs="Times New Roman"/>
          <w:b w:val="0"/>
          <w:bCs w:val="0"/>
          <w:caps/>
          <w:sz w:val="28"/>
          <w:szCs w:val="28"/>
          <w:lang w:val="en-US" w:eastAsia="zh-CN" w:bidi="ar-SA"/>
        </w:rPr>
        <w:t xml:space="preserve"> </w:t>
      </w:r>
      <w:r>
        <w:rPr>
          <w:rFonts w:hint="eastAsia" w:eastAsia="黑体"/>
          <w:b w:val="0"/>
          <w:bCs w:val="0"/>
          <w:lang w:val="en-US" w:eastAsia="zh-CN"/>
        </w:rPr>
        <w:t xml:space="preserve">...................................................................................................  </w:t>
      </w:r>
      <w:r>
        <w:fldChar w:fldCharType="begin"/>
      </w:r>
      <w:r>
        <w:instrText xml:space="preserve"> PAGEREF _Toc13225 \h </w:instrText>
      </w:r>
      <w:r>
        <w:fldChar w:fldCharType="separate"/>
      </w:r>
      <w:r>
        <w:t>9</w:t>
      </w:r>
      <w:r>
        <w:rPr>
          <w:rFonts w:hint="eastAsia"/>
          <w:lang w:val="en-US" w:eastAsia="zh-CN"/>
        </w:rPr>
        <w:t>3</w:t>
      </w:r>
      <w:r>
        <w:fldChar w:fldCharType="end"/>
      </w:r>
    </w:p>
    <w:p>
      <w:pPr>
        <w:spacing w:line="240" w:lineRule="auto"/>
        <w:ind w:firstLine="480"/>
        <w:rPr>
          <w:color w:val="auto"/>
        </w:rPr>
        <w:sectPr>
          <w:footerReference r:id="rId11" w:type="default"/>
          <w:pgSz w:w="11906" w:h="16838"/>
          <w:pgMar w:top="1440" w:right="1800" w:bottom="1440" w:left="1800" w:header="851" w:footer="992" w:gutter="0"/>
          <w:cols w:space="425" w:num="1"/>
          <w:docGrid w:type="lines" w:linePitch="312" w:charSpace="0"/>
        </w:sectPr>
      </w:pPr>
      <w:r>
        <w:rPr>
          <w:bCs/>
          <w:caps/>
          <w:color w:val="auto"/>
        </w:rPr>
        <w:fldChar w:fldCharType="end"/>
      </w:r>
    </w:p>
    <w:p>
      <w:pPr>
        <w:ind w:firstLine="0" w:firstLineChars="0"/>
        <w:jc w:val="center"/>
        <w:rPr>
          <w:b/>
          <w:color w:val="auto"/>
          <w:sz w:val="32"/>
          <w:szCs w:val="32"/>
        </w:rPr>
      </w:pPr>
      <w:r>
        <w:rPr>
          <w:b/>
          <w:color w:val="auto"/>
          <w:sz w:val="32"/>
          <w:szCs w:val="32"/>
        </w:rPr>
        <w:t>Contents</w:t>
      </w:r>
    </w:p>
    <w:p>
      <w:pPr>
        <w:ind w:firstLine="0" w:firstLineChars="0"/>
        <w:jc w:val="center"/>
        <w:rPr>
          <w:color w:val="auto"/>
          <w:sz w:val="32"/>
          <w:szCs w:val="32"/>
        </w:rPr>
      </w:pPr>
    </w:p>
    <w:p>
      <w:pPr>
        <w:ind w:firstLine="0" w:firstLineChars="0"/>
        <w:jc w:val="left"/>
        <w:rPr>
          <w:color w:val="auto"/>
        </w:rPr>
      </w:pPr>
      <w:r>
        <w:rPr>
          <w:color w:val="auto"/>
        </w:rPr>
        <w:t>1    General provisions   ………………………………………………………………1</w:t>
      </w:r>
    </w:p>
    <w:p>
      <w:pPr>
        <w:ind w:firstLine="0" w:firstLineChars="0"/>
        <w:jc w:val="left"/>
        <w:rPr>
          <w:rFonts w:hint="eastAsia" w:eastAsia="宋体"/>
          <w:color w:val="auto"/>
          <w:lang w:eastAsia="zh-CN"/>
        </w:rPr>
      </w:pPr>
      <w:r>
        <w:rPr>
          <w:color w:val="auto"/>
        </w:rPr>
        <w:t xml:space="preserve">2    Terms </w:t>
      </w:r>
      <w:r>
        <w:rPr>
          <w:rFonts w:hint="eastAsia"/>
          <w:color w:val="auto"/>
        </w:rPr>
        <w:t>a</w:t>
      </w:r>
      <w:r>
        <w:rPr>
          <w:color w:val="auto"/>
        </w:rPr>
        <w:t>nd Abbreviations …………………………………………………………</w:t>
      </w:r>
      <w:r>
        <w:rPr>
          <w:rFonts w:hint="eastAsia"/>
          <w:color w:val="auto"/>
          <w:lang w:val="en-US" w:eastAsia="zh-CN"/>
        </w:rPr>
        <w:t>2</w:t>
      </w:r>
    </w:p>
    <w:p>
      <w:pPr>
        <w:ind w:firstLine="283" w:firstLineChars="135"/>
        <w:jc w:val="left"/>
        <w:rPr>
          <w:rFonts w:hint="eastAsia" w:eastAsia="宋体"/>
          <w:color w:val="auto"/>
          <w:sz w:val="21"/>
          <w:szCs w:val="21"/>
          <w:lang w:eastAsia="zh-CN"/>
        </w:rPr>
      </w:pPr>
      <w:r>
        <w:rPr>
          <w:color w:val="auto"/>
          <w:sz w:val="21"/>
          <w:szCs w:val="21"/>
        </w:rPr>
        <w:t>2.1   Terms   ……………………………………………………………………………………</w:t>
      </w:r>
      <w:r>
        <w:rPr>
          <w:rFonts w:hint="eastAsia"/>
          <w:color w:val="auto"/>
          <w:sz w:val="21"/>
          <w:szCs w:val="21"/>
          <w:lang w:val="en-US" w:eastAsia="zh-CN"/>
        </w:rPr>
        <w:t>2</w:t>
      </w:r>
    </w:p>
    <w:p>
      <w:pPr>
        <w:ind w:firstLine="283" w:firstLineChars="135"/>
        <w:jc w:val="left"/>
        <w:rPr>
          <w:rFonts w:hint="eastAsia" w:eastAsia="宋体"/>
          <w:color w:val="auto"/>
          <w:lang w:eastAsia="zh-CN"/>
        </w:rPr>
      </w:pPr>
      <w:r>
        <w:rPr>
          <w:color w:val="auto"/>
          <w:sz w:val="21"/>
          <w:szCs w:val="21"/>
        </w:rPr>
        <w:t>2.2   Abbreviations   ……………………………………………………………………………</w:t>
      </w:r>
      <w:r>
        <w:rPr>
          <w:rFonts w:hint="eastAsia"/>
          <w:color w:val="auto"/>
          <w:sz w:val="21"/>
          <w:szCs w:val="21"/>
          <w:lang w:val="en-US" w:eastAsia="zh-CN"/>
        </w:rPr>
        <w:t>3</w:t>
      </w:r>
    </w:p>
    <w:p>
      <w:pPr>
        <w:ind w:firstLine="0" w:firstLineChars="0"/>
        <w:jc w:val="left"/>
        <w:rPr>
          <w:rFonts w:hint="eastAsia" w:eastAsia="宋体"/>
          <w:color w:val="auto"/>
          <w:lang w:eastAsia="zh-CN"/>
        </w:rPr>
      </w:pPr>
      <w:r>
        <w:rPr>
          <w:color w:val="auto"/>
        </w:rPr>
        <w:t xml:space="preserve">3    Basic requirements  ……………………………………………………………… </w:t>
      </w:r>
      <w:r>
        <w:rPr>
          <w:rFonts w:hint="eastAsia"/>
          <w:color w:val="auto"/>
          <w:lang w:val="en-US" w:eastAsia="zh-CN"/>
        </w:rPr>
        <w:t>5</w:t>
      </w:r>
    </w:p>
    <w:p>
      <w:pPr>
        <w:ind w:firstLine="0" w:firstLineChars="0"/>
        <w:jc w:val="left"/>
        <w:rPr>
          <w:rFonts w:hint="default" w:eastAsia="宋体"/>
          <w:color w:val="auto"/>
          <w:lang w:val="en-US" w:eastAsia="zh-CN"/>
        </w:rPr>
      </w:pPr>
      <w:r>
        <w:rPr>
          <w:color w:val="auto"/>
        </w:rPr>
        <w:t xml:space="preserve">4  </w:t>
      </w:r>
      <w:r>
        <w:rPr>
          <w:rFonts w:hint="eastAsia"/>
          <w:color w:val="auto"/>
        </w:rPr>
        <w:t xml:space="preserve"> </w:t>
      </w:r>
      <w:r>
        <w:rPr>
          <w:color w:val="auto"/>
        </w:rPr>
        <w:t xml:space="preserve">Collaborative </w:t>
      </w:r>
      <w:r>
        <w:rPr>
          <w:color w:val="auto"/>
          <w:sz w:val="21"/>
          <w:szCs w:val="21"/>
        </w:rPr>
        <w:t>management</w:t>
      </w:r>
      <w:r>
        <w:rPr>
          <w:rFonts w:hint="eastAsia"/>
          <w:color w:val="auto"/>
          <w:sz w:val="21"/>
          <w:szCs w:val="21"/>
        </w:rPr>
        <w:t xml:space="preserve">  </w:t>
      </w:r>
      <w:r>
        <w:rPr>
          <w:rFonts w:hint="eastAsia"/>
          <w:color w:val="auto"/>
          <w:sz w:val="21"/>
          <w:szCs w:val="21"/>
          <w:lang w:val="en-US" w:eastAsia="zh-CN"/>
        </w:rPr>
        <w:t xml:space="preserve"> </w:t>
      </w:r>
      <w:r>
        <w:rPr>
          <w:color w:val="auto"/>
        </w:rPr>
        <w:t xml:space="preserve">………………………………………………………  </w:t>
      </w:r>
      <w:r>
        <w:rPr>
          <w:rFonts w:hint="eastAsia"/>
          <w:color w:val="auto"/>
          <w:lang w:val="en-US" w:eastAsia="zh-CN"/>
        </w:rPr>
        <w:t>7</w:t>
      </w:r>
    </w:p>
    <w:p>
      <w:pPr>
        <w:ind w:firstLine="283" w:firstLineChars="135"/>
        <w:jc w:val="left"/>
        <w:rPr>
          <w:rFonts w:hint="default" w:eastAsia="宋体"/>
          <w:color w:val="auto"/>
          <w:lang w:val="en-US" w:eastAsia="zh-CN"/>
        </w:rPr>
      </w:pPr>
      <w:r>
        <w:rPr>
          <w:color w:val="auto"/>
          <w:sz w:val="21"/>
          <w:szCs w:val="21"/>
        </w:rPr>
        <w:t xml:space="preserve">4.1   General requirements  </w:t>
      </w:r>
      <w:r>
        <w:rPr>
          <w:rFonts w:hint="eastAsia"/>
          <w:color w:val="auto"/>
          <w:sz w:val="21"/>
          <w:szCs w:val="21"/>
          <w:lang w:val="en-US" w:eastAsia="zh-CN"/>
        </w:rPr>
        <w:t xml:space="preserve"> </w:t>
      </w:r>
      <w:r>
        <w:rPr>
          <w:color w:val="auto"/>
        </w:rPr>
        <w:t xml:space="preserve">………………………………………………………… </w:t>
      </w:r>
      <w:r>
        <w:rPr>
          <w:rFonts w:hint="eastAsia"/>
          <w:color w:val="auto"/>
          <w:lang w:val="en-US" w:eastAsia="zh-CN"/>
        </w:rPr>
        <w:t>7</w:t>
      </w:r>
    </w:p>
    <w:p>
      <w:pPr>
        <w:ind w:firstLine="283" w:firstLineChars="135"/>
        <w:jc w:val="left"/>
        <w:rPr>
          <w:color w:val="auto"/>
          <w:sz w:val="21"/>
          <w:szCs w:val="21"/>
        </w:rPr>
      </w:pPr>
      <w:r>
        <w:rPr>
          <w:rFonts w:hint="eastAsia"/>
          <w:color w:val="auto"/>
          <w:sz w:val="21"/>
          <w:szCs w:val="21"/>
          <w:lang w:val="en-US" w:eastAsia="zh-CN"/>
        </w:rPr>
        <w:t>4</w:t>
      </w:r>
      <w:r>
        <w:rPr>
          <w:color w:val="auto"/>
          <w:sz w:val="21"/>
          <w:szCs w:val="21"/>
        </w:rPr>
        <w:t xml:space="preserve">.2   Application planning  </w:t>
      </w:r>
      <w:r>
        <w:rPr>
          <w:color w:val="auto"/>
        </w:rPr>
        <w:t xml:space="preserve">…………………………………………………………   </w:t>
      </w:r>
      <w:r>
        <w:rPr>
          <w:rFonts w:hint="eastAsia"/>
          <w:color w:val="auto"/>
          <w:lang w:val="en-US" w:eastAsia="zh-CN"/>
        </w:rPr>
        <w:t>7</w:t>
      </w:r>
      <w:r>
        <w:rPr>
          <w:color w:val="auto"/>
        </w:rPr>
        <w:t xml:space="preserve"> </w:t>
      </w:r>
    </w:p>
    <w:p>
      <w:pPr>
        <w:ind w:firstLine="283" w:firstLineChars="135"/>
        <w:jc w:val="left"/>
        <w:rPr>
          <w:rFonts w:hint="default" w:eastAsia="宋体"/>
          <w:color w:val="auto"/>
          <w:lang w:val="en-US" w:eastAsia="zh-CN"/>
        </w:rPr>
      </w:pPr>
      <w:r>
        <w:rPr>
          <w:rFonts w:hint="eastAsia"/>
          <w:color w:val="auto"/>
          <w:sz w:val="21"/>
          <w:szCs w:val="21"/>
          <w:lang w:val="en-US" w:eastAsia="zh-CN"/>
        </w:rPr>
        <w:t>4</w:t>
      </w:r>
      <w:r>
        <w:rPr>
          <w:color w:val="auto"/>
          <w:sz w:val="21"/>
          <w:szCs w:val="21"/>
        </w:rPr>
        <w:t>.3   Data environment</w:t>
      </w:r>
      <w:r>
        <w:rPr>
          <w:rFonts w:hint="eastAsia"/>
          <w:color w:val="auto"/>
          <w:sz w:val="21"/>
          <w:szCs w:val="21"/>
        </w:rPr>
        <w:t xml:space="preserve">  </w:t>
      </w:r>
      <w:r>
        <w:rPr>
          <w:color w:val="auto"/>
        </w:rPr>
        <w:t xml:space="preserve">…………………………………………………………… </w:t>
      </w:r>
      <w:r>
        <w:rPr>
          <w:rFonts w:hint="eastAsia"/>
          <w:color w:val="auto"/>
        </w:rPr>
        <w:t xml:space="preserve">  </w:t>
      </w:r>
      <w:r>
        <w:rPr>
          <w:rFonts w:hint="eastAsia"/>
          <w:color w:val="auto"/>
          <w:lang w:val="en-US" w:eastAsia="zh-CN"/>
        </w:rPr>
        <w:t>9</w:t>
      </w:r>
    </w:p>
    <w:p>
      <w:pPr>
        <w:ind w:firstLine="283" w:firstLineChars="135"/>
        <w:jc w:val="left"/>
        <w:rPr>
          <w:rFonts w:hint="default" w:eastAsia="宋体"/>
          <w:color w:val="auto"/>
          <w:lang w:val="en-US" w:eastAsia="zh-CN"/>
        </w:rPr>
      </w:pPr>
      <w:r>
        <w:rPr>
          <w:rFonts w:hint="eastAsia"/>
          <w:color w:val="auto"/>
          <w:sz w:val="21"/>
          <w:szCs w:val="21"/>
          <w:lang w:val="en-US" w:eastAsia="zh-CN"/>
        </w:rPr>
        <w:t>4</w:t>
      </w:r>
      <w:r>
        <w:rPr>
          <w:color w:val="auto"/>
          <w:sz w:val="21"/>
          <w:szCs w:val="21"/>
        </w:rPr>
        <w:t>.</w:t>
      </w:r>
      <w:r>
        <w:rPr>
          <w:rFonts w:hint="eastAsia"/>
          <w:color w:val="auto"/>
          <w:sz w:val="21"/>
          <w:szCs w:val="21"/>
        </w:rPr>
        <w:t>4</w:t>
      </w:r>
      <w:r>
        <w:rPr>
          <w:color w:val="auto"/>
          <w:sz w:val="21"/>
          <w:szCs w:val="21"/>
        </w:rPr>
        <w:t xml:space="preserve">   Data interoperability</w:t>
      </w:r>
      <w:r>
        <w:rPr>
          <w:rFonts w:hint="eastAsia"/>
          <w:color w:val="auto"/>
          <w:sz w:val="21"/>
          <w:szCs w:val="21"/>
        </w:rPr>
        <w:t xml:space="preserve">   </w:t>
      </w:r>
      <w:r>
        <w:rPr>
          <w:color w:val="auto"/>
        </w:rPr>
        <w:t xml:space="preserve">………………………………………………………… </w:t>
      </w:r>
      <w:r>
        <w:rPr>
          <w:rFonts w:hint="eastAsia"/>
          <w:color w:val="auto"/>
          <w:lang w:val="en-US" w:eastAsia="zh-CN"/>
        </w:rPr>
        <w:t>10</w:t>
      </w:r>
    </w:p>
    <w:p>
      <w:pPr>
        <w:ind w:firstLine="283" w:firstLineChars="135"/>
        <w:jc w:val="left"/>
        <w:rPr>
          <w:rFonts w:hint="default" w:eastAsia="宋体"/>
          <w:color w:val="auto"/>
          <w:lang w:val="en-US" w:eastAsia="zh-CN"/>
        </w:rPr>
      </w:pPr>
      <w:r>
        <w:rPr>
          <w:rFonts w:hint="eastAsia"/>
          <w:color w:val="auto"/>
          <w:sz w:val="21"/>
          <w:szCs w:val="21"/>
          <w:lang w:val="en-US" w:eastAsia="zh-CN"/>
        </w:rPr>
        <w:t>4</w:t>
      </w:r>
      <w:r>
        <w:rPr>
          <w:color w:val="auto"/>
          <w:sz w:val="21"/>
          <w:szCs w:val="21"/>
        </w:rPr>
        <w:t>.</w:t>
      </w:r>
      <w:r>
        <w:rPr>
          <w:rFonts w:hint="eastAsia"/>
          <w:color w:val="auto"/>
          <w:sz w:val="21"/>
          <w:szCs w:val="21"/>
        </w:rPr>
        <w:t>5</w:t>
      </w:r>
      <w:r>
        <w:rPr>
          <w:color w:val="auto"/>
          <w:sz w:val="21"/>
          <w:szCs w:val="21"/>
        </w:rPr>
        <w:t xml:space="preserve">   Data security  </w:t>
      </w:r>
      <w:r>
        <w:rPr>
          <w:color w:val="auto"/>
        </w:rPr>
        <w:t xml:space="preserve">………………………………………………………………… </w:t>
      </w:r>
      <w:r>
        <w:rPr>
          <w:rFonts w:hint="eastAsia"/>
          <w:color w:val="auto"/>
          <w:lang w:val="en-US" w:eastAsia="zh-CN"/>
        </w:rPr>
        <w:t>10</w:t>
      </w:r>
    </w:p>
    <w:p>
      <w:pPr>
        <w:ind w:firstLine="283" w:firstLineChars="135"/>
        <w:jc w:val="left"/>
        <w:rPr>
          <w:rFonts w:hint="default" w:eastAsia="宋体"/>
          <w:color w:val="auto"/>
          <w:sz w:val="21"/>
          <w:szCs w:val="21"/>
          <w:lang w:val="en-US" w:eastAsia="zh-CN"/>
        </w:rPr>
      </w:pPr>
      <w:r>
        <w:rPr>
          <w:color w:val="auto"/>
          <w:sz w:val="21"/>
          <w:szCs w:val="21"/>
        </w:rPr>
        <w:t>4.</w:t>
      </w:r>
      <w:r>
        <w:rPr>
          <w:rFonts w:hint="eastAsia"/>
          <w:color w:val="auto"/>
          <w:sz w:val="21"/>
          <w:szCs w:val="21"/>
          <w:lang w:val="en-US" w:eastAsia="zh-CN"/>
        </w:rPr>
        <w:t>6</w:t>
      </w:r>
      <w:r>
        <w:rPr>
          <w:color w:val="auto"/>
          <w:sz w:val="21"/>
          <w:szCs w:val="21"/>
        </w:rPr>
        <w:t xml:space="preserve">  </w:t>
      </w:r>
      <w:r>
        <w:rPr>
          <w:rFonts w:hint="eastAsia"/>
          <w:color w:val="auto"/>
          <w:sz w:val="21"/>
          <w:szCs w:val="21"/>
        </w:rPr>
        <w:t>Model creating</w:t>
      </w:r>
      <w:r>
        <w:rPr>
          <w:color w:val="auto"/>
          <w:sz w:val="21"/>
          <w:szCs w:val="21"/>
        </w:rPr>
        <w:t xml:space="preserve"> </w:t>
      </w:r>
      <w:r>
        <w:rPr>
          <w:rFonts w:hint="eastAsia"/>
          <w:color w:val="auto"/>
          <w:sz w:val="21"/>
          <w:szCs w:val="21"/>
        </w:rPr>
        <w:t xml:space="preserve"> </w:t>
      </w:r>
      <w:r>
        <w:rPr>
          <w:color w:val="auto"/>
          <w:sz w:val="21"/>
          <w:szCs w:val="21"/>
        </w:rPr>
        <w:t xml:space="preserve"> </w:t>
      </w:r>
      <w:r>
        <w:rPr>
          <w:color w:val="auto"/>
        </w:rPr>
        <w:t xml:space="preserve">……………………………………………………………… </w:t>
      </w:r>
      <w:r>
        <w:rPr>
          <w:rFonts w:hint="eastAsia"/>
          <w:color w:val="auto"/>
          <w:lang w:val="en-US" w:eastAsia="zh-CN"/>
        </w:rPr>
        <w:t xml:space="preserve"> 12</w:t>
      </w:r>
    </w:p>
    <w:p>
      <w:pPr>
        <w:ind w:firstLine="283" w:firstLineChars="135"/>
        <w:jc w:val="left"/>
        <w:rPr>
          <w:rFonts w:hint="default" w:eastAsia="宋体"/>
          <w:color w:val="auto"/>
          <w:sz w:val="21"/>
          <w:szCs w:val="21"/>
          <w:lang w:val="en-US" w:eastAsia="zh-CN"/>
        </w:rPr>
      </w:pPr>
      <w:r>
        <w:rPr>
          <w:color w:val="auto"/>
          <w:sz w:val="21"/>
          <w:szCs w:val="21"/>
        </w:rPr>
        <w:t>4.</w:t>
      </w:r>
      <w:r>
        <w:rPr>
          <w:rFonts w:hint="eastAsia"/>
          <w:color w:val="auto"/>
          <w:sz w:val="21"/>
          <w:szCs w:val="21"/>
          <w:lang w:val="en-US" w:eastAsia="zh-CN"/>
        </w:rPr>
        <w:t>7</w:t>
      </w:r>
      <w:r>
        <w:rPr>
          <w:color w:val="auto"/>
          <w:sz w:val="21"/>
          <w:szCs w:val="21"/>
        </w:rPr>
        <w:t xml:space="preserve">  Delivery collaboration  </w:t>
      </w:r>
      <w:r>
        <w:rPr>
          <w:color w:val="auto"/>
        </w:rPr>
        <w:t xml:space="preserve">………………………………………………………… </w:t>
      </w:r>
      <w:r>
        <w:rPr>
          <w:rFonts w:hint="eastAsia"/>
          <w:color w:val="auto"/>
          <w:lang w:val="en-US" w:eastAsia="zh-CN"/>
        </w:rPr>
        <w:t>12</w:t>
      </w:r>
    </w:p>
    <w:p>
      <w:pPr>
        <w:ind w:firstLine="283" w:firstLineChars="135"/>
        <w:jc w:val="left"/>
        <w:rPr>
          <w:rFonts w:hint="default" w:eastAsia="宋体"/>
          <w:color w:val="auto"/>
          <w:sz w:val="21"/>
          <w:szCs w:val="21"/>
          <w:lang w:val="en-US" w:eastAsia="zh-CN"/>
        </w:rPr>
      </w:pPr>
      <w:r>
        <w:rPr>
          <w:color w:val="auto"/>
          <w:sz w:val="21"/>
          <w:szCs w:val="21"/>
        </w:rPr>
        <w:t>4.</w:t>
      </w:r>
      <w:r>
        <w:rPr>
          <w:rFonts w:hint="eastAsia"/>
          <w:color w:val="auto"/>
          <w:sz w:val="21"/>
          <w:szCs w:val="21"/>
          <w:lang w:val="en-US" w:eastAsia="zh-CN"/>
        </w:rPr>
        <w:t>8</w:t>
      </w:r>
      <w:r>
        <w:rPr>
          <w:color w:val="auto"/>
          <w:sz w:val="21"/>
          <w:szCs w:val="21"/>
        </w:rPr>
        <w:t xml:space="preserve">  </w:t>
      </w:r>
      <w:r>
        <w:rPr>
          <w:rFonts w:hint="eastAsia"/>
          <w:color w:val="auto"/>
          <w:sz w:val="21"/>
          <w:szCs w:val="21"/>
          <w:lang w:val="en-US" w:eastAsia="zh-CN"/>
        </w:rPr>
        <w:t xml:space="preserve">model </w:t>
      </w:r>
      <w:r>
        <w:rPr>
          <w:color w:val="auto"/>
          <w:sz w:val="21"/>
          <w:szCs w:val="21"/>
        </w:rPr>
        <w:t xml:space="preserve">Collaborative management </w:t>
      </w:r>
      <w:r>
        <w:rPr>
          <w:rFonts w:hint="eastAsia"/>
          <w:color w:val="auto"/>
          <w:sz w:val="21"/>
          <w:szCs w:val="21"/>
        </w:rPr>
        <w:t xml:space="preserve"> </w:t>
      </w:r>
      <w:r>
        <w:rPr>
          <w:color w:val="auto"/>
        </w:rPr>
        <w:t xml:space="preserve">……………………………………………… </w:t>
      </w:r>
      <w:r>
        <w:rPr>
          <w:rFonts w:hint="eastAsia"/>
          <w:color w:val="auto"/>
          <w:lang w:val="en-US" w:eastAsia="zh-CN"/>
        </w:rPr>
        <w:t>13</w:t>
      </w:r>
    </w:p>
    <w:p>
      <w:pPr>
        <w:ind w:firstLine="0" w:firstLineChars="0"/>
        <w:jc w:val="left"/>
        <w:rPr>
          <w:rFonts w:hint="default" w:eastAsia="宋体"/>
          <w:color w:val="auto"/>
          <w:lang w:val="en-US" w:eastAsia="zh-CN"/>
        </w:rPr>
      </w:pPr>
      <w:r>
        <w:rPr>
          <w:color w:val="auto"/>
        </w:rPr>
        <w:t xml:space="preserve">5   Engineering early stage …………………………………………………………  </w:t>
      </w:r>
      <w:r>
        <w:rPr>
          <w:rFonts w:hint="eastAsia"/>
          <w:color w:val="auto"/>
          <w:lang w:val="en-US" w:eastAsia="zh-CN"/>
        </w:rPr>
        <w:t>15</w:t>
      </w:r>
    </w:p>
    <w:p>
      <w:pPr>
        <w:ind w:firstLine="283" w:firstLineChars="135"/>
        <w:jc w:val="left"/>
        <w:rPr>
          <w:rFonts w:hint="default" w:eastAsia="宋体"/>
          <w:color w:val="auto"/>
          <w:sz w:val="21"/>
          <w:szCs w:val="21"/>
          <w:lang w:val="en-US" w:eastAsia="zh-CN"/>
        </w:rPr>
      </w:pPr>
      <w:r>
        <w:rPr>
          <w:color w:val="auto"/>
          <w:sz w:val="21"/>
          <w:szCs w:val="21"/>
        </w:rPr>
        <w:t xml:space="preserve">5.1   General requirements  </w:t>
      </w:r>
      <w:r>
        <w:rPr>
          <w:color w:val="auto"/>
        </w:rPr>
        <w:t xml:space="preserve">…………………………………………………………  </w:t>
      </w:r>
      <w:r>
        <w:rPr>
          <w:rFonts w:hint="eastAsia"/>
          <w:color w:val="auto"/>
          <w:lang w:val="en-US" w:eastAsia="zh-CN"/>
        </w:rPr>
        <w:t>15</w:t>
      </w:r>
    </w:p>
    <w:p>
      <w:pPr>
        <w:ind w:firstLine="283" w:firstLineChars="135"/>
        <w:jc w:val="left"/>
        <w:rPr>
          <w:rFonts w:hint="default" w:eastAsia="宋体"/>
          <w:color w:val="auto"/>
          <w:sz w:val="21"/>
          <w:szCs w:val="21"/>
          <w:lang w:val="en-US" w:eastAsia="zh-CN"/>
        </w:rPr>
      </w:pPr>
      <w:r>
        <w:rPr>
          <w:color w:val="auto"/>
          <w:sz w:val="21"/>
          <w:szCs w:val="21"/>
        </w:rPr>
        <w:t xml:space="preserve">5.2   Engineering early stage application   </w:t>
      </w:r>
      <w:r>
        <w:rPr>
          <w:color w:val="auto"/>
        </w:rPr>
        <w:t xml:space="preserve">……………………………………………  </w:t>
      </w:r>
      <w:r>
        <w:rPr>
          <w:rFonts w:hint="eastAsia"/>
          <w:color w:val="auto"/>
          <w:lang w:val="en-US" w:eastAsia="zh-CN"/>
        </w:rPr>
        <w:t>16</w:t>
      </w:r>
    </w:p>
    <w:p>
      <w:pPr>
        <w:ind w:firstLine="0" w:firstLineChars="0"/>
        <w:jc w:val="left"/>
        <w:rPr>
          <w:color w:val="auto"/>
        </w:rPr>
      </w:pPr>
      <w:r>
        <w:rPr>
          <w:color w:val="auto"/>
        </w:rPr>
        <w:t xml:space="preserve">6   Investigation and design stage  …………………………………………………  </w:t>
      </w:r>
      <w:r>
        <w:rPr>
          <w:rFonts w:hint="eastAsia"/>
          <w:color w:val="auto"/>
          <w:lang w:val="en-US" w:eastAsia="zh-CN"/>
        </w:rPr>
        <w:t>1</w:t>
      </w:r>
      <w:r>
        <w:rPr>
          <w:color w:val="auto"/>
        </w:rPr>
        <w:t>7</w:t>
      </w:r>
    </w:p>
    <w:p>
      <w:pPr>
        <w:ind w:firstLine="283" w:firstLineChars="135"/>
        <w:jc w:val="left"/>
        <w:rPr>
          <w:color w:val="auto"/>
          <w:sz w:val="21"/>
          <w:szCs w:val="21"/>
        </w:rPr>
      </w:pPr>
      <w:r>
        <w:rPr>
          <w:color w:val="auto"/>
          <w:sz w:val="21"/>
          <w:szCs w:val="21"/>
        </w:rPr>
        <w:t xml:space="preserve">6.1   General requirements  </w:t>
      </w:r>
      <w:r>
        <w:rPr>
          <w:color w:val="auto"/>
        </w:rPr>
        <w:t xml:space="preserve">…………………………………………………………  </w:t>
      </w:r>
      <w:r>
        <w:rPr>
          <w:rFonts w:hint="eastAsia"/>
          <w:color w:val="auto"/>
          <w:lang w:val="en-US" w:eastAsia="zh-CN"/>
        </w:rPr>
        <w:t>1</w:t>
      </w:r>
      <w:r>
        <w:rPr>
          <w:color w:val="auto"/>
        </w:rPr>
        <w:t>7</w:t>
      </w:r>
    </w:p>
    <w:p>
      <w:pPr>
        <w:ind w:firstLine="283" w:firstLineChars="135"/>
        <w:jc w:val="left"/>
        <w:rPr>
          <w:rFonts w:hint="eastAsia" w:eastAsia="宋体"/>
          <w:color w:val="auto"/>
          <w:sz w:val="21"/>
          <w:szCs w:val="21"/>
          <w:lang w:eastAsia="zh-CN"/>
        </w:rPr>
      </w:pPr>
      <w:r>
        <w:rPr>
          <w:color w:val="auto"/>
          <w:sz w:val="21"/>
          <w:szCs w:val="21"/>
        </w:rPr>
        <w:t xml:space="preserve">6.2   Investigation stage application </w:t>
      </w:r>
      <w:r>
        <w:rPr>
          <w:color w:val="auto"/>
        </w:rPr>
        <w:t xml:space="preserve">…………………………………………………  </w:t>
      </w:r>
      <w:r>
        <w:rPr>
          <w:rFonts w:hint="eastAsia"/>
          <w:color w:val="auto"/>
          <w:lang w:val="en-US" w:eastAsia="zh-CN"/>
        </w:rPr>
        <w:t>17</w:t>
      </w:r>
    </w:p>
    <w:p>
      <w:pPr>
        <w:ind w:firstLine="283" w:firstLineChars="135"/>
        <w:jc w:val="left"/>
        <w:rPr>
          <w:rFonts w:hint="default" w:eastAsia="宋体"/>
          <w:color w:val="auto"/>
          <w:sz w:val="21"/>
          <w:szCs w:val="21"/>
          <w:lang w:val="en-US" w:eastAsia="zh-CN"/>
        </w:rPr>
      </w:pPr>
      <w:r>
        <w:rPr>
          <w:color w:val="auto"/>
          <w:sz w:val="21"/>
          <w:szCs w:val="21"/>
        </w:rPr>
        <w:t xml:space="preserve">6.3   Design stage application  </w:t>
      </w:r>
      <w:r>
        <w:rPr>
          <w:color w:val="auto"/>
        </w:rPr>
        <w:t xml:space="preserve">………………………………………………………  </w:t>
      </w:r>
      <w:r>
        <w:rPr>
          <w:rFonts w:hint="eastAsia"/>
          <w:color w:val="auto"/>
          <w:lang w:val="en-US" w:eastAsia="zh-CN"/>
        </w:rPr>
        <w:t>18</w:t>
      </w:r>
    </w:p>
    <w:p>
      <w:pPr>
        <w:ind w:firstLine="283" w:firstLineChars="135"/>
        <w:jc w:val="left"/>
        <w:rPr>
          <w:rFonts w:hint="default" w:eastAsia="宋体"/>
          <w:color w:val="auto"/>
          <w:sz w:val="21"/>
          <w:szCs w:val="21"/>
          <w:lang w:val="en-US" w:eastAsia="zh-CN"/>
        </w:rPr>
      </w:pPr>
      <w:r>
        <w:rPr>
          <w:color w:val="auto"/>
          <w:sz w:val="21"/>
          <w:szCs w:val="21"/>
        </w:rPr>
        <w:t xml:space="preserve">6.4   Collaborative application  </w:t>
      </w:r>
      <w:r>
        <w:rPr>
          <w:color w:val="auto"/>
        </w:rPr>
        <w:t xml:space="preserve">……………………………………………………… </w:t>
      </w:r>
      <w:r>
        <w:rPr>
          <w:rFonts w:hint="eastAsia"/>
          <w:color w:val="auto"/>
          <w:lang w:val="en-US" w:eastAsia="zh-CN"/>
        </w:rPr>
        <w:t>20</w:t>
      </w:r>
    </w:p>
    <w:p>
      <w:pPr>
        <w:ind w:firstLine="283" w:firstLineChars="135"/>
        <w:jc w:val="left"/>
        <w:rPr>
          <w:rFonts w:hint="default" w:eastAsia="宋体"/>
          <w:color w:val="auto"/>
          <w:lang w:val="en-US" w:eastAsia="zh-CN"/>
        </w:rPr>
      </w:pPr>
      <w:r>
        <w:rPr>
          <w:color w:val="auto"/>
          <w:sz w:val="21"/>
          <w:szCs w:val="21"/>
        </w:rPr>
        <w:t xml:space="preserve">6.5   Delivery preparation   </w:t>
      </w:r>
      <w:r>
        <w:rPr>
          <w:color w:val="auto"/>
        </w:rPr>
        <w:t xml:space="preserve">…………………………………………………………  </w:t>
      </w:r>
      <w:r>
        <w:rPr>
          <w:rFonts w:hint="eastAsia"/>
          <w:color w:val="auto"/>
          <w:lang w:val="en-US" w:eastAsia="zh-CN"/>
        </w:rPr>
        <w:t>20</w:t>
      </w:r>
    </w:p>
    <w:p>
      <w:pPr>
        <w:ind w:firstLine="283" w:firstLineChars="135"/>
        <w:jc w:val="left"/>
        <w:rPr>
          <w:rFonts w:hint="default" w:eastAsia="宋体"/>
          <w:color w:val="auto"/>
          <w:lang w:val="en-US" w:eastAsia="zh-CN"/>
        </w:rPr>
      </w:pPr>
      <w:r>
        <w:rPr>
          <w:color w:val="auto"/>
          <w:sz w:val="21"/>
          <w:szCs w:val="21"/>
        </w:rPr>
        <w:t>6.</w:t>
      </w:r>
      <w:r>
        <w:rPr>
          <w:rFonts w:hint="eastAsia"/>
          <w:color w:val="auto"/>
          <w:sz w:val="21"/>
          <w:szCs w:val="21"/>
        </w:rPr>
        <w:t>6</w:t>
      </w:r>
      <w:r>
        <w:rPr>
          <w:color w:val="auto"/>
          <w:sz w:val="21"/>
          <w:szCs w:val="21"/>
        </w:rPr>
        <w:t xml:space="preserve">   </w:t>
      </w:r>
      <w:r>
        <w:rPr>
          <w:rFonts w:hint="eastAsia"/>
          <w:color w:val="auto"/>
          <w:sz w:val="21"/>
          <w:szCs w:val="21"/>
        </w:rPr>
        <w:t xml:space="preserve">Archiving of design achievements </w:t>
      </w:r>
      <w:r>
        <w:rPr>
          <w:color w:val="auto"/>
        </w:rPr>
        <w:t>………………………………………………</w:t>
      </w:r>
      <w:r>
        <w:rPr>
          <w:rFonts w:hint="eastAsia"/>
          <w:color w:val="auto"/>
        </w:rPr>
        <w:t xml:space="preserve"> </w:t>
      </w:r>
      <w:r>
        <w:rPr>
          <w:rFonts w:hint="eastAsia"/>
          <w:color w:val="auto"/>
          <w:lang w:val="en-US" w:eastAsia="zh-CN"/>
        </w:rPr>
        <w:t>21</w:t>
      </w:r>
    </w:p>
    <w:p>
      <w:pPr>
        <w:ind w:firstLine="0" w:firstLineChars="0"/>
        <w:jc w:val="left"/>
        <w:rPr>
          <w:rFonts w:hint="default" w:eastAsia="宋体"/>
          <w:color w:val="auto"/>
          <w:lang w:val="en-US" w:eastAsia="zh-CN"/>
        </w:rPr>
      </w:pPr>
      <w:r>
        <w:rPr>
          <w:color w:val="auto"/>
        </w:rPr>
        <w:t xml:space="preserve">7   Construction stage ……………………………………………………………… </w:t>
      </w:r>
      <w:r>
        <w:rPr>
          <w:rFonts w:hint="eastAsia"/>
          <w:color w:val="auto"/>
          <w:lang w:val="en-US" w:eastAsia="zh-CN"/>
        </w:rPr>
        <w:t>22</w:t>
      </w:r>
    </w:p>
    <w:p>
      <w:pPr>
        <w:ind w:firstLine="283" w:firstLineChars="135"/>
        <w:jc w:val="left"/>
        <w:rPr>
          <w:rFonts w:hint="default" w:eastAsia="宋体"/>
          <w:color w:val="auto"/>
          <w:sz w:val="21"/>
          <w:szCs w:val="21"/>
          <w:lang w:val="en-US" w:eastAsia="zh-CN"/>
        </w:rPr>
      </w:pPr>
      <w:r>
        <w:rPr>
          <w:color w:val="auto"/>
          <w:sz w:val="21"/>
          <w:szCs w:val="21"/>
        </w:rPr>
        <w:t xml:space="preserve">7.1   General requirements  </w:t>
      </w:r>
      <w:r>
        <w:rPr>
          <w:color w:val="auto"/>
        </w:rPr>
        <w:t xml:space="preserve">………………………………………………………… </w:t>
      </w:r>
      <w:r>
        <w:rPr>
          <w:rFonts w:hint="eastAsia"/>
          <w:color w:val="auto"/>
          <w:lang w:val="en-US" w:eastAsia="zh-CN"/>
        </w:rPr>
        <w:t>22</w:t>
      </w:r>
    </w:p>
    <w:p>
      <w:pPr>
        <w:ind w:firstLine="283" w:firstLineChars="135"/>
        <w:jc w:val="left"/>
        <w:rPr>
          <w:rFonts w:hint="default" w:eastAsia="宋体"/>
          <w:color w:val="auto"/>
          <w:sz w:val="21"/>
          <w:szCs w:val="21"/>
          <w:lang w:val="en-US" w:eastAsia="zh-CN"/>
        </w:rPr>
      </w:pPr>
      <w:r>
        <w:rPr>
          <w:color w:val="auto"/>
          <w:sz w:val="21"/>
          <w:szCs w:val="21"/>
        </w:rPr>
        <w:t xml:space="preserve">7.2   Detailed design  </w:t>
      </w:r>
      <w:r>
        <w:rPr>
          <w:color w:val="auto"/>
        </w:rPr>
        <w:t xml:space="preserve">………………………………………………………………  </w:t>
      </w:r>
      <w:r>
        <w:rPr>
          <w:rFonts w:hint="eastAsia"/>
          <w:color w:val="auto"/>
          <w:lang w:val="en-US" w:eastAsia="zh-CN"/>
        </w:rPr>
        <w:t>23</w:t>
      </w:r>
    </w:p>
    <w:p>
      <w:pPr>
        <w:ind w:firstLine="283" w:firstLineChars="135"/>
        <w:jc w:val="left"/>
        <w:rPr>
          <w:rFonts w:hint="default" w:eastAsia="宋体"/>
          <w:color w:val="auto"/>
          <w:sz w:val="21"/>
          <w:szCs w:val="21"/>
          <w:lang w:val="en-US" w:eastAsia="zh-CN"/>
        </w:rPr>
      </w:pPr>
      <w:r>
        <w:rPr>
          <w:color w:val="auto"/>
          <w:sz w:val="21"/>
          <w:szCs w:val="21"/>
        </w:rPr>
        <w:t xml:space="preserve">7.3   Construction application  </w:t>
      </w:r>
      <w:r>
        <w:rPr>
          <w:color w:val="auto"/>
        </w:rPr>
        <w:t xml:space="preserve">……………………………………………………… </w:t>
      </w:r>
      <w:r>
        <w:rPr>
          <w:rFonts w:hint="eastAsia"/>
          <w:color w:val="auto"/>
          <w:lang w:val="en-US" w:eastAsia="zh-CN"/>
        </w:rPr>
        <w:t>24</w:t>
      </w:r>
    </w:p>
    <w:p>
      <w:pPr>
        <w:ind w:firstLine="283" w:firstLineChars="135"/>
        <w:jc w:val="left"/>
        <w:rPr>
          <w:rFonts w:hint="default" w:eastAsia="宋体"/>
          <w:color w:val="auto"/>
          <w:sz w:val="21"/>
          <w:szCs w:val="21"/>
          <w:lang w:val="en-US" w:eastAsia="zh-CN"/>
        </w:rPr>
      </w:pPr>
      <w:r>
        <w:rPr>
          <w:color w:val="auto"/>
          <w:sz w:val="21"/>
          <w:szCs w:val="21"/>
        </w:rPr>
        <w:t xml:space="preserve">7.4   Engineering project management  </w:t>
      </w:r>
      <w:r>
        <w:rPr>
          <w:color w:val="auto"/>
        </w:rPr>
        <w:t xml:space="preserve">……………………………………………… </w:t>
      </w:r>
      <w:r>
        <w:rPr>
          <w:rFonts w:hint="eastAsia"/>
          <w:color w:val="auto"/>
          <w:lang w:val="en-US" w:eastAsia="zh-CN"/>
        </w:rPr>
        <w:t>24</w:t>
      </w:r>
    </w:p>
    <w:p>
      <w:pPr>
        <w:ind w:firstLine="283" w:firstLineChars="135"/>
        <w:jc w:val="left"/>
        <w:rPr>
          <w:rFonts w:hint="default" w:eastAsia="宋体"/>
          <w:color w:val="auto"/>
          <w:sz w:val="21"/>
          <w:szCs w:val="21"/>
          <w:lang w:val="en-US" w:eastAsia="zh-CN"/>
        </w:rPr>
      </w:pPr>
      <w:r>
        <w:rPr>
          <w:color w:val="auto"/>
          <w:sz w:val="21"/>
          <w:szCs w:val="21"/>
        </w:rPr>
        <w:t xml:space="preserve">7.5   Construction supervision </w:t>
      </w:r>
      <w:r>
        <w:rPr>
          <w:color w:val="auto"/>
        </w:rPr>
        <w:t xml:space="preserve">……………………………………………………… </w:t>
      </w:r>
      <w:r>
        <w:rPr>
          <w:rFonts w:hint="eastAsia"/>
          <w:color w:val="auto"/>
          <w:lang w:val="en-US" w:eastAsia="zh-CN"/>
        </w:rPr>
        <w:t>26</w:t>
      </w:r>
    </w:p>
    <w:p>
      <w:pPr>
        <w:ind w:firstLine="283" w:firstLineChars="135"/>
        <w:jc w:val="left"/>
        <w:rPr>
          <w:rFonts w:hint="default" w:eastAsia="宋体"/>
          <w:color w:val="auto"/>
          <w:sz w:val="21"/>
          <w:szCs w:val="21"/>
          <w:lang w:val="en-US" w:eastAsia="zh-CN"/>
        </w:rPr>
      </w:pPr>
      <w:r>
        <w:rPr>
          <w:color w:val="auto"/>
          <w:sz w:val="21"/>
          <w:szCs w:val="21"/>
        </w:rPr>
        <w:t xml:space="preserve">7.6   Construction monitoring  </w:t>
      </w:r>
      <w:r>
        <w:rPr>
          <w:color w:val="auto"/>
        </w:rPr>
        <w:t xml:space="preserve">……………………………………………………… </w:t>
      </w:r>
      <w:r>
        <w:rPr>
          <w:rFonts w:hint="eastAsia"/>
          <w:color w:val="auto"/>
          <w:lang w:val="en-US" w:eastAsia="zh-CN"/>
        </w:rPr>
        <w:t>27</w:t>
      </w:r>
    </w:p>
    <w:p>
      <w:pPr>
        <w:ind w:firstLine="283" w:firstLineChars="135"/>
        <w:jc w:val="left"/>
        <w:rPr>
          <w:rFonts w:hint="default" w:eastAsia="宋体"/>
          <w:color w:val="auto"/>
          <w:lang w:val="en-US" w:eastAsia="zh-CN"/>
        </w:rPr>
      </w:pPr>
      <w:r>
        <w:rPr>
          <w:color w:val="auto"/>
          <w:sz w:val="21"/>
          <w:szCs w:val="21"/>
        </w:rPr>
        <w:t>7.7   Completion acceptance and delivery</w:t>
      </w:r>
      <w:r>
        <w:rPr>
          <w:rFonts w:hint="eastAsia"/>
          <w:color w:val="auto"/>
          <w:sz w:val="21"/>
          <w:szCs w:val="21"/>
        </w:rPr>
        <w:t xml:space="preserve"> </w:t>
      </w:r>
      <w:r>
        <w:rPr>
          <w:color w:val="auto"/>
          <w:sz w:val="21"/>
          <w:szCs w:val="21"/>
        </w:rPr>
        <w:t xml:space="preserve"> </w:t>
      </w:r>
      <w:r>
        <w:rPr>
          <w:color w:val="auto"/>
        </w:rPr>
        <w:t xml:space="preserve">…………………………………………… </w:t>
      </w:r>
      <w:r>
        <w:rPr>
          <w:rFonts w:hint="eastAsia"/>
          <w:color w:val="auto"/>
          <w:lang w:val="en-US" w:eastAsia="zh-CN"/>
        </w:rPr>
        <w:t>28</w:t>
      </w:r>
    </w:p>
    <w:p>
      <w:pPr>
        <w:ind w:firstLine="283" w:firstLineChars="135"/>
        <w:jc w:val="left"/>
        <w:rPr>
          <w:rFonts w:hint="default" w:eastAsia="宋体"/>
          <w:color w:val="auto"/>
          <w:sz w:val="21"/>
          <w:szCs w:val="21"/>
          <w:lang w:val="en-US" w:eastAsia="zh-CN"/>
        </w:rPr>
      </w:pPr>
      <w:r>
        <w:rPr>
          <w:color w:val="auto"/>
          <w:sz w:val="21"/>
          <w:szCs w:val="21"/>
        </w:rPr>
        <w:t>7.</w:t>
      </w:r>
      <w:r>
        <w:rPr>
          <w:rFonts w:hint="eastAsia"/>
          <w:color w:val="auto"/>
          <w:sz w:val="21"/>
          <w:szCs w:val="21"/>
        </w:rPr>
        <w:t>8</w:t>
      </w:r>
      <w:r>
        <w:rPr>
          <w:color w:val="auto"/>
          <w:sz w:val="21"/>
          <w:szCs w:val="21"/>
        </w:rPr>
        <w:t xml:space="preserve">   Completion </w:t>
      </w:r>
      <w:r>
        <w:rPr>
          <w:rFonts w:hint="eastAsia"/>
          <w:color w:val="auto"/>
          <w:sz w:val="21"/>
          <w:szCs w:val="21"/>
        </w:rPr>
        <w:t>document achiving</w:t>
      </w:r>
      <w:r>
        <w:rPr>
          <w:color w:val="auto"/>
          <w:sz w:val="21"/>
          <w:szCs w:val="21"/>
        </w:rPr>
        <w:t xml:space="preserve"> </w:t>
      </w:r>
      <w:r>
        <w:rPr>
          <w:color w:val="auto"/>
        </w:rPr>
        <w:t>…………………………………………………</w:t>
      </w:r>
      <w:r>
        <w:rPr>
          <w:rFonts w:hint="eastAsia"/>
          <w:color w:val="auto"/>
          <w:lang w:val="en-US" w:eastAsia="zh-CN"/>
        </w:rPr>
        <w:t>29</w:t>
      </w:r>
    </w:p>
    <w:p>
      <w:pPr>
        <w:ind w:firstLine="0" w:firstLineChars="0"/>
        <w:jc w:val="left"/>
        <w:rPr>
          <w:rFonts w:hint="default" w:eastAsia="宋体"/>
          <w:color w:val="auto"/>
          <w:lang w:val="en-US" w:eastAsia="zh-CN"/>
        </w:rPr>
      </w:pPr>
      <w:r>
        <w:rPr>
          <w:color w:val="auto"/>
        </w:rPr>
        <w:t xml:space="preserve">8   Operation stage  ………………………………………………………………… </w:t>
      </w:r>
      <w:r>
        <w:rPr>
          <w:rFonts w:hint="eastAsia"/>
          <w:color w:val="auto"/>
          <w:lang w:val="en-US" w:eastAsia="zh-CN"/>
        </w:rPr>
        <w:t>31</w:t>
      </w:r>
    </w:p>
    <w:p>
      <w:pPr>
        <w:ind w:firstLine="283" w:firstLineChars="135"/>
        <w:jc w:val="left"/>
        <w:rPr>
          <w:rFonts w:hint="default" w:eastAsia="宋体"/>
          <w:color w:val="auto"/>
          <w:sz w:val="21"/>
          <w:szCs w:val="21"/>
          <w:lang w:val="en-US" w:eastAsia="zh-CN"/>
        </w:rPr>
      </w:pPr>
      <w:r>
        <w:rPr>
          <w:color w:val="auto"/>
          <w:sz w:val="21"/>
          <w:szCs w:val="21"/>
        </w:rPr>
        <w:t xml:space="preserve">8.1   General requirements  </w:t>
      </w:r>
      <w:r>
        <w:rPr>
          <w:color w:val="auto"/>
        </w:rPr>
        <w:t xml:space="preserve">…………………………………………………………  </w:t>
      </w:r>
      <w:r>
        <w:rPr>
          <w:rFonts w:hint="eastAsia"/>
          <w:color w:val="auto"/>
          <w:lang w:val="en-US" w:eastAsia="zh-CN"/>
        </w:rPr>
        <w:t>31</w:t>
      </w:r>
    </w:p>
    <w:p>
      <w:pPr>
        <w:ind w:firstLine="283" w:firstLineChars="135"/>
        <w:jc w:val="left"/>
        <w:rPr>
          <w:rFonts w:hint="default" w:eastAsia="宋体"/>
          <w:color w:val="auto"/>
          <w:sz w:val="21"/>
          <w:szCs w:val="21"/>
          <w:lang w:val="en-US" w:eastAsia="zh-CN"/>
        </w:rPr>
      </w:pPr>
      <w:r>
        <w:rPr>
          <w:color w:val="auto"/>
          <w:sz w:val="21"/>
          <w:szCs w:val="21"/>
        </w:rPr>
        <w:t xml:space="preserve">8.2  </w:t>
      </w:r>
      <w:r>
        <w:rPr>
          <w:color w:val="auto"/>
        </w:rPr>
        <w:t xml:space="preserve"> Smart transportation</w:t>
      </w:r>
      <w:r>
        <w:rPr>
          <w:rFonts w:hint="eastAsia"/>
          <w:color w:val="auto"/>
        </w:rPr>
        <w:t xml:space="preserve"> and o</w:t>
      </w:r>
      <w:r>
        <w:rPr>
          <w:color w:val="auto"/>
        </w:rPr>
        <w:t xml:space="preserve">peration management  …………………………  </w:t>
      </w:r>
      <w:r>
        <w:rPr>
          <w:rFonts w:hint="eastAsia"/>
          <w:color w:val="auto"/>
          <w:lang w:val="en-US" w:eastAsia="zh-CN"/>
        </w:rPr>
        <w:t>31</w:t>
      </w:r>
    </w:p>
    <w:p>
      <w:pPr>
        <w:ind w:firstLine="283" w:firstLineChars="135"/>
        <w:jc w:val="left"/>
        <w:rPr>
          <w:rFonts w:hint="default" w:eastAsia="宋体"/>
          <w:color w:val="auto"/>
          <w:sz w:val="21"/>
          <w:szCs w:val="21"/>
          <w:lang w:val="en-US" w:eastAsia="zh-CN"/>
        </w:rPr>
      </w:pPr>
      <w:r>
        <w:rPr>
          <w:color w:val="auto"/>
          <w:sz w:val="21"/>
          <w:szCs w:val="21"/>
        </w:rPr>
        <w:t xml:space="preserve">8.3   Maintaining management </w:t>
      </w:r>
      <w:r>
        <w:rPr>
          <w:color w:val="auto"/>
        </w:rPr>
        <w:t xml:space="preserve">   ……………………………………………………  </w:t>
      </w:r>
      <w:r>
        <w:rPr>
          <w:rFonts w:hint="eastAsia"/>
          <w:color w:val="auto"/>
          <w:lang w:val="en-US" w:eastAsia="zh-CN"/>
        </w:rPr>
        <w:t>32</w:t>
      </w:r>
    </w:p>
    <w:p>
      <w:pPr>
        <w:ind w:firstLine="283" w:firstLineChars="135"/>
        <w:jc w:val="left"/>
        <w:rPr>
          <w:rFonts w:hint="default" w:eastAsia="宋体"/>
          <w:color w:val="auto"/>
          <w:sz w:val="21"/>
          <w:szCs w:val="21"/>
          <w:lang w:val="en-US" w:eastAsia="zh-CN"/>
        </w:rPr>
      </w:pPr>
      <w:r>
        <w:rPr>
          <w:color w:val="auto"/>
          <w:sz w:val="21"/>
          <w:szCs w:val="21"/>
        </w:rPr>
        <w:t xml:space="preserve">8.4   Assets management  </w:t>
      </w:r>
      <w:r>
        <w:rPr>
          <w:color w:val="auto"/>
        </w:rPr>
        <w:t>……………………………………………………………</w:t>
      </w:r>
      <w:r>
        <w:rPr>
          <w:rFonts w:hint="eastAsia"/>
          <w:color w:val="auto"/>
          <w:lang w:val="en-US" w:eastAsia="zh-CN"/>
        </w:rPr>
        <w:t>32</w:t>
      </w:r>
    </w:p>
    <w:p>
      <w:pPr>
        <w:ind w:firstLine="283" w:firstLineChars="135"/>
        <w:jc w:val="left"/>
        <w:rPr>
          <w:rFonts w:hint="default" w:eastAsia="宋体"/>
          <w:color w:val="auto"/>
          <w:lang w:val="en-US" w:eastAsia="zh-CN"/>
        </w:rPr>
      </w:pPr>
      <w:r>
        <w:rPr>
          <w:color w:val="auto"/>
          <w:sz w:val="21"/>
          <w:szCs w:val="21"/>
        </w:rPr>
        <w:t xml:space="preserve">8.5   Health monitoring   </w:t>
      </w:r>
      <w:r>
        <w:rPr>
          <w:color w:val="auto"/>
        </w:rPr>
        <w:t xml:space="preserve">…………………………………………………………… </w:t>
      </w:r>
      <w:r>
        <w:rPr>
          <w:rFonts w:hint="eastAsia"/>
          <w:color w:val="auto"/>
          <w:lang w:val="en-US" w:eastAsia="zh-CN"/>
        </w:rPr>
        <w:t>32</w:t>
      </w:r>
    </w:p>
    <w:p>
      <w:pPr>
        <w:ind w:firstLine="283" w:firstLineChars="135"/>
        <w:jc w:val="left"/>
        <w:rPr>
          <w:rFonts w:hint="eastAsia" w:eastAsia="宋体"/>
          <w:color w:val="auto"/>
          <w:sz w:val="21"/>
          <w:szCs w:val="21"/>
          <w:lang w:eastAsia="zh-CN"/>
        </w:rPr>
      </w:pPr>
      <w:r>
        <w:rPr>
          <w:color w:val="auto"/>
          <w:sz w:val="21"/>
          <w:szCs w:val="21"/>
        </w:rPr>
        <w:t xml:space="preserve">8.6   Emergency management </w:t>
      </w:r>
      <w:r>
        <w:rPr>
          <w:color w:val="auto"/>
        </w:rPr>
        <w:t xml:space="preserve">………………………………………………………  </w:t>
      </w:r>
      <w:r>
        <w:rPr>
          <w:rFonts w:hint="eastAsia"/>
          <w:color w:val="auto"/>
          <w:lang w:val="en-US" w:eastAsia="zh-CN"/>
        </w:rPr>
        <w:t>33</w:t>
      </w:r>
    </w:p>
    <w:p>
      <w:pPr>
        <w:ind w:firstLine="0" w:firstLineChars="0"/>
        <w:jc w:val="left"/>
        <w:rPr>
          <w:rFonts w:hint="default" w:eastAsia="宋体"/>
          <w:color w:val="auto"/>
          <w:lang w:val="en-US" w:eastAsia="zh-CN"/>
        </w:rPr>
      </w:pPr>
      <w:r>
        <w:rPr>
          <w:color w:val="auto"/>
        </w:rPr>
        <w:t xml:space="preserve">Appendix A Summary of model applications in each stage  ………………………  </w:t>
      </w:r>
      <w:r>
        <w:rPr>
          <w:rFonts w:hint="eastAsia"/>
          <w:color w:val="auto"/>
          <w:lang w:val="en-US" w:eastAsia="zh-CN"/>
        </w:rPr>
        <w:t>34</w:t>
      </w:r>
    </w:p>
    <w:p>
      <w:pPr>
        <w:ind w:firstLine="0" w:firstLineChars="0"/>
        <w:jc w:val="left"/>
        <w:rPr>
          <w:rFonts w:hint="default" w:eastAsia="宋体"/>
          <w:color w:val="auto"/>
          <w:lang w:val="en-US" w:eastAsia="zh-CN"/>
        </w:rPr>
      </w:pPr>
      <w:r>
        <w:rPr>
          <w:color w:val="auto"/>
        </w:rPr>
        <w:t xml:space="preserve">Appendix B Model units system classification  …………………………………… </w:t>
      </w:r>
      <w:r>
        <w:rPr>
          <w:rFonts w:hint="eastAsia"/>
          <w:color w:val="auto"/>
          <w:lang w:val="en-US" w:eastAsia="zh-CN"/>
        </w:rPr>
        <w:t>37</w:t>
      </w:r>
    </w:p>
    <w:p>
      <w:pPr>
        <w:ind w:firstLine="0" w:firstLineChars="0"/>
        <w:jc w:val="left"/>
        <w:rPr>
          <w:rFonts w:hint="default" w:eastAsia="宋体"/>
          <w:color w:val="auto"/>
          <w:lang w:val="en-US" w:eastAsia="zh-CN"/>
        </w:rPr>
      </w:pPr>
      <w:r>
        <w:rPr>
          <w:color w:val="auto"/>
        </w:rPr>
        <w:t>Appendix C Model units property classification   …………………………………</w:t>
      </w:r>
      <w:r>
        <w:rPr>
          <w:rFonts w:hint="eastAsia"/>
          <w:color w:val="auto"/>
        </w:rPr>
        <w:t xml:space="preserve"> </w:t>
      </w:r>
      <w:r>
        <w:rPr>
          <w:color w:val="auto"/>
        </w:rPr>
        <w:t xml:space="preserve"> </w:t>
      </w:r>
      <w:r>
        <w:rPr>
          <w:rFonts w:hint="eastAsia"/>
          <w:color w:val="auto"/>
          <w:lang w:val="en-US" w:eastAsia="zh-CN"/>
        </w:rPr>
        <w:t>40</w:t>
      </w:r>
    </w:p>
    <w:p>
      <w:pPr>
        <w:ind w:firstLine="0" w:firstLineChars="0"/>
        <w:jc w:val="left"/>
        <w:rPr>
          <w:rFonts w:hint="default" w:eastAsia="宋体"/>
          <w:color w:val="auto"/>
          <w:lang w:val="en-US" w:eastAsia="zh-CN"/>
        </w:rPr>
      </w:pPr>
      <w:r>
        <w:rPr>
          <w:color w:val="auto"/>
        </w:rPr>
        <w:t>Appendix D Project critical index templates  ………………………………………</w:t>
      </w:r>
      <w:r>
        <w:rPr>
          <w:rFonts w:hint="eastAsia"/>
          <w:color w:val="auto"/>
        </w:rPr>
        <w:t xml:space="preserve"> </w:t>
      </w:r>
      <w:r>
        <w:rPr>
          <w:rFonts w:hint="eastAsia"/>
          <w:color w:val="auto"/>
          <w:lang w:val="en-US" w:eastAsia="zh-CN"/>
        </w:rPr>
        <w:t>41</w:t>
      </w:r>
    </w:p>
    <w:p>
      <w:pPr>
        <w:ind w:firstLine="0" w:firstLineChars="0"/>
        <w:jc w:val="left"/>
        <w:rPr>
          <w:rFonts w:hint="default" w:eastAsia="宋体"/>
          <w:color w:val="auto"/>
          <w:lang w:val="en-US" w:eastAsia="zh-CN"/>
        </w:rPr>
      </w:pPr>
      <w:r>
        <w:rPr>
          <w:color w:val="auto"/>
        </w:rPr>
        <w:t>Appendix E Model information , component and uint naming templates  …………</w:t>
      </w:r>
      <w:r>
        <w:rPr>
          <w:rFonts w:hint="eastAsia"/>
          <w:color w:val="auto"/>
        </w:rPr>
        <w:t xml:space="preserve"> </w:t>
      </w:r>
      <w:r>
        <w:rPr>
          <w:rFonts w:hint="eastAsia"/>
          <w:color w:val="auto"/>
          <w:lang w:val="en-US" w:eastAsia="zh-CN"/>
        </w:rPr>
        <w:t>42</w:t>
      </w:r>
    </w:p>
    <w:p>
      <w:pPr>
        <w:ind w:firstLine="0" w:firstLineChars="0"/>
        <w:jc w:val="left"/>
        <w:rPr>
          <w:rFonts w:hint="default" w:eastAsia="宋体"/>
          <w:color w:val="auto"/>
          <w:lang w:val="en-US" w:eastAsia="zh-CN"/>
        </w:rPr>
      </w:pPr>
      <w:r>
        <w:rPr>
          <w:color w:val="auto"/>
        </w:rPr>
        <w:t xml:space="preserve">Explanation of wording in this standard </w:t>
      </w:r>
      <w:r>
        <w:rPr>
          <w:rFonts w:hint="eastAsia"/>
          <w:color w:val="auto"/>
        </w:rPr>
        <w:t xml:space="preserve"> </w:t>
      </w:r>
      <w:r>
        <w:rPr>
          <w:color w:val="auto"/>
        </w:rPr>
        <w:t xml:space="preserve"> …………………………………………</w:t>
      </w:r>
      <w:r>
        <w:rPr>
          <w:rFonts w:hint="eastAsia"/>
          <w:color w:val="auto"/>
        </w:rPr>
        <w:t xml:space="preserve"> </w:t>
      </w:r>
      <w:r>
        <w:rPr>
          <w:rFonts w:hint="eastAsia"/>
          <w:color w:val="auto"/>
          <w:lang w:val="en-US" w:eastAsia="zh-CN"/>
        </w:rPr>
        <w:t xml:space="preserve">  91</w:t>
      </w:r>
    </w:p>
    <w:p>
      <w:pPr>
        <w:ind w:firstLine="0" w:firstLineChars="0"/>
        <w:jc w:val="left"/>
        <w:rPr>
          <w:rFonts w:hint="default" w:eastAsia="宋体"/>
          <w:color w:val="auto"/>
          <w:sz w:val="21"/>
          <w:szCs w:val="21"/>
          <w:lang w:val="en-US" w:eastAsia="zh-CN"/>
        </w:rPr>
      </w:pPr>
      <w:r>
        <w:rPr>
          <w:rFonts w:hint="eastAsia"/>
          <w:color w:val="auto"/>
        </w:rPr>
        <w:t>L</w:t>
      </w:r>
      <w:r>
        <w:rPr>
          <w:color w:val="auto"/>
        </w:rPr>
        <w:t xml:space="preserve">ist of quoted standards  </w:t>
      </w:r>
      <w:r>
        <w:rPr>
          <w:rFonts w:hint="eastAsia"/>
          <w:color w:val="auto"/>
        </w:rPr>
        <w:t xml:space="preserve"> </w:t>
      </w:r>
      <w:r>
        <w:rPr>
          <w:color w:val="auto"/>
        </w:rPr>
        <w:t>…………………………………………………………</w:t>
      </w:r>
      <w:r>
        <w:rPr>
          <w:rFonts w:hint="eastAsia"/>
          <w:color w:val="auto"/>
        </w:rPr>
        <w:t xml:space="preserve">  </w:t>
      </w:r>
      <w:r>
        <w:rPr>
          <w:rFonts w:hint="eastAsia"/>
          <w:color w:val="auto"/>
          <w:lang w:val="en-US" w:eastAsia="zh-CN"/>
        </w:rPr>
        <w:t xml:space="preserve">  92</w:t>
      </w:r>
    </w:p>
    <w:p>
      <w:pPr>
        <w:ind w:firstLine="0" w:firstLineChars="0"/>
        <w:rPr>
          <w:rFonts w:hint="default" w:eastAsia="宋体"/>
          <w:color w:val="auto"/>
          <w:lang w:val="en-US" w:eastAsia="zh-CN"/>
        </w:rPr>
      </w:pPr>
      <w:r>
        <w:rPr>
          <w:rFonts w:hint="eastAsia"/>
          <w:color w:val="auto"/>
        </w:rPr>
        <w:t>A</w:t>
      </w:r>
      <w:r>
        <w:rPr>
          <w:color w:val="auto"/>
        </w:rPr>
        <w:t>ddition: Explanation of provisions ………………………………………………</w:t>
      </w:r>
      <w:r>
        <w:rPr>
          <w:rFonts w:hint="eastAsia"/>
          <w:color w:val="auto"/>
          <w:lang w:val="en-US" w:eastAsia="zh-CN"/>
        </w:rPr>
        <w:t xml:space="preserve">   93</w:t>
      </w:r>
    </w:p>
    <w:p>
      <w:pPr>
        <w:ind w:firstLine="0" w:firstLineChars="0"/>
        <w:rPr>
          <w:color w:val="auto"/>
        </w:rPr>
        <w:sectPr>
          <w:pgSz w:w="11906" w:h="16838"/>
          <w:pgMar w:top="1440" w:right="1800" w:bottom="1440" w:left="1800" w:header="851" w:footer="992" w:gutter="0"/>
          <w:cols w:space="425" w:num="1"/>
          <w:docGrid w:type="lines" w:linePitch="312" w:charSpace="0"/>
        </w:sectPr>
      </w:pPr>
    </w:p>
    <w:p>
      <w:pPr>
        <w:pStyle w:val="2"/>
        <w:numPr>
          <w:ilvl w:val="0"/>
          <w:numId w:val="12"/>
        </w:numPr>
        <w:spacing w:before="312" w:after="312"/>
        <w:jc w:val="center"/>
        <w:rPr>
          <w:color w:val="auto"/>
        </w:rPr>
      </w:pPr>
      <w:bookmarkStart w:id="63" w:name="_Toc13658"/>
      <w:r>
        <w:rPr>
          <w:color w:val="auto"/>
        </w:rPr>
        <w:t>总则</w:t>
      </w:r>
      <w:bookmarkEnd w:id="63"/>
    </w:p>
    <w:p>
      <w:pPr>
        <w:ind w:firstLine="0" w:firstLineChars="0"/>
        <w:rPr>
          <w:color w:val="auto"/>
        </w:rPr>
      </w:pPr>
      <w:r>
        <w:rPr>
          <w:rFonts w:hint="eastAsia"/>
          <w:color w:val="auto"/>
        </w:rPr>
        <w:t>1</w:t>
      </w:r>
      <w:r>
        <w:rPr>
          <w:color w:val="auto"/>
        </w:rPr>
        <w:t>.0.1   为</w:t>
      </w:r>
      <w:r>
        <w:rPr>
          <w:rFonts w:hint="eastAsia"/>
          <w:color w:val="auto"/>
        </w:rPr>
        <w:t>推动</w:t>
      </w:r>
      <w:r>
        <w:rPr>
          <w:color w:val="auto"/>
        </w:rPr>
        <w:t>城市道路工程领域</w:t>
      </w:r>
      <w:r>
        <w:rPr>
          <w:rFonts w:hint="eastAsia"/>
          <w:color w:val="auto"/>
        </w:rPr>
        <w:t>数字化技术和城市</w:t>
      </w:r>
      <w:r>
        <w:rPr>
          <w:rFonts w:hint="eastAsia" w:eastAsiaTheme="minorEastAsia"/>
          <w:color w:val="auto"/>
          <w:szCs w:val="32"/>
        </w:rPr>
        <w:t>道路工程</w:t>
      </w:r>
      <w:r>
        <w:rPr>
          <w:rFonts w:hint="eastAsia"/>
          <w:color w:val="auto"/>
        </w:rPr>
        <w:t>信息模型</w:t>
      </w:r>
      <w:r>
        <w:rPr>
          <w:rFonts w:hint="eastAsia" w:eastAsiaTheme="minorEastAsia"/>
          <w:color w:val="auto"/>
          <w:szCs w:val="32"/>
        </w:rPr>
        <w:t>的规范化应用</w:t>
      </w:r>
      <w:r>
        <w:rPr>
          <w:color w:val="auto"/>
        </w:rPr>
        <w:t>，提升信息协同应用效率与价值，适应城市道路工程建设</w:t>
      </w:r>
      <w:r>
        <w:rPr>
          <w:rFonts w:hint="eastAsia" w:eastAsiaTheme="minorEastAsia"/>
          <w:color w:val="auto"/>
          <w:szCs w:val="32"/>
        </w:rPr>
        <w:t>高质量</w:t>
      </w:r>
      <w:r>
        <w:rPr>
          <w:color w:val="auto"/>
        </w:rPr>
        <w:t>发展的需要，制定本标准。</w:t>
      </w:r>
    </w:p>
    <w:p>
      <w:pPr>
        <w:ind w:firstLine="0" w:firstLineChars="0"/>
        <w:rPr>
          <w:color w:val="auto"/>
        </w:rPr>
      </w:pPr>
      <w:r>
        <w:rPr>
          <w:color w:val="auto"/>
        </w:rPr>
        <w:t xml:space="preserve">1.0.2   </w:t>
      </w:r>
      <w:r>
        <w:rPr>
          <w:rFonts w:hint="eastAsia"/>
          <w:color w:val="auto"/>
        </w:rPr>
        <w:t>本标准适用于</w:t>
      </w:r>
      <w:r>
        <w:rPr>
          <w:color w:val="auto"/>
        </w:rPr>
        <w:t>新建、改建</w:t>
      </w:r>
      <w:r>
        <w:rPr>
          <w:rFonts w:hint="eastAsia"/>
          <w:color w:val="auto"/>
        </w:rPr>
        <w:t>和</w:t>
      </w:r>
      <w:r>
        <w:rPr>
          <w:color w:val="auto"/>
        </w:rPr>
        <w:t>扩建的城市道路工程全生命期内模型的创建、使用与管理。</w:t>
      </w:r>
    </w:p>
    <w:p>
      <w:pPr>
        <w:ind w:firstLine="0" w:firstLineChars="0"/>
        <w:rPr>
          <w:color w:val="auto"/>
        </w:rPr>
      </w:pPr>
      <w:r>
        <w:rPr>
          <w:color w:val="auto"/>
        </w:rPr>
        <w:t>1.0.3   城市道路工程信息模型</w:t>
      </w:r>
      <w:r>
        <w:rPr>
          <w:rFonts w:hint="eastAsia"/>
          <w:color w:val="auto"/>
        </w:rPr>
        <w:t>应用</w:t>
      </w:r>
      <w:r>
        <w:rPr>
          <w:color w:val="auto"/>
        </w:rPr>
        <w:t>，除应符合本标准外，尚应符合国家现行有关标准和现行中国工程建设标准化协会有关标准的要求。</w:t>
      </w:r>
    </w:p>
    <w:p>
      <w:pPr>
        <w:ind w:firstLine="0" w:firstLineChars="0"/>
        <w:rPr>
          <w:b/>
          <w:i/>
          <w:color w:val="auto"/>
        </w:rPr>
      </w:pPr>
    </w:p>
    <w:p>
      <w:pPr>
        <w:ind w:firstLine="0" w:firstLineChars="0"/>
        <w:rPr>
          <w:color w:val="auto"/>
        </w:rPr>
      </w:pPr>
    </w:p>
    <w:p>
      <w:pPr>
        <w:ind w:firstLine="0" w:firstLineChars="0"/>
        <w:rPr>
          <w:color w:val="auto"/>
        </w:rPr>
      </w:pPr>
    </w:p>
    <w:p>
      <w:pPr>
        <w:ind w:firstLine="480"/>
        <w:rPr>
          <w:color w:val="auto"/>
        </w:rPr>
      </w:pPr>
    </w:p>
    <w:p>
      <w:pPr>
        <w:ind w:firstLine="480"/>
        <w:rPr>
          <w:color w:val="auto"/>
        </w:rPr>
      </w:pPr>
    </w:p>
    <w:p>
      <w:pPr>
        <w:ind w:firstLine="480"/>
        <w:rPr>
          <w:color w:val="auto"/>
        </w:rPr>
        <w:sectPr>
          <w:pgSz w:w="11906" w:h="16838"/>
          <w:pgMar w:top="1440" w:right="1800" w:bottom="1440" w:left="1800" w:header="851" w:footer="992" w:gutter="0"/>
          <w:pgNumType w:start="1"/>
          <w:cols w:space="425" w:num="1"/>
          <w:docGrid w:type="lines" w:linePitch="312" w:charSpace="0"/>
        </w:sectPr>
      </w:pPr>
    </w:p>
    <w:p>
      <w:pPr>
        <w:pStyle w:val="2"/>
        <w:numPr>
          <w:ilvl w:val="0"/>
          <w:numId w:val="12"/>
        </w:numPr>
        <w:spacing w:before="312" w:after="312"/>
        <w:jc w:val="center"/>
        <w:rPr>
          <w:color w:val="auto"/>
        </w:rPr>
      </w:pPr>
      <w:bookmarkStart w:id="64" w:name="_Toc27099"/>
      <w:r>
        <w:rPr>
          <w:color w:val="auto"/>
        </w:rPr>
        <w:t>术语</w:t>
      </w:r>
      <w:r>
        <w:rPr>
          <w:rFonts w:hint="eastAsia"/>
          <w:color w:val="auto"/>
        </w:rPr>
        <w:t>和</w:t>
      </w:r>
      <w:r>
        <w:rPr>
          <w:color w:val="auto"/>
        </w:rPr>
        <w:t>缩略词</w:t>
      </w:r>
      <w:bookmarkEnd w:id="64"/>
    </w:p>
    <w:p>
      <w:pPr>
        <w:pStyle w:val="3"/>
        <w:jc w:val="center"/>
        <w:rPr>
          <w:color w:val="auto"/>
        </w:rPr>
      </w:pPr>
      <w:bookmarkStart w:id="65" w:name="_Toc22094"/>
      <w:r>
        <w:rPr>
          <w:rFonts w:hint="eastAsia"/>
          <w:color w:val="auto"/>
        </w:rPr>
        <w:t>2</w:t>
      </w:r>
      <w:r>
        <w:rPr>
          <w:color w:val="auto"/>
        </w:rPr>
        <w:t>.1 术语</w:t>
      </w:r>
      <w:bookmarkEnd w:id="65"/>
    </w:p>
    <w:p>
      <w:pPr>
        <w:ind w:firstLine="0" w:firstLineChars="0"/>
        <w:rPr>
          <w:color w:val="auto"/>
        </w:rPr>
      </w:pPr>
      <w:r>
        <w:rPr>
          <w:color w:val="auto"/>
        </w:rPr>
        <w:t xml:space="preserve">2.1.1 </w:t>
      </w:r>
      <w:r>
        <w:rPr>
          <w:rFonts w:hint="eastAsia"/>
          <w:color w:val="auto"/>
        </w:rPr>
        <w:t>城市</w:t>
      </w:r>
      <w:r>
        <w:rPr>
          <w:color w:val="auto"/>
        </w:rPr>
        <w:t xml:space="preserve">道路工程     urban road engineering </w:t>
      </w:r>
    </w:p>
    <w:p>
      <w:pPr>
        <w:ind w:firstLine="480"/>
        <w:rPr>
          <w:color w:val="auto"/>
        </w:rPr>
      </w:pPr>
      <w:r>
        <w:rPr>
          <w:color w:val="auto"/>
        </w:rPr>
        <w:t>在城市</w:t>
      </w:r>
      <w:r>
        <w:rPr>
          <w:rFonts w:hint="eastAsia"/>
          <w:color w:val="auto"/>
        </w:rPr>
        <w:t>范围</w:t>
      </w:r>
      <w:r>
        <w:rPr>
          <w:color w:val="auto"/>
        </w:rPr>
        <w:t>内，提供车辆</w:t>
      </w:r>
      <w:r>
        <w:rPr>
          <w:rFonts w:hint="eastAsia"/>
          <w:color w:val="auto"/>
          <w:lang w:val="en-US" w:eastAsia="zh-CN"/>
        </w:rPr>
        <w:t>及</w:t>
      </w:r>
      <w:r>
        <w:rPr>
          <w:color w:val="auto"/>
        </w:rPr>
        <w:t>行人通行的市政工程基础</w:t>
      </w:r>
      <w:r>
        <w:rPr>
          <w:rFonts w:hint="eastAsia"/>
          <w:color w:val="auto"/>
        </w:rPr>
        <w:t>设施</w:t>
      </w:r>
      <w:r>
        <w:rPr>
          <w:color w:val="auto"/>
        </w:rPr>
        <w:t>及附属设施</w:t>
      </w:r>
      <w:r>
        <w:rPr>
          <w:rFonts w:hint="eastAsia"/>
          <w:color w:val="auto"/>
        </w:rPr>
        <w:t>，</w:t>
      </w:r>
      <w:r>
        <w:rPr>
          <w:color w:val="auto"/>
        </w:rPr>
        <w:t>主要包括道路、桥梁、隧道及</w:t>
      </w:r>
      <w:r>
        <w:rPr>
          <w:rFonts w:hint="eastAsia"/>
          <w:color w:val="auto"/>
        </w:rPr>
        <w:t>交通</w:t>
      </w:r>
      <w:r>
        <w:rPr>
          <w:color w:val="auto"/>
        </w:rPr>
        <w:t>安全与管理设施等。</w:t>
      </w:r>
    </w:p>
    <w:p>
      <w:pPr>
        <w:ind w:firstLine="0" w:firstLineChars="0"/>
        <w:rPr>
          <w:color w:val="auto"/>
        </w:rPr>
      </w:pPr>
      <w:r>
        <w:rPr>
          <w:color w:val="auto"/>
        </w:rPr>
        <w:t xml:space="preserve">2.1.2 </w:t>
      </w:r>
      <w:r>
        <w:rPr>
          <w:rFonts w:hint="eastAsia"/>
          <w:color w:val="auto"/>
        </w:rPr>
        <w:t>城市</w:t>
      </w:r>
      <w:r>
        <w:rPr>
          <w:color w:val="auto"/>
        </w:rPr>
        <w:t xml:space="preserve">道路工程信息模型     urban road engineering information modeling </w:t>
      </w:r>
    </w:p>
    <w:p>
      <w:pPr>
        <w:ind w:firstLine="480"/>
        <w:rPr>
          <w:color w:val="auto"/>
        </w:rPr>
      </w:pPr>
      <w:r>
        <w:rPr>
          <w:color w:val="auto"/>
        </w:rPr>
        <w:t>在</w:t>
      </w:r>
      <w:r>
        <w:rPr>
          <w:rFonts w:hint="eastAsia"/>
          <w:color w:val="auto"/>
        </w:rPr>
        <w:t>城市</w:t>
      </w:r>
      <w:r>
        <w:rPr>
          <w:color w:val="auto"/>
        </w:rPr>
        <w:t>道路工程及设施全寿命周期内，对其物理和功能特性进行数字化表述，并依此设计、施工、</w:t>
      </w:r>
      <w:r>
        <w:rPr>
          <w:rFonts w:hint="eastAsia"/>
          <w:color w:val="auto"/>
        </w:rPr>
        <w:t>运营</w:t>
      </w:r>
      <w:r>
        <w:rPr>
          <w:color w:val="auto"/>
        </w:rPr>
        <w:t>的过程和结果的总称。简称模型。</w:t>
      </w:r>
    </w:p>
    <w:p>
      <w:pPr>
        <w:ind w:firstLine="0" w:firstLineChars="0"/>
        <w:rPr>
          <w:color w:val="auto"/>
        </w:rPr>
      </w:pPr>
      <w:r>
        <w:rPr>
          <w:rFonts w:hint="eastAsia"/>
          <w:color w:val="auto"/>
        </w:rPr>
        <w:t xml:space="preserve">2.1.3 城市道路工程信息子模型     sub urban road engineering information modeling </w:t>
      </w:r>
    </w:p>
    <w:p>
      <w:pPr>
        <w:ind w:firstLine="480"/>
        <w:rPr>
          <w:color w:val="auto"/>
        </w:rPr>
      </w:pPr>
      <w:r>
        <w:rPr>
          <w:rFonts w:hint="eastAsia"/>
          <w:color w:val="auto"/>
        </w:rPr>
        <w:t>城市道路工程信息模型中可独立支持特定任务或应用功能的模型子集。简称子模型。</w:t>
      </w:r>
    </w:p>
    <w:p>
      <w:pPr>
        <w:ind w:firstLine="0" w:firstLineChars="0"/>
        <w:rPr>
          <w:color w:val="auto"/>
        </w:rPr>
      </w:pPr>
      <w:r>
        <w:rPr>
          <w:rFonts w:hint="eastAsia"/>
          <w:color w:val="auto"/>
        </w:rPr>
        <w:t xml:space="preserve">2.1.4 城市道路工程勘察信息模型  urban road engineering geotechnical information modeling </w:t>
      </w:r>
    </w:p>
    <w:p>
      <w:pPr>
        <w:ind w:firstLine="480"/>
        <w:rPr>
          <w:color w:val="auto"/>
        </w:rPr>
      </w:pPr>
      <w:r>
        <w:rPr>
          <w:rFonts w:hint="eastAsia"/>
          <w:color w:val="auto"/>
        </w:rPr>
        <w:t>反映城市道路工程场地工程地质和岩土工程相关信息，满足城市道路工程建设全生命期各阶段数据传递与应用需求的三维数字化表达</w:t>
      </w:r>
      <w:r>
        <w:rPr>
          <w:color w:val="auto"/>
        </w:rPr>
        <w:t>。简称</w:t>
      </w:r>
      <w:r>
        <w:rPr>
          <w:rFonts w:hint="eastAsia"/>
          <w:color w:val="auto"/>
        </w:rPr>
        <w:t>勘察信息模型</w:t>
      </w:r>
      <w:r>
        <w:rPr>
          <w:color w:val="auto"/>
        </w:rPr>
        <w:t>。</w:t>
      </w:r>
    </w:p>
    <w:p>
      <w:pPr>
        <w:ind w:firstLine="0" w:firstLineChars="0"/>
        <w:rPr>
          <w:color w:val="auto"/>
        </w:rPr>
      </w:pPr>
      <w:r>
        <w:rPr>
          <w:rFonts w:hint="eastAsia"/>
          <w:color w:val="auto"/>
        </w:rPr>
        <w:t>2.1.5 城市道路工程信息模型元素  urban road engineering information modeling element</w:t>
      </w:r>
    </w:p>
    <w:p>
      <w:pPr>
        <w:ind w:firstLine="480"/>
        <w:rPr>
          <w:color w:val="auto"/>
        </w:rPr>
      </w:pPr>
      <w:r>
        <w:rPr>
          <w:rFonts w:hint="eastAsia"/>
          <w:color w:val="auto"/>
        </w:rPr>
        <w:t>城市</w:t>
      </w:r>
      <w:r>
        <w:rPr>
          <w:color w:val="auto"/>
        </w:rPr>
        <w:t>道路工程</w:t>
      </w:r>
      <w:r>
        <w:rPr>
          <w:rFonts w:hint="eastAsia"/>
          <w:color w:val="auto"/>
        </w:rPr>
        <w:t>信息模型的</w:t>
      </w:r>
      <w:r>
        <w:rPr>
          <w:color w:val="auto"/>
        </w:rPr>
        <w:t>基本组成单元。简称模型元素。</w:t>
      </w:r>
    </w:p>
    <w:p>
      <w:pPr>
        <w:ind w:firstLine="0" w:firstLineChars="0"/>
        <w:rPr>
          <w:color w:val="auto"/>
        </w:rPr>
      </w:pPr>
      <w:r>
        <w:rPr>
          <w:rFonts w:hint="eastAsia"/>
          <w:color w:val="auto"/>
        </w:rPr>
        <w:t>2.1.6  模型信息 model information</w:t>
      </w:r>
    </w:p>
    <w:p>
      <w:pPr>
        <w:ind w:firstLine="480"/>
        <w:rPr>
          <w:color w:val="auto"/>
        </w:rPr>
      </w:pPr>
      <w:r>
        <w:rPr>
          <w:rFonts w:hint="eastAsia"/>
          <w:color w:val="auto"/>
        </w:rPr>
        <w:t>在城市道路工程信息模型创建与应用过程中形成的描述构筑物（物理实体）本体特征的信息集合</w:t>
      </w:r>
      <w:r>
        <w:rPr>
          <w:color w:val="auto"/>
        </w:rPr>
        <w:t>。</w:t>
      </w:r>
    </w:p>
    <w:p>
      <w:pPr>
        <w:ind w:firstLine="0" w:firstLineChars="0"/>
        <w:rPr>
          <w:color w:val="auto"/>
        </w:rPr>
      </w:pPr>
      <w:r>
        <w:rPr>
          <w:color w:val="auto"/>
        </w:rPr>
        <w:t xml:space="preserve">2.1.7  </w:t>
      </w:r>
      <w:r>
        <w:rPr>
          <w:rFonts w:hint="eastAsia"/>
          <w:color w:val="auto"/>
        </w:rPr>
        <w:t>交付物</w:t>
      </w:r>
      <w:r>
        <w:rPr>
          <w:color w:val="auto"/>
        </w:rPr>
        <w:t xml:space="preserve">  deliverable</w:t>
      </w:r>
    </w:p>
    <w:p>
      <w:pPr>
        <w:ind w:firstLine="480"/>
        <w:rPr>
          <w:color w:val="auto"/>
        </w:rPr>
      </w:pPr>
      <w:r>
        <w:rPr>
          <w:rFonts w:hint="eastAsia"/>
          <w:color w:val="auto"/>
        </w:rPr>
        <w:t>基于城市道路工程信息模型交付的成果</w:t>
      </w:r>
      <w:r>
        <w:rPr>
          <w:color w:val="auto"/>
        </w:rPr>
        <w:t>。</w:t>
      </w:r>
    </w:p>
    <w:p>
      <w:pPr>
        <w:ind w:firstLine="0" w:firstLineChars="0"/>
        <w:rPr>
          <w:color w:val="auto"/>
        </w:rPr>
      </w:pPr>
      <w:r>
        <w:rPr>
          <w:color w:val="auto"/>
        </w:rPr>
        <w:t xml:space="preserve">2.1.8  </w:t>
      </w:r>
      <w:r>
        <w:rPr>
          <w:rFonts w:hint="eastAsia"/>
          <w:color w:val="auto"/>
        </w:rPr>
        <w:t>协同</w:t>
      </w:r>
      <w:r>
        <w:rPr>
          <w:color w:val="auto"/>
        </w:rPr>
        <w:t xml:space="preserve">  </w:t>
      </w:r>
      <w:r>
        <w:rPr>
          <w:rFonts w:hint="eastAsia"/>
          <w:color w:val="auto"/>
        </w:rPr>
        <w:t>collaboration</w:t>
      </w:r>
    </w:p>
    <w:p>
      <w:pPr>
        <w:ind w:firstLine="480"/>
        <w:rPr>
          <w:color w:val="auto"/>
        </w:rPr>
      </w:pPr>
      <w:r>
        <w:rPr>
          <w:rFonts w:hint="eastAsia"/>
          <w:color w:val="auto"/>
        </w:rPr>
        <w:t>基于城市道路工程信息模型进行数据共享与互操作的过程</w:t>
      </w:r>
      <w:r>
        <w:rPr>
          <w:color w:val="auto"/>
        </w:rPr>
        <w:t>。</w:t>
      </w:r>
    </w:p>
    <w:p>
      <w:pPr>
        <w:ind w:firstLine="0" w:firstLineChars="0"/>
        <w:rPr>
          <w:b/>
          <w:i/>
          <w:color w:val="auto"/>
        </w:rPr>
      </w:pPr>
    </w:p>
    <w:p>
      <w:pPr>
        <w:ind w:firstLine="0" w:firstLineChars="0"/>
        <w:rPr>
          <w:color w:val="auto"/>
        </w:rPr>
      </w:pPr>
      <w:r>
        <w:rPr>
          <w:color w:val="auto"/>
        </w:rPr>
        <w:t xml:space="preserve">2.1.9  </w:t>
      </w:r>
      <w:r>
        <w:rPr>
          <w:rFonts w:hint="eastAsia"/>
          <w:color w:val="auto"/>
        </w:rPr>
        <w:t>模型单元</w:t>
      </w:r>
      <w:r>
        <w:rPr>
          <w:color w:val="auto"/>
        </w:rPr>
        <w:t xml:space="preserve">  </w:t>
      </w:r>
      <w:r>
        <w:rPr>
          <w:rFonts w:hint="eastAsia"/>
          <w:color w:val="auto"/>
        </w:rPr>
        <w:t>model</w:t>
      </w:r>
      <w:r>
        <w:rPr>
          <w:color w:val="auto"/>
        </w:rPr>
        <w:t xml:space="preserve"> unit</w:t>
      </w:r>
    </w:p>
    <w:p>
      <w:pPr>
        <w:ind w:firstLine="480"/>
        <w:rPr>
          <w:color w:val="auto"/>
        </w:rPr>
      </w:pPr>
      <w:r>
        <w:rPr>
          <w:rFonts w:hint="eastAsia"/>
          <w:color w:val="auto"/>
        </w:rPr>
        <w:t>城市道路工程信息模型中承载构筑物信息的实体及其相关属性等的集合，是工程对象的数字化表达</w:t>
      </w:r>
      <w:r>
        <w:rPr>
          <w:color w:val="auto"/>
        </w:rPr>
        <w:t>。</w:t>
      </w:r>
    </w:p>
    <w:p>
      <w:pPr>
        <w:ind w:firstLine="0" w:firstLineChars="0"/>
        <w:rPr>
          <w:color w:val="auto"/>
        </w:rPr>
      </w:pPr>
      <w:r>
        <w:rPr>
          <w:color w:val="auto"/>
        </w:rPr>
        <w:t xml:space="preserve">2.1.10  </w:t>
      </w:r>
      <w:r>
        <w:rPr>
          <w:rFonts w:hint="eastAsia"/>
          <w:color w:val="auto"/>
        </w:rPr>
        <w:t>模型构架</w:t>
      </w:r>
      <w:r>
        <w:rPr>
          <w:color w:val="auto"/>
        </w:rPr>
        <w:t xml:space="preserve">  model framework</w:t>
      </w:r>
    </w:p>
    <w:p>
      <w:pPr>
        <w:ind w:firstLine="480"/>
        <w:rPr>
          <w:color w:val="auto"/>
        </w:rPr>
      </w:pPr>
      <w:r>
        <w:rPr>
          <w:rFonts w:hint="eastAsia"/>
          <w:color w:val="auto"/>
        </w:rPr>
        <w:t>组成城市道路工程信息模型的各级模型单元之间组合和拆分等构成关系</w:t>
      </w:r>
      <w:r>
        <w:rPr>
          <w:color w:val="auto"/>
        </w:rPr>
        <w:t>。</w:t>
      </w:r>
    </w:p>
    <w:p>
      <w:pPr>
        <w:ind w:firstLine="0" w:firstLineChars="0"/>
        <w:rPr>
          <w:color w:val="auto"/>
        </w:rPr>
      </w:pPr>
      <w:r>
        <w:rPr>
          <w:color w:val="auto"/>
        </w:rPr>
        <w:t>2.1.1</w:t>
      </w:r>
      <w:r>
        <w:rPr>
          <w:rFonts w:hint="eastAsia"/>
          <w:color w:val="auto"/>
        </w:rPr>
        <w:t>1</w:t>
      </w:r>
      <w:r>
        <w:rPr>
          <w:color w:val="auto"/>
        </w:rPr>
        <w:t xml:space="preserve"> </w:t>
      </w:r>
      <w:r>
        <w:rPr>
          <w:rFonts w:hint="eastAsia"/>
          <w:color w:val="auto"/>
        </w:rPr>
        <w:t>元数据</w:t>
      </w:r>
      <w:r>
        <w:rPr>
          <w:color w:val="auto"/>
        </w:rPr>
        <w:t xml:space="preserve">  </w:t>
      </w:r>
      <w:r>
        <w:rPr>
          <w:rFonts w:hint="eastAsia"/>
          <w:color w:val="auto"/>
        </w:rPr>
        <w:t>metadata</w:t>
      </w:r>
    </w:p>
    <w:p>
      <w:pPr>
        <w:ind w:firstLine="480"/>
        <w:rPr>
          <w:color w:val="auto"/>
        </w:rPr>
      </w:pPr>
      <w:r>
        <w:rPr>
          <w:rFonts w:hint="eastAsia" w:eastAsiaTheme="minorEastAsia" w:cstheme="minorBidi"/>
          <w:color w:val="auto"/>
        </w:rPr>
        <w:t>关于描述数据的数据</w:t>
      </w:r>
      <w:r>
        <w:rPr>
          <w:color w:val="auto"/>
        </w:rPr>
        <w:t>。</w:t>
      </w:r>
      <w:r>
        <w:rPr>
          <w:rFonts w:hint="eastAsia"/>
          <w:color w:val="auto"/>
        </w:rPr>
        <w:t>即数据的标识、覆盖范围、质量、时间和空间模式、空间参考系和分发等信息。</w:t>
      </w:r>
    </w:p>
    <w:p>
      <w:pPr>
        <w:ind w:firstLine="0" w:firstLineChars="0"/>
        <w:rPr>
          <w:color w:val="auto"/>
        </w:rPr>
      </w:pPr>
      <w:r>
        <w:rPr>
          <w:color w:val="auto"/>
        </w:rPr>
        <w:t>2.1.1</w:t>
      </w:r>
      <w:r>
        <w:rPr>
          <w:rFonts w:hint="eastAsia"/>
          <w:color w:val="auto"/>
        </w:rPr>
        <w:t>2</w:t>
      </w:r>
      <w:r>
        <w:rPr>
          <w:color w:val="auto"/>
        </w:rPr>
        <w:t xml:space="preserve"> </w:t>
      </w:r>
      <w:r>
        <w:rPr>
          <w:rFonts w:hint="eastAsia"/>
          <w:color w:val="auto"/>
        </w:rPr>
        <w:t>模型精细度</w:t>
      </w:r>
      <w:r>
        <w:rPr>
          <w:color w:val="auto"/>
        </w:rPr>
        <w:t xml:space="preserve">  level of model definition</w:t>
      </w:r>
    </w:p>
    <w:p>
      <w:pPr>
        <w:ind w:firstLine="480"/>
        <w:rPr>
          <w:color w:val="auto"/>
        </w:rPr>
      </w:pPr>
      <w:r>
        <w:rPr>
          <w:rFonts w:hint="eastAsia"/>
          <w:color w:val="auto"/>
        </w:rPr>
        <w:t>城市道路工程信息模型中所容纳的模型单元丰富程度的衡量指标</w:t>
      </w:r>
      <w:r>
        <w:rPr>
          <w:color w:val="auto"/>
        </w:rPr>
        <w:t>。</w:t>
      </w:r>
    </w:p>
    <w:p>
      <w:pPr>
        <w:ind w:firstLine="0" w:firstLineChars="0"/>
        <w:rPr>
          <w:color w:val="auto"/>
        </w:rPr>
      </w:pPr>
      <w:r>
        <w:rPr>
          <w:color w:val="auto"/>
        </w:rPr>
        <w:t>2.1.1</w:t>
      </w:r>
      <w:r>
        <w:rPr>
          <w:rFonts w:hint="eastAsia"/>
          <w:color w:val="auto"/>
        </w:rPr>
        <w:t>3</w:t>
      </w:r>
      <w:r>
        <w:rPr>
          <w:color w:val="auto"/>
        </w:rPr>
        <w:t xml:space="preserve">  </w:t>
      </w:r>
      <w:r>
        <w:rPr>
          <w:rFonts w:hint="eastAsia"/>
          <w:color w:val="auto"/>
        </w:rPr>
        <w:t>几何表达精度</w:t>
      </w:r>
      <w:r>
        <w:rPr>
          <w:color w:val="auto"/>
        </w:rPr>
        <w:t xml:space="preserve">  level of </w:t>
      </w:r>
      <w:r>
        <w:rPr>
          <w:rFonts w:hint="eastAsia"/>
          <w:color w:val="auto"/>
        </w:rPr>
        <w:t>geometric</w:t>
      </w:r>
      <w:r>
        <w:rPr>
          <w:color w:val="auto"/>
        </w:rPr>
        <w:t xml:space="preserve"> detail</w:t>
      </w:r>
    </w:p>
    <w:p>
      <w:pPr>
        <w:ind w:firstLine="480"/>
        <w:rPr>
          <w:color w:val="auto"/>
        </w:rPr>
      </w:pPr>
      <w:r>
        <w:rPr>
          <w:rFonts w:hint="eastAsia"/>
          <w:color w:val="auto"/>
        </w:rPr>
        <w:t>模型单元在视觉呈现时，几何表达真实性和准确性的衡量指标</w:t>
      </w:r>
      <w:r>
        <w:rPr>
          <w:color w:val="auto"/>
        </w:rPr>
        <w:t>。</w:t>
      </w:r>
    </w:p>
    <w:p>
      <w:pPr>
        <w:ind w:firstLine="0" w:firstLineChars="0"/>
        <w:rPr>
          <w:color w:val="auto"/>
        </w:rPr>
      </w:pPr>
      <w:r>
        <w:rPr>
          <w:color w:val="auto"/>
        </w:rPr>
        <w:t>2.1.1</w:t>
      </w:r>
      <w:r>
        <w:rPr>
          <w:rFonts w:hint="eastAsia"/>
          <w:color w:val="auto"/>
        </w:rPr>
        <w:t>4</w:t>
      </w:r>
      <w:r>
        <w:rPr>
          <w:color w:val="auto"/>
        </w:rPr>
        <w:t xml:space="preserve">  </w:t>
      </w:r>
      <w:r>
        <w:rPr>
          <w:rFonts w:hint="eastAsia"/>
          <w:color w:val="auto"/>
        </w:rPr>
        <w:t>信息深度</w:t>
      </w:r>
      <w:r>
        <w:rPr>
          <w:color w:val="auto"/>
        </w:rPr>
        <w:t xml:space="preserve">  level of </w:t>
      </w:r>
      <w:r>
        <w:rPr>
          <w:rFonts w:hint="eastAsia"/>
          <w:color w:val="auto"/>
        </w:rPr>
        <w:t>information</w:t>
      </w:r>
      <w:r>
        <w:rPr>
          <w:color w:val="auto"/>
        </w:rPr>
        <w:t xml:space="preserve"> detail</w:t>
      </w:r>
    </w:p>
    <w:p>
      <w:pPr>
        <w:ind w:firstLine="480"/>
        <w:rPr>
          <w:color w:val="auto"/>
        </w:rPr>
      </w:pPr>
      <w:r>
        <w:rPr>
          <w:rFonts w:hint="eastAsia"/>
          <w:color w:val="auto"/>
        </w:rPr>
        <w:t>模型单元承载信息详细程度的衡量指标</w:t>
      </w:r>
      <w:r>
        <w:rPr>
          <w:color w:val="auto"/>
        </w:rPr>
        <w:t>。</w:t>
      </w:r>
    </w:p>
    <w:p>
      <w:pPr>
        <w:ind w:firstLine="0" w:firstLineChars="0"/>
        <w:rPr>
          <w:color w:val="auto"/>
        </w:rPr>
      </w:pPr>
      <w:r>
        <w:rPr>
          <w:color w:val="auto"/>
        </w:rPr>
        <w:t>2.1.1</w:t>
      </w:r>
      <w:r>
        <w:rPr>
          <w:rFonts w:hint="eastAsia"/>
          <w:color w:val="auto"/>
        </w:rPr>
        <w:t>5通用数据环境</w:t>
      </w:r>
      <w:r>
        <w:rPr>
          <w:color w:val="auto"/>
        </w:rPr>
        <w:t xml:space="preserve">  </w:t>
      </w:r>
      <w:r>
        <w:rPr>
          <w:rFonts w:hint="eastAsia"/>
          <w:color w:val="auto"/>
        </w:rPr>
        <w:t>common</w:t>
      </w:r>
      <w:r>
        <w:rPr>
          <w:color w:val="auto"/>
        </w:rPr>
        <w:t xml:space="preserve"> data environment (CDE)</w:t>
      </w:r>
    </w:p>
    <w:p>
      <w:pPr>
        <w:adjustRightInd w:val="0"/>
        <w:snapToGrid w:val="0"/>
        <w:ind w:firstLine="480"/>
        <w:rPr>
          <w:color w:val="auto"/>
        </w:rPr>
      </w:pPr>
      <w:r>
        <w:rPr>
          <w:rFonts w:hint="eastAsia" w:ascii="Arial" w:hAnsi="Arial" w:cs="Arial"/>
          <w:color w:val="auto"/>
        </w:rPr>
        <w:t>基于统一的数据信息环境以及标准化的流程</w:t>
      </w:r>
      <w:r>
        <w:rPr>
          <w:rFonts w:ascii="Arial" w:hAnsi="Arial" w:eastAsia="Arial" w:cs="Arial"/>
          <w:color w:val="auto"/>
        </w:rPr>
        <w:t>为整个项目团队收集、管理和</w:t>
      </w:r>
      <w:r>
        <w:rPr>
          <w:rFonts w:hint="eastAsia" w:ascii="Arial" w:hAnsi="Arial" w:cs="Arial"/>
          <w:color w:val="auto"/>
        </w:rPr>
        <w:t>分发</w:t>
      </w:r>
      <w:r>
        <w:rPr>
          <w:rFonts w:ascii="Arial" w:hAnsi="Arial" w:eastAsia="Arial" w:cs="Arial"/>
          <w:color w:val="auto"/>
        </w:rPr>
        <w:t>文档、图形模型和非图形数据</w:t>
      </w:r>
      <w:r>
        <w:rPr>
          <w:rFonts w:hint="eastAsia" w:ascii="Arial" w:hAnsi="Arial" w:cs="Arial"/>
          <w:color w:val="auto"/>
        </w:rPr>
        <w:t>信息，以支持</w:t>
      </w:r>
      <w:r>
        <w:rPr>
          <w:rFonts w:ascii="Arial" w:hAnsi="Arial" w:eastAsia="Arial" w:cs="Arial"/>
          <w:color w:val="auto"/>
        </w:rPr>
        <w:t>项目团队成员之间的协作。</w:t>
      </w:r>
    </w:p>
    <w:p>
      <w:pPr>
        <w:ind w:firstLine="0" w:firstLineChars="0"/>
        <w:rPr>
          <w:color w:val="auto"/>
        </w:rPr>
      </w:pPr>
      <w:r>
        <w:rPr>
          <w:color w:val="auto"/>
        </w:rPr>
        <w:t>2.1.1</w:t>
      </w:r>
      <w:r>
        <w:rPr>
          <w:rFonts w:hint="eastAsia"/>
          <w:color w:val="auto"/>
        </w:rPr>
        <w:t>6</w:t>
      </w:r>
      <w:r>
        <w:rPr>
          <w:color w:val="auto"/>
        </w:rPr>
        <w:t xml:space="preserve"> </w:t>
      </w:r>
      <w:r>
        <w:rPr>
          <w:rFonts w:hint="eastAsia"/>
          <w:color w:val="auto"/>
        </w:rPr>
        <w:t>信息需求水平</w:t>
      </w:r>
      <w:r>
        <w:rPr>
          <w:color w:val="auto"/>
        </w:rPr>
        <w:t xml:space="preserve">  level of information need</w:t>
      </w:r>
    </w:p>
    <w:p>
      <w:pPr>
        <w:adjustRightInd w:val="0"/>
        <w:snapToGrid w:val="0"/>
        <w:ind w:firstLine="482"/>
        <w:rPr>
          <w:color w:val="auto"/>
        </w:rPr>
      </w:pPr>
      <w:r>
        <w:rPr>
          <w:rFonts w:hint="eastAsia"/>
          <w:b/>
          <w:bCs/>
          <w:color w:val="auto"/>
        </w:rPr>
        <w:t>基于模型应用目的</w:t>
      </w:r>
      <w:r>
        <w:rPr>
          <w:rFonts w:hint="eastAsia"/>
          <w:color w:val="auto"/>
        </w:rPr>
        <w:t>确定</w:t>
      </w:r>
      <w:r>
        <w:rPr>
          <w:rFonts w:hint="eastAsia"/>
          <w:color w:val="auto"/>
          <w:lang w:eastAsia="zh-CN"/>
        </w:rPr>
        <w:t>的</w:t>
      </w:r>
      <w:r>
        <w:rPr>
          <w:rFonts w:hint="eastAsia"/>
          <w:color w:val="auto"/>
        </w:rPr>
        <w:t>信息模型创建范围、精细度和信息深度等要求。</w:t>
      </w:r>
    </w:p>
    <w:p>
      <w:pPr>
        <w:ind w:firstLine="0" w:firstLineChars="0"/>
        <w:rPr>
          <w:color w:val="auto"/>
        </w:rPr>
      </w:pPr>
      <w:r>
        <w:rPr>
          <w:color w:val="auto"/>
        </w:rPr>
        <w:t>2.1.1</w:t>
      </w:r>
      <w:r>
        <w:rPr>
          <w:rFonts w:hint="eastAsia"/>
          <w:color w:val="auto"/>
        </w:rPr>
        <w:t>7</w:t>
      </w:r>
      <w:r>
        <w:rPr>
          <w:color w:val="auto"/>
        </w:rPr>
        <w:t xml:space="preserve">  </w:t>
      </w:r>
      <w:r>
        <w:rPr>
          <w:rFonts w:hint="eastAsia"/>
          <w:color w:val="auto"/>
        </w:rPr>
        <w:t>城市信息模型</w:t>
      </w:r>
      <w:r>
        <w:rPr>
          <w:color w:val="auto"/>
        </w:rPr>
        <w:t xml:space="preserve">  city information model/modeling (CIM)</w:t>
      </w:r>
    </w:p>
    <w:p>
      <w:pPr>
        <w:adjustRightInd w:val="0"/>
        <w:snapToGrid w:val="0"/>
        <w:ind w:firstLine="480"/>
        <w:rPr>
          <w:color w:val="auto"/>
        </w:rPr>
      </w:pPr>
      <w:r>
        <w:rPr>
          <w:color w:val="auto"/>
        </w:rPr>
        <w:t>应用建筑信息模型等技术方法对城市对象进行数字化描述和表达，并融合城市业务、社会实体及监测感知等信息，构建城市信息有机综合体的过程和结果，简称 CIM。</w:t>
      </w:r>
    </w:p>
    <w:p>
      <w:pPr>
        <w:pStyle w:val="3"/>
        <w:jc w:val="center"/>
        <w:rPr>
          <w:color w:val="auto"/>
        </w:rPr>
      </w:pPr>
      <w:bookmarkStart w:id="66" w:name="_Toc21246"/>
      <w:r>
        <w:rPr>
          <w:rFonts w:hint="eastAsia"/>
          <w:color w:val="auto"/>
        </w:rPr>
        <w:t>2</w:t>
      </w:r>
      <w:r>
        <w:rPr>
          <w:color w:val="auto"/>
        </w:rPr>
        <w:t>.2  缩略词</w:t>
      </w:r>
      <w:bookmarkEnd w:id="66"/>
    </w:p>
    <w:p>
      <w:pPr>
        <w:ind w:firstLine="0" w:firstLineChars="0"/>
        <w:rPr>
          <w:color w:val="auto"/>
        </w:rPr>
      </w:pPr>
      <w:r>
        <w:rPr>
          <w:rFonts w:hint="eastAsia"/>
          <w:color w:val="auto"/>
        </w:rPr>
        <w:t>B</w:t>
      </w:r>
      <w:r>
        <w:rPr>
          <w:color w:val="auto"/>
        </w:rPr>
        <w:t>IM （B</w:t>
      </w:r>
      <w:r>
        <w:rPr>
          <w:rFonts w:hint="eastAsia"/>
          <w:color w:val="auto"/>
        </w:rPr>
        <w:t>uilding</w:t>
      </w:r>
      <w:r>
        <w:rPr>
          <w:color w:val="auto"/>
        </w:rPr>
        <w:t xml:space="preserve"> Information Model/Modeling）</w:t>
      </w:r>
      <w:r>
        <w:rPr>
          <w:rFonts w:hint="eastAsia"/>
          <w:color w:val="auto"/>
        </w:rPr>
        <w:t>建筑信息模型</w:t>
      </w:r>
    </w:p>
    <w:p>
      <w:pPr>
        <w:ind w:firstLine="0" w:firstLineChars="0"/>
        <w:rPr>
          <w:color w:val="auto"/>
        </w:rPr>
      </w:pPr>
      <w:r>
        <w:rPr>
          <w:color w:val="auto"/>
        </w:rPr>
        <w:t>GIS （Geographic Information System）</w:t>
      </w:r>
      <w:r>
        <w:rPr>
          <w:rFonts w:hint="eastAsia"/>
          <w:color w:val="auto"/>
        </w:rPr>
        <w:t>地理信息系统</w:t>
      </w:r>
    </w:p>
    <w:p>
      <w:pPr>
        <w:ind w:firstLine="0" w:firstLineChars="0"/>
        <w:rPr>
          <w:color w:val="auto"/>
        </w:rPr>
      </w:pPr>
      <w:r>
        <w:rPr>
          <w:color w:val="auto"/>
        </w:rPr>
        <w:t>DEM （D</w:t>
      </w:r>
      <w:r>
        <w:rPr>
          <w:rFonts w:hint="eastAsia"/>
          <w:color w:val="auto"/>
        </w:rPr>
        <w:t>igi</w:t>
      </w:r>
      <w:r>
        <w:rPr>
          <w:color w:val="auto"/>
        </w:rPr>
        <w:t>tal Elevation Model）数字高程模型</w:t>
      </w:r>
    </w:p>
    <w:p>
      <w:pPr>
        <w:ind w:firstLine="0" w:firstLineChars="0"/>
        <w:rPr>
          <w:color w:val="auto"/>
        </w:rPr>
      </w:pPr>
      <w:r>
        <w:rPr>
          <w:color w:val="auto"/>
        </w:rPr>
        <w:t>DTM （Digital Terrain Model）</w:t>
      </w:r>
      <w:r>
        <w:rPr>
          <w:rFonts w:hint="eastAsia"/>
          <w:color w:val="auto"/>
        </w:rPr>
        <w:t>数字地面模型</w:t>
      </w:r>
    </w:p>
    <w:p>
      <w:pPr>
        <w:ind w:firstLine="0" w:firstLineChars="0"/>
        <w:rPr>
          <w:color w:val="auto"/>
        </w:rPr>
      </w:pPr>
      <w:r>
        <w:rPr>
          <w:rFonts w:hint="eastAsia"/>
          <w:color w:val="auto"/>
        </w:rPr>
        <w:t>A</w:t>
      </w:r>
      <w:r>
        <w:rPr>
          <w:color w:val="auto"/>
        </w:rPr>
        <w:t>I （</w:t>
      </w:r>
      <w:r>
        <w:rPr>
          <w:rFonts w:hint="eastAsia"/>
          <w:color w:val="auto"/>
        </w:rPr>
        <w:t>A</w:t>
      </w:r>
      <w:r>
        <w:rPr>
          <w:color w:val="auto"/>
        </w:rPr>
        <w:t>rtificial Intelligence）人工智能</w:t>
      </w:r>
    </w:p>
    <w:p>
      <w:pPr>
        <w:ind w:firstLine="0" w:firstLineChars="0"/>
        <w:rPr>
          <w:color w:val="auto"/>
        </w:rPr>
      </w:pPr>
      <w:r>
        <w:rPr>
          <w:color w:val="auto"/>
        </w:rPr>
        <w:t>IFC （Industry Foundation Classes）</w:t>
      </w:r>
      <w:r>
        <w:rPr>
          <w:rFonts w:hint="eastAsia"/>
          <w:color w:val="auto"/>
        </w:rPr>
        <w:t>工业基础类</w:t>
      </w:r>
    </w:p>
    <w:p>
      <w:pPr>
        <w:ind w:firstLine="0" w:firstLineChars="0"/>
        <w:rPr>
          <w:color w:val="auto"/>
        </w:rPr>
      </w:pPr>
      <w:r>
        <w:rPr>
          <w:rFonts w:hint="eastAsia"/>
          <w:color w:val="auto"/>
        </w:rPr>
        <w:t>B</w:t>
      </w:r>
      <w:r>
        <w:rPr>
          <w:color w:val="auto"/>
        </w:rPr>
        <w:t>PMN （</w:t>
      </w:r>
      <w:r>
        <w:rPr>
          <w:rFonts w:hint="eastAsia"/>
          <w:color w:val="auto"/>
        </w:rPr>
        <w:t>B</w:t>
      </w:r>
      <w:r>
        <w:rPr>
          <w:color w:val="auto"/>
        </w:rPr>
        <w:t>usiness Process Modeling Notation）</w:t>
      </w:r>
      <w:r>
        <w:rPr>
          <w:rFonts w:hint="eastAsia"/>
          <w:color w:val="auto"/>
        </w:rPr>
        <w:t>业务流程建模标记</w:t>
      </w:r>
    </w:p>
    <w:p>
      <w:pPr>
        <w:ind w:firstLine="0" w:firstLineChars="0"/>
        <w:rPr>
          <w:rFonts w:eastAsiaTheme="minorEastAsia"/>
          <w:color w:val="auto"/>
          <w:szCs w:val="32"/>
        </w:rPr>
      </w:pPr>
      <w:r>
        <w:rPr>
          <w:rFonts w:eastAsiaTheme="minorEastAsia"/>
          <w:color w:val="auto"/>
          <w:szCs w:val="32"/>
        </w:rPr>
        <w:t>2.2条文说明：</w:t>
      </w:r>
    </w:p>
    <w:p>
      <w:pPr>
        <w:ind w:firstLine="0" w:firstLineChars="0"/>
        <w:rPr>
          <w:color w:val="auto"/>
        </w:rPr>
      </w:pPr>
    </w:p>
    <w:p>
      <w:pPr>
        <w:ind w:firstLine="480"/>
        <w:rPr>
          <w:color w:val="auto"/>
        </w:rPr>
        <w:sectPr>
          <w:pgSz w:w="11906" w:h="16838"/>
          <w:pgMar w:top="1440" w:right="1800" w:bottom="1440" w:left="1800" w:header="851" w:footer="992" w:gutter="0"/>
          <w:cols w:space="425" w:num="1"/>
          <w:docGrid w:type="lines" w:linePitch="312" w:charSpace="0"/>
        </w:sectPr>
      </w:pPr>
    </w:p>
    <w:p>
      <w:pPr>
        <w:pStyle w:val="2"/>
        <w:numPr>
          <w:ilvl w:val="0"/>
          <w:numId w:val="12"/>
        </w:numPr>
        <w:spacing w:before="312" w:after="312"/>
        <w:jc w:val="center"/>
        <w:rPr>
          <w:color w:val="auto"/>
        </w:rPr>
      </w:pPr>
      <w:bookmarkStart w:id="67" w:name="_Toc14080"/>
      <w:r>
        <w:rPr>
          <w:rFonts w:hint="eastAsia"/>
          <w:color w:val="auto"/>
        </w:rPr>
        <w:t>基本规定</w:t>
      </w:r>
      <w:bookmarkEnd w:id="67"/>
    </w:p>
    <w:p>
      <w:pPr>
        <w:pStyle w:val="4"/>
        <w:ind w:firstLine="0" w:firstLineChars="0"/>
        <w:rPr>
          <w:color w:val="auto"/>
        </w:rPr>
      </w:pPr>
      <w:r>
        <w:rPr>
          <w:rFonts w:hint="eastAsia"/>
          <w:color w:val="auto"/>
          <w:lang w:eastAsia="zh-CN"/>
        </w:rPr>
        <w:t>3.0.</w:t>
      </w:r>
      <w:r>
        <w:rPr>
          <w:color w:val="auto"/>
        </w:rPr>
        <w:t xml:space="preserve">1 </w:t>
      </w:r>
      <w:r>
        <w:rPr>
          <w:rFonts w:hint="eastAsia"/>
          <w:color w:val="auto"/>
        </w:rPr>
        <w:t>模型</w:t>
      </w:r>
      <w:r>
        <w:rPr>
          <w:color w:val="auto"/>
        </w:rPr>
        <w:t>应用应能实现城市道路工程各相关方的协同工作、信息共享。</w:t>
      </w:r>
    </w:p>
    <w:p>
      <w:pPr>
        <w:pStyle w:val="4"/>
        <w:ind w:firstLine="0" w:firstLineChars="0"/>
        <w:rPr>
          <w:color w:val="auto"/>
        </w:rPr>
      </w:pPr>
      <w:r>
        <w:rPr>
          <w:rFonts w:hint="eastAsia"/>
          <w:color w:val="auto"/>
          <w:lang w:eastAsia="zh-CN"/>
        </w:rPr>
        <w:t>3.0.</w:t>
      </w:r>
      <w:r>
        <w:rPr>
          <w:color w:val="auto"/>
        </w:rPr>
        <w:t xml:space="preserve">2 </w:t>
      </w:r>
      <w:r>
        <w:rPr>
          <w:rFonts w:hint="eastAsia"/>
          <w:color w:val="auto"/>
        </w:rPr>
        <w:t>模型</w:t>
      </w:r>
      <w:r>
        <w:rPr>
          <w:color w:val="auto"/>
        </w:rPr>
        <w:t>应用</w:t>
      </w:r>
      <w:r>
        <w:rPr>
          <w:rFonts w:hint="eastAsia"/>
          <w:color w:val="auto"/>
        </w:rPr>
        <w:t>宜</w:t>
      </w:r>
      <w:r>
        <w:rPr>
          <w:color w:val="auto"/>
        </w:rPr>
        <w:t>贯穿城市道路工程全生命期，宜</w:t>
      </w:r>
      <w:r>
        <w:rPr>
          <w:rFonts w:hint="eastAsia"/>
          <w:color w:val="auto"/>
        </w:rPr>
        <w:t>覆盖</w:t>
      </w:r>
      <w:r>
        <w:rPr>
          <w:color w:val="auto"/>
        </w:rPr>
        <w:t>规划、设计、施工、运维、拆除等全过程阶段，也可根据工程实际情况在某一阶段或环节内应用，各阶段</w:t>
      </w:r>
      <w:r>
        <w:rPr>
          <w:rFonts w:hint="eastAsia"/>
          <w:color w:val="auto"/>
        </w:rPr>
        <w:t>模型应用点宜符合附录A的要求</w:t>
      </w:r>
      <w:r>
        <w:rPr>
          <w:color w:val="auto"/>
        </w:rPr>
        <w:t>。</w:t>
      </w:r>
    </w:p>
    <w:p>
      <w:pPr>
        <w:pStyle w:val="4"/>
        <w:ind w:firstLine="0" w:firstLineChars="0"/>
        <w:rPr>
          <w:color w:val="auto"/>
        </w:rPr>
      </w:pPr>
      <w:r>
        <w:rPr>
          <w:rFonts w:hint="eastAsia"/>
          <w:color w:val="auto"/>
          <w:lang w:eastAsia="zh-CN"/>
        </w:rPr>
        <w:t>3.0.</w:t>
      </w:r>
      <w:r>
        <w:rPr>
          <w:color w:val="auto"/>
        </w:rPr>
        <w:t xml:space="preserve">3 </w:t>
      </w:r>
      <w:r>
        <w:rPr>
          <w:rFonts w:hint="eastAsia"/>
          <w:color w:val="auto"/>
        </w:rPr>
        <w:t>模型应用贯穿建设工程项目</w:t>
      </w:r>
      <w:r>
        <w:rPr>
          <w:rFonts w:hint="eastAsia"/>
          <w:color w:val="auto"/>
          <w:lang w:val="en-US" w:eastAsia="zh-CN"/>
        </w:rPr>
        <w:t>两个及以上阶段</w:t>
      </w:r>
      <w:r>
        <w:rPr>
          <w:rFonts w:hint="eastAsia"/>
          <w:color w:val="auto"/>
        </w:rPr>
        <w:t>时，宜对建设工程项目进行数字技术应用全过程工程咨询</w:t>
      </w:r>
      <w:r>
        <w:rPr>
          <w:color w:val="auto"/>
        </w:rPr>
        <w:t>。</w:t>
      </w:r>
    </w:p>
    <w:p>
      <w:pPr>
        <w:pStyle w:val="4"/>
        <w:ind w:firstLine="0" w:firstLineChars="0"/>
        <w:rPr>
          <w:color w:val="auto"/>
        </w:rPr>
      </w:pPr>
      <w:r>
        <w:rPr>
          <w:rFonts w:hint="eastAsia"/>
          <w:color w:val="auto"/>
          <w:lang w:eastAsia="zh-CN"/>
        </w:rPr>
        <w:t>3.0.</w:t>
      </w:r>
      <w:r>
        <w:rPr>
          <w:rFonts w:hint="eastAsia"/>
          <w:color w:val="auto"/>
        </w:rPr>
        <w:t>4</w:t>
      </w:r>
      <w:r>
        <w:rPr>
          <w:color w:val="auto"/>
        </w:rPr>
        <w:t xml:space="preserve"> </w:t>
      </w:r>
      <w:r>
        <w:rPr>
          <w:rFonts w:hint="eastAsia"/>
          <w:color w:val="auto"/>
        </w:rPr>
        <w:t>工程建设项目数字技术应用宜建立应用后评价机制，并明确评价方法与评价指标。</w:t>
      </w:r>
    </w:p>
    <w:p>
      <w:pPr>
        <w:pStyle w:val="4"/>
        <w:ind w:firstLine="0" w:firstLineChars="0"/>
        <w:rPr>
          <w:color w:val="auto"/>
        </w:rPr>
      </w:pPr>
      <w:r>
        <w:rPr>
          <w:rFonts w:hint="eastAsia"/>
          <w:color w:val="auto"/>
          <w:lang w:eastAsia="zh-CN"/>
        </w:rPr>
        <w:t>3.0.</w:t>
      </w:r>
      <w:r>
        <w:rPr>
          <w:rFonts w:hint="eastAsia"/>
          <w:color w:val="auto"/>
        </w:rPr>
        <w:t>5</w:t>
      </w:r>
      <w:r>
        <w:rPr>
          <w:color w:val="auto"/>
        </w:rPr>
        <w:t xml:space="preserve"> </w:t>
      </w:r>
      <w:r>
        <w:rPr>
          <w:rFonts w:hint="eastAsia"/>
          <w:color w:val="auto"/>
        </w:rPr>
        <w:t>模型创建</w:t>
      </w:r>
      <w:r>
        <w:rPr>
          <w:color w:val="auto"/>
        </w:rPr>
        <w:t>、使用和管理过程中，应采取措施保证</w:t>
      </w:r>
      <w:r>
        <w:rPr>
          <w:rFonts w:hint="eastAsia"/>
          <w:color w:val="auto"/>
        </w:rPr>
        <w:t>数据</w:t>
      </w:r>
      <w:r>
        <w:rPr>
          <w:color w:val="auto"/>
        </w:rPr>
        <w:t>信息安全。</w:t>
      </w:r>
    </w:p>
    <w:p>
      <w:pPr>
        <w:pStyle w:val="4"/>
        <w:ind w:firstLine="0" w:firstLineChars="0"/>
        <w:rPr>
          <w:color w:val="auto"/>
        </w:rPr>
      </w:pPr>
      <w:r>
        <w:rPr>
          <w:rFonts w:hint="eastAsia"/>
          <w:color w:val="auto"/>
          <w:lang w:eastAsia="zh-CN"/>
        </w:rPr>
        <w:t>3.0.</w:t>
      </w:r>
      <w:r>
        <w:rPr>
          <w:rFonts w:hint="eastAsia"/>
          <w:color w:val="auto"/>
        </w:rPr>
        <w:t>6</w:t>
      </w:r>
      <w:r>
        <w:rPr>
          <w:color w:val="auto"/>
        </w:rPr>
        <w:t xml:space="preserve"> </w:t>
      </w:r>
      <w:r>
        <w:rPr>
          <w:rFonts w:hint="eastAsia"/>
          <w:color w:val="auto"/>
        </w:rPr>
        <w:t>模型软件宜具备查验模型及其应用符合城市道路工程相关建设标准及规范的功能</w:t>
      </w:r>
      <w:r>
        <w:rPr>
          <w:color w:val="auto"/>
        </w:rPr>
        <w:t>。</w:t>
      </w:r>
    </w:p>
    <w:p>
      <w:pPr>
        <w:pStyle w:val="4"/>
        <w:ind w:firstLine="0" w:firstLineChars="0"/>
        <w:rPr>
          <w:color w:val="auto"/>
        </w:rPr>
      </w:pPr>
      <w:r>
        <w:rPr>
          <w:rFonts w:hint="eastAsia"/>
          <w:color w:val="auto"/>
          <w:lang w:eastAsia="zh-CN"/>
        </w:rPr>
        <w:t>3.0.</w:t>
      </w:r>
      <w:r>
        <w:rPr>
          <w:rFonts w:hint="eastAsia"/>
          <w:color w:val="auto"/>
        </w:rPr>
        <w:t>7</w:t>
      </w:r>
      <w:r>
        <w:rPr>
          <w:color w:val="auto"/>
        </w:rPr>
        <w:t xml:space="preserve"> 对</w:t>
      </w:r>
      <w:r>
        <w:rPr>
          <w:rFonts w:hint="eastAsia"/>
          <w:color w:val="auto"/>
        </w:rPr>
        <w:t>模型软件的专业技术</w:t>
      </w:r>
      <w:r>
        <w:rPr>
          <w:rFonts w:hint="eastAsia"/>
          <w:color w:val="auto"/>
          <w:lang w:val="en-US" w:eastAsia="zh-CN"/>
        </w:rPr>
        <w:t>应用</w:t>
      </w:r>
      <w:r>
        <w:rPr>
          <w:rFonts w:hint="eastAsia"/>
          <w:color w:val="auto"/>
        </w:rPr>
        <w:t>水平、数据管理能力以及数据互用能力宜进行评估</w:t>
      </w:r>
      <w:r>
        <w:rPr>
          <w:color w:val="auto"/>
        </w:rPr>
        <w:t>。</w:t>
      </w:r>
    </w:p>
    <w:p>
      <w:pPr>
        <w:pStyle w:val="4"/>
        <w:ind w:firstLine="0" w:firstLineChars="0"/>
        <w:rPr>
          <w:color w:val="auto"/>
        </w:rPr>
      </w:pPr>
      <w:r>
        <w:rPr>
          <w:rFonts w:hint="eastAsia"/>
          <w:color w:val="auto"/>
          <w:lang w:eastAsia="zh-CN"/>
        </w:rPr>
        <w:t>3.0.</w:t>
      </w:r>
      <w:r>
        <w:rPr>
          <w:rFonts w:hint="eastAsia"/>
          <w:color w:val="auto"/>
        </w:rPr>
        <w:t>8</w:t>
      </w:r>
      <w:r>
        <w:rPr>
          <w:color w:val="auto"/>
        </w:rPr>
        <w:t>模型应用目标与范围应根据项目特点、合</w:t>
      </w:r>
      <w:r>
        <w:rPr>
          <w:rFonts w:hint="eastAsia"/>
          <w:color w:val="auto"/>
        </w:rPr>
        <w:t>同</w:t>
      </w:r>
      <w:r>
        <w:rPr>
          <w:color w:val="auto"/>
        </w:rPr>
        <w:t>或协议要求、</w:t>
      </w:r>
      <w:r>
        <w:rPr>
          <w:rFonts w:hint="eastAsia"/>
          <w:color w:val="auto"/>
        </w:rPr>
        <w:t>工程应用需求</w:t>
      </w:r>
      <w:r>
        <w:rPr>
          <w:color w:val="auto"/>
        </w:rPr>
        <w:t>等综合确定</w:t>
      </w:r>
      <w:r>
        <w:rPr>
          <w:rFonts w:hint="eastAsia"/>
          <w:color w:val="auto"/>
        </w:rPr>
        <w:t>，应对应用点需求评估分析并进行优先级排序。</w:t>
      </w:r>
    </w:p>
    <w:p>
      <w:pPr>
        <w:pStyle w:val="4"/>
        <w:ind w:firstLine="0" w:firstLineChars="0"/>
        <w:rPr>
          <w:color w:val="auto"/>
        </w:rPr>
      </w:pPr>
      <w:r>
        <w:rPr>
          <w:rFonts w:hint="eastAsia"/>
          <w:color w:val="auto"/>
          <w:lang w:eastAsia="zh-CN"/>
        </w:rPr>
        <w:t>3.0.</w:t>
      </w:r>
      <w:r>
        <w:rPr>
          <w:rFonts w:hint="eastAsia"/>
          <w:color w:val="auto"/>
        </w:rPr>
        <w:t>9</w:t>
      </w:r>
      <w:r>
        <w:rPr>
          <w:color w:val="auto"/>
        </w:rPr>
        <w:t xml:space="preserve"> </w:t>
      </w:r>
      <w:r>
        <w:rPr>
          <w:rFonts w:hint="eastAsia"/>
          <w:color w:val="auto"/>
        </w:rPr>
        <w:t>模型应用宜满足数字化建造</w:t>
      </w:r>
      <w:r>
        <w:rPr>
          <w:rFonts w:hint="eastAsia"/>
          <w:color w:val="auto"/>
          <w:lang w:eastAsia="zh-CN"/>
        </w:rPr>
        <w:t>、</w:t>
      </w:r>
      <w:r>
        <w:rPr>
          <w:rFonts w:hint="eastAsia"/>
          <w:color w:val="auto"/>
          <w:lang w:val="en-US" w:eastAsia="zh-CN"/>
        </w:rPr>
        <w:t>智能建造</w:t>
      </w:r>
      <w:r>
        <w:rPr>
          <w:rFonts w:hint="eastAsia"/>
          <w:color w:val="auto"/>
        </w:rPr>
        <w:t>以及数字化</w:t>
      </w:r>
      <w:r>
        <w:rPr>
          <w:color w:val="auto"/>
        </w:rPr>
        <w:t>运维等方面的需求，</w:t>
      </w:r>
      <w:r>
        <w:rPr>
          <w:rFonts w:hint="eastAsia"/>
          <w:color w:val="auto"/>
          <w:lang w:val="en-US" w:eastAsia="zh-CN"/>
        </w:rPr>
        <w:t>并满足</w:t>
      </w:r>
      <w:r>
        <w:rPr>
          <w:rFonts w:hint="eastAsia"/>
          <w:color w:val="auto"/>
        </w:rPr>
        <w:t>C</w:t>
      </w:r>
      <w:r>
        <w:rPr>
          <w:color w:val="auto"/>
        </w:rPr>
        <w:t>IM</w:t>
      </w:r>
      <w:r>
        <w:rPr>
          <w:rFonts w:hint="eastAsia"/>
          <w:color w:val="auto"/>
        </w:rPr>
        <w:t>应用</w:t>
      </w:r>
      <w:r>
        <w:rPr>
          <w:color w:val="auto"/>
        </w:rPr>
        <w:t>需求。</w:t>
      </w:r>
    </w:p>
    <w:p>
      <w:pPr>
        <w:pStyle w:val="4"/>
        <w:ind w:firstLine="0" w:firstLineChars="0"/>
        <w:rPr>
          <w:color w:val="auto"/>
        </w:rPr>
      </w:pPr>
      <w:r>
        <w:rPr>
          <w:rFonts w:hint="eastAsia"/>
          <w:color w:val="auto"/>
          <w:lang w:eastAsia="zh-CN"/>
        </w:rPr>
        <w:t>3.0.</w:t>
      </w:r>
      <w:r>
        <w:rPr>
          <w:rFonts w:hint="eastAsia"/>
          <w:color w:val="auto"/>
        </w:rPr>
        <w:t>10</w:t>
      </w:r>
      <w:r>
        <w:rPr>
          <w:color w:val="auto"/>
        </w:rPr>
        <w:t>模型</w:t>
      </w:r>
      <w:r>
        <w:rPr>
          <w:rFonts w:hint="eastAsia"/>
          <w:color w:val="auto"/>
        </w:rPr>
        <w:t>交付</w:t>
      </w:r>
      <w:r>
        <w:rPr>
          <w:color w:val="auto"/>
        </w:rPr>
        <w:t>应包括交付准备、交付物和交付协同等方面内容，应满足相关协同应用需求</w:t>
      </w:r>
      <w:r>
        <w:rPr>
          <w:rFonts w:hint="eastAsia"/>
          <w:color w:val="auto"/>
        </w:rPr>
        <w:t>。</w:t>
      </w:r>
      <w:r>
        <w:rPr>
          <w:color w:val="auto"/>
        </w:rPr>
        <w:t>以交付物为依据进行应用时，各参与方应基于协调一致的交付物进行协同</w:t>
      </w:r>
      <w:r>
        <w:rPr>
          <w:rFonts w:hint="eastAsia"/>
          <w:color w:val="auto"/>
        </w:rPr>
        <w:t>，</w:t>
      </w:r>
      <w:r>
        <w:rPr>
          <w:color w:val="auto"/>
        </w:rPr>
        <w:t>交付物的信息需求水平由</w:t>
      </w:r>
      <w:r>
        <w:rPr>
          <w:rFonts w:hint="eastAsia"/>
          <w:color w:val="auto"/>
          <w:lang w:val="en-US" w:eastAsia="zh-CN"/>
        </w:rPr>
        <w:t>专业技术要求和工程</w:t>
      </w:r>
      <w:r>
        <w:rPr>
          <w:color w:val="auto"/>
        </w:rPr>
        <w:t>应用目</w:t>
      </w:r>
      <w:r>
        <w:rPr>
          <w:rFonts w:hint="eastAsia"/>
          <w:color w:val="auto"/>
        </w:rPr>
        <w:t>标</w:t>
      </w:r>
      <w:r>
        <w:rPr>
          <w:color w:val="auto"/>
        </w:rPr>
        <w:t>确定</w:t>
      </w:r>
      <w:r>
        <w:rPr>
          <w:rFonts w:hint="eastAsia"/>
          <w:color w:val="auto"/>
        </w:rPr>
        <w:t>。</w:t>
      </w:r>
    </w:p>
    <w:p>
      <w:pPr>
        <w:pStyle w:val="4"/>
        <w:ind w:firstLine="0" w:firstLineChars="0"/>
        <w:rPr>
          <w:color w:val="auto"/>
        </w:rPr>
      </w:pPr>
      <w:r>
        <w:rPr>
          <w:rFonts w:hint="eastAsia"/>
          <w:color w:val="auto"/>
          <w:lang w:eastAsia="zh-CN"/>
        </w:rPr>
        <w:t>3.0.</w:t>
      </w:r>
      <w:r>
        <w:rPr>
          <w:color w:val="auto"/>
        </w:rPr>
        <w:t>1</w:t>
      </w:r>
      <w:r>
        <w:rPr>
          <w:rFonts w:hint="eastAsia"/>
          <w:color w:val="auto"/>
        </w:rPr>
        <w:t xml:space="preserve">1 </w:t>
      </w:r>
      <w:r>
        <w:rPr>
          <w:color w:val="auto"/>
        </w:rPr>
        <w:t>模型</w:t>
      </w:r>
      <w:r>
        <w:rPr>
          <w:rFonts w:hint="eastAsia"/>
          <w:color w:val="auto"/>
        </w:rPr>
        <w:t>分类与编码应符合《建筑信息模型分类与编码标准》（GB/T 51269）</w:t>
      </w:r>
      <w:r>
        <w:rPr>
          <w:rFonts w:hint="eastAsia"/>
          <w:color w:val="auto"/>
          <w:lang w:val="en-US" w:eastAsia="zh-CN"/>
        </w:rPr>
        <w:t>和</w:t>
      </w:r>
      <w:r>
        <w:rPr>
          <w:rFonts w:hint="eastAsia"/>
          <w:color w:val="auto"/>
        </w:rPr>
        <w:t>《城市道路工程信息模型分类和编码标准》（</w:t>
      </w:r>
      <w:r>
        <w:rPr>
          <w:color w:val="auto"/>
        </w:rPr>
        <w:t>T/CECS 1195</w:t>
      </w:r>
      <w:r>
        <w:rPr>
          <w:rFonts w:hint="eastAsia"/>
          <w:color w:val="auto"/>
        </w:rPr>
        <w:t>）</w:t>
      </w:r>
      <w:r>
        <w:rPr>
          <w:color w:val="auto"/>
        </w:rPr>
        <w:t>的要求。</w:t>
      </w:r>
    </w:p>
    <w:p>
      <w:pPr>
        <w:pStyle w:val="4"/>
        <w:ind w:firstLine="0" w:firstLineChars="0"/>
        <w:rPr>
          <w:color w:val="auto"/>
        </w:rPr>
      </w:pPr>
      <w:r>
        <w:rPr>
          <w:rFonts w:hint="eastAsia"/>
          <w:color w:val="auto"/>
          <w:lang w:eastAsia="zh-CN"/>
        </w:rPr>
        <w:t>3.0.</w:t>
      </w:r>
      <w:r>
        <w:rPr>
          <w:color w:val="auto"/>
        </w:rPr>
        <w:t>1</w:t>
      </w:r>
      <w:r>
        <w:rPr>
          <w:rFonts w:hint="eastAsia"/>
          <w:color w:val="auto"/>
        </w:rPr>
        <w:t xml:space="preserve">2 </w:t>
      </w:r>
      <w:r>
        <w:rPr>
          <w:color w:val="auto"/>
        </w:rPr>
        <w:t>模型制图</w:t>
      </w:r>
      <w:r>
        <w:rPr>
          <w:rFonts w:hint="eastAsia"/>
          <w:color w:val="auto"/>
        </w:rPr>
        <w:t>应</w:t>
      </w:r>
      <w:r>
        <w:rPr>
          <w:color w:val="auto"/>
        </w:rPr>
        <w:t>满足《建筑工程设计信息模型制图标准》（</w:t>
      </w:r>
      <w:r>
        <w:rPr>
          <w:rFonts w:hint="eastAsia"/>
          <w:color w:val="auto"/>
        </w:rPr>
        <w:t>J</w:t>
      </w:r>
      <w:r>
        <w:rPr>
          <w:color w:val="auto"/>
        </w:rPr>
        <w:t>GJ/T 448）的要求。当合同</w:t>
      </w:r>
      <w:r>
        <w:rPr>
          <w:rFonts w:hint="eastAsia"/>
          <w:color w:val="auto"/>
        </w:rPr>
        <w:t>或</w:t>
      </w:r>
      <w:r>
        <w:rPr>
          <w:color w:val="auto"/>
        </w:rPr>
        <w:t>协议对项目有具体要求与约定时，可按其要求执行。</w:t>
      </w:r>
    </w:p>
    <w:p>
      <w:pPr>
        <w:pStyle w:val="4"/>
        <w:ind w:firstLine="0" w:firstLineChars="0"/>
        <w:rPr>
          <w:color w:val="auto"/>
        </w:rPr>
      </w:pPr>
      <w:r>
        <w:rPr>
          <w:rFonts w:hint="eastAsia"/>
          <w:color w:val="auto"/>
          <w:lang w:eastAsia="zh-CN"/>
        </w:rPr>
        <w:t>3.0.</w:t>
      </w:r>
      <w:r>
        <w:rPr>
          <w:color w:val="auto"/>
        </w:rPr>
        <w:t>1</w:t>
      </w:r>
      <w:r>
        <w:rPr>
          <w:rFonts w:hint="eastAsia"/>
          <w:color w:val="auto"/>
        </w:rPr>
        <w:t>3 当工程建设项目采用新技术、新工艺、新材料、新设备时，宜在模型及应用中有具体体现</w:t>
      </w:r>
      <w:r>
        <w:rPr>
          <w:color w:val="auto"/>
        </w:rPr>
        <w:t>。</w:t>
      </w:r>
    </w:p>
    <w:p>
      <w:pPr>
        <w:pStyle w:val="4"/>
        <w:ind w:firstLine="0" w:firstLineChars="0"/>
        <w:rPr>
          <w:color w:val="auto"/>
        </w:rPr>
      </w:pPr>
      <w:r>
        <w:rPr>
          <w:rFonts w:hint="eastAsia"/>
          <w:color w:val="auto"/>
          <w:lang w:eastAsia="zh-CN"/>
        </w:rPr>
        <w:t>3.0.</w:t>
      </w:r>
      <w:r>
        <w:rPr>
          <w:color w:val="auto"/>
        </w:rPr>
        <w:t>1</w:t>
      </w:r>
      <w:r>
        <w:rPr>
          <w:rFonts w:hint="eastAsia"/>
          <w:color w:val="auto"/>
        </w:rPr>
        <w:t xml:space="preserve">4 </w:t>
      </w:r>
      <w:r>
        <w:rPr>
          <w:color w:val="auto"/>
        </w:rPr>
        <w:t xml:space="preserve"> 项目实施应用流程图</w:t>
      </w:r>
      <w:r>
        <w:rPr>
          <w:rFonts w:hint="eastAsia"/>
          <w:color w:val="auto"/>
        </w:rPr>
        <w:t>宜</w:t>
      </w:r>
      <w:r>
        <w:rPr>
          <w:color w:val="auto"/>
        </w:rPr>
        <w:t>采用</w:t>
      </w:r>
      <w:r>
        <w:rPr>
          <w:rFonts w:hint="eastAsia"/>
          <w:color w:val="auto"/>
        </w:rPr>
        <w:t>B</w:t>
      </w:r>
      <w:r>
        <w:rPr>
          <w:color w:val="auto"/>
        </w:rPr>
        <w:t>PMN方法表述。</w:t>
      </w:r>
    </w:p>
    <w:p>
      <w:pPr>
        <w:pStyle w:val="4"/>
        <w:ind w:firstLine="0" w:firstLineChars="0"/>
        <w:rPr>
          <w:color w:val="auto"/>
        </w:rPr>
      </w:pPr>
      <w:r>
        <w:rPr>
          <w:rFonts w:hint="eastAsia"/>
          <w:color w:val="auto"/>
          <w:lang w:eastAsia="zh-CN"/>
        </w:rPr>
        <w:t>3.0.</w:t>
      </w:r>
      <w:r>
        <w:rPr>
          <w:color w:val="auto"/>
        </w:rPr>
        <w:t>1</w:t>
      </w:r>
      <w:r>
        <w:rPr>
          <w:rFonts w:hint="eastAsia"/>
          <w:color w:val="auto"/>
        </w:rPr>
        <w:t>5 工程建设项目</w:t>
      </w:r>
      <w:r>
        <w:rPr>
          <w:rFonts w:hint="eastAsia"/>
          <w:color w:val="auto"/>
          <w:lang w:val="en-US" w:eastAsia="zh-CN"/>
        </w:rPr>
        <w:t>模型</w:t>
      </w:r>
      <w:r>
        <w:rPr>
          <w:rFonts w:hint="eastAsia"/>
          <w:color w:val="auto"/>
        </w:rPr>
        <w:t>应用过程中应通过合同或协议明确相关方的权限、责任、义务、数字技术应用成果的知识产权归属、违约责任以及奖惩措施等</w:t>
      </w:r>
      <w:r>
        <w:rPr>
          <w:color w:val="auto"/>
        </w:rPr>
        <w:t>。</w:t>
      </w:r>
    </w:p>
    <w:p>
      <w:pPr>
        <w:ind w:firstLine="0" w:firstLineChars="0"/>
        <w:rPr>
          <w:rFonts w:eastAsiaTheme="minorEastAsia"/>
          <w:color w:val="auto"/>
          <w:szCs w:val="32"/>
        </w:rPr>
      </w:pPr>
    </w:p>
    <w:p>
      <w:pPr>
        <w:ind w:firstLine="0" w:firstLineChars="0"/>
        <w:rPr>
          <w:color w:val="auto"/>
        </w:rPr>
      </w:pPr>
    </w:p>
    <w:p>
      <w:pPr>
        <w:ind w:firstLine="480"/>
        <w:rPr>
          <w:color w:val="auto"/>
        </w:rPr>
        <w:sectPr>
          <w:pgSz w:w="11906" w:h="16838"/>
          <w:pgMar w:top="1440" w:right="1800" w:bottom="1440" w:left="1800" w:header="851" w:footer="992" w:gutter="0"/>
          <w:cols w:space="425" w:num="1"/>
          <w:docGrid w:type="lines" w:linePitch="312" w:charSpace="0"/>
        </w:sectPr>
      </w:pPr>
    </w:p>
    <w:p>
      <w:pPr>
        <w:pStyle w:val="2"/>
        <w:numPr>
          <w:ilvl w:val="0"/>
          <w:numId w:val="12"/>
        </w:numPr>
        <w:spacing w:before="312" w:after="312"/>
        <w:jc w:val="center"/>
        <w:rPr>
          <w:color w:val="auto"/>
        </w:rPr>
      </w:pPr>
      <w:bookmarkStart w:id="68" w:name="_Toc23607"/>
      <w:r>
        <w:rPr>
          <w:rFonts w:hint="eastAsia"/>
          <w:color w:val="auto"/>
        </w:rPr>
        <w:t>协同管理</w:t>
      </w:r>
      <w:bookmarkEnd w:id="68"/>
    </w:p>
    <w:p>
      <w:pPr>
        <w:pStyle w:val="3"/>
        <w:jc w:val="center"/>
        <w:rPr>
          <w:color w:val="auto"/>
        </w:rPr>
      </w:pPr>
      <w:bookmarkStart w:id="69" w:name="_Toc6796"/>
      <w:r>
        <w:rPr>
          <w:color w:val="auto"/>
        </w:rPr>
        <w:t>4.1 一般规定</w:t>
      </w:r>
      <w:bookmarkEnd w:id="69"/>
    </w:p>
    <w:p>
      <w:pPr>
        <w:pStyle w:val="4"/>
        <w:ind w:firstLine="0" w:firstLineChars="0"/>
        <w:rPr>
          <w:color w:val="auto"/>
        </w:rPr>
      </w:pPr>
      <w:r>
        <w:rPr>
          <w:color w:val="auto"/>
        </w:rPr>
        <w:t>4.1.1</w:t>
      </w:r>
      <w:r>
        <w:rPr>
          <w:rFonts w:hint="eastAsia"/>
          <w:color w:val="auto"/>
        </w:rPr>
        <w:t>工程建设相关方</w:t>
      </w:r>
      <w:r>
        <w:rPr>
          <w:color w:val="auto"/>
        </w:rPr>
        <w:t>应</w:t>
      </w:r>
      <w:r>
        <w:rPr>
          <w:rFonts w:hint="eastAsia"/>
          <w:color w:val="auto"/>
        </w:rPr>
        <w:t>综合建设项目需求分析和相关方数字技术应用能力等因素明确模型应用目标，并应满足模型信息协同管理要求</w:t>
      </w:r>
      <w:r>
        <w:rPr>
          <w:color w:val="auto"/>
        </w:rPr>
        <w:t>。</w:t>
      </w:r>
    </w:p>
    <w:p>
      <w:pPr>
        <w:pStyle w:val="4"/>
        <w:ind w:firstLine="0" w:firstLineChars="0"/>
        <w:rPr>
          <w:color w:val="auto"/>
        </w:rPr>
      </w:pPr>
      <w:r>
        <w:rPr>
          <w:rFonts w:hint="eastAsia"/>
          <w:color w:val="auto"/>
        </w:rPr>
        <w:t>4</w:t>
      </w:r>
      <w:r>
        <w:rPr>
          <w:color w:val="auto"/>
        </w:rPr>
        <w:t>.</w:t>
      </w:r>
      <w:r>
        <w:rPr>
          <w:rFonts w:hint="eastAsia"/>
          <w:color w:val="auto"/>
        </w:rPr>
        <w:t>1</w:t>
      </w:r>
      <w:r>
        <w:rPr>
          <w:color w:val="auto"/>
        </w:rPr>
        <w:t>.</w:t>
      </w:r>
      <w:r>
        <w:rPr>
          <w:rFonts w:hint="eastAsia"/>
          <w:color w:val="auto"/>
        </w:rPr>
        <w:t>2</w:t>
      </w:r>
      <w:r>
        <w:rPr>
          <w:color w:val="auto"/>
        </w:rPr>
        <w:t xml:space="preserve"> </w:t>
      </w:r>
      <w:r>
        <w:rPr>
          <w:rFonts w:hint="eastAsia"/>
          <w:color w:val="auto"/>
        </w:rPr>
        <w:t>模型共享数据应能满足</w:t>
      </w:r>
      <w:r>
        <w:rPr>
          <w:color w:val="auto"/>
        </w:rPr>
        <w:t>工程全生命期内各个阶段、各项任务和各相关方之间的交换与应用需求，并应建立相应的模型存储与维护机制。</w:t>
      </w:r>
    </w:p>
    <w:p>
      <w:pPr>
        <w:pStyle w:val="4"/>
        <w:ind w:firstLine="0" w:firstLineChars="0"/>
        <w:rPr>
          <w:color w:val="auto"/>
        </w:rPr>
      </w:pPr>
      <w:r>
        <w:rPr>
          <w:color w:val="auto"/>
        </w:rPr>
        <w:t>4.1.</w:t>
      </w:r>
      <w:r>
        <w:rPr>
          <w:rFonts w:hint="eastAsia"/>
          <w:color w:val="auto"/>
        </w:rPr>
        <w:t>3</w:t>
      </w:r>
      <w:r>
        <w:rPr>
          <w:color w:val="auto"/>
        </w:rPr>
        <w:t xml:space="preserve">  </w:t>
      </w:r>
      <w:r>
        <w:rPr>
          <w:rFonts w:hint="eastAsia"/>
          <w:color w:val="auto"/>
        </w:rPr>
        <w:t>城市道路工程建设项目协同管理</w:t>
      </w:r>
      <w:r>
        <w:rPr>
          <w:color w:val="auto"/>
        </w:rPr>
        <w:t>的主要目标</w:t>
      </w:r>
      <w:r>
        <w:rPr>
          <w:rFonts w:hint="eastAsia"/>
          <w:color w:val="auto"/>
        </w:rPr>
        <w:t>和主要应用点</w:t>
      </w:r>
      <w:r>
        <w:rPr>
          <w:color w:val="auto"/>
        </w:rPr>
        <w:t>应在合同或协议中</w:t>
      </w:r>
      <w:r>
        <w:rPr>
          <w:rFonts w:hint="eastAsia"/>
          <w:color w:val="auto"/>
        </w:rPr>
        <w:t>给出具体条款</w:t>
      </w:r>
      <w:r>
        <w:rPr>
          <w:color w:val="auto"/>
        </w:rPr>
        <w:t>要求，并</w:t>
      </w:r>
      <w:r>
        <w:rPr>
          <w:rFonts w:hint="eastAsia"/>
          <w:color w:val="auto"/>
        </w:rPr>
        <w:t>依此编制</w:t>
      </w:r>
      <w:r>
        <w:rPr>
          <w:color w:val="auto"/>
        </w:rPr>
        <w:t>实施策划</w:t>
      </w:r>
      <w:r>
        <w:rPr>
          <w:rFonts w:hint="eastAsia"/>
          <w:color w:val="auto"/>
        </w:rPr>
        <w:t>方案</w:t>
      </w:r>
      <w:r>
        <w:rPr>
          <w:color w:val="auto"/>
        </w:rPr>
        <w:t>以及</w:t>
      </w:r>
      <w:r>
        <w:rPr>
          <w:rFonts w:hint="eastAsia"/>
          <w:color w:val="auto"/>
        </w:rPr>
        <w:t>对应的</w:t>
      </w:r>
      <w:r>
        <w:rPr>
          <w:color w:val="auto"/>
        </w:rPr>
        <w:t>具体</w:t>
      </w:r>
      <w:r>
        <w:rPr>
          <w:rFonts w:hint="eastAsia"/>
          <w:color w:val="auto"/>
        </w:rPr>
        <w:t>模型协同应用</w:t>
      </w:r>
      <w:r>
        <w:rPr>
          <w:color w:val="auto"/>
        </w:rPr>
        <w:t>执行计划。</w:t>
      </w:r>
    </w:p>
    <w:p>
      <w:pPr>
        <w:pStyle w:val="4"/>
        <w:ind w:firstLine="0" w:firstLineChars="0"/>
        <w:rPr>
          <w:color w:val="auto"/>
        </w:rPr>
      </w:pPr>
      <w:r>
        <w:rPr>
          <w:color w:val="auto"/>
        </w:rPr>
        <w:t>4.1.</w:t>
      </w:r>
      <w:r>
        <w:rPr>
          <w:rFonts w:hint="eastAsia"/>
          <w:color w:val="auto"/>
        </w:rPr>
        <w:t>4</w:t>
      </w:r>
      <w:r>
        <w:rPr>
          <w:color w:val="auto"/>
        </w:rPr>
        <w:t xml:space="preserve">  </w:t>
      </w:r>
      <w:r>
        <w:rPr>
          <w:rFonts w:hint="eastAsia"/>
          <w:color w:val="auto"/>
        </w:rPr>
        <w:t>模型协同</w:t>
      </w:r>
      <w:r>
        <w:rPr>
          <w:color w:val="auto"/>
        </w:rPr>
        <w:t>应用管理</w:t>
      </w:r>
      <w:r>
        <w:rPr>
          <w:rFonts w:hint="eastAsia"/>
          <w:color w:val="auto"/>
        </w:rPr>
        <w:t>应综合工程建设项目</w:t>
      </w:r>
      <w:r>
        <w:rPr>
          <w:color w:val="auto"/>
        </w:rPr>
        <w:t>多参与方、多专业、多平台、全时域、全过程协同等需求</w:t>
      </w:r>
      <w:r>
        <w:rPr>
          <w:rFonts w:hint="eastAsia"/>
          <w:color w:val="auto"/>
        </w:rPr>
        <w:t>特征</w:t>
      </w:r>
      <w:r>
        <w:rPr>
          <w:color w:val="auto"/>
        </w:rPr>
        <w:t>，</w:t>
      </w:r>
      <w:r>
        <w:rPr>
          <w:rFonts w:hint="eastAsia"/>
          <w:color w:val="auto"/>
        </w:rPr>
        <w:t>建立安全</w:t>
      </w:r>
      <w:r>
        <w:rPr>
          <w:color w:val="auto"/>
        </w:rPr>
        <w:t>可行的数据</w:t>
      </w:r>
      <w:r>
        <w:rPr>
          <w:rFonts w:hint="eastAsia"/>
          <w:color w:val="auto"/>
        </w:rPr>
        <w:t>协同</w:t>
      </w:r>
      <w:r>
        <w:rPr>
          <w:color w:val="auto"/>
        </w:rPr>
        <w:t>管理</w:t>
      </w:r>
      <w:r>
        <w:rPr>
          <w:rFonts w:hint="eastAsia"/>
          <w:color w:val="auto"/>
        </w:rPr>
        <w:t>环境与管控机制</w:t>
      </w:r>
      <w:r>
        <w:rPr>
          <w:color w:val="auto"/>
        </w:rPr>
        <w:t>。</w:t>
      </w:r>
    </w:p>
    <w:p>
      <w:pPr>
        <w:pStyle w:val="4"/>
        <w:ind w:firstLine="0" w:firstLineChars="0"/>
        <w:rPr>
          <w:color w:val="auto"/>
        </w:rPr>
      </w:pPr>
      <w:r>
        <w:rPr>
          <w:color w:val="auto"/>
        </w:rPr>
        <w:t>4.1.</w:t>
      </w:r>
      <w:r>
        <w:rPr>
          <w:rFonts w:hint="eastAsia"/>
          <w:color w:val="auto"/>
        </w:rPr>
        <w:t>5</w:t>
      </w:r>
      <w:r>
        <w:rPr>
          <w:color w:val="auto"/>
        </w:rPr>
        <w:t xml:space="preserve"> </w:t>
      </w:r>
      <w:r>
        <w:rPr>
          <w:rFonts w:hint="eastAsia"/>
          <w:color w:val="auto"/>
        </w:rPr>
        <w:t>城市道路工程建设项目协同管理平台的选择应遵循安全性、可靠性、可扩展性、先进性等原则，并应兼顾与专业建模软件的数据协同与兼容性</w:t>
      </w:r>
      <w:r>
        <w:rPr>
          <w:color w:val="auto"/>
        </w:rPr>
        <w:t>。</w:t>
      </w:r>
    </w:p>
    <w:p>
      <w:pPr>
        <w:pStyle w:val="4"/>
        <w:ind w:firstLine="0" w:firstLineChars="0"/>
        <w:rPr>
          <w:color w:val="auto"/>
        </w:rPr>
      </w:pPr>
      <w:r>
        <w:rPr>
          <w:color w:val="auto"/>
        </w:rPr>
        <w:t>4.1.</w:t>
      </w:r>
      <w:r>
        <w:rPr>
          <w:rFonts w:hint="eastAsia"/>
          <w:color w:val="auto"/>
        </w:rPr>
        <w:t>6</w:t>
      </w:r>
      <w:r>
        <w:rPr>
          <w:color w:val="auto"/>
        </w:rPr>
        <w:t xml:space="preserve">  </w:t>
      </w:r>
      <w:r>
        <w:rPr>
          <w:rFonts w:hint="eastAsia"/>
          <w:color w:val="auto"/>
        </w:rPr>
        <w:t>城市道路工程建设项目协同管理平台应进行管理与维护，并应提供相应的数据、服务和应用访问接口，满足相关方数据协同管理的要求</w:t>
      </w:r>
      <w:r>
        <w:rPr>
          <w:color w:val="auto"/>
        </w:rPr>
        <w:t>。</w:t>
      </w:r>
    </w:p>
    <w:p>
      <w:pPr>
        <w:pStyle w:val="4"/>
        <w:ind w:firstLine="0" w:firstLineChars="0"/>
        <w:rPr>
          <w:color w:val="auto"/>
        </w:rPr>
      </w:pPr>
      <w:r>
        <w:rPr>
          <w:color w:val="auto"/>
        </w:rPr>
        <w:t>4.1.</w:t>
      </w:r>
      <w:r>
        <w:rPr>
          <w:rFonts w:hint="eastAsia"/>
          <w:color w:val="auto"/>
        </w:rPr>
        <w:t>7</w:t>
      </w:r>
      <w:r>
        <w:rPr>
          <w:color w:val="auto"/>
        </w:rPr>
        <w:t xml:space="preserve">  </w:t>
      </w:r>
      <w:r>
        <w:rPr>
          <w:rFonts w:hint="eastAsia"/>
          <w:color w:val="auto"/>
        </w:rPr>
        <w:t>施工过程中产生的设计变更需求，应对变更设计流程和变更版本的时效性进行管理</w:t>
      </w:r>
      <w:r>
        <w:rPr>
          <w:color w:val="auto"/>
        </w:rPr>
        <w:t>。</w:t>
      </w:r>
    </w:p>
    <w:p>
      <w:pPr>
        <w:pStyle w:val="4"/>
        <w:ind w:firstLine="0" w:firstLineChars="0"/>
        <w:rPr>
          <w:color w:val="auto"/>
        </w:rPr>
      </w:pPr>
      <w:r>
        <w:rPr>
          <w:color w:val="auto"/>
        </w:rPr>
        <w:t>4.1.</w:t>
      </w:r>
      <w:r>
        <w:rPr>
          <w:rFonts w:hint="eastAsia"/>
          <w:color w:val="auto"/>
        </w:rPr>
        <w:t>8模型</w:t>
      </w:r>
      <w:r>
        <w:rPr>
          <w:color w:val="auto"/>
        </w:rPr>
        <w:t>协同应用过程中</w:t>
      </w:r>
      <w:r>
        <w:rPr>
          <w:rFonts w:hint="eastAsia"/>
          <w:color w:val="auto"/>
        </w:rPr>
        <w:t>应进行</w:t>
      </w:r>
      <w:r>
        <w:rPr>
          <w:color w:val="auto"/>
        </w:rPr>
        <w:t>风险管控，</w:t>
      </w:r>
      <w:r>
        <w:rPr>
          <w:rFonts w:hint="eastAsia"/>
          <w:color w:val="auto"/>
        </w:rPr>
        <w:t>并</w:t>
      </w:r>
      <w:r>
        <w:rPr>
          <w:color w:val="auto"/>
        </w:rPr>
        <w:t>应加强人员</w:t>
      </w:r>
      <w:r>
        <w:rPr>
          <w:rFonts w:hint="eastAsia"/>
          <w:color w:val="auto"/>
        </w:rPr>
        <w:t>合规性</w:t>
      </w:r>
      <w:r>
        <w:rPr>
          <w:color w:val="auto"/>
        </w:rPr>
        <w:t>培训、流程管控、数据质量</w:t>
      </w:r>
      <w:r>
        <w:rPr>
          <w:rFonts w:hint="eastAsia"/>
          <w:color w:val="auto"/>
        </w:rPr>
        <w:t>控制</w:t>
      </w:r>
      <w:r>
        <w:rPr>
          <w:color w:val="auto"/>
        </w:rPr>
        <w:t>等工作。</w:t>
      </w:r>
    </w:p>
    <w:p>
      <w:pPr>
        <w:pStyle w:val="4"/>
        <w:ind w:firstLine="0" w:firstLineChars="0"/>
        <w:rPr>
          <w:color w:val="auto"/>
        </w:rPr>
      </w:pPr>
      <w:r>
        <w:rPr>
          <w:color w:val="auto"/>
        </w:rPr>
        <w:t>4.1.</w:t>
      </w:r>
      <w:r>
        <w:rPr>
          <w:rFonts w:hint="eastAsia"/>
          <w:color w:val="auto"/>
        </w:rPr>
        <w:t>9模型</w:t>
      </w:r>
      <w:r>
        <w:rPr>
          <w:color w:val="auto"/>
        </w:rPr>
        <w:t>协同应用过程中</w:t>
      </w:r>
      <w:r>
        <w:rPr>
          <w:rFonts w:hint="eastAsia"/>
          <w:color w:val="auto"/>
        </w:rPr>
        <w:t>宜具备与G</w:t>
      </w:r>
      <w:r>
        <w:rPr>
          <w:color w:val="auto"/>
        </w:rPr>
        <w:t>IS、大数据、云计算、物联网、AI、移动通信</w:t>
      </w:r>
      <w:r>
        <w:rPr>
          <w:rFonts w:hint="eastAsia"/>
          <w:b/>
          <w:bCs/>
          <w:color w:val="auto"/>
        </w:rPr>
        <w:t>、互联网</w:t>
      </w:r>
      <w:r>
        <w:rPr>
          <w:color w:val="auto"/>
        </w:rPr>
        <w:t>等技术</w:t>
      </w:r>
      <w:r>
        <w:rPr>
          <w:rFonts w:hint="eastAsia"/>
          <w:color w:val="auto"/>
        </w:rPr>
        <w:t>集成与融合的能力</w:t>
      </w:r>
      <w:r>
        <w:rPr>
          <w:color w:val="auto"/>
        </w:rPr>
        <w:t>。</w:t>
      </w:r>
    </w:p>
    <w:p>
      <w:pPr>
        <w:pStyle w:val="3"/>
        <w:jc w:val="center"/>
        <w:rPr>
          <w:color w:val="auto"/>
        </w:rPr>
      </w:pPr>
      <w:bookmarkStart w:id="70" w:name="_Toc12430"/>
      <w:r>
        <w:rPr>
          <w:rFonts w:hint="eastAsia"/>
          <w:color w:val="auto"/>
          <w:lang w:val="en-US" w:eastAsia="zh-CN"/>
        </w:rPr>
        <w:t>4</w:t>
      </w:r>
      <w:r>
        <w:rPr>
          <w:color w:val="auto"/>
        </w:rPr>
        <w:t>.</w:t>
      </w:r>
      <w:r>
        <w:rPr>
          <w:rFonts w:hint="eastAsia"/>
          <w:color w:val="auto"/>
        </w:rPr>
        <w:t>2</w:t>
      </w:r>
      <w:r>
        <w:rPr>
          <w:color w:val="auto"/>
        </w:rPr>
        <w:t xml:space="preserve"> </w:t>
      </w:r>
      <w:r>
        <w:rPr>
          <w:rFonts w:hint="eastAsia"/>
          <w:color w:val="auto"/>
        </w:rPr>
        <w:t>应用</w:t>
      </w:r>
      <w:r>
        <w:rPr>
          <w:color w:val="auto"/>
        </w:rPr>
        <w:t>策划</w:t>
      </w:r>
      <w:bookmarkEnd w:id="70"/>
    </w:p>
    <w:p>
      <w:pPr>
        <w:pStyle w:val="4"/>
        <w:ind w:firstLine="0" w:firstLineChars="0"/>
        <w:rPr>
          <w:color w:val="auto"/>
        </w:rPr>
      </w:pPr>
      <w:r>
        <w:rPr>
          <w:rFonts w:hint="eastAsia"/>
          <w:color w:val="auto"/>
          <w:lang w:eastAsia="zh-CN"/>
        </w:rPr>
        <w:t>4.2.</w:t>
      </w:r>
      <w:r>
        <w:rPr>
          <w:color w:val="auto"/>
        </w:rPr>
        <w:t>1模型应用</w:t>
      </w:r>
      <w:r>
        <w:rPr>
          <w:rFonts w:hint="eastAsia"/>
          <w:color w:val="auto"/>
        </w:rPr>
        <w:t>应</w:t>
      </w:r>
      <w:r>
        <w:rPr>
          <w:color w:val="auto"/>
        </w:rPr>
        <w:t>进行事前策划</w:t>
      </w:r>
      <w:r>
        <w:rPr>
          <w:rFonts w:hint="eastAsia"/>
          <w:color w:val="auto"/>
        </w:rPr>
        <w:t>和综合统筹</w:t>
      </w:r>
      <w:r>
        <w:rPr>
          <w:color w:val="auto"/>
        </w:rPr>
        <w:t>，且应与</w:t>
      </w:r>
      <w:r>
        <w:rPr>
          <w:rFonts w:hint="eastAsia"/>
          <w:color w:val="auto"/>
        </w:rPr>
        <w:t>工程建设项目总体进度</w:t>
      </w:r>
      <w:r>
        <w:rPr>
          <w:color w:val="auto"/>
        </w:rPr>
        <w:t>计划协调一致。</w:t>
      </w:r>
    </w:p>
    <w:p>
      <w:pPr>
        <w:pStyle w:val="4"/>
        <w:ind w:firstLine="0" w:firstLineChars="0"/>
        <w:rPr>
          <w:color w:val="auto"/>
        </w:rPr>
      </w:pPr>
      <w:r>
        <w:rPr>
          <w:rFonts w:hint="eastAsia"/>
          <w:color w:val="auto"/>
          <w:lang w:eastAsia="zh-CN"/>
        </w:rPr>
        <w:t>4.2.</w:t>
      </w:r>
      <w:r>
        <w:rPr>
          <w:color w:val="auto"/>
        </w:rPr>
        <w:t>2 模型应用</w:t>
      </w:r>
      <w:r>
        <w:rPr>
          <w:rFonts w:hint="eastAsia"/>
          <w:color w:val="auto"/>
        </w:rPr>
        <w:t>总体</w:t>
      </w:r>
      <w:r>
        <w:rPr>
          <w:color w:val="auto"/>
        </w:rPr>
        <w:t>策划</w:t>
      </w:r>
      <w:r>
        <w:rPr>
          <w:rFonts w:hint="eastAsia"/>
          <w:color w:val="auto"/>
        </w:rPr>
        <w:t>宜明确</w:t>
      </w:r>
      <w:r>
        <w:rPr>
          <w:color w:val="auto"/>
        </w:rPr>
        <w:t>如下内容：</w:t>
      </w:r>
    </w:p>
    <w:p>
      <w:pPr>
        <w:ind w:firstLine="480"/>
        <w:rPr>
          <w:color w:val="auto"/>
        </w:rPr>
      </w:pPr>
      <w:r>
        <w:rPr>
          <w:rFonts w:hint="eastAsia"/>
          <w:color w:val="auto"/>
        </w:rPr>
        <w:t>1</w:t>
      </w:r>
      <w:r>
        <w:rPr>
          <w:color w:val="auto"/>
        </w:rPr>
        <w:t xml:space="preserve"> 项目</w:t>
      </w:r>
      <w:r>
        <w:rPr>
          <w:rFonts w:hint="eastAsia"/>
          <w:color w:val="auto"/>
        </w:rPr>
        <w:t>概况</w:t>
      </w:r>
      <w:r>
        <w:rPr>
          <w:color w:val="auto"/>
        </w:rPr>
        <w:t>及模型应用目标；</w:t>
      </w:r>
    </w:p>
    <w:p>
      <w:pPr>
        <w:ind w:firstLine="480"/>
        <w:rPr>
          <w:color w:val="auto"/>
        </w:rPr>
      </w:pPr>
      <w:r>
        <w:rPr>
          <w:rFonts w:hint="eastAsia"/>
          <w:color w:val="auto"/>
        </w:rPr>
        <w:t>2</w:t>
      </w:r>
      <w:r>
        <w:rPr>
          <w:color w:val="auto"/>
        </w:rPr>
        <w:t xml:space="preserve"> 模型应用范围与内容；</w:t>
      </w:r>
    </w:p>
    <w:p>
      <w:pPr>
        <w:ind w:firstLine="480"/>
        <w:rPr>
          <w:color w:val="auto"/>
        </w:rPr>
      </w:pPr>
      <w:r>
        <w:rPr>
          <w:rFonts w:hint="eastAsia"/>
          <w:color w:val="auto"/>
        </w:rPr>
        <w:t>3</w:t>
      </w:r>
      <w:r>
        <w:rPr>
          <w:color w:val="auto"/>
        </w:rPr>
        <w:t xml:space="preserve"> 人员组织构架与相应职责；</w:t>
      </w:r>
    </w:p>
    <w:p>
      <w:pPr>
        <w:ind w:firstLine="480"/>
        <w:rPr>
          <w:color w:val="auto"/>
        </w:rPr>
      </w:pPr>
      <w:r>
        <w:rPr>
          <w:color w:val="auto"/>
        </w:rPr>
        <w:t>4 模型应用流程；</w:t>
      </w:r>
    </w:p>
    <w:p>
      <w:pPr>
        <w:ind w:firstLine="480"/>
        <w:rPr>
          <w:color w:val="auto"/>
        </w:rPr>
      </w:pPr>
      <w:r>
        <w:rPr>
          <w:color w:val="auto"/>
        </w:rPr>
        <w:t>5 模型创建、使用和管理要求；</w:t>
      </w:r>
    </w:p>
    <w:p>
      <w:pPr>
        <w:ind w:firstLine="480"/>
        <w:rPr>
          <w:color w:val="auto"/>
        </w:rPr>
      </w:pPr>
      <w:r>
        <w:rPr>
          <w:color w:val="auto"/>
        </w:rPr>
        <w:t>6 信息交换需求；</w:t>
      </w:r>
    </w:p>
    <w:p>
      <w:pPr>
        <w:ind w:firstLine="480"/>
        <w:rPr>
          <w:color w:val="auto"/>
        </w:rPr>
      </w:pPr>
      <w:r>
        <w:rPr>
          <w:rFonts w:hint="eastAsia"/>
          <w:color w:val="auto"/>
        </w:rPr>
        <w:t>7</w:t>
      </w:r>
      <w:r>
        <w:rPr>
          <w:color w:val="auto"/>
        </w:rPr>
        <w:t xml:space="preserve"> 模型质量控制和信息安全要求；</w:t>
      </w:r>
    </w:p>
    <w:p>
      <w:pPr>
        <w:ind w:firstLine="480"/>
        <w:rPr>
          <w:color w:val="auto"/>
        </w:rPr>
      </w:pPr>
      <w:r>
        <w:rPr>
          <w:rFonts w:hint="eastAsia"/>
          <w:color w:val="auto"/>
        </w:rPr>
        <w:t>8</w:t>
      </w:r>
      <w:r>
        <w:rPr>
          <w:color w:val="auto"/>
        </w:rPr>
        <w:t xml:space="preserve"> 计划进度和应用成果交付要求；</w:t>
      </w:r>
    </w:p>
    <w:p>
      <w:pPr>
        <w:ind w:firstLine="480"/>
        <w:rPr>
          <w:color w:val="auto"/>
        </w:rPr>
      </w:pPr>
      <w:r>
        <w:rPr>
          <w:color w:val="auto"/>
        </w:rPr>
        <w:t>9 协作</w:t>
      </w:r>
      <w:r>
        <w:rPr>
          <w:rFonts w:hint="eastAsia"/>
          <w:color w:val="auto"/>
        </w:rPr>
        <w:t>、沟通</w:t>
      </w:r>
      <w:r>
        <w:rPr>
          <w:color w:val="auto"/>
        </w:rPr>
        <w:t>机制与程序；</w:t>
      </w:r>
    </w:p>
    <w:p>
      <w:pPr>
        <w:ind w:firstLine="480"/>
        <w:rPr>
          <w:color w:val="auto"/>
        </w:rPr>
      </w:pPr>
      <w:r>
        <w:rPr>
          <w:color w:val="auto"/>
        </w:rPr>
        <w:t>10 软硬件基础条件</w:t>
      </w:r>
      <w:r>
        <w:rPr>
          <w:rFonts w:hint="eastAsia"/>
          <w:color w:val="auto"/>
        </w:rPr>
        <w:t>；</w:t>
      </w:r>
    </w:p>
    <w:p>
      <w:pPr>
        <w:ind w:firstLine="480"/>
        <w:rPr>
          <w:color w:val="auto"/>
        </w:rPr>
      </w:pPr>
      <w:r>
        <w:rPr>
          <w:rFonts w:hint="eastAsia"/>
          <w:color w:val="auto"/>
        </w:rPr>
        <w:t>1</w:t>
      </w:r>
      <w:r>
        <w:rPr>
          <w:color w:val="auto"/>
        </w:rPr>
        <w:t>1 保障措施等。</w:t>
      </w:r>
    </w:p>
    <w:p>
      <w:pPr>
        <w:pStyle w:val="4"/>
        <w:ind w:firstLine="0" w:firstLineChars="0"/>
        <w:rPr>
          <w:color w:val="auto"/>
        </w:rPr>
      </w:pPr>
      <w:r>
        <w:rPr>
          <w:rFonts w:hint="eastAsia"/>
          <w:color w:val="auto"/>
          <w:lang w:eastAsia="zh-CN"/>
        </w:rPr>
        <w:t>4.2.</w:t>
      </w:r>
      <w:r>
        <w:rPr>
          <w:color w:val="auto"/>
        </w:rPr>
        <w:t>3 模型应用</w:t>
      </w:r>
      <w:r>
        <w:rPr>
          <w:rFonts w:hint="eastAsia"/>
          <w:color w:val="auto"/>
        </w:rPr>
        <w:t>流程编制宜分为总体流程与详细流程两个层次</w:t>
      </w:r>
      <w:r>
        <w:rPr>
          <w:color w:val="auto"/>
        </w:rPr>
        <w:t>。总体流程应描述</w:t>
      </w:r>
      <w:r>
        <w:rPr>
          <w:rFonts w:hint="eastAsia"/>
          <w:color w:val="auto"/>
        </w:rPr>
        <w:t>工程建设项目</w:t>
      </w:r>
      <w:r>
        <w:rPr>
          <w:color w:val="auto"/>
        </w:rPr>
        <w:t>主要模型应用点的实施顺序以及相互关系。详细流程应描述具体模型应用点的</w:t>
      </w:r>
      <w:r>
        <w:rPr>
          <w:rFonts w:hint="eastAsia"/>
          <w:color w:val="auto"/>
        </w:rPr>
        <w:t>详细</w:t>
      </w:r>
      <w:r>
        <w:rPr>
          <w:color w:val="auto"/>
        </w:rPr>
        <w:t>工作顺序、信息交换需求</w:t>
      </w:r>
      <w:r>
        <w:rPr>
          <w:rFonts w:hint="eastAsia"/>
          <w:color w:val="auto"/>
        </w:rPr>
        <w:t>以及</w:t>
      </w:r>
      <w:r>
        <w:rPr>
          <w:color w:val="auto"/>
        </w:rPr>
        <w:t>责任主体等。</w:t>
      </w:r>
    </w:p>
    <w:p>
      <w:pPr>
        <w:pStyle w:val="4"/>
        <w:ind w:firstLine="0" w:firstLineChars="0"/>
        <w:rPr>
          <w:color w:val="auto"/>
        </w:rPr>
      </w:pPr>
      <w:r>
        <w:rPr>
          <w:rFonts w:hint="eastAsia"/>
          <w:color w:val="auto"/>
          <w:lang w:eastAsia="zh-CN"/>
        </w:rPr>
        <w:t>4.2.</w:t>
      </w:r>
      <w:r>
        <w:rPr>
          <w:color w:val="auto"/>
        </w:rPr>
        <w:t>4 编制模型应用</w:t>
      </w:r>
      <w:r>
        <w:rPr>
          <w:rFonts w:hint="eastAsia"/>
          <w:color w:val="auto"/>
        </w:rPr>
        <w:t>策划宜按下列步序进行：</w:t>
      </w:r>
    </w:p>
    <w:p>
      <w:pPr>
        <w:ind w:firstLine="480"/>
        <w:rPr>
          <w:color w:val="auto"/>
        </w:rPr>
      </w:pPr>
      <w:r>
        <w:rPr>
          <w:rFonts w:hint="eastAsia"/>
          <w:color w:val="auto"/>
        </w:rPr>
        <w:t>1</w:t>
      </w:r>
      <w:r>
        <w:rPr>
          <w:color w:val="auto"/>
        </w:rPr>
        <w:t xml:space="preserve">  </w:t>
      </w:r>
      <w:r>
        <w:rPr>
          <w:rFonts w:hint="eastAsia"/>
          <w:color w:val="auto"/>
        </w:rPr>
        <w:t>明确</w:t>
      </w:r>
      <w:r>
        <w:rPr>
          <w:color w:val="auto"/>
        </w:rPr>
        <w:t>模型应用目标；</w:t>
      </w:r>
    </w:p>
    <w:p>
      <w:pPr>
        <w:ind w:firstLine="480"/>
        <w:rPr>
          <w:color w:val="auto"/>
        </w:rPr>
      </w:pPr>
      <w:r>
        <w:rPr>
          <w:rFonts w:hint="eastAsia"/>
          <w:color w:val="auto"/>
        </w:rPr>
        <w:t>2</w:t>
      </w:r>
      <w:r>
        <w:rPr>
          <w:color w:val="auto"/>
        </w:rPr>
        <w:t xml:space="preserve">  </w:t>
      </w:r>
      <w:r>
        <w:rPr>
          <w:rFonts w:hint="eastAsia"/>
          <w:color w:val="auto"/>
        </w:rPr>
        <w:t>确定</w:t>
      </w:r>
      <w:r>
        <w:rPr>
          <w:color w:val="auto"/>
        </w:rPr>
        <w:t>模型应用范围</w:t>
      </w:r>
      <w:r>
        <w:rPr>
          <w:rFonts w:hint="eastAsia"/>
          <w:color w:val="auto"/>
        </w:rPr>
        <w:t>和内容，明确高价值的模型应用点；</w:t>
      </w:r>
    </w:p>
    <w:p>
      <w:pPr>
        <w:ind w:firstLine="480"/>
        <w:rPr>
          <w:color w:val="auto"/>
        </w:rPr>
      </w:pPr>
      <w:r>
        <w:rPr>
          <w:rFonts w:hint="eastAsia"/>
          <w:color w:val="auto"/>
        </w:rPr>
        <w:t>3</w:t>
      </w:r>
      <w:r>
        <w:rPr>
          <w:color w:val="auto"/>
        </w:rPr>
        <w:t xml:space="preserve">  通过编制模型应用流程图来确定模型应用计划；</w:t>
      </w:r>
    </w:p>
    <w:p>
      <w:pPr>
        <w:ind w:firstLine="480"/>
        <w:rPr>
          <w:color w:val="auto"/>
        </w:rPr>
      </w:pPr>
      <w:r>
        <w:rPr>
          <w:color w:val="auto"/>
        </w:rPr>
        <w:t>4  确定模型应用信息交换需求；</w:t>
      </w:r>
    </w:p>
    <w:p>
      <w:pPr>
        <w:ind w:firstLine="480"/>
        <w:rPr>
          <w:color w:val="auto"/>
        </w:rPr>
      </w:pPr>
      <w:r>
        <w:rPr>
          <w:color w:val="auto"/>
        </w:rPr>
        <w:t>5 确定模型应用基础设施条件，辅以合同、技术以及质量</w:t>
      </w:r>
      <w:r>
        <w:rPr>
          <w:rFonts w:hint="eastAsia"/>
          <w:color w:val="auto"/>
        </w:rPr>
        <w:t>控制等</w:t>
      </w:r>
      <w:r>
        <w:rPr>
          <w:color w:val="auto"/>
        </w:rPr>
        <w:t>措施来保障模型应用的实施。</w:t>
      </w:r>
    </w:p>
    <w:p>
      <w:pPr>
        <w:pStyle w:val="4"/>
        <w:ind w:firstLine="0" w:firstLineChars="0"/>
        <w:rPr>
          <w:color w:val="auto"/>
        </w:rPr>
      </w:pPr>
      <w:r>
        <w:rPr>
          <w:rFonts w:hint="eastAsia"/>
          <w:color w:val="auto"/>
          <w:lang w:eastAsia="zh-CN"/>
        </w:rPr>
        <w:t>4.2.</w:t>
      </w:r>
      <w:r>
        <w:rPr>
          <w:color w:val="auto"/>
        </w:rPr>
        <w:t>5模型应用</w:t>
      </w:r>
      <w:r>
        <w:rPr>
          <w:rFonts w:hint="eastAsia"/>
          <w:color w:val="auto"/>
        </w:rPr>
        <w:t>策划与实施过程中的调整应组织评审，评审通过后分发给工程建设项目相关方，相关方应根据模型应用策划编制相应的详细执行计划，并应建立相应的协同与沟通机制。</w:t>
      </w:r>
    </w:p>
    <w:p>
      <w:pPr>
        <w:ind w:firstLine="0" w:firstLineChars="0"/>
        <w:rPr>
          <w:b/>
          <w:i/>
          <w:color w:val="auto"/>
        </w:rPr>
      </w:pPr>
    </w:p>
    <w:p>
      <w:pPr>
        <w:ind w:firstLine="0" w:firstLineChars="0"/>
        <w:rPr>
          <w:b/>
          <w:i/>
          <w:color w:val="auto"/>
        </w:rPr>
      </w:pPr>
    </w:p>
    <w:p>
      <w:pPr>
        <w:pStyle w:val="3"/>
        <w:jc w:val="center"/>
        <w:rPr>
          <w:color w:val="auto"/>
        </w:rPr>
      </w:pPr>
      <w:bookmarkStart w:id="71" w:name="_Toc10930"/>
      <w:r>
        <w:rPr>
          <w:rFonts w:hint="eastAsia"/>
          <w:color w:val="auto"/>
          <w:lang w:val="en-US" w:eastAsia="zh-CN"/>
        </w:rPr>
        <w:t>4</w:t>
      </w:r>
      <w:r>
        <w:rPr>
          <w:color w:val="auto"/>
        </w:rPr>
        <w:t>.3</w:t>
      </w:r>
      <w:r>
        <w:rPr>
          <w:rFonts w:hint="eastAsia"/>
          <w:color w:val="auto"/>
        </w:rPr>
        <w:t xml:space="preserve"> 数据环境</w:t>
      </w:r>
      <w:bookmarkEnd w:id="71"/>
    </w:p>
    <w:p>
      <w:pPr>
        <w:pStyle w:val="4"/>
        <w:ind w:firstLine="0" w:firstLineChars="0"/>
        <w:rPr>
          <w:color w:val="auto"/>
        </w:rPr>
      </w:pPr>
      <w:r>
        <w:rPr>
          <w:rFonts w:hint="eastAsia"/>
          <w:color w:val="auto"/>
          <w:lang w:eastAsia="zh-CN"/>
        </w:rPr>
        <w:t>4.3.</w:t>
      </w:r>
      <w:r>
        <w:rPr>
          <w:color w:val="auto"/>
        </w:rPr>
        <w:t>1</w:t>
      </w:r>
      <w:r>
        <w:rPr>
          <w:rFonts w:hint="eastAsia" w:cstheme="minorBidi"/>
          <w:color w:val="auto"/>
        </w:rPr>
        <w:t xml:space="preserve"> 建设工程建设项目不同参与方创建的信息模型整合宜在CDE数据环境中进行，并应保证数据安全和信息质量</w:t>
      </w:r>
      <w:r>
        <w:rPr>
          <w:color w:val="auto"/>
        </w:rPr>
        <w:t>。</w:t>
      </w:r>
    </w:p>
    <w:p>
      <w:pPr>
        <w:pStyle w:val="4"/>
        <w:ind w:firstLine="0" w:firstLineChars="0"/>
        <w:rPr>
          <w:color w:val="auto"/>
        </w:rPr>
      </w:pPr>
      <w:r>
        <w:rPr>
          <w:rFonts w:hint="eastAsia"/>
          <w:color w:val="auto"/>
          <w:lang w:eastAsia="zh-CN"/>
        </w:rPr>
        <w:t>4.3.</w:t>
      </w:r>
      <w:r>
        <w:rPr>
          <w:color w:val="auto"/>
        </w:rPr>
        <w:t>2</w:t>
      </w:r>
      <w:r>
        <w:rPr>
          <w:rFonts w:hint="eastAsia" w:cstheme="minorBidi"/>
          <w:color w:val="auto"/>
        </w:rPr>
        <w:t>资产管理及工程建设项目交付期间，宜使用CDE数据环境管理模型信息。</w:t>
      </w:r>
    </w:p>
    <w:p>
      <w:pPr>
        <w:pStyle w:val="4"/>
        <w:ind w:firstLine="0" w:firstLineChars="0"/>
        <w:rPr>
          <w:color w:val="auto"/>
        </w:rPr>
      </w:pPr>
      <w:r>
        <w:rPr>
          <w:rFonts w:hint="eastAsia"/>
          <w:color w:val="auto"/>
          <w:lang w:eastAsia="zh-CN"/>
        </w:rPr>
        <w:t>4.3.</w:t>
      </w:r>
      <w:r>
        <w:rPr>
          <w:color w:val="auto"/>
        </w:rPr>
        <w:t>3</w:t>
      </w:r>
      <w:r>
        <w:rPr>
          <w:rFonts w:hint="eastAsia" w:cstheme="minorBidi"/>
          <w:color w:val="auto"/>
        </w:rPr>
        <w:t xml:space="preserve"> CDE数据环境管理的每个信息容器都应具有元数据，</w:t>
      </w:r>
      <w:r>
        <w:rPr>
          <w:rFonts w:hint="eastAsia"/>
          <w:color w:val="auto"/>
        </w:rPr>
        <w:t>包括状态代码与版本代码等</w:t>
      </w:r>
      <w:r>
        <w:rPr>
          <w:color w:val="auto"/>
        </w:rPr>
        <w:t>。</w:t>
      </w:r>
    </w:p>
    <w:p>
      <w:pPr>
        <w:pStyle w:val="4"/>
        <w:ind w:firstLine="0" w:firstLineChars="0"/>
        <w:rPr>
          <w:color w:val="auto"/>
        </w:rPr>
      </w:pPr>
      <w:r>
        <w:rPr>
          <w:rFonts w:hint="eastAsia"/>
          <w:color w:val="auto"/>
          <w:lang w:eastAsia="zh-CN"/>
        </w:rPr>
        <w:t>4.3.</w:t>
      </w:r>
      <w:r>
        <w:rPr>
          <w:color w:val="auto"/>
        </w:rPr>
        <w:t>4</w:t>
      </w:r>
      <w:r>
        <w:rPr>
          <w:rFonts w:hint="eastAsia" w:cstheme="minorBidi"/>
          <w:color w:val="auto"/>
        </w:rPr>
        <w:t xml:space="preserve"> 城市道路工程信息模型元数据的属性、构成，元数据的扩展规则和方法宜符合《城市地理空间信息元数据标准》C</w:t>
      </w:r>
      <w:r>
        <w:rPr>
          <w:rFonts w:cstheme="minorBidi"/>
          <w:color w:val="auto"/>
        </w:rPr>
        <w:t>JJ/T 144的规定</w:t>
      </w:r>
      <w:r>
        <w:rPr>
          <w:color w:val="auto"/>
        </w:rPr>
        <w:t>。</w:t>
      </w:r>
    </w:p>
    <w:p>
      <w:pPr>
        <w:pStyle w:val="4"/>
        <w:ind w:firstLine="0" w:firstLineChars="0"/>
        <w:rPr>
          <w:color w:val="auto"/>
        </w:rPr>
      </w:pPr>
      <w:r>
        <w:rPr>
          <w:rFonts w:hint="eastAsia"/>
          <w:color w:val="auto"/>
          <w:lang w:eastAsia="zh-CN"/>
        </w:rPr>
        <w:t>4.3.</w:t>
      </w:r>
      <w:r>
        <w:rPr>
          <w:color w:val="auto"/>
        </w:rPr>
        <w:t>5</w:t>
      </w:r>
      <w:r>
        <w:rPr>
          <w:rFonts w:hint="eastAsia" w:cstheme="minorBidi"/>
          <w:color w:val="auto"/>
        </w:rPr>
        <w:t xml:space="preserve"> 交付的城市道路工程信息模型元数据信息应包括模型名称、级别、创建时期、格式、数据质量、坐标系统、安全等级、模型创建单位和审核单位以及分发要求等</w:t>
      </w:r>
      <w:r>
        <w:rPr>
          <w:color w:val="auto"/>
        </w:rPr>
        <w:t>。</w:t>
      </w:r>
    </w:p>
    <w:p>
      <w:pPr>
        <w:pStyle w:val="4"/>
        <w:ind w:firstLine="0" w:firstLineChars="0"/>
        <w:rPr>
          <w:color w:val="auto"/>
        </w:rPr>
      </w:pPr>
      <w:r>
        <w:rPr>
          <w:rFonts w:hint="eastAsia"/>
          <w:color w:val="auto"/>
          <w:lang w:eastAsia="zh-CN"/>
        </w:rPr>
        <w:t>4.3.</w:t>
      </w:r>
      <w:r>
        <w:rPr>
          <w:color w:val="auto"/>
        </w:rPr>
        <w:t>6</w:t>
      </w:r>
      <w:r>
        <w:rPr>
          <w:rFonts w:hint="eastAsia" w:cstheme="minorBidi"/>
          <w:color w:val="auto"/>
        </w:rPr>
        <w:t>元数据应适用于模型数据存储、建库、管理、转换、检索、浏览以及共享发布等要求</w:t>
      </w:r>
      <w:r>
        <w:rPr>
          <w:color w:val="auto"/>
        </w:rPr>
        <w:t>。</w:t>
      </w:r>
    </w:p>
    <w:p>
      <w:pPr>
        <w:pStyle w:val="4"/>
        <w:ind w:firstLine="0" w:firstLineChars="0"/>
        <w:rPr>
          <w:color w:val="auto"/>
        </w:rPr>
      </w:pPr>
      <w:r>
        <w:rPr>
          <w:rFonts w:hint="eastAsia"/>
          <w:color w:val="auto"/>
          <w:lang w:eastAsia="zh-CN"/>
        </w:rPr>
        <w:t>4.3.</w:t>
      </w:r>
      <w:r>
        <w:rPr>
          <w:color w:val="auto"/>
        </w:rPr>
        <w:t xml:space="preserve">7 </w:t>
      </w:r>
      <w:r>
        <w:rPr>
          <w:rFonts w:hint="eastAsia"/>
          <w:color w:val="auto"/>
        </w:rPr>
        <w:t xml:space="preserve"> C</w:t>
      </w:r>
      <w:r>
        <w:rPr>
          <w:color w:val="auto"/>
        </w:rPr>
        <w:t>DE</w:t>
      </w:r>
      <w:r>
        <w:rPr>
          <w:rFonts w:hint="eastAsia" w:cstheme="minorBidi"/>
          <w:color w:val="auto"/>
        </w:rPr>
        <w:t>数据环境</w:t>
      </w:r>
      <w:r>
        <w:rPr>
          <w:color w:val="auto"/>
        </w:rPr>
        <w:t>中的下列信息内容</w:t>
      </w:r>
      <w:r>
        <w:rPr>
          <w:rFonts w:hint="eastAsia"/>
          <w:color w:val="auto"/>
        </w:rPr>
        <w:t>宜保持</w:t>
      </w:r>
      <w:r>
        <w:rPr>
          <w:color w:val="auto"/>
        </w:rPr>
        <w:t>一致：</w:t>
      </w:r>
    </w:p>
    <w:p>
      <w:pPr>
        <w:ind w:firstLine="480"/>
        <w:rPr>
          <w:color w:val="auto"/>
        </w:rPr>
      </w:pPr>
      <w:r>
        <w:rPr>
          <w:rFonts w:hint="eastAsia"/>
          <w:color w:val="auto"/>
        </w:rPr>
        <w:t>1</w:t>
      </w:r>
      <w:r>
        <w:rPr>
          <w:color w:val="auto"/>
        </w:rPr>
        <w:t xml:space="preserve">  信息格式；</w:t>
      </w:r>
    </w:p>
    <w:p>
      <w:pPr>
        <w:ind w:firstLine="480"/>
        <w:rPr>
          <w:color w:val="auto"/>
        </w:rPr>
      </w:pPr>
      <w:r>
        <w:rPr>
          <w:rFonts w:hint="eastAsia"/>
          <w:color w:val="auto"/>
        </w:rPr>
        <w:t>2</w:t>
      </w:r>
      <w:r>
        <w:rPr>
          <w:color w:val="auto"/>
        </w:rPr>
        <w:t xml:space="preserve">  交付格式；</w:t>
      </w:r>
    </w:p>
    <w:p>
      <w:pPr>
        <w:ind w:firstLine="480"/>
        <w:rPr>
          <w:color w:val="auto"/>
        </w:rPr>
      </w:pPr>
      <w:r>
        <w:rPr>
          <w:rFonts w:hint="eastAsia"/>
          <w:color w:val="auto"/>
        </w:rPr>
        <w:t>3</w:t>
      </w:r>
      <w:r>
        <w:rPr>
          <w:color w:val="auto"/>
        </w:rPr>
        <w:t xml:space="preserve">  模型结构；</w:t>
      </w:r>
    </w:p>
    <w:p>
      <w:pPr>
        <w:ind w:firstLine="480"/>
        <w:rPr>
          <w:color w:val="auto"/>
        </w:rPr>
      </w:pPr>
      <w:r>
        <w:rPr>
          <w:color w:val="auto"/>
        </w:rPr>
        <w:t>4  信息结构化与分类的方法；</w:t>
      </w:r>
    </w:p>
    <w:p>
      <w:pPr>
        <w:ind w:firstLine="480"/>
        <w:rPr>
          <w:color w:val="auto"/>
        </w:rPr>
      </w:pPr>
      <w:r>
        <w:rPr>
          <w:color w:val="auto"/>
        </w:rPr>
        <w:t>5  元数据的属性。</w:t>
      </w:r>
    </w:p>
    <w:p>
      <w:pPr>
        <w:pStyle w:val="3"/>
        <w:jc w:val="center"/>
        <w:rPr>
          <w:color w:val="auto"/>
        </w:rPr>
      </w:pPr>
      <w:bookmarkStart w:id="72" w:name="_Toc14904"/>
      <w:r>
        <w:rPr>
          <w:rFonts w:hint="eastAsia"/>
          <w:color w:val="auto"/>
          <w:lang w:val="en-US" w:eastAsia="zh-CN"/>
        </w:rPr>
        <w:t>4</w:t>
      </w:r>
      <w:r>
        <w:rPr>
          <w:color w:val="auto"/>
        </w:rPr>
        <w:t>.</w:t>
      </w:r>
      <w:r>
        <w:rPr>
          <w:rFonts w:hint="eastAsia"/>
          <w:color w:val="auto"/>
        </w:rPr>
        <w:t>4</w:t>
      </w:r>
      <w:r>
        <w:rPr>
          <w:color w:val="auto"/>
        </w:rPr>
        <w:t xml:space="preserve"> </w:t>
      </w:r>
      <w:r>
        <w:rPr>
          <w:rFonts w:hint="eastAsia"/>
          <w:color w:val="auto"/>
        </w:rPr>
        <w:t>数据互用</w:t>
      </w:r>
      <w:bookmarkEnd w:id="72"/>
    </w:p>
    <w:p>
      <w:pPr>
        <w:pStyle w:val="4"/>
        <w:ind w:firstLine="0" w:firstLineChars="0"/>
        <w:rPr>
          <w:color w:val="auto"/>
        </w:rPr>
      </w:pPr>
      <w:r>
        <w:rPr>
          <w:rFonts w:hint="eastAsia"/>
          <w:color w:val="auto"/>
          <w:lang w:eastAsia="zh-CN"/>
        </w:rPr>
        <w:t>4.4.</w:t>
      </w:r>
      <w:r>
        <w:rPr>
          <w:color w:val="auto"/>
        </w:rPr>
        <w:t xml:space="preserve">1 </w:t>
      </w:r>
      <w:r>
        <w:rPr>
          <w:rFonts w:hint="eastAsia"/>
          <w:color w:val="auto"/>
        </w:rPr>
        <w:t>工程建设项目</w:t>
      </w:r>
      <w:r>
        <w:rPr>
          <w:color w:val="auto"/>
        </w:rPr>
        <w:t>各相关方之间模型数据互用协议应符合国家现行有关标准的规定。当无相关标准时，应商定模型数据互用协议，明确互用数据的内容、格式和验收条件。</w:t>
      </w:r>
    </w:p>
    <w:p>
      <w:pPr>
        <w:pStyle w:val="4"/>
        <w:ind w:firstLine="0" w:firstLineChars="0"/>
        <w:rPr>
          <w:color w:val="auto"/>
        </w:rPr>
      </w:pPr>
      <w:r>
        <w:rPr>
          <w:rFonts w:hint="eastAsia"/>
          <w:color w:val="auto"/>
          <w:lang w:eastAsia="zh-CN"/>
        </w:rPr>
        <w:t>4.4.</w:t>
      </w:r>
      <w:r>
        <w:rPr>
          <w:color w:val="auto"/>
        </w:rPr>
        <w:t xml:space="preserve">2 </w:t>
      </w:r>
      <w:r>
        <w:rPr>
          <w:rFonts w:hint="eastAsia"/>
          <w:color w:val="auto"/>
        </w:rPr>
        <w:t>工程建设项目</w:t>
      </w:r>
      <w:r>
        <w:rPr>
          <w:color w:val="auto"/>
        </w:rPr>
        <w:t>全生命期各个阶段、各项任务的模型应用标准应明确模型数据交换内容与格式。</w:t>
      </w:r>
    </w:p>
    <w:p>
      <w:pPr>
        <w:pStyle w:val="4"/>
        <w:ind w:firstLine="0" w:firstLineChars="0"/>
        <w:rPr>
          <w:color w:val="auto"/>
        </w:rPr>
      </w:pPr>
      <w:r>
        <w:rPr>
          <w:rFonts w:hint="eastAsia"/>
          <w:color w:val="auto"/>
          <w:lang w:eastAsia="zh-CN"/>
        </w:rPr>
        <w:t>4.4.</w:t>
      </w:r>
      <w:r>
        <w:rPr>
          <w:color w:val="auto"/>
        </w:rPr>
        <w:t xml:space="preserve">3 </w:t>
      </w:r>
      <w:r>
        <w:rPr>
          <w:rFonts w:hint="eastAsia"/>
          <w:color w:val="auto"/>
        </w:rPr>
        <w:t>模型数据应根据模型创建、使用和管理的需要进行分类和编码。</w:t>
      </w:r>
      <w:r>
        <w:rPr>
          <w:color w:val="auto"/>
        </w:rPr>
        <w:t>分类和编码应满足数据互用的要求，并应符合</w:t>
      </w:r>
      <w:r>
        <w:rPr>
          <w:rFonts w:hint="eastAsia"/>
          <w:color w:val="auto"/>
        </w:rPr>
        <w:t>《城市道路工程信息模型分类和编码标准》（</w:t>
      </w:r>
      <w:r>
        <w:rPr>
          <w:color w:val="auto"/>
        </w:rPr>
        <w:t>T/CECS 1195</w:t>
      </w:r>
      <w:r>
        <w:rPr>
          <w:rFonts w:hint="eastAsia"/>
          <w:color w:val="auto"/>
        </w:rPr>
        <w:t>）</w:t>
      </w:r>
      <w:r>
        <w:rPr>
          <w:color w:val="auto"/>
        </w:rPr>
        <w:t>的要求。</w:t>
      </w:r>
      <w:r>
        <w:rPr>
          <w:rFonts w:hint="eastAsia"/>
          <w:color w:val="auto"/>
        </w:rPr>
        <w:t xml:space="preserve">   </w:t>
      </w:r>
    </w:p>
    <w:p>
      <w:pPr>
        <w:pStyle w:val="4"/>
        <w:ind w:firstLine="0" w:firstLineChars="0"/>
        <w:rPr>
          <w:color w:val="auto"/>
        </w:rPr>
      </w:pPr>
      <w:r>
        <w:rPr>
          <w:rFonts w:hint="eastAsia"/>
          <w:color w:val="auto"/>
          <w:lang w:eastAsia="zh-CN"/>
        </w:rPr>
        <w:t>4.4.</w:t>
      </w:r>
      <w:r>
        <w:rPr>
          <w:color w:val="auto"/>
        </w:rPr>
        <w:t xml:space="preserve">4 </w:t>
      </w:r>
      <w:r>
        <w:rPr>
          <w:rFonts w:hint="eastAsia"/>
          <w:color w:val="auto"/>
        </w:rPr>
        <w:t>模型数据应根据模型创建、使用和管理的要求进行存储</w:t>
      </w:r>
      <w:r>
        <w:rPr>
          <w:color w:val="auto"/>
        </w:rPr>
        <w:t>。</w:t>
      </w:r>
    </w:p>
    <w:p>
      <w:pPr>
        <w:pStyle w:val="4"/>
        <w:ind w:firstLine="0" w:firstLineChars="0"/>
        <w:rPr>
          <w:color w:val="auto"/>
        </w:rPr>
      </w:pPr>
      <w:r>
        <w:rPr>
          <w:rFonts w:hint="eastAsia"/>
          <w:color w:val="auto"/>
          <w:lang w:eastAsia="zh-CN"/>
        </w:rPr>
        <w:t>4.4.</w:t>
      </w:r>
      <w:r>
        <w:rPr>
          <w:color w:val="auto"/>
        </w:rPr>
        <w:t xml:space="preserve">5 </w:t>
      </w:r>
      <w:r>
        <w:rPr>
          <w:rFonts w:hint="eastAsia"/>
          <w:color w:val="auto"/>
        </w:rPr>
        <w:t>应采用过程</w:t>
      </w:r>
      <w:r>
        <w:rPr>
          <w:rFonts w:hint="eastAsia" w:cstheme="minorBidi"/>
          <w:color w:val="auto"/>
        </w:rPr>
        <w:t>质量控制措施确保数据交换质量管理的合规性</w:t>
      </w:r>
      <w:r>
        <w:rPr>
          <w:color w:val="auto"/>
        </w:rPr>
        <w:t>。</w:t>
      </w:r>
    </w:p>
    <w:p>
      <w:pPr>
        <w:pStyle w:val="4"/>
        <w:ind w:firstLine="0" w:firstLineChars="0"/>
        <w:rPr>
          <w:color w:val="auto"/>
        </w:rPr>
      </w:pPr>
      <w:r>
        <w:rPr>
          <w:rFonts w:hint="eastAsia"/>
          <w:color w:val="auto"/>
          <w:lang w:eastAsia="zh-CN"/>
        </w:rPr>
        <w:t>4.4.</w:t>
      </w:r>
      <w:r>
        <w:rPr>
          <w:color w:val="auto"/>
        </w:rPr>
        <w:t xml:space="preserve">6 </w:t>
      </w:r>
      <w:r>
        <w:rPr>
          <w:rFonts w:hint="eastAsia"/>
          <w:color w:val="auto"/>
        </w:rPr>
        <w:t>宜采用C</w:t>
      </w:r>
      <w:r>
        <w:rPr>
          <w:color w:val="auto"/>
        </w:rPr>
        <w:t>DE</w:t>
      </w:r>
      <w:r>
        <w:rPr>
          <w:rFonts w:hint="eastAsia"/>
          <w:color w:val="auto"/>
        </w:rPr>
        <w:t>数据</w:t>
      </w:r>
      <w:r>
        <w:rPr>
          <w:color w:val="auto"/>
        </w:rPr>
        <w:t>环境进行数据</w:t>
      </w:r>
      <w:r>
        <w:rPr>
          <w:rFonts w:hint="eastAsia"/>
          <w:color w:val="auto"/>
        </w:rPr>
        <w:t>交换</w:t>
      </w:r>
      <w:r>
        <w:rPr>
          <w:color w:val="auto"/>
        </w:rPr>
        <w:t>，保证数据信息的符合性、连续性、一致性与完备性。</w:t>
      </w:r>
    </w:p>
    <w:p>
      <w:pPr>
        <w:pStyle w:val="3"/>
        <w:jc w:val="center"/>
        <w:rPr>
          <w:color w:val="auto"/>
        </w:rPr>
      </w:pPr>
      <w:bookmarkStart w:id="73" w:name="_Toc14975"/>
      <w:r>
        <w:rPr>
          <w:rFonts w:hint="eastAsia"/>
          <w:color w:val="auto"/>
          <w:lang w:val="en-US" w:eastAsia="zh-CN"/>
        </w:rPr>
        <w:t>4</w:t>
      </w:r>
      <w:r>
        <w:rPr>
          <w:color w:val="auto"/>
        </w:rPr>
        <w:t>.</w:t>
      </w:r>
      <w:r>
        <w:rPr>
          <w:rFonts w:hint="eastAsia"/>
          <w:color w:val="auto"/>
        </w:rPr>
        <w:t>5</w:t>
      </w:r>
      <w:r>
        <w:rPr>
          <w:color w:val="auto"/>
        </w:rPr>
        <w:t xml:space="preserve"> </w:t>
      </w:r>
      <w:r>
        <w:rPr>
          <w:rFonts w:hint="eastAsia"/>
          <w:color w:val="auto"/>
        </w:rPr>
        <w:t>数据安全</w:t>
      </w:r>
      <w:bookmarkEnd w:id="73"/>
    </w:p>
    <w:p>
      <w:pPr>
        <w:pStyle w:val="4"/>
        <w:ind w:firstLine="0" w:firstLineChars="0"/>
        <w:rPr>
          <w:color w:val="auto"/>
        </w:rPr>
      </w:pPr>
      <w:r>
        <w:rPr>
          <w:rFonts w:hint="eastAsia"/>
          <w:color w:val="auto"/>
          <w:lang w:eastAsia="zh-CN"/>
        </w:rPr>
        <w:t>4.5.</w:t>
      </w:r>
      <w:r>
        <w:rPr>
          <w:color w:val="auto"/>
        </w:rPr>
        <w:t>1</w:t>
      </w:r>
      <w:r>
        <w:rPr>
          <w:rFonts w:hint="eastAsia"/>
          <w:color w:val="auto"/>
        </w:rPr>
        <w:t>模型</w:t>
      </w:r>
      <w:r>
        <w:rPr>
          <w:color w:val="auto"/>
        </w:rPr>
        <w:t>数据信息安全应满足国家</w:t>
      </w:r>
      <w:r>
        <w:rPr>
          <w:rFonts w:hint="eastAsia"/>
          <w:color w:val="auto"/>
        </w:rPr>
        <w:t>现行的数据安全</w:t>
      </w:r>
      <w:r>
        <w:rPr>
          <w:color w:val="auto"/>
        </w:rPr>
        <w:t>标准</w:t>
      </w:r>
      <w:r>
        <w:rPr>
          <w:rFonts w:hint="eastAsia"/>
          <w:color w:val="auto"/>
        </w:rPr>
        <w:t>、</w:t>
      </w:r>
      <w:r>
        <w:rPr>
          <w:color w:val="auto"/>
        </w:rPr>
        <w:t>规范</w:t>
      </w:r>
      <w:r>
        <w:rPr>
          <w:rFonts w:hint="eastAsia"/>
          <w:color w:val="auto"/>
        </w:rPr>
        <w:t>以及相关</w:t>
      </w:r>
      <w:r>
        <w:rPr>
          <w:color w:val="auto"/>
        </w:rPr>
        <w:t>要求</w:t>
      </w:r>
      <w:r>
        <w:rPr>
          <w:rFonts w:hint="eastAsia"/>
          <w:color w:val="auto"/>
        </w:rPr>
        <w:t>。</w:t>
      </w:r>
    </w:p>
    <w:p>
      <w:pPr>
        <w:pStyle w:val="4"/>
        <w:ind w:firstLine="0" w:firstLineChars="0"/>
        <w:rPr>
          <w:color w:val="auto"/>
        </w:rPr>
      </w:pPr>
      <w:r>
        <w:rPr>
          <w:rFonts w:hint="eastAsia"/>
          <w:color w:val="auto"/>
          <w:lang w:eastAsia="zh-CN"/>
        </w:rPr>
        <w:t>4.5.</w:t>
      </w:r>
      <w:r>
        <w:rPr>
          <w:rFonts w:hint="eastAsia"/>
          <w:color w:val="auto"/>
        </w:rPr>
        <w:t>2模型</w:t>
      </w:r>
      <w:r>
        <w:rPr>
          <w:color w:val="auto"/>
        </w:rPr>
        <w:t>数据信息安全</w:t>
      </w:r>
      <w:r>
        <w:rPr>
          <w:rFonts w:hint="eastAsia"/>
          <w:color w:val="auto"/>
        </w:rPr>
        <w:t>宜采用注重安全、基于风险的方法，并制定数据安全管理计划，将安全意识嵌入到业务管理流程中</w:t>
      </w:r>
      <w:r>
        <w:rPr>
          <w:color w:val="auto"/>
        </w:rPr>
        <w:t>。</w:t>
      </w:r>
    </w:p>
    <w:p>
      <w:pPr>
        <w:pStyle w:val="4"/>
        <w:ind w:firstLine="0" w:firstLineChars="0"/>
        <w:rPr>
          <w:color w:val="auto"/>
        </w:rPr>
      </w:pPr>
      <w:r>
        <w:rPr>
          <w:rFonts w:hint="eastAsia"/>
          <w:color w:val="auto"/>
          <w:lang w:eastAsia="zh-CN"/>
        </w:rPr>
        <w:t>4.5.</w:t>
      </w:r>
      <w:r>
        <w:rPr>
          <w:rFonts w:hint="eastAsia"/>
          <w:color w:val="auto"/>
        </w:rPr>
        <w:t>3宜</w:t>
      </w:r>
      <w:r>
        <w:rPr>
          <w:color w:val="auto"/>
        </w:rPr>
        <w:t>采用</w:t>
      </w:r>
      <w:r>
        <w:rPr>
          <w:rFonts w:hint="eastAsia"/>
          <w:color w:val="auto"/>
        </w:rPr>
        <w:t>注重安全意识的方法识别敏感性信息，并采取适当的安全策略对敏感性信息进行保护</w:t>
      </w:r>
      <w:r>
        <w:rPr>
          <w:color w:val="auto"/>
        </w:rPr>
        <w:t>。</w:t>
      </w:r>
    </w:p>
    <w:p>
      <w:pPr>
        <w:pStyle w:val="4"/>
        <w:ind w:firstLine="0" w:firstLineChars="0"/>
        <w:rPr>
          <w:color w:val="auto"/>
        </w:rPr>
      </w:pPr>
      <w:r>
        <w:rPr>
          <w:rFonts w:hint="eastAsia"/>
          <w:color w:val="auto"/>
          <w:lang w:eastAsia="zh-CN"/>
        </w:rPr>
        <w:t>4.5.</w:t>
      </w:r>
      <w:r>
        <w:rPr>
          <w:rFonts w:hint="eastAsia"/>
          <w:color w:val="auto"/>
        </w:rPr>
        <w:t>4</w:t>
      </w:r>
      <w:r>
        <w:rPr>
          <w:color w:val="auto"/>
        </w:rPr>
        <w:t xml:space="preserve">  </w:t>
      </w:r>
      <w:r>
        <w:rPr>
          <w:rFonts w:hint="eastAsia"/>
          <w:color w:val="auto"/>
        </w:rPr>
        <w:t>应建立相应的数据信息安全机制，并明确数据安全相关人员职责与责任</w:t>
      </w:r>
      <w:r>
        <w:rPr>
          <w:color w:val="auto"/>
        </w:rPr>
        <w:t>。</w:t>
      </w:r>
    </w:p>
    <w:p>
      <w:pPr>
        <w:pStyle w:val="4"/>
        <w:ind w:firstLine="0" w:firstLineChars="0"/>
        <w:rPr>
          <w:color w:val="auto"/>
        </w:rPr>
      </w:pPr>
      <w:r>
        <w:rPr>
          <w:rFonts w:hint="eastAsia"/>
          <w:color w:val="auto"/>
          <w:lang w:eastAsia="zh-CN"/>
        </w:rPr>
        <w:t>4.5.</w:t>
      </w:r>
      <w:r>
        <w:rPr>
          <w:rFonts w:hint="eastAsia"/>
          <w:color w:val="auto"/>
        </w:rPr>
        <w:t>5</w:t>
      </w:r>
      <w:r>
        <w:rPr>
          <w:color w:val="auto"/>
        </w:rPr>
        <w:t xml:space="preserve"> </w:t>
      </w:r>
      <w:r>
        <w:rPr>
          <w:rFonts w:hint="eastAsia"/>
          <w:color w:val="auto"/>
        </w:rPr>
        <w:t>宜</w:t>
      </w:r>
      <w:r>
        <w:rPr>
          <w:color w:val="auto"/>
        </w:rPr>
        <w:t>对数据安全风险进行定期或不定期的评估，并在评估基础上采取相应的安全风险措施。</w:t>
      </w:r>
    </w:p>
    <w:p>
      <w:pPr>
        <w:pStyle w:val="4"/>
        <w:ind w:firstLine="0" w:firstLineChars="0"/>
        <w:rPr>
          <w:color w:val="auto"/>
        </w:rPr>
      </w:pPr>
      <w:r>
        <w:rPr>
          <w:rFonts w:hint="eastAsia"/>
          <w:color w:val="auto"/>
          <w:lang w:eastAsia="zh-CN"/>
        </w:rPr>
        <w:t>4.5.</w:t>
      </w:r>
      <w:r>
        <w:rPr>
          <w:rFonts w:hint="eastAsia"/>
          <w:color w:val="auto"/>
        </w:rPr>
        <w:t>6</w:t>
      </w:r>
      <w:r>
        <w:rPr>
          <w:color w:val="auto"/>
        </w:rPr>
        <w:t xml:space="preserve"> </w:t>
      </w:r>
      <w:r>
        <w:rPr>
          <w:rFonts w:hint="eastAsia"/>
          <w:color w:val="auto"/>
        </w:rPr>
        <w:t>模型数据的存储应满足数据安全的要求</w:t>
      </w:r>
      <w:r>
        <w:rPr>
          <w:color w:val="auto"/>
        </w:rPr>
        <w:t>。</w:t>
      </w:r>
    </w:p>
    <w:p>
      <w:pPr>
        <w:pStyle w:val="3"/>
        <w:jc w:val="center"/>
        <w:rPr>
          <w:color w:val="auto"/>
        </w:rPr>
      </w:pPr>
      <w:bookmarkStart w:id="74" w:name="_Toc29457"/>
      <w:r>
        <w:rPr>
          <w:rFonts w:hint="eastAsia"/>
          <w:color w:val="auto"/>
        </w:rPr>
        <w:t>4</w:t>
      </w:r>
      <w:r>
        <w:rPr>
          <w:color w:val="auto"/>
        </w:rPr>
        <w:t>.</w:t>
      </w:r>
      <w:r>
        <w:rPr>
          <w:rFonts w:hint="eastAsia"/>
          <w:color w:val="auto"/>
          <w:lang w:val="en-US" w:eastAsia="zh-CN"/>
        </w:rPr>
        <w:t>6</w:t>
      </w:r>
      <w:r>
        <w:rPr>
          <w:color w:val="auto"/>
        </w:rPr>
        <w:t xml:space="preserve"> </w:t>
      </w:r>
      <w:r>
        <w:rPr>
          <w:rFonts w:hint="eastAsia"/>
          <w:color w:val="auto"/>
        </w:rPr>
        <w:t>模型创建</w:t>
      </w:r>
      <w:bookmarkEnd w:id="74"/>
    </w:p>
    <w:p>
      <w:pPr>
        <w:pStyle w:val="4"/>
        <w:ind w:firstLine="0" w:firstLineChars="0"/>
        <w:rPr>
          <w:color w:val="auto"/>
        </w:rPr>
      </w:pPr>
      <w:r>
        <w:rPr>
          <w:rFonts w:hint="eastAsia"/>
          <w:color w:val="auto"/>
          <w:lang w:eastAsia="zh-CN"/>
        </w:rPr>
        <w:t>4.</w:t>
      </w:r>
      <w:r>
        <w:rPr>
          <w:rFonts w:hint="eastAsia"/>
          <w:color w:val="auto"/>
          <w:lang w:val="en-US" w:eastAsia="zh-CN"/>
        </w:rPr>
        <w:t>6</w:t>
      </w:r>
      <w:r>
        <w:rPr>
          <w:rFonts w:hint="eastAsia"/>
          <w:color w:val="auto"/>
          <w:lang w:eastAsia="zh-CN"/>
        </w:rPr>
        <w:t>.</w:t>
      </w:r>
      <w:r>
        <w:rPr>
          <w:rFonts w:hint="eastAsia"/>
          <w:color w:val="auto"/>
        </w:rPr>
        <w:t>1</w:t>
      </w:r>
      <w:r>
        <w:rPr>
          <w:color w:val="auto"/>
        </w:rPr>
        <w:t xml:space="preserve"> </w:t>
      </w:r>
      <w:r>
        <w:rPr>
          <w:rFonts w:hint="eastAsia"/>
          <w:color w:val="auto"/>
        </w:rPr>
        <w:t>模型宜基于统一规划的模型构架结构创建，且应用过程中应具备开放性与可拓展性</w:t>
      </w:r>
      <w:r>
        <w:rPr>
          <w:color w:val="auto"/>
        </w:rPr>
        <w:t>。</w:t>
      </w:r>
    </w:p>
    <w:p>
      <w:pPr>
        <w:ind w:firstLine="0" w:firstLineChars="0"/>
        <w:rPr>
          <w:color w:val="auto"/>
        </w:rPr>
      </w:pPr>
      <w:r>
        <w:rPr>
          <w:rFonts w:hint="eastAsia"/>
          <w:color w:val="auto"/>
          <w:lang w:eastAsia="zh-CN"/>
        </w:rPr>
        <w:t>4.6.</w:t>
      </w:r>
      <w:r>
        <w:rPr>
          <w:rFonts w:hint="eastAsia"/>
          <w:color w:val="auto"/>
        </w:rPr>
        <w:t xml:space="preserve">2 </w:t>
      </w:r>
      <w:r>
        <w:rPr>
          <w:color w:val="auto"/>
        </w:rPr>
        <w:t xml:space="preserve"> 统一</w:t>
      </w:r>
      <w:r>
        <w:rPr>
          <w:rFonts w:hint="eastAsia"/>
          <w:color w:val="auto"/>
        </w:rPr>
        <w:t>规划的模型构架结构应</w:t>
      </w:r>
      <w:r>
        <w:rPr>
          <w:color w:val="auto"/>
        </w:rPr>
        <w:t>对子模型具有统筹性与兼容性。</w:t>
      </w:r>
    </w:p>
    <w:p>
      <w:pPr>
        <w:pStyle w:val="4"/>
        <w:ind w:firstLine="0" w:firstLineChars="0"/>
        <w:rPr>
          <w:color w:val="auto"/>
        </w:rPr>
      </w:pPr>
      <w:r>
        <w:rPr>
          <w:rFonts w:hint="eastAsia"/>
          <w:color w:val="auto"/>
          <w:lang w:eastAsia="zh-CN"/>
        </w:rPr>
        <w:t>4.6.</w:t>
      </w:r>
      <w:r>
        <w:rPr>
          <w:rFonts w:hint="eastAsia"/>
          <w:color w:val="auto"/>
        </w:rPr>
        <w:t>3</w:t>
      </w:r>
      <w:r>
        <w:rPr>
          <w:color w:val="auto"/>
        </w:rPr>
        <w:t xml:space="preserve"> </w:t>
      </w:r>
      <w:r>
        <w:rPr>
          <w:rFonts w:hint="eastAsia"/>
          <w:color w:val="auto"/>
        </w:rPr>
        <w:t>模型扩展</w:t>
      </w:r>
      <w:r>
        <w:rPr>
          <w:color w:val="auto"/>
        </w:rPr>
        <w:t>不应改变原有的模型结构，并应与原有模型结构协调一致。</w:t>
      </w:r>
    </w:p>
    <w:p>
      <w:pPr>
        <w:pStyle w:val="4"/>
        <w:ind w:firstLine="0" w:firstLineChars="0"/>
        <w:rPr>
          <w:color w:val="auto"/>
        </w:rPr>
      </w:pPr>
      <w:r>
        <w:rPr>
          <w:rFonts w:hint="eastAsia"/>
          <w:color w:val="auto"/>
          <w:lang w:eastAsia="zh-CN"/>
        </w:rPr>
        <w:t>4.6.</w:t>
      </w:r>
      <w:r>
        <w:rPr>
          <w:rFonts w:hint="eastAsia"/>
          <w:color w:val="auto"/>
        </w:rPr>
        <w:t>4</w:t>
      </w:r>
      <w:r>
        <w:rPr>
          <w:color w:val="auto"/>
        </w:rPr>
        <w:t xml:space="preserve"> </w:t>
      </w:r>
      <w:r>
        <w:rPr>
          <w:rFonts w:hint="eastAsia"/>
          <w:color w:val="auto"/>
        </w:rPr>
        <w:t>各相关方应根据任务需求基于总体流程与详细流程进行模型创建，并建立统一的坐标系与度量单位、信息分类与命名等模型创建与管理规则。</w:t>
      </w:r>
    </w:p>
    <w:p>
      <w:pPr>
        <w:pStyle w:val="4"/>
        <w:ind w:firstLine="0" w:firstLineChars="0"/>
        <w:rPr>
          <w:color w:val="auto"/>
        </w:rPr>
      </w:pPr>
      <w:r>
        <w:rPr>
          <w:rFonts w:hint="eastAsia"/>
          <w:color w:val="auto"/>
          <w:lang w:eastAsia="zh-CN"/>
        </w:rPr>
        <w:t>4.6.</w:t>
      </w:r>
      <w:r>
        <w:rPr>
          <w:rFonts w:hint="eastAsia"/>
          <w:color w:val="auto"/>
        </w:rPr>
        <w:t>5</w:t>
      </w:r>
      <w:r>
        <w:rPr>
          <w:color w:val="auto"/>
        </w:rPr>
        <w:t xml:space="preserve"> </w:t>
      </w:r>
      <w:r>
        <w:rPr>
          <w:rFonts w:hint="eastAsia"/>
          <w:color w:val="auto"/>
        </w:rPr>
        <w:t>模型</w:t>
      </w:r>
      <w:r>
        <w:rPr>
          <w:color w:val="auto"/>
        </w:rPr>
        <w:t>应用</w:t>
      </w:r>
      <w:r>
        <w:rPr>
          <w:rFonts w:hint="eastAsia"/>
          <w:color w:val="auto"/>
        </w:rPr>
        <w:t>过程</w:t>
      </w:r>
      <w:r>
        <w:rPr>
          <w:color w:val="auto"/>
        </w:rPr>
        <w:t>中应保证模型数据的唯一性、一致性</w:t>
      </w:r>
      <w:r>
        <w:rPr>
          <w:rFonts w:hint="eastAsia"/>
          <w:color w:val="auto"/>
        </w:rPr>
        <w:t>与</w:t>
      </w:r>
      <w:r>
        <w:rPr>
          <w:color w:val="auto"/>
        </w:rPr>
        <w:t>有效性，且模型元素应能被唯一识别。</w:t>
      </w:r>
    </w:p>
    <w:p>
      <w:pPr>
        <w:pStyle w:val="4"/>
        <w:ind w:firstLine="0" w:firstLineChars="0"/>
        <w:rPr>
          <w:color w:val="auto"/>
        </w:rPr>
      </w:pPr>
      <w:r>
        <w:rPr>
          <w:rFonts w:hint="eastAsia"/>
          <w:color w:val="auto"/>
          <w:lang w:eastAsia="zh-CN"/>
        </w:rPr>
        <w:t>4.6.</w:t>
      </w:r>
      <w:r>
        <w:rPr>
          <w:rFonts w:hint="eastAsia"/>
          <w:color w:val="auto"/>
        </w:rPr>
        <w:t>6</w:t>
      </w:r>
      <w:r>
        <w:rPr>
          <w:color w:val="auto"/>
        </w:rPr>
        <w:t xml:space="preserve"> </w:t>
      </w:r>
      <w:r>
        <w:rPr>
          <w:rFonts w:hint="eastAsia"/>
          <w:color w:val="auto"/>
        </w:rPr>
        <w:t>模型创建与使用过程中，应确定相关方各参与人员的管理权限，并应针对模型更新进行版本管理，并应保障模型信息的可追溯性</w:t>
      </w:r>
      <w:r>
        <w:rPr>
          <w:color w:val="auto"/>
        </w:rPr>
        <w:t>。</w:t>
      </w:r>
    </w:p>
    <w:p>
      <w:pPr>
        <w:pStyle w:val="4"/>
        <w:ind w:firstLine="0" w:firstLineChars="0"/>
        <w:rPr>
          <w:color w:val="auto"/>
        </w:rPr>
      </w:pPr>
      <w:r>
        <w:rPr>
          <w:rFonts w:hint="eastAsia"/>
          <w:color w:val="auto"/>
          <w:lang w:eastAsia="zh-CN"/>
        </w:rPr>
        <w:t>4.6.</w:t>
      </w:r>
      <w:r>
        <w:rPr>
          <w:rFonts w:hint="eastAsia"/>
          <w:color w:val="auto"/>
        </w:rPr>
        <w:t>7</w:t>
      </w:r>
      <w:r>
        <w:rPr>
          <w:color w:val="auto"/>
        </w:rPr>
        <w:t xml:space="preserve">  </w:t>
      </w:r>
      <w:r>
        <w:rPr>
          <w:rFonts w:hint="eastAsia"/>
          <w:color w:val="auto"/>
        </w:rPr>
        <w:t>模型单元分级应满足《</w:t>
      </w:r>
      <w:r>
        <w:rPr>
          <w:color w:val="auto"/>
        </w:rPr>
        <w:t>建筑信息模型</w:t>
      </w:r>
      <w:r>
        <w:rPr>
          <w:rFonts w:hint="eastAsia"/>
          <w:color w:val="auto"/>
        </w:rPr>
        <w:t>设计交付</w:t>
      </w:r>
      <w:r>
        <w:rPr>
          <w:color w:val="auto"/>
        </w:rPr>
        <w:t>标准</w:t>
      </w:r>
      <w:r>
        <w:rPr>
          <w:rFonts w:hint="eastAsia"/>
          <w:color w:val="auto"/>
        </w:rPr>
        <w:t>》G</w:t>
      </w:r>
      <w:r>
        <w:rPr>
          <w:color w:val="auto"/>
        </w:rPr>
        <w:t>B/T 51301的要求，</w:t>
      </w:r>
      <w:r>
        <w:rPr>
          <w:rFonts w:hint="eastAsia"/>
          <w:color w:val="auto"/>
        </w:rPr>
        <w:t>模型精细度等级代号应符合表</w:t>
      </w:r>
      <w:r>
        <w:rPr>
          <w:rFonts w:hint="eastAsia"/>
          <w:color w:val="auto"/>
          <w:lang w:eastAsia="zh-CN"/>
        </w:rPr>
        <w:t>4.6.</w:t>
      </w:r>
      <w:r>
        <w:rPr>
          <w:rFonts w:hint="eastAsia"/>
          <w:color w:val="auto"/>
        </w:rPr>
        <w:t>7</w:t>
      </w:r>
      <w:r>
        <w:rPr>
          <w:color w:val="auto"/>
        </w:rPr>
        <w:t>的规定。</w:t>
      </w:r>
    </w:p>
    <w:p>
      <w:pPr>
        <w:ind w:firstLine="0" w:firstLineChars="0"/>
        <w:jc w:val="center"/>
        <w:rPr>
          <w:color w:val="auto"/>
        </w:rPr>
      </w:pPr>
      <w:r>
        <w:rPr>
          <w:color w:val="auto"/>
        </w:rPr>
        <w:t>表</w:t>
      </w:r>
      <w:r>
        <w:rPr>
          <w:rFonts w:hint="eastAsia"/>
          <w:color w:val="auto"/>
          <w:lang w:eastAsia="zh-CN"/>
        </w:rPr>
        <w:t>4.6.</w:t>
      </w:r>
      <w:r>
        <w:rPr>
          <w:rFonts w:hint="eastAsia"/>
          <w:color w:val="auto"/>
        </w:rPr>
        <w:t>7</w:t>
      </w:r>
      <w:r>
        <w:rPr>
          <w:color w:val="auto"/>
        </w:rPr>
        <w:t xml:space="preserve">  </w:t>
      </w:r>
      <w:r>
        <w:rPr>
          <w:rFonts w:hint="eastAsia"/>
          <w:color w:val="auto"/>
        </w:rPr>
        <w:t>模型精细度等级代号</w:t>
      </w:r>
    </w:p>
    <w:tbl>
      <w:tblPr>
        <w:tblStyle w:val="75"/>
        <w:tblW w:w="63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2155"/>
        <w:gridCol w:w="2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126" w:type="dxa"/>
            <w:vAlign w:val="center"/>
          </w:tcPr>
          <w:p>
            <w:pPr>
              <w:spacing w:line="240" w:lineRule="auto"/>
              <w:ind w:firstLine="0" w:firstLineChars="0"/>
              <w:jc w:val="center"/>
              <w:textAlignment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模型名称</w:t>
            </w:r>
          </w:p>
        </w:tc>
        <w:tc>
          <w:tcPr>
            <w:tcW w:w="2155" w:type="dxa"/>
            <w:vAlign w:val="center"/>
          </w:tcPr>
          <w:p>
            <w:pPr>
              <w:spacing w:line="240" w:lineRule="auto"/>
              <w:ind w:firstLine="0" w:firstLineChars="0"/>
              <w:jc w:val="center"/>
              <w:textAlignment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精细度等级代号</w:t>
            </w:r>
          </w:p>
        </w:tc>
        <w:tc>
          <w:tcPr>
            <w:tcW w:w="2097" w:type="dxa"/>
            <w:vAlign w:val="center"/>
          </w:tcPr>
          <w:p>
            <w:pPr>
              <w:spacing w:line="240" w:lineRule="auto"/>
              <w:ind w:firstLine="0" w:firstLineChars="0"/>
              <w:jc w:val="center"/>
              <w:textAlignment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形成阶段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126" w:type="dxa"/>
            <w:vAlign w:val="center"/>
          </w:tcPr>
          <w:p>
            <w:pPr>
              <w:spacing w:line="240" w:lineRule="auto"/>
              <w:ind w:firstLine="0" w:firstLineChars="0"/>
              <w:jc w:val="center"/>
              <w:textAlignment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方案设计模型</w:t>
            </w:r>
          </w:p>
        </w:tc>
        <w:tc>
          <w:tcPr>
            <w:tcW w:w="2155" w:type="dxa"/>
            <w:vAlign w:val="center"/>
          </w:tcPr>
          <w:p>
            <w:pPr>
              <w:spacing w:line="240" w:lineRule="auto"/>
              <w:ind w:firstLine="0" w:firstLineChars="0"/>
              <w:jc w:val="center"/>
              <w:textAlignment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L</w:t>
            </w:r>
            <w:r>
              <w:rPr>
                <w:rFonts w:asciiTheme="minorHAnsi" w:hAnsiTheme="minorHAnsi" w:eastAsiaTheme="minorEastAsia" w:cstheme="minorBidi"/>
                <w:color w:val="auto"/>
                <w:kern w:val="2"/>
                <w:sz w:val="21"/>
                <w:szCs w:val="21"/>
              </w:rPr>
              <w:t>OD1.0</w:t>
            </w:r>
          </w:p>
        </w:tc>
        <w:tc>
          <w:tcPr>
            <w:tcW w:w="2097" w:type="dxa"/>
            <w:vAlign w:val="center"/>
          </w:tcPr>
          <w:p>
            <w:pPr>
              <w:spacing w:line="240" w:lineRule="auto"/>
              <w:ind w:firstLine="0" w:firstLineChars="0"/>
              <w:jc w:val="center"/>
              <w:textAlignment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方案设计阶段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126" w:type="dxa"/>
            <w:vAlign w:val="center"/>
          </w:tcPr>
          <w:p>
            <w:pPr>
              <w:spacing w:line="240" w:lineRule="auto"/>
              <w:ind w:firstLine="0" w:firstLineChars="0"/>
              <w:jc w:val="center"/>
              <w:textAlignment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初步设计模型</w:t>
            </w:r>
          </w:p>
        </w:tc>
        <w:tc>
          <w:tcPr>
            <w:tcW w:w="2155" w:type="dxa"/>
            <w:vAlign w:val="center"/>
          </w:tcPr>
          <w:p>
            <w:pPr>
              <w:spacing w:line="240" w:lineRule="auto"/>
              <w:ind w:firstLine="0" w:firstLineChars="0"/>
              <w:jc w:val="center"/>
              <w:textAlignment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L</w:t>
            </w:r>
            <w:r>
              <w:rPr>
                <w:rFonts w:asciiTheme="minorHAnsi" w:hAnsiTheme="minorHAnsi" w:eastAsiaTheme="minorEastAsia" w:cstheme="minorBidi"/>
                <w:color w:val="auto"/>
                <w:kern w:val="2"/>
                <w:sz w:val="21"/>
                <w:szCs w:val="21"/>
              </w:rPr>
              <w:t>OD2.0</w:t>
            </w:r>
          </w:p>
        </w:tc>
        <w:tc>
          <w:tcPr>
            <w:tcW w:w="2097" w:type="dxa"/>
            <w:vAlign w:val="center"/>
          </w:tcPr>
          <w:p>
            <w:pPr>
              <w:spacing w:line="240" w:lineRule="auto"/>
              <w:ind w:firstLine="0" w:firstLineChars="0"/>
              <w:jc w:val="center"/>
              <w:textAlignment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初步设计阶段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126" w:type="dxa"/>
            <w:vAlign w:val="center"/>
          </w:tcPr>
          <w:p>
            <w:pPr>
              <w:spacing w:line="240" w:lineRule="auto"/>
              <w:ind w:firstLine="0" w:firstLineChars="0"/>
              <w:jc w:val="center"/>
              <w:textAlignment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技术设计模型</w:t>
            </w:r>
          </w:p>
        </w:tc>
        <w:tc>
          <w:tcPr>
            <w:tcW w:w="2155" w:type="dxa"/>
            <w:vAlign w:val="center"/>
          </w:tcPr>
          <w:p>
            <w:pPr>
              <w:spacing w:line="240" w:lineRule="auto"/>
              <w:ind w:firstLine="0" w:firstLineChars="0"/>
              <w:jc w:val="center"/>
              <w:textAlignment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LOD2.5</w:t>
            </w:r>
          </w:p>
        </w:tc>
        <w:tc>
          <w:tcPr>
            <w:tcW w:w="2097" w:type="dxa"/>
            <w:vAlign w:val="center"/>
          </w:tcPr>
          <w:p>
            <w:pPr>
              <w:spacing w:line="240" w:lineRule="auto"/>
              <w:ind w:firstLine="0" w:firstLineChars="0"/>
              <w:jc w:val="center"/>
              <w:textAlignment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技术设计阶段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126" w:type="dxa"/>
            <w:vAlign w:val="center"/>
          </w:tcPr>
          <w:p>
            <w:pPr>
              <w:spacing w:line="240" w:lineRule="auto"/>
              <w:ind w:firstLine="0" w:firstLineChars="0"/>
              <w:jc w:val="center"/>
              <w:textAlignment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施工图设计模型</w:t>
            </w:r>
          </w:p>
        </w:tc>
        <w:tc>
          <w:tcPr>
            <w:tcW w:w="2155" w:type="dxa"/>
            <w:vAlign w:val="center"/>
          </w:tcPr>
          <w:p>
            <w:pPr>
              <w:spacing w:line="240" w:lineRule="auto"/>
              <w:ind w:firstLine="0" w:firstLineChars="0"/>
              <w:jc w:val="center"/>
              <w:textAlignment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L</w:t>
            </w:r>
            <w:r>
              <w:rPr>
                <w:rFonts w:asciiTheme="minorHAnsi" w:hAnsiTheme="minorHAnsi" w:eastAsiaTheme="minorEastAsia" w:cstheme="minorBidi"/>
                <w:color w:val="auto"/>
                <w:kern w:val="2"/>
                <w:sz w:val="21"/>
                <w:szCs w:val="21"/>
              </w:rPr>
              <w:t>OD3.0</w:t>
            </w:r>
          </w:p>
        </w:tc>
        <w:tc>
          <w:tcPr>
            <w:tcW w:w="2097" w:type="dxa"/>
            <w:vAlign w:val="center"/>
          </w:tcPr>
          <w:p>
            <w:pPr>
              <w:spacing w:line="240" w:lineRule="auto"/>
              <w:ind w:firstLine="0" w:firstLineChars="0"/>
              <w:jc w:val="center"/>
              <w:textAlignment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施工图设计阶段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126" w:type="dxa"/>
            <w:vAlign w:val="center"/>
          </w:tcPr>
          <w:p>
            <w:pPr>
              <w:spacing w:line="240" w:lineRule="auto"/>
              <w:ind w:firstLine="0" w:firstLineChars="0"/>
              <w:jc w:val="center"/>
              <w:textAlignment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深化设计模型</w:t>
            </w:r>
          </w:p>
        </w:tc>
        <w:tc>
          <w:tcPr>
            <w:tcW w:w="2155" w:type="dxa"/>
            <w:vAlign w:val="center"/>
          </w:tcPr>
          <w:p>
            <w:pPr>
              <w:spacing w:line="240" w:lineRule="auto"/>
              <w:ind w:firstLine="0" w:firstLineChars="0"/>
              <w:jc w:val="center"/>
              <w:textAlignment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L</w:t>
            </w:r>
            <w:r>
              <w:rPr>
                <w:rFonts w:asciiTheme="minorHAnsi" w:hAnsiTheme="minorHAnsi" w:eastAsiaTheme="minorEastAsia" w:cstheme="minorBidi"/>
                <w:color w:val="auto"/>
                <w:kern w:val="2"/>
                <w:sz w:val="21"/>
                <w:szCs w:val="21"/>
              </w:rPr>
              <w:t>OD3.5</w:t>
            </w:r>
          </w:p>
        </w:tc>
        <w:tc>
          <w:tcPr>
            <w:tcW w:w="2097" w:type="dxa"/>
            <w:vAlign w:val="center"/>
          </w:tcPr>
          <w:p>
            <w:pPr>
              <w:spacing w:line="240" w:lineRule="auto"/>
              <w:ind w:firstLine="0" w:firstLineChars="0"/>
              <w:jc w:val="center"/>
              <w:textAlignment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深化设计阶段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126" w:type="dxa"/>
            <w:vAlign w:val="center"/>
          </w:tcPr>
          <w:p>
            <w:pPr>
              <w:spacing w:line="240" w:lineRule="auto"/>
              <w:ind w:firstLine="0" w:firstLineChars="0"/>
              <w:jc w:val="center"/>
              <w:textAlignment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竣工交付模型</w:t>
            </w:r>
          </w:p>
        </w:tc>
        <w:tc>
          <w:tcPr>
            <w:tcW w:w="2155" w:type="dxa"/>
            <w:vAlign w:val="center"/>
          </w:tcPr>
          <w:p>
            <w:pPr>
              <w:spacing w:line="240" w:lineRule="auto"/>
              <w:ind w:firstLine="0" w:firstLineChars="0"/>
              <w:jc w:val="center"/>
              <w:textAlignment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L</w:t>
            </w:r>
            <w:r>
              <w:rPr>
                <w:rFonts w:asciiTheme="minorHAnsi" w:hAnsiTheme="minorHAnsi" w:eastAsiaTheme="minorEastAsia" w:cstheme="minorBidi"/>
                <w:color w:val="auto"/>
                <w:kern w:val="2"/>
                <w:sz w:val="21"/>
                <w:szCs w:val="21"/>
              </w:rPr>
              <w:t>OD4.0</w:t>
            </w:r>
          </w:p>
        </w:tc>
        <w:tc>
          <w:tcPr>
            <w:tcW w:w="2097" w:type="dxa"/>
            <w:vAlign w:val="center"/>
          </w:tcPr>
          <w:p>
            <w:pPr>
              <w:spacing w:line="240" w:lineRule="auto"/>
              <w:ind w:firstLine="0" w:firstLineChars="0"/>
              <w:jc w:val="center"/>
              <w:textAlignment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竣工</w:t>
            </w:r>
            <w:r>
              <w:rPr>
                <w:rFonts w:hint="eastAsia" w:asciiTheme="minorHAnsi" w:hAnsiTheme="minorHAnsi" w:eastAsiaTheme="minorEastAsia" w:cstheme="minorBidi"/>
                <w:color w:val="auto"/>
                <w:kern w:val="2"/>
                <w:sz w:val="21"/>
                <w:szCs w:val="21"/>
              </w:rPr>
              <w:t>验收</w:t>
            </w:r>
            <w:r>
              <w:rPr>
                <w:rFonts w:asciiTheme="minorHAnsi" w:hAnsiTheme="minorHAnsi" w:eastAsiaTheme="minorEastAsia" w:cstheme="minorBidi"/>
                <w:color w:val="auto"/>
                <w:kern w:val="2"/>
                <w:sz w:val="21"/>
                <w:szCs w:val="21"/>
              </w:rPr>
              <w:t>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2126" w:type="dxa"/>
            <w:vAlign w:val="center"/>
          </w:tcPr>
          <w:p>
            <w:pPr>
              <w:spacing w:line="240" w:lineRule="auto"/>
              <w:ind w:firstLine="0" w:firstLineChars="0"/>
              <w:jc w:val="center"/>
              <w:textAlignment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运维模型</w:t>
            </w:r>
          </w:p>
        </w:tc>
        <w:tc>
          <w:tcPr>
            <w:tcW w:w="2155" w:type="dxa"/>
            <w:vAlign w:val="center"/>
          </w:tcPr>
          <w:p>
            <w:pPr>
              <w:spacing w:line="240" w:lineRule="auto"/>
              <w:ind w:firstLine="0" w:firstLineChars="0"/>
              <w:jc w:val="center"/>
              <w:textAlignment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L</w:t>
            </w:r>
            <w:r>
              <w:rPr>
                <w:rFonts w:asciiTheme="minorHAnsi" w:hAnsiTheme="minorHAnsi" w:eastAsiaTheme="minorEastAsia" w:cstheme="minorBidi"/>
                <w:color w:val="auto"/>
                <w:kern w:val="2"/>
                <w:sz w:val="21"/>
                <w:szCs w:val="21"/>
              </w:rPr>
              <w:t>OD5.0</w:t>
            </w:r>
          </w:p>
        </w:tc>
        <w:tc>
          <w:tcPr>
            <w:tcW w:w="2097" w:type="dxa"/>
            <w:vAlign w:val="center"/>
          </w:tcPr>
          <w:p>
            <w:pPr>
              <w:spacing w:line="240" w:lineRule="auto"/>
              <w:ind w:firstLine="0" w:firstLineChars="0"/>
              <w:jc w:val="center"/>
              <w:textAlignment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运维阶段</w:t>
            </w:r>
          </w:p>
        </w:tc>
      </w:tr>
    </w:tbl>
    <w:p>
      <w:pPr>
        <w:pStyle w:val="4"/>
        <w:ind w:firstLine="0" w:firstLineChars="0"/>
        <w:rPr>
          <w:color w:val="auto"/>
        </w:rPr>
      </w:pPr>
      <w:r>
        <w:rPr>
          <w:rFonts w:hint="eastAsia"/>
          <w:color w:val="auto"/>
          <w:lang w:eastAsia="zh-CN"/>
        </w:rPr>
        <w:t>4.6.</w:t>
      </w:r>
      <w:r>
        <w:rPr>
          <w:rFonts w:hint="eastAsia"/>
          <w:color w:val="auto"/>
        </w:rPr>
        <w:t>8</w:t>
      </w:r>
      <w:r>
        <w:rPr>
          <w:color w:val="auto"/>
        </w:rPr>
        <w:t xml:space="preserve"> </w:t>
      </w:r>
      <w:r>
        <w:rPr>
          <w:rFonts w:hint="eastAsia"/>
          <w:color w:val="auto"/>
        </w:rPr>
        <w:t>模型几何表达精度的等级划分应符合表</w:t>
      </w:r>
      <w:r>
        <w:rPr>
          <w:rFonts w:hint="eastAsia"/>
          <w:color w:val="auto"/>
          <w:lang w:eastAsia="zh-CN"/>
        </w:rPr>
        <w:t>4.6.</w:t>
      </w:r>
      <w:r>
        <w:rPr>
          <w:rFonts w:hint="eastAsia"/>
          <w:color w:val="auto"/>
        </w:rPr>
        <w:t>8</w:t>
      </w:r>
      <w:r>
        <w:rPr>
          <w:color w:val="auto"/>
        </w:rPr>
        <w:t>的规定。</w:t>
      </w:r>
    </w:p>
    <w:p>
      <w:pPr>
        <w:ind w:firstLine="0" w:firstLineChars="0"/>
        <w:jc w:val="center"/>
        <w:rPr>
          <w:color w:val="auto"/>
        </w:rPr>
      </w:pPr>
      <w:r>
        <w:rPr>
          <w:b/>
          <w:color w:val="auto"/>
          <w:sz w:val="21"/>
          <w:szCs w:val="21"/>
        </w:rPr>
        <w:t>表</w:t>
      </w:r>
      <w:r>
        <w:rPr>
          <w:rFonts w:hint="eastAsia"/>
          <w:b/>
          <w:color w:val="auto"/>
          <w:sz w:val="21"/>
          <w:szCs w:val="21"/>
          <w:lang w:eastAsia="zh-CN"/>
        </w:rPr>
        <w:t>4.6.</w:t>
      </w:r>
      <w:r>
        <w:rPr>
          <w:rFonts w:hint="eastAsia"/>
          <w:b/>
          <w:color w:val="auto"/>
          <w:sz w:val="21"/>
          <w:szCs w:val="21"/>
        </w:rPr>
        <w:t>8</w:t>
      </w:r>
      <w:r>
        <w:rPr>
          <w:b/>
          <w:color w:val="auto"/>
          <w:sz w:val="21"/>
          <w:szCs w:val="21"/>
        </w:rPr>
        <w:t xml:space="preserve"> </w:t>
      </w:r>
      <w:r>
        <w:rPr>
          <w:rFonts w:hint="eastAsia"/>
          <w:b/>
          <w:color w:val="auto"/>
          <w:sz w:val="21"/>
          <w:szCs w:val="21"/>
        </w:rPr>
        <w:t>模型</w:t>
      </w:r>
      <w:r>
        <w:rPr>
          <w:b/>
          <w:color w:val="auto"/>
          <w:sz w:val="21"/>
          <w:szCs w:val="21"/>
        </w:rPr>
        <w:t>几何表达精度的等级划分</w:t>
      </w:r>
    </w:p>
    <w:tbl>
      <w:tblPr>
        <w:tblStyle w:val="75"/>
        <w:tblW w:w="64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993"/>
        <w:gridCol w:w="4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118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等级</w:t>
            </w:r>
          </w:p>
        </w:tc>
        <w:tc>
          <w:tcPr>
            <w:tcW w:w="99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代号</w:t>
            </w:r>
          </w:p>
        </w:tc>
        <w:tc>
          <w:tcPr>
            <w:tcW w:w="432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几何表达精度要求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jc w:val="center"/>
        </w:trPr>
        <w:tc>
          <w:tcPr>
            <w:tcW w:w="118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1级几何表达精度</w:t>
            </w:r>
          </w:p>
        </w:tc>
        <w:tc>
          <w:tcPr>
            <w:tcW w:w="99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G</w:t>
            </w:r>
            <w:r>
              <w:rPr>
                <w:rFonts w:asciiTheme="minorHAnsi" w:hAnsiTheme="minorHAnsi" w:eastAsiaTheme="minorEastAsia" w:cstheme="minorBidi"/>
                <w:color w:val="auto"/>
                <w:kern w:val="2"/>
                <w:sz w:val="21"/>
                <w:szCs w:val="21"/>
              </w:rPr>
              <w:t>1</w:t>
            </w:r>
          </w:p>
        </w:tc>
        <w:tc>
          <w:tcPr>
            <w:tcW w:w="4323" w:type="dxa"/>
            <w:vAlign w:val="center"/>
          </w:tcPr>
          <w:p>
            <w:pPr>
              <w:adjustRightInd w:val="0"/>
              <w:spacing w:line="240" w:lineRule="auto"/>
              <w:ind w:firstLine="420"/>
              <w:jc w:val="left"/>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满足项目总体体验展示、方案评估以及二维化或者符号化识别需求的几何表达精度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jc w:val="center"/>
        </w:trPr>
        <w:tc>
          <w:tcPr>
            <w:tcW w:w="118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2</w:t>
            </w:r>
            <w:r>
              <w:rPr>
                <w:rFonts w:hint="eastAsia" w:asciiTheme="minorHAnsi" w:hAnsiTheme="minorHAnsi" w:eastAsiaTheme="minorEastAsia" w:cstheme="minorBidi"/>
                <w:color w:val="auto"/>
                <w:kern w:val="2"/>
                <w:sz w:val="21"/>
                <w:szCs w:val="21"/>
              </w:rPr>
              <w:t>级几何表达精度</w:t>
            </w:r>
          </w:p>
        </w:tc>
        <w:tc>
          <w:tcPr>
            <w:tcW w:w="99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G</w:t>
            </w:r>
            <w:r>
              <w:rPr>
                <w:rFonts w:asciiTheme="minorHAnsi" w:hAnsiTheme="minorHAnsi" w:eastAsiaTheme="minorEastAsia" w:cstheme="minorBidi"/>
                <w:color w:val="auto"/>
                <w:kern w:val="2"/>
                <w:sz w:val="21"/>
                <w:szCs w:val="21"/>
              </w:rPr>
              <w:t>2</w:t>
            </w:r>
          </w:p>
        </w:tc>
        <w:tc>
          <w:tcPr>
            <w:tcW w:w="4323" w:type="dxa"/>
            <w:vAlign w:val="center"/>
          </w:tcPr>
          <w:p>
            <w:pPr>
              <w:adjustRightInd w:val="0"/>
              <w:spacing w:line="240" w:lineRule="auto"/>
              <w:ind w:firstLine="42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满足空间占位、主要颜色等粗略识别需求的几何表达精度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jc w:val="center"/>
        </w:trPr>
        <w:tc>
          <w:tcPr>
            <w:tcW w:w="118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3</w:t>
            </w:r>
            <w:r>
              <w:rPr>
                <w:rFonts w:hint="eastAsia" w:asciiTheme="minorHAnsi" w:hAnsiTheme="minorHAnsi" w:eastAsiaTheme="minorEastAsia" w:cstheme="minorBidi"/>
                <w:color w:val="auto"/>
                <w:kern w:val="2"/>
                <w:sz w:val="21"/>
                <w:szCs w:val="21"/>
              </w:rPr>
              <w:t>级几何表达精度</w:t>
            </w:r>
          </w:p>
        </w:tc>
        <w:tc>
          <w:tcPr>
            <w:tcW w:w="99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G</w:t>
            </w:r>
            <w:r>
              <w:rPr>
                <w:rFonts w:asciiTheme="minorHAnsi" w:hAnsiTheme="minorHAnsi" w:eastAsiaTheme="minorEastAsia" w:cstheme="minorBidi"/>
                <w:color w:val="auto"/>
                <w:kern w:val="2"/>
                <w:sz w:val="21"/>
                <w:szCs w:val="21"/>
              </w:rPr>
              <w:t>3</w:t>
            </w:r>
          </w:p>
        </w:tc>
        <w:tc>
          <w:tcPr>
            <w:tcW w:w="4323" w:type="dxa"/>
            <w:vAlign w:val="center"/>
          </w:tcPr>
          <w:p>
            <w:pPr>
              <w:adjustRightInd w:val="0"/>
              <w:spacing w:line="240" w:lineRule="auto"/>
              <w:ind w:firstLine="42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满足建造安装流程、采购等精细识别需求的几何表达精度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jc w:val="center"/>
        </w:trPr>
        <w:tc>
          <w:tcPr>
            <w:tcW w:w="118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4</w:t>
            </w:r>
            <w:r>
              <w:rPr>
                <w:rFonts w:hint="eastAsia" w:asciiTheme="minorHAnsi" w:hAnsiTheme="minorHAnsi" w:eastAsiaTheme="minorEastAsia" w:cstheme="minorBidi"/>
                <w:color w:val="auto"/>
                <w:kern w:val="2"/>
                <w:sz w:val="21"/>
                <w:szCs w:val="21"/>
              </w:rPr>
              <w:t>级几何表达精度</w:t>
            </w:r>
          </w:p>
        </w:tc>
        <w:tc>
          <w:tcPr>
            <w:tcW w:w="99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G</w:t>
            </w:r>
            <w:r>
              <w:rPr>
                <w:rFonts w:asciiTheme="minorHAnsi" w:hAnsiTheme="minorHAnsi" w:eastAsiaTheme="minorEastAsia" w:cstheme="minorBidi"/>
                <w:color w:val="auto"/>
                <w:kern w:val="2"/>
                <w:sz w:val="21"/>
                <w:szCs w:val="21"/>
              </w:rPr>
              <w:t>4</w:t>
            </w:r>
          </w:p>
        </w:tc>
        <w:tc>
          <w:tcPr>
            <w:tcW w:w="4323" w:type="dxa"/>
            <w:vAlign w:val="center"/>
          </w:tcPr>
          <w:p>
            <w:pPr>
              <w:adjustRightInd w:val="0"/>
              <w:spacing w:line="240" w:lineRule="auto"/>
              <w:ind w:firstLine="42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满足高精度渲染展示、产品管理、制造加工准备等高精度识别需求的几何表达精度</w:t>
            </w:r>
          </w:p>
        </w:tc>
      </w:tr>
    </w:tbl>
    <w:p>
      <w:pPr>
        <w:pStyle w:val="4"/>
        <w:ind w:firstLine="0" w:firstLineChars="0"/>
        <w:rPr>
          <w:color w:val="auto"/>
        </w:rPr>
      </w:pPr>
      <w:r>
        <w:rPr>
          <w:rFonts w:hint="eastAsia"/>
          <w:color w:val="auto"/>
          <w:lang w:eastAsia="zh-CN"/>
        </w:rPr>
        <w:t>4.6.</w:t>
      </w:r>
      <w:r>
        <w:rPr>
          <w:rFonts w:hint="eastAsia"/>
          <w:color w:val="auto"/>
        </w:rPr>
        <w:t>9</w:t>
      </w:r>
      <w:r>
        <w:rPr>
          <w:color w:val="auto"/>
        </w:rPr>
        <w:t xml:space="preserve"> </w:t>
      </w:r>
      <w:r>
        <w:rPr>
          <w:rFonts w:hint="eastAsia"/>
          <w:color w:val="auto"/>
        </w:rPr>
        <w:t>模型单元信息深度等级的划分应符合表</w:t>
      </w:r>
      <w:r>
        <w:rPr>
          <w:rFonts w:hint="eastAsia"/>
          <w:color w:val="auto"/>
          <w:lang w:eastAsia="zh-CN"/>
        </w:rPr>
        <w:t>4.6.</w:t>
      </w:r>
      <w:r>
        <w:rPr>
          <w:rFonts w:hint="eastAsia"/>
          <w:color w:val="auto"/>
        </w:rPr>
        <w:t>9</w:t>
      </w:r>
      <w:r>
        <w:rPr>
          <w:color w:val="auto"/>
        </w:rPr>
        <w:t>的规定。</w:t>
      </w:r>
    </w:p>
    <w:p>
      <w:pPr>
        <w:ind w:firstLine="0" w:firstLineChars="0"/>
        <w:jc w:val="center"/>
        <w:rPr>
          <w:color w:val="auto"/>
        </w:rPr>
      </w:pPr>
      <w:r>
        <w:rPr>
          <w:b/>
          <w:color w:val="auto"/>
          <w:sz w:val="21"/>
          <w:szCs w:val="21"/>
        </w:rPr>
        <w:t>表</w:t>
      </w:r>
      <w:r>
        <w:rPr>
          <w:rFonts w:hint="eastAsia"/>
          <w:b/>
          <w:color w:val="auto"/>
          <w:sz w:val="21"/>
          <w:szCs w:val="21"/>
          <w:lang w:eastAsia="zh-CN"/>
        </w:rPr>
        <w:t>4.6.</w:t>
      </w:r>
      <w:r>
        <w:rPr>
          <w:rFonts w:hint="eastAsia"/>
          <w:b/>
          <w:color w:val="auto"/>
          <w:sz w:val="21"/>
          <w:szCs w:val="21"/>
        </w:rPr>
        <w:t>9</w:t>
      </w:r>
      <w:r>
        <w:rPr>
          <w:b/>
          <w:color w:val="auto"/>
          <w:sz w:val="21"/>
          <w:szCs w:val="21"/>
        </w:rPr>
        <w:t xml:space="preserve"> 信息深度等级的划分</w:t>
      </w:r>
    </w:p>
    <w:tbl>
      <w:tblPr>
        <w:tblStyle w:val="75"/>
        <w:tblW w:w="70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672"/>
        <w:gridCol w:w="4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1504"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等级</w:t>
            </w:r>
          </w:p>
        </w:tc>
        <w:tc>
          <w:tcPr>
            <w:tcW w:w="672"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代号</w:t>
            </w:r>
          </w:p>
        </w:tc>
        <w:tc>
          <w:tcPr>
            <w:tcW w:w="4911"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信息深度等级要求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jc w:val="center"/>
        </w:trPr>
        <w:tc>
          <w:tcPr>
            <w:tcW w:w="1504"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1级</w:t>
            </w:r>
            <w:r>
              <w:rPr>
                <w:rFonts w:asciiTheme="minorHAnsi" w:hAnsiTheme="minorHAnsi" w:eastAsiaTheme="minorEastAsia" w:cstheme="minorBidi"/>
                <w:color w:val="auto"/>
                <w:kern w:val="2"/>
                <w:sz w:val="21"/>
                <w:szCs w:val="21"/>
              </w:rPr>
              <w:t>信息深度</w:t>
            </w:r>
          </w:p>
        </w:tc>
        <w:tc>
          <w:tcPr>
            <w:tcW w:w="672"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N1</w:t>
            </w:r>
          </w:p>
        </w:tc>
        <w:tc>
          <w:tcPr>
            <w:tcW w:w="4911" w:type="dxa"/>
            <w:vAlign w:val="center"/>
          </w:tcPr>
          <w:p>
            <w:pPr>
              <w:adjustRightInd w:val="0"/>
              <w:spacing w:line="240" w:lineRule="auto"/>
              <w:ind w:firstLine="42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宜包含</w:t>
            </w:r>
            <w:r>
              <w:rPr>
                <w:rFonts w:asciiTheme="minorHAnsi" w:hAnsiTheme="minorHAnsi" w:eastAsiaTheme="minorEastAsia" w:cstheme="minorBidi"/>
                <w:color w:val="auto"/>
                <w:kern w:val="2"/>
                <w:sz w:val="21"/>
                <w:szCs w:val="21"/>
              </w:rPr>
              <w:t>模型单元的身份描述、项目信息、组织角色等信息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jc w:val="center"/>
        </w:trPr>
        <w:tc>
          <w:tcPr>
            <w:tcW w:w="1504"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2</w:t>
            </w:r>
            <w:r>
              <w:rPr>
                <w:rFonts w:hint="eastAsia" w:asciiTheme="minorHAnsi" w:hAnsiTheme="minorHAnsi" w:eastAsiaTheme="minorEastAsia" w:cstheme="minorBidi"/>
                <w:color w:val="auto"/>
                <w:kern w:val="2"/>
                <w:sz w:val="21"/>
                <w:szCs w:val="21"/>
              </w:rPr>
              <w:t>级</w:t>
            </w:r>
            <w:r>
              <w:rPr>
                <w:rFonts w:asciiTheme="minorHAnsi" w:hAnsiTheme="minorHAnsi" w:eastAsiaTheme="minorEastAsia" w:cstheme="minorBidi"/>
                <w:color w:val="auto"/>
                <w:kern w:val="2"/>
                <w:sz w:val="21"/>
                <w:szCs w:val="21"/>
              </w:rPr>
              <w:t>信息深度</w:t>
            </w:r>
          </w:p>
        </w:tc>
        <w:tc>
          <w:tcPr>
            <w:tcW w:w="672"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N2</w:t>
            </w:r>
          </w:p>
        </w:tc>
        <w:tc>
          <w:tcPr>
            <w:tcW w:w="4911" w:type="dxa"/>
            <w:vAlign w:val="center"/>
          </w:tcPr>
          <w:p>
            <w:pPr>
              <w:adjustRightInd w:val="0"/>
              <w:spacing w:line="240" w:lineRule="auto"/>
              <w:ind w:firstLine="42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宜包含和补充N</w:t>
            </w:r>
            <w:r>
              <w:rPr>
                <w:rFonts w:asciiTheme="minorHAnsi" w:hAnsiTheme="minorHAnsi" w:eastAsiaTheme="minorEastAsia" w:cstheme="minorBidi"/>
                <w:color w:val="auto"/>
                <w:kern w:val="2"/>
                <w:sz w:val="21"/>
                <w:szCs w:val="21"/>
              </w:rPr>
              <w:t>1等级信息，增加实体系统关系、组成及材质，性能或属性等信息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jc w:val="center"/>
        </w:trPr>
        <w:tc>
          <w:tcPr>
            <w:tcW w:w="1504"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3</w:t>
            </w:r>
            <w:r>
              <w:rPr>
                <w:rFonts w:hint="eastAsia" w:asciiTheme="minorHAnsi" w:hAnsiTheme="minorHAnsi" w:eastAsiaTheme="minorEastAsia" w:cstheme="minorBidi"/>
                <w:color w:val="auto"/>
                <w:kern w:val="2"/>
                <w:sz w:val="21"/>
                <w:szCs w:val="21"/>
              </w:rPr>
              <w:t>级</w:t>
            </w:r>
            <w:r>
              <w:rPr>
                <w:rFonts w:asciiTheme="minorHAnsi" w:hAnsiTheme="minorHAnsi" w:eastAsiaTheme="minorEastAsia" w:cstheme="minorBidi"/>
                <w:color w:val="auto"/>
                <w:kern w:val="2"/>
                <w:sz w:val="21"/>
                <w:szCs w:val="21"/>
              </w:rPr>
              <w:t>信息深度</w:t>
            </w:r>
          </w:p>
        </w:tc>
        <w:tc>
          <w:tcPr>
            <w:tcW w:w="672"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N3</w:t>
            </w:r>
          </w:p>
        </w:tc>
        <w:tc>
          <w:tcPr>
            <w:tcW w:w="4911" w:type="dxa"/>
            <w:vAlign w:val="center"/>
          </w:tcPr>
          <w:p>
            <w:pPr>
              <w:adjustRightInd w:val="0"/>
              <w:spacing w:line="240" w:lineRule="auto"/>
              <w:ind w:firstLine="42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宜包含和补充N</w:t>
            </w:r>
            <w:r>
              <w:rPr>
                <w:rFonts w:asciiTheme="minorHAnsi" w:hAnsiTheme="minorHAnsi" w:eastAsiaTheme="minorEastAsia" w:cstheme="minorBidi"/>
                <w:color w:val="auto"/>
                <w:kern w:val="2"/>
                <w:sz w:val="21"/>
                <w:szCs w:val="21"/>
              </w:rPr>
              <w:t>2等级信息，增加生产、建造、安装等信息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jc w:val="center"/>
        </w:trPr>
        <w:tc>
          <w:tcPr>
            <w:tcW w:w="1504"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4</w:t>
            </w:r>
            <w:r>
              <w:rPr>
                <w:rFonts w:hint="eastAsia" w:asciiTheme="minorHAnsi" w:hAnsiTheme="minorHAnsi" w:eastAsiaTheme="minorEastAsia" w:cstheme="minorBidi"/>
                <w:color w:val="auto"/>
                <w:kern w:val="2"/>
                <w:sz w:val="21"/>
                <w:szCs w:val="21"/>
              </w:rPr>
              <w:t>级</w:t>
            </w:r>
            <w:r>
              <w:rPr>
                <w:rFonts w:asciiTheme="minorHAnsi" w:hAnsiTheme="minorHAnsi" w:eastAsiaTheme="minorEastAsia" w:cstheme="minorBidi"/>
                <w:color w:val="auto"/>
                <w:kern w:val="2"/>
                <w:sz w:val="21"/>
                <w:szCs w:val="21"/>
              </w:rPr>
              <w:t>信息深度</w:t>
            </w:r>
          </w:p>
        </w:tc>
        <w:tc>
          <w:tcPr>
            <w:tcW w:w="672"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N4</w:t>
            </w:r>
          </w:p>
        </w:tc>
        <w:tc>
          <w:tcPr>
            <w:tcW w:w="4911" w:type="dxa"/>
            <w:vAlign w:val="center"/>
          </w:tcPr>
          <w:p>
            <w:pPr>
              <w:adjustRightInd w:val="0"/>
              <w:spacing w:line="240" w:lineRule="auto"/>
              <w:ind w:firstLine="42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宜包含和补充N</w:t>
            </w:r>
            <w:r>
              <w:rPr>
                <w:rFonts w:asciiTheme="minorHAnsi" w:hAnsiTheme="minorHAnsi" w:eastAsiaTheme="minorEastAsia" w:cstheme="minorBidi"/>
                <w:color w:val="auto"/>
                <w:kern w:val="2"/>
                <w:sz w:val="21"/>
                <w:szCs w:val="21"/>
              </w:rPr>
              <w:t>3等级信息，增加资产信息和维护管理等信息</w:t>
            </w:r>
          </w:p>
        </w:tc>
      </w:tr>
    </w:tbl>
    <w:p>
      <w:pPr>
        <w:pStyle w:val="4"/>
        <w:ind w:firstLine="0" w:firstLineChars="0"/>
        <w:rPr>
          <w:color w:val="auto"/>
        </w:rPr>
      </w:pPr>
      <w:r>
        <w:rPr>
          <w:rFonts w:hint="eastAsia"/>
          <w:color w:val="auto"/>
          <w:lang w:eastAsia="zh-CN"/>
        </w:rPr>
        <w:t>4.6.</w:t>
      </w:r>
      <w:r>
        <w:rPr>
          <w:color w:val="auto"/>
        </w:rPr>
        <w:t>1</w:t>
      </w:r>
      <w:r>
        <w:rPr>
          <w:rFonts w:hint="eastAsia"/>
          <w:color w:val="auto"/>
        </w:rPr>
        <w:t>0</w:t>
      </w:r>
      <w:r>
        <w:rPr>
          <w:color w:val="auto"/>
        </w:rPr>
        <w:t xml:space="preserve">  </w:t>
      </w:r>
      <w:r>
        <w:rPr>
          <w:rFonts w:hint="eastAsia"/>
          <w:color w:val="auto"/>
        </w:rPr>
        <w:t>模型单元</w:t>
      </w:r>
      <w:r>
        <w:rPr>
          <w:color w:val="auto"/>
        </w:rPr>
        <w:t>应包含系统分类、关联关系及其属性值的来源等信息。系统分类宜符合本标准附录</w:t>
      </w:r>
      <w:r>
        <w:rPr>
          <w:rFonts w:hint="eastAsia"/>
          <w:color w:val="auto"/>
        </w:rPr>
        <w:t>B的规定。</w:t>
      </w:r>
    </w:p>
    <w:p>
      <w:pPr>
        <w:pStyle w:val="4"/>
        <w:ind w:firstLine="0" w:firstLineChars="0"/>
        <w:rPr>
          <w:color w:val="auto"/>
        </w:rPr>
      </w:pPr>
      <w:r>
        <w:rPr>
          <w:rFonts w:hint="eastAsia"/>
          <w:color w:val="auto"/>
          <w:lang w:eastAsia="zh-CN"/>
        </w:rPr>
        <w:t>4.6.</w:t>
      </w:r>
      <w:r>
        <w:rPr>
          <w:color w:val="auto"/>
        </w:rPr>
        <w:t>1</w:t>
      </w:r>
      <w:r>
        <w:rPr>
          <w:rFonts w:hint="eastAsia"/>
          <w:color w:val="auto"/>
        </w:rPr>
        <w:t>1 模型单元属性信息应选择适宜的信息深度体现，属性应分类设置，属性分类宜符合</w:t>
      </w:r>
      <w:r>
        <w:rPr>
          <w:color w:val="auto"/>
        </w:rPr>
        <w:t>本标准附录C</w:t>
      </w:r>
      <w:r>
        <w:rPr>
          <w:rFonts w:hint="eastAsia"/>
          <w:color w:val="auto"/>
        </w:rPr>
        <w:t>的要求。</w:t>
      </w:r>
    </w:p>
    <w:p>
      <w:pPr>
        <w:pStyle w:val="4"/>
        <w:ind w:firstLine="0" w:firstLineChars="0"/>
        <w:rPr>
          <w:color w:val="auto"/>
        </w:rPr>
      </w:pPr>
      <w:r>
        <w:rPr>
          <w:rFonts w:hint="eastAsia"/>
          <w:color w:val="auto"/>
          <w:lang w:eastAsia="zh-CN"/>
        </w:rPr>
        <w:t>4.6.</w:t>
      </w:r>
      <w:r>
        <w:rPr>
          <w:color w:val="auto"/>
        </w:rPr>
        <w:t>1</w:t>
      </w:r>
      <w:r>
        <w:rPr>
          <w:rFonts w:hint="eastAsia"/>
          <w:color w:val="auto"/>
        </w:rPr>
        <w:t>2</w:t>
      </w:r>
      <w:r>
        <w:rPr>
          <w:color w:val="auto"/>
        </w:rPr>
        <w:t xml:space="preserve"> </w:t>
      </w:r>
      <w:r>
        <w:rPr>
          <w:rFonts w:hint="eastAsia"/>
          <w:color w:val="auto"/>
        </w:rPr>
        <w:t>模型质量</w:t>
      </w:r>
      <w:r>
        <w:rPr>
          <w:color w:val="auto"/>
        </w:rPr>
        <w:t>控制应包括下列内容：</w:t>
      </w:r>
    </w:p>
    <w:p>
      <w:pPr>
        <w:ind w:firstLine="480"/>
        <w:rPr>
          <w:color w:val="auto"/>
        </w:rPr>
      </w:pPr>
      <w:r>
        <w:rPr>
          <w:rFonts w:hint="eastAsia"/>
          <w:color w:val="auto"/>
        </w:rPr>
        <w:t>1</w:t>
      </w:r>
      <w:r>
        <w:rPr>
          <w:color w:val="auto"/>
        </w:rPr>
        <w:t xml:space="preserve">  符合性检查：与策划目标及</w:t>
      </w:r>
      <w:r>
        <w:rPr>
          <w:rFonts w:hint="eastAsia"/>
          <w:color w:val="auto"/>
        </w:rPr>
        <w:t>合同或协议要求</w:t>
      </w:r>
      <w:r>
        <w:rPr>
          <w:color w:val="auto"/>
        </w:rPr>
        <w:t>的符合性检查；</w:t>
      </w:r>
    </w:p>
    <w:p>
      <w:pPr>
        <w:ind w:firstLine="480"/>
        <w:rPr>
          <w:color w:val="auto"/>
        </w:rPr>
      </w:pPr>
      <w:r>
        <w:rPr>
          <w:rFonts w:hint="eastAsia"/>
          <w:color w:val="auto"/>
        </w:rPr>
        <w:t>2</w:t>
      </w:r>
      <w:r>
        <w:rPr>
          <w:color w:val="auto"/>
        </w:rPr>
        <w:t xml:space="preserve">  一致性检查：对模型及子模型之间关联的一致性检查；</w:t>
      </w:r>
    </w:p>
    <w:p>
      <w:pPr>
        <w:ind w:firstLine="480"/>
        <w:rPr>
          <w:color w:val="auto"/>
        </w:rPr>
      </w:pPr>
      <w:r>
        <w:rPr>
          <w:rFonts w:hint="eastAsia"/>
          <w:color w:val="auto"/>
        </w:rPr>
        <w:t>3</w:t>
      </w:r>
      <w:r>
        <w:rPr>
          <w:color w:val="auto"/>
        </w:rPr>
        <w:t xml:space="preserve">  合规性检查：对相应标准</w:t>
      </w:r>
      <w:r>
        <w:rPr>
          <w:rFonts w:hint="eastAsia"/>
          <w:color w:val="auto"/>
        </w:rPr>
        <w:t>与</w:t>
      </w:r>
      <w:r>
        <w:rPr>
          <w:color w:val="auto"/>
        </w:rPr>
        <w:t>规范的</w:t>
      </w:r>
      <w:r>
        <w:rPr>
          <w:rFonts w:hint="eastAsia"/>
          <w:color w:val="auto"/>
        </w:rPr>
        <w:t>符合性</w:t>
      </w:r>
      <w:r>
        <w:rPr>
          <w:color w:val="auto"/>
        </w:rPr>
        <w:t>检查；</w:t>
      </w:r>
    </w:p>
    <w:p>
      <w:pPr>
        <w:ind w:firstLine="480"/>
        <w:rPr>
          <w:color w:val="auto"/>
        </w:rPr>
      </w:pPr>
      <w:r>
        <w:rPr>
          <w:color w:val="auto"/>
        </w:rPr>
        <w:t xml:space="preserve">4  </w:t>
      </w:r>
      <w:r>
        <w:rPr>
          <w:rFonts w:hint="eastAsia"/>
          <w:color w:val="auto"/>
        </w:rPr>
        <w:t>有效</w:t>
      </w:r>
      <w:r>
        <w:rPr>
          <w:color w:val="auto"/>
        </w:rPr>
        <w:t>性检查：对模型信息的准确性与完整性进行检查。</w:t>
      </w:r>
    </w:p>
    <w:p>
      <w:pPr>
        <w:ind w:firstLine="0" w:firstLineChars="0"/>
        <w:rPr>
          <w:color w:val="auto"/>
        </w:rPr>
      </w:pPr>
      <w:r>
        <w:rPr>
          <w:rFonts w:hint="eastAsia"/>
          <w:color w:val="auto"/>
          <w:lang w:eastAsia="zh-CN"/>
        </w:rPr>
        <w:t>4.6.</w:t>
      </w:r>
      <w:r>
        <w:rPr>
          <w:color w:val="auto"/>
        </w:rPr>
        <w:t>1</w:t>
      </w:r>
      <w:r>
        <w:rPr>
          <w:rFonts w:hint="eastAsia"/>
          <w:color w:val="auto"/>
        </w:rPr>
        <w:t xml:space="preserve">3 </w:t>
      </w:r>
      <w:r>
        <w:rPr>
          <w:color w:val="auto"/>
        </w:rPr>
        <w:t>模型应采用统一的时空参考系，并符合下列要求</w:t>
      </w:r>
      <w:r>
        <w:rPr>
          <w:rFonts w:hint="eastAsia"/>
          <w:color w:val="auto"/>
        </w:rPr>
        <w:t>：</w:t>
      </w:r>
    </w:p>
    <w:p>
      <w:pPr>
        <w:ind w:firstLine="480"/>
        <w:rPr>
          <w:color w:val="auto"/>
        </w:rPr>
      </w:pPr>
      <w:r>
        <w:rPr>
          <w:rFonts w:hint="eastAsia"/>
          <w:color w:val="auto"/>
        </w:rPr>
        <w:t>1</w:t>
      </w:r>
      <w:r>
        <w:rPr>
          <w:color w:val="auto"/>
        </w:rPr>
        <w:t xml:space="preserve"> 平面坐标系应采用</w:t>
      </w:r>
      <w:r>
        <w:rPr>
          <w:rFonts w:hint="eastAsia"/>
          <w:color w:val="auto"/>
        </w:rPr>
        <w:t>2</w:t>
      </w:r>
      <w:r>
        <w:rPr>
          <w:color w:val="auto"/>
        </w:rPr>
        <w:t>000国家大地坐标系（</w:t>
      </w:r>
      <w:r>
        <w:rPr>
          <w:rFonts w:hint="eastAsia"/>
          <w:color w:val="auto"/>
        </w:rPr>
        <w:t>C</w:t>
      </w:r>
      <w:r>
        <w:rPr>
          <w:color w:val="auto"/>
        </w:rPr>
        <w:t>GCS2000），当采用其它坐标系时，应与</w:t>
      </w:r>
      <w:r>
        <w:rPr>
          <w:rFonts w:hint="eastAsia"/>
          <w:color w:val="auto"/>
        </w:rPr>
        <w:t>2</w:t>
      </w:r>
      <w:r>
        <w:rPr>
          <w:color w:val="auto"/>
        </w:rPr>
        <w:t>000国家大地坐标系建立关联；</w:t>
      </w:r>
    </w:p>
    <w:p>
      <w:pPr>
        <w:ind w:firstLine="480"/>
        <w:rPr>
          <w:color w:val="auto"/>
        </w:rPr>
      </w:pPr>
      <w:r>
        <w:rPr>
          <w:color w:val="auto"/>
        </w:rPr>
        <w:t>2 高程基准应采用</w:t>
      </w:r>
      <w:r>
        <w:rPr>
          <w:rFonts w:hint="eastAsia"/>
          <w:color w:val="auto"/>
        </w:rPr>
        <w:t>1</w:t>
      </w:r>
      <w:r>
        <w:rPr>
          <w:color w:val="auto"/>
        </w:rPr>
        <w:t>9</w:t>
      </w:r>
      <w:r>
        <w:rPr>
          <w:rFonts w:hint="eastAsia"/>
          <w:color w:val="auto"/>
        </w:rPr>
        <w:t>8</w:t>
      </w:r>
      <w:r>
        <w:rPr>
          <w:color w:val="auto"/>
        </w:rPr>
        <w:t>5国家高程基准，</w:t>
      </w:r>
      <w:r>
        <w:rPr>
          <w:rFonts w:hint="eastAsia"/>
          <w:color w:val="auto"/>
        </w:rPr>
        <w:t>当</w:t>
      </w:r>
      <w:r>
        <w:rPr>
          <w:color w:val="auto"/>
        </w:rPr>
        <w:t>采用其它高程基准时，应与</w:t>
      </w:r>
      <w:r>
        <w:rPr>
          <w:rFonts w:hint="eastAsia"/>
          <w:color w:val="auto"/>
        </w:rPr>
        <w:t>1</w:t>
      </w:r>
      <w:r>
        <w:rPr>
          <w:color w:val="auto"/>
        </w:rPr>
        <w:t>985国家高程基准建立关联；</w:t>
      </w:r>
    </w:p>
    <w:p>
      <w:pPr>
        <w:ind w:firstLine="480"/>
        <w:rPr>
          <w:color w:val="auto"/>
        </w:rPr>
      </w:pPr>
      <w:r>
        <w:rPr>
          <w:rFonts w:hint="eastAsia"/>
          <w:color w:val="auto"/>
        </w:rPr>
        <w:t>3</w:t>
      </w:r>
      <w:r>
        <w:rPr>
          <w:color w:val="auto"/>
        </w:rPr>
        <w:t xml:space="preserve"> 模型时间系统应采用公元纪年和北京时间。</w:t>
      </w:r>
    </w:p>
    <w:p>
      <w:pPr>
        <w:pStyle w:val="4"/>
        <w:ind w:firstLine="0" w:firstLineChars="0"/>
        <w:rPr>
          <w:color w:val="auto"/>
          <w:lang w:val="en-GB"/>
        </w:rPr>
      </w:pPr>
      <w:r>
        <w:rPr>
          <w:rFonts w:hint="eastAsia"/>
          <w:color w:val="auto"/>
          <w:lang w:eastAsia="zh-CN"/>
        </w:rPr>
        <w:t>4.6.</w:t>
      </w:r>
      <w:r>
        <w:rPr>
          <w:rFonts w:hint="eastAsia"/>
          <w:color w:val="auto"/>
        </w:rPr>
        <w:t>14  工程</w:t>
      </w:r>
      <w:r>
        <w:rPr>
          <w:color w:val="auto"/>
        </w:rPr>
        <w:t>场地</w:t>
      </w:r>
      <w:r>
        <w:rPr>
          <w:rFonts w:hint="eastAsia"/>
          <w:color w:val="auto"/>
        </w:rPr>
        <w:t>模型宜</w:t>
      </w:r>
      <w:r>
        <w:rPr>
          <w:color w:val="auto"/>
        </w:rPr>
        <w:t>通过</w:t>
      </w:r>
      <w:r>
        <w:rPr>
          <w:rFonts w:hint="eastAsia"/>
          <w:color w:val="auto"/>
        </w:rPr>
        <w:t>倾斜摄影数据或现有G</w:t>
      </w:r>
      <w:r>
        <w:rPr>
          <w:color w:val="auto"/>
        </w:rPr>
        <w:t>IS模型数据等生成</w:t>
      </w:r>
      <w:r>
        <w:rPr>
          <w:rFonts w:hint="eastAsia"/>
          <w:color w:val="auto"/>
        </w:rPr>
        <w:t>，并便于场地模型集成与裁剪应用</w:t>
      </w:r>
      <w:r>
        <w:rPr>
          <w:color w:val="auto"/>
        </w:rPr>
        <w:t>。</w:t>
      </w:r>
    </w:p>
    <w:p>
      <w:pPr>
        <w:pStyle w:val="3"/>
        <w:jc w:val="center"/>
        <w:rPr>
          <w:color w:val="auto"/>
        </w:rPr>
      </w:pPr>
      <w:bookmarkStart w:id="75" w:name="_Toc2906"/>
      <w:r>
        <w:rPr>
          <w:color w:val="auto"/>
        </w:rPr>
        <w:t>4.</w:t>
      </w:r>
      <w:r>
        <w:rPr>
          <w:rFonts w:hint="eastAsia"/>
          <w:color w:val="auto"/>
          <w:lang w:val="en-US" w:eastAsia="zh-CN"/>
        </w:rPr>
        <w:t>7</w:t>
      </w:r>
      <w:r>
        <w:rPr>
          <w:color w:val="auto"/>
        </w:rPr>
        <w:t xml:space="preserve">  </w:t>
      </w:r>
      <w:r>
        <w:rPr>
          <w:rFonts w:hint="eastAsia"/>
          <w:color w:val="auto"/>
        </w:rPr>
        <w:t>交付协同</w:t>
      </w:r>
      <w:bookmarkEnd w:id="75"/>
    </w:p>
    <w:p>
      <w:pPr>
        <w:pStyle w:val="4"/>
        <w:ind w:firstLine="0" w:firstLineChars="0"/>
        <w:rPr>
          <w:color w:val="auto"/>
        </w:rPr>
      </w:pPr>
      <w:r>
        <w:rPr>
          <w:rFonts w:hint="eastAsia"/>
          <w:color w:val="auto"/>
          <w:lang w:eastAsia="zh-CN"/>
        </w:rPr>
        <w:t>4.7.</w:t>
      </w:r>
      <w:r>
        <w:rPr>
          <w:color w:val="auto"/>
        </w:rPr>
        <w:t xml:space="preserve">1 </w:t>
      </w:r>
      <w:r>
        <w:rPr>
          <w:rFonts w:hint="eastAsia"/>
          <w:color w:val="auto"/>
        </w:rPr>
        <w:t>模型交付协同应包括阶段性交付协同以及面向应用的交付协同</w:t>
      </w:r>
      <w:r>
        <w:rPr>
          <w:color w:val="auto"/>
        </w:rPr>
        <w:t>。</w:t>
      </w:r>
    </w:p>
    <w:p>
      <w:pPr>
        <w:pStyle w:val="4"/>
        <w:ind w:firstLine="0" w:firstLineChars="0"/>
        <w:rPr>
          <w:color w:val="auto"/>
        </w:rPr>
      </w:pPr>
      <w:r>
        <w:rPr>
          <w:rFonts w:hint="eastAsia"/>
          <w:color w:val="auto"/>
          <w:lang w:eastAsia="zh-CN"/>
        </w:rPr>
        <w:t>4.7.</w:t>
      </w:r>
      <w:r>
        <w:rPr>
          <w:color w:val="auto"/>
        </w:rPr>
        <w:t xml:space="preserve">2  </w:t>
      </w:r>
      <w:r>
        <w:rPr>
          <w:rFonts w:hint="eastAsia"/>
          <w:color w:val="auto"/>
        </w:rPr>
        <w:t>模型主要设计交付物应包括三维模型与属性信息、二维工程图纸、项目需求书、模型执行计划、关键指标表、模型工程量清单、各类应用分析报告以及模型说明书等内容</w:t>
      </w:r>
      <w:r>
        <w:rPr>
          <w:color w:val="auto"/>
        </w:rPr>
        <w:t>。</w:t>
      </w:r>
    </w:p>
    <w:p>
      <w:pPr>
        <w:pStyle w:val="4"/>
        <w:ind w:firstLine="0" w:firstLineChars="0"/>
        <w:rPr>
          <w:color w:val="auto"/>
        </w:rPr>
      </w:pPr>
      <w:r>
        <w:rPr>
          <w:rFonts w:hint="eastAsia"/>
          <w:color w:val="auto"/>
          <w:lang w:eastAsia="zh-CN"/>
        </w:rPr>
        <w:t>4.7.</w:t>
      </w:r>
      <w:r>
        <w:rPr>
          <w:color w:val="auto"/>
        </w:rPr>
        <w:t xml:space="preserve">3  </w:t>
      </w:r>
      <w:r>
        <w:rPr>
          <w:rFonts w:hint="eastAsia"/>
          <w:color w:val="auto"/>
        </w:rPr>
        <w:t>模型交付物宜集中管理并设置数据访问权限，不宜采用移动介质或其它方式分发交付</w:t>
      </w:r>
      <w:r>
        <w:rPr>
          <w:color w:val="auto"/>
        </w:rPr>
        <w:t>。</w:t>
      </w:r>
    </w:p>
    <w:p>
      <w:pPr>
        <w:pStyle w:val="4"/>
        <w:ind w:firstLine="0" w:firstLineChars="0"/>
        <w:rPr>
          <w:color w:val="auto"/>
        </w:rPr>
      </w:pPr>
      <w:r>
        <w:rPr>
          <w:rFonts w:hint="eastAsia"/>
          <w:color w:val="auto"/>
          <w:lang w:eastAsia="zh-CN"/>
        </w:rPr>
        <w:t>4.7.</w:t>
      </w:r>
      <w:r>
        <w:rPr>
          <w:color w:val="auto"/>
        </w:rPr>
        <w:t xml:space="preserve">4  </w:t>
      </w:r>
      <w:r>
        <w:rPr>
          <w:rFonts w:hint="eastAsia"/>
          <w:color w:val="auto"/>
        </w:rPr>
        <w:t>模型单元属性值宜标识数据来源</w:t>
      </w:r>
      <w:r>
        <w:rPr>
          <w:color w:val="auto"/>
        </w:rPr>
        <w:t>。属性值数据来源分类宜符合表</w:t>
      </w:r>
      <w:r>
        <w:rPr>
          <w:rFonts w:hint="eastAsia"/>
          <w:color w:val="auto"/>
          <w:lang w:eastAsia="zh-CN"/>
        </w:rPr>
        <w:t>4.7.</w:t>
      </w:r>
      <w:r>
        <w:rPr>
          <w:color w:val="auto"/>
        </w:rPr>
        <w:t>4的规定。</w:t>
      </w:r>
    </w:p>
    <w:p>
      <w:pPr>
        <w:ind w:firstLine="0" w:firstLineChars="0"/>
        <w:jc w:val="center"/>
        <w:rPr>
          <w:b/>
          <w:color w:val="auto"/>
          <w:sz w:val="21"/>
          <w:szCs w:val="21"/>
        </w:rPr>
      </w:pPr>
      <w:r>
        <w:rPr>
          <w:b/>
          <w:color w:val="auto"/>
          <w:sz w:val="21"/>
          <w:szCs w:val="21"/>
        </w:rPr>
        <w:t>表</w:t>
      </w:r>
      <w:r>
        <w:rPr>
          <w:rFonts w:hint="eastAsia"/>
          <w:b/>
          <w:color w:val="auto"/>
          <w:sz w:val="21"/>
          <w:szCs w:val="21"/>
          <w:lang w:eastAsia="zh-CN"/>
        </w:rPr>
        <w:t>4.7.</w:t>
      </w:r>
      <w:r>
        <w:rPr>
          <w:b/>
          <w:color w:val="auto"/>
          <w:sz w:val="21"/>
          <w:szCs w:val="21"/>
        </w:rPr>
        <w:t>4 属性值数据来源分类</w:t>
      </w:r>
    </w:p>
    <w:tbl>
      <w:tblPr>
        <w:tblStyle w:val="75"/>
        <w:tblW w:w="55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332"/>
        <w:gridCol w:w="80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127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数据来源</w:t>
            </w:r>
          </w:p>
        </w:tc>
        <w:tc>
          <w:tcPr>
            <w:tcW w:w="2332"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英文</w:t>
            </w:r>
          </w:p>
        </w:tc>
        <w:tc>
          <w:tcPr>
            <w:tcW w:w="80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简称</w:t>
            </w:r>
          </w:p>
        </w:tc>
        <w:tc>
          <w:tcPr>
            <w:tcW w:w="1134"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英文简称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127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业主</w:t>
            </w:r>
          </w:p>
        </w:tc>
        <w:tc>
          <w:tcPr>
            <w:tcW w:w="2332"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Own</w:t>
            </w:r>
            <w:r>
              <w:rPr>
                <w:rFonts w:asciiTheme="minorHAnsi" w:hAnsiTheme="minorHAnsi" w:eastAsiaTheme="minorEastAsia" w:cstheme="minorBidi"/>
                <w:color w:val="auto"/>
                <w:kern w:val="2"/>
                <w:sz w:val="21"/>
                <w:szCs w:val="21"/>
              </w:rPr>
              <w:t>ers</w:t>
            </w:r>
          </w:p>
        </w:tc>
        <w:tc>
          <w:tcPr>
            <w:tcW w:w="80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业主</w:t>
            </w:r>
          </w:p>
        </w:tc>
        <w:tc>
          <w:tcPr>
            <w:tcW w:w="1134"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O</w:t>
            </w:r>
            <w:r>
              <w:rPr>
                <w:rFonts w:asciiTheme="minorHAnsi" w:hAnsiTheme="minorHAnsi" w:eastAsiaTheme="minorEastAsia" w:cstheme="minorBidi"/>
                <w:color w:val="auto"/>
                <w:kern w:val="2"/>
                <w:sz w:val="21"/>
                <w:szCs w:val="21"/>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127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规划</w:t>
            </w:r>
          </w:p>
        </w:tc>
        <w:tc>
          <w:tcPr>
            <w:tcW w:w="2332"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P</w:t>
            </w:r>
            <w:r>
              <w:rPr>
                <w:rFonts w:asciiTheme="minorHAnsi" w:hAnsiTheme="minorHAnsi" w:eastAsiaTheme="minorEastAsia" w:cstheme="minorBidi"/>
                <w:color w:val="auto"/>
                <w:kern w:val="2"/>
                <w:sz w:val="21"/>
                <w:szCs w:val="21"/>
              </w:rPr>
              <w:t>laners</w:t>
            </w:r>
          </w:p>
        </w:tc>
        <w:tc>
          <w:tcPr>
            <w:tcW w:w="80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规划</w:t>
            </w:r>
          </w:p>
        </w:tc>
        <w:tc>
          <w:tcPr>
            <w:tcW w:w="1134"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P</w:t>
            </w:r>
            <w:r>
              <w:rPr>
                <w:rFonts w:asciiTheme="minorHAnsi" w:hAnsiTheme="minorHAnsi" w:eastAsiaTheme="minorEastAsia" w:cstheme="minorBidi"/>
                <w:color w:val="auto"/>
                <w:kern w:val="2"/>
                <w:sz w:val="21"/>
                <w:szCs w:val="21"/>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127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设计</w:t>
            </w:r>
          </w:p>
        </w:tc>
        <w:tc>
          <w:tcPr>
            <w:tcW w:w="2332"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D</w:t>
            </w:r>
            <w:r>
              <w:rPr>
                <w:rFonts w:asciiTheme="minorHAnsi" w:hAnsiTheme="minorHAnsi" w:eastAsiaTheme="minorEastAsia" w:cstheme="minorBidi"/>
                <w:color w:val="auto"/>
                <w:kern w:val="2"/>
                <w:sz w:val="21"/>
                <w:szCs w:val="21"/>
              </w:rPr>
              <w:t>esigners</w:t>
            </w:r>
          </w:p>
        </w:tc>
        <w:tc>
          <w:tcPr>
            <w:tcW w:w="80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设计</w:t>
            </w:r>
          </w:p>
        </w:tc>
        <w:tc>
          <w:tcPr>
            <w:tcW w:w="1134"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D</w:t>
            </w:r>
            <w:r>
              <w:rPr>
                <w:rFonts w:asciiTheme="minorHAnsi" w:hAnsiTheme="minorHAnsi" w:eastAsiaTheme="minorEastAsia" w:cstheme="minorBidi"/>
                <w:color w:val="auto"/>
                <w:kern w:val="2"/>
                <w:sz w:val="2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127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咨询</w:t>
            </w:r>
          </w:p>
        </w:tc>
        <w:tc>
          <w:tcPr>
            <w:tcW w:w="2332"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Consultants</w:t>
            </w:r>
          </w:p>
        </w:tc>
        <w:tc>
          <w:tcPr>
            <w:tcW w:w="80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咨询</w:t>
            </w:r>
          </w:p>
        </w:tc>
        <w:tc>
          <w:tcPr>
            <w:tcW w:w="1134"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C</w:t>
            </w:r>
            <w:r>
              <w:rPr>
                <w:rFonts w:asciiTheme="minorHAnsi" w:hAnsiTheme="minorHAnsi" w:eastAsiaTheme="minorEastAsia" w:cstheme="minorBidi"/>
                <w:color w:val="auto"/>
                <w:kern w:val="2"/>
                <w:sz w:val="21"/>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127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勘察</w:t>
            </w:r>
          </w:p>
        </w:tc>
        <w:tc>
          <w:tcPr>
            <w:tcW w:w="2332"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I</w:t>
            </w:r>
            <w:r>
              <w:rPr>
                <w:rFonts w:asciiTheme="minorHAnsi" w:hAnsiTheme="minorHAnsi" w:eastAsiaTheme="minorEastAsia" w:cstheme="minorBidi"/>
                <w:color w:val="auto"/>
                <w:kern w:val="2"/>
                <w:sz w:val="21"/>
                <w:szCs w:val="21"/>
              </w:rPr>
              <w:t>nvestigation Surveyors</w:t>
            </w:r>
          </w:p>
        </w:tc>
        <w:tc>
          <w:tcPr>
            <w:tcW w:w="80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勘察</w:t>
            </w:r>
          </w:p>
        </w:tc>
        <w:tc>
          <w:tcPr>
            <w:tcW w:w="1134"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I</w:t>
            </w:r>
            <w:r>
              <w:rPr>
                <w:rFonts w:asciiTheme="minorHAnsi" w:hAnsiTheme="minorHAnsi" w:eastAsiaTheme="minorEastAsia" w:cstheme="minorBidi"/>
                <w:color w:val="auto"/>
                <w:kern w:val="2"/>
                <w:sz w:val="21"/>
                <w:szCs w:val="21"/>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127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审批</w:t>
            </w:r>
          </w:p>
        </w:tc>
        <w:tc>
          <w:tcPr>
            <w:tcW w:w="2332"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C</w:t>
            </w:r>
            <w:r>
              <w:rPr>
                <w:rFonts w:asciiTheme="minorHAnsi" w:hAnsiTheme="minorHAnsi" w:eastAsiaTheme="minorEastAsia" w:cstheme="minorBidi"/>
                <w:color w:val="auto"/>
                <w:kern w:val="2"/>
                <w:sz w:val="21"/>
                <w:szCs w:val="21"/>
              </w:rPr>
              <w:t>ommissionings</w:t>
            </w:r>
          </w:p>
        </w:tc>
        <w:tc>
          <w:tcPr>
            <w:tcW w:w="80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审批</w:t>
            </w:r>
          </w:p>
        </w:tc>
        <w:tc>
          <w:tcPr>
            <w:tcW w:w="1134"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C</w:t>
            </w:r>
            <w:r>
              <w:rPr>
                <w:rFonts w:asciiTheme="minorHAnsi" w:hAnsiTheme="minorHAnsi" w:eastAsiaTheme="minorEastAsia" w:cstheme="minorBidi"/>
                <w:color w:val="auto"/>
                <w:kern w:val="2"/>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127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生产</w:t>
            </w:r>
          </w:p>
        </w:tc>
        <w:tc>
          <w:tcPr>
            <w:tcW w:w="2332"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r>
              <w:rPr>
                <w:rFonts w:asciiTheme="minorHAnsi" w:hAnsiTheme="minorHAnsi" w:eastAsiaTheme="minorEastAsia" w:cstheme="minorBidi"/>
                <w:color w:val="auto"/>
                <w:kern w:val="2"/>
                <w:sz w:val="21"/>
                <w:szCs w:val="21"/>
              </w:rPr>
              <w:t>anufacturers</w:t>
            </w:r>
          </w:p>
        </w:tc>
        <w:tc>
          <w:tcPr>
            <w:tcW w:w="80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生产</w:t>
            </w:r>
          </w:p>
        </w:tc>
        <w:tc>
          <w:tcPr>
            <w:tcW w:w="1134"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r>
              <w:rPr>
                <w:rFonts w:asciiTheme="minorHAnsi" w:hAnsiTheme="minorHAnsi" w:eastAsiaTheme="minorEastAsia" w:cstheme="minorBidi"/>
                <w:color w:val="auto"/>
                <w:kern w:val="2"/>
                <w:sz w:val="21"/>
                <w:szCs w:val="21"/>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127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总承包</w:t>
            </w:r>
          </w:p>
        </w:tc>
        <w:tc>
          <w:tcPr>
            <w:tcW w:w="2332"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G</w:t>
            </w:r>
            <w:r>
              <w:rPr>
                <w:rFonts w:asciiTheme="minorHAnsi" w:hAnsiTheme="minorHAnsi" w:eastAsiaTheme="minorEastAsia" w:cstheme="minorBidi"/>
                <w:color w:val="auto"/>
                <w:kern w:val="2"/>
                <w:sz w:val="21"/>
                <w:szCs w:val="21"/>
              </w:rPr>
              <w:t>eneral Contractors</w:t>
            </w:r>
          </w:p>
        </w:tc>
        <w:tc>
          <w:tcPr>
            <w:tcW w:w="80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总包</w:t>
            </w:r>
          </w:p>
        </w:tc>
        <w:tc>
          <w:tcPr>
            <w:tcW w:w="1134"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G</w:t>
            </w:r>
            <w:r>
              <w:rPr>
                <w:rFonts w:asciiTheme="minorHAnsi" w:hAnsiTheme="minorHAnsi" w:eastAsiaTheme="minorEastAsia" w:cstheme="minorBidi"/>
                <w:color w:val="auto"/>
                <w:kern w:val="2"/>
                <w:sz w:val="21"/>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127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分包</w:t>
            </w:r>
          </w:p>
        </w:tc>
        <w:tc>
          <w:tcPr>
            <w:tcW w:w="2332"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S</w:t>
            </w:r>
            <w:r>
              <w:rPr>
                <w:rFonts w:asciiTheme="minorHAnsi" w:hAnsiTheme="minorHAnsi" w:eastAsiaTheme="minorEastAsia" w:cstheme="minorBidi"/>
                <w:color w:val="auto"/>
                <w:kern w:val="2"/>
                <w:sz w:val="21"/>
                <w:szCs w:val="21"/>
              </w:rPr>
              <w:t>ub-contractors</w:t>
            </w:r>
          </w:p>
        </w:tc>
        <w:tc>
          <w:tcPr>
            <w:tcW w:w="80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分包</w:t>
            </w:r>
          </w:p>
        </w:tc>
        <w:tc>
          <w:tcPr>
            <w:tcW w:w="1134"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S</w:t>
            </w:r>
            <w:r>
              <w:rPr>
                <w:rFonts w:asciiTheme="minorHAnsi" w:hAnsiTheme="minorHAnsi" w:eastAsiaTheme="minorEastAsia" w:cstheme="minorBidi"/>
                <w:color w:val="auto"/>
                <w:kern w:val="2"/>
                <w:sz w:val="21"/>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127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监理</w:t>
            </w:r>
          </w:p>
        </w:tc>
        <w:tc>
          <w:tcPr>
            <w:tcW w:w="2332"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Supervision</w:t>
            </w:r>
          </w:p>
        </w:tc>
        <w:tc>
          <w:tcPr>
            <w:tcW w:w="80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监理</w:t>
            </w:r>
          </w:p>
        </w:tc>
        <w:tc>
          <w:tcPr>
            <w:tcW w:w="1134"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SV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127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检测</w:t>
            </w:r>
          </w:p>
        </w:tc>
        <w:tc>
          <w:tcPr>
            <w:tcW w:w="2332"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Testers</w:t>
            </w:r>
          </w:p>
        </w:tc>
        <w:tc>
          <w:tcPr>
            <w:tcW w:w="80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检测</w:t>
            </w:r>
          </w:p>
        </w:tc>
        <w:tc>
          <w:tcPr>
            <w:tcW w:w="1134"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T</w:t>
            </w:r>
            <w:r>
              <w:rPr>
                <w:rFonts w:asciiTheme="minorHAnsi" w:hAnsiTheme="minorHAnsi" w:eastAsiaTheme="minorEastAsia" w:cstheme="minorBidi"/>
                <w:color w:val="auto"/>
                <w:kern w:val="2"/>
                <w:sz w:val="2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127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监测</w:t>
            </w:r>
          </w:p>
        </w:tc>
        <w:tc>
          <w:tcPr>
            <w:tcW w:w="2332"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Monitoring</w:t>
            </w:r>
          </w:p>
        </w:tc>
        <w:tc>
          <w:tcPr>
            <w:tcW w:w="80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监测</w:t>
            </w:r>
          </w:p>
        </w:tc>
        <w:tc>
          <w:tcPr>
            <w:tcW w:w="1134"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r>
              <w:rPr>
                <w:rFonts w:asciiTheme="minorHAnsi" w:hAnsiTheme="minorHAnsi" w:eastAsiaTheme="minorEastAsia" w:cstheme="minorBidi"/>
                <w:color w:val="auto"/>
                <w:kern w:val="2"/>
                <w:sz w:val="21"/>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127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项目管理</w:t>
            </w:r>
          </w:p>
        </w:tc>
        <w:tc>
          <w:tcPr>
            <w:tcW w:w="2332"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P</w:t>
            </w:r>
            <w:r>
              <w:rPr>
                <w:rFonts w:asciiTheme="minorHAnsi" w:hAnsiTheme="minorHAnsi" w:eastAsiaTheme="minorEastAsia" w:cstheme="minorBidi"/>
                <w:color w:val="auto"/>
                <w:kern w:val="2"/>
                <w:sz w:val="21"/>
                <w:szCs w:val="21"/>
              </w:rPr>
              <w:t>roject Managers</w:t>
            </w:r>
          </w:p>
        </w:tc>
        <w:tc>
          <w:tcPr>
            <w:tcW w:w="80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项管</w:t>
            </w:r>
          </w:p>
        </w:tc>
        <w:tc>
          <w:tcPr>
            <w:tcW w:w="1134"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P</w:t>
            </w:r>
            <w:r>
              <w:rPr>
                <w:rFonts w:asciiTheme="minorHAnsi" w:hAnsiTheme="minorHAnsi" w:eastAsiaTheme="minorEastAsia" w:cstheme="minorBidi"/>
                <w:color w:val="auto"/>
                <w:kern w:val="2"/>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127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资产管理</w:t>
            </w:r>
          </w:p>
        </w:tc>
        <w:tc>
          <w:tcPr>
            <w:tcW w:w="2332"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A</w:t>
            </w:r>
            <w:r>
              <w:rPr>
                <w:rFonts w:asciiTheme="minorHAnsi" w:hAnsiTheme="minorHAnsi" w:eastAsiaTheme="minorEastAsia" w:cstheme="minorBidi"/>
                <w:color w:val="auto"/>
                <w:kern w:val="2"/>
                <w:sz w:val="21"/>
                <w:szCs w:val="21"/>
              </w:rPr>
              <w:t>sset Managers</w:t>
            </w:r>
          </w:p>
        </w:tc>
        <w:tc>
          <w:tcPr>
            <w:tcW w:w="80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资管</w:t>
            </w:r>
          </w:p>
        </w:tc>
        <w:tc>
          <w:tcPr>
            <w:tcW w:w="1134"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A</w:t>
            </w:r>
            <w:r>
              <w:rPr>
                <w:rFonts w:asciiTheme="minorHAnsi" w:hAnsiTheme="minorHAnsi" w:eastAsiaTheme="minorEastAsia" w:cstheme="minorBidi"/>
                <w:color w:val="auto"/>
                <w:kern w:val="2"/>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127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运维管理</w:t>
            </w:r>
          </w:p>
        </w:tc>
        <w:tc>
          <w:tcPr>
            <w:tcW w:w="2332"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Operational Managers</w:t>
            </w:r>
          </w:p>
        </w:tc>
        <w:tc>
          <w:tcPr>
            <w:tcW w:w="80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运管</w:t>
            </w:r>
          </w:p>
        </w:tc>
        <w:tc>
          <w:tcPr>
            <w:tcW w:w="1134"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O</w:t>
            </w:r>
            <w:r>
              <w:rPr>
                <w:rFonts w:asciiTheme="minorHAnsi" w:hAnsiTheme="minorHAnsi" w:eastAsiaTheme="minorEastAsia" w:cstheme="minorBidi"/>
                <w:color w:val="auto"/>
                <w:kern w:val="2"/>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127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软件</w:t>
            </w:r>
          </w:p>
        </w:tc>
        <w:tc>
          <w:tcPr>
            <w:tcW w:w="2332"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S</w:t>
            </w:r>
            <w:r>
              <w:rPr>
                <w:rFonts w:asciiTheme="minorHAnsi" w:hAnsiTheme="minorHAnsi" w:eastAsiaTheme="minorEastAsia" w:cstheme="minorBidi"/>
                <w:color w:val="auto"/>
                <w:kern w:val="2"/>
                <w:sz w:val="21"/>
                <w:szCs w:val="21"/>
              </w:rPr>
              <w:t>oftwares</w:t>
            </w:r>
          </w:p>
        </w:tc>
        <w:tc>
          <w:tcPr>
            <w:tcW w:w="80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软件</w:t>
            </w:r>
          </w:p>
        </w:tc>
        <w:tc>
          <w:tcPr>
            <w:tcW w:w="1134"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S</w:t>
            </w:r>
            <w:r>
              <w:rPr>
                <w:rFonts w:asciiTheme="minorHAnsi" w:hAnsiTheme="minorHAnsi" w:eastAsiaTheme="minorEastAsia" w:cstheme="minorBidi"/>
                <w:color w:val="auto"/>
                <w:kern w:val="2"/>
                <w:sz w:val="21"/>
                <w:szCs w:val="21"/>
              </w:rPr>
              <w:t>W</w:t>
            </w:r>
          </w:p>
        </w:tc>
      </w:tr>
    </w:tbl>
    <w:p>
      <w:pPr>
        <w:pStyle w:val="4"/>
        <w:ind w:firstLine="0" w:firstLineChars="0"/>
        <w:rPr>
          <w:color w:val="auto"/>
        </w:rPr>
      </w:pPr>
      <w:r>
        <w:rPr>
          <w:rFonts w:hint="eastAsia"/>
          <w:color w:val="auto"/>
          <w:lang w:eastAsia="zh-CN"/>
        </w:rPr>
        <w:t>4.7.</w:t>
      </w:r>
      <w:r>
        <w:rPr>
          <w:color w:val="auto"/>
        </w:rPr>
        <w:t xml:space="preserve">5 </w:t>
      </w:r>
      <w:r>
        <w:rPr>
          <w:rFonts w:hint="eastAsia"/>
          <w:color w:val="auto"/>
        </w:rPr>
        <w:t>模型设计</w:t>
      </w:r>
      <w:r>
        <w:rPr>
          <w:color w:val="auto"/>
        </w:rPr>
        <w:t>交付过程中，应根据</w:t>
      </w:r>
      <w:r>
        <w:rPr>
          <w:rFonts w:hint="eastAsia"/>
          <w:color w:val="auto"/>
        </w:rPr>
        <w:t>设计信息</w:t>
      </w:r>
      <w:r>
        <w:rPr>
          <w:color w:val="auto"/>
        </w:rPr>
        <w:t>模型输出交付物，交付协同应以交付物为依据，工程各参与方应基于协调一致的交付物进行协同。</w:t>
      </w:r>
    </w:p>
    <w:p>
      <w:pPr>
        <w:pStyle w:val="4"/>
        <w:ind w:firstLine="0" w:firstLineChars="0"/>
        <w:rPr>
          <w:color w:val="auto"/>
        </w:rPr>
      </w:pPr>
      <w:r>
        <w:rPr>
          <w:rFonts w:hint="eastAsia"/>
          <w:color w:val="auto"/>
          <w:lang w:eastAsia="zh-CN"/>
        </w:rPr>
        <w:t>4.7.</w:t>
      </w:r>
      <w:r>
        <w:rPr>
          <w:color w:val="auto"/>
        </w:rPr>
        <w:t xml:space="preserve">6 </w:t>
      </w:r>
      <w:r>
        <w:rPr>
          <w:rFonts w:hint="eastAsia"/>
          <w:color w:val="auto"/>
        </w:rPr>
        <w:t xml:space="preserve"> 模型竣工交付过程中，应基于施工信息模型完善工程竣工验收信息，运维阶段应基于</w:t>
      </w:r>
      <w:r>
        <w:rPr>
          <w:color w:val="auto"/>
        </w:rPr>
        <w:t>协调一致</w:t>
      </w:r>
      <w:r>
        <w:rPr>
          <w:rFonts w:hint="eastAsia"/>
          <w:color w:val="auto"/>
        </w:rPr>
        <w:t>的运维信息模型进行运维管养协同应用管理。</w:t>
      </w:r>
    </w:p>
    <w:p>
      <w:pPr>
        <w:pStyle w:val="3"/>
        <w:jc w:val="center"/>
        <w:rPr>
          <w:color w:val="auto"/>
        </w:rPr>
      </w:pPr>
      <w:bookmarkStart w:id="76" w:name="_Toc29171"/>
      <w:r>
        <w:rPr>
          <w:color w:val="auto"/>
        </w:rPr>
        <w:t>4.</w:t>
      </w:r>
      <w:r>
        <w:rPr>
          <w:rFonts w:hint="eastAsia"/>
          <w:color w:val="auto"/>
          <w:lang w:val="en-US" w:eastAsia="zh-CN"/>
        </w:rPr>
        <w:t>8</w:t>
      </w:r>
      <w:r>
        <w:rPr>
          <w:color w:val="auto"/>
        </w:rPr>
        <w:t xml:space="preserve">  </w:t>
      </w:r>
      <w:r>
        <w:rPr>
          <w:rFonts w:hint="eastAsia"/>
          <w:color w:val="auto"/>
          <w:lang w:val="en-US" w:eastAsia="zh-CN"/>
        </w:rPr>
        <w:t>模型</w:t>
      </w:r>
      <w:r>
        <w:rPr>
          <w:rFonts w:hint="eastAsia"/>
          <w:color w:val="auto"/>
        </w:rPr>
        <w:t>协同管理</w:t>
      </w:r>
      <w:bookmarkEnd w:id="76"/>
    </w:p>
    <w:p>
      <w:pPr>
        <w:pStyle w:val="4"/>
        <w:ind w:firstLine="0" w:firstLineChars="0"/>
        <w:rPr>
          <w:color w:val="auto"/>
        </w:rPr>
      </w:pPr>
      <w:r>
        <w:rPr>
          <w:rFonts w:hint="eastAsia"/>
          <w:color w:val="auto"/>
          <w:lang w:eastAsia="zh-CN"/>
        </w:rPr>
        <w:t>4.8.</w:t>
      </w:r>
      <w:r>
        <w:rPr>
          <w:rFonts w:hint="eastAsia"/>
          <w:color w:val="auto"/>
        </w:rPr>
        <w:t>1</w:t>
      </w:r>
      <w:r>
        <w:rPr>
          <w:color w:val="auto"/>
        </w:rPr>
        <w:t xml:space="preserve"> </w:t>
      </w:r>
      <w:r>
        <w:rPr>
          <w:rFonts w:hint="eastAsia"/>
          <w:color w:val="auto"/>
        </w:rPr>
        <w:t>城市道路工程建设项目协同管理宜搭建协同应用管理平台，统筹人员权限和模型数据信息的协同应用等。</w:t>
      </w:r>
    </w:p>
    <w:p>
      <w:pPr>
        <w:pStyle w:val="4"/>
        <w:ind w:firstLine="0" w:firstLineChars="0"/>
        <w:rPr>
          <w:color w:val="auto"/>
        </w:rPr>
      </w:pPr>
      <w:r>
        <w:rPr>
          <w:rFonts w:hint="eastAsia"/>
          <w:color w:val="auto"/>
          <w:lang w:eastAsia="zh-CN"/>
        </w:rPr>
        <w:t>4.8.</w:t>
      </w:r>
      <w:r>
        <w:rPr>
          <w:rFonts w:hint="eastAsia"/>
          <w:color w:val="auto"/>
        </w:rPr>
        <w:t>2</w:t>
      </w:r>
      <w:r>
        <w:rPr>
          <w:color w:val="auto"/>
        </w:rPr>
        <w:t xml:space="preserve"> </w:t>
      </w:r>
      <w:r>
        <w:rPr>
          <w:rFonts w:hint="eastAsia"/>
          <w:color w:val="auto"/>
        </w:rPr>
        <w:t>模型创建和应用过程中宜建立协同管理机制，明确人员组织模式、职责及分工，并确定工作范围及权限。</w:t>
      </w:r>
    </w:p>
    <w:p>
      <w:pPr>
        <w:pStyle w:val="4"/>
        <w:ind w:firstLine="0" w:firstLineChars="0"/>
        <w:rPr>
          <w:color w:val="auto"/>
        </w:rPr>
      </w:pPr>
      <w:r>
        <w:rPr>
          <w:rFonts w:hint="eastAsia"/>
          <w:color w:val="auto"/>
          <w:lang w:eastAsia="zh-CN"/>
        </w:rPr>
        <w:t>4.8.</w:t>
      </w:r>
      <w:r>
        <w:rPr>
          <w:color w:val="auto"/>
        </w:rPr>
        <w:t xml:space="preserve">3 </w:t>
      </w:r>
      <w:r>
        <w:rPr>
          <w:rFonts w:hint="eastAsia"/>
          <w:color w:val="auto"/>
        </w:rPr>
        <w:t xml:space="preserve"> 项目建设及运维阶段的协同管理工作应综合组织信息需求、项目信息需求、资产信息需求和交换信息需求等，并在项目信息模型与资产信息模型中体现。</w:t>
      </w:r>
    </w:p>
    <w:p>
      <w:pPr>
        <w:pStyle w:val="4"/>
        <w:ind w:firstLine="0" w:firstLineChars="0"/>
        <w:rPr>
          <w:color w:val="auto"/>
        </w:rPr>
      </w:pPr>
      <w:r>
        <w:rPr>
          <w:rFonts w:hint="eastAsia"/>
          <w:color w:val="auto"/>
          <w:lang w:eastAsia="zh-CN"/>
        </w:rPr>
        <w:t>4.8.</w:t>
      </w:r>
      <w:r>
        <w:rPr>
          <w:color w:val="auto"/>
        </w:rPr>
        <w:t xml:space="preserve">4 </w:t>
      </w:r>
      <w:r>
        <w:rPr>
          <w:rFonts w:hint="eastAsia"/>
          <w:color w:val="auto"/>
        </w:rPr>
        <w:t>工程建设项目的协同管理应明确信息管理相关方以及参与方之间的界面以及相应的责任。</w:t>
      </w:r>
    </w:p>
    <w:p>
      <w:pPr>
        <w:pStyle w:val="4"/>
        <w:ind w:firstLine="0" w:firstLineChars="0"/>
        <w:rPr>
          <w:color w:val="auto"/>
        </w:rPr>
      </w:pPr>
      <w:r>
        <w:rPr>
          <w:rFonts w:hint="eastAsia"/>
          <w:color w:val="auto"/>
          <w:lang w:eastAsia="zh-CN"/>
        </w:rPr>
        <w:t>4.8.</w:t>
      </w:r>
      <w:r>
        <w:rPr>
          <w:color w:val="auto"/>
        </w:rPr>
        <w:t xml:space="preserve">5 </w:t>
      </w:r>
      <w:r>
        <w:rPr>
          <w:rFonts w:hint="eastAsia"/>
          <w:color w:val="auto"/>
        </w:rPr>
        <w:t>工程建设项目的协同管理过程应建立明确的信息管理流程，统筹项目建设过程中的模型应用和信息交换。模型协同管理应用流程宜满足工程建设项目全生命期应用需求（图</w:t>
      </w:r>
      <w:r>
        <w:rPr>
          <w:rFonts w:hint="eastAsia"/>
          <w:color w:val="auto"/>
          <w:lang w:eastAsia="zh-CN"/>
        </w:rPr>
        <w:t>4.8.</w:t>
      </w:r>
      <w:r>
        <w:rPr>
          <w:rFonts w:hint="eastAsia"/>
          <w:color w:val="auto"/>
        </w:rPr>
        <w:t>5）。</w:t>
      </w:r>
    </w:p>
    <w:p>
      <w:pPr>
        <w:ind w:firstLine="0" w:firstLineChars="0"/>
        <w:jc w:val="center"/>
        <w:rPr>
          <w:color w:val="auto"/>
        </w:rPr>
      </w:pPr>
      <w:r>
        <w:rPr>
          <w:color w:val="auto"/>
        </w:rPr>
        <w:drawing>
          <wp:inline distT="0" distB="0" distL="0" distR="0">
            <wp:extent cx="5274310" cy="2989580"/>
            <wp:effectExtent l="0" t="0" r="2540" b="1270"/>
            <wp:docPr id="3310829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82975" name="图片 1"/>
                    <pic:cNvPicPr>
                      <a:picLocks noChangeAspect="1"/>
                    </pic:cNvPicPr>
                  </pic:nvPicPr>
                  <pic:blipFill>
                    <a:blip r:embed="rId14"/>
                    <a:stretch>
                      <a:fillRect/>
                    </a:stretch>
                  </pic:blipFill>
                  <pic:spPr>
                    <a:xfrm>
                      <a:off x="0" y="0"/>
                      <a:ext cx="5274310" cy="2989580"/>
                    </a:xfrm>
                    <a:prstGeom prst="rect">
                      <a:avLst/>
                    </a:prstGeom>
                  </pic:spPr>
                </pic:pic>
              </a:graphicData>
            </a:graphic>
          </wp:inline>
        </w:drawing>
      </w:r>
    </w:p>
    <w:p>
      <w:pPr>
        <w:ind w:firstLine="0" w:firstLineChars="0"/>
        <w:jc w:val="center"/>
        <w:rPr>
          <w:bCs/>
          <w:color w:val="auto"/>
        </w:rPr>
      </w:pPr>
      <w:r>
        <w:rPr>
          <w:rFonts w:hint="eastAsia"/>
          <w:b/>
          <w:color w:val="auto"/>
          <w:sz w:val="21"/>
          <w:szCs w:val="21"/>
        </w:rPr>
        <w:t>图</w:t>
      </w:r>
      <w:r>
        <w:rPr>
          <w:rFonts w:hint="eastAsia"/>
          <w:b/>
          <w:color w:val="auto"/>
          <w:sz w:val="21"/>
          <w:szCs w:val="21"/>
          <w:lang w:eastAsia="zh-CN"/>
        </w:rPr>
        <w:t>4.8.</w:t>
      </w:r>
      <w:r>
        <w:rPr>
          <w:rFonts w:hint="eastAsia"/>
          <w:b/>
          <w:color w:val="auto"/>
          <w:sz w:val="21"/>
          <w:szCs w:val="21"/>
        </w:rPr>
        <w:t>5</w:t>
      </w:r>
      <w:r>
        <w:rPr>
          <w:b/>
          <w:color w:val="auto"/>
          <w:sz w:val="21"/>
          <w:szCs w:val="21"/>
        </w:rPr>
        <w:t xml:space="preserve"> </w:t>
      </w:r>
      <w:r>
        <w:rPr>
          <w:rFonts w:hint="eastAsia"/>
          <w:b/>
          <w:color w:val="auto"/>
          <w:sz w:val="21"/>
          <w:szCs w:val="21"/>
        </w:rPr>
        <w:t>城市道路工程建设项目全生命期协同管理应用</w:t>
      </w:r>
      <w:r>
        <w:rPr>
          <w:b/>
          <w:color w:val="auto"/>
          <w:sz w:val="21"/>
          <w:szCs w:val="21"/>
        </w:rPr>
        <w:t>参考流程图</w:t>
      </w:r>
    </w:p>
    <w:p>
      <w:pPr>
        <w:pStyle w:val="4"/>
        <w:ind w:firstLine="0" w:firstLineChars="0"/>
        <w:rPr>
          <w:color w:val="auto"/>
        </w:rPr>
      </w:pPr>
      <w:r>
        <w:rPr>
          <w:rFonts w:hint="eastAsia"/>
          <w:color w:val="auto"/>
          <w:lang w:eastAsia="zh-CN"/>
        </w:rPr>
        <w:t>4.8.</w:t>
      </w:r>
      <w:r>
        <w:rPr>
          <w:color w:val="auto"/>
        </w:rPr>
        <w:t xml:space="preserve">6 </w:t>
      </w:r>
      <w:r>
        <w:rPr>
          <w:rFonts w:hint="eastAsia"/>
          <w:color w:val="auto"/>
        </w:rPr>
        <w:t>工程建设项目的协同管理过程中应开展基础数据检查、模型合规性检查以及加强信息审核提升数据质量，保证数据信息的连续性、一致性、准确性和完备性。</w:t>
      </w:r>
    </w:p>
    <w:p>
      <w:pPr>
        <w:ind w:firstLine="480"/>
        <w:rPr>
          <w:color w:val="auto"/>
        </w:rPr>
      </w:pPr>
    </w:p>
    <w:p>
      <w:pPr>
        <w:ind w:firstLine="480"/>
        <w:rPr>
          <w:color w:val="auto"/>
        </w:rPr>
        <w:sectPr>
          <w:pgSz w:w="11906" w:h="16838"/>
          <w:pgMar w:top="1440" w:right="1800" w:bottom="1440" w:left="1800" w:header="851" w:footer="992" w:gutter="0"/>
          <w:cols w:space="425" w:num="1"/>
          <w:docGrid w:type="lines" w:linePitch="312" w:charSpace="0"/>
        </w:sectPr>
      </w:pPr>
    </w:p>
    <w:p>
      <w:pPr>
        <w:pStyle w:val="2"/>
        <w:numPr>
          <w:ilvl w:val="0"/>
          <w:numId w:val="12"/>
        </w:numPr>
        <w:spacing w:before="312" w:after="312"/>
        <w:jc w:val="center"/>
        <w:rPr>
          <w:color w:val="auto"/>
        </w:rPr>
      </w:pPr>
      <w:bookmarkStart w:id="77" w:name="_Toc3964"/>
      <w:r>
        <w:rPr>
          <w:rFonts w:hint="eastAsia"/>
          <w:color w:val="auto"/>
        </w:rPr>
        <w:t>工程前期阶段</w:t>
      </w:r>
      <w:bookmarkEnd w:id="77"/>
    </w:p>
    <w:p>
      <w:pPr>
        <w:pStyle w:val="3"/>
        <w:jc w:val="center"/>
        <w:rPr>
          <w:color w:val="auto"/>
        </w:rPr>
      </w:pPr>
      <w:bookmarkStart w:id="78" w:name="_Toc25559"/>
      <w:r>
        <w:rPr>
          <w:color w:val="auto"/>
        </w:rPr>
        <w:t>5.1 一般规定</w:t>
      </w:r>
      <w:bookmarkEnd w:id="78"/>
    </w:p>
    <w:p>
      <w:pPr>
        <w:pStyle w:val="4"/>
        <w:ind w:firstLine="0" w:firstLineChars="0"/>
        <w:rPr>
          <w:color w:val="auto"/>
        </w:rPr>
      </w:pPr>
      <w:r>
        <w:rPr>
          <w:color w:val="auto"/>
        </w:rPr>
        <w:t xml:space="preserve">5.1.1 </w:t>
      </w:r>
      <w:r>
        <w:rPr>
          <w:rFonts w:hint="eastAsia"/>
          <w:color w:val="auto"/>
        </w:rPr>
        <w:t>工程前期阶段创建方案设计信息模型前应收集包括建设建设项目规划要求、项目基本信息、道路功能定位、周边路网情况和项目建设条件等基础资料和信息</w:t>
      </w:r>
      <w:r>
        <w:rPr>
          <w:color w:val="auto"/>
        </w:rPr>
        <w:t>。</w:t>
      </w:r>
    </w:p>
    <w:p>
      <w:pPr>
        <w:pStyle w:val="4"/>
        <w:ind w:firstLine="0" w:firstLineChars="0"/>
        <w:rPr>
          <w:color w:val="auto"/>
        </w:rPr>
      </w:pPr>
      <w:r>
        <w:rPr>
          <w:color w:val="auto"/>
        </w:rPr>
        <w:t>5.1.2</w:t>
      </w:r>
      <w:r>
        <w:rPr>
          <w:rFonts w:hint="eastAsia"/>
          <w:color w:val="auto"/>
        </w:rPr>
        <w:t>方案信息模型交付成果审查应保证规划需要审批数据的准确性、完整性与一致性</w:t>
      </w:r>
      <w:r>
        <w:rPr>
          <w:color w:val="auto"/>
        </w:rPr>
        <w:t>。</w:t>
      </w:r>
    </w:p>
    <w:p>
      <w:pPr>
        <w:pStyle w:val="4"/>
        <w:ind w:firstLine="0" w:firstLineChars="0"/>
        <w:rPr>
          <w:color w:val="auto"/>
        </w:rPr>
      </w:pPr>
      <w:r>
        <w:rPr>
          <w:color w:val="auto"/>
        </w:rPr>
        <w:t>5.1.3</w:t>
      </w:r>
      <w:r>
        <w:rPr>
          <w:rFonts w:hint="eastAsia"/>
          <w:color w:val="auto"/>
        </w:rPr>
        <w:t>方案信息模型交付成果审查的图形要素及模型单元应满足规划审批的深度要求</w:t>
      </w:r>
      <w:r>
        <w:rPr>
          <w:color w:val="auto"/>
        </w:rPr>
        <w:t>。</w:t>
      </w:r>
    </w:p>
    <w:p>
      <w:pPr>
        <w:pStyle w:val="4"/>
        <w:ind w:firstLine="0" w:firstLineChars="0"/>
        <w:rPr>
          <w:color w:val="auto"/>
          <w:lang w:val="en-GB"/>
        </w:rPr>
      </w:pPr>
      <w:r>
        <w:rPr>
          <w:color w:val="auto"/>
        </w:rPr>
        <w:t xml:space="preserve">5.1.4 </w:t>
      </w:r>
      <w:r>
        <w:rPr>
          <w:rFonts w:hint="eastAsia"/>
          <w:color w:val="auto"/>
        </w:rPr>
        <w:t>方案信息模型基本项目</w:t>
      </w:r>
      <w:r>
        <w:rPr>
          <w:color w:val="auto"/>
        </w:rPr>
        <w:t>指标</w:t>
      </w:r>
      <w:r>
        <w:rPr>
          <w:rFonts w:hint="eastAsia"/>
          <w:color w:val="auto"/>
        </w:rPr>
        <w:t>应</w:t>
      </w:r>
      <w:r>
        <w:rPr>
          <w:color w:val="auto"/>
        </w:rPr>
        <w:t>符合附录D的规定。</w:t>
      </w:r>
    </w:p>
    <w:p>
      <w:pPr>
        <w:pStyle w:val="4"/>
        <w:ind w:firstLine="0" w:firstLineChars="0"/>
        <w:rPr>
          <w:color w:val="auto"/>
        </w:rPr>
      </w:pPr>
      <w:r>
        <w:rPr>
          <w:color w:val="auto"/>
        </w:rPr>
        <w:t xml:space="preserve">5.1.5 </w:t>
      </w:r>
      <w:r>
        <w:rPr>
          <w:rFonts w:hint="eastAsia"/>
          <w:color w:val="auto"/>
        </w:rPr>
        <w:t>方案信息模型交付成果组件单元的拆分与命名宜符合附录</w:t>
      </w:r>
      <w:r>
        <w:rPr>
          <w:color w:val="auto"/>
        </w:rPr>
        <w:t>E的规定。</w:t>
      </w:r>
    </w:p>
    <w:p>
      <w:pPr>
        <w:pStyle w:val="4"/>
        <w:ind w:firstLine="0" w:firstLineChars="0"/>
        <w:rPr>
          <w:color w:val="auto"/>
        </w:rPr>
      </w:pPr>
      <w:r>
        <w:rPr>
          <w:color w:val="auto"/>
        </w:rPr>
        <w:t xml:space="preserve">5.1.6 </w:t>
      </w:r>
      <w:r>
        <w:rPr>
          <w:rFonts w:hint="eastAsia"/>
          <w:color w:val="auto"/>
        </w:rPr>
        <w:t xml:space="preserve"> 工程前期阶段报批的模型交付成果应以项目为单位提交至城市信息模型平台，并应包含项目基本信息等资料</w:t>
      </w:r>
      <w:r>
        <w:rPr>
          <w:color w:val="auto"/>
        </w:rPr>
        <w:t>。</w:t>
      </w:r>
    </w:p>
    <w:p>
      <w:pPr>
        <w:pStyle w:val="4"/>
        <w:ind w:firstLine="0" w:firstLineChars="0"/>
        <w:rPr>
          <w:color w:val="auto"/>
        </w:rPr>
      </w:pPr>
      <w:r>
        <w:rPr>
          <w:color w:val="auto"/>
        </w:rPr>
        <w:t>5.1.7</w:t>
      </w:r>
      <w:r>
        <w:rPr>
          <w:rFonts w:hint="eastAsia"/>
          <w:color w:val="auto"/>
        </w:rPr>
        <w:t>方案信息模型应满足多方案比选和方案论证等工作（图5.</w:t>
      </w:r>
      <w:r>
        <w:rPr>
          <w:color w:val="auto"/>
        </w:rPr>
        <w:t>1.7</w:t>
      </w:r>
      <w:r>
        <w:rPr>
          <w:rFonts w:hint="eastAsia"/>
          <w:color w:val="auto"/>
        </w:rPr>
        <w:t>）</w:t>
      </w:r>
      <w:r>
        <w:rPr>
          <w:color w:val="auto"/>
        </w:rPr>
        <w:t>。</w:t>
      </w:r>
    </w:p>
    <w:p>
      <w:pPr>
        <w:ind w:firstLine="0" w:firstLineChars="0"/>
        <w:jc w:val="center"/>
        <w:rPr>
          <w:color w:val="auto"/>
        </w:rPr>
      </w:pPr>
      <w:r>
        <w:rPr>
          <w:rFonts w:hint="eastAsia"/>
          <w:color w:val="auto"/>
        </w:rPr>
        <w:drawing>
          <wp:inline distT="0" distB="0" distL="114300" distR="114300">
            <wp:extent cx="4968875" cy="2642870"/>
            <wp:effectExtent l="0" t="0" r="3175" b="5080"/>
            <wp:docPr id="2" name="图片 2" descr="工可流程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工可流程图1"/>
                    <pic:cNvPicPr>
                      <a:picLocks noChangeAspect="1"/>
                    </pic:cNvPicPr>
                  </pic:nvPicPr>
                  <pic:blipFill>
                    <a:blip r:embed="rId15"/>
                    <a:srcRect l="2806" t="12755" r="2974" b="16366"/>
                    <a:stretch>
                      <a:fillRect/>
                    </a:stretch>
                  </pic:blipFill>
                  <pic:spPr>
                    <a:xfrm>
                      <a:off x="0" y="0"/>
                      <a:ext cx="4968875" cy="2642870"/>
                    </a:xfrm>
                    <a:prstGeom prst="rect">
                      <a:avLst/>
                    </a:prstGeom>
                  </pic:spPr>
                </pic:pic>
              </a:graphicData>
            </a:graphic>
          </wp:inline>
        </w:drawing>
      </w:r>
    </w:p>
    <w:p>
      <w:pPr>
        <w:ind w:firstLine="0" w:firstLineChars="0"/>
        <w:jc w:val="center"/>
        <w:rPr>
          <w:b/>
          <w:color w:val="auto"/>
          <w:sz w:val="21"/>
          <w:szCs w:val="21"/>
        </w:rPr>
      </w:pPr>
      <w:r>
        <w:rPr>
          <w:rFonts w:hint="eastAsia"/>
          <w:b/>
          <w:color w:val="auto"/>
          <w:sz w:val="21"/>
          <w:szCs w:val="21"/>
        </w:rPr>
        <w:t>图5.</w:t>
      </w:r>
      <w:r>
        <w:rPr>
          <w:b/>
          <w:color w:val="auto"/>
          <w:sz w:val="21"/>
          <w:szCs w:val="21"/>
        </w:rPr>
        <w:t xml:space="preserve">1.7  </w:t>
      </w:r>
      <w:r>
        <w:rPr>
          <w:rFonts w:hint="eastAsia"/>
          <w:b/>
          <w:color w:val="auto"/>
          <w:sz w:val="21"/>
          <w:szCs w:val="21"/>
        </w:rPr>
        <w:t>方案设计信息</w:t>
      </w:r>
      <w:r>
        <w:rPr>
          <w:b/>
          <w:color w:val="auto"/>
          <w:sz w:val="21"/>
          <w:szCs w:val="21"/>
        </w:rPr>
        <w:t>模型应用参考流程图</w:t>
      </w:r>
    </w:p>
    <w:p>
      <w:pPr>
        <w:ind w:firstLine="0" w:firstLineChars="0"/>
        <w:rPr>
          <w:b/>
          <w:i/>
          <w:color w:val="auto"/>
        </w:rPr>
      </w:pPr>
    </w:p>
    <w:p>
      <w:pPr>
        <w:pStyle w:val="3"/>
        <w:jc w:val="center"/>
        <w:rPr>
          <w:color w:val="auto"/>
        </w:rPr>
      </w:pPr>
      <w:bookmarkStart w:id="79" w:name="_Toc15637"/>
      <w:r>
        <w:rPr>
          <w:color w:val="auto"/>
        </w:rPr>
        <w:t>5.</w:t>
      </w:r>
      <w:r>
        <w:rPr>
          <w:rFonts w:hint="eastAsia"/>
          <w:color w:val="auto"/>
        </w:rPr>
        <w:t>2</w:t>
      </w:r>
      <w:r>
        <w:rPr>
          <w:color w:val="auto"/>
        </w:rPr>
        <w:t xml:space="preserve"> </w:t>
      </w:r>
      <w:r>
        <w:rPr>
          <w:rFonts w:hint="eastAsia"/>
          <w:color w:val="auto"/>
        </w:rPr>
        <w:t>方案信息模型应用</w:t>
      </w:r>
      <w:bookmarkEnd w:id="79"/>
    </w:p>
    <w:p>
      <w:pPr>
        <w:pStyle w:val="4"/>
        <w:ind w:firstLine="0" w:firstLineChars="0"/>
        <w:rPr>
          <w:color w:val="auto"/>
        </w:rPr>
      </w:pPr>
      <w:r>
        <w:rPr>
          <w:color w:val="auto"/>
        </w:rPr>
        <w:t xml:space="preserve">5.2.1 </w:t>
      </w:r>
      <w:r>
        <w:rPr>
          <w:rFonts w:hint="eastAsia"/>
          <w:color w:val="auto"/>
        </w:rPr>
        <w:t>方案信息模型</w:t>
      </w:r>
      <w:r>
        <w:rPr>
          <w:color w:val="auto"/>
        </w:rPr>
        <w:t>应</w:t>
      </w:r>
      <w:r>
        <w:rPr>
          <w:rFonts w:hint="eastAsia"/>
          <w:color w:val="auto"/>
        </w:rPr>
        <w:t>具备</w:t>
      </w:r>
      <w:r>
        <w:rPr>
          <w:color w:val="auto"/>
        </w:rPr>
        <w:t>轻量化展示、漫游虚拟体验</w:t>
      </w:r>
      <w:r>
        <w:rPr>
          <w:rFonts w:hint="eastAsia"/>
          <w:color w:val="auto"/>
        </w:rPr>
        <w:t>等应用能力，宜具备场地分析、交通路网仿真分析等应用能力。</w:t>
      </w:r>
    </w:p>
    <w:p>
      <w:pPr>
        <w:pStyle w:val="4"/>
        <w:ind w:firstLine="0" w:firstLineChars="0"/>
        <w:rPr>
          <w:color w:val="auto"/>
          <w:lang w:val="en-GB"/>
        </w:rPr>
      </w:pPr>
      <w:r>
        <w:rPr>
          <w:color w:val="auto"/>
        </w:rPr>
        <w:t>5.2.</w:t>
      </w:r>
      <w:r>
        <w:rPr>
          <w:rFonts w:hint="eastAsia"/>
          <w:color w:val="auto"/>
        </w:rPr>
        <w:t>2方案信息模型宜具备设计关键技术</w:t>
      </w:r>
      <w:r>
        <w:rPr>
          <w:color w:val="auto"/>
        </w:rPr>
        <w:t>指标</w:t>
      </w:r>
      <w:r>
        <w:rPr>
          <w:rFonts w:hint="eastAsia"/>
          <w:color w:val="auto"/>
        </w:rPr>
        <w:t>以及关键经济指标的</w:t>
      </w:r>
      <w:r>
        <w:rPr>
          <w:color w:val="auto"/>
        </w:rPr>
        <w:t>快速</w:t>
      </w:r>
      <w:r>
        <w:rPr>
          <w:rFonts w:hint="eastAsia"/>
          <w:color w:val="auto"/>
        </w:rPr>
        <w:t>查询</w:t>
      </w:r>
      <w:r>
        <w:rPr>
          <w:color w:val="auto"/>
        </w:rPr>
        <w:t>与汇总分析等功能，</w:t>
      </w:r>
      <w:r>
        <w:rPr>
          <w:rFonts w:hint="eastAsia"/>
          <w:color w:val="auto"/>
        </w:rPr>
        <w:t>模型信息需求水平</w:t>
      </w:r>
      <w:r>
        <w:rPr>
          <w:color w:val="auto"/>
        </w:rPr>
        <w:t>应满足投资估算要求。</w:t>
      </w:r>
    </w:p>
    <w:p>
      <w:pPr>
        <w:pStyle w:val="4"/>
        <w:ind w:firstLine="0" w:firstLineChars="0"/>
        <w:rPr>
          <w:color w:val="auto"/>
          <w:lang w:val="en-GB"/>
        </w:rPr>
      </w:pPr>
      <w:r>
        <w:rPr>
          <w:color w:val="auto"/>
        </w:rPr>
        <w:t>5.2.</w:t>
      </w:r>
      <w:r>
        <w:rPr>
          <w:rFonts w:hint="eastAsia"/>
          <w:color w:val="auto"/>
        </w:rPr>
        <w:t>3</w:t>
      </w:r>
      <w:r>
        <w:rPr>
          <w:color w:val="auto"/>
        </w:rPr>
        <w:t xml:space="preserve"> </w:t>
      </w:r>
      <w:r>
        <w:rPr>
          <w:rFonts w:hint="eastAsia"/>
          <w:color w:val="auto"/>
        </w:rPr>
        <w:t>方案信息模型交付成果主要包括</w:t>
      </w:r>
      <w:r>
        <w:rPr>
          <w:color w:val="auto"/>
        </w:rPr>
        <w:t>方案设计模型</w:t>
      </w:r>
      <w:r>
        <w:rPr>
          <w:rFonts w:hint="eastAsia"/>
          <w:color w:val="auto"/>
        </w:rPr>
        <w:t>、方案设计图纸和方案可行性分析研究报告等，并应满足规划审批深度的需求</w:t>
      </w:r>
      <w:r>
        <w:rPr>
          <w:color w:val="auto"/>
        </w:rPr>
        <w:t>。</w:t>
      </w:r>
    </w:p>
    <w:p>
      <w:pPr>
        <w:ind w:firstLine="480"/>
        <w:rPr>
          <w:color w:val="auto"/>
        </w:rPr>
      </w:pPr>
    </w:p>
    <w:p>
      <w:pPr>
        <w:ind w:firstLine="480"/>
        <w:rPr>
          <w:color w:val="auto"/>
        </w:rPr>
      </w:pPr>
    </w:p>
    <w:p>
      <w:pPr>
        <w:ind w:firstLine="480"/>
        <w:rPr>
          <w:color w:val="auto"/>
        </w:rPr>
        <w:sectPr>
          <w:pgSz w:w="11906" w:h="16838"/>
          <w:pgMar w:top="1440" w:right="1800" w:bottom="1440" w:left="1800" w:header="851" w:footer="992" w:gutter="0"/>
          <w:cols w:space="425" w:num="1"/>
          <w:docGrid w:type="lines" w:linePitch="312" w:charSpace="0"/>
        </w:sectPr>
      </w:pPr>
    </w:p>
    <w:p>
      <w:pPr>
        <w:pStyle w:val="2"/>
        <w:numPr>
          <w:ilvl w:val="0"/>
          <w:numId w:val="12"/>
        </w:numPr>
        <w:spacing w:before="326" w:after="326"/>
        <w:jc w:val="center"/>
        <w:rPr>
          <w:color w:val="auto"/>
        </w:rPr>
      </w:pPr>
      <w:bookmarkStart w:id="80" w:name="_Toc22237"/>
      <w:r>
        <w:rPr>
          <w:rFonts w:hint="eastAsia"/>
          <w:color w:val="auto"/>
        </w:rPr>
        <w:t>勘察</w:t>
      </w:r>
      <w:r>
        <w:rPr>
          <w:color w:val="auto"/>
        </w:rPr>
        <w:t>设计阶段</w:t>
      </w:r>
      <w:bookmarkEnd w:id="80"/>
    </w:p>
    <w:p>
      <w:pPr>
        <w:pStyle w:val="3"/>
        <w:jc w:val="center"/>
        <w:rPr>
          <w:color w:val="auto"/>
        </w:rPr>
      </w:pPr>
      <w:bookmarkStart w:id="81" w:name="_Toc24494"/>
      <w:r>
        <w:rPr>
          <w:color w:val="auto"/>
        </w:rPr>
        <w:t>6.1 一般规定</w:t>
      </w:r>
      <w:bookmarkEnd w:id="81"/>
    </w:p>
    <w:p>
      <w:pPr>
        <w:pStyle w:val="4"/>
        <w:ind w:firstLine="0" w:firstLineChars="0"/>
        <w:rPr>
          <w:color w:val="auto"/>
        </w:rPr>
      </w:pPr>
      <w:r>
        <w:rPr>
          <w:color w:val="auto"/>
        </w:rPr>
        <w:t xml:space="preserve">6.1.1 </w:t>
      </w:r>
      <w:r>
        <w:rPr>
          <w:rFonts w:hint="eastAsia"/>
          <w:color w:val="auto"/>
        </w:rPr>
        <w:t>城市道路工程信息模型应用在设计阶段一般包括初步设计阶段、施工图设计阶段两个阶段，特殊</w:t>
      </w:r>
      <w:r>
        <w:rPr>
          <w:rFonts w:hint="eastAsia" w:eastAsia="宋体"/>
          <w:color w:val="auto"/>
          <w:szCs w:val="24"/>
        </w:rPr>
        <w:t>或复杂</w:t>
      </w:r>
      <w:r>
        <w:rPr>
          <w:rFonts w:hint="eastAsia"/>
          <w:color w:val="auto"/>
        </w:rPr>
        <w:t>的工程建设项目可在初步设计和施工图设计阶段之间增加技术设计阶段</w:t>
      </w:r>
      <w:r>
        <w:rPr>
          <w:color w:val="auto"/>
        </w:rPr>
        <w:t>。</w:t>
      </w:r>
    </w:p>
    <w:p>
      <w:pPr>
        <w:pStyle w:val="4"/>
        <w:ind w:firstLine="0" w:firstLineChars="0"/>
        <w:rPr>
          <w:color w:val="auto"/>
        </w:rPr>
      </w:pPr>
      <w:r>
        <w:rPr>
          <w:color w:val="auto"/>
        </w:rPr>
        <w:t>6.1.</w:t>
      </w:r>
      <w:r>
        <w:rPr>
          <w:rFonts w:hint="eastAsia"/>
          <w:color w:val="auto"/>
        </w:rPr>
        <w:t>2</w:t>
      </w:r>
      <w:r>
        <w:rPr>
          <w:color w:val="auto"/>
        </w:rPr>
        <w:t xml:space="preserve">  </w:t>
      </w:r>
      <w:r>
        <w:rPr>
          <w:rFonts w:hint="eastAsia"/>
          <w:color w:val="auto"/>
        </w:rPr>
        <w:t>模型宜能提供符合C</w:t>
      </w:r>
      <w:r>
        <w:rPr>
          <w:color w:val="auto"/>
        </w:rPr>
        <w:t>IM平台及施工图审查系统使用和解析要求的施工图审查数据。</w:t>
      </w:r>
    </w:p>
    <w:p>
      <w:pPr>
        <w:pStyle w:val="4"/>
        <w:ind w:firstLine="0" w:firstLineChars="0"/>
        <w:rPr>
          <w:color w:val="auto"/>
        </w:rPr>
      </w:pPr>
      <w:r>
        <w:rPr>
          <w:color w:val="auto"/>
        </w:rPr>
        <w:t>6.1.</w:t>
      </w:r>
      <w:r>
        <w:rPr>
          <w:rFonts w:hint="eastAsia"/>
          <w:color w:val="auto"/>
        </w:rPr>
        <w:t>3</w:t>
      </w:r>
      <w:r>
        <w:rPr>
          <w:color w:val="auto"/>
        </w:rPr>
        <w:t xml:space="preserve">  应</w:t>
      </w:r>
      <w:r>
        <w:rPr>
          <w:rFonts w:hint="eastAsia"/>
          <w:color w:val="auto"/>
        </w:rPr>
        <w:t>根据项目总体应用策划编制勘察、设计阶段的模型执行计划，包括模型应用的阶段目标、详细的数字技术应用点和实施内容、关键技术实现方法与路径以及进度计划安排等内容</w:t>
      </w:r>
      <w:r>
        <w:rPr>
          <w:color w:val="auto"/>
        </w:rPr>
        <w:t>。</w:t>
      </w:r>
    </w:p>
    <w:p>
      <w:pPr>
        <w:pStyle w:val="4"/>
        <w:ind w:firstLine="0" w:firstLineChars="0"/>
        <w:rPr>
          <w:color w:val="auto"/>
        </w:rPr>
      </w:pPr>
      <w:r>
        <w:rPr>
          <w:color w:val="auto"/>
        </w:rPr>
        <w:t>6.1.</w:t>
      </w:r>
      <w:r>
        <w:rPr>
          <w:rFonts w:hint="eastAsia"/>
          <w:color w:val="auto"/>
        </w:rPr>
        <w:t>4</w:t>
      </w:r>
      <w:r>
        <w:rPr>
          <w:color w:val="auto"/>
        </w:rPr>
        <w:t xml:space="preserve">  </w:t>
      </w:r>
      <w:r>
        <w:rPr>
          <w:rFonts w:hint="eastAsia"/>
          <w:color w:val="auto"/>
        </w:rPr>
        <w:t>勘察、设计招标文件中应明确在勘察、设计阶段的数字技术应用具体要求。</w:t>
      </w:r>
    </w:p>
    <w:p>
      <w:pPr>
        <w:pStyle w:val="4"/>
        <w:ind w:firstLine="0" w:firstLineChars="0"/>
        <w:rPr>
          <w:color w:val="auto"/>
        </w:rPr>
      </w:pPr>
      <w:r>
        <w:rPr>
          <w:color w:val="auto"/>
        </w:rPr>
        <w:t>6.1.</w:t>
      </w:r>
      <w:r>
        <w:rPr>
          <w:rFonts w:hint="eastAsia"/>
          <w:color w:val="auto"/>
        </w:rPr>
        <w:t>5 勘察信息模型的创建、交付等应满足对应设计阶段的勘察设计深度要求</w:t>
      </w:r>
      <w:r>
        <w:rPr>
          <w:color w:val="auto"/>
        </w:rPr>
        <w:t>。</w:t>
      </w:r>
    </w:p>
    <w:p>
      <w:pPr>
        <w:pStyle w:val="4"/>
        <w:ind w:firstLine="0" w:firstLineChars="0"/>
        <w:rPr>
          <w:color w:val="auto"/>
        </w:rPr>
      </w:pPr>
      <w:r>
        <w:rPr>
          <w:color w:val="auto"/>
        </w:rPr>
        <w:t>6.1.</w:t>
      </w:r>
      <w:r>
        <w:rPr>
          <w:rFonts w:hint="eastAsia"/>
          <w:color w:val="auto"/>
        </w:rPr>
        <w:t>6</w:t>
      </w:r>
      <w:r>
        <w:rPr>
          <w:color w:val="auto"/>
        </w:rPr>
        <w:t>勘察地质</w:t>
      </w:r>
      <w:r>
        <w:rPr>
          <w:rFonts w:hint="eastAsia"/>
          <w:color w:val="auto"/>
        </w:rPr>
        <w:t>信息模型应根据组成元素的属性赋予材质，每种材质应能体现相对独立的色彩、纹理、岩性花纹等特征</w:t>
      </w:r>
      <w:r>
        <w:rPr>
          <w:color w:val="auto"/>
        </w:rPr>
        <w:t>。</w:t>
      </w:r>
    </w:p>
    <w:p>
      <w:pPr>
        <w:pStyle w:val="3"/>
        <w:jc w:val="center"/>
        <w:rPr>
          <w:color w:val="auto"/>
        </w:rPr>
      </w:pPr>
      <w:bookmarkStart w:id="82" w:name="_Toc11950"/>
      <w:r>
        <w:rPr>
          <w:color w:val="auto"/>
        </w:rPr>
        <w:t>6.</w:t>
      </w:r>
      <w:r>
        <w:rPr>
          <w:rFonts w:hint="eastAsia"/>
          <w:color w:val="auto"/>
        </w:rPr>
        <w:t>2</w:t>
      </w:r>
      <w:r>
        <w:rPr>
          <w:color w:val="auto"/>
        </w:rPr>
        <w:t xml:space="preserve"> </w:t>
      </w:r>
      <w:r>
        <w:rPr>
          <w:rFonts w:hint="eastAsia"/>
          <w:color w:val="auto"/>
        </w:rPr>
        <w:t>勘察信息模型应用</w:t>
      </w:r>
      <w:bookmarkEnd w:id="82"/>
    </w:p>
    <w:p>
      <w:pPr>
        <w:pStyle w:val="4"/>
        <w:ind w:firstLine="0" w:firstLineChars="0"/>
        <w:rPr>
          <w:color w:val="auto"/>
        </w:rPr>
      </w:pPr>
      <w:r>
        <w:rPr>
          <w:color w:val="auto"/>
        </w:rPr>
        <w:t>6.2.1 勘察</w:t>
      </w:r>
      <w:r>
        <w:rPr>
          <w:rFonts w:hint="eastAsia"/>
          <w:color w:val="auto"/>
        </w:rPr>
        <w:t>信息模型的地表信息应能准确反映拟建场地地表以上的地形地物的特征信息，宜包含空间基准信息、数字地面模型D</w:t>
      </w:r>
      <w:r>
        <w:rPr>
          <w:color w:val="auto"/>
        </w:rPr>
        <w:t>TM、水文</w:t>
      </w:r>
      <w:r>
        <w:rPr>
          <w:rFonts w:hint="eastAsia"/>
          <w:color w:val="auto"/>
        </w:rPr>
        <w:t>、现状基础设施</w:t>
      </w:r>
      <w:r>
        <w:rPr>
          <w:color w:val="auto"/>
        </w:rPr>
        <w:t>以及</w:t>
      </w:r>
      <w:r>
        <w:rPr>
          <w:rFonts w:hint="eastAsia"/>
          <w:color w:val="auto"/>
        </w:rPr>
        <w:t>相关</w:t>
      </w:r>
      <w:r>
        <w:rPr>
          <w:color w:val="auto"/>
        </w:rPr>
        <w:t>构筑物等</w:t>
      </w:r>
      <w:r>
        <w:rPr>
          <w:rFonts w:hint="eastAsia"/>
          <w:color w:val="auto"/>
        </w:rPr>
        <w:t>。其数据信息来源宜采用原始测量数据、数字化地形图、航摄遥感影像、数字高程模型D</w:t>
      </w:r>
      <w:r>
        <w:rPr>
          <w:color w:val="auto"/>
        </w:rPr>
        <w:t>EM等。</w:t>
      </w:r>
    </w:p>
    <w:p>
      <w:pPr>
        <w:pStyle w:val="4"/>
        <w:ind w:firstLine="0" w:firstLineChars="0"/>
        <w:rPr>
          <w:color w:val="auto"/>
        </w:rPr>
      </w:pPr>
      <w:r>
        <w:rPr>
          <w:color w:val="auto"/>
        </w:rPr>
        <w:t>6.2.2 勘察</w:t>
      </w:r>
      <w:r>
        <w:rPr>
          <w:rFonts w:hint="eastAsia"/>
          <w:color w:val="auto"/>
        </w:rPr>
        <w:t>信息模型的地质信息数据来源应包括工程地质勘察数据、拟建构筑物设计数据以及相邻建构筑物、地下管网信息等</w:t>
      </w:r>
      <w:r>
        <w:rPr>
          <w:color w:val="auto"/>
        </w:rPr>
        <w:t>。</w:t>
      </w:r>
    </w:p>
    <w:p>
      <w:pPr>
        <w:pStyle w:val="4"/>
        <w:ind w:firstLine="0" w:firstLineChars="0"/>
        <w:rPr>
          <w:color w:val="auto"/>
        </w:rPr>
      </w:pPr>
      <w:r>
        <w:rPr>
          <w:color w:val="auto"/>
        </w:rPr>
        <w:t>6.2.3 勘察</w:t>
      </w:r>
      <w:r>
        <w:rPr>
          <w:rFonts w:hint="eastAsia"/>
          <w:color w:val="auto"/>
        </w:rPr>
        <w:t>信息模型的岩土工程设计信息主要包括边坡工程、基坑工程、地基处理等信息，宜能实现设计方案比选及分析计算等功能</w:t>
      </w:r>
      <w:r>
        <w:rPr>
          <w:color w:val="auto"/>
        </w:rPr>
        <w:t>。</w:t>
      </w:r>
    </w:p>
    <w:p>
      <w:pPr>
        <w:pStyle w:val="4"/>
        <w:ind w:firstLine="0" w:firstLineChars="0"/>
        <w:rPr>
          <w:color w:val="auto"/>
        </w:rPr>
      </w:pPr>
      <w:r>
        <w:rPr>
          <w:color w:val="auto"/>
        </w:rPr>
        <w:t>6.2.4 勘察</w:t>
      </w:r>
      <w:r>
        <w:rPr>
          <w:rFonts w:hint="eastAsia"/>
          <w:color w:val="auto"/>
        </w:rPr>
        <w:t>信息模型的岩土工程设计信息</w:t>
      </w:r>
      <w:r>
        <w:rPr>
          <w:color w:val="auto"/>
        </w:rPr>
        <w:t>数据来源主要包括边坡支护结构、基坑支护结构、地基处理方案以及其它相关资料等。</w:t>
      </w:r>
    </w:p>
    <w:p>
      <w:pPr>
        <w:pStyle w:val="4"/>
        <w:ind w:firstLine="0" w:firstLineChars="0"/>
        <w:rPr>
          <w:color w:val="auto"/>
        </w:rPr>
      </w:pPr>
      <w:r>
        <w:rPr>
          <w:color w:val="auto"/>
        </w:rPr>
        <w:t>6.2.5 勘察</w:t>
      </w:r>
      <w:r>
        <w:rPr>
          <w:rFonts w:hint="eastAsia"/>
          <w:color w:val="auto"/>
        </w:rPr>
        <w:t>信息模型的不同设计阶段选取的岩土计算参数应与对应的设计阶段的深度等级需求相匹配</w:t>
      </w:r>
      <w:r>
        <w:rPr>
          <w:color w:val="auto"/>
        </w:rPr>
        <w:t>。</w:t>
      </w:r>
    </w:p>
    <w:p>
      <w:pPr>
        <w:pStyle w:val="3"/>
        <w:jc w:val="center"/>
        <w:rPr>
          <w:color w:val="auto"/>
        </w:rPr>
      </w:pPr>
      <w:bookmarkStart w:id="83" w:name="_Toc392"/>
      <w:r>
        <w:rPr>
          <w:color w:val="auto"/>
        </w:rPr>
        <w:t>6.</w:t>
      </w:r>
      <w:r>
        <w:rPr>
          <w:rFonts w:hint="eastAsia"/>
          <w:color w:val="auto"/>
        </w:rPr>
        <w:t>3</w:t>
      </w:r>
      <w:r>
        <w:rPr>
          <w:color w:val="auto"/>
        </w:rPr>
        <w:t xml:space="preserve"> </w:t>
      </w:r>
      <w:r>
        <w:rPr>
          <w:rFonts w:hint="eastAsia"/>
          <w:color w:val="auto"/>
        </w:rPr>
        <w:t>设计信息模型应用</w:t>
      </w:r>
      <w:bookmarkEnd w:id="83"/>
    </w:p>
    <w:p>
      <w:pPr>
        <w:pStyle w:val="4"/>
        <w:ind w:firstLine="0" w:firstLineChars="0"/>
        <w:rPr>
          <w:color w:val="auto"/>
        </w:rPr>
      </w:pPr>
      <w:r>
        <w:rPr>
          <w:color w:val="auto"/>
        </w:rPr>
        <w:t xml:space="preserve">6.3.1 </w:t>
      </w:r>
      <w:r>
        <w:rPr>
          <w:rFonts w:hint="eastAsia"/>
          <w:color w:val="auto"/>
        </w:rPr>
        <w:t>设计信息</w:t>
      </w:r>
      <w:r>
        <w:rPr>
          <w:color w:val="auto"/>
        </w:rPr>
        <w:t>模型应用主要包括多方案比选</w:t>
      </w:r>
      <w:r>
        <w:rPr>
          <w:rFonts w:hint="eastAsia"/>
          <w:color w:val="auto"/>
        </w:rPr>
        <w:t>及优化</w:t>
      </w:r>
      <w:r>
        <w:rPr>
          <w:color w:val="auto"/>
        </w:rPr>
        <w:t>、交通</w:t>
      </w:r>
      <w:r>
        <w:rPr>
          <w:rFonts w:hint="eastAsia"/>
          <w:color w:val="auto"/>
        </w:rPr>
        <w:t>分析</w:t>
      </w:r>
      <w:r>
        <w:rPr>
          <w:color w:val="auto"/>
        </w:rPr>
        <w:t>、漫游体验、</w:t>
      </w:r>
      <w:r>
        <w:rPr>
          <w:rFonts w:hint="eastAsia"/>
          <w:color w:val="auto"/>
        </w:rPr>
        <w:t>视线分析、</w:t>
      </w:r>
      <w:r>
        <w:rPr>
          <w:color w:val="auto"/>
        </w:rPr>
        <w:t>碰撞检查、</w:t>
      </w:r>
      <w:r>
        <w:rPr>
          <w:rFonts w:hint="eastAsia"/>
          <w:color w:val="auto"/>
        </w:rPr>
        <w:t>净空分析、照明分析、模型</w:t>
      </w:r>
      <w:r>
        <w:rPr>
          <w:color w:val="auto"/>
        </w:rPr>
        <w:t>出图、工程量统计、性能优化分析、</w:t>
      </w:r>
      <w:r>
        <w:rPr>
          <w:rFonts w:hint="eastAsia"/>
          <w:color w:val="auto"/>
        </w:rPr>
        <w:t>关键技术指标分析、</w:t>
      </w:r>
      <w:r>
        <w:rPr>
          <w:color w:val="auto"/>
        </w:rPr>
        <w:t>关键施工步序</w:t>
      </w:r>
      <w:r>
        <w:rPr>
          <w:rFonts w:hint="eastAsia"/>
          <w:color w:val="auto"/>
        </w:rPr>
        <w:t>模拟、洪水分析、隧道火灾疏解分析、隧道通风分析</w:t>
      </w:r>
      <w:r>
        <w:rPr>
          <w:color w:val="auto"/>
        </w:rPr>
        <w:t>等</w:t>
      </w:r>
      <w:r>
        <w:rPr>
          <w:rFonts w:hint="eastAsia"/>
          <w:color w:val="auto"/>
        </w:rPr>
        <w:t>，具体可参考</w:t>
      </w:r>
      <w:r>
        <w:rPr>
          <w:rFonts w:hint="eastAsia"/>
          <w:b/>
          <w:bCs/>
          <w:color w:val="auto"/>
        </w:rPr>
        <w:t>附录A</w:t>
      </w:r>
      <w:r>
        <w:rPr>
          <w:rFonts w:hint="eastAsia"/>
          <w:color w:val="auto"/>
        </w:rPr>
        <w:t>的要求执行。</w:t>
      </w:r>
    </w:p>
    <w:p>
      <w:pPr>
        <w:pStyle w:val="4"/>
        <w:ind w:firstLine="0" w:firstLineChars="0"/>
        <w:rPr>
          <w:color w:val="auto"/>
        </w:rPr>
      </w:pPr>
      <w:r>
        <w:rPr>
          <w:color w:val="auto"/>
        </w:rPr>
        <w:t>6.3.2</w:t>
      </w:r>
      <w:r>
        <w:rPr>
          <w:rFonts w:hint="eastAsia"/>
          <w:color w:val="auto"/>
        </w:rPr>
        <w:t xml:space="preserve"> 当前阶段的设计</w:t>
      </w:r>
      <w:r>
        <w:rPr>
          <w:color w:val="auto"/>
        </w:rPr>
        <w:t>信息模型</w:t>
      </w:r>
      <w:r>
        <w:rPr>
          <w:rFonts w:hint="eastAsia"/>
          <w:color w:val="auto"/>
        </w:rPr>
        <w:t>应在上一设计阶段模型的成果基础上进行深化</w:t>
      </w:r>
      <w:r>
        <w:rPr>
          <w:color w:val="auto"/>
        </w:rPr>
        <w:t>，并应</w:t>
      </w:r>
      <w:r>
        <w:rPr>
          <w:rFonts w:hint="eastAsia"/>
          <w:color w:val="auto"/>
        </w:rPr>
        <w:t>确保</w:t>
      </w:r>
      <w:r>
        <w:rPr>
          <w:color w:val="auto"/>
        </w:rPr>
        <w:t>信息的连续性与一致性。</w:t>
      </w:r>
    </w:p>
    <w:p>
      <w:pPr>
        <w:pStyle w:val="4"/>
        <w:ind w:firstLine="0" w:firstLineChars="0"/>
        <w:rPr>
          <w:color w:val="auto"/>
        </w:rPr>
      </w:pPr>
      <w:r>
        <w:rPr>
          <w:color w:val="auto"/>
        </w:rPr>
        <w:t xml:space="preserve">6.3.3 </w:t>
      </w:r>
      <w:r>
        <w:rPr>
          <w:rFonts w:hint="eastAsia"/>
          <w:color w:val="auto"/>
        </w:rPr>
        <w:t>初步设计</w:t>
      </w:r>
      <w:r>
        <w:rPr>
          <w:color w:val="auto"/>
        </w:rPr>
        <w:t>阶段模型</w:t>
      </w:r>
      <w:r>
        <w:rPr>
          <w:rFonts w:hint="eastAsia"/>
          <w:color w:val="auto"/>
        </w:rPr>
        <w:t>信息需求水平</w:t>
      </w:r>
      <w:r>
        <w:rPr>
          <w:color w:val="auto"/>
        </w:rPr>
        <w:t>应满足概算编制以及施工招标等需求。</w:t>
      </w:r>
    </w:p>
    <w:p>
      <w:pPr>
        <w:pStyle w:val="4"/>
        <w:ind w:firstLine="0" w:firstLineChars="0"/>
        <w:rPr>
          <w:color w:val="auto"/>
        </w:rPr>
      </w:pPr>
      <w:r>
        <w:rPr>
          <w:color w:val="auto"/>
        </w:rPr>
        <w:t>6.3.4 初步设计信息模型应用流程</w:t>
      </w:r>
      <w:r>
        <w:rPr>
          <w:rFonts w:hint="eastAsia"/>
          <w:color w:val="auto"/>
        </w:rPr>
        <w:t>应满足多专业协同以及多方案比选等应用要求（</w:t>
      </w:r>
      <w:r>
        <w:rPr>
          <w:color w:val="auto"/>
        </w:rPr>
        <w:t>图</w:t>
      </w:r>
      <w:r>
        <w:rPr>
          <w:rFonts w:hint="eastAsia"/>
          <w:color w:val="auto"/>
        </w:rPr>
        <w:t>6</w:t>
      </w:r>
      <w:r>
        <w:rPr>
          <w:color w:val="auto"/>
        </w:rPr>
        <w:t>.3.4</w:t>
      </w:r>
      <w:r>
        <w:rPr>
          <w:rFonts w:hint="eastAsia"/>
          <w:color w:val="auto"/>
        </w:rPr>
        <w:t>）</w:t>
      </w:r>
      <w:r>
        <w:rPr>
          <w:color w:val="auto"/>
        </w:rPr>
        <w:t>。</w:t>
      </w:r>
    </w:p>
    <w:p>
      <w:pPr>
        <w:ind w:firstLine="0" w:firstLineChars="0"/>
        <w:jc w:val="center"/>
        <w:rPr>
          <w:rFonts w:eastAsiaTheme="minorEastAsia"/>
          <w:color w:val="auto"/>
          <w:szCs w:val="32"/>
        </w:rPr>
      </w:pPr>
      <w:r>
        <w:rPr>
          <w:rFonts w:hint="eastAsia" w:eastAsiaTheme="minorEastAsia"/>
          <w:color w:val="auto"/>
          <w:szCs w:val="32"/>
        </w:rPr>
        <w:drawing>
          <wp:inline distT="0" distB="0" distL="114300" distR="114300">
            <wp:extent cx="5180330" cy="2501265"/>
            <wp:effectExtent l="0" t="0" r="1270" b="13335"/>
            <wp:docPr id="3" name="图片 3" descr="初设流程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初设流程图1"/>
                    <pic:cNvPicPr>
                      <a:picLocks noChangeAspect="1"/>
                    </pic:cNvPicPr>
                  </pic:nvPicPr>
                  <pic:blipFill>
                    <a:blip r:embed="rId16"/>
                    <a:srcRect l="5444" t="12014" r="39450" b="12765"/>
                    <a:stretch>
                      <a:fillRect/>
                    </a:stretch>
                  </pic:blipFill>
                  <pic:spPr>
                    <a:xfrm>
                      <a:off x="0" y="0"/>
                      <a:ext cx="5180330" cy="2501265"/>
                    </a:xfrm>
                    <a:prstGeom prst="rect">
                      <a:avLst/>
                    </a:prstGeom>
                  </pic:spPr>
                </pic:pic>
              </a:graphicData>
            </a:graphic>
          </wp:inline>
        </w:drawing>
      </w:r>
    </w:p>
    <w:p>
      <w:pPr>
        <w:ind w:firstLine="0" w:firstLineChars="0"/>
        <w:jc w:val="center"/>
        <w:rPr>
          <w:b/>
          <w:color w:val="auto"/>
          <w:sz w:val="21"/>
          <w:szCs w:val="21"/>
        </w:rPr>
      </w:pPr>
      <w:r>
        <w:rPr>
          <w:rFonts w:hint="eastAsia"/>
          <w:b/>
          <w:color w:val="auto"/>
          <w:sz w:val="21"/>
          <w:szCs w:val="21"/>
        </w:rPr>
        <w:t>图</w:t>
      </w:r>
      <w:r>
        <w:rPr>
          <w:b/>
          <w:color w:val="auto"/>
          <w:sz w:val="21"/>
          <w:szCs w:val="21"/>
        </w:rPr>
        <w:t>6</w:t>
      </w:r>
      <w:r>
        <w:rPr>
          <w:rFonts w:hint="eastAsia"/>
          <w:b/>
          <w:color w:val="auto"/>
          <w:sz w:val="21"/>
          <w:szCs w:val="21"/>
        </w:rPr>
        <w:t>.</w:t>
      </w:r>
      <w:r>
        <w:rPr>
          <w:b/>
          <w:color w:val="auto"/>
          <w:sz w:val="21"/>
          <w:szCs w:val="21"/>
        </w:rPr>
        <w:t xml:space="preserve">3.4  </w:t>
      </w:r>
      <w:r>
        <w:rPr>
          <w:rFonts w:hint="eastAsia"/>
          <w:b/>
          <w:color w:val="auto"/>
          <w:sz w:val="21"/>
          <w:szCs w:val="21"/>
        </w:rPr>
        <w:t>初步</w:t>
      </w:r>
      <w:r>
        <w:rPr>
          <w:b/>
          <w:color w:val="auto"/>
          <w:sz w:val="21"/>
          <w:szCs w:val="21"/>
        </w:rPr>
        <w:t>设计信息模型应用参考流程</w:t>
      </w:r>
    </w:p>
    <w:p>
      <w:pPr>
        <w:pStyle w:val="4"/>
        <w:ind w:firstLine="0" w:firstLineChars="0"/>
        <w:rPr>
          <w:color w:val="auto"/>
        </w:rPr>
      </w:pPr>
      <w:r>
        <w:rPr>
          <w:color w:val="auto"/>
        </w:rPr>
        <w:t xml:space="preserve">6.3.5 </w:t>
      </w:r>
      <w:r>
        <w:rPr>
          <w:rFonts w:hint="eastAsia"/>
          <w:color w:val="auto"/>
        </w:rPr>
        <w:t>技术设计阶段信息模型应满足关键节点深化、关键施工方法研究、关键施工工艺验证等应用要求，其信息需求水平应满足修正概算要求</w:t>
      </w:r>
      <w:r>
        <w:rPr>
          <w:color w:val="auto"/>
        </w:rPr>
        <w:t>。</w:t>
      </w:r>
    </w:p>
    <w:p>
      <w:pPr>
        <w:pStyle w:val="4"/>
        <w:ind w:firstLine="0" w:firstLineChars="0"/>
        <w:rPr>
          <w:color w:val="auto"/>
        </w:rPr>
      </w:pPr>
      <w:r>
        <w:rPr>
          <w:color w:val="auto"/>
        </w:rPr>
        <w:t xml:space="preserve">6.3.6 </w:t>
      </w:r>
      <w:r>
        <w:rPr>
          <w:rFonts w:hint="eastAsia"/>
          <w:color w:val="auto"/>
        </w:rPr>
        <w:t>技术</w:t>
      </w:r>
      <w:r>
        <w:rPr>
          <w:color w:val="auto"/>
        </w:rPr>
        <w:t>设计信息模型应用流程</w:t>
      </w:r>
      <w:r>
        <w:rPr>
          <w:rFonts w:hint="eastAsia"/>
          <w:color w:val="auto"/>
        </w:rPr>
        <w:t>应满足主要技术方案比选以及技术评审等要求（</w:t>
      </w:r>
      <w:r>
        <w:rPr>
          <w:color w:val="auto"/>
        </w:rPr>
        <w:t>图</w:t>
      </w:r>
      <w:r>
        <w:rPr>
          <w:rFonts w:hint="eastAsia"/>
          <w:color w:val="auto"/>
        </w:rPr>
        <w:t>6</w:t>
      </w:r>
      <w:r>
        <w:rPr>
          <w:color w:val="auto"/>
        </w:rPr>
        <w:t>.3.6</w:t>
      </w:r>
      <w:r>
        <w:rPr>
          <w:rFonts w:hint="eastAsia"/>
          <w:color w:val="auto"/>
        </w:rPr>
        <w:t>）</w:t>
      </w:r>
      <w:r>
        <w:rPr>
          <w:color w:val="auto"/>
        </w:rPr>
        <w:t>。</w:t>
      </w:r>
    </w:p>
    <w:p>
      <w:pPr>
        <w:ind w:firstLine="0" w:firstLineChars="0"/>
        <w:jc w:val="center"/>
        <w:rPr>
          <w:rFonts w:eastAsiaTheme="minorEastAsia"/>
          <w:color w:val="auto"/>
          <w:szCs w:val="32"/>
        </w:rPr>
      </w:pPr>
      <w:r>
        <w:rPr>
          <w:rFonts w:hint="eastAsia" w:eastAsiaTheme="minorEastAsia"/>
          <w:color w:val="auto"/>
          <w:szCs w:val="32"/>
        </w:rPr>
        <w:drawing>
          <wp:inline distT="0" distB="0" distL="114300" distR="114300">
            <wp:extent cx="4505960" cy="2614930"/>
            <wp:effectExtent l="0" t="0" r="8890" b="13970"/>
            <wp:docPr id="22" name="图片 22" descr="技术设计流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技术设计流程1"/>
                    <pic:cNvPicPr>
                      <a:picLocks noChangeAspect="1"/>
                    </pic:cNvPicPr>
                  </pic:nvPicPr>
                  <pic:blipFill>
                    <a:blip r:embed="rId17"/>
                    <a:srcRect l="8561" t="19670" r="5996" b="10201"/>
                    <a:stretch>
                      <a:fillRect/>
                    </a:stretch>
                  </pic:blipFill>
                  <pic:spPr>
                    <a:xfrm>
                      <a:off x="0" y="0"/>
                      <a:ext cx="4505960" cy="2614930"/>
                    </a:xfrm>
                    <a:prstGeom prst="rect">
                      <a:avLst/>
                    </a:prstGeom>
                  </pic:spPr>
                </pic:pic>
              </a:graphicData>
            </a:graphic>
          </wp:inline>
        </w:drawing>
      </w:r>
    </w:p>
    <w:p>
      <w:pPr>
        <w:ind w:firstLine="0" w:firstLineChars="0"/>
        <w:jc w:val="center"/>
        <w:rPr>
          <w:b/>
          <w:color w:val="auto"/>
          <w:sz w:val="21"/>
          <w:szCs w:val="21"/>
        </w:rPr>
      </w:pPr>
      <w:r>
        <w:rPr>
          <w:rFonts w:hint="eastAsia"/>
          <w:b/>
          <w:color w:val="auto"/>
          <w:sz w:val="21"/>
          <w:szCs w:val="21"/>
        </w:rPr>
        <w:t>图</w:t>
      </w:r>
      <w:r>
        <w:rPr>
          <w:b/>
          <w:color w:val="auto"/>
          <w:sz w:val="21"/>
          <w:szCs w:val="21"/>
        </w:rPr>
        <w:t>6</w:t>
      </w:r>
      <w:r>
        <w:rPr>
          <w:rFonts w:hint="eastAsia"/>
          <w:b/>
          <w:color w:val="auto"/>
          <w:sz w:val="21"/>
          <w:szCs w:val="21"/>
        </w:rPr>
        <w:t>.</w:t>
      </w:r>
      <w:r>
        <w:rPr>
          <w:b/>
          <w:color w:val="auto"/>
          <w:sz w:val="21"/>
          <w:szCs w:val="21"/>
        </w:rPr>
        <w:t xml:space="preserve">3.6  </w:t>
      </w:r>
      <w:r>
        <w:rPr>
          <w:rFonts w:hint="eastAsia"/>
          <w:b/>
          <w:color w:val="auto"/>
          <w:sz w:val="21"/>
          <w:szCs w:val="21"/>
        </w:rPr>
        <w:t>技术</w:t>
      </w:r>
      <w:r>
        <w:rPr>
          <w:b/>
          <w:color w:val="auto"/>
          <w:sz w:val="21"/>
          <w:szCs w:val="21"/>
        </w:rPr>
        <w:t>设计信息模型应用参考流程</w:t>
      </w:r>
    </w:p>
    <w:p>
      <w:pPr>
        <w:pStyle w:val="4"/>
        <w:ind w:firstLine="0" w:firstLineChars="0"/>
        <w:rPr>
          <w:color w:val="auto"/>
        </w:rPr>
      </w:pPr>
      <w:r>
        <w:rPr>
          <w:color w:val="auto"/>
        </w:rPr>
        <w:t>6.3.7 施工图</w:t>
      </w:r>
      <w:r>
        <w:rPr>
          <w:rFonts w:hint="eastAsia"/>
          <w:color w:val="auto"/>
        </w:rPr>
        <w:t>设计</w:t>
      </w:r>
      <w:r>
        <w:rPr>
          <w:color w:val="auto"/>
        </w:rPr>
        <w:t>阶段模型</w:t>
      </w:r>
      <w:r>
        <w:rPr>
          <w:rFonts w:hint="eastAsia"/>
          <w:color w:val="auto"/>
        </w:rPr>
        <w:t>信息需求水平</w:t>
      </w:r>
      <w:r>
        <w:rPr>
          <w:color w:val="auto"/>
        </w:rPr>
        <w:t>应满足施工</w:t>
      </w:r>
      <w:r>
        <w:rPr>
          <w:rFonts w:hint="eastAsia"/>
          <w:color w:val="auto"/>
        </w:rPr>
        <w:t>预算</w:t>
      </w:r>
      <w:r>
        <w:rPr>
          <w:color w:val="auto"/>
        </w:rPr>
        <w:t>编制等</w:t>
      </w:r>
      <w:r>
        <w:rPr>
          <w:rFonts w:hint="eastAsia"/>
          <w:color w:val="auto"/>
        </w:rPr>
        <w:t>要求</w:t>
      </w:r>
      <w:r>
        <w:rPr>
          <w:color w:val="auto"/>
        </w:rPr>
        <w:t>。</w:t>
      </w:r>
    </w:p>
    <w:p>
      <w:pPr>
        <w:pStyle w:val="4"/>
        <w:ind w:firstLine="0" w:firstLineChars="0"/>
        <w:rPr>
          <w:color w:val="auto"/>
        </w:rPr>
      </w:pPr>
      <w:r>
        <w:rPr>
          <w:color w:val="auto"/>
        </w:rPr>
        <w:t>6.3.8</w:t>
      </w:r>
      <w:r>
        <w:rPr>
          <w:rFonts w:hint="eastAsia"/>
          <w:color w:val="auto"/>
        </w:rPr>
        <w:t>施工图设计阶段信息模型应满足</w:t>
      </w:r>
      <w:r>
        <w:rPr>
          <w:color w:val="auto"/>
        </w:rPr>
        <w:t>施工组织方案、交通导改方案、管线拆改方案验证需求等</w:t>
      </w:r>
      <w:r>
        <w:rPr>
          <w:rFonts w:hint="eastAsia"/>
          <w:color w:val="auto"/>
        </w:rPr>
        <w:t>应用</w:t>
      </w:r>
      <w:r>
        <w:rPr>
          <w:color w:val="auto"/>
        </w:rPr>
        <w:t>，并</w:t>
      </w:r>
      <w:r>
        <w:rPr>
          <w:rFonts w:hint="eastAsia"/>
          <w:color w:val="auto"/>
        </w:rPr>
        <w:t>宜</w:t>
      </w:r>
      <w:r>
        <w:rPr>
          <w:color w:val="auto"/>
        </w:rPr>
        <w:t>辅助数字化建造</w:t>
      </w:r>
      <w:r>
        <w:rPr>
          <w:rFonts w:hint="eastAsia"/>
          <w:color w:val="auto"/>
        </w:rPr>
        <w:t>全过程的一体化应用</w:t>
      </w:r>
      <w:r>
        <w:rPr>
          <w:color w:val="auto"/>
        </w:rPr>
        <w:t>。</w:t>
      </w:r>
    </w:p>
    <w:p>
      <w:pPr>
        <w:pStyle w:val="4"/>
        <w:ind w:firstLine="0" w:firstLineChars="0"/>
        <w:rPr>
          <w:color w:val="auto"/>
        </w:rPr>
      </w:pPr>
      <w:r>
        <w:rPr>
          <w:color w:val="auto"/>
        </w:rPr>
        <w:t xml:space="preserve">6.3.9 </w:t>
      </w:r>
      <w:r>
        <w:rPr>
          <w:rFonts w:hint="eastAsia"/>
          <w:color w:val="auto"/>
        </w:rPr>
        <w:t>施工图</w:t>
      </w:r>
      <w:r>
        <w:rPr>
          <w:color w:val="auto"/>
        </w:rPr>
        <w:t>设计信息模型应用流程</w:t>
      </w:r>
      <w:r>
        <w:rPr>
          <w:rFonts w:hint="eastAsia"/>
          <w:color w:val="auto"/>
        </w:rPr>
        <w:t>应满足专业间和专业内的协同以及施工图审查应用等需求（</w:t>
      </w:r>
      <w:r>
        <w:rPr>
          <w:color w:val="auto"/>
        </w:rPr>
        <w:t>图</w:t>
      </w:r>
      <w:r>
        <w:rPr>
          <w:rFonts w:hint="eastAsia"/>
          <w:color w:val="auto"/>
        </w:rPr>
        <w:t>6</w:t>
      </w:r>
      <w:r>
        <w:rPr>
          <w:color w:val="auto"/>
        </w:rPr>
        <w:t>.3.9</w:t>
      </w:r>
      <w:r>
        <w:rPr>
          <w:rFonts w:hint="eastAsia"/>
          <w:color w:val="auto"/>
        </w:rPr>
        <w:t>）</w:t>
      </w:r>
      <w:r>
        <w:rPr>
          <w:color w:val="auto"/>
        </w:rPr>
        <w:t>。</w:t>
      </w:r>
    </w:p>
    <w:p>
      <w:pPr>
        <w:ind w:firstLine="0" w:firstLineChars="0"/>
        <w:jc w:val="center"/>
        <w:rPr>
          <w:rFonts w:eastAsiaTheme="minorEastAsia"/>
          <w:color w:val="auto"/>
          <w:szCs w:val="32"/>
        </w:rPr>
      </w:pPr>
      <w:r>
        <w:rPr>
          <w:rFonts w:hint="eastAsia" w:eastAsiaTheme="minorEastAsia"/>
          <w:color w:val="auto"/>
          <w:szCs w:val="32"/>
        </w:rPr>
        <w:drawing>
          <wp:inline distT="0" distB="0" distL="114300" distR="114300">
            <wp:extent cx="4699635" cy="2628900"/>
            <wp:effectExtent l="0" t="0" r="5715" b="0"/>
            <wp:docPr id="5" name="图片 5" descr="施工图设计流程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施工图设计流程图1"/>
                    <pic:cNvPicPr>
                      <a:picLocks noChangeAspect="1"/>
                    </pic:cNvPicPr>
                  </pic:nvPicPr>
                  <pic:blipFill>
                    <a:blip r:embed="rId18"/>
                    <a:srcRect l="7117" t="9760" r="7539" b="22722"/>
                    <a:stretch>
                      <a:fillRect/>
                    </a:stretch>
                  </pic:blipFill>
                  <pic:spPr>
                    <a:xfrm>
                      <a:off x="0" y="0"/>
                      <a:ext cx="4699635" cy="2628900"/>
                    </a:xfrm>
                    <a:prstGeom prst="rect">
                      <a:avLst/>
                    </a:prstGeom>
                  </pic:spPr>
                </pic:pic>
              </a:graphicData>
            </a:graphic>
          </wp:inline>
        </w:drawing>
      </w:r>
    </w:p>
    <w:p>
      <w:pPr>
        <w:ind w:firstLine="0" w:firstLineChars="0"/>
        <w:jc w:val="center"/>
        <w:rPr>
          <w:b/>
          <w:color w:val="auto"/>
          <w:sz w:val="21"/>
          <w:szCs w:val="21"/>
        </w:rPr>
      </w:pPr>
      <w:r>
        <w:rPr>
          <w:rFonts w:hint="eastAsia"/>
          <w:b/>
          <w:color w:val="auto"/>
          <w:sz w:val="21"/>
          <w:szCs w:val="21"/>
        </w:rPr>
        <w:t>图</w:t>
      </w:r>
      <w:r>
        <w:rPr>
          <w:b/>
          <w:color w:val="auto"/>
          <w:sz w:val="21"/>
          <w:szCs w:val="21"/>
        </w:rPr>
        <w:t>6</w:t>
      </w:r>
      <w:r>
        <w:rPr>
          <w:rFonts w:hint="eastAsia"/>
          <w:b/>
          <w:color w:val="auto"/>
          <w:sz w:val="21"/>
          <w:szCs w:val="21"/>
        </w:rPr>
        <w:t>.</w:t>
      </w:r>
      <w:r>
        <w:rPr>
          <w:b/>
          <w:color w:val="auto"/>
          <w:sz w:val="21"/>
          <w:szCs w:val="21"/>
        </w:rPr>
        <w:t xml:space="preserve">3.9  </w:t>
      </w:r>
      <w:r>
        <w:rPr>
          <w:rFonts w:hint="eastAsia"/>
          <w:b/>
          <w:color w:val="auto"/>
          <w:sz w:val="21"/>
          <w:szCs w:val="21"/>
        </w:rPr>
        <w:t>施工图</w:t>
      </w:r>
      <w:r>
        <w:rPr>
          <w:b/>
          <w:color w:val="auto"/>
          <w:sz w:val="21"/>
          <w:szCs w:val="21"/>
        </w:rPr>
        <w:t>设计信息模型应用参考流程</w:t>
      </w:r>
    </w:p>
    <w:p>
      <w:pPr>
        <w:pStyle w:val="3"/>
        <w:jc w:val="center"/>
        <w:rPr>
          <w:color w:val="auto"/>
        </w:rPr>
      </w:pPr>
      <w:bookmarkStart w:id="84" w:name="_Toc5334"/>
      <w:r>
        <w:rPr>
          <w:color w:val="auto"/>
        </w:rPr>
        <w:t>6.</w:t>
      </w:r>
      <w:r>
        <w:rPr>
          <w:rFonts w:hint="eastAsia"/>
          <w:color w:val="auto"/>
        </w:rPr>
        <w:t>4 协同应用</w:t>
      </w:r>
      <w:bookmarkEnd w:id="84"/>
    </w:p>
    <w:p>
      <w:pPr>
        <w:pStyle w:val="4"/>
        <w:ind w:firstLine="0" w:firstLineChars="0"/>
        <w:rPr>
          <w:color w:val="auto"/>
        </w:rPr>
      </w:pPr>
      <w:r>
        <w:rPr>
          <w:color w:val="auto"/>
        </w:rPr>
        <w:t xml:space="preserve">6.4.1 </w:t>
      </w:r>
      <w:r>
        <w:rPr>
          <w:rFonts w:hint="eastAsia"/>
          <w:color w:val="auto"/>
        </w:rPr>
        <w:t>勘察</w:t>
      </w:r>
      <w:r>
        <w:rPr>
          <w:color w:val="auto"/>
        </w:rPr>
        <w:t>、设计阶段应在平台工具及方法</w:t>
      </w:r>
      <w:r>
        <w:rPr>
          <w:rFonts w:hint="eastAsia"/>
          <w:color w:val="auto"/>
        </w:rPr>
        <w:t>选择</w:t>
      </w:r>
      <w:r>
        <w:rPr>
          <w:color w:val="auto"/>
        </w:rPr>
        <w:t>上确保勘察信息模型与设计信息模型的有效协同。</w:t>
      </w:r>
    </w:p>
    <w:p>
      <w:pPr>
        <w:pStyle w:val="4"/>
        <w:ind w:firstLine="0" w:firstLineChars="0"/>
        <w:rPr>
          <w:color w:val="auto"/>
        </w:rPr>
      </w:pPr>
      <w:r>
        <w:rPr>
          <w:color w:val="auto"/>
        </w:rPr>
        <w:t>6.4.2设计</w:t>
      </w:r>
      <w:r>
        <w:rPr>
          <w:rFonts w:hint="eastAsia"/>
          <w:color w:val="auto"/>
        </w:rPr>
        <w:t>阶段</w:t>
      </w:r>
      <w:r>
        <w:rPr>
          <w:color w:val="auto"/>
        </w:rPr>
        <w:t>宜根据项目需求、</w:t>
      </w:r>
      <w:r>
        <w:rPr>
          <w:rFonts w:hint="eastAsia"/>
          <w:color w:val="auto"/>
        </w:rPr>
        <w:t>模型应用总体实施策划、模型执行计划、</w:t>
      </w:r>
      <w:r>
        <w:rPr>
          <w:color w:val="auto"/>
        </w:rPr>
        <w:t>设计企业资源特点</w:t>
      </w:r>
      <w:r>
        <w:rPr>
          <w:rFonts w:hint="eastAsia"/>
          <w:color w:val="auto"/>
        </w:rPr>
        <w:t>以及</w:t>
      </w:r>
      <w:r>
        <w:rPr>
          <w:color w:val="auto"/>
        </w:rPr>
        <w:t>业务流程管理要求等因素，制定合理的项目级模型协同设计应用标准</w:t>
      </w:r>
      <w:r>
        <w:rPr>
          <w:rFonts w:hint="eastAsia"/>
          <w:color w:val="auto"/>
        </w:rPr>
        <w:t>，并宜基于标准化的资源库创建模型</w:t>
      </w:r>
      <w:r>
        <w:rPr>
          <w:color w:val="auto"/>
        </w:rPr>
        <w:t>。</w:t>
      </w:r>
    </w:p>
    <w:p>
      <w:pPr>
        <w:pStyle w:val="4"/>
        <w:ind w:firstLine="0" w:firstLineChars="0"/>
        <w:rPr>
          <w:color w:val="auto"/>
        </w:rPr>
      </w:pPr>
      <w:r>
        <w:rPr>
          <w:color w:val="auto"/>
        </w:rPr>
        <w:t>6.4.3设计阶段应</w:t>
      </w:r>
      <w:r>
        <w:rPr>
          <w:rFonts w:hint="eastAsia"/>
          <w:color w:val="auto"/>
        </w:rPr>
        <w:t>制定项目级</w:t>
      </w:r>
      <w:r>
        <w:rPr>
          <w:color w:val="auto"/>
        </w:rPr>
        <w:t>协同应用</w:t>
      </w:r>
      <w:r>
        <w:rPr>
          <w:rFonts w:hint="eastAsia"/>
          <w:color w:val="auto"/>
        </w:rPr>
        <w:t>标准来</w:t>
      </w:r>
      <w:r>
        <w:rPr>
          <w:color w:val="auto"/>
        </w:rPr>
        <w:t>确保专业间</w:t>
      </w:r>
      <w:r>
        <w:rPr>
          <w:rFonts w:hint="eastAsia"/>
          <w:color w:val="auto"/>
        </w:rPr>
        <w:t>和</w:t>
      </w:r>
      <w:r>
        <w:rPr>
          <w:color w:val="auto"/>
        </w:rPr>
        <w:t>专业内的设计协同，同时宜</w:t>
      </w:r>
      <w:r>
        <w:rPr>
          <w:rFonts w:hint="eastAsia"/>
          <w:color w:val="auto"/>
        </w:rPr>
        <w:t>满足</w:t>
      </w:r>
      <w:r>
        <w:rPr>
          <w:color w:val="auto"/>
        </w:rPr>
        <w:t>异地协同设计</w:t>
      </w:r>
      <w:r>
        <w:rPr>
          <w:rFonts w:hint="eastAsia"/>
          <w:color w:val="auto"/>
        </w:rPr>
        <w:t>需求</w:t>
      </w:r>
      <w:r>
        <w:rPr>
          <w:color w:val="auto"/>
        </w:rPr>
        <w:t>。</w:t>
      </w:r>
    </w:p>
    <w:p>
      <w:pPr>
        <w:pStyle w:val="4"/>
        <w:ind w:firstLine="0" w:firstLineChars="0"/>
        <w:rPr>
          <w:color w:val="auto"/>
        </w:rPr>
      </w:pPr>
      <w:r>
        <w:rPr>
          <w:color w:val="auto"/>
        </w:rPr>
        <w:t>6.4.4设计阶段</w:t>
      </w:r>
      <w:r>
        <w:rPr>
          <w:rFonts w:hint="eastAsia"/>
          <w:color w:val="auto"/>
        </w:rPr>
        <w:t>的</w:t>
      </w:r>
      <w:r>
        <w:rPr>
          <w:color w:val="auto"/>
        </w:rPr>
        <w:t>协同应用标准主要</w:t>
      </w:r>
      <w:r>
        <w:rPr>
          <w:rFonts w:hint="eastAsia"/>
          <w:color w:val="auto"/>
        </w:rPr>
        <w:t>涵盖建模</w:t>
      </w:r>
      <w:r>
        <w:rPr>
          <w:color w:val="auto"/>
        </w:rPr>
        <w:t>、</w:t>
      </w:r>
      <w:r>
        <w:rPr>
          <w:rFonts w:hint="eastAsia"/>
          <w:color w:val="auto"/>
        </w:rPr>
        <w:t>模型</w:t>
      </w:r>
      <w:r>
        <w:rPr>
          <w:color w:val="auto"/>
        </w:rPr>
        <w:t>分析、</w:t>
      </w:r>
      <w:r>
        <w:rPr>
          <w:rFonts w:hint="eastAsia"/>
          <w:color w:val="auto"/>
        </w:rPr>
        <w:t>模型集成与</w:t>
      </w:r>
      <w:r>
        <w:rPr>
          <w:color w:val="auto"/>
        </w:rPr>
        <w:t>协调</w:t>
      </w:r>
      <w:r>
        <w:rPr>
          <w:rFonts w:hint="eastAsia"/>
          <w:color w:val="auto"/>
        </w:rPr>
        <w:t>、</w:t>
      </w:r>
      <w:r>
        <w:rPr>
          <w:color w:val="auto"/>
        </w:rPr>
        <w:t>方案优化、</w:t>
      </w:r>
      <w:r>
        <w:rPr>
          <w:rFonts w:hint="eastAsia"/>
          <w:color w:val="auto"/>
        </w:rPr>
        <w:t>模型成果</w:t>
      </w:r>
      <w:r>
        <w:rPr>
          <w:color w:val="auto"/>
        </w:rPr>
        <w:t>交付</w:t>
      </w:r>
      <w:r>
        <w:rPr>
          <w:rFonts w:hint="eastAsia"/>
          <w:color w:val="auto"/>
        </w:rPr>
        <w:t>与</w:t>
      </w:r>
      <w:r>
        <w:rPr>
          <w:color w:val="auto"/>
        </w:rPr>
        <w:t>归档等内容。</w:t>
      </w:r>
    </w:p>
    <w:p>
      <w:pPr>
        <w:pStyle w:val="4"/>
        <w:ind w:firstLine="0" w:firstLineChars="0"/>
        <w:rPr>
          <w:color w:val="auto"/>
        </w:rPr>
      </w:pPr>
      <w:r>
        <w:rPr>
          <w:color w:val="auto"/>
        </w:rPr>
        <w:t>6.4.</w:t>
      </w:r>
      <w:r>
        <w:rPr>
          <w:rFonts w:hint="eastAsia"/>
          <w:color w:val="auto"/>
        </w:rPr>
        <w:t>5</w:t>
      </w:r>
      <w:r>
        <w:rPr>
          <w:color w:val="auto"/>
        </w:rPr>
        <w:t>设计阶段</w:t>
      </w:r>
      <w:r>
        <w:rPr>
          <w:rFonts w:hint="eastAsia"/>
          <w:color w:val="auto"/>
        </w:rPr>
        <w:t>的</w:t>
      </w:r>
      <w:r>
        <w:rPr>
          <w:color w:val="auto"/>
        </w:rPr>
        <w:t>协同</w:t>
      </w:r>
      <w:r>
        <w:rPr>
          <w:rFonts w:hint="eastAsia"/>
          <w:color w:val="auto"/>
        </w:rPr>
        <w:t>平台应具备协同设计校审的功能，并支撑设计校审流程的审批与管理</w:t>
      </w:r>
      <w:r>
        <w:rPr>
          <w:color w:val="auto"/>
        </w:rPr>
        <w:t>。</w:t>
      </w:r>
    </w:p>
    <w:p>
      <w:pPr>
        <w:pStyle w:val="3"/>
        <w:jc w:val="center"/>
        <w:rPr>
          <w:color w:val="auto"/>
        </w:rPr>
      </w:pPr>
      <w:bookmarkStart w:id="85" w:name="_Toc5386"/>
      <w:r>
        <w:rPr>
          <w:color w:val="auto"/>
        </w:rPr>
        <w:t xml:space="preserve">6.5 </w:t>
      </w:r>
      <w:r>
        <w:rPr>
          <w:rFonts w:hint="eastAsia"/>
          <w:color w:val="auto"/>
        </w:rPr>
        <w:t>交付准备</w:t>
      </w:r>
      <w:bookmarkEnd w:id="85"/>
    </w:p>
    <w:p>
      <w:pPr>
        <w:pStyle w:val="4"/>
        <w:ind w:firstLine="0" w:firstLineChars="0"/>
        <w:rPr>
          <w:color w:val="auto"/>
        </w:rPr>
      </w:pPr>
      <w:r>
        <w:rPr>
          <w:color w:val="auto"/>
        </w:rPr>
        <w:t xml:space="preserve">6.5.1 </w:t>
      </w:r>
      <w:r>
        <w:rPr>
          <w:rFonts w:hint="eastAsia"/>
          <w:color w:val="auto"/>
        </w:rPr>
        <w:t>模型成果</w:t>
      </w:r>
      <w:r>
        <w:rPr>
          <w:color w:val="auto"/>
        </w:rPr>
        <w:t>交付</w:t>
      </w:r>
      <w:r>
        <w:rPr>
          <w:rFonts w:hint="eastAsia"/>
          <w:color w:val="auto"/>
        </w:rPr>
        <w:t>准备</w:t>
      </w:r>
      <w:r>
        <w:rPr>
          <w:color w:val="auto"/>
        </w:rPr>
        <w:t>过程中，应根据交付深度、交付物形式、交付协同要求</w:t>
      </w:r>
      <w:r>
        <w:rPr>
          <w:rFonts w:hint="eastAsia"/>
          <w:color w:val="auto"/>
        </w:rPr>
        <w:t>等</w:t>
      </w:r>
      <w:r>
        <w:rPr>
          <w:color w:val="auto"/>
        </w:rPr>
        <w:t>需求输出模型</w:t>
      </w:r>
      <w:r>
        <w:rPr>
          <w:rFonts w:hint="eastAsia"/>
          <w:color w:val="auto"/>
        </w:rPr>
        <w:t>成果交付内容</w:t>
      </w:r>
      <w:r>
        <w:rPr>
          <w:color w:val="auto"/>
        </w:rPr>
        <w:t>。</w:t>
      </w:r>
    </w:p>
    <w:p>
      <w:pPr>
        <w:pStyle w:val="4"/>
        <w:ind w:firstLine="0" w:firstLineChars="0"/>
        <w:rPr>
          <w:color w:val="auto"/>
        </w:rPr>
      </w:pPr>
      <w:r>
        <w:rPr>
          <w:color w:val="auto"/>
        </w:rPr>
        <w:t xml:space="preserve">6.5.2 </w:t>
      </w:r>
      <w:r>
        <w:rPr>
          <w:rFonts w:hint="eastAsia"/>
          <w:color w:val="auto"/>
        </w:rPr>
        <w:t>模型成果交付过程应以模型单元为基本操作对象，模型单元应以几何信息和属性信息描述对象的设计信息，可使用二维图形、文档、多媒体等方式补充和增强表达设计信息</w:t>
      </w:r>
      <w:r>
        <w:rPr>
          <w:color w:val="auto"/>
        </w:rPr>
        <w:t>。</w:t>
      </w:r>
    </w:p>
    <w:p>
      <w:pPr>
        <w:pStyle w:val="4"/>
        <w:ind w:firstLine="0" w:firstLineChars="0"/>
        <w:rPr>
          <w:color w:val="auto"/>
        </w:rPr>
      </w:pPr>
      <w:r>
        <w:rPr>
          <w:color w:val="auto"/>
        </w:rPr>
        <w:t xml:space="preserve">6.5.3 </w:t>
      </w:r>
      <w:r>
        <w:rPr>
          <w:rFonts w:hint="eastAsia"/>
          <w:color w:val="auto"/>
        </w:rPr>
        <w:t>模型交付成果宜包含下列信息内容：</w:t>
      </w:r>
    </w:p>
    <w:p>
      <w:pPr>
        <w:ind w:firstLine="480"/>
        <w:rPr>
          <w:color w:val="auto"/>
        </w:rPr>
      </w:pPr>
      <w:r>
        <w:rPr>
          <w:rFonts w:hint="eastAsia"/>
          <w:color w:val="auto"/>
        </w:rPr>
        <w:t>1</w:t>
      </w:r>
      <w:r>
        <w:rPr>
          <w:color w:val="auto"/>
        </w:rPr>
        <w:t xml:space="preserve"> 模型单元的系统分类；</w:t>
      </w:r>
    </w:p>
    <w:p>
      <w:pPr>
        <w:ind w:firstLine="480"/>
        <w:rPr>
          <w:color w:val="auto"/>
        </w:rPr>
      </w:pPr>
      <w:r>
        <w:rPr>
          <w:rFonts w:hint="eastAsia"/>
          <w:color w:val="auto"/>
        </w:rPr>
        <w:t>2</w:t>
      </w:r>
      <w:r>
        <w:rPr>
          <w:color w:val="auto"/>
        </w:rPr>
        <w:t xml:space="preserve"> 模型单元的关联关系；</w:t>
      </w:r>
    </w:p>
    <w:p>
      <w:pPr>
        <w:ind w:firstLine="480"/>
        <w:rPr>
          <w:color w:val="auto"/>
        </w:rPr>
      </w:pPr>
      <w:r>
        <w:rPr>
          <w:rFonts w:hint="eastAsia"/>
          <w:color w:val="auto"/>
        </w:rPr>
        <w:t>3</w:t>
      </w:r>
      <w:r>
        <w:rPr>
          <w:color w:val="auto"/>
        </w:rPr>
        <w:t xml:space="preserve"> 模型单元几何信息及几何表达精度；</w:t>
      </w:r>
    </w:p>
    <w:p>
      <w:pPr>
        <w:ind w:firstLine="480"/>
        <w:rPr>
          <w:color w:val="auto"/>
        </w:rPr>
      </w:pPr>
      <w:r>
        <w:rPr>
          <w:rFonts w:hint="eastAsia"/>
          <w:color w:val="auto"/>
        </w:rPr>
        <w:t>4</w:t>
      </w:r>
      <w:r>
        <w:rPr>
          <w:color w:val="auto"/>
        </w:rPr>
        <w:t xml:space="preserve"> 模型单元属性信息及信息深度；</w:t>
      </w:r>
    </w:p>
    <w:p>
      <w:pPr>
        <w:ind w:firstLine="480"/>
        <w:rPr>
          <w:color w:val="auto"/>
        </w:rPr>
      </w:pPr>
      <w:r>
        <w:rPr>
          <w:rFonts w:hint="eastAsia"/>
          <w:color w:val="auto"/>
        </w:rPr>
        <w:t>5</w:t>
      </w:r>
      <w:r>
        <w:rPr>
          <w:color w:val="auto"/>
        </w:rPr>
        <w:t xml:space="preserve"> 属性值的数据来源。</w:t>
      </w:r>
    </w:p>
    <w:p>
      <w:pPr>
        <w:pStyle w:val="3"/>
        <w:jc w:val="center"/>
        <w:rPr>
          <w:color w:val="auto"/>
        </w:rPr>
      </w:pPr>
      <w:bookmarkStart w:id="86" w:name="_Toc3334"/>
      <w:r>
        <w:rPr>
          <w:color w:val="auto"/>
        </w:rPr>
        <w:t>6.</w:t>
      </w:r>
      <w:r>
        <w:rPr>
          <w:rFonts w:hint="eastAsia"/>
          <w:color w:val="auto"/>
        </w:rPr>
        <w:t>6</w:t>
      </w:r>
      <w:r>
        <w:rPr>
          <w:color w:val="auto"/>
        </w:rPr>
        <w:t xml:space="preserve"> </w:t>
      </w:r>
      <w:r>
        <w:rPr>
          <w:rFonts w:hint="eastAsia"/>
          <w:color w:val="auto"/>
        </w:rPr>
        <w:t>设计交付与归档</w:t>
      </w:r>
      <w:bookmarkEnd w:id="86"/>
    </w:p>
    <w:p>
      <w:pPr>
        <w:pStyle w:val="4"/>
        <w:ind w:firstLine="0" w:firstLineChars="0"/>
        <w:rPr>
          <w:color w:val="auto"/>
        </w:rPr>
      </w:pPr>
      <w:r>
        <w:rPr>
          <w:color w:val="auto"/>
        </w:rPr>
        <w:t>6.</w:t>
      </w:r>
      <w:r>
        <w:rPr>
          <w:rFonts w:hint="eastAsia"/>
          <w:color w:val="auto"/>
        </w:rPr>
        <w:t>6</w:t>
      </w:r>
      <w:r>
        <w:rPr>
          <w:color w:val="auto"/>
        </w:rPr>
        <w:t xml:space="preserve">.1 </w:t>
      </w:r>
      <w:r>
        <w:rPr>
          <w:rFonts w:hint="eastAsia"/>
          <w:color w:val="auto"/>
        </w:rPr>
        <w:t>设计交付成果由设计单位进行整合与移交，并应按合同和政府相关部门的要求进行归档</w:t>
      </w:r>
      <w:r>
        <w:rPr>
          <w:color w:val="auto"/>
        </w:rPr>
        <w:t>。</w:t>
      </w:r>
    </w:p>
    <w:p>
      <w:pPr>
        <w:pStyle w:val="4"/>
        <w:ind w:firstLine="0" w:firstLineChars="0"/>
        <w:rPr>
          <w:color w:val="auto"/>
        </w:rPr>
      </w:pPr>
      <w:r>
        <w:rPr>
          <w:color w:val="auto"/>
        </w:rPr>
        <w:t>6.</w:t>
      </w:r>
      <w:r>
        <w:rPr>
          <w:rFonts w:hint="eastAsia"/>
          <w:color w:val="auto"/>
        </w:rPr>
        <w:t>6</w:t>
      </w:r>
      <w:r>
        <w:rPr>
          <w:color w:val="auto"/>
        </w:rPr>
        <w:t>.</w:t>
      </w:r>
      <w:r>
        <w:rPr>
          <w:rFonts w:hint="eastAsia"/>
          <w:color w:val="auto"/>
        </w:rPr>
        <w:t>2</w:t>
      </w:r>
      <w:r>
        <w:rPr>
          <w:color w:val="auto"/>
        </w:rPr>
        <w:t xml:space="preserve"> </w:t>
      </w:r>
      <w:r>
        <w:rPr>
          <w:rFonts w:hint="eastAsia"/>
          <w:color w:val="auto"/>
        </w:rPr>
        <w:t>各设计阶段主要交付物应满足表6.6.2的要求</w:t>
      </w:r>
      <w:r>
        <w:rPr>
          <w:color w:val="auto"/>
        </w:rPr>
        <w:t>。</w:t>
      </w:r>
    </w:p>
    <w:p>
      <w:pPr>
        <w:ind w:firstLine="0" w:firstLineChars="0"/>
        <w:jc w:val="center"/>
        <w:rPr>
          <w:b/>
          <w:color w:val="auto"/>
          <w:sz w:val="21"/>
          <w:szCs w:val="21"/>
        </w:rPr>
      </w:pPr>
      <w:r>
        <w:rPr>
          <w:b/>
          <w:color w:val="auto"/>
          <w:sz w:val="21"/>
          <w:szCs w:val="21"/>
        </w:rPr>
        <w:t>表</w:t>
      </w:r>
      <w:r>
        <w:rPr>
          <w:rFonts w:hint="eastAsia"/>
          <w:b/>
          <w:color w:val="auto"/>
          <w:sz w:val="21"/>
          <w:szCs w:val="21"/>
        </w:rPr>
        <w:t>6.6.2</w:t>
      </w:r>
      <w:r>
        <w:rPr>
          <w:b/>
          <w:color w:val="auto"/>
          <w:sz w:val="21"/>
          <w:szCs w:val="21"/>
        </w:rPr>
        <w:t xml:space="preserve"> </w:t>
      </w:r>
      <w:r>
        <w:rPr>
          <w:rFonts w:hint="eastAsia"/>
          <w:b/>
          <w:color w:val="auto"/>
          <w:sz w:val="21"/>
          <w:szCs w:val="21"/>
        </w:rPr>
        <w:t>各设计阶段主要交付物</w:t>
      </w:r>
    </w:p>
    <w:tbl>
      <w:tblPr>
        <w:tblStyle w:val="75"/>
        <w:tblW w:w="82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2219"/>
        <w:gridCol w:w="1308"/>
        <w:gridCol w:w="1328"/>
        <w:gridCol w:w="2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92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代码</w:t>
            </w:r>
          </w:p>
        </w:tc>
        <w:tc>
          <w:tcPr>
            <w:tcW w:w="2219"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交付物的类别</w:t>
            </w:r>
          </w:p>
        </w:tc>
        <w:tc>
          <w:tcPr>
            <w:tcW w:w="130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初步设计</w:t>
            </w:r>
          </w:p>
        </w:tc>
        <w:tc>
          <w:tcPr>
            <w:tcW w:w="132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施工图设计</w:t>
            </w:r>
          </w:p>
        </w:tc>
        <w:tc>
          <w:tcPr>
            <w:tcW w:w="245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92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D1</w:t>
            </w:r>
          </w:p>
        </w:tc>
        <w:tc>
          <w:tcPr>
            <w:tcW w:w="2219"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交付物清单</w:t>
            </w:r>
          </w:p>
        </w:tc>
        <w:tc>
          <w:tcPr>
            <w:tcW w:w="130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宋体" w:hAnsi="宋体" w:cs="宋体" w:eastAsiaTheme="minorEastAsia"/>
                <w:b/>
                <w:color w:val="auto"/>
                <w:kern w:val="2"/>
                <w:sz w:val="21"/>
                <w:szCs w:val="21"/>
              </w:rPr>
              <w:t>▲</w:t>
            </w:r>
          </w:p>
        </w:tc>
        <w:tc>
          <w:tcPr>
            <w:tcW w:w="132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宋体" w:hAnsi="宋体" w:cs="宋体" w:eastAsiaTheme="minorEastAsia"/>
                <w:b/>
                <w:color w:val="auto"/>
                <w:kern w:val="2"/>
                <w:sz w:val="21"/>
                <w:szCs w:val="21"/>
              </w:rPr>
              <w:t>▲</w:t>
            </w:r>
          </w:p>
        </w:tc>
        <w:tc>
          <w:tcPr>
            <w:tcW w:w="245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与D2共同交付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92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D2</w:t>
            </w:r>
          </w:p>
        </w:tc>
        <w:tc>
          <w:tcPr>
            <w:tcW w:w="2219"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模型</w:t>
            </w:r>
          </w:p>
        </w:tc>
        <w:tc>
          <w:tcPr>
            <w:tcW w:w="130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宋体" w:hAnsi="宋体" w:cs="宋体" w:eastAsiaTheme="minorEastAsia"/>
                <w:b/>
                <w:color w:val="auto"/>
                <w:kern w:val="2"/>
                <w:sz w:val="21"/>
                <w:szCs w:val="21"/>
              </w:rPr>
              <w:t>▲</w:t>
            </w:r>
          </w:p>
        </w:tc>
        <w:tc>
          <w:tcPr>
            <w:tcW w:w="132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宋体" w:hAnsi="宋体" w:cs="宋体" w:eastAsiaTheme="minorEastAsia"/>
                <w:b/>
                <w:color w:val="auto"/>
                <w:kern w:val="2"/>
                <w:sz w:val="21"/>
                <w:szCs w:val="21"/>
              </w:rPr>
              <w:t>▲</w:t>
            </w:r>
          </w:p>
        </w:tc>
        <w:tc>
          <w:tcPr>
            <w:tcW w:w="245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可独立交付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92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D3</w:t>
            </w:r>
          </w:p>
        </w:tc>
        <w:tc>
          <w:tcPr>
            <w:tcW w:w="2219"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属性信息表</w:t>
            </w:r>
          </w:p>
        </w:tc>
        <w:tc>
          <w:tcPr>
            <w:tcW w:w="130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宋体" w:hAnsi="宋体" w:cs="宋体" w:eastAsiaTheme="minorEastAsia"/>
                <w:b/>
                <w:color w:val="auto"/>
                <w:kern w:val="2"/>
                <w:sz w:val="21"/>
                <w:szCs w:val="21"/>
              </w:rPr>
              <w:t>△</w:t>
            </w:r>
          </w:p>
        </w:tc>
        <w:tc>
          <w:tcPr>
            <w:tcW w:w="132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宋体" w:hAnsi="宋体" w:cs="宋体" w:eastAsiaTheme="minorEastAsia"/>
                <w:b/>
                <w:color w:val="auto"/>
                <w:kern w:val="2"/>
                <w:sz w:val="21"/>
                <w:szCs w:val="21"/>
              </w:rPr>
              <w:t>△</w:t>
            </w:r>
          </w:p>
        </w:tc>
        <w:tc>
          <w:tcPr>
            <w:tcW w:w="245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宜与D2共同交付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92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D4</w:t>
            </w:r>
          </w:p>
        </w:tc>
        <w:tc>
          <w:tcPr>
            <w:tcW w:w="2219"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工程图纸</w:t>
            </w:r>
          </w:p>
        </w:tc>
        <w:tc>
          <w:tcPr>
            <w:tcW w:w="130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宋体" w:hAnsi="宋体" w:cs="宋体" w:eastAsiaTheme="minorEastAsia"/>
                <w:b/>
                <w:color w:val="auto"/>
                <w:kern w:val="2"/>
                <w:sz w:val="21"/>
                <w:szCs w:val="21"/>
              </w:rPr>
              <w:t>△</w:t>
            </w:r>
          </w:p>
        </w:tc>
        <w:tc>
          <w:tcPr>
            <w:tcW w:w="132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宋体" w:hAnsi="宋体" w:cs="宋体" w:eastAsiaTheme="minorEastAsia"/>
                <w:b/>
                <w:color w:val="auto"/>
                <w:kern w:val="2"/>
                <w:sz w:val="21"/>
                <w:szCs w:val="21"/>
              </w:rPr>
              <w:t>▲</w:t>
            </w:r>
          </w:p>
        </w:tc>
        <w:tc>
          <w:tcPr>
            <w:tcW w:w="245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可独立交付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92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D5</w:t>
            </w:r>
          </w:p>
        </w:tc>
        <w:tc>
          <w:tcPr>
            <w:tcW w:w="2219"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项目需求书</w:t>
            </w:r>
          </w:p>
        </w:tc>
        <w:tc>
          <w:tcPr>
            <w:tcW w:w="130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宋体" w:hAnsi="宋体" w:cs="宋体" w:eastAsiaTheme="minorEastAsia"/>
                <w:b/>
                <w:color w:val="auto"/>
                <w:kern w:val="2"/>
                <w:sz w:val="21"/>
                <w:szCs w:val="21"/>
              </w:rPr>
              <w:t>▲</w:t>
            </w:r>
          </w:p>
        </w:tc>
        <w:tc>
          <w:tcPr>
            <w:tcW w:w="132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宋体" w:hAnsi="宋体" w:cs="宋体" w:eastAsiaTheme="minorEastAsia"/>
                <w:b/>
                <w:color w:val="auto"/>
                <w:kern w:val="2"/>
                <w:sz w:val="21"/>
                <w:szCs w:val="21"/>
              </w:rPr>
              <w:t>▲</w:t>
            </w:r>
          </w:p>
        </w:tc>
        <w:tc>
          <w:tcPr>
            <w:tcW w:w="245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宜与D2共同交付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92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D6</w:t>
            </w:r>
          </w:p>
        </w:tc>
        <w:tc>
          <w:tcPr>
            <w:tcW w:w="2219"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模型执行计划</w:t>
            </w:r>
          </w:p>
        </w:tc>
        <w:tc>
          <w:tcPr>
            <w:tcW w:w="130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宋体" w:hAnsi="宋体" w:cs="宋体" w:eastAsiaTheme="minorEastAsia"/>
                <w:b/>
                <w:color w:val="auto"/>
                <w:kern w:val="2"/>
                <w:sz w:val="21"/>
                <w:szCs w:val="21"/>
              </w:rPr>
              <w:t>▲</w:t>
            </w:r>
          </w:p>
        </w:tc>
        <w:tc>
          <w:tcPr>
            <w:tcW w:w="132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宋体" w:hAnsi="宋体" w:cs="宋体" w:eastAsiaTheme="minorEastAsia"/>
                <w:b/>
                <w:color w:val="auto"/>
                <w:kern w:val="2"/>
                <w:sz w:val="21"/>
                <w:szCs w:val="21"/>
              </w:rPr>
              <w:t>▲</w:t>
            </w:r>
          </w:p>
        </w:tc>
        <w:tc>
          <w:tcPr>
            <w:tcW w:w="245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宜与D2共同交付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92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D7</w:t>
            </w:r>
          </w:p>
        </w:tc>
        <w:tc>
          <w:tcPr>
            <w:tcW w:w="2219"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关键指标表</w:t>
            </w:r>
          </w:p>
        </w:tc>
        <w:tc>
          <w:tcPr>
            <w:tcW w:w="130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宋体" w:hAnsi="宋体" w:cs="宋体" w:eastAsiaTheme="minorEastAsia"/>
                <w:b/>
                <w:color w:val="auto"/>
                <w:kern w:val="2"/>
                <w:sz w:val="21"/>
                <w:szCs w:val="21"/>
              </w:rPr>
              <w:t>▲</w:t>
            </w:r>
          </w:p>
        </w:tc>
        <w:tc>
          <w:tcPr>
            <w:tcW w:w="132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宋体" w:hAnsi="宋体" w:cs="宋体" w:eastAsiaTheme="minorEastAsia"/>
                <w:b/>
                <w:color w:val="auto"/>
                <w:kern w:val="2"/>
                <w:sz w:val="21"/>
                <w:szCs w:val="21"/>
              </w:rPr>
              <w:t>△</w:t>
            </w:r>
          </w:p>
        </w:tc>
        <w:tc>
          <w:tcPr>
            <w:tcW w:w="245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宜与D2或D4共同交付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92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D8</w:t>
            </w:r>
          </w:p>
        </w:tc>
        <w:tc>
          <w:tcPr>
            <w:tcW w:w="2219"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工程量清单</w:t>
            </w:r>
          </w:p>
        </w:tc>
        <w:tc>
          <w:tcPr>
            <w:tcW w:w="130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宋体" w:hAnsi="宋体" w:cs="宋体" w:eastAsiaTheme="minorEastAsia"/>
                <w:b/>
                <w:color w:val="auto"/>
                <w:kern w:val="2"/>
                <w:sz w:val="21"/>
                <w:szCs w:val="21"/>
              </w:rPr>
              <w:t>▲</w:t>
            </w:r>
          </w:p>
        </w:tc>
        <w:tc>
          <w:tcPr>
            <w:tcW w:w="132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宋体" w:hAnsi="宋体" w:cs="宋体" w:eastAsiaTheme="minorEastAsia"/>
                <w:b/>
                <w:color w:val="auto"/>
                <w:kern w:val="2"/>
                <w:sz w:val="21"/>
                <w:szCs w:val="21"/>
              </w:rPr>
              <w:t>▲</w:t>
            </w:r>
          </w:p>
        </w:tc>
        <w:tc>
          <w:tcPr>
            <w:tcW w:w="245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宜与D2或D4共同交付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92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D9</w:t>
            </w:r>
          </w:p>
        </w:tc>
        <w:tc>
          <w:tcPr>
            <w:tcW w:w="2219"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分析报告</w:t>
            </w:r>
          </w:p>
        </w:tc>
        <w:tc>
          <w:tcPr>
            <w:tcW w:w="130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宋体" w:hAnsi="宋体" w:cs="宋体" w:eastAsiaTheme="minorEastAsia"/>
                <w:b/>
                <w:color w:val="auto"/>
                <w:kern w:val="2"/>
                <w:sz w:val="21"/>
                <w:szCs w:val="21"/>
              </w:rPr>
              <w:t>△</w:t>
            </w:r>
          </w:p>
        </w:tc>
        <w:tc>
          <w:tcPr>
            <w:tcW w:w="132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宋体" w:hAnsi="宋体" w:cs="宋体" w:eastAsiaTheme="minorEastAsia"/>
                <w:b/>
                <w:color w:val="auto"/>
                <w:kern w:val="2"/>
                <w:sz w:val="21"/>
                <w:szCs w:val="21"/>
              </w:rPr>
              <w:t>△</w:t>
            </w:r>
          </w:p>
        </w:tc>
        <w:tc>
          <w:tcPr>
            <w:tcW w:w="245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宜与D2共同交付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92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D10</w:t>
            </w:r>
          </w:p>
        </w:tc>
        <w:tc>
          <w:tcPr>
            <w:tcW w:w="2219"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模型说明书</w:t>
            </w:r>
          </w:p>
        </w:tc>
        <w:tc>
          <w:tcPr>
            <w:tcW w:w="130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宋体" w:hAnsi="宋体" w:cs="宋体" w:eastAsiaTheme="minorEastAsia"/>
                <w:b/>
                <w:color w:val="auto"/>
                <w:kern w:val="2"/>
                <w:sz w:val="21"/>
                <w:szCs w:val="21"/>
              </w:rPr>
              <w:t>△</w:t>
            </w:r>
          </w:p>
        </w:tc>
        <w:tc>
          <w:tcPr>
            <w:tcW w:w="132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宋体" w:hAnsi="宋体" w:cs="宋体" w:eastAsiaTheme="minorEastAsia"/>
                <w:b/>
                <w:color w:val="auto"/>
                <w:kern w:val="2"/>
                <w:sz w:val="21"/>
                <w:szCs w:val="21"/>
              </w:rPr>
              <w:t>▲</w:t>
            </w:r>
          </w:p>
        </w:tc>
        <w:tc>
          <w:tcPr>
            <w:tcW w:w="245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宜与D2共同交付</w:t>
            </w:r>
          </w:p>
        </w:tc>
      </w:tr>
    </w:tbl>
    <w:p>
      <w:pPr>
        <w:ind w:firstLine="0" w:firstLineChars="0"/>
        <w:rPr>
          <w:b/>
          <w:color w:val="auto"/>
          <w:sz w:val="21"/>
          <w:szCs w:val="21"/>
        </w:rPr>
      </w:pPr>
      <w:r>
        <w:rPr>
          <w:rFonts w:hint="eastAsia" w:eastAsiaTheme="minorEastAsia"/>
          <w:color w:val="auto"/>
          <w:szCs w:val="32"/>
        </w:rPr>
        <w:t xml:space="preserve">        </w:t>
      </w:r>
      <w:r>
        <w:rPr>
          <w:rFonts w:hint="eastAsia"/>
          <w:b/>
          <w:color w:val="auto"/>
          <w:sz w:val="21"/>
          <w:szCs w:val="21"/>
        </w:rPr>
        <w:t>注：表中</w:t>
      </w:r>
      <w:r>
        <w:rPr>
          <w:rFonts w:hint="eastAsia" w:ascii="宋体" w:hAnsi="宋体" w:cs="宋体"/>
          <w:b/>
          <w:color w:val="auto"/>
          <w:sz w:val="21"/>
          <w:szCs w:val="21"/>
        </w:rPr>
        <w:t>▲</w:t>
      </w:r>
      <w:r>
        <w:rPr>
          <w:rFonts w:hint="eastAsia"/>
          <w:b/>
          <w:color w:val="auto"/>
          <w:sz w:val="21"/>
          <w:szCs w:val="21"/>
        </w:rPr>
        <w:t>表示应具备，</w:t>
      </w:r>
      <w:r>
        <w:rPr>
          <w:rFonts w:hint="eastAsia" w:ascii="宋体" w:hAnsi="宋体" w:cs="宋体"/>
          <w:b/>
          <w:color w:val="auto"/>
          <w:sz w:val="21"/>
          <w:szCs w:val="21"/>
        </w:rPr>
        <w:t>△</w:t>
      </w:r>
      <w:r>
        <w:rPr>
          <w:rFonts w:hint="eastAsia"/>
          <w:b/>
          <w:color w:val="auto"/>
          <w:sz w:val="21"/>
          <w:szCs w:val="21"/>
        </w:rPr>
        <w:t>表示宜具备。</w:t>
      </w:r>
    </w:p>
    <w:p>
      <w:pPr>
        <w:pStyle w:val="4"/>
        <w:ind w:firstLine="0" w:firstLineChars="0"/>
        <w:rPr>
          <w:color w:val="auto"/>
        </w:rPr>
      </w:pPr>
      <w:r>
        <w:rPr>
          <w:color w:val="auto"/>
        </w:rPr>
        <w:t>6.</w:t>
      </w:r>
      <w:r>
        <w:rPr>
          <w:rFonts w:hint="eastAsia"/>
          <w:color w:val="auto"/>
        </w:rPr>
        <w:t>6</w:t>
      </w:r>
      <w:r>
        <w:rPr>
          <w:color w:val="auto"/>
        </w:rPr>
        <w:t>.</w:t>
      </w:r>
      <w:r>
        <w:rPr>
          <w:rFonts w:hint="eastAsia"/>
          <w:color w:val="auto"/>
        </w:rPr>
        <w:t>3</w:t>
      </w:r>
      <w:r>
        <w:rPr>
          <w:color w:val="auto"/>
        </w:rPr>
        <w:t xml:space="preserve"> </w:t>
      </w:r>
      <w:r>
        <w:rPr>
          <w:rFonts w:hint="eastAsia"/>
          <w:color w:val="auto"/>
        </w:rPr>
        <w:t>建设单位应组织对设计交付成果进行审核，审核通过后方可进行模型成果归档。</w:t>
      </w:r>
    </w:p>
    <w:p>
      <w:pPr>
        <w:ind w:firstLine="480"/>
        <w:rPr>
          <w:color w:val="auto"/>
        </w:rPr>
        <w:sectPr>
          <w:pgSz w:w="11906" w:h="16838"/>
          <w:pgMar w:top="1440" w:right="1797" w:bottom="1440" w:left="1797" w:header="851" w:footer="992" w:gutter="0"/>
          <w:cols w:space="425" w:num="1"/>
          <w:docGrid w:type="linesAndChars" w:linePitch="326" w:charSpace="0"/>
        </w:sectPr>
      </w:pPr>
    </w:p>
    <w:p>
      <w:pPr>
        <w:pStyle w:val="2"/>
        <w:numPr>
          <w:ilvl w:val="0"/>
          <w:numId w:val="12"/>
        </w:numPr>
        <w:spacing w:before="312" w:after="312"/>
        <w:jc w:val="center"/>
        <w:rPr>
          <w:color w:val="auto"/>
        </w:rPr>
      </w:pPr>
      <w:bookmarkStart w:id="87" w:name="_Toc1655"/>
      <w:r>
        <w:rPr>
          <w:color w:val="auto"/>
        </w:rPr>
        <w:t>施工阶段</w:t>
      </w:r>
      <w:bookmarkEnd w:id="87"/>
    </w:p>
    <w:p>
      <w:pPr>
        <w:pStyle w:val="3"/>
        <w:jc w:val="center"/>
        <w:rPr>
          <w:color w:val="auto"/>
        </w:rPr>
      </w:pPr>
      <w:bookmarkStart w:id="88" w:name="_Toc21606"/>
      <w:r>
        <w:rPr>
          <w:color w:val="auto"/>
        </w:rPr>
        <w:t>7.1 一般规定</w:t>
      </w:r>
      <w:bookmarkEnd w:id="88"/>
    </w:p>
    <w:p>
      <w:pPr>
        <w:pStyle w:val="4"/>
        <w:ind w:firstLine="0" w:firstLineChars="0"/>
        <w:rPr>
          <w:color w:val="auto"/>
        </w:rPr>
      </w:pPr>
      <w:r>
        <w:rPr>
          <w:color w:val="auto"/>
        </w:rPr>
        <w:t xml:space="preserve">7.1.1 </w:t>
      </w:r>
      <w:r>
        <w:rPr>
          <w:rFonts w:hint="eastAsia"/>
          <w:color w:val="auto"/>
        </w:rPr>
        <w:t>施工阶段模型应用宜包括深化设计、施工应用、工程项目管理、施工监理应用、施工监控应用、竣工验收与交付等施工全过程，也可根据工程建设项目实际需求应用于某些环节或任务，具体数字技术应用点可参考</w:t>
      </w:r>
      <w:r>
        <w:rPr>
          <w:rFonts w:hint="eastAsia"/>
          <w:b/>
          <w:bCs/>
          <w:color w:val="auto"/>
        </w:rPr>
        <w:t>附录A</w:t>
      </w:r>
      <w:r>
        <w:rPr>
          <w:rFonts w:hint="eastAsia"/>
          <w:color w:val="auto"/>
        </w:rPr>
        <w:t>的要求执行</w:t>
      </w:r>
      <w:r>
        <w:rPr>
          <w:color w:val="auto"/>
        </w:rPr>
        <w:t>。</w:t>
      </w:r>
    </w:p>
    <w:p>
      <w:pPr>
        <w:pStyle w:val="4"/>
        <w:ind w:firstLine="0" w:firstLineChars="0"/>
        <w:rPr>
          <w:color w:val="auto"/>
        </w:rPr>
      </w:pPr>
      <w:r>
        <w:rPr>
          <w:color w:val="auto"/>
        </w:rPr>
        <w:t xml:space="preserve">7.1.2 </w:t>
      </w:r>
      <w:r>
        <w:rPr>
          <w:rFonts w:hint="eastAsia"/>
          <w:color w:val="auto"/>
        </w:rPr>
        <w:t>施工信息模型应根据模型应用目标、总体实施策划、施工应用需求等因素创建，其模型信息需求水平应满足深化设计、施工过程应用和竣工验收与交付等不同任务的要求</w:t>
      </w:r>
      <w:r>
        <w:rPr>
          <w:color w:val="auto"/>
        </w:rPr>
        <w:t>。</w:t>
      </w:r>
    </w:p>
    <w:p>
      <w:pPr>
        <w:pStyle w:val="4"/>
        <w:ind w:firstLine="0" w:firstLineChars="0"/>
        <w:rPr>
          <w:color w:val="auto"/>
        </w:rPr>
      </w:pPr>
      <w:r>
        <w:rPr>
          <w:color w:val="auto"/>
        </w:rPr>
        <w:t xml:space="preserve">7.1.3 </w:t>
      </w:r>
      <w:r>
        <w:rPr>
          <w:rFonts w:hint="eastAsia"/>
          <w:color w:val="auto"/>
        </w:rPr>
        <w:t xml:space="preserve"> 深化设计模型应在设计信息模型的基础上，结合工程建设项目工作分解结构和施工组织设计等内容进行深化和完善</w:t>
      </w:r>
      <w:r>
        <w:rPr>
          <w:color w:val="auto"/>
        </w:rPr>
        <w:t>。</w:t>
      </w:r>
    </w:p>
    <w:p>
      <w:pPr>
        <w:pStyle w:val="4"/>
        <w:ind w:firstLine="0" w:firstLineChars="0"/>
        <w:rPr>
          <w:color w:val="auto"/>
        </w:rPr>
      </w:pPr>
      <w:r>
        <w:rPr>
          <w:color w:val="auto"/>
        </w:rPr>
        <w:t xml:space="preserve">7.1.4 </w:t>
      </w:r>
      <w:r>
        <w:rPr>
          <w:rFonts w:hint="eastAsia"/>
          <w:color w:val="auto"/>
        </w:rPr>
        <w:t xml:space="preserve"> 施工过程中的设计变更应反馈给设计单位，结合设计信息模型进行变更设计，并对变更内容进行版本管理与有效性控制</w:t>
      </w:r>
      <w:r>
        <w:rPr>
          <w:color w:val="auto"/>
        </w:rPr>
        <w:t>。</w:t>
      </w:r>
    </w:p>
    <w:p>
      <w:pPr>
        <w:pStyle w:val="4"/>
        <w:ind w:firstLine="0" w:firstLineChars="0"/>
        <w:rPr>
          <w:color w:val="auto"/>
        </w:rPr>
      </w:pPr>
      <w:r>
        <w:rPr>
          <w:color w:val="auto"/>
        </w:rPr>
        <w:t xml:space="preserve">7.1.5 </w:t>
      </w:r>
      <w:r>
        <w:rPr>
          <w:rFonts w:hint="eastAsia"/>
          <w:color w:val="auto"/>
        </w:rPr>
        <w:t xml:space="preserve"> 施工信息模型宜通过物联网、大数据、A</w:t>
      </w:r>
      <w:r>
        <w:rPr>
          <w:color w:val="auto"/>
        </w:rPr>
        <w:t>I</w:t>
      </w:r>
      <w:r>
        <w:rPr>
          <w:rFonts w:hint="eastAsia"/>
          <w:color w:val="auto"/>
        </w:rPr>
        <w:t>、云计算等技术采集并分析工程建设项目现场实施数据，辅助进行项目质量、进度、安全、成本等管理</w:t>
      </w:r>
      <w:r>
        <w:rPr>
          <w:color w:val="auto"/>
        </w:rPr>
        <w:t>。</w:t>
      </w:r>
    </w:p>
    <w:p>
      <w:pPr>
        <w:pStyle w:val="4"/>
        <w:ind w:firstLine="0" w:firstLineChars="0"/>
        <w:rPr>
          <w:color w:val="auto"/>
        </w:rPr>
      </w:pPr>
      <w:r>
        <w:rPr>
          <w:color w:val="auto"/>
        </w:rPr>
        <w:t xml:space="preserve">7.1.6 </w:t>
      </w:r>
      <w:r>
        <w:rPr>
          <w:rFonts w:hint="eastAsia"/>
          <w:color w:val="auto"/>
        </w:rPr>
        <w:t xml:space="preserve"> 当竣工验收数据需上传C</w:t>
      </w:r>
      <w:r>
        <w:rPr>
          <w:color w:val="auto"/>
        </w:rPr>
        <w:t>IM平台时，</w:t>
      </w:r>
      <w:r>
        <w:rPr>
          <w:rFonts w:hint="eastAsia"/>
          <w:color w:val="auto"/>
        </w:rPr>
        <w:t>上传的</w:t>
      </w:r>
      <w:r>
        <w:rPr>
          <w:color w:val="auto"/>
        </w:rPr>
        <w:t>模型信息应满足</w:t>
      </w:r>
      <w:r>
        <w:rPr>
          <w:rFonts w:hint="eastAsia"/>
          <w:color w:val="auto"/>
        </w:rPr>
        <w:t>C</w:t>
      </w:r>
      <w:r>
        <w:rPr>
          <w:color w:val="auto"/>
        </w:rPr>
        <w:t>IM平台竣工验收管理系统的使用和解析要求。</w:t>
      </w:r>
    </w:p>
    <w:p>
      <w:pPr>
        <w:pStyle w:val="4"/>
        <w:ind w:firstLine="0" w:firstLineChars="0"/>
        <w:rPr>
          <w:color w:val="auto"/>
        </w:rPr>
      </w:pPr>
      <w:r>
        <w:rPr>
          <w:rFonts w:hint="eastAsia"/>
          <w:color w:val="auto"/>
        </w:rPr>
        <w:t>7</w:t>
      </w:r>
      <w:r>
        <w:rPr>
          <w:color w:val="auto"/>
        </w:rPr>
        <w:t>.1.</w:t>
      </w:r>
      <w:r>
        <w:rPr>
          <w:rFonts w:hint="eastAsia"/>
          <w:color w:val="auto"/>
        </w:rPr>
        <w:t>7</w:t>
      </w:r>
      <w:r>
        <w:rPr>
          <w:color w:val="auto"/>
        </w:rPr>
        <w:t xml:space="preserve">  </w:t>
      </w:r>
      <w:r>
        <w:rPr>
          <w:rFonts w:hint="eastAsia"/>
          <w:color w:val="auto"/>
        </w:rPr>
        <w:t>施工招标文件中应明确在施工阶段的数字技术应用目标与具体要求，并宜基于设计信息模型进行施工投标深化，形成施工投标模型和投标文件。</w:t>
      </w:r>
    </w:p>
    <w:p>
      <w:pPr>
        <w:pStyle w:val="4"/>
        <w:ind w:firstLine="0" w:firstLineChars="0"/>
        <w:rPr>
          <w:color w:val="auto"/>
        </w:rPr>
      </w:pPr>
      <w:r>
        <w:rPr>
          <w:rFonts w:hint="eastAsia"/>
          <w:color w:val="auto"/>
        </w:rPr>
        <w:t>7.1.8 施工单位应结合模型应用总体策划要求和合同要求等制定施工阶段的模型执行计划，统筹施工阶段施工信息模型协同与应用。</w:t>
      </w:r>
    </w:p>
    <w:p>
      <w:pPr>
        <w:ind w:firstLine="0" w:firstLineChars="0"/>
        <w:jc w:val="center"/>
        <w:rPr>
          <w:b/>
          <w:color w:val="auto"/>
          <w:sz w:val="21"/>
          <w:szCs w:val="21"/>
        </w:rPr>
      </w:pPr>
      <w:r>
        <w:rPr>
          <w:rFonts w:hint="eastAsia"/>
          <w:b/>
          <w:color w:val="auto"/>
          <w:sz w:val="21"/>
          <w:szCs w:val="21"/>
        </w:rPr>
        <w:drawing>
          <wp:inline distT="0" distB="0" distL="114300" distR="114300">
            <wp:extent cx="5082540" cy="3028950"/>
            <wp:effectExtent l="0" t="0" r="3810" b="0"/>
            <wp:docPr id="7" name="图片 7" descr="施工信息模型协同应用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施工信息模型协同应用流程"/>
                    <pic:cNvPicPr>
                      <a:picLocks noChangeAspect="1"/>
                    </pic:cNvPicPr>
                  </pic:nvPicPr>
                  <pic:blipFill>
                    <a:blip r:embed="rId19"/>
                    <a:srcRect l="4792" t="11495" r="5045" b="12517"/>
                    <a:stretch>
                      <a:fillRect/>
                    </a:stretch>
                  </pic:blipFill>
                  <pic:spPr>
                    <a:xfrm>
                      <a:off x="0" y="0"/>
                      <a:ext cx="5082540" cy="3028950"/>
                    </a:xfrm>
                    <a:prstGeom prst="rect">
                      <a:avLst/>
                    </a:prstGeom>
                  </pic:spPr>
                </pic:pic>
              </a:graphicData>
            </a:graphic>
          </wp:inline>
        </w:drawing>
      </w:r>
    </w:p>
    <w:p>
      <w:pPr>
        <w:ind w:firstLine="0" w:firstLineChars="0"/>
        <w:jc w:val="center"/>
        <w:rPr>
          <w:b/>
          <w:color w:val="auto"/>
          <w:sz w:val="21"/>
          <w:szCs w:val="21"/>
        </w:rPr>
      </w:pPr>
      <w:r>
        <w:rPr>
          <w:rFonts w:hint="eastAsia"/>
          <w:b/>
          <w:color w:val="auto"/>
          <w:sz w:val="21"/>
          <w:szCs w:val="21"/>
        </w:rPr>
        <w:t>图7.1.8</w:t>
      </w:r>
      <w:r>
        <w:rPr>
          <w:b/>
          <w:color w:val="auto"/>
          <w:sz w:val="21"/>
          <w:szCs w:val="21"/>
        </w:rPr>
        <w:t xml:space="preserve">  </w:t>
      </w:r>
      <w:r>
        <w:rPr>
          <w:rFonts w:hint="eastAsia"/>
          <w:b/>
          <w:color w:val="auto"/>
          <w:sz w:val="21"/>
          <w:szCs w:val="21"/>
        </w:rPr>
        <w:t>施工信息模型协同应用</w:t>
      </w:r>
      <w:r>
        <w:rPr>
          <w:b/>
          <w:color w:val="auto"/>
          <w:sz w:val="21"/>
          <w:szCs w:val="21"/>
        </w:rPr>
        <w:t>参考流程</w:t>
      </w:r>
    </w:p>
    <w:p>
      <w:pPr>
        <w:ind w:firstLine="0" w:firstLineChars="0"/>
        <w:jc w:val="center"/>
        <w:rPr>
          <w:b/>
          <w:color w:val="auto"/>
          <w:sz w:val="21"/>
          <w:szCs w:val="21"/>
        </w:rPr>
      </w:pPr>
    </w:p>
    <w:p>
      <w:pPr>
        <w:pStyle w:val="3"/>
        <w:jc w:val="center"/>
        <w:rPr>
          <w:color w:val="auto"/>
        </w:rPr>
      </w:pPr>
      <w:bookmarkStart w:id="89" w:name="_Toc24709"/>
      <w:r>
        <w:rPr>
          <w:color w:val="auto"/>
        </w:rPr>
        <w:t>7.2 深化设计</w:t>
      </w:r>
      <w:bookmarkEnd w:id="89"/>
    </w:p>
    <w:p>
      <w:pPr>
        <w:pStyle w:val="4"/>
        <w:ind w:firstLine="0" w:firstLineChars="0"/>
        <w:rPr>
          <w:color w:val="auto"/>
        </w:rPr>
      </w:pPr>
      <w:r>
        <w:rPr>
          <w:color w:val="auto"/>
        </w:rPr>
        <w:t xml:space="preserve">7.2.1 </w:t>
      </w:r>
      <w:r>
        <w:rPr>
          <w:rFonts w:hint="eastAsia"/>
          <w:color w:val="auto"/>
        </w:rPr>
        <w:t>深化设计应基于施工图设计信息模型展开，包括永久工程信息模型和临时工程信息模型等，部分临时工程信息模型可转化为永久工程信息模型</w:t>
      </w:r>
      <w:r>
        <w:rPr>
          <w:color w:val="auto"/>
        </w:rPr>
        <w:t>。</w:t>
      </w:r>
    </w:p>
    <w:p>
      <w:pPr>
        <w:pStyle w:val="4"/>
        <w:ind w:firstLine="0" w:firstLineChars="0"/>
        <w:rPr>
          <w:color w:val="auto"/>
        </w:rPr>
      </w:pPr>
      <w:r>
        <w:rPr>
          <w:color w:val="auto"/>
        </w:rPr>
        <w:t>7.2.2深化设计包括现浇混凝土结构深化设计、装配式混凝土结构深化设计、钢结构深化设计、机电深化设计、附属结构深化设计、其它道路工程构筑物深化设计以及临时工程结构设计等内容。</w:t>
      </w:r>
    </w:p>
    <w:p>
      <w:pPr>
        <w:pStyle w:val="4"/>
        <w:ind w:firstLine="0" w:firstLineChars="0"/>
        <w:rPr>
          <w:color w:val="auto"/>
        </w:rPr>
      </w:pPr>
      <w:r>
        <w:rPr>
          <w:color w:val="auto"/>
        </w:rPr>
        <w:t xml:space="preserve">7.2.3 </w:t>
      </w:r>
      <w:r>
        <w:rPr>
          <w:rFonts w:hint="eastAsia"/>
          <w:color w:val="auto"/>
        </w:rPr>
        <w:t>深化设计软件应具备空间协调、工程量统计、深化设计图以及报表生成等功能，并应满足相应的施工深化设计应用需求</w:t>
      </w:r>
      <w:r>
        <w:rPr>
          <w:color w:val="auto"/>
        </w:rPr>
        <w:t>。</w:t>
      </w:r>
    </w:p>
    <w:p>
      <w:pPr>
        <w:pStyle w:val="4"/>
        <w:ind w:firstLine="0" w:firstLineChars="0"/>
        <w:rPr>
          <w:color w:val="auto"/>
        </w:rPr>
      </w:pPr>
      <w:r>
        <w:rPr>
          <w:color w:val="auto"/>
        </w:rPr>
        <w:t xml:space="preserve">7.2.4 </w:t>
      </w:r>
      <w:r>
        <w:rPr>
          <w:rFonts w:hint="eastAsia"/>
          <w:color w:val="auto"/>
        </w:rPr>
        <w:t>深化设计应综合工程建设项目工作分解结构W</w:t>
      </w:r>
      <w:r>
        <w:rPr>
          <w:color w:val="auto"/>
        </w:rPr>
        <w:t>BS</w:t>
      </w:r>
      <w:r>
        <w:rPr>
          <w:rFonts w:hint="eastAsia"/>
          <w:color w:val="auto"/>
        </w:rPr>
        <w:t>、</w:t>
      </w:r>
      <w:r>
        <w:rPr>
          <w:color w:val="auto"/>
        </w:rPr>
        <w:t>施工组织设计以及</w:t>
      </w:r>
      <w:r>
        <w:rPr>
          <w:rFonts w:hint="eastAsia"/>
          <w:color w:val="auto"/>
        </w:rPr>
        <w:t>分部分项验收要求</w:t>
      </w:r>
      <w:r>
        <w:rPr>
          <w:color w:val="auto"/>
        </w:rPr>
        <w:t>等内容进行，</w:t>
      </w:r>
      <w:r>
        <w:rPr>
          <w:rFonts w:hint="eastAsia"/>
          <w:color w:val="auto"/>
        </w:rPr>
        <w:t>辅助施工应用、工程项目管理以及竣工验收等应用</w:t>
      </w:r>
      <w:r>
        <w:rPr>
          <w:color w:val="auto"/>
        </w:rPr>
        <w:t>。</w:t>
      </w:r>
    </w:p>
    <w:p>
      <w:pPr>
        <w:pStyle w:val="4"/>
        <w:ind w:firstLine="0" w:firstLineChars="0"/>
        <w:rPr>
          <w:color w:val="auto"/>
        </w:rPr>
      </w:pPr>
      <w:r>
        <w:rPr>
          <w:color w:val="auto"/>
        </w:rPr>
        <w:t xml:space="preserve">7.2.5 </w:t>
      </w:r>
      <w:r>
        <w:rPr>
          <w:rFonts w:hint="eastAsia"/>
          <w:color w:val="auto"/>
        </w:rPr>
        <w:t>深化设计时的模型信息需求水平应满足施工过程应用、控制和管理等要求，且宜浅不宜深的原则</w:t>
      </w:r>
      <w:r>
        <w:rPr>
          <w:color w:val="auto"/>
        </w:rPr>
        <w:t>。</w:t>
      </w:r>
    </w:p>
    <w:p>
      <w:pPr>
        <w:pStyle w:val="4"/>
        <w:ind w:firstLine="0" w:firstLineChars="0"/>
        <w:rPr>
          <w:color w:val="auto"/>
        </w:rPr>
      </w:pPr>
      <w:r>
        <w:rPr>
          <w:color w:val="auto"/>
        </w:rPr>
        <w:t>7.2.6</w:t>
      </w:r>
      <w:r>
        <w:rPr>
          <w:rFonts w:hint="eastAsia"/>
          <w:color w:val="auto"/>
        </w:rPr>
        <w:t>钢筋工程应根据实际需求采用不同的深化表达形式</w:t>
      </w:r>
      <w:r>
        <w:rPr>
          <w:color w:val="auto"/>
        </w:rPr>
        <w:t>。对于复杂结构或节点构造应建立完善的钢筋模型，对于标准化构件可选择性对部分构件创建钢筋模型，对未创建钢筋模型的构件应在属性中对钢筋进行表述</w:t>
      </w:r>
      <w:r>
        <w:rPr>
          <w:rFonts w:hint="eastAsia"/>
          <w:color w:val="auto"/>
        </w:rPr>
        <w:t>，不得影响钢筋工程量统计</w:t>
      </w:r>
      <w:r>
        <w:rPr>
          <w:color w:val="auto"/>
        </w:rPr>
        <w:t>。</w:t>
      </w:r>
    </w:p>
    <w:p>
      <w:pPr>
        <w:pStyle w:val="4"/>
        <w:ind w:firstLine="0" w:firstLineChars="0"/>
        <w:rPr>
          <w:color w:val="auto"/>
        </w:rPr>
      </w:pPr>
      <w:r>
        <w:rPr>
          <w:color w:val="auto"/>
        </w:rPr>
        <w:t>7.2.7</w:t>
      </w:r>
      <w:r>
        <w:rPr>
          <w:rFonts w:hint="eastAsia"/>
          <w:color w:val="auto"/>
        </w:rPr>
        <w:t>施工场地模型的深化应能反映出对施工过程模拟的主要影响</w:t>
      </w:r>
      <w:r>
        <w:rPr>
          <w:color w:val="auto"/>
        </w:rPr>
        <w:t>。</w:t>
      </w:r>
    </w:p>
    <w:p>
      <w:pPr>
        <w:pStyle w:val="3"/>
        <w:jc w:val="center"/>
        <w:rPr>
          <w:color w:val="auto"/>
        </w:rPr>
      </w:pPr>
      <w:bookmarkStart w:id="90" w:name="_Toc11347"/>
      <w:r>
        <w:rPr>
          <w:color w:val="auto"/>
        </w:rPr>
        <w:t>7.</w:t>
      </w:r>
      <w:r>
        <w:rPr>
          <w:rFonts w:hint="eastAsia"/>
          <w:color w:val="auto"/>
        </w:rPr>
        <w:t>3</w:t>
      </w:r>
      <w:r>
        <w:rPr>
          <w:color w:val="auto"/>
        </w:rPr>
        <w:t xml:space="preserve"> 施工</w:t>
      </w:r>
      <w:r>
        <w:rPr>
          <w:rFonts w:hint="eastAsia"/>
          <w:color w:val="auto"/>
        </w:rPr>
        <w:t>应用</w:t>
      </w:r>
      <w:bookmarkEnd w:id="90"/>
    </w:p>
    <w:p>
      <w:pPr>
        <w:pStyle w:val="4"/>
        <w:ind w:firstLine="0" w:firstLineChars="0"/>
        <w:rPr>
          <w:color w:val="auto"/>
        </w:rPr>
      </w:pPr>
      <w:r>
        <w:rPr>
          <w:color w:val="auto"/>
        </w:rPr>
        <w:t xml:space="preserve">7.3.1 </w:t>
      </w:r>
      <w:r>
        <w:rPr>
          <w:rFonts w:hint="eastAsia"/>
          <w:color w:val="auto"/>
        </w:rPr>
        <w:t>施工信息模型</w:t>
      </w:r>
      <w:r>
        <w:rPr>
          <w:color w:val="auto"/>
        </w:rPr>
        <w:t>应用主要包括施工组织模拟、施工工艺模拟、大件运输方案模拟等。</w:t>
      </w:r>
    </w:p>
    <w:p>
      <w:pPr>
        <w:pStyle w:val="4"/>
        <w:ind w:firstLine="0" w:firstLineChars="0"/>
        <w:rPr>
          <w:color w:val="auto"/>
        </w:rPr>
      </w:pPr>
      <w:r>
        <w:rPr>
          <w:color w:val="auto"/>
        </w:rPr>
        <w:t xml:space="preserve">7.3.2 </w:t>
      </w:r>
      <w:r>
        <w:rPr>
          <w:rFonts w:hint="eastAsia"/>
          <w:color w:val="auto"/>
        </w:rPr>
        <w:t>施工组织模拟应根据工程建设项目的单位工程、分部分项工程等实施特点与要求，</w:t>
      </w:r>
      <w:r>
        <w:rPr>
          <w:color w:val="auto"/>
        </w:rPr>
        <w:t>对</w:t>
      </w:r>
      <w:r>
        <w:rPr>
          <w:rFonts w:hint="eastAsia"/>
          <w:color w:val="auto"/>
        </w:rPr>
        <w:t>建设</w:t>
      </w:r>
      <w:r>
        <w:rPr>
          <w:color w:val="auto"/>
        </w:rPr>
        <w:t>工程实施质量、安全、进度、成本等</w:t>
      </w:r>
      <w:r>
        <w:rPr>
          <w:rFonts w:hint="eastAsia"/>
          <w:color w:val="auto"/>
        </w:rPr>
        <w:t>进行实施</w:t>
      </w:r>
      <w:r>
        <w:rPr>
          <w:color w:val="auto"/>
        </w:rPr>
        <w:t>模拟</w:t>
      </w:r>
      <w:r>
        <w:rPr>
          <w:rFonts w:hint="eastAsia"/>
          <w:color w:val="auto"/>
        </w:rPr>
        <w:t>。</w:t>
      </w:r>
    </w:p>
    <w:p>
      <w:pPr>
        <w:pStyle w:val="4"/>
        <w:ind w:firstLine="0" w:firstLineChars="0"/>
        <w:rPr>
          <w:color w:val="auto"/>
        </w:rPr>
      </w:pPr>
      <w:r>
        <w:rPr>
          <w:color w:val="auto"/>
        </w:rPr>
        <w:t xml:space="preserve">7.3.3 </w:t>
      </w:r>
      <w:r>
        <w:rPr>
          <w:rFonts w:hint="eastAsia"/>
          <w:color w:val="auto"/>
        </w:rPr>
        <w:t>资源配置模拟应根据施工进度计划、合同要求以及各施工工艺对资源的需求等要求进行，并应优化资源配置计划</w:t>
      </w:r>
      <w:r>
        <w:rPr>
          <w:color w:val="auto"/>
        </w:rPr>
        <w:t>。</w:t>
      </w:r>
    </w:p>
    <w:p>
      <w:pPr>
        <w:pStyle w:val="4"/>
        <w:ind w:firstLine="0" w:firstLineChars="0"/>
        <w:rPr>
          <w:color w:val="auto"/>
        </w:rPr>
      </w:pPr>
      <w:r>
        <w:rPr>
          <w:color w:val="auto"/>
        </w:rPr>
        <w:t xml:space="preserve">7.3.4 </w:t>
      </w:r>
      <w:r>
        <w:rPr>
          <w:rFonts w:hint="eastAsia"/>
          <w:color w:val="auto"/>
        </w:rPr>
        <w:t>施工单位应根据施工组织模拟应用，结合技术可行性及经济性等因素，对施工组织方案进行评估与优化调整，并形成最终的施工组织方案</w:t>
      </w:r>
      <w:r>
        <w:rPr>
          <w:color w:val="auto"/>
        </w:rPr>
        <w:t>。</w:t>
      </w:r>
    </w:p>
    <w:p>
      <w:pPr>
        <w:pStyle w:val="4"/>
        <w:ind w:firstLine="0" w:firstLineChars="0"/>
        <w:rPr>
          <w:color w:val="auto"/>
        </w:rPr>
      </w:pPr>
      <w:r>
        <w:rPr>
          <w:color w:val="auto"/>
        </w:rPr>
        <w:t xml:space="preserve">7.3.5 </w:t>
      </w:r>
      <w:r>
        <w:rPr>
          <w:rFonts w:hint="eastAsia"/>
          <w:color w:val="auto"/>
        </w:rPr>
        <w:t>施工组织模拟应满足项目质量、总体进度、建设成本及实施安全等管理需求，并将施工进度里程碑与实际实施进度进行关联</w:t>
      </w:r>
      <w:r>
        <w:rPr>
          <w:color w:val="auto"/>
        </w:rPr>
        <w:t>。</w:t>
      </w:r>
    </w:p>
    <w:p>
      <w:pPr>
        <w:pStyle w:val="4"/>
        <w:ind w:firstLine="0" w:firstLineChars="0"/>
        <w:rPr>
          <w:color w:val="auto"/>
        </w:rPr>
      </w:pPr>
      <w:r>
        <w:rPr>
          <w:color w:val="auto"/>
        </w:rPr>
        <w:t xml:space="preserve">7.3.6 </w:t>
      </w:r>
      <w:r>
        <w:rPr>
          <w:rFonts w:hint="eastAsia"/>
          <w:color w:val="auto"/>
        </w:rPr>
        <w:t>施工工艺模拟主要包括专项工艺、土方工程、大型设备及构件的运输及安装、支架工程、模板工程、大体积混凝土施工以及其它工艺工法等</w:t>
      </w:r>
      <w:r>
        <w:rPr>
          <w:color w:val="auto"/>
        </w:rPr>
        <w:t>。</w:t>
      </w:r>
    </w:p>
    <w:p>
      <w:pPr>
        <w:pStyle w:val="4"/>
        <w:ind w:firstLine="0" w:firstLineChars="0"/>
        <w:rPr>
          <w:color w:val="auto"/>
        </w:rPr>
      </w:pPr>
      <w:r>
        <w:rPr>
          <w:color w:val="auto"/>
        </w:rPr>
        <w:t>7.3.7 复杂节点的</w:t>
      </w:r>
      <w:r>
        <w:rPr>
          <w:rFonts w:hint="eastAsia"/>
          <w:color w:val="auto"/>
        </w:rPr>
        <w:t>施工工艺模拟应满足节点各构件的尺寸、连接关系、空间需求以及节点施工顺序优化等</w:t>
      </w:r>
      <w:r>
        <w:rPr>
          <w:color w:val="auto"/>
        </w:rPr>
        <w:t>。</w:t>
      </w:r>
    </w:p>
    <w:p>
      <w:pPr>
        <w:pStyle w:val="4"/>
        <w:ind w:firstLine="0" w:firstLineChars="0"/>
        <w:rPr>
          <w:color w:val="auto"/>
        </w:rPr>
      </w:pPr>
      <w:r>
        <w:rPr>
          <w:color w:val="auto"/>
        </w:rPr>
        <w:t xml:space="preserve">7.3.8 </w:t>
      </w:r>
      <w:r>
        <w:rPr>
          <w:rFonts w:hint="eastAsia"/>
          <w:color w:val="auto"/>
        </w:rPr>
        <w:t>大件</w:t>
      </w:r>
      <w:r>
        <w:rPr>
          <w:color w:val="auto"/>
        </w:rPr>
        <w:t>运输</w:t>
      </w:r>
      <w:r>
        <w:rPr>
          <w:rFonts w:hint="eastAsia"/>
          <w:color w:val="auto"/>
        </w:rPr>
        <w:t>模拟应检查大型施工设备及构件的运输可行性，优化运输路线，并对关键制约运输的节点提出可行的处理措施</w:t>
      </w:r>
      <w:r>
        <w:rPr>
          <w:color w:val="auto"/>
        </w:rPr>
        <w:t>。</w:t>
      </w:r>
    </w:p>
    <w:p>
      <w:pPr>
        <w:pStyle w:val="4"/>
        <w:ind w:firstLine="0" w:firstLineChars="0"/>
        <w:rPr>
          <w:color w:val="auto"/>
        </w:rPr>
      </w:pPr>
      <w:r>
        <w:rPr>
          <w:color w:val="auto"/>
        </w:rPr>
        <w:t>7.3.9</w:t>
      </w:r>
      <w:r>
        <w:rPr>
          <w:rFonts w:hint="eastAsia"/>
          <w:color w:val="auto"/>
        </w:rPr>
        <w:t>施工应用模拟应形成模拟分析报告文件以及相应的可视化资料等指导文件，并宜包括相应的实施建议和注意事项等内容</w:t>
      </w:r>
      <w:r>
        <w:rPr>
          <w:color w:val="auto"/>
        </w:rPr>
        <w:t>。</w:t>
      </w:r>
    </w:p>
    <w:p>
      <w:pPr>
        <w:pStyle w:val="3"/>
        <w:jc w:val="center"/>
        <w:rPr>
          <w:color w:val="auto"/>
        </w:rPr>
      </w:pPr>
      <w:bookmarkStart w:id="91" w:name="_Toc17043"/>
      <w:r>
        <w:rPr>
          <w:color w:val="auto"/>
        </w:rPr>
        <w:t xml:space="preserve">7.4 </w:t>
      </w:r>
      <w:r>
        <w:rPr>
          <w:rFonts w:hint="eastAsia"/>
          <w:color w:val="auto"/>
        </w:rPr>
        <w:t>工程建设项目</w:t>
      </w:r>
      <w:r>
        <w:rPr>
          <w:color w:val="auto"/>
        </w:rPr>
        <w:t>管理</w:t>
      </w:r>
      <w:bookmarkEnd w:id="91"/>
    </w:p>
    <w:p>
      <w:pPr>
        <w:pStyle w:val="4"/>
        <w:ind w:firstLine="0" w:firstLineChars="0"/>
        <w:rPr>
          <w:color w:val="auto"/>
        </w:rPr>
      </w:pPr>
      <w:r>
        <w:rPr>
          <w:color w:val="auto"/>
        </w:rPr>
        <w:t xml:space="preserve">7.4.1 </w:t>
      </w:r>
      <w:r>
        <w:rPr>
          <w:rFonts w:hint="eastAsia"/>
          <w:color w:val="auto"/>
        </w:rPr>
        <w:t>工程建设项目</w:t>
      </w:r>
      <w:r>
        <w:rPr>
          <w:color w:val="auto"/>
        </w:rPr>
        <w:t>管理包括</w:t>
      </w:r>
      <w:r>
        <w:rPr>
          <w:rFonts w:hint="eastAsia"/>
          <w:color w:val="auto"/>
        </w:rPr>
        <w:t>现场资源</w:t>
      </w:r>
      <w:r>
        <w:rPr>
          <w:color w:val="auto"/>
        </w:rPr>
        <w:t>管理、预制加工管理、进度管理、成本管理、质量管理、安全管理等，宜涵盖</w:t>
      </w:r>
      <w:r>
        <w:rPr>
          <w:rFonts w:hint="eastAsia"/>
          <w:color w:val="auto"/>
        </w:rPr>
        <w:t>城市道路工程</w:t>
      </w:r>
      <w:r>
        <w:rPr>
          <w:color w:val="auto"/>
        </w:rPr>
        <w:t>项目建设实施的全过程。</w:t>
      </w:r>
    </w:p>
    <w:p>
      <w:pPr>
        <w:pStyle w:val="4"/>
        <w:ind w:firstLine="0" w:firstLineChars="0"/>
        <w:rPr>
          <w:color w:val="auto"/>
        </w:rPr>
      </w:pPr>
      <w:r>
        <w:rPr>
          <w:color w:val="auto"/>
        </w:rPr>
        <w:t>7.4.2</w:t>
      </w:r>
      <w:r>
        <w:rPr>
          <w:rFonts w:hint="eastAsia"/>
          <w:color w:val="auto"/>
        </w:rPr>
        <w:t>工程</w:t>
      </w:r>
      <w:r>
        <w:rPr>
          <w:color w:val="auto"/>
        </w:rPr>
        <w:t>项目管理方</w:t>
      </w:r>
      <w:r>
        <w:rPr>
          <w:rFonts w:hint="eastAsia"/>
          <w:color w:val="auto"/>
        </w:rPr>
        <w:t>宜建立工程建设项目</w:t>
      </w:r>
      <w:r>
        <w:rPr>
          <w:color w:val="auto"/>
        </w:rPr>
        <w:t>管理</w:t>
      </w:r>
      <w:r>
        <w:rPr>
          <w:rFonts w:hint="eastAsia"/>
          <w:color w:val="auto"/>
        </w:rPr>
        <w:t>平台，并制定</w:t>
      </w:r>
      <w:r>
        <w:rPr>
          <w:color w:val="auto"/>
        </w:rPr>
        <w:t>模型协同应用机制，明确</w:t>
      </w:r>
      <w:r>
        <w:rPr>
          <w:rFonts w:hint="eastAsia"/>
          <w:color w:val="auto"/>
        </w:rPr>
        <w:t>工程建设项目</w:t>
      </w:r>
      <w:r>
        <w:rPr>
          <w:color w:val="auto"/>
        </w:rPr>
        <w:t>各参与方的人员岗位职责与权限、工作内容、进度计划、技术要求等。</w:t>
      </w:r>
    </w:p>
    <w:p>
      <w:pPr>
        <w:pStyle w:val="4"/>
        <w:ind w:firstLine="0" w:firstLineChars="0"/>
        <w:rPr>
          <w:color w:val="auto"/>
        </w:rPr>
      </w:pPr>
      <w:r>
        <w:rPr>
          <w:color w:val="auto"/>
        </w:rPr>
        <w:t xml:space="preserve">7.4.3 </w:t>
      </w:r>
      <w:r>
        <w:rPr>
          <w:rFonts w:hint="eastAsia"/>
          <w:color w:val="auto"/>
        </w:rPr>
        <w:t>工程建设项目现场</w:t>
      </w:r>
      <w:r>
        <w:rPr>
          <w:color w:val="auto"/>
        </w:rPr>
        <w:t>资源</w:t>
      </w:r>
      <w:r>
        <w:rPr>
          <w:rFonts w:hint="eastAsia"/>
          <w:color w:val="auto"/>
        </w:rPr>
        <w:t>信息</w:t>
      </w:r>
      <w:r>
        <w:rPr>
          <w:color w:val="auto"/>
        </w:rPr>
        <w:t>管理主要包括人员管理、物料管理、机械设备管理、征地拆迁管理等，并宜与现场实际资源建立关联。</w:t>
      </w:r>
    </w:p>
    <w:p>
      <w:pPr>
        <w:pStyle w:val="4"/>
        <w:ind w:firstLine="0" w:firstLineChars="0"/>
        <w:rPr>
          <w:color w:val="auto"/>
        </w:rPr>
      </w:pPr>
      <w:r>
        <w:rPr>
          <w:color w:val="auto"/>
        </w:rPr>
        <w:t xml:space="preserve">7.4.4 </w:t>
      </w:r>
      <w:r>
        <w:rPr>
          <w:rFonts w:hint="eastAsia"/>
          <w:color w:val="auto"/>
        </w:rPr>
        <w:t>预制加工管理宜基于工程建设项目管理平台，也可单独建立预制构件加工管理平台，管理内容包括预制加工厂、混凝土预制构件生产、钢结构构件加工以及钢筋部品加工等</w:t>
      </w:r>
      <w:r>
        <w:rPr>
          <w:color w:val="auto"/>
        </w:rPr>
        <w:t>。</w:t>
      </w:r>
    </w:p>
    <w:p>
      <w:pPr>
        <w:pStyle w:val="4"/>
        <w:ind w:firstLine="0" w:firstLineChars="0"/>
        <w:rPr>
          <w:color w:val="auto"/>
        </w:rPr>
      </w:pPr>
      <w:r>
        <w:rPr>
          <w:color w:val="auto"/>
        </w:rPr>
        <w:t>7.4.5</w:t>
      </w:r>
      <w:r>
        <w:rPr>
          <w:rFonts w:hint="eastAsia"/>
          <w:color w:val="auto"/>
        </w:rPr>
        <w:t xml:space="preserve"> 施工单位应</w:t>
      </w:r>
      <w:r>
        <w:rPr>
          <w:color w:val="auto"/>
        </w:rPr>
        <w:t>根据</w:t>
      </w:r>
      <w:r>
        <w:rPr>
          <w:rFonts w:hint="eastAsia"/>
          <w:color w:val="auto"/>
        </w:rPr>
        <w:t>工程建设项目</w:t>
      </w:r>
      <w:r>
        <w:rPr>
          <w:color w:val="auto"/>
        </w:rPr>
        <w:t>特点和</w:t>
      </w:r>
      <w:r>
        <w:rPr>
          <w:rFonts w:hint="eastAsia"/>
          <w:color w:val="auto"/>
        </w:rPr>
        <w:t>合同工期要求</w:t>
      </w:r>
      <w:r>
        <w:rPr>
          <w:color w:val="auto"/>
        </w:rPr>
        <w:t>等编制</w:t>
      </w:r>
      <w:r>
        <w:rPr>
          <w:rFonts w:hint="eastAsia"/>
          <w:color w:val="auto"/>
        </w:rPr>
        <w:t>城市道路工程项目</w:t>
      </w:r>
      <w:r>
        <w:rPr>
          <w:color w:val="auto"/>
        </w:rPr>
        <w:t>施工进度计划，并结合施工组织设计及施工工艺要求等形成施工进度管理模型。</w:t>
      </w:r>
    </w:p>
    <w:p>
      <w:pPr>
        <w:pStyle w:val="4"/>
        <w:ind w:firstLine="0" w:firstLineChars="0"/>
        <w:rPr>
          <w:color w:val="auto"/>
        </w:rPr>
      </w:pPr>
      <w:r>
        <w:rPr>
          <w:color w:val="auto"/>
        </w:rPr>
        <w:t>7.4.6</w:t>
      </w:r>
      <w:r>
        <w:rPr>
          <w:rFonts w:hint="eastAsia"/>
          <w:color w:val="auto"/>
        </w:rPr>
        <w:t xml:space="preserve"> 工程建设项目W</w:t>
      </w:r>
      <w:r>
        <w:rPr>
          <w:color w:val="auto"/>
        </w:rPr>
        <w:t>BS应根据</w:t>
      </w:r>
      <w:r>
        <w:rPr>
          <w:rFonts w:hint="eastAsia"/>
          <w:color w:val="auto"/>
        </w:rPr>
        <w:t>项目</w:t>
      </w:r>
      <w:r>
        <w:rPr>
          <w:color w:val="auto"/>
        </w:rPr>
        <w:t>的整体工程、单位工程、分部分项工程、施工标段、施工工序等因素综合分解，并应与模型进行关联。</w:t>
      </w:r>
    </w:p>
    <w:p>
      <w:pPr>
        <w:pStyle w:val="4"/>
        <w:ind w:firstLine="0" w:firstLineChars="0"/>
        <w:rPr>
          <w:color w:val="auto"/>
        </w:rPr>
      </w:pPr>
      <w:r>
        <w:rPr>
          <w:color w:val="auto"/>
        </w:rPr>
        <w:t>7.4.7</w:t>
      </w:r>
      <w:r>
        <w:rPr>
          <w:rFonts w:hint="eastAsia"/>
          <w:color w:val="auto"/>
        </w:rPr>
        <w:t xml:space="preserve"> 工程建设项目进度管理系统应具备实际工程进度与计划进度的跟踪对比分析、进度预警、进度偏差分析、进度计划调整等功能</w:t>
      </w:r>
      <w:r>
        <w:rPr>
          <w:color w:val="auto"/>
        </w:rPr>
        <w:t>。</w:t>
      </w:r>
    </w:p>
    <w:p>
      <w:pPr>
        <w:pStyle w:val="4"/>
        <w:ind w:firstLine="0" w:firstLineChars="0"/>
        <w:rPr>
          <w:color w:val="auto"/>
        </w:rPr>
      </w:pPr>
      <w:r>
        <w:rPr>
          <w:color w:val="auto"/>
        </w:rPr>
        <w:t>7.4.8项目总包或施工单位</w:t>
      </w:r>
      <w:r>
        <w:rPr>
          <w:rFonts w:hint="eastAsia"/>
          <w:color w:val="auto"/>
        </w:rPr>
        <w:t>应依据施工图预算以及项目特点和成本控制需求，编制不同层次、不同周期以及不同项目参与方的成本管理计划</w:t>
      </w:r>
      <w:r>
        <w:rPr>
          <w:color w:val="auto"/>
        </w:rPr>
        <w:t>。</w:t>
      </w:r>
    </w:p>
    <w:p>
      <w:pPr>
        <w:pStyle w:val="4"/>
        <w:ind w:firstLine="0" w:firstLineChars="0"/>
        <w:rPr>
          <w:color w:val="auto"/>
        </w:rPr>
      </w:pPr>
      <w:r>
        <w:rPr>
          <w:color w:val="auto"/>
        </w:rPr>
        <w:t>7.4.9</w:t>
      </w:r>
      <w:r>
        <w:rPr>
          <w:rFonts w:hint="eastAsia"/>
          <w:color w:val="auto"/>
        </w:rPr>
        <w:t>工程建设项目成本信息管理应用中，应对实际成本的原始数据进行收集、整理、统计及分析，并将实际成本信息与成本管理模型关联</w:t>
      </w:r>
      <w:r>
        <w:rPr>
          <w:color w:val="auto"/>
        </w:rPr>
        <w:t>。</w:t>
      </w:r>
    </w:p>
    <w:p>
      <w:pPr>
        <w:pStyle w:val="4"/>
        <w:ind w:firstLine="0" w:firstLineChars="0"/>
        <w:rPr>
          <w:color w:val="auto"/>
        </w:rPr>
      </w:pPr>
      <w:r>
        <w:rPr>
          <w:color w:val="auto"/>
        </w:rPr>
        <w:t>7.4.10项目总包或施工单位</w:t>
      </w:r>
      <w:r>
        <w:rPr>
          <w:rFonts w:hint="eastAsia"/>
          <w:color w:val="auto"/>
        </w:rPr>
        <w:t>宜基于施工图设计信息模型创建施工图预算模型，基于清单规范和消耗量定额确定工程量清单项目，输出招标清单项目、招标控制价或投标清单项目及投标报价单</w:t>
      </w:r>
      <w:r>
        <w:rPr>
          <w:color w:val="auto"/>
        </w:rPr>
        <w:t>。</w:t>
      </w:r>
    </w:p>
    <w:p>
      <w:pPr>
        <w:pStyle w:val="4"/>
        <w:ind w:firstLine="0" w:firstLineChars="0"/>
        <w:rPr>
          <w:color w:val="auto"/>
        </w:rPr>
      </w:pPr>
      <w:r>
        <w:rPr>
          <w:color w:val="auto"/>
        </w:rPr>
        <w:t>7.4.11</w:t>
      </w:r>
      <w:r>
        <w:rPr>
          <w:rFonts w:hint="eastAsia"/>
          <w:color w:val="auto"/>
        </w:rPr>
        <w:t>工程建设项目成本管理包括成本管理计划编制、进度信息集成、合同预算成本计算、三算对比、成本核算、成本分析等</w:t>
      </w:r>
      <w:r>
        <w:rPr>
          <w:color w:val="auto"/>
        </w:rPr>
        <w:t>。</w:t>
      </w:r>
    </w:p>
    <w:p>
      <w:pPr>
        <w:pStyle w:val="4"/>
        <w:ind w:firstLine="0" w:firstLineChars="0"/>
        <w:rPr>
          <w:color w:val="auto"/>
        </w:rPr>
      </w:pPr>
      <w:r>
        <w:rPr>
          <w:color w:val="auto"/>
        </w:rPr>
        <w:t>7.4.12项目总包或</w:t>
      </w:r>
      <w:r>
        <w:rPr>
          <w:rFonts w:hint="eastAsia"/>
          <w:color w:val="auto"/>
        </w:rPr>
        <w:t>预制</w:t>
      </w:r>
      <w:r>
        <w:rPr>
          <w:color w:val="auto"/>
        </w:rPr>
        <w:t>加工管理单位</w:t>
      </w:r>
      <w:r>
        <w:rPr>
          <w:rFonts w:hint="eastAsia"/>
          <w:color w:val="auto"/>
        </w:rPr>
        <w:t>应基于预制加工模型，以及清单规范和消耗量定额创建成本管理模型数据，通过计算合同预算成本和集成进度信息，定期进行三算对比、纠偏、成本核算和成本分析工作</w:t>
      </w:r>
      <w:r>
        <w:rPr>
          <w:color w:val="auto"/>
        </w:rPr>
        <w:t>。</w:t>
      </w:r>
    </w:p>
    <w:p>
      <w:pPr>
        <w:pStyle w:val="4"/>
        <w:ind w:firstLine="0" w:firstLineChars="0"/>
        <w:rPr>
          <w:color w:val="auto"/>
        </w:rPr>
      </w:pPr>
      <w:r>
        <w:rPr>
          <w:color w:val="auto"/>
        </w:rPr>
        <w:t>7.4.13项目总包或施工单位</w:t>
      </w:r>
      <w:r>
        <w:rPr>
          <w:rFonts w:hint="eastAsia"/>
          <w:color w:val="auto"/>
        </w:rPr>
        <w:t>应根据工程建设项目特点及质量与安全管理需求，编制不同范围、不同时间段的质量管理和安全管理计划，并应根据城市道路工程项目施工现场的实际情况和工作计划，对质量控制点和危险源进行动态管理</w:t>
      </w:r>
      <w:r>
        <w:rPr>
          <w:color w:val="auto"/>
        </w:rPr>
        <w:t>。</w:t>
      </w:r>
    </w:p>
    <w:p>
      <w:pPr>
        <w:pStyle w:val="4"/>
        <w:ind w:firstLine="0" w:firstLineChars="0"/>
        <w:rPr>
          <w:color w:val="auto"/>
        </w:rPr>
      </w:pPr>
      <w:r>
        <w:rPr>
          <w:color w:val="auto"/>
        </w:rPr>
        <w:t>7.4.14</w:t>
      </w:r>
      <w:r>
        <w:rPr>
          <w:rFonts w:hint="eastAsia"/>
          <w:color w:val="auto"/>
        </w:rPr>
        <w:t>工程建设项目施工质量信息管理包括质量验收计划确定、质量技术交底、质量验收、质量问题分析及处理等</w:t>
      </w:r>
      <w:r>
        <w:rPr>
          <w:color w:val="auto"/>
        </w:rPr>
        <w:t>。</w:t>
      </w:r>
    </w:p>
    <w:p>
      <w:pPr>
        <w:pStyle w:val="4"/>
        <w:ind w:firstLine="0" w:firstLineChars="0"/>
        <w:rPr>
          <w:color w:val="auto"/>
        </w:rPr>
      </w:pPr>
      <w:r>
        <w:rPr>
          <w:color w:val="auto"/>
        </w:rPr>
        <w:t>7.4.15</w:t>
      </w:r>
      <w:r>
        <w:rPr>
          <w:rFonts w:hint="eastAsia"/>
          <w:color w:val="auto"/>
        </w:rPr>
        <w:t>工程建设项目施工安全信息管理包括技术措施制定、实施方案策划、安全技术交底与安全教育、实施过程监控及动态管理、安全隐患分析及事故处理等</w:t>
      </w:r>
      <w:r>
        <w:rPr>
          <w:color w:val="auto"/>
        </w:rPr>
        <w:t>。</w:t>
      </w:r>
    </w:p>
    <w:p>
      <w:pPr>
        <w:pStyle w:val="4"/>
        <w:ind w:firstLine="0" w:firstLineChars="0"/>
        <w:rPr>
          <w:color w:val="auto"/>
        </w:rPr>
      </w:pPr>
      <w:r>
        <w:rPr>
          <w:color w:val="auto"/>
        </w:rPr>
        <w:t>7.4.16项目总包或施工单位</w:t>
      </w:r>
      <w:r>
        <w:rPr>
          <w:rFonts w:hint="eastAsia"/>
          <w:color w:val="auto"/>
        </w:rPr>
        <w:t>宜基于深化设计模型创建质量及安全管理模型数据</w:t>
      </w:r>
      <w:r>
        <w:rPr>
          <w:color w:val="auto"/>
        </w:rPr>
        <w:t>。</w:t>
      </w:r>
    </w:p>
    <w:p>
      <w:pPr>
        <w:pStyle w:val="4"/>
        <w:ind w:firstLine="0" w:firstLineChars="0"/>
        <w:rPr>
          <w:color w:val="auto"/>
        </w:rPr>
      </w:pPr>
      <w:r>
        <w:rPr>
          <w:color w:val="auto"/>
        </w:rPr>
        <w:t>7.4.17项目总包或施工单位</w:t>
      </w:r>
      <w:r>
        <w:rPr>
          <w:rFonts w:hint="eastAsia"/>
          <w:color w:val="auto"/>
        </w:rPr>
        <w:t>宜基于质量管理模型数据，包括对构件及构筑物等的测量数据、试验数据、检测数据、工序检查数据、检验数据、监测数据等质量控制信息进行全过程追踪、反馈、汇总，分析质量问题并制定相应的问题处理及质量改进措施</w:t>
      </w:r>
      <w:r>
        <w:rPr>
          <w:color w:val="auto"/>
        </w:rPr>
        <w:t>。</w:t>
      </w:r>
    </w:p>
    <w:p>
      <w:pPr>
        <w:pStyle w:val="4"/>
        <w:ind w:firstLine="0" w:firstLineChars="0"/>
        <w:rPr>
          <w:color w:val="auto"/>
        </w:rPr>
      </w:pPr>
      <w:r>
        <w:rPr>
          <w:color w:val="auto"/>
        </w:rPr>
        <w:t>7.4.18项目总包或施工单位</w:t>
      </w:r>
      <w:r>
        <w:rPr>
          <w:rFonts w:hint="eastAsia"/>
          <w:color w:val="auto"/>
        </w:rPr>
        <w:t>宜基于质量管理模型数据开展工程报验、工序检查、检验批验收、分部分项工程验收、单位工程验收以及项目验收等工作</w:t>
      </w:r>
      <w:r>
        <w:rPr>
          <w:color w:val="auto"/>
        </w:rPr>
        <w:t>。</w:t>
      </w:r>
    </w:p>
    <w:p>
      <w:pPr>
        <w:pStyle w:val="4"/>
        <w:ind w:firstLine="0" w:firstLineChars="0"/>
        <w:rPr>
          <w:color w:val="auto"/>
        </w:rPr>
      </w:pPr>
      <w:r>
        <w:rPr>
          <w:color w:val="auto"/>
        </w:rPr>
        <w:t>7.4.19项目总包或施工单位</w:t>
      </w:r>
      <w:r>
        <w:rPr>
          <w:rFonts w:hint="eastAsia"/>
          <w:color w:val="auto"/>
        </w:rPr>
        <w:t>宜基于安全管理模型数据开展日常安全检查、危险源管理和安全事故处理的全过程追踪</w:t>
      </w:r>
      <w:r>
        <w:rPr>
          <w:color w:val="auto"/>
        </w:rPr>
        <w:t>。</w:t>
      </w:r>
    </w:p>
    <w:p>
      <w:pPr>
        <w:pStyle w:val="3"/>
        <w:jc w:val="center"/>
        <w:rPr>
          <w:color w:val="auto"/>
        </w:rPr>
      </w:pPr>
      <w:bookmarkStart w:id="92" w:name="_Toc29766"/>
      <w:r>
        <w:rPr>
          <w:color w:val="auto"/>
        </w:rPr>
        <w:t xml:space="preserve">7.5 </w:t>
      </w:r>
      <w:r>
        <w:rPr>
          <w:rFonts w:hint="eastAsia"/>
          <w:color w:val="auto"/>
        </w:rPr>
        <w:t>施工监理</w:t>
      </w:r>
      <w:bookmarkEnd w:id="92"/>
    </w:p>
    <w:p>
      <w:pPr>
        <w:pStyle w:val="4"/>
        <w:ind w:firstLine="0" w:firstLineChars="0"/>
        <w:rPr>
          <w:color w:val="auto"/>
        </w:rPr>
      </w:pPr>
      <w:r>
        <w:rPr>
          <w:color w:val="auto"/>
        </w:rPr>
        <w:t>7.5.1 施工监理</w:t>
      </w:r>
      <w:r>
        <w:rPr>
          <w:rFonts w:hint="eastAsia"/>
          <w:color w:val="auto"/>
        </w:rPr>
        <w:t>方</w:t>
      </w:r>
      <w:r>
        <w:rPr>
          <w:color w:val="auto"/>
        </w:rPr>
        <w:t>模型应用主要包括监理控制及监理管理等工作。</w:t>
      </w:r>
    </w:p>
    <w:p>
      <w:pPr>
        <w:pStyle w:val="4"/>
        <w:ind w:firstLine="0" w:firstLineChars="0"/>
        <w:rPr>
          <w:color w:val="auto"/>
        </w:rPr>
      </w:pPr>
      <w:r>
        <w:rPr>
          <w:color w:val="auto"/>
        </w:rPr>
        <w:t>7.5.2 监理宜依据模型进行会审</w:t>
      </w:r>
      <w:r>
        <w:rPr>
          <w:rFonts w:hint="eastAsia"/>
          <w:color w:val="auto"/>
        </w:rPr>
        <w:t>和</w:t>
      </w:r>
      <w:r>
        <w:rPr>
          <w:color w:val="auto"/>
        </w:rPr>
        <w:t>基于模型</w:t>
      </w:r>
      <w:r>
        <w:rPr>
          <w:rFonts w:hint="eastAsia"/>
          <w:color w:val="auto"/>
        </w:rPr>
        <w:t>的</w:t>
      </w:r>
      <w:r>
        <w:rPr>
          <w:color w:val="auto"/>
        </w:rPr>
        <w:t>设计交底，并将模型会审记录和设计交底记录与</w:t>
      </w:r>
      <w:r>
        <w:rPr>
          <w:rFonts w:hint="eastAsia"/>
          <w:color w:val="auto"/>
        </w:rPr>
        <w:t>相关</w:t>
      </w:r>
      <w:r>
        <w:rPr>
          <w:color w:val="auto"/>
        </w:rPr>
        <w:t>模型进行关联。</w:t>
      </w:r>
    </w:p>
    <w:p>
      <w:pPr>
        <w:pStyle w:val="4"/>
        <w:ind w:firstLine="0" w:firstLineChars="0"/>
        <w:rPr>
          <w:color w:val="auto"/>
        </w:rPr>
      </w:pPr>
      <w:r>
        <w:rPr>
          <w:color w:val="auto"/>
        </w:rPr>
        <w:t>7.5.3监理控制过程</w:t>
      </w:r>
      <w:r>
        <w:rPr>
          <w:rFonts w:hint="eastAsia"/>
          <w:color w:val="auto"/>
        </w:rPr>
        <w:t>的</w:t>
      </w:r>
      <w:r>
        <w:rPr>
          <w:color w:val="auto"/>
        </w:rPr>
        <w:t>模型应用宜</w:t>
      </w:r>
      <w:r>
        <w:rPr>
          <w:rFonts w:hint="eastAsia"/>
          <w:color w:val="auto"/>
        </w:rPr>
        <w:t>在</w:t>
      </w:r>
      <w:r>
        <w:rPr>
          <w:color w:val="auto"/>
        </w:rPr>
        <w:t>施工过程管理模型基础上，关联模型会审、设计交底信息，以及施工质量、安全、环保、费用、进度和工程变更等监理控制</w:t>
      </w:r>
      <w:r>
        <w:rPr>
          <w:rFonts w:hint="eastAsia"/>
          <w:color w:val="auto"/>
        </w:rPr>
        <w:t>过程的</w:t>
      </w:r>
      <w:r>
        <w:rPr>
          <w:color w:val="auto"/>
        </w:rPr>
        <w:t>记录信息，</w:t>
      </w:r>
      <w:r>
        <w:rPr>
          <w:rFonts w:hint="eastAsia"/>
          <w:color w:val="auto"/>
        </w:rPr>
        <w:t>并</w:t>
      </w:r>
      <w:r>
        <w:rPr>
          <w:color w:val="auto"/>
        </w:rPr>
        <w:t>将竣工验收监理记录信息关联到竣工验收模型。</w:t>
      </w:r>
    </w:p>
    <w:p>
      <w:pPr>
        <w:pStyle w:val="4"/>
        <w:ind w:firstLine="0" w:firstLineChars="0"/>
        <w:rPr>
          <w:color w:val="auto"/>
        </w:rPr>
      </w:pPr>
      <w:r>
        <w:rPr>
          <w:color w:val="auto"/>
        </w:rPr>
        <w:t>7.5.4监理</w:t>
      </w:r>
      <w:r>
        <w:rPr>
          <w:rFonts w:hint="eastAsia"/>
          <w:color w:val="auto"/>
        </w:rPr>
        <w:t>控制</w:t>
      </w:r>
      <w:r>
        <w:rPr>
          <w:color w:val="auto"/>
        </w:rPr>
        <w:t>模型应用</w:t>
      </w:r>
      <w:r>
        <w:rPr>
          <w:rFonts w:hint="eastAsia"/>
          <w:color w:val="auto"/>
        </w:rPr>
        <w:t>交付</w:t>
      </w:r>
      <w:r>
        <w:rPr>
          <w:color w:val="auto"/>
        </w:rPr>
        <w:t>成果宜包括模型会审、设计交底记录，质量、安全、环保、</w:t>
      </w:r>
      <w:r>
        <w:rPr>
          <w:rFonts w:hint="eastAsia"/>
          <w:color w:val="auto"/>
        </w:rPr>
        <w:t>成本</w:t>
      </w:r>
      <w:r>
        <w:rPr>
          <w:color w:val="auto"/>
        </w:rPr>
        <w:t>、进度等过程记录，监理实测实量记录、变更记录、竣工验收监理记录等。</w:t>
      </w:r>
    </w:p>
    <w:p>
      <w:pPr>
        <w:pStyle w:val="4"/>
        <w:ind w:firstLine="0" w:firstLineChars="0"/>
        <w:rPr>
          <w:color w:val="auto"/>
        </w:rPr>
      </w:pPr>
      <w:r>
        <w:rPr>
          <w:color w:val="auto"/>
        </w:rPr>
        <w:t>7.5.5 监理</w:t>
      </w:r>
      <w:r>
        <w:rPr>
          <w:rFonts w:hint="eastAsia"/>
          <w:color w:val="auto"/>
        </w:rPr>
        <w:t>管理</w:t>
      </w:r>
      <w:r>
        <w:rPr>
          <w:color w:val="auto"/>
        </w:rPr>
        <w:t>过程</w:t>
      </w:r>
      <w:r>
        <w:rPr>
          <w:rFonts w:hint="eastAsia"/>
          <w:color w:val="auto"/>
        </w:rPr>
        <w:t>的</w:t>
      </w:r>
      <w:r>
        <w:rPr>
          <w:color w:val="auto"/>
        </w:rPr>
        <w:t>模型应用</w:t>
      </w:r>
      <w:r>
        <w:rPr>
          <w:rFonts w:hint="eastAsia"/>
          <w:color w:val="auto"/>
        </w:rPr>
        <w:t>宜包括</w:t>
      </w:r>
      <w:r>
        <w:rPr>
          <w:color w:val="auto"/>
        </w:rPr>
        <w:t>安全管理、合同管理、信息管理等。</w:t>
      </w:r>
    </w:p>
    <w:p>
      <w:pPr>
        <w:pStyle w:val="4"/>
        <w:ind w:firstLine="0" w:firstLineChars="0"/>
        <w:rPr>
          <w:color w:val="auto"/>
        </w:rPr>
      </w:pPr>
      <w:r>
        <w:rPr>
          <w:color w:val="auto"/>
        </w:rPr>
        <w:t>7.5.6监理</w:t>
      </w:r>
      <w:r>
        <w:rPr>
          <w:rFonts w:hint="eastAsia"/>
          <w:color w:val="auto"/>
        </w:rPr>
        <w:t>管理</w:t>
      </w:r>
      <w:r>
        <w:rPr>
          <w:color w:val="auto"/>
        </w:rPr>
        <w:t>过程</w:t>
      </w:r>
      <w:r>
        <w:rPr>
          <w:rFonts w:hint="eastAsia"/>
          <w:color w:val="auto"/>
        </w:rPr>
        <w:t>的</w:t>
      </w:r>
      <w:r>
        <w:rPr>
          <w:color w:val="auto"/>
        </w:rPr>
        <w:t>模型应用宜</w:t>
      </w:r>
      <w:r>
        <w:rPr>
          <w:rFonts w:hint="eastAsia"/>
          <w:color w:val="auto"/>
        </w:rPr>
        <w:t>基于</w:t>
      </w:r>
      <w:r>
        <w:rPr>
          <w:color w:val="auto"/>
        </w:rPr>
        <w:t>施工过程管理模型，</w:t>
      </w:r>
      <w:r>
        <w:rPr>
          <w:rFonts w:hint="eastAsia"/>
          <w:color w:val="auto"/>
        </w:rPr>
        <w:t>并</w:t>
      </w:r>
      <w:r>
        <w:rPr>
          <w:color w:val="auto"/>
        </w:rPr>
        <w:t>关联</w:t>
      </w:r>
      <w:r>
        <w:rPr>
          <w:rFonts w:hint="eastAsia"/>
          <w:color w:val="auto"/>
        </w:rPr>
        <w:t>安全管理</w:t>
      </w:r>
      <w:r>
        <w:rPr>
          <w:color w:val="auto"/>
        </w:rPr>
        <w:t>、合同管理、信息管理等监理记录文件信息。</w:t>
      </w:r>
    </w:p>
    <w:p>
      <w:pPr>
        <w:pStyle w:val="4"/>
        <w:ind w:firstLine="0" w:firstLineChars="0"/>
        <w:rPr>
          <w:color w:val="auto"/>
        </w:rPr>
      </w:pPr>
      <w:r>
        <w:rPr>
          <w:color w:val="auto"/>
        </w:rPr>
        <w:t>7.5.7 监理</w:t>
      </w:r>
      <w:r>
        <w:rPr>
          <w:rFonts w:hint="eastAsia"/>
          <w:color w:val="auto"/>
        </w:rPr>
        <w:t>管理的</w:t>
      </w:r>
      <w:r>
        <w:rPr>
          <w:color w:val="auto"/>
        </w:rPr>
        <w:t>模型应用交付成果宜</w:t>
      </w:r>
      <w:r>
        <w:rPr>
          <w:rFonts w:hint="eastAsia"/>
          <w:color w:val="auto"/>
        </w:rPr>
        <w:t>包括</w:t>
      </w:r>
      <w:r>
        <w:rPr>
          <w:color w:val="auto"/>
        </w:rPr>
        <w:t>安全管理记录、合同管理记录、</w:t>
      </w:r>
      <w:r>
        <w:rPr>
          <w:rFonts w:hint="eastAsia"/>
          <w:color w:val="auto"/>
        </w:rPr>
        <w:t>相关</w:t>
      </w:r>
      <w:r>
        <w:rPr>
          <w:color w:val="auto"/>
        </w:rPr>
        <w:t>信息</w:t>
      </w:r>
      <w:r>
        <w:rPr>
          <w:rFonts w:hint="eastAsia"/>
          <w:color w:val="auto"/>
        </w:rPr>
        <w:t>资料</w:t>
      </w:r>
      <w:r>
        <w:rPr>
          <w:color w:val="auto"/>
        </w:rPr>
        <w:t>等。</w:t>
      </w:r>
    </w:p>
    <w:p>
      <w:pPr>
        <w:pStyle w:val="4"/>
        <w:ind w:firstLine="0" w:firstLineChars="0"/>
        <w:rPr>
          <w:color w:val="auto"/>
        </w:rPr>
      </w:pPr>
      <w:r>
        <w:rPr>
          <w:rFonts w:hint="eastAsia"/>
          <w:color w:val="auto"/>
        </w:rPr>
        <w:t>7.5.8 施工监理单位应结合模型应用总体策划要求和合同要求等制定基于施工信息模型的监理协同应用流程，统筹施工阶段的监理控制与管理等工作。</w:t>
      </w:r>
    </w:p>
    <w:p>
      <w:pPr>
        <w:ind w:firstLine="0" w:firstLineChars="0"/>
        <w:jc w:val="center"/>
        <w:rPr>
          <w:b/>
          <w:i/>
          <w:color w:val="auto"/>
        </w:rPr>
      </w:pPr>
      <w:r>
        <w:rPr>
          <w:color w:val="auto"/>
        </w:rPr>
        <w:drawing>
          <wp:inline distT="0" distB="0" distL="0" distR="0">
            <wp:extent cx="5274310" cy="3056255"/>
            <wp:effectExtent l="0" t="0" r="2540" b="0"/>
            <wp:docPr id="17013259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325960" name="图片 1"/>
                    <pic:cNvPicPr>
                      <a:picLocks noChangeAspect="1"/>
                    </pic:cNvPicPr>
                  </pic:nvPicPr>
                  <pic:blipFill>
                    <a:blip r:embed="rId20"/>
                    <a:stretch>
                      <a:fillRect/>
                    </a:stretch>
                  </pic:blipFill>
                  <pic:spPr>
                    <a:xfrm>
                      <a:off x="0" y="0"/>
                      <a:ext cx="5274310" cy="3056255"/>
                    </a:xfrm>
                    <a:prstGeom prst="rect">
                      <a:avLst/>
                    </a:prstGeom>
                  </pic:spPr>
                </pic:pic>
              </a:graphicData>
            </a:graphic>
          </wp:inline>
        </w:drawing>
      </w:r>
    </w:p>
    <w:p>
      <w:pPr>
        <w:ind w:firstLine="0" w:firstLineChars="0"/>
        <w:jc w:val="center"/>
        <w:rPr>
          <w:b/>
          <w:color w:val="auto"/>
          <w:sz w:val="21"/>
          <w:szCs w:val="21"/>
        </w:rPr>
      </w:pPr>
      <w:r>
        <w:rPr>
          <w:rFonts w:hint="eastAsia"/>
          <w:b/>
          <w:color w:val="auto"/>
          <w:sz w:val="21"/>
          <w:szCs w:val="21"/>
        </w:rPr>
        <w:t>图7.5.8</w:t>
      </w:r>
      <w:r>
        <w:rPr>
          <w:b/>
          <w:color w:val="auto"/>
          <w:sz w:val="21"/>
          <w:szCs w:val="21"/>
        </w:rPr>
        <w:t xml:space="preserve">  </w:t>
      </w:r>
      <w:r>
        <w:rPr>
          <w:rFonts w:hint="eastAsia"/>
          <w:b/>
          <w:color w:val="auto"/>
          <w:sz w:val="21"/>
          <w:szCs w:val="21"/>
        </w:rPr>
        <w:t>基于施工信息模型的监理应用</w:t>
      </w:r>
      <w:r>
        <w:rPr>
          <w:b/>
          <w:color w:val="auto"/>
          <w:sz w:val="21"/>
          <w:szCs w:val="21"/>
        </w:rPr>
        <w:t>参考流程</w:t>
      </w:r>
    </w:p>
    <w:p>
      <w:pPr>
        <w:ind w:firstLine="0" w:firstLineChars="0"/>
        <w:rPr>
          <w:b/>
          <w:i/>
          <w:color w:val="auto"/>
        </w:rPr>
      </w:pPr>
    </w:p>
    <w:p>
      <w:pPr>
        <w:pStyle w:val="3"/>
        <w:jc w:val="center"/>
        <w:rPr>
          <w:color w:val="auto"/>
        </w:rPr>
      </w:pPr>
      <w:bookmarkStart w:id="93" w:name="_Toc7557"/>
      <w:r>
        <w:rPr>
          <w:color w:val="auto"/>
        </w:rPr>
        <w:t xml:space="preserve">7.6 </w:t>
      </w:r>
      <w:r>
        <w:rPr>
          <w:rFonts w:hint="eastAsia"/>
          <w:color w:val="auto"/>
        </w:rPr>
        <w:t>施工监控</w:t>
      </w:r>
      <w:bookmarkEnd w:id="93"/>
    </w:p>
    <w:p>
      <w:pPr>
        <w:pStyle w:val="4"/>
        <w:ind w:firstLine="0" w:firstLineChars="0"/>
        <w:rPr>
          <w:color w:val="auto"/>
        </w:rPr>
      </w:pPr>
      <w:r>
        <w:rPr>
          <w:color w:val="auto"/>
        </w:rPr>
        <w:t xml:space="preserve">7.6.1 </w:t>
      </w:r>
      <w:r>
        <w:rPr>
          <w:rFonts w:hint="eastAsia"/>
          <w:color w:val="auto"/>
        </w:rPr>
        <w:t>对于</w:t>
      </w:r>
      <w:r>
        <w:rPr>
          <w:color w:val="auto"/>
        </w:rPr>
        <w:t>施工技术难度大、施工风险高的桥梁</w:t>
      </w:r>
      <w:r>
        <w:rPr>
          <w:bCs/>
          <w:color w:val="auto"/>
        </w:rPr>
        <w:t>或复杂构筑物施工</w:t>
      </w:r>
      <w:r>
        <w:rPr>
          <w:color w:val="auto"/>
        </w:rPr>
        <w:t>，一般需要进行施工监控工作。</w:t>
      </w:r>
    </w:p>
    <w:p>
      <w:pPr>
        <w:pStyle w:val="4"/>
        <w:ind w:firstLine="0" w:firstLineChars="0"/>
        <w:rPr>
          <w:color w:val="auto"/>
        </w:rPr>
      </w:pPr>
      <w:r>
        <w:rPr>
          <w:color w:val="auto"/>
        </w:rPr>
        <w:t>7.6.2对需要进行施工监控的构筑物，应依据</w:t>
      </w:r>
      <w:r>
        <w:rPr>
          <w:rFonts w:hint="eastAsia"/>
          <w:color w:val="auto"/>
        </w:rPr>
        <w:t>正式</w:t>
      </w:r>
      <w:r>
        <w:rPr>
          <w:color w:val="auto"/>
        </w:rPr>
        <w:t>设计文件和经批复的施工组织设计</w:t>
      </w:r>
      <w:r>
        <w:rPr>
          <w:rFonts w:hint="eastAsia"/>
          <w:color w:val="auto"/>
        </w:rPr>
        <w:t>文件</w:t>
      </w:r>
      <w:r>
        <w:rPr>
          <w:color w:val="auto"/>
        </w:rPr>
        <w:t>编制监控方案，主要包括控制计算、施工监测、数据分析与反馈控制</w:t>
      </w:r>
      <w:r>
        <w:rPr>
          <w:rFonts w:hint="eastAsia"/>
          <w:color w:val="auto"/>
        </w:rPr>
        <w:t>等</w:t>
      </w:r>
      <w:r>
        <w:rPr>
          <w:color w:val="auto"/>
        </w:rPr>
        <w:t>。</w:t>
      </w:r>
    </w:p>
    <w:p>
      <w:pPr>
        <w:pStyle w:val="4"/>
        <w:ind w:firstLine="0" w:firstLineChars="0"/>
        <w:rPr>
          <w:color w:val="auto"/>
        </w:rPr>
      </w:pPr>
      <w:r>
        <w:rPr>
          <w:color w:val="auto"/>
        </w:rPr>
        <w:t xml:space="preserve">7.6.3 </w:t>
      </w:r>
      <w:r>
        <w:rPr>
          <w:rFonts w:hint="eastAsia"/>
          <w:color w:val="auto"/>
        </w:rPr>
        <w:t>宜基于</w:t>
      </w:r>
      <w:r>
        <w:rPr>
          <w:color w:val="auto"/>
        </w:rPr>
        <w:t>设计信息模型或深化设计模型</w:t>
      </w:r>
      <w:r>
        <w:rPr>
          <w:rFonts w:hint="eastAsia"/>
          <w:color w:val="auto"/>
        </w:rPr>
        <w:t>，并结合施工监控方案要求创建</w:t>
      </w:r>
      <w:r>
        <w:rPr>
          <w:color w:val="auto"/>
        </w:rPr>
        <w:t>施工监控模型</w:t>
      </w:r>
      <w:r>
        <w:rPr>
          <w:rFonts w:hint="eastAsia"/>
          <w:color w:val="auto"/>
        </w:rPr>
        <w:t>信息</w:t>
      </w:r>
      <w:r>
        <w:rPr>
          <w:color w:val="auto"/>
        </w:rPr>
        <w:t>。</w:t>
      </w:r>
    </w:p>
    <w:p>
      <w:pPr>
        <w:pStyle w:val="4"/>
        <w:ind w:firstLine="0" w:firstLineChars="0"/>
        <w:rPr>
          <w:color w:val="auto"/>
        </w:rPr>
      </w:pPr>
      <w:r>
        <w:rPr>
          <w:color w:val="auto"/>
        </w:rPr>
        <w:t>7.6.</w:t>
      </w:r>
      <w:r>
        <w:rPr>
          <w:rFonts w:hint="eastAsia"/>
          <w:color w:val="auto"/>
        </w:rPr>
        <w:t>4</w:t>
      </w:r>
      <w:r>
        <w:rPr>
          <w:color w:val="auto"/>
        </w:rPr>
        <w:t xml:space="preserve"> </w:t>
      </w:r>
      <w:r>
        <w:rPr>
          <w:rFonts w:hint="eastAsia"/>
          <w:color w:val="auto"/>
        </w:rPr>
        <w:t xml:space="preserve"> </w:t>
      </w:r>
      <w:r>
        <w:rPr>
          <w:color w:val="auto"/>
        </w:rPr>
        <w:t>设计符合性计算、施工模拟计算</w:t>
      </w:r>
      <w:r>
        <w:rPr>
          <w:rFonts w:hint="eastAsia"/>
          <w:color w:val="auto"/>
        </w:rPr>
        <w:t>、</w:t>
      </w:r>
      <w:r>
        <w:rPr>
          <w:color w:val="auto"/>
        </w:rPr>
        <w:t>施工跟踪计算和参数敏感性分析</w:t>
      </w:r>
      <w:r>
        <w:rPr>
          <w:rFonts w:hint="eastAsia"/>
          <w:color w:val="auto"/>
        </w:rPr>
        <w:t>等宜基于相应的信息模型开展，并</w:t>
      </w:r>
      <w:r>
        <w:rPr>
          <w:color w:val="auto"/>
        </w:rPr>
        <w:t>考虑施工步序</w:t>
      </w:r>
      <w:r>
        <w:rPr>
          <w:rFonts w:hint="eastAsia"/>
          <w:color w:val="auto"/>
        </w:rPr>
        <w:t>、环境条件、温度变化等</w:t>
      </w:r>
      <w:r>
        <w:rPr>
          <w:color w:val="auto"/>
        </w:rPr>
        <w:t>影响。</w:t>
      </w:r>
    </w:p>
    <w:p>
      <w:pPr>
        <w:pStyle w:val="4"/>
        <w:ind w:firstLine="0" w:firstLineChars="0"/>
        <w:rPr>
          <w:color w:val="auto"/>
        </w:rPr>
      </w:pPr>
      <w:r>
        <w:rPr>
          <w:color w:val="auto"/>
        </w:rPr>
        <w:t>7.6.</w:t>
      </w:r>
      <w:r>
        <w:rPr>
          <w:rFonts w:hint="eastAsia"/>
          <w:color w:val="auto"/>
        </w:rPr>
        <w:t>5</w:t>
      </w:r>
      <w:r>
        <w:rPr>
          <w:color w:val="auto"/>
        </w:rPr>
        <w:t xml:space="preserve"> 监测单位</w:t>
      </w:r>
      <w:r>
        <w:rPr>
          <w:rFonts w:hint="eastAsia"/>
          <w:color w:val="auto"/>
        </w:rPr>
        <w:t>宜</w:t>
      </w:r>
      <w:r>
        <w:rPr>
          <w:color w:val="auto"/>
        </w:rPr>
        <w:t>结合施工过程管理模型进行施工监测的测点布置工作，并将过程监测得到的几何状态参数和内力状态参数结果关联至模型。</w:t>
      </w:r>
    </w:p>
    <w:p>
      <w:pPr>
        <w:pStyle w:val="4"/>
        <w:ind w:firstLine="0" w:firstLineChars="0"/>
        <w:rPr>
          <w:color w:val="auto"/>
        </w:rPr>
      </w:pPr>
      <w:r>
        <w:rPr>
          <w:color w:val="auto"/>
        </w:rPr>
        <w:t>7.6.</w:t>
      </w:r>
      <w:r>
        <w:rPr>
          <w:rFonts w:hint="eastAsia"/>
          <w:color w:val="auto"/>
        </w:rPr>
        <w:t>6</w:t>
      </w:r>
      <w:r>
        <w:rPr>
          <w:color w:val="auto"/>
        </w:rPr>
        <w:t xml:space="preserve"> </w:t>
      </w:r>
      <w:r>
        <w:rPr>
          <w:rFonts w:hint="eastAsia"/>
          <w:color w:val="auto"/>
        </w:rPr>
        <w:t xml:space="preserve"> </w:t>
      </w:r>
      <w:r>
        <w:rPr>
          <w:color w:val="auto"/>
        </w:rPr>
        <w:t>施工监控数据分析及反馈控制信息</w:t>
      </w:r>
      <w:r>
        <w:rPr>
          <w:rFonts w:hint="eastAsia"/>
          <w:color w:val="auto"/>
        </w:rPr>
        <w:t>宜关联到</w:t>
      </w:r>
      <w:r>
        <w:rPr>
          <w:color w:val="auto"/>
        </w:rPr>
        <w:t>施工过程管理模型中，并</w:t>
      </w:r>
      <w:r>
        <w:rPr>
          <w:rFonts w:hint="eastAsia"/>
          <w:color w:val="auto"/>
        </w:rPr>
        <w:t>宜</w:t>
      </w:r>
      <w:r>
        <w:rPr>
          <w:color w:val="auto"/>
        </w:rPr>
        <w:t>对控制参数设置预警值。</w:t>
      </w:r>
    </w:p>
    <w:p>
      <w:pPr>
        <w:pStyle w:val="4"/>
        <w:ind w:firstLine="0" w:firstLineChars="0"/>
        <w:rPr>
          <w:color w:val="auto"/>
        </w:rPr>
      </w:pPr>
      <w:r>
        <w:rPr>
          <w:color w:val="auto"/>
        </w:rPr>
        <w:t>7.6.</w:t>
      </w:r>
      <w:r>
        <w:rPr>
          <w:rFonts w:hint="eastAsia"/>
          <w:color w:val="auto"/>
        </w:rPr>
        <w:t>7</w:t>
      </w:r>
      <w:r>
        <w:rPr>
          <w:color w:val="auto"/>
        </w:rPr>
        <w:t xml:space="preserve"> </w:t>
      </w:r>
      <w:r>
        <w:rPr>
          <w:rFonts w:hint="eastAsia"/>
          <w:color w:val="auto"/>
        </w:rPr>
        <w:t xml:space="preserve"> </w:t>
      </w:r>
      <w:r>
        <w:rPr>
          <w:color w:val="auto"/>
        </w:rPr>
        <w:t>施工监控</w:t>
      </w:r>
      <w:r>
        <w:rPr>
          <w:rFonts w:hint="eastAsia"/>
          <w:color w:val="auto"/>
        </w:rPr>
        <w:t>的模型应用交付成果应包括施工监控模型、施工监控方案、设计符合性计算报告、施工监控阶段报告、施工监控总报告以及施工过程中提交的相关监测数据和反馈控制文件等</w:t>
      </w:r>
      <w:r>
        <w:rPr>
          <w:color w:val="auto"/>
        </w:rPr>
        <w:t>。</w:t>
      </w:r>
    </w:p>
    <w:p>
      <w:pPr>
        <w:pStyle w:val="4"/>
        <w:ind w:firstLine="0" w:firstLineChars="0"/>
        <w:rPr>
          <w:color w:val="auto"/>
        </w:rPr>
      </w:pPr>
      <w:r>
        <w:rPr>
          <w:rFonts w:hint="eastAsia"/>
          <w:color w:val="auto"/>
        </w:rPr>
        <w:t>7.6.8 施工监控单位应结合模型应用总体策划要求和合同要求等制定基于模型的施工监控应用流程，统筹施工阶段的监控控制与管理等工作。</w:t>
      </w:r>
    </w:p>
    <w:p>
      <w:pPr>
        <w:ind w:firstLine="0" w:firstLineChars="0"/>
        <w:jc w:val="center"/>
        <w:rPr>
          <w:b/>
          <w:i/>
          <w:color w:val="auto"/>
        </w:rPr>
      </w:pPr>
      <w:r>
        <w:rPr>
          <w:rFonts w:hint="eastAsia"/>
          <w:b/>
          <w:i/>
          <w:color w:val="auto"/>
        </w:rPr>
        <w:drawing>
          <wp:inline distT="0" distB="0" distL="114300" distR="114300">
            <wp:extent cx="5347970" cy="3112135"/>
            <wp:effectExtent l="0" t="0" r="5080" b="12065"/>
            <wp:docPr id="18" name="图片 18" descr="施工监控应用参考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施工监控应用参考流程图"/>
                    <pic:cNvPicPr>
                      <a:picLocks noChangeAspect="1"/>
                    </pic:cNvPicPr>
                  </pic:nvPicPr>
                  <pic:blipFill>
                    <a:blip r:embed="rId21"/>
                    <a:srcRect l="4913" t="12875" r="4852" b="12875"/>
                    <a:stretch>
                      <a:fillRect/>
                    </a:stretch>
                  </pic:blipFill>
                  <pic:spPr>
                    <a:xfrm>
                      <a:off x="0" y="0"/>
                      <a:ext cx="5347970" cy="3112135"/>
                    </a:xfrm>
                    <a:prstGeom prst="rect">
                      <a:avLst/>
                    </a:prstGeom>
                  </pic:spPr>
                </pic:pic>
              </a:graphicData>
            </a:graphic>
          </wp:inline>
        </w:drawing>
      </w:r>
    </w:p>
    <w:p>
      <w:pPr>
        <w:ind w:firstLine="0" w:firstLineChars="0"/>
        <w:jc w:val="center"/>
        <w:rPr>
          <w:b/>
          <w:color w:val="auto"/>
          <w:sz w:val="21"/>
          <w:szCs w:val="21"/>
        </w:rPr>
      </w:pPr>
      <w:r>
        <w:rPr>
          <w:rFonts w:hint="eastAsia"/>
          <w:b/>
          <w:color w:val="auto"/>
          <w:sz w:val="21"/>
          <w:szCs w:val="21"/>
        </w:rPr>
        <w:t>图7.6.8</w:t>
      </w:r>
      <w:r>
        <w:rPr>
          <w:b/>
          <w:color w:val="auto"/>
          <w:sz w:val="21"/>
          <w:szCs w:val="21"/>
        </w:rPr>
        <w:t xml:space="preserve">  </w:t>
      </w:r>
      <w:r>
        <w:rPr>
          <w:rFonts w:hint="eastAsia"/>
          <w:b/>
          <w:color w:val="auto"/>
          <w:sz w:val="21"/>
          <w:szCs w:val="21"/>
        </w:rPr>
        <w:t>基于模型的施工监控应用</w:t>
      </w:r>
      <w:r>
        <w:rPr>
          <w:b/>
          <w:color w:val="auto"/>
          <w:sz w:val="21"/>
          <w:szCs w:val="21"/>
        </w:rPr>
        <w:t>参考流程</w:t>
      </w:r>
    </w:p>
    <w:p>
      <w:pPr>
        <w:ind w:firstLine="0" w:firstLineChars="0"/>
        <w:jc w:val="center"/>
        <w:rPr>
          <w:b/>
          <w:i/>
          <w:color w:val="auto"/>
        </w:rPr>
      </w:pPr>
    </w:p>
    <w:p>
      <w:pPr>
        <w:pStyle w:val="3"/>
        <w:jc w:val="center"/>
        <w:rPr>
          <w:color w:val="auto"/>
        </w:rPr>
      </w:pPr>
      <w:bookmarkStart w:id="94" w:name="_Toc21427"/>
      <w:r>
        <w:rPr>
          <w:color w:val="auto"/>
        </w:rPr>
        <w:t xml:space="preserve">7.7 </w:t>
      </w:r>
      <w:r>
        <w:rPr>
          <w:rFonts w:hint="eastAsia"/>
          <w:color w:val="auto"/>
        </w:rPr>
        <w:t>竣工验收与交付</w:t>
      </w:r>
      <w:bookmarkEnd w:id="94"/>
    </w:p>
    <w:p>
      <w:pPr>
        <w:pStyle w:val="4"/>
        <w:ind w:firstLine="0" w:firstLineChars="0"/>
        <w:rPr>
          <w:color w:val="auto"/>
        </w:rPr>
      </w:pPr>
      <w:r>
        <w:rPr>
          <w:color w:val="auto"/>
        </w:rPr>
        <w:t xml:space="preserve">7.7.1 </w:t>
      </w:r>
      <w:r>
        <w:rPr>
          <w:rFonts w:hint="eastAsia"/>
          <w:color w:val="auto"/>
        </w:rPr>
        <w:t>基于</w:t>
      </w:r>
      <w:r>
        <w:rPr>
          <w:color w:val="auto"/>
        </w:rPr>
        <w:t>模型开展竣工预验收</w:t>
      </w:r>
      <w:r>
        <w:rPr>
          <w:rFonts w:hint="eastAsia"/>
          <w:color w:val="auto"/>
        </w:rPr>
        <w:t>与</w:t>
      </w:r>
      <w:r>
        <w:rPr>
          <w:color w:val="auto"/>
        </w:rPr>
        <w:t>竣工验收</w:t>
      </w:r>
      <w:r>
        <w:rPr>
          <w:rFonts w:hint="eastAsia"/>
          <w:color w:val="auto"/>
        </w:rPr>
        <w:t>时，竣工验收模型资料应包含且不限于下列内容：</w:t>
      </w:r>
    </w:p>
    <w:p>
      <w:pPr>
        <w:ind w:firstLine="480"/>
        <w:rPr>
          <w:color w:val="auto"/>
        </w:rPr>
      </w:pPr>
      <w:r>
        <w:rPr>
          <w:rFonts w:hint="eastAsia"/>
          <w:color w:val="auto"/>
        </w:rPr>
        <w:t>1 竣工资料清单；</w:t>
      </w:r>
    </w:p>
    <w:p>
      <w:pPr>
        <w:ind w:firstLine="480"/>
        <w:rPr>
          <w:color w:val="auto"/>
        </w:rPr>
      </w:pPr>
      <w:r>
        <w:rPr>
          <w:rFonts w:hint="eastAsia"/>
          <w:color w:val="auto"/>
        </w:rPr>
        <w:t>2 竣工预验收模型；</w:t>
      </w:r>
    </w:p>
    <w:p>
      <w:pPr>
        <w:ind w:firstLine="480"/>
        <w:rPr>
          <w:color w:val="auto"/>
        </w:rPr>
      </w:pPr>
      <w:r>
        <w:rPr>
          <w:rFonts w:hint="eastAsia"/>
          <w:color w:val="auto"/>
        </w:rPr>
        <w:t>3 竣工图纸；</w:t>
      </w:r>
    </w:p>
    <w:p>
      <w:pPr>
        <w:ind w:firstLine="480"/>
        <w:rPr>
          <w:color w:val="auto"/>
        </w:rPr>
      </w:pPr>
      <w:r>
        <w:rPr>
          <w:rFonts w:hint="eastAsia"/>
          <w:color w:val="auto"/>
        </w:rPr>
        <w:t>4 基于模型的施工过程质量控制报告；</w:t>
      </w:r>
    </w:p>
    <w:p>
      <w:pPr>
        <w:ind w:firstLine="480"/>
        <w:rPr>
          <w:color w:val="auto"/>
        </w:rPr>
      </w:pPr>
      <w:r>
        <w:rPr>
          <w:rFonts w:hint="eastAsia"/>
          <w:color w:val="auto"/>
        </w:rPr>
        <w:t>4 资料验收申请表；</w:t>
      </w:r>
    </w:p>
    <w:p>
      <w:pPr>
        <w:ind w:firstLine="480"/>
        <w:rPr>
          <w:color w:val="auto"/>
        </w:rPr>
      </w:pPr>
      <w:r>
        <w:rPr>
          <w:rFonts w:hint="eastAsia"/>
          <w:color w:val="auto"/>
        </w:rPr>
        <w:t>5 资料查验清单。</w:t>
      </w:r>
    </w:p>
    <w:p>
      <w:pPr>
        <w:pStyle w:val="4"/>
        <w:ind w:firstLine="0" w:firstLineChars="0"/>
        <w:rPr>
          <w:color w:val="auto"/>
        </w:rPr>
      </w:pPr>
      <w:r>
        <w:rPr>
          <w:color w:val="auto"/>
        </w:rPr>
        <w:t xml:space="preserve">7.7.2 </w:t>
      </w:r>
      <w:r>
        <w:rPr>
          <w:rFonts w:hint="eastAsia"/>
          <w:color w:val="auto"/>
        </w:rPr>
        <w:t xml:space="preserve"> 竣工验收过程中应</w:t>
      </w:r>
      <w:r>
        <w:rPr>
          <w:color w:val="auto"/>
        </w:rPr>
        <w:t>将竣工预验收与竣工验收合格后形成的相关信息及资料关联</w:t>
      </w:r>
      <w:r>
        <w:rPr>
          <w:rFonts w:hint="eastAsia"/>
          <w:color w:val="auto"/>
        </w:rPr>
        <w:t>至</w:t>
      </w:r>
      <w:r>
        <w:rPr>
          <w:color w:val="auto"/>
        </w:rPr>
        <w:t>模型中，形成竣工验收模型。</w:t>
      </w:r>
    </w:p>
    <w:p>
      <w:pPr>
        <w:pStyle w:val="4"/>
        <w:ind w:firstLine="0" w:firstLineChars="0"/>
        <w:rPr>
          <w:color w:val="auto"/>
        </w:rPr>
      </w:pPr>
      <w:r>
        <w:rPr>
          <w:color w:val="auto"/>
        </w:rPr>
        <w:t>7.7.3</w:t>
      </w:r>
      <w:r>
        <w:rPr>
          <w:rFonts w:hint="eastAsia"/>
          <w:color w:val="auto"/>
        </w:rPr>
        <w:t xml:space="preserve"> </w:t>
      </w:r>
      <w:r>
        <w:rPr>
          <w:color w:val="auto"/>
        </w:rPr>
        <w:t>竣工验收</w:t>
      </w:r>
      <w:r>
        <w:rPr>
          <w:rFonts w:hint="eastAsia"/>
          <w:color w:val="auto"/>
        </w:rPr>
        <w:t>模型相关</w:t>
      </w:r>
      <w:r>
        <w:rPr>
          <w:color w:val="auto"/>
        </w:rPr>
        <w:t>交付物应包括</w:t>
      </w:r>
      <w:r>
        <w:rPr>
          <w:rFonts w:hint="eastAsia"/>
          <w:color w:val="auto"/>
        </w:rPr>
        <w:t>主要</w:t>
      </w:r>
      <w:r>
        <w:rPr>
          <w:color w:val="auto"/>
        </w:rPr>
        <w:t>交付成果列表</w:t>
      </w:r>
      <w:r>
        <w:rPr>
          <w:rFonts w:hint="eastAsia"/>
          <w:color w:val="auto"/>
        </w:rPr>
        <w:t>、</w:t>
      </w:r>
      <w:r>
        <w:rPr>
          <w:color w:val="auto"/>
        </w:rPr>
        <w:t>竣工验收模型、工程总体信息表、合同段信息表及合同要求的应用成果。</w:t>
      </w:r>
    </w:p>
    <w:p>
      <w:pPr>
        <w:pStyle w:val="4"/>
        <w:ind w:firstLine="0" w:firstLineChars="0"/>
        <w:rPr>
          <w:color w:val="auto"/>
        </w:rPr>
      </w:pPr>
      <w:r>
        <w:rPr>
          <w:color w:val="auto"/>
        </w:rPr>
        <w:t>7.7.</w:t>
      </w:r>
      <w:r>
        <w:rPr>
          <w:rFonts w:hint="eastAsia"/>
          <w:color w:val="auto"/>
        </w:rPr>
        <w:t>4</w:t>
      </w:r>
      <w:r>
        <w:rPr>
          <w:color w:val="auto"/>
        </w:rPr>
        <w:t xml:space="preserve"> </w:t>
      </w:r>
      <w:r>
        <w:rPr>
          <w:rFonts w:hint="eastAsia"/>
          <w:color w:val="auto"/>
        </w:rPr>
        <w:t xml:space="preserve"> </w:t>
      </w:r>
      <w:r>
        <w:rPr>
          <w:color w:val="auto"/>
        </w:rPr>
        <w:t>竣工</w:t>
      </w:r>
      <w:r>
        <w:rPr>
          <w:rFonts w:hint="eastAsia"/>
          <w:color w:val="auto"/>
        </w:rPr>
        <w:t>信息</w:t>
      </w:r>
      <w:r>
        <w:rPr>
          <w:color w:val="auto"/>
        </w:rPr>
        <w:t>模型</w:t>
      </w:r>
      <w:r>
        <w:rPr>
          <w:rFonts w:hint="eastAsia"/>
          <w:color w:val="auto"/>
        </w:rPr>
        <w:t>信息需求水平应满足竣工决算的要求</w:t>
      </w:r>
      <w:r>
        <w:rPr>
          <w:color w:val="auto"/>
        </w:rPr>
        <w:t>。</w:t>
      </w:r>
    </w:p>
    <w:p>
      <w:pPr>
        <w:pStyle w:val="4"/>
        <w:ind w:firstLine="0" w:firstLineChars="0"/>
        <w:rPr>
          <w:color w:val="auto"/>
        </w:rPr>
      </w:pPr>
      <w:r>
        <w:rPr>
          <w:color w:val="auto"/>
        </w:rPr>
        <w:t>7.7.</w:t>
      </w:r>
      <w:r>
        <w:rPr>
          <w:rFonts w:hint="eastAsia"/>
          <w:color w:val="auto"/>
        </w:rPr>
        <w:t>5 建设单位</w:t>
      </w:r>
      <w:r>
        <w:rPr>
          <w:color w:val="auto"/>
        </w:rPr>
        <w:t>或其委托的审核单位应基于经确认后的施工模型应用策划方案、合同文件、变更文件、工程实体及验收资料等对</w:t>
      </w:r>
      <w:r>
        <w:rPr>
          <w:rFonts w:hint="eastAsia"/>
          <w:color w:val="auto"/>
        </w:rPr>
        <w:t>竣工信息模型</w:t>
      </w:r>
      <w:r>
        <w:rPr>
          <w:color w:val="auto"/>
        </w:rPr>
        <w:t>交付物成果进行审核。</w:t>
      </w:r>
    </w:p>
    <w:p>
      <w:pPr>
        <w:pStyle w:val="4"/>
        <w:ind w:firstLine="0" w:firstLineChars="0"/>
        <w:rPr>
          <w:color w:val="auto"/>
        </w:rPr>
      </w:pPr>
      <w:r>
        <w:rPr>
          <w:color w:val="auto"/>
        </w:rPr>
        <w:t>7.7.</w:t>
      </w:r>
      <w:r>
        <w:rPr>
          <w:rFonts w:hint="eastAsia"/>
          <w:color w:val="auto"/>
        </w:rPr>
        <w:t>6 竣工信息模型交付成果经审核通过后，应由施工单位及审核单位共同签章确认形成审核报告，审核报告应与竣工信息模型和其它竣工交付成果一并移交建设单位</w:t>
      </w:r>
      <w:r>
        <w:rPr>
          <w:color w:val="auto"/>
        </w:rPr>
        <w:t>。</w:t>
      </w:r>
    </w:p>
    <w:p>
      <w:pPr>
        <w:pStyle w:val="3"/>
        <w:jc w:val="center"/>
        <w:rPr>
          <w:color w:val="auto"/>
        </w:rPr>
      </w:pPr>
      <w:bookmarkStart w:id="95" w:name="_Toc5268"/>
      <w:r>
        <w:rPr>
          <w:rFonts w:hint="eastAsia"/>
          <w:color w:val="auto"/>
        </w:rPr>
        <w:t>7</w:t>
      </w:r>
      <w:r>
        <w:rPr>
          <w:color w:val="auto"/>
        </w:rPr>
        <w:t>.</w:t>
      </w:r>
      <w:r>
        <w:rPr>
          <w:rFonts w:hint="eastAsia"/>
          <w:color w:val="auto"/>
        </w:rPr>
        <w:t>8</w:t>
      </w:r>
      <w:r>
        <w:rPr>
          <w:color w:val="auto"/>
        </w:rPr>
        <w:t xml:space="preserve"> </w:t>
      </w:r>
      <w:r>
        <w:rPr>
          <w:rFonts w:hint="eastAsia"/>
          <w:color w:val="auto"/>
        </w:rPr>
        <w:t xml:space="preserve"> 竣工资料归档</w:t>
      </w:r>
      <w:bookmarkEnd w:id="95"/>
    </w:p>
    <w:p>
      <w:pPr>
        <w:pStyle w:val="4"/>
        <w:ind w:firstLine="0" w:firstLineChars="0"/>
        <w:rPr>
          <w:color w:val="auto"/>
        </w:rPr>
      </w:pPr>
      <w:r>
        <w:rPr>
          <w:rFonts w:hint="eastAsia"/>
          <w:color w:val="auto"/>
        </w:rPr>
        <w:t>7</w:t>
      </w:r>
      <w:r>
        <w:rPr>
          <w:color w:val="auto"/>
        </w:rPr>
        <w:t>.</w:t>
      </w:r>
      <w:r>
        <w:rPr>
          <w:rFonts w:hint="eastAsia"/>
          <w:color w:val="auto"/>
        </w:rPr>
        <w:t>8</w:t>
      </w:r>
      <w:r>
        <w:rPr>
          <w:color w:val="auto"/>
        </w:rPr>
        <w:t xml:space="preserve">.1 </w:t>
      </w:r>
      <w:r>
        <w:rPr>
          <w:rFonts w:hint="eastAsia"/>
          <w:color w:val="auto"/>
        </w:rPr>
        <w:t>竣工交付成果由施工总包单位或施工单位进行整合与移交，并应按合同和政府相关部门的要求进行归档</w:t>
      </w:r>
      <w:r>
        <w:rPr>
          <w:color w:val="auto"/>
        </w:rPr>
        <w:t>。</w:t>
      </w:r>
    </w:p>
    <w:p>
      <w:pPr>
        <w:pStyle w:val="4"/>
        <w:ind w:firstLine="0" w:firstLineChars="0"/>
        <w:rPr>
          <w:color w:val="auto"/>
        </w:rPr>
      </w:pPr>
      <w:r>
        <w:rPr>
          <w:rFonts w:hint="eastAsia"/>
          <w:color w:val="auto"/>
        </w:rPr>
        <w:t>7</w:t>
      </w:r>
      <w:r>
        <w:rPr>
          <w:color w:val="auto"/>
        </w:rPr>
        <w:t>.</w:t>
      </w:r>
      <w:r>
        <w:rPr>
          <w:rFonts w:hint="eastAsia"/>
          <w:color w:val="auto"/>
        </w:rPr>
        <w:t>8</w:t>
      </w:r>
      <w:r>
        <w:rPr>
          <w:color w:val="auto"/>
        </w:rPr>
        <w:t>.</w:t>
      </w:r>
      <w:r>
        <w:rPr>
          <w:rFonts w:hint="eastAsia"/>
          <w:color w:val="auto"/>
        </w:rPr>
        <w:t>2</w:t>
      </w:r>
      <w:r>
        <w:rPr>
          <w:color w:val="auto"/>
        </w:rPr>
        <w:t xml:space="preserve"> </w:t>
      </w:r>
      <w:r>
        <w:rPr>
          <w:rFonts w:hint="eastAsia"/>
          <w:color w:val="auto"/>
        </w:rPr>
        <w:t>主要竣工信息模型交付物应满足表7.8.2的要求</w:t>
      </w:r>
      <w:r>
        <w:rPr>
          <w:color w:val="auto"/>
        </w:rPr>
        <w:t>。</w:t>
      </w:r>
    </w:p>
    <w:p>
      <w:pPr>
        <w:ind w:firstLine="0" w:firstLineChars="0"/>
        <w:jc w:val="center"/>
        <w:rPr>
          <w:b/>
          <w:color w:val="auto"/>
          <w:sz w:val="21"/>
          <w:szCs w:val="21"/>
        </w:rPr>
      </w:pPr>
      <w:r>
        <w:rPr>
          <w:b/>
          <w:color w:val="auto"/>
          <w:sz w:val="21"/>
          <w:szCs w:val="21"/>
        </w:rPr>
        <w:t>表</w:t>
      </w:r>
      <w:r>
        <w:rPr>
          <w:rFonts w:hint="eastAsia"/>
          <w:b/>
          <w:color w:val="auto"/>
          <w:sz w:val="21"/>
          <w:szCs w:val="21"/>
        </w:rPr>
        <w:t>7.8.2</w:t>
      </w:r>
      <w:r>
        <w:rPr>
          <w:b/>
          <w:color w:val="auto"/>
          <w:sz w:val="21"/>
          <w:szCs w:val="21"/>
        </w:rPr>
        <w:t xml:space="preserve"> </w:t>
      </w:r>
      <w:r>
        <w:rPr>
          <w:rFonts w:hint="eastAsia"/>
          <w:b/>
          <w:color w:val="auto"/>
          <w:sz w:val="21"/>
          <w:szCs w:val="21"/>
        </w:rPr>
        <w:t xml:space="preserve"> 主要竣工交付物</w:t>
      </w:r>
    </w:p>
    <w:tbl>
      <w:tblPr>
        <w:tblStyle w:val="75"/>
        <w:tblW w:w="69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2219"/>
        <w:gridCol w:w="1308"/>
        <w:gridCol w:w="2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92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代码</w:t>
            </w:r>
          </w:p>
        </w:tc>
        <w:tc>
          <w:tcPr>
            <w:tcW w:w="2219"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交付物的类别</w:t>
            </w:r>
          </w:p>
        </w:tc>
        <w:tc>
          <w:tcPr>
            <w:tcW w:w="130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竣工交付</w:t>
            </w:r>
          </w:p>
        </w:tc>
        <w:tc>
          <w:tcPr>
            <w:tcW w:w="245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92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D1</w:t>
            </w:r>
          </w:p>
        </w:tc>
        <w:tc>
          <w:tcPr>
            <w:tcW w:w="2219"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交付物清单</w:t>
            </w:r>
          </w:p>
        </w:tc>
        <w:tc>
          <w:tcPr>
            <w:tcW w:w="130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宋体" w:hAnsi="宋体" w:cs="宋体" w:eastAsiaTheme="minorEastAsia"/>
                <w:b/>
                <w:color w:val="auto"/>
                <w:kern w:val="2"/>
                <w:sz w:val="21"/>
                <w:szCs w:val="21"/>
              </w:rPr>
              <w:t>▲</w:t>
            </w:r>
          </w:p>
        </w:tc>
        <w:tc>
          <w:tcPr>
            <w:tcW w:w="245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与D2共同交付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92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D2</w:t>
            </w:r>
          </w:p>
        </w:tc>
        <w:tc>
          <w:tcPr>
            <w:tcW w:w="2219"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模型</w:t>
            </w:r>
          </w:p>
        </w:tc>
        <w:tc>
          <w:tcPr>
            <w:tcW w:w="130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宋体" w:hAnsi="宋体" w:cs="宋体" w:eastAsiaTheme="minorEastAsia"/>
                <w:b/>
                <w:color w:val="auto"/>
                <w:kern w:val="2"/>
                <w:sz w:val="21"/>
                <w:szCs w:val="21"/>
              </w:rPr>
              <w:t>▲</w:t>
            </w:r>
          </w:p>
        </w:tc>
        <w:tc>
          <w:tcPr>
            <w:tcW w:w="245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可独立交付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92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D3</w:t>
            </w:r>
          </w:p>
        </w:tc>
        <w:tc>
          <w:tcPr>
            <w:tcW w:w="2219"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属性信息表</w:t>
            </w:r>
          </w:p>
        </w:tc>
        <w:tc>
          <w:tcPr>
            <w:tcW w:w="130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宋体" w:hAnsi="宋体" w:cs="宋体" w:eastAsiaTheme="minorEastAsia"/>
                <w:b/>
                <w:color w:val="auto"/>
                <w:kern w:val="2"/>
                <w:sz w:val="21"/>
                <w:szCs w:val="21"/>
              </w:rPr>
              <w:t>▲</w:t>
            </w:r>
          </w:p>
        </w:tc>
        <w:tc>
          <w:tcPr>
            <w:tcW w:w="245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宜与D2共同交付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92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D4</w:t>
            </w:r>
          </w:p>
        </w:tc>
        <w:tc>
          <w:tcPr>
            <w:tcW w:w="2219"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工程图纸</w:t>
            </w:r>
          </w:p>
        </w:tc>
        <w:tc>
          <w:tcPr>
            <w:tcW w:w="130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宋体" w:hAnsi="宋体" w:cs="宋体" w:eastAsiaTheme="minorEastAsia"/>
                <w:b/>
                <w:color w:val="auto"/>
                <w:kern w:val="2"/>
                <w:sz w:val="21"/>
                <w:szCs w:val="21"/>
              </w:rPr>
              <w:t>▲</w:t>
            </w:r>
          </w:p>
        </w:tc>
        <w:tc>
          <w:tcPr>
            <w:tcW w:w="245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可独立交付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92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D5</w:t>
            </w:r>
          </w:p>
        </w:tc>
        <w:tc>
          <w:tcPr>
            <w:tcW w:w="2219"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项目需求书</w:t>
            </w:r>
          </w:p>
        </w:tc>
        <w:tc>
          <w:tcPr>
            <w:tcW w:w="130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宋体" w:hAnsi="宋体" w:cs="宋体" w:eastAsiaTheme="minorEastAsia"/>
                <w:b/>
                <w:color w:val="auto"/>
                <w:kern w:val="2"/>
                <w:sz w:val="21"/>
                <w:szCs w:val="21"/>
              </w:rPr>
              <w:t>▲</w:t>
            </w:r>
          </w:p>
        </w:tc>
        <w:tc>
          <w:tcPr>
            <w:tcW w:w="245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宜与D2共同交付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92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D6</w:t>
            </w:r>
          </w:p>
        </w:tc>
        <w:tc>
          <w:tcPr>
            <w:tcW w:w="2219"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模型执行计划</w:t>
            </w:r>
          </w:p>
        </w:tc>
        <w:tc>
          <w:tcPr>
            <w:tcW w:w="130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宋体" w:hAnsi="宋体" w:cs="宋体" w:eastAsiaTheme="minorEastAsia"/>
                <w:b/>
                <w:color w:val="auto"/>
                <w:kern w:val="2"/>
                <w:sz w:val="21"/>
                <w:szCs w:val="21"/>
              </w:rPr>
              <w:t>▲</w:t>
            </w:r>
          </w:p>
        </w:tc>
        <w:tc>
          <w:tcPr>
            <w:tcW w:w="245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宜与D2共同交付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92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D7</w:t>
            </w:r>
          </w:p>
        </w:tc>
        <w:tc>
          <w:tcPr>
            <w:tcW w:w="2219"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关键指标表</w:t>
            </w:r>
          </w:p>
        </w:tc>
        <w:tc>
          <w:tcPr>
            <w:tcW w:w="130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宋体" w:hAnsi="宋体" w:cs="宋体" w:eastAsiaTheme="minorEastAsia"/>
                <w:b/>
                <w:color w:val="auto"/>
                <w:kern w:val="2"/>
                <w:sz w:val="21"/>
                <w:szCs w:val="21"/>
              </w:rPr>
              <w:t>▲</w:t>
            </w:r>
          </w:p>
        </w:tc>
        <w:tc>
          <w:tcPr>
            <w:tcW w:w="245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宜与D2或D4共同交付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92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D8</w:t>
            </w:r>
          </w:p>
        </w:tc>
        <w:tc>
          <w:tcPr>
            <w:tcW w:w="2219"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工程量清单</w:t>
            </w:r>
          </w:p>
        </w:tc>
        <w:tc>
          <w:tcPr>
            <w:tcW w:w="130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宋体" w:hAnsi="宋体" w:cs="宋体" w:eastAsiaTheme="minorEastAsia"/>
                <w:b/>
                <w:color w:val="auto"/>
                <w:kern w:val="2"/>
                <w:sz w:val="21"/>
                <w:szCs w:val="21"/>
              </w:rPr>
              <w:t>▲</w:t>
            </w:r>
          </w:p>
        </w:tc>
        <w:tc>
          <w:tcPr>
            <w:tcW w:w="245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宜与D2或D4共同交付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92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D9</w:t>
            </w:r>
          </w:p>
        </w:tc>
        <w:tc>
          <w:tcPr>
            <w:tcW w:w="2219"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分析报告</w:t>
            </w:r>
          </w:p>
        </w:tc>
        <w:tc>
          <w:tcPr>
            <w:tcW w:w="130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宋体" w:hAnsi="宋体" w:cs="宋体" w:eastAsiaTheme="minorEastAsia"/>
                <w:b/>
                <w:color w:val="auto"/>
                <w:kern w:val="2"/>
                <w:sz w:val="21"/>
                <w:szCs w:val="21"/>
              </w:rPr>
              <w:t>△</w:t>
            </w:r>
          </w:p>
        </w:tc>
        <w:tc>
          <w:tcPr>
            <w:tcW w:w="245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宜与D2共同交付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926"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D10</w:t>
            </w:r>
          </w:p>
        </w:tc>
        <w:tc>
          <w:tcPr>
            <w:tcW w:w="2219"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模型说明书</w:t>
            </w:r>
          </w:p>
        </w:tc>
        <w:tc>
          <w:tcPr>
            <w:tcW w:w="1308"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宋体" w:hAnsi="宋体" w:cs="宋体" w:eastAsiaTheme="minorEastAsia"/>
                <w:b/>
                <w:color w:val="auto"/>
                <w:kern w:val="2"/>
                <w:sz w:val="21"/>
                <w:szCs w:val="21"/>
              </w:rPr>
              <w:t>△</w:t>
            </w:r>
          </w:p>
        </w:tc>
        <w:tc>
          <w:tcPr>
            <w:tcW w:w="2453" w:type="dxa"/>
            <w:vAlign w:val="center"/>
          </w:tcPr>
          <w:p>
            <w:pPr>
              <w:adjustRightInd w:val="0"/>
              <w:spacing w:line="240" w:lineRule="auto"/>
              <w:ind w:firstLine="0" w:firstLineChars="0"/>
              <w:jc w:val="center"/>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宜与D2共同交付</w:t>
            </w:r>
          </w:p>
        </w:tc>
      </w:tr>
    </w:tbl>
    <w:p>
      <w:pPr>
        <w:ind w:firstLine="0" w:firstLineChars="0"/>
        <w:rPr>
          <w:b/>
          <w:color w:val="auto"/>
          <w:sz w:val="21"/>
          <w:szCs w:val="21"/>
        </w:rPr>
      </w:pPr>
      <w:r>
        <w:rPr>
          <w:rFonts w:hint="eastAsia" w:eastAsiaTheme="minorEastAsia"/>
          <w:color w:val="auto"/>
          <w:szCs w:val="32"/>
        </w:rPr>
        <w:t xml:space="preserve">        </w:t>
      </w:r>
      <w:r>
        <w:rPr>
          <w:rFonts w:hint="eastAsia"/>
          <w:b/>
          <w:color w:val="auto"/>
          <w:sz w:val="21"/>
          <w:szCs w:val="21"/>
        </w:rPr>
        <w:t>注：表中</w:t>
      </w:r>
      <w:r>
        <w:rPr>
          <w:rFonts w:hint="eastAsia" w:ascii="宋体" w:hAnsi="宋体" w:cs="宋体"/>
          <w:b/>
          <w:color w:val="auto"/>
          <w:sz w:val="21"/>
          <w:szCs w:val="21"/>
        </w:rPr>
        <w:t>▲</w:t>
      </w:r>
      <w:r>
        <w:rPr>
          <w:rFonts w:hint="eastAsia"/>
          <w:b/>
          <w:color w:val="auto"/>
          <w:sz w:val="21"/>
          <w:szCs w:val="21"/>
        </w:rPr>
        <w:t>表示应具备，</w:t>
      </w:r>
      <w:r>
        <w:rPr>
          <w:rFonts w:hint="eastAsia" w:ascii="宋体" w:hAnsi="宋体" w:cs="宋体"/>
          <w:b/>
          <w:color w:val="auto"/>
          <w:sz w:val="21"/>
          <w:szCs w:val="21"/>
        </w:rPr>
        <w:t>△</w:t>
      </w:r>
      <w:r>
        <w:rPr>
          <w:rFonts w:hint="eastAsia"/>
          <w:b/>
          <w:color w:val="auto"/>
          <w:sz w:val="21"/>
          <w:szCs w:val="21"/>
        </w:rPr>
        <w:t>表示宜具备。</w:t>
      </w:r>
    </w:p>
    <w:p>
      <w:pPr>
        <w:pStyle w:val="4"/>
        <w:ind w:firstLine="0" w:firstLineChars="0"/>
        <w:rPr>
          <w:color w:val="auto"/>
        </w:rPr>
      </w:pPr>
      <w:r>
        <w:rPr>
          <w:rFonts w:hint="eastAsia"/>
          <w:color w:val="auto"/>
        </w:rPr>
        <w:t>7</w:t>
      </w:r>
      <w:r>
        <w:rPr>
          <w:color w:val="auto"/>
        </w:rPr>
        <w:t>.</w:t>
      </w:r>
      <w:r>
        <w:rPr>
          <w:rFonts w:hint="eastAsia"/>
          <w:color w:val="auto"/>
        </w:rPr>
        <w:t>8</w:t>
      </w:r>
      <w:r>
        <w:rPr>
          <w:color w:val="auto"/>
        </w:rPr>
        <w:t>.</w:t>
      </w:r>
      <w:r>
        <w:rPr>
          <w:rFonts w:hint="eastAsia"/>
          <w:color w:val="auto"/>
        </w:rPr>
        <w:t>3</w:t>
      </w:r>
      <w:r>
        <w:rPr>
          <w:color w:val="auto"/>
        </w:rPr>
        <w:t xml:space="preserve"> </w:t>
      </w:r>
      <w:r>
        <w:rPr>
          <w:rFonts w:hint="eastAsia"/>
          <w:color w:val="auto"/>
        </w:rPr>
        <w:t>建设单位应组织对竣工信息模型交付成果进行审核，审核通过后方可进行成果归档。</w:t>
      </w:r>
    </w:p>
    <w:p>
      <w:pPr>
        <w:spacing w:line="240" w:lineRule="auto"/>
        <w:ind w:firstLine="0" w:firstLineChars="0"/>
        <w:jc w:val="left"/>
        <w:rPr>
          <w:color w:val="auto"/>
        </w:rPr>
      </w:pPr>
      <w:r>
        <w:rPr>
          <w:color w:val="auto"/>
        </w:rPr>
        <w:br w:type="page"/>
      </w:r>
    </w:p>
    <w:p>
      <w:pPr>
        <w:pStyle w:val="2"/>
        <w:numPr>
          <w:ilvl w:val="0"/>
          <w:numId w:val="12"/>
        </w:numPr>
        <w:spacing w:before="312" w:after="312"/>
        <w:jc w:val="center"/>
        <w:rPr>
          <w:color w:val="auto"/>
        </w:rPr>
      </w:pPr>
      <w:bookmarkStart w:id="96" w:name="_Toc31778"/>
      <w:r>
        <w:rPr>
          <w:color w:val="auto"/>
        </w:rPr>
        <w:t>运维阶段</w:t>
      </w:r>
      <w:bookmarkEnd w:id="96"/>
    </w:p>
    <w:p>
      <w:pPr>
        <w:pStyle w:val="3"/>
        <w:jc w:val="center"/>
        <w:rPr>
          <w:color w:val="auto"/>
        </w:rPr>
      </w:pPr>
      <w:bookmarkStart w:id="97" w:name="_Toc2454"/>
      <w:r>
        <w:rPr>
          <w:color w:val="auto"/>
        </w:rPr>
        <w:t>8.1 一般规定</w:t>
      </w:r>
      <w:bookmarkEnd w:id="97"/>
    </w:p>
    <w:p>
      <w:pPr>
        <w:pStyle w:val="4"/>
        <w:ind w:firstLine="0" w:firstLineChars="0"/>
        <w:rPr>
          <w:color w:val="auto"/>
        </w:rPr>
      </w:pPr>
      <w:r>
        <w:rPr>
          <w:color w:val="auto"/>
        </w:rPr>
        <w:t>8.1.</w:t>
      </w:r>
      <w:r>
        <w:rPr>
          <w:rFonts w:hint="eastAsia"/>
          <w:color w:val="auto"/>
        </w:rPr>
        <w:t>1 运维阶段模型应用目标与范围应结合合同要求、城市道路工程项目特点和运维管养需求等综合确定</w:t>
      </w:r>
      <w:r>
        <w:rPr>
          <w:color w:val="auto"/>
        </w:rPr>
        <w:t>。</w:t>
      </w:r>
    </w:p>
    <w:p>
      <w:pPr>
        <w:pStyle w:val="4"/>
        <w:ind w:firstLine="0" w:firstLineChars="0"/>
        <w:rPr>
          <w:color w:val="auto"/>
        </w:rPr>
      </w:pPr>
      <w:r>
        <w:rPr>
          <w:color w:val="auto"/>
        </w:rPr>
        <w:t>8.1.</w:t>
      </w:r>
      <w:r>
        <w:rPr>
          <w:rFonts w:hint="eastAsia"/>
          <w:color w:val="auto"/>
        </w:rPr>
        <w:t>2 宜基于竣工信息模型并结合运维管养需求创建运维信息模型</w:t>
      </w:r>
      <w:r>
        <w:rPr>
          <w:color w:val="auto"/>
        </w:rPr>
        <w:t>。</w:t>
      </w:r>
    </w:p>
    <w:p>
      <w:pPr>
        <w:pStyle w:val="4"/>
        <w:ind w:firstLine="0" w:firstLineChars="0"/>
        <w:rPr>
          <w:color w:val="auto"/>
        </w:rPr>
      </w:pPr>
      <w:r>
        <w:rPr>
          <w:color w:val="auto"/>
        </w:rPr>
        <w:t>8.1.</w:t>
      </w:r>
      <w:r>
        <w:rPr>
          <w:rFonts w:hint="eastAsia"/>
          <w:color w:val="auto"/>
        </w:rPr>
        <w:t>3 运维信息模型应用宜包括运营管理、养护管理、资产管理、健康监测、应急管理等内容，宜贯穿运维阶段全过程</w:t>
      </w:r>
      <w:r>
        <w:rPr>
          <w:color w:val="auto"/>
        </w:rPr>
        <w:t>。</w:t>
      </w:r>
    </w:p>
    <w:p>
      <w:pPr>
        <w:pStyle w:val="4"/>
        <w:ind w:firstLine="0" w:firstLineChars="0"/>
        <w:rPr>
          <w:color w:val="auto"/>
        </w:rPr>
      </w:pPr>
      <w:r>
        <w:rPr>
          <w:color w:val="auto"/>
        </w:rPr>
        <w:t>8.1.</w:t>
      </w:r>
      <w:r>
        <w:rPr>
          <w:rFonts w:hint="eastAsia"/>
          <w:color w:val="auto"/>
        </w:rPr>
        <w:t xml:space="preserve">4 </w:t>
      </w:r>
      <w:r>
        <w:rPr>
          <w:color w:val="auto"/>
        </w:rPr>
        <w:t xml:space="preserve"> </w:t>
      </w:r>
      <w:r>
        <w:rPr>
          <w:rFonts w:hint="eastAsia"/>
          <w:color w:val="auto"/>
        </w:rPr>
        <w:t>应基于运维信息模型编制运维管养策划方案，明确人员分工与职责、工作内容、技术要求、进度计划、设备配置等</w:t>
      </w:r>
      <w:r>
        <w:rPr>
          <w:color w:val="auto"/>
        </w:rPr>
        <w:t>。</w:t>
      </w:r>
    </w:p>
    <w:p>
      <w:pPr>
        <w:pStyle w:val="4"/>
        <w:ind w:firstLine="0" w:firstLineChars="0"/>
        <w:rPr>
          <w:color w:val="auto"/>
        </w:rPr>
      </w:pPr>
      <w:r>
        <w:rPr>
          <w:color w:val="auto"/>
        </w:rPr>
        <w:t>8.1.</w:t>
      </w:r>
      <w:r>
        <w:rPr>
          <w:rFonts w:hint="eastAsia"/>
          <w:color w:val="auto"/>
        </w:rPr>
        <w:t xml:space="preserve">5 </w:t>
      </w:r>
      <w:r>
        <w:rPr>
          <w:color w:val="auto"/>
        </w:rPr>
        <w:t xml:space="preserve"> </w:t>
      </w:r>
      <w:r>
        <w:rPr>
          <w:rFonts w:hint="eastAsia"/>
          <w:color w:val="auto"/>
        </w:rPr>
        <w:t>运维信息模型应用宜与G</w:t>
      </w:r>
      <w:r>
        <w:rPr>
          <w:color w:val="auto"/>
        </w:rPr>
        <w:t>IS</w:t>
      </w:r>
      <w:r>
        <w:rPr>
          <w:rFonts w:hint="eastAsia"/>
          <w:color w:val="auto"/>
        </w:rPr>
        <w:t>、云计算</w:t>
      </w:r>
      <w:r>
        <w:rPr>
          <w:color w:val="auto"/>
        </w:rPr>
        <w:t>、</w:t>
      </w:r>
      <w:r>
        <w:rPr>
          <w:rFonts w:hint="eastAsia"/>
          <w:color w:val="auto"/>
        </w:rPr>
        <w:t>大数据、A</w:t>
      </w:r>
      <w:r>
        <w:rPr>
          <w:color w:val="auto"/>
        </w:rPr>
        <w:t>I</w:t>
      </w:r>
      <w:r>
        <w:rPr>
          <w:rFonts w:hint="eastAsia"/>
          <w:color w:val="auto"/>
        </w:rPr>
        <w:t>、物联网</w:t>
      </w:r>
      <w:r>
        <w:rPr>
          <w:color w:val="auto"/>
        </w:rPr>
        <w:t>等技术手段融合，</w:t>
      </w:r>
      <w:r>
        <w:rPr>
          <w:rFonts w:hint="eastAsia"/>
          <w:color w:val="auto"/>
        </w:rPr>
        <w:t>建设</w:t>
      </w:r>
      <w:r>
        <w:rPr>
          <w:color w:val="auto"/>
        </w:rPr>
        <w:t>智慧化运维管养平台。</w:t>
      </w:r>
    </w:p>
    <w:p>
      <w:pPr>
        <w:pStyle w:val="4"/>
        <w:ind w:firstLine="0" w:firstLineChars="0"/>
        <w:rPr>
          <w:color w:val="auto"/>
        </w:rPr>
      </w:pPr>
      <w:r>
        <w:rPr>
          <w:color w:val="auto"/>
        </w:rPr>
        <w:t>8.1.</w:t>
      </w:r>
      <w:r>
        <w:rPr>
          <w:rFonts w:hint="eastAsia"/>
          <w:color w:val="auto"/>
        </w:rPr>
        <w:t xml:space="preserve">6 </w:t>
      </w:r>
      <w:r>
        <w:rPr>
          <w:color w:val="auto"/>
        </w:rPr>
        <w:t xml:space="preserve"> </w:t>
      </w:r>
      <w:r>
        <w:rPr>
          <w:rFonts w:hint="eastAsia"/>
          <w:color w:val="auto"/>
        </w:rPr>
        <w:t>运维管理单位应建立与完善保障运维信息模型及运维管理平台长期稳定运行的维护管理机制，宜设立特定机构进行管理，并应明确责任和管理权限</w:t>
      </w:r>
      <w:r>
        <w:rPr>
          <w:color w:val="auto"/>
        </w:rPr>
        <w:t>。</w:t>
      </w:r>
    </w:p>
    <w:p>
      <w:pPr>
        <w:pStyle w:val="3"/>
        <w:jc w:val="center"/>
        <w:rPr>
          <w:color w:val="auto"/>
        </w:rPr>
      </w:pPr>
      <w:bookmarkStart w:id="98" w:name="_Toc3281"/>
      <w:r>
        <w:rPr>
          <w:color w:val="auto"/>
        </w:rPr>
        <w:t>8.</w:t>
      </w:r>
      <w:r>
        <w:rPr>
          <w:rFonts w:hint="eastAsia"/>
          <w:color w:val="auto"/>
        </w:rPr>
        <w:t>2</w:t>
      </w:r>
      <w:r>
        <w:rPr>
          <w:color w:val="auto"/>
        </w:rPr>
        <w:t xml:space="preserve"> </w:t>
      </w:r>
      <w:r>
        <w:rPr>
          <w:rFonts w:hint="eastAsia"/>
          <w:color w:val="auto"/>
        </w:rPr>
        <w:t>智慧交通与运营管理</w:t>
      </w:r>
      <w:bookmarkEnd w:id="98"/>
    </w:p>
    <w:p>
      <w:pPr>
        <w:pStyle w:val="4"/>
        <w:ind w:firstLine="0" w:firstLineChars="0"/>
        <w:rPr>
          <w:color w:val="auto"/>
        </w:rPr>
      </w:pPr>
      <w:r>
        <w:rPr>
          <w:color w:val="auto"/>
        </w:rPr>
        <w:t>8.2.1</w:t>
      </w:r>
      <w:r>
        <w:rPr>
          <w:rFonts w:hint="eastAsia"/>
          <w:color w:val="auto"/>
        </w:rPr>
        <w:t xml:space="preserve"> 城市道路工程运营期间宜基于运维信息模型和交通智能感知与数据采集设备等综合形成城市智慧交通信息管理系统，并满足系统网络及数据信息安全要求。</w:t>
      </w:r>
    </w:p>
    <w:p>
      <w:pPr>
        <w:pStyle w:val="4"/>
        <w:ind w:firstLine="0" w:firstLineChars="0"/>
        <w:rPr>
          <w:color w:val="auto"/>
        </w:rPr>
      </w:pPr>
      <w:r>
        <w:rPr>
          <w:color w:val="auto"/>
        </w:rPr>
        <w:t>8.2.</w:t>
      </w:r>
      <w:r>
        <w:rPr>
          <w:rFonts w:hint="eastAsia"/>
          <w:color w:val="auto"/>
        </w:rPr>
        <w:t>2 城市智慧交通信息管理系统应具备稳定且可靠的对交通感知设备采集的实时交通数据进行聚合、清洗、分析等快速处理能力。</w:t>
      </w:r>
    </w:p>
    <w:p>
      <w:pPr>
        <w:pStyle w:val="4"/>
        <w:ind w:firstLine="0" w:firstLineChars="0"/>
        <w:rPr>
          <w:color w:val="auto"/>
        </w:rPr>
      </w:pPr>
      <w:r>
        <w:rPr>
          <w:rFonts w:hint="eastAsia"/>
          <w:color w:val="auto"/>
        </w:rPr>
        <w:t>8.2.3 城市道路工程运营管理单位应基于运维信息模型进行包括运营状态监测、超限车辆运输管理以及能耗管理等工作</w:t>
      </w:r>
      <w:r>
        <w:rPr>
          <w:color w:val="auto"/>
        </w:rPr>
        <w:t>。</w:t>
      </w:r>
    </w:p>
    <w:p>
      <w:pPr>
        <w:pStyle w:val="4"/>
        <w:ind w:firstLine="0" w:firstLineChars="0"/>
        <w:rPr>
          <w:color w:val="auto"/>
        </w:rPr>
      </w:pPr>
      <w:r>
        <w:rPr>
          <w:color w:val="auto"/>
        </w:rPr>
        <w:t>8.2.</w:t>
      </w:r>
      <w:r>
        <w:rPr>
          <w:rFonts w:hint="eastAsia"/>
          <w:color w:val="auto"/>
        </w:rPr>
        <w:t>4 城市道路工程运营状态监测宜基于运维信息模型建立区域路网运维管理平台，集成路网交通量监测、环境监测以及相关机电设备监测等数据，进行区域路网交通运营数据采集、分析、决策以及应急管理等</w:t>
      </w:r>
      <w:r>
        <w:rPr>
          <w:color w:val="auto"/>
        </w:rPr>
        <w:t>。</w:t>
      </w:r>
    </w:p>
    <w:p>
      <w:pPr>
        <w:pStyle w:val="4"/>
        <w:ind w:firstLine="0" w:firstLineChars="0"/>
        <w:rPr>
          <w:color w:val="auto"/>
        </w:rPr>
      </w:pPr>
      <w:r>
        <w:rPr>
          <w:color w:val="auto"/>
        </w:rPr>
        <w:t>8.2.</w:t>
      </w:r>
      <w:r>
        <w:rPr>
          <w:rFonts w:hint="eastAsia"/>
          <w:color w:val="auto"/>
        </w:rPr>
        <w:t>5 城市道路工程超限车辆运输管理应包括超限车辆运输路径规划以及超重车辆过桥管理等内容，超限信息应与运维信息模型关联</w:t>
      </w:r>
      <w:r>
        <w:rPr>
          <w:color w:val="auto"/>
        </w:rPr>
        <w:t>。</w:t>
      </w:r>
    </w:p>
    <w:p>
      <w:pPr>
        <w:pStyle w:val="3"/>
        <w:jc w:val="center"/>
        <w:rPr>
          <w:color w:val="auto"/>
        </w:rPr>
      </w:pPr>
      <w:bookmarkStart w:id="99" w:name="_Toc22664"/>
      <w:r>
        <w:rPr>
          <w:color w:val="auto"/>
        </w:rPr>
        <w:t>8.</w:t>
      </w:r>
      <w:r>
        <w:rPr>
          <w:rFonts w:hint="eastAsia"/>
          <w:color w:val="auto"/>
        </w:rPr>
        <w:t>3</w:t>
      </w:r>
      <w:r>
        <w:rPr>
          <w:color w:val="auto"/>
        </w:rPr>
        <w:t xml:space="preserve"> </w:t>
      </w:r>
      <w:r>
        <w:rPr>
          <w:rFonts w:hint="eastAsia"/>
          <w:color w:val="auto"/>
        </w:rPr>
        <w:t>养护管理</w:t>
      </w:r>
      <w:bookmarkEnd w:id="99"/>
    </w:p>
    <w:p>
      <w:pPr>
        <w:pStyle w:val="4"/>
        <w:ind w:firstLine="0" w:firstLineChars="0"/>
        <w:rPr>
          <w:color w:val="auto"/>
        </w:rPr>
      </w:pPr>
      <w:r>
        <w:rPr>
          <w:color w:val="auto"/>
        </w:rPr>
        <w:t>8.3.1</w:t>
      </w:r>
      <w:r>
        <w:rPr>
          <w:rFonts w:hint="eastAsia"/>
          <w:color w:val="auto"/>
        </w:rPr>
        <w:t xml:space="preserve"> 宜基于运维信息模型进行城市道路工程范围内包括道路、桥梁、隧道、公交场站、交通安全设施、机电设备以及其它附属设施等养护管理工作</w:t>
      </w:r>
      <w:r>
        <w:rPr>
          <w:color w:val="auto"/>
        </w:rPr>
        <w:t>。</w:t>
      </w:r>
    </w:p>
    <w:p>
      <w:pPr>
        <w:pStyle w:val="4"/>
        <w:ind w:firstLine="0" w:firstLineChars="0"/>
        <w:rPr>
          <w:color w:val="auto"/>
        </w:rPr>
      </w:pPr>
      <w:r>
        <w:rPr>
          <w:color w:val="auto"/>
        </w:rPr>
        <w:t>8.3.2</w:t>
      </w:r>
      <w:r>
        <w:rPr>
          <w:rFonts w:hint="eastAsia"/>
          <w:color w:val="auto"/>
        </w:rPr>
        <w:t xml:space="preserve"> </w:t>
      </w:r>
      <w:r>
        <w:rPr>
          <w:color w:val="auto"/>
        </w:rPr>
        <w:t xml:space="preserve"> </w:t>
      </w:r>
      <w:r>
        <w:rPr>
          <w:rFonts w:hint="eastAsia"/>
          <w:color w:val="auto"/>
        </w:rPr>
        <w:t>应根据城市道路工程养护需求与特点，基于运维信息模型编制养护规划，并宜将养护工作内容及结果与运维信息模型进行关联</w:t>
      </w:r>
      <w:r>
        <w:rPr>
          <w:color w:val="auto"/>
        </w:rPr>
        <w:t>。</w:t>
      </w:r>
    </w:p>
    <w:p>
      <w:pPr>
        <w:pStyle w:val="4"/>
        <w:ind w:firstLine="0" w:firstLineChars="0"/>
        <w:rPr>
          <w:color w:val="auto"/>
        </w:rPr>
      </w:pPr>
      <w:r>
        <w:rPr>
          <w:color w:val="auto"/>
        </w:rPr>
        <w:t>8.3.3</w:t>
      </w:r>
      <w:r>
        <w:rPr>
          <w:rFonts w:hint="eastAsia"/>
          <w:color w:val="auto"/>
        </w:rPr>
        <w:t xml:space="preserve"> </w:t>
      </w:r>
      <w:r>
        <w:rPr>
          <w:color w:val="auto"/>
        </w:rPr>
        <w:t xml:space="preserve"> </w:t>
      </w:r>
      <w:r>
        <w:rPr>
          <w:rFonts w:hint="eastAsia"/>
          <w:color w:val="auto"/>
        </w:rPr>
        <w:t>宜基于运维信息模型进行日常巡查、经常性检查、定期检测、特殊检测、技术状态评定、结构监测、病害分析与处理、应急事件预警等工作</w:t>
      </w:r>
      <w:r>
        <w:rPr>
          <w:color w:val="auto"/>
        </w:rPr>
        <w:t>。</w:t>
      </w:r>
    </w:p>
    <w:p>
      <w:pPr>
        <w:pStyle w:val="3"/>
        <w:jc w:val="center"/>
        <w:rPr>
          <w:color w:val="auto"/>
        </w:rPr>
      </w:pPr>
      <w:bookmarkStart w:id="100" w:name="_Toc11421"/>
      <w:r>
        <w:rPr>
          <w:color w:val="auto"/>
        </w:rPr>
        <w:t>8.</w:t>
      </w:r>
      <w:r>
        <w:rPr>
          <w:rFonts w:hint="eastAsia"/>
          <w:color w:val="auto"/>
        </w:rPr>
        <w:t>4</w:t>
      </w:r>
      <w:r>
        <w:rPr>
          <w:color w:val="auto"/>
        </w:rPr>
        <w:t xml:space="preserve"> </w:t>
      </w:r>
      <w:r>
        <w:rPr>
          <w:rFonts w:hint="eastAsia"/>
          <w:color w:val="auto"/>
        </w:rPr>
        <w:t>资产管理</w:t>
      </w:r>
      <w:bookmarkEnd w:id="100"/>
    </w:p>
    <w:p>
      <w:pPr>
        <w:pStyle w:val="4"/>
        <w:ind w:firstLine="0" w:firstLineChars="0"/>
        <w:rPr>
          <w:color w:val="auto"/>
        </w:rPr>
      </w:pPr>
      <w:r>
        <w:rPr>
          <w:color w:val="auto"/>
        </w:rPr>
        <w:t>8.4.1</w:t>
      </w:r>
      <w:r>
        <w:rPr>
          <w:rFonts w:hint="eastAsia"/>
          <w:color w:val="auto"/>
        </w:rPr>
        <w:t xml:space="preserve"> 基于运维信息模型的</w:t>
      </w:r>
      <w:r>
        <w:rPr>
          <w:color w:val="auto"/>
        </w:rPr>
        <w:t>资产管理</w:t>
      </w:r>
      <w:r>
        <w:rPr>
          <w:rFonts w:hint="eastAsia"/>
          <w:color w:val="auto"/>
        </w:rPr>
        <w:t>宜</w:t>
      </w:r>
      <w:r>
        <w:rPr>
          <w:color w:val="auto"/>
        </w:rPr>
        <w:t>包括实物资产管理、空间资源管理、数字资产管理等。</w:t>
      </w:r>
    </w:p>
    <w:p>
      <w:pPr>
        <w:pStyle w:val="4"/>
        <w:ind w:firstLine="0" w:firstLineChars="0"/>
        <w:rPr>
          <w:color w:val="auto"/>
        </w:rPr>
      </w:pPr>
      <w:r>
        <w:rPr>
          <w:color w:val="auto"/>
        </w:rPr>
        <w:t>8.4.2</w:t>
      </w:r>
      <w:r>
        <w:rPr>
          <w:rFonts w:hint="eastAsia"/>
          <w:color w:val="auto"/>
        </w:rPr>
        <w:t xml:space="preserve"> 宜基于城市道路工程信息模型进行</w:t>
      </w:r>
      <w:r>
        <w:rPr>
          <w:color w:val="auto"/>
        </w:rPr>
        <w:t>实物资产以及空间资源的管理</w:t>
      </w:r>
      <w:r>
        <w:rPr>
          <w:rFonts w:hint="eastAsia"/>
          <w:color w:val="auto"/>
        </w:rPr>
        <w:t>，形成运维期间的资产管理信息模型及资产台账，并对城市道路工程资产信息模型及资产台账进行</w:t>
      </w:r>
      <w:r>
        <w:rPr>
          <w:color w:val="auto"/>
        </w:rPr>
        <w:t>统计、更新、分析与辅助决策。</w:t>
      </w:r>
    </w:p>
    <w:p>
      <w:pPr>
        <w:pStyle w:val="4"/>
        <w:ind w:firstLine="0" w:firstLineChars="0"/>
        <w:rPr>
          <w:color w:val="auto"/>
        </w:rPr>
      </w:pPr>
      <w:r>
        <w:rPr>
          <w:color w:val="auto"/>
        </w:rPr>
        <w:t>8.4.3</w:t>
      </w:r>
      <w:r>
        <w:rPr>
          <w:rFonts w:hint="eastAsia"/>
          <w:color w:val="auto"/>
        </w:rPr>
        <w:t xml:space="preserve"> 宜根据运维阶段城市道路工程资产管理需求建立资产信息标准，在竣工信息模型的基础上通过资产信息生成方法与流程创建资产信息模型</w:t>
      </w:r>
      <w:r>
        <w:rPr>
          <w:color w:val="auto"/>
        </w:rPr>
        <w:t>。</w:t>
      </w:r>
    </w:p>
    <w:p>
      <w:pPr>
        <w:pStyle w:val="4"/>
        <w:ind w:firstLine="0" w:firstLineChars="0"/>
        <w:rPr>
          <w:color w:val="auto"/>
        </w:rPr>
      </w:pPr>
      <w:r>
        <w:rPr>
          <w:color w:val="auto"/>
        </w:rPr>
        <w:t>8.4.4</w:t>
      </w:r>
      <w:r>
        <w:rPr>
          <w:rFonts w:hint="eastAsia"/>
          <w:color w:val="auto"/>
        </w:rPr>
        <w:t xml:space="preserve"> 宜建立城市道路工程资产信息模型审查机制，对新生成资产信息进行质量保证检查，审查通过后批准信息共享</w:t>
      </w:r>
      <w:r>
        <w:rPr>
          <w:color w:val="auto"/>
        </w:rPr>
        <w:t>。</w:t>
      </w:r>
    </w:p>
    <w:p>
      <w:pPr>
        <w:pStyle w:val="4"/>
        <w:ind w:firstLine="0" w:firstLineChars="0"/>
        <w:rPr>
          <w:color w:val="auto"/>
        </w:rPr>
      </w:pPr>
      <w:r>
        <w:rPr>
          <w:color w:val="auto"/>
        </w:rPr>
        <w:t>8.4.5</w:t>
      </w:r>
      <w:r>
        <w:rPr>
          <w:rFonts w:hint="eastAsia"/>
          <w:color w:val="auto"/>
        </w:rPr>
        <w:t xml:space="preserve"> 应基于运维信息模型进行成本与折旧分析，通过对城市道路工程历史成本、运维费用、折旧等进行统计分析，形成相应的成本与折旧统计分析报告</w:t>
      </w:r>
      <w:r>
        <w:rPr>
          <w:color w:val="auto"/>
        </w:rPr>
        <w:t>。</w:t>
      </w:r>
    </w:p>
    <w:p>
      <w:pPr>
        <w:pStyle w:val="3"/>
        <w:jc w:val="center"/>
        <w:rPr>
          <w:color w:val="auto"/>
        </w:rPr>
      </w:pPr>
      <w:bookmarkStart w:id="101" w:name="_Toc9311"/>
      <w:r>
        <w:rPr>
          <w:color w:val="auto"/>
        </w:rPr>
        <w:t>8.</w:t>
      </w:r>
      <w:r>
        <w:rPr>
          <w:rFonts w:hint="eastAsia"/>
          <w:color w:val="auto"/>
        </w:rPr>
        <w:t>5</w:t>
      </w:r>
      <w:r>
        <w:rPr>
          <w:color w:val="auto"/>
        </w:rPr>
        <w:t xml:space="preserve"> </w:t>
      </w:r>
      <w:r>
        <w:rPr>
          <w:rFonts w:hint="eastAsia"/>
          <w:color w:val="auto"/>
        </w:rPr>
        <w:t>健康监测</w:t>
      </w:r>
      <w:bookmarkEnd w:id="101"/>
    </w:p>
    <w:p>
      <w:pPr>
        <w:pStyle w:val="4"/>
        <w:ind w:firstLine="0" w:firstLineChars="0"/>
        <w:rPr>
          <w:color w:val="auto"/>
        </w:rPr>
      </w:pPr>
      <w:r>
        <w:rPr>
          <w:color w:val="auto"/>
        </w:rPr>
        <w:t>8.5.1</w:t>
      </w:r>
      <w:r>
        <w:rPr>
          <w:rFonts w:hint="eastAsia"/>
          <w:color w:val="auto"/>
        </w:rPr>
        <w:t xml:space="preserve"> </w:t>
      </w:r>
      <w:r>
        <w:rPr>
          <w:color w:val="auto"/>
        </w:rPr>
        <w:t>对特大跨径桥梁</w:t>
      </w:r>
      <w:r>
        <w:rPr>
          <w:rFonts w:hint="eastAsia"/>
          <w:color w:val="auto"/>
        </w:rPr>
        <w:t>，</w:t>
      </w:r>
      <w:r>
        <w:rPr>
          <w:color w:val="auto"/>
        </w:rPr>
        <w:t>特殊结构、特殊材料、特殊施工工艺</w:t>
      </w:r>
      <w:r>
        <w:rPr>
          <w:rFonts w:hint="eastAsia"/>
          <w:color w:val="auto"/>
        </w:rPr>
        <w:t>和</w:t>
      </w:r>
      <w:r>
        <w:rPr>
          <w:color w:val="auto"/>
        </w:rPr>
        <w:t>有特殊要求的桥梁或构筑物，以及技术状况等级为</w:t>
      </w:r>
      <w:r>
        <w:rPr>
          <w:rFonts w:hint="eastAsia"/>
          <w:color w:val="auto"/>
        </w:rPr>
        <w:t>D级、E级运营中的城市桥梁等，宜基于运维信息模型进行</w:t>
      </w:r>
      <w:r>
        <w:rPr>
          <w:color w:val="auto"/>
        </w:rPr>
        <w:t>结构</w:t>
      </w:r>
      <w:r>
        <w:rPr>
          <w:rFonts w:hint="eastAsia"/>
          <w:color w:val="auto"/>
        </w:rPr>
        <w:t>健康监测</w:t>
      </w:r>
      <w:r>
        <w:rPr>
          <w:color w:val="auto"/>
        </w:rPr>
        <w:t>。</w:t>
      </w:r>
    </w:p>
    <w:p>
      <w:pPr>
        <w:pStyle w:val="4"/>
        <w:ind w:firstLine="0" w:firstLineChars="0"/>
        <w:rPr>
          <w:color w:val="auto"/>
        </w:rPr>
      </w:pPr>
      <w:r>
        <w:rPr>
          <w:color w:val="auto"/>
        </w:rPr>
        <w:t>8.5.2</w:t>
      </w:r>
      <w:r>
        <w:rPr>
          <w:rFonts w:hint="eastAsia"/>
          <w:color w:val="auto"/>
        </w:rPr>
        <w:t xml:space="preserve"> </w:t>
      </w:r>
      <w:r>
        <w:rPr>
          <w:color w:val="auto"/>
        </w:rPr>
        <w:t xml:space="preserve"> </w:t>
      </w:r>
      <w:r>
        <w:rPr>
          <w:rFonts w:hint="eastAsia"/>
          <w:color w:val="auto"/>
        </w:rPr>
        <w:t>基于运维信息模型的</w:t>
      </w:r>
      <w:r>
        <w:rPr>
          <w:color w:val="auto"/>
        </w:rPr>
        <w:t>结构</w:t>
      </w:r>
      <w:r>
        <w:rPr>
          <w:rFonts w:hint="eastAsia"/>
          <w:color w:val="auto"/>
        </w:rPr>
        <w:t>健康监测宜包括</w:t>
      </w:r>
      <w:r>
        <w:rPr>
          <w:color w:val="auto"/>
        </w:rPr>
        <w:t>结构</w:t>
      </w:r>
      <w:r>
        <w:rPr>
          <w:rFonts w:hint="eastAsia"/>
          <w:color w:val="auto"/>
        </w:rPr>
        <w:t>监测、数据采集与分析、损伤识别、</w:t>
      </w:r>
      <w:r>
        <w:rPr>
          <w:color w:val="auto"/>
        </w:rPr>
        <w:t>结构</w:t>
      </w:r>
      <w:r>
        <w:rPr>
          <w:rFonts w:hint="eastAsia"/>
          <w:color w:val="auto"/>
        </w:rPr>
        <w:t>状态评估及预警、趋势跟踪与预测、健康诊断等</w:t>
      </w:r>
      <w:r>
        <w:rPr>
          <w:color w:val="auto"/>
        </w:rPr>
        <w:t>。</w:t>
      </w:r>
    </w:p>
    <w:p>
      <w:pPr>
        <w:pStyle w:val="4"/>
        <w:ind w:firstLine="0" w:firstLineChars="0"/>
        <w:rPr>
          <w:color w:val="auto"/>
        </w:rPr>
      </w:pPr>
      <w:r>
        <w:rPr>
          <w:color w:val="auto"/>
        </w:rPr>
        <w:t>8.5.3</w:t>
      </w:r>
      <w:r>
        <w:rPr>
          <w:rFonts w:hint="eastAsia"/>
          <w:color w:val="auto"/>
        </w:rPr>
        <w:t xml:space="preserve"> </w:t>
      </w:r>
      <w:r>
        <w:rPr>
          <w:color w:val="auto"/>
        </w:rPr>
        <w:t xml:space="preserve"> 结构</w:t>
      </w:r>
      <w:r>
        <w:rPr>
          <w:rFonts w:hint="eastAsia"/>
          <w:color w:val="auto"/>
        </w:rPr>
        <w:t>健康监测宜基于运维管理平台或健康监测平台进行，健康监测点布置和监测数据应与运维信息模型进行关联，并应建立信息反馈与预警机制</w:t>
      </w:r>
      <w:r>
        <w:rPr>
          <w:color w:val="auto"/>
        </w:rPr>
        <w:t>。</w:t>
      </w:r>
    </w:p>
    <w:p>
      <w:pPr>
        <w:pStyle w:val="4"/>
        <w:ind w:firstLine="0" w:firstLineChars="0"/>
        <w:rPr>
          <w:color w:val="auto"/>
        </w:rPr>
      </w:pPr>
      <w:r>
        <w:rPr>
          <w:color w:val="auto"/>
        </w:rPr>
        <w:t>8.5.4</w:t>
      </w:r>
      <w:r>
        <w:rPr>
          <w:rFonts w:hint="eastAsia"/>
          <w:color w:val="auto"/>
        </w:rPr>
        <w:t xml:space="preserve"> </w:t>
      </w:r>
      <w:r>
        <w:rPr>
          <w:color w:val="auto"/>
        </w:rPr>
        <w:t xml:space="preserve"> 结构</w:t>
      </w:r>
      <w:r>
        <w:rPr>
          <w:rFonts w:hint="eastAsia"/>
          <w:color w:val="auto"/>
        </w:rPr>
        <w:t>健康监测宜满足实时数据采集与分析、基于模型在线评估与预警等功能</w:t>
      </w:r>
      <w:r>
        <w:rPr>
          <w:color w:val="auto"/>
        </w:rPr>
        <w:t>。</w:t>
      </w:r>
    </w:p>
    <w:p>
      <w:pPr>
        <w:pStyle w:val="4"/>
        <w:ind w:firstLine="0" w:firstLineChars="0"/>
        <w:rPr>
          <w:color w:val="auto"/>
        </w:rPr>
      </w:pPr>
      <w:r>
        <w:rPr>
          <w:color w:val="auto"/>
        </w:rPr>
        <w:t>8.5.5</w:t>
      </w:r>
      <w:r>
        <w:rPr>
          <w:rFonts w:hint="eastAsia"/>
          <w:color w:val="auto"/>
        </w:rPr>
        <w:t xml:space="preserve"> </w:t>
      </w:r>
      <w:r>
        <w:rPr>
          <w:color w:val="auto"/>
        </w:rPr>
        <w:t xml:space="preserve"> 结构</w:t>
      </w:r>
      <w:r>
        <w:rPr>
          <w:rFonts w:hint="eastAsia"/>
          <w:color w:val="auto"/>
        </w:rPr>
        <w:t>健康监测应包括作用监测以及结构响应监测，并宜将监测值与模型实时关联</w:t>
      </w:r>
      <w:r>
        <w:rPr>
          <w:color w:val="auto"/>
        </w:rPr>
        <w:t>。</w:t>
      </w:r>
    </w:p>
    <w:p>
      <w:pPr>
        <w:pStyle w:val="3"/>
        <w:jc w:val="center"/>
        <w:rPr>
          <w:color w:val="auto"/>
        </w:rPr>
      </w:pPr>
      <w:bookmarkStart w:id="102" w:name="_Toc21513"/>
      <w:r>
        <w:rPr>
          <w:color w:val="auto"/>
        </w:rPr>
        <w:t xml:space="preserve">8.6 </w:t>
      </w:r>
      <w:r>
        <w:rPr>
          <w:rFonts w:hint="eastAsia"/>
          <w:color w:val="auto"/>
        </w:rPr>
        <w:t>应急管理</w:t>
      </w:r>
      <w:bookmarkEnd w:id="102"/>
    </w:p>
    <w:p>
      <w:pPr>
        <w:pStyle w:val="4"/>
        <w:ind w:firstLine="0" w:firstLineChars="0"/>
        <w:rPr>
          <w:color w:val="auto"/>
        </w:rPr>
      </w:pPr>
      <w:r>
        <w:rPr>
          <w:color w:val="auto"/>
        </w:rPr>
        <w:t>8.6.1</w:t>
      </w:r>
      <w:r>
        <w:rPr>
          <w:rFonts w:hint="eastAsia"/>
          <w:color w:val="auto"/>
        </w:rPr>
        <w:t xml:space="preserve"> 基于运维信息模型的城市道路应急管理应包括应急预案管理和应急救援管理等工作</w:t>
      </w:r>
      <w:r>
        <w:rPr>
          <w:color w:val="auto"/>
        </w:rPr>
        <w:t>。</w:t>
      </w:r>
    </w:p>
    <w:p>
      <w:pPr>
        <w:pStyle w:val="4"/>
        <w:ind w:firstLine="0" w:firstLineChars="0"/>
        <w:rPr>
          <w:color w:val="auto"/>
        </w:rPr>
      </w:pPr>
      <w:r>
        <w:rPr>
          <w:color w:val="auto"/>
        </w:rPr>
        <w:t>8.6.2</w:t>
      </w:r>
      <w:r>
        <w:rPr>
          <w:rFonts w:hint="eastAsia"/>
          <w:color w:val="auto"/>
        </w:rPr>
        <w:t xml:space="preserve"> 应急管理的交通管制方案制定、救援及疏散路径规划、应急资源查询等宜通过BIM协同</w:t>
      </w:r>
      <w:r>
        <w:rPr>
          <w:color w:val="auto"/>
        </w:rPr>
        <w:t>平台或交通监管平台</w:t>
      </w:r>
      <w:r>
        <w:rPr>
          <w:rFonts w:hint="eastAsia"/>
          <w:color w:val="auto"/>
        </w:rPr>
        <w:t>开展，并宜基于运维信息模型进行</w:t>
      </w:r>
      <w:r>
        <w:rPr>
          <w:color w:val="auto"/>
        </w:rPr>
        <w:t>。</w:t>
      </w:r>
    </w:p>
    <w:p>
      <w:pPr>
        <w:pStyle w:val="4"/>
        <w:ind w:firstLine="0" w:firstLineChars="0"/>
        <w:rPr>
          <w:color w:val="auto"/>
        </w:rPr>
      </w:pPr>
      <w:r>
        <w:rPr>
          <w:color w:val="auto"/>
        </w:rPr>
        <w:t>8.6.3</w:t>
      </w:r>
      <w:r>
        <w:rPr>
          <w:rFonts w:hint="eastAsia"/>
          <w:color w:val="auto"/>
        </w:rPr>
        <w:t xml:space="preserve"> 应急预案管理应基于运维信息模型和危险源清单等进行应急预案编制以及应急演练等工作</w:t>
      </w:r>
      <w:r>
        <w:rPr>
          <w:color w:val="auto"/>
        </w:rPr>
        <w:t>。</w:t>
      </w:r>
    </w:p>
    <w:p>
      <w:pPr>
        <w:pStyle w:val="4"/>
        <w:ind w:firstLine="0" w:firstLineChars="0"/>
        <w:rPr>
          <w:color w:val="auto"/>
        </w:rPr>
      </w:pPr>
      <w:r>
        <w:rPr>
          <w:color w:val="auto"/>
        </w:rPr>
        <w:t>8.6.4</w:t>
      </w:r>
      <w:r>
        <w:rPr>
          <w:rFonts w:hint="eastAsia"/>
          <w:color w:val="auto"/>
        </w:rPr>
        <w:t xml:space="preserve"> 应急救援管理应基于运维信息模型及应急预案等进行应急响应、应急分析与决策、现场救援指导等工作</w:t>
      </w:r>
      <w:r>
        <w:rPr>
          <w:color w:val="auto"/>
        </w:rPr>
        <w:t>。</w:t>
      </w:r>
    </w:p>
    <w:p>
      <w:pPr>
        <w:pStyle w:val="645"/>
        <w:spacing w:before="156" w:after="156"/>
        <w:ind w:firstLine="0" w:firstLineChars="0"/>
        <w:rPr>
          <w:color w:val="auto"/>
        </w:rPr>
      </w:pPr>
    </w:p>
    <w:p>
      <w:pPr>
        <w:ind w:firstLine="480"/>
        <w:rPr>
          <w:color w:val="auto"/>
        </w:rPr>
      </w:pPr>
    </w:p>
    <w:p>
      <w:pPr>
        <w:pStyle w:val="4"/>
        <w:ind w:firstLine="480"/>
        <w:rPr>
          <w:color w:val="auto"/>
        </w:rPr>
        <w:sectPr>
          <w:pgSz w:w="11906" w:h="16838"/>
          <w:pgMar w:top="1440" w:right="1800" w:bottom="1440" w:left="1800" w:header="851" w:footer="992" w:gutter="0"/>
          <w:cols w:space="425" w:num="1"/>
          <w:docGrid w:type="lines" w:linePitch="312" w:charSpace="0"/>
        </w:sectPr>
      </w:pPr>
    </w:p>
    <w:p>
      <w:pPr>
        <w:pStyle w:val="2"/>
        <w:spacing w:before="312" w:after="312"/>
        <w:jc w:val="center"/>
        <w:rPr>
          <w:rFonts w:eastAsia="宋体"/>
          <w:b/>
          <w:i/>
          <w:color w:val="auto"/>
          <w:sz w:val="24"/>
        </w:rPr>
      </w:pPr>
      <w:bookmarkStart w:id="103" w:name="_Toc26475"/>
      <w:r>
        <w:rPr>
          <w:color w:val="auto"/>
        </w:rPr>
        <w:t>附录A</w:t>
      </w:r>
      <w:r>
        <w:rPr>
          <w:rFonts w:hint="eastAsia"/>
          <w:color w:val="auto"/>
        </w:rPr>
        <w:t>:</w:t>
      </w:r>
      <w:r>
        <w:rPr>
          <w:color w:val="auto"/>
        </w:rPr>
        <w:t xml:space="preserve"> </w:t>
      </w:r>
      <w:r>
        <w:rPr>
          <w:rFonts w:hint="eastAsia"/>
          <w:color w:val="auto"/>
        </w:rPr>
        <w:t>各阶段模型应用点汇总</w:t>
      </w:r>
      <w:bookmarkEnd w:id="103"/>
    </w:p>
    <w:p>
      <w:pPr>
        <w:ind w:firstLine="0" w:firstLineChars="0"/>
        <w:jc w:val="center"/>
        <w:rPr>
          <w:b/>
          <w:color w:val="auto"/>
          <w:sz w:val="21"/>
          <w:szCs w:val="21"/>
        </w:rPr>
      </w:pPr>
      <w:r>
        <w:rPr>
          <w:b/>
          <w:color w:val="auto"/>
          <w:sz w:val="21"/>
          <w:szCs w:val="21"/>
        </w:rPr>
        <w:t>表</w:t>
      </w:r>
      <w:r>
        <w:rPr>
          <w:rFonts w:hint="eastAsia"/>
          <w:b/>
          <w:color w:val="auto"/>
          <w:sz w:val="21"/>
          <w:szCs w:val="21"/>
        </w:rPr>
        <w:t>A</w:t>
      </w:r>
      <w:r>
        <w:rPr>
          <w:b/>
          <w:color w:val="auto"/>
          <w:sz w:val="21"/>
          <w:szCs w:val="21"/>
        </w:rPr>
        <w:t xml:space="preserve">   各阶段模型应用点汇总</w:t>
      </w:r>
      <w:r>
        <w:rPr>
          <w:rFonts w:hint="eastAsia"/>
          <w:b/>
          <w:color w:val="auto"/>
          <w:sz w:val="21"/>
          <w:szCs w:val="21"/>
        </w:rPr>
        <w:t>参考</w:t>
      </w:r>
      <w:r>
        <w:rPr>
          <w:b/>
          <w:color w:val="auto"/>
          <w:sz w:val="21"/>
          <w:szCs w:val="21"/>
        </w:rPr>
        <w:t>表</w:t>
      </w:r>
    </w:p>
    <w:tbl>
      <w:tblPr>
        <w:tblStyle w:val="75"/>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1240"/>
        <w:gridCol w:w="3939"/>
        <w:gridCol w:w="645"/>
        <w:gridCol w:w="667"/>
        <w:gridCol w:w="667"/>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序号</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模型应用点</w:t>
            </w:r>
          </w:p>
        </w:tc>
        <w:tc>
          <w:tcPr>
            <w:tcW w:w="393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应用内容说明</w:t>
            </w:r>
          </w:p>
        </w:tc>
        <w:tc>
          <w:tcPr>
            <w:tcW w:w="645" w:type="dxa"/>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设计前期</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设计阶段</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施工阶段</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运维</w:t>
            </w:r>
            <w:r>
              <w:rPr>
                <w:rFonts w:asciiTheme="minorHAnsi" w:hAnsiTheme="minorHAnsi" w:eastAsiaTheme="minorEastAsia" w:cstheme="minorBidi"/>
                <w:color w:val="auto"/>
                <w:kern w:val="2"/>
                <w:sz w:val="21"/>
                <w:szCs w:val="21"/>
              </w:rPr>
              <w:t>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1</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场地建模</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为现场场地、设施或设施内特定区域的现有条件建立三维模型</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P</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O</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设计建模</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利用参数化设计为工程设施设计具有三维和附加属性信息的模型</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P</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3</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需求分析</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使用三维模型有效、准确地评估工程功能需求，分析并了解项目需求的复杂性</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P</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P</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方案比选及优化</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对线位、结构以及重要节点的施工工艺等进行多方案比选，并进行相应的优化调整，达到综合效果最优</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P</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成本估算</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在项目的整个生命周期中，模型可用于帮助生成准确的数量估算和成本估算。可在项目的所有阶段看到其变更的成本影响，有助于抑制因项目修改而导致的过度预算超支</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P</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指标分析</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对关键技术指标以及经济性指标进行统计分析，并应对指标的合理性、合规性以及正确性进行判断，从而辅助决策分析</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P</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w:t>
            </w:r>
            <w:r>
              <w:rPr>
                <w:rFonts w:asciiTheme="minorHAnsi" w:hAnsiTheme="minorHAnsi" w:eastAsiaTheme="minorEastAsia" w:cstheme="minorBidi"/>
                <w:color w:val="auto"/>
                <w:kern w:val="2"/>
                <w:sz w:val="21"/>
                <w:szCs w:val="21"/>
              </w:rPr>
              <w:t>D模拟</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利用模型有效模拟现场的施工顺序和空间需求，或规划翻修、改造、加建中的分阶段占用时间等，让参与方更好地了解项目里程碑和施工计划</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O</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P</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关键施工步序模拟</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对可能制约项目实施以及影响施工进度的难点问题进行施工模拟，提前发现及解决施工过程中可能出现的问题，从而优化设计方案</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O</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P</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r>
              <w:rPr>
                <w:rFonts w:hint="eastAsia" w:asciiTheme="minorHAnsi" w:hAnsiTheme="minorHAnsi" w:eastAsiaTheme="minorEastAsia" w:cstheme="minorBidi"/>
                <w:b/>
                <w:color w:val="auto"/>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9</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能耗分析</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能耗分析是设计阶段对一个或多个工程设施能耗模拟程序使用适当调整的模型对当前设施设计进行的能耗评估</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O</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10</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交通分析</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利用模型进行区域路网及项目局部节点的交通组织分析，优化项目线位、出入口设计等</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r>
              <w:rPr>
                <w:rFonts w:hint="eastAsia" w:asciiTheme="minorHAnsi" w:hAnsiTheme="minorHAnsi" w:eastAsiaTheme="minorEastAsia" w:cstheme="minorBidi"/>
                <w:b/>
                <w:color w:val="auto"/>
                <w:kern w:val="2"/>
                <w:sz w:val="18"/>
                <w:szCs w:val="18"/>
              </w:rPr>
              <w:t>-</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结构分析</w:t>
            </w:r>
          </w:p>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（含性能优化分析）</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分析建模软件利用设计模型来确定给定结构系统行为，以建模所需的最低标准进行结构设计和分析优化。基于这一分析，进一步发展和完善结构设计，以创建有效、高效和可施工的结构系统</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P</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洪水分析</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基于数字高程模型（DEM）的网格模型，模拟洪水淹没过程，分析洪水对道路工程及相关构筑物的影响并辅助进行设计评估</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O</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照明分析</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利用模型对空间内或表面或一系列表面上的照明条件进行定量和美学审查</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O</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模型协调</w:t>
            </w:r>
            <w:r>
              <w:rPr>
                <w:rFonts w:hint="eastAsia" w:asciiTheme="minorHAnsi" w:hAnsiTheme="minorHAnsi" w:eastAsiaTheme="minorEastAsia" w:cstheme="minorBidi"/>
                <w:color w:val="auto"/>
                <w:kern w:val="2"/>
                <w:sz w:val="21"/>
                <w:szCs w:val="21"/>
              </w:rPr>
              <w:t>（含碰撞检查及净空分析等）</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对设计整合模型执行自动三维碰撞检测以识别潜在的协调问题，并通过可视化分析确定潜在的空间设计问题。整合模型可包括永久设计元素、临时工程元素以及包括净空或其他设备的潜在运营元素</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P</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视线分析</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对可能产生视线障碍的弯道以及竖曲线部位进行视线分析，清除及优化阻碍通视条件的物体对象</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隧道火灾疏散分析</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模拟密闭空间火灾情况下，火、烟雾、毒气等对人员疏散的影响，人员疏散路径的选取与优化评估等</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r>
              <w:rPr>
                <w:rFonts w:hint="eastAsia" w:asciiTheme="minorHAnsi" w:hAnsiTheme="minorHAnsi" w:eastAsiaTheme="minorEastAsia" w:cstheme="minorBidi"/>
                <w:b/>
                <w:color w:val="auto"/>
                <w:kern w:val="2"/>
                <w:sz w:val="18"/>
                <w:szCs w:val="18"/>
              </w:rPr>
              <w:t>-</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r>
              <w:rPr>
                <w:rFonts w:hint="eastAsia" w:asciiTheme="minorHAnsi" w:hAnsiTheme="minorHAnsi" w:eastAsiaTheme="minorEastAsia" w:cstheme="minorBidi"/>
                <w:b/>
                <w:color w:val="auto"/>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17</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隧道通风分析</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模拟长隧道项目设备通风性能以及相应改善情况的评估等。</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r>
              <w:rPr>
                <w:rFonts w:hint="eastAsia" w:asciiTheme="minorHAnsi" w:hAnsiTheme="minorHAnsi" w:eastAsiaTheme="minorEastAsia" w:cstheme="minorBidi"/>
                <w:b/>
                <w:color w:val="auto"/>
                <w:kern w:val="2"/>
                <w:sz w:val="18"/>
                <w:szCs w:val="18"/>
              </w:rPr>
              <w:t>-</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r>
              <w:rPr>
                <w:rFonts w:hint="eastAsia" w:asciiTheme="minorHAnsi" w:hAnsiTheme="minorHAnsi" w:eastAsiaTheme="minorEastAsia" w:cstheme="minorBidi"/>
                <w:b/>
                <w:color w:val="auto"/>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漫游体验</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对方案设计、初步设计、施工图设计阶段的模型进行漫游仿真以及驾驶体验，提前发现工程运维过程中可能出现的不良体验，优化设计，提升工程品质</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r>
              <w:rPr>
                <w:rFonts w:hint="eastAsia" w:asciiTheme="minorHAnsi" w:hAnsiTheme="minorHAnsi" w:eastAsiaTheme="minorEastAsia" w:cstheme="minorBidi"/>
                <w:color w:val="auto"/>
                <w:kern w:val="2"/>
                <w:sz w:val="21"/>
                <w:szCs w:val="21"/>
              </w:rPr>
              <w:t>M</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19</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模型出图</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根据模型输出相应的专业设计图纸，并应保证图模的一致性</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P</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r>
              <w:rPr>
                <w:rFonts w:hint="eastAsia" w:asciiTheme="minorHAnsi" w:hAnsiTheme="minorHAnsi" w:eastAsiaTheme="minorEastAsia" w:cstheme="minorBidi"/>
                <w:b/>
                <w:color w:val="auto"/>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20</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工程量统计</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应利用模型进行工程量统计，并应形成相应的工程量统计量表，工程量统计深度应满足各阶段的应用要求</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P</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r>
              <w:rPr>
                <w:rFonts w:hint="eastAsia" w:asciiTheme="minorHAnsi" w:hAnsiTheme="minorHAnsi" w:eastAsiaTheme="minorEastAsia" w:cstheme="minorBidi"/>
                <w:b/>
                <w:color w:val="auto"/>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模型审查</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与项目参与方一起审查工程建设项目信息模型，以获得反馈，验证项目的设计、施工及运营方面存在或可能存在的问题。审查可能包括评估程序要求，预览虚拟环境中的用户体验、空间美学和布局，以及设计标准，如功能布局、视线、照明、安全、人体工程学、声学等</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P</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22</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可持续性</w:t>
            </w:r>
          </w:p>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分析</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基于可持续标准来评估项目信息模型，该过程可发生在工程设施寿命的所有阶段，包括规划、设计、施工和运营。在规划和早期设计阶段将可持续特征应用于项目更有效（能影响设计）和更高效（成本和决策时间表）</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P</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报批报建</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基于模型应用数字技术支持工程建设项目的报批报建工作</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招投标</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应在招标文件中规定数字技术应用的具体内容，并明确交付成果、验收评价标准和奖惩措施等。投标单位应对招标文件具体要求进行响应</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P</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r>
              <w:rPr>
                <w:rFonts w:hint="eastAsia" w:asciiTheme="minorHAnsi" w:hAnsiTheme="minorHAnsi" w:eastAsiaTheme="minorEastAsia" w:cstheme="minorBidi"/>
                <w:color w:val="auto"/>
                <w:kern w:val="2"/>
                <w:sz w:val="21"/>
                <w:szCs w:val="21"/>
              </w:rPr>
              <w:t>M</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r>
              <w:rPr>
                <w:rFonts w:hint="eastAsia" w:asciiTheme="minorHAnsi" w:hAnsiTheme="minorHAnsi" w:eastAsiaTheme="minorEastAsia" w:cstheme="minorBidi"/>
                <w:b/>
                <w:color w:val="auto"/>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施工文件</w:t>
            </w:r>
          </w:p>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编制</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使用模型编制必要的施工文件，以便将工程设施设计传达给施工人员，宜包括平面图、立面图、剖面图、渲染图、工程数量明细表、三维图表或说明书等</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深化设计</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基于设计模型针对施工阶段分部分项工程需求对各专业模型进行深化设计，为施工阶段的数字技术应用提供模型基础，深化设计模型可按需要组织工程项目相关单位进行会审</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r>
              <w:rPr>
                <w:rFonts w:hint="eastAsia" w:asciiTheme="minorHAnsi" w:hAnsiTheme="minorHAnsi" w:eastAsiaTheme="minorEastAsia" w:cstheme="minorBidi"/>
                <w:color w:val="auto"/>
                <w:kern w:val="2"/>
                <w:sz w:val="21"/>
                <w:szCs w:val="21"/>
              </w:rPr>
              <w:t>M</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r>
              <w:rPr>
                <w:rFonts w:hint="eastAsia" w:asciiTheme="minorHAnsi" w:hAnsiTheme="minorHAnsi" w:eastAsiaTheme="minorEastAsia" w:cstheme="minorBidi"/>
                <w:b/>
                <w:color w:val="auto"/>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施工组织</w:t>
            </w:r>
          </w:p>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模拟</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对多阶段的施工过程创建现场永久和临时工程设施的模型，以沟通现场实际情况及总体组织计划。它还可以与施工活动进度计划相联系，以表达空间和顺序需求。纳入模型中的其他信息可以包括人力资源、相关交付的材料和设备位置。也可将模型组件直接链接到施工日程，利用不同时空数据分析现场管理功能，例如可视化规划、短期重新规划和资源分析等</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临时工程</w:t>
            </w:r>
          </w:p>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建模</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使用模型编制永久工程系统施工所需的临时工程系统的设计。这些临时工程系统可包括混凝土模板、脚手架、开挖支撑系统、临时支撑、临时加热、临时照明或其他工程临时施工系统</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29</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预制加工</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利用模型中的信息来制造工程标准件、组件或模块，例如，混凝土预制构件、钢结构构件、机电产品等</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30</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施工场地</w:t>
            </w:r>
          </w:p>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布置</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使用模型信息来布局工程设施组件或自动控制建设工程建设项目上的自动化设备</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31</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大件运输</w:t>
            </w:r>
          </w:p>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模拟</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基于模型对施工过程中需要使用的大件运输条件进行分析与决策</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r>
              <w:rPr>
                <w:rFonts w:hint="eastAsia" w:asciiTheme="minorHAnsi" w:hAnsiTheme="minorHAnsi" w:eastAsiaTheme="minorEastAsia" w:cstheme="minorBidi"/>
                <w:b/>
                <w:color w:val="auto"/>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32</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施工技术交底</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利用三维模型针对施工难点、设备安装、关键工艺和关键技术注意事项等内容进行可视化交底</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r>
              <w:rPr>
                <w:rFonts w:hint="eastAsia" w:asciiTheme="minorHAnsi" w:hAnsiTheme="minorHAnsi" w:eastAsiaTheme="minorEastAsia" w:cstheme="minorBidi"/>
                <w:b/>
                <w:color w:val="auto"/>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33</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虚拟建造</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利用模型进行施工建造过程模拟、施工工艺模拟、施工组织设计模拟等，从而指导工程建造实施</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r>
              <w:rPr>
                <w:rFonts w:hint="eastAsia" w:asciiTheme="minorHAnsi" w:hAnsiTheme="minorHAnsi" w:eastAsiaTheme="minorEastAsia" w:cstheme="minorBidi"/>
                <w:b/>
                <w:color w:val="auto"/>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34</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项目管理</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基于模型进行项目质量、安全、进度、成本等实施过程的管理。质量管理主要包括质量管理计划的制定、质量过程的控制以及质量验收等内容；安全管理主要包括安全管理方案、安全过程控制、安全生产教育、文明施工管理等内容；进度管理主要包括施工进度计划编制以及施工进度管控等内容；成本管理主要包括工程量统计、成本计划、进度信息、合同预算成本计算、三算对比、成本核算、成本分析、变更分析、计量支付以及预算和决算管理等</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b/>
                <w:color w:val="auto"/>
                <w:kern w:val="2"/>
                <w:sz w:val="18"/>
                <w:szCs w:val="18"/>
              </w:rPr>
            </w:pPr>
            <w:r>
              <w:rPr>
                <w:rFonts w:hint="eastAsia" w:asciiTheme="minorHAnsi" w:hAnsiTheme="minorHAnsi" w:eastAsiaTheme="minorEastAsia" w:cstheme="minorBidi"/>
                <w:b/>
                <w:color w:val="auto"/>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35</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竣工</w:t>
            </w:r>
            <w:r>
              <w:rPr>
                <w:rFonts w:asciiTheme="minorHAnsi" w:hAnsiTheme="minorHAnsi" w:eastAsiaTheme="minorEastAsia" w:cstheme="minorBidi"/>
                <w:color w:val="auto"/>
                <w:kern w:val="2"/>
                <w:sz w:val="21"/>
                <w:szCs w:val="21"/>
              </w:rPr>
              <w:t>模型</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获取工程设施要素、周围条件和工程设施资产相关信息的过程。竣工模型至少应包含与建设工程、结构和机电系统相关的信息</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36</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维护监测</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使用工程设施信息模型监控设施状态并安排工程设施的维护活动</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37</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健康</w:t>
            </w:r>
            <w:r>
              <w:rPr>
                <w:rFonts w:hint="eastAsia" w:asciiTheme="minorHAnsi" w:hAnsiTheme="minorHAnsi" w:eastAsiaTheme="minorEastAsia" w:cstheme="minorBidi"/>
                <w:color w:val="auto"/>
                <w:kern w:val="2"/>
                <w:sz w:val="21"/>
                <w:szCs w:val="21"/>
              </w:rPr>
              <w:t>监测</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将构筑物健康监测系统与运维模型双向链接，以进行有效的工程设施维护和运营</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38</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运营监控</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利用工程设施的分析模型和传感器数据，对工程设施系统的路面系统、结构、机电、安全和消防等整体功能性能进行评估</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39</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应急管理</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应急管理者可以访问模型和信息系统形式的关键工程信息的过程。运维信息模型将向应急管理者提供关键的模型信息，从而提高响应效率并将安全风险降至最低</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40</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资产</w:t>
            </w:r>
            <w:r>
              <w:rPr>
                <w:rFonts w:asciiTheme="minorHAnsi" w:hAnsiTheme="minorHAnsi" w:eastAsiaTheme="minorEastAsia" w:cstheme="minorBidi"/>
                <w:color w:val="auto"/>
                <w:kern w:val="2"/>
                <w:sz w:val="21"/>
                <w:szCs w:val="21"/>
              </w:rPr>
              <w:t>管理</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将资产信息与运维信息模型进行关联，统筹与管理工程实物和空间相关的资产</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42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w:t>
            </w:r>
          </w:p>
        </w:tc>
        <w:tc>
          <w:tcPr>
            <w:tcW w:w="1240"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asciiTheme="minorHAnsi" w:hAnsiTheme="minorHAnsi" w:eastAsiaTheme="minorEastAsia" w:cstheme="minorBidi"/>
                <w:color w:val="auto"/>
                <w:kern w:val="2"/>
                <w:sz w:val="21"/>
                <w:szCs w:val="21"/>
              </w:rPr>
              <w:t>合规检查</w:t>
            </w:r>
          </w:p>
        </w:tc>
        <w:tc>
          <w:tcPr>
            <w:tcW w:w="3939" w:type="dxa"/>
            <w:vAlign w:val="center"/>
          </w:tcPr>
          <w:p>
            <w:pPr>
              <w:spacing w:line="240" w:lineRule="auto"/>
              <w:ind w:firstLine="420"/>
              <w:jc w:val="left"/>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利用规范验证软件对照工程建设项目特定规范检查模型参数，已达到满足规范最低标准要求</w:t>
            </w:r>
          </w:p>
        </w:tc>
        <w:tc>
          <w:tcPr>
            <w:tcW w:w="645"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M</w:t>
            </w:r>
          </w:p>
        </w:tc>
        <w:tc>
          <w:tcPr>
            <w:tcW w:w="667"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P</w:t>
            </w:r>
          </w:p>
        </w:tc>
        <w:tc>
          <w:tcPr>
            <w:tcW w:w="709" w:type="dxa"/>
            <w:vAlign w:val="center"/>
          </w:tcPr>
          <w:p>
            <w:pPr>
              <w:spacing w:line="240" w:lineRule="auto"/>
              <w:ind w:firstLine="0" w:firstLineChars="0"/>
              <w:jc w:val="center"/>
              <w:textAlignment w:val="top"/>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b/>
                <w:color w:val="auto"/>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8296" w:type="dxa"/>
            <w:gridSpan w:val="7"/>
            <w:vAlign w:val="center"/>
          </w:tcPr>
          <w:p>
            <w:pPr>
              <w:spacing w:line="240" w:lineRule="auto"/>
              <w:ind w:firstLine="0" w:firstLineChars="0"/>
              <w:jc w:val="left"/>
              <w:textAlignment w:val="top"/>
              <w:rPr>
                <w:rFonts w:asciiTheme="minorHAnsi" w:hAnsiTheme="minorHAnsi" w:eastAsiaTheme="minorEastAsia" w:cstheme="minorBidi"/>
                <w:b/>
                <w:color w:val="auto"/>
                <w:kern w:val="2"/>
                <w:sz w:val="18"/>
                <w:szCs w:val="18"/>
              </w:rPr>
            </w:pPr>
            <w:r>
              <w:rPr>
                <w:rFonts w:asciiTheme="minorHAnsi" w:hAnsiTheme="minorHAnsi" w:eastAsiaTheme="minorEastAsia" w:cstheme="minorBidi"/>
                <w:b/>
                <w:color w:val="auto"/>
                <w:kern w:val="2"/>
                <w:sz w:val="18"/>
                <w:szCs w:val="18"/>
              </w:rPr>
              <w:t>注：</w:t>
            </w:r>
            <w:r>
              <w:rPr>
                <w:rFonts w:hint="eastAsia" w:asciiTheme="minorHAnsi" w:hAnsiTheme="minorHAnsi" w:eastAsiaTheme="minorEastAsia" w:cstheme="minorBidi"/>
                <w:b/>
                <w:color w:val="auto"/>
                <w:kern w:val="2"/>
                <w:sz w:val="18"/>
                <w:szCs w:val="18"/>
              </w:rPr>
              <w:t>“M”代表应应用，“P”代表宜应用，“O”代表可选择应用，“-”代表不适合应用。</w:t>
            </w:r>
          </w:p>
        </w:tc>
      </w:tr>
    </w:tbl>
    <w:p>
      <w:pPr>
        <w:ind w:firstLine="0" w:firstLineChars="0"/>
        <w:rPr>
          <w:color w:val="auto"/>
        </w:rPr>
      </w:pPr>
    </w:p>
    <w:p>
      <w:pPr>
        <w:ind w:firstLine="0" w:firstLineChars="0"/>
        <w:rPr>
          <w:b/>
          <w:i/>
          <w:color w:val="auto"/>
        </w:rPr>
      </w:pPr>
      <w:r>
        <w:rPr>
          <w:b/>
          <w:i/>
          <w:color w:val="auto"/>
        </w:rPr>
        <w:t>各应用阶段应用点汇总</w:t>
      </w:r>
    </w:p>
    <w:p>
      <w:pPr>
        <w:ind w:firstLine="0" w:firstLineChars="0"/>
        <w:rPr>
          <w:color w:val="auto"/>
        </w:rPr>
      </w:pPr>
    </w:p>
    <w:p>
      <w:pPr>
        <w:ind w:firstLine="0" w:firstLineChars="0"/>
        <w:rPr>
          <w:color w:val="auto"/>
        </w:rPr>
      </w:pPr>
    </w:p>
    <w:p>
      <w:pPr>
        <w:pStyle w:val="2"/>
        <w:spacing w:before="312" w:after="312"/>
        <w:jc w:val="center"/>
        <w:rPr>
          <w:rFonts w:eastAsia="宋体"/>
          <w:b/>
          <w:i/>
          <w:color w:val="auto"/>
          <w:sz w:val="24"/>
        </w:rPr>
      </w:pPr>
      <w:bookmarkStart w:id="104" w:name="_Toc20630"/>
      <w:r>
        <w:rPr>
          <w:color w:val="auto"/>
        </w:rPr>
        <w:t>附录B</w:t>
      </w:r>
      <w:r>
        <w:rPr>
          <w:rFonts w:hint="eastAsia"/>
          <w:color w:val="auto"/>
        </w:rPr>
        <w:t>:</w:t>
      </w:r>
      <w:r>
        <w:rPr>
          <w:color w:val="auto"/>
        </w:rPr>
        <w:t xml:space="preserve"> 模型单元系统分类</w:t>
      </w:r>
      <w:bookmarkEnd w:id="104"/>
    </w:p>
    <w:p>
      <w:pPr>
        <w:pStyle w:val="4"/>
        <w:ind w:firstLine="0" w:firstLineChars="0"/>
        <w:rPr>
          <w:color w:val="auto"/>
        </w:rPr>
      </w:pPr>
      <w:r>
        <w:rPr>
          <w:rFonts w:hint="eastAsia"/>
          <w:color w:val="auto"/>
        </w:rPr>
        <w:t>B</w:t>
      </w:r>
      <w:r>
        <w:rPr>
          <w:color w:val="auto"/>
        </w:rPr>
        <w:t xml:space="preserve">.0.1 </w:t>
      </w:r>
      <w:r>
        <w:rPr>
          <w:rFonts w:hint="eastAsia"/>
          <w:color w:val="auto"/>
        </w:rPr>
        <w:t>城市</w:t>
      </w:r>
      <w:r>
        <w:rPr>
          <w:color w:val="auto"/>
        </w:rPr>
        <w:t>道路</w:t>
      </w:r>
      <w:r>
        <w:rPr>
          <w:rFonts w:hint="eastAsia"/>
          <w:color w:val="auto"/>
        </w:rPr>
        <w:t>工程建设项目</w:t>
      </w:r>
      <w:r>
        <w:rPr>
          <w:color w:val="auto"/>
        </w:rPr>
        <w:t>系统分类应符合表B.0.1的规定。</w:t>
      </w:r>
    </w:p>
    <w:p>
      <w:pPr>
        <w:ind w:firstLine="422"/>
        <w:jc w:val="center"/>
        <w:rPr>
          <w:color w:val="auto"/>
        </w:rPr>
      </w:pPr>
      <w:r>
        <w:rPr>
          <w:b/>
          <w:color w:val="auto"/>
          <w:sz w:val="21"/>
          <w:szCs w:val="21"/>
        </w:rPr>
        <w:t xml:space="preserve">表B.0.1   </w:t>
      </w:r>
      <w:r>
        <w:rPr>
          <w:rFonts w:hint="eastAsia"/>
          <w:b/>
          <w:color w:val="auto"/>
          <w:sz w:val="21"/>
          <w:szCs w:val="21"/>
        </w:rPr>
        <w:t>城市道路工程建设项目</w:t>
      </w:r>
      <w:r>
        <w:rPr>
          <w:b/>
          <w:color w:val="auto"/>
          <w:sz w:val="21"/>
          <w:szCs w:val="21"/>
        </w:rPr>
        <w:t>系统分类</w:t>
      </w:r>
    </w:p>
    <w:tbl>
      <w:tblPr>
        <w:tblStyle w:val="75"/>
        <w:tblW w:w="48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6"/>
        <w:gridCol w:w="2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6"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0"/>
                <w:sz w:val="21"/>
                <w:szCs w:val="21"/>
              </w:rPr>
            </w:pPr>
            <w:r>
              <w:rPr>
                <w:rFonts w:asciiTheme="minorHAnsi" w:hAnsiTheme="minorHAnsi" w:cstheme="minorBidi"/>
                <w:color w:val="auto"/>
                <w:kern w:val="0"/>
                <w:sz w:val="21"/>
                <w:szCs w:val="21"/>
              </w:rPr>
              <w:t>一级系统</w:t>
            </w:r>
          </w:p>
        </w:tc>
        <w:tc>
          <w:tcPr>
            <w:tcW w:w="2576"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0"/>
                <w:sz w:val="21"/>
                <w:szCs w:val="21"/>
              </w:rPr>
            </w:pPr>
            <w:r>
              <w:rPr>
                <w:rFonts w:asciiTheme="minorHAnsi" w:hAnsiTheme="minorHAnsi" w:cstheme="minorBidi"/>
                <w:color w:val="auto"/>
                <w:kern w:val="0"/>
                <w:sz w:val="21"/>
                <w:szCs w:val="21"/>
              </w:rPr>
              <w:t>二级系统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6"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0"/>
                <w:sz w:val="21"/>
                <w:szCs w:val="21"/>
              </w:rPr>
            </w:pPr>
            <w:r>
              <w:rPr>
                <w:rFonts w:asciiTheme="minorHAnsi" w:hAnsiTheme="minorHAnsi" w:cstheme="minorBidi"/>
                <w:color w:val="auto"/>
                <w:kern w:val="0"/>
                <w:sz w:val="21"/>
                <w:szCs w:val="21"/>
              </w:rPr>
              <w:t>城市道路工程</w:t>
            </w:r>
          </w:p>
        </w:tc>
        <w:tc>
          <w:tcPr>
            <w:tcW w:w="2576"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0"/>
                <w:sz w:val="21"/>
                <w:szCs w:val="21"/>
              </w:rPr>
            </w:pPr>
            <w:r>
              <w:rPr>
                <w:rFonts w:asciiTheme="minorHAnsi" w:hAnsiTheme="minorHAnsi" w:cstheme="minorBidi"/>
                <w:color w:val="auto"/>
                <w:kern w:val="0"/>
                <w:sz w:val="21"/>
                <w:szCs w:val="21"/>
              </w:rPr>
              <w:t>道路工程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0"/>
                <w:sz w:val="21"/>
                <w:szCs w:val="21"/>
              </w:rPr>
            </w:pPr>
          </w:p>
        </w:tc>
        <w:tc>
          <w:tcPr>
            <w:tcW w:w="2576"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0"/>
                <w:sz w:val="21"/>
                <w:szCs w:val="21"/>
              </w:rPr>
            </w:pPr>
            <w:r>
              <w:rPr>
                <w:rFonts w:asciiTheme="minorHAnsi" w:hAnsiTheme="minorHAnsi" w:cstheme="minorBidi"/>
                <w:color w:val="auto"/>
                <w:kern w:val="0"/>
                <w:sz w:val="21"/>
                <w:szCs w:val="21"/>
              </w:rPr>
              <w:t>桥梁工程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0"/>
                <w:sz w:val="21"/>
                <w:szCs w:val="21"/>
              </w:rPr>
            </w:pPr>
          </w:p>
        </w:tc>
        <w:tc>
          <w:tcPr>
            <w:tcW w:w="2576"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0"/>
                <w:sz w:val="21"/>
                <w:szCs w:val="21"/>
              </w:rPr>
            </w:pPr>
            <w:r>
              <w:rPr>
                <w:rFonts w:asciiTheme="minorHAnsi" w:hAnsiTheme="minorHAnsi" w:cstheme="minorBidi"/>
                <w:color w:val="auto"/>
                <w:kern w:val="0"/>
                <w:sz w:val="21"/>
                <w:szCs w:val="21"/>
              </w:rPr>
              <w:t>隧道工程</w:t>
            </w:r>
          </w:p>
        </w:tc>
      </w:tr>
    </w:tbl>
    <w:p>
      <w:pPr>
        <w:ind w:firstLine="480"/>
        <w:rPr>
          <w:color w:val="auto"/>
        </w:rPr>
      </w:pPr>
    </w:p>
    <w:p>
      <w:pPr>
        <w:pStyle w:val="4"/>
        <w:ind w:firstLine="0" w:firstLineChars="0"/>
        <w:rPr>
          <w:color w:val="auto"/>
        </w:rPr>
      </w:pPr>
      <w:r>
        <w:rPr>
          <w:rFonts w:hint="eastAsia"/>
          <w:color w:val="auto"/>
        </w:rPr>
        <w:t>B</w:t>
      </w:r>
      <w:r>
        <w:rPr>
          <w:color w:val="auto"/>
        </w:rPr>
        <w:t>.0.2</w:t>
      </w:r>
      <w:r>
        <w:rPr>
          <w:rFonts w:hint="eastAsia"/>
          <w:color w:val="auto"/>
        </w:rPr>
        <w:t xml:space="preserve"> </w:t>
      </w:r>
      <w:r>
        <w:rPr>
          <w:color w:val="auto"/>
        </w:rPr>
        <w:t xml:space="preserve"> 道路工程系统分类应符合表B.0.2的规定。</w:t>
      </w:r>
    </w:p>
    <w:p>
      <w:pPr>
        <w:ind w:firstLine="422"/>
        <w:jc w:val="center"/>
        <w:rPr>
          <w:color w:val="auto"/>
        </w:rPr>
      </w:pPr>
      <w:r>
        <w:rPr>
          <w:b/>
          <w:color w:val="auto"/>
          <w:sz w:val="21"/>
          <w:szCs w:val="21"/>
        </w:rPr>
        <w:t xml:space="preserve">表B.0.2  </w:t>
      </w:r>
      <w:r>
        <w:rPr>
          <w:rFonts w:hint="eastAsia"/>
          <w:b/>
          <w:color w:val="auto"/>
          <w:sz w:val="21"/>
          <w:szCs w:val="21"/>
        </w:rPr>
        <w:t>道路</w:t>
      </w:r>
      <w:r>
        <w:rPr>
          <w:b/>
          <w:color w:val="auto"/>
          <w:sz w:val="21"/>
          <w:szCs w:val="21"/>
        </w:rPr>
        <w:t>工程系统分类</w:t>
      </w:r>
    </w:p>
    <w:tbl>
      <w:tblPr>
        <w:tblStyle w:val="75"/>
        <w:tblW w:w="56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14"/>
        <w:gridCol w:w="2182"/>
      </w:tblGrid>
      <w:tr>
        <w:tblPrEx>
          <w:tblLayout w:type="fixed"/>
          <w:tblCellMar>
            <w:top w:w="0" w:type="dxa"/>
            <w:left w:w="108" w:type="dxa"/>
            <w:bottom w:w="0" w:type="dxa"/>
            <w:right w:w="108" w:type="dxa"/>
          </w:tblCellMar>
        </w:tblPrEx>
        <w:trPr>
          <w:jc w:val="center"/>
        </w:trPr>
        <w:tc>
          <w:tcPr>
            <w:tcW w:w="1701"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0"/>
                <w:sz w:val="21"/>
                <w:szCs w:val="21"/>
              </w:rPr>
            </w:pPr>
            <w:r>
              <w:rPr>
                <w:rFonts w:asciiTheme="minorHAnsi" w:hAnsiTheme="minorHAnsi" w:cstheme="minorBidi"/>
                <w:color w:val="auto"/>
                <w:kern w:val="0"/>
                <w:sz w:val="21"/>
                <w:szCs w:val="21"/>
              </w:rPr>
              <w:t>一级系统</w:t>
            </w:r>
          </w:p>
        </w:tc>
        <w:tc>
          <w:tcPr>
            <w:tcW w:w="1814"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0"/>
                <w:sz w:val="21"/>
                <w:szCs w:val="21"/>
              </w:rPr>
            </w:pPr>
            <w:r>
              <w:rPr>
                <w:rFonts w:asciiTheme="minorHAnsi" w:hAnsiTheme="minorHAnsi" w:cstheme="minorBidi"/>
                <w:color w:val="auto"/>
                <w:kern w:val="0"/>
                <w:sz w:val="21"/>
                <w:szCs w:val="21"/>
              </w:rPr>
              <w:t>二级系统</w:t>
            </w:r>
          </w:p>
        </w:tc>
        <w:tc>
          <w:tcPr>
            <w:tcW w:w="2182"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三级系统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1"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0"/>
                <w:sz w:val="21"/>
                <w:szCs w:val="21"/>
              </w:rPr>
            </w:pPr>
            <w:r>
              <w:rPr>
                <w:rFonts w:asciiTheme="minorHAnsi" w:hAnsiTheme="minorHAnsi" w:cstheme="minorBidi"/>
                <w:color w:val="auto"/>
                <w:kern w:val="0"/>
                <w:sz w:val="21"/>
                <w:szCs w:val="21"/>
              </w:rPr>
              <w:t>道路工程</w:t>
            </w:r>
          </w:p>
        </w:tc>
        <w:tc>
          <w:tcPr>
            <w:tcW w:w="1814"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0"/>
                <w:sz w:val="21"/>
                <w:szCs w:val="21"/>
              </w:rPr>
            </w:pPr>
            <w:r>
              <w:rPr>
                <w:rFonts w:asciiTheme="minorHAnsi" w:hAnsiTheme="minorHAnsi" w:cstheme="minorBidi"/>
                <w:color w:val="auto"/>
                <w:kern w:val="0"/>
                <w:sz w:val="21"/>
                <w:szCs w:val="21"/>
              </w:rPr>
              <w:t>路线</w:t>
            </w:r>
          </w:p>
        </w:tc>
        <w:tc>
          <w:tcPr>
            <w:tcW w:w="2182"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道路定线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0"/>
                <w:sz w:val="21"/>
                <w:szCs w:val="21"/>
              </w:rPr>
            </w:pPr>
          </w:p>
        </w:tc>
        <w:tc>
          <w:tcPr>
            <w:tcW w:w="1814"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0"/>
                <w:sz w:val="21"/>
                <w:szCs w:val="21"/>
              </w:rPr>
            </w:pPr>
          </w:p>
        </w:tc>
        <w:tc>
          <w:tcPr>
            <w:tcW w:w="2182"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横断面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1814"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路面</w:t>
            </w:r>
          </w:p>
        </w:tc>
        <w:tc>
          <w:tcPr>
            <w:tcW w:w="2182"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路面结构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1814"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182"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缘石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1814"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路基</w:t>
            </w:r>
          </w:p>
        </w:tc>
        <w:tc>
          <w:tcPr>
            <w:tcW w:w="2182"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路基结构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1814"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182"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支挡防护</w:t>
            </w:r>
          </w:p>
        </w:tc>
      </w:tr>
      <w:tr>
        <w:tblPrEx>
          <w:tblLayout w:type="fixed"/>
          <w:tblCellMar>
            <w:top w:w="0" w:type="dxa"/>
            <w:left w:w="108" w:type="dxa"/>
            <w:bottom w:w="0" w:type="dxa"/>
            <w:right w:w="108" w:type="dxa"/>
          </w:tblCellMar>
        </w:tblPrEx>
        <w:trPr>
          <w:jc w:val="center"/>
        </w:trPr>
        <w:tc>
          <w:tcPr>
            <w:tcW w:w="170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1814"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182"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地基加固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1814"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182"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其它</w:t>
            </w:r>
            <w:r>
              <w:rPr>
                <w:rFonts w:asciiTheme="minorHAnsi" w:hAnsiTheme="minorHAnsi" w:cstheme="minorBidi"/>
                <w:color w:val="auto"/>
                <w:kern w:val="2"/>
                <w:sz w:val="21"/>
                <w:szCs w:val="21"/>
              </w:rPr>
              <w:t>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1814"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交通设施</w:t>
            </w:r>
          </w:p>
        </w:tc>
        <w:tc>
          <w:tcPr>
            <w:tcW w:w="2182"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交通标志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1814"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182"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交通标线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1814"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182"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防护设施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1814"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182"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公交设施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1814"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排水设施</w:t>
            </w:r>
          </w:p>
        </w:tc>
        <w:tc>
          <w:tcPr>
            <w:tcW w:w="2182"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明渠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1814"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182"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暗涵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1814"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182"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排水结构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1814"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照明设施</w:t>
            </w:r>
          </w:p>
        </w:tc>
        <w:tc>
          <w:tcPr>
            <w:tcW w:w="2182"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照明设施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1814"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182"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配电设施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1814"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景观设施</w:t>
            </w:r>
          </w:p>
        </w:tc>
        <w:tc>
          <w:tcPr>
            <w:tcW w:w="2182"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街具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1814"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182"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绿化</w:t>
            </w:r>
          </w:p>
        </w:tc>
      </w:tr>
    </w:tbl>
    <w:p>
      <w:pPr>
        <w:ind w:firstLine="480"/>
        <w:rPr>
          <w:color w:val="auto"/>
        </w:rPr>
      </w:pPr>
    </w:p>
    <w:p>
      <w:pPr>
        <w:pStyle w:val="4"/>
        <w:ind w:firstLine="0" w:firstLineChars="0"/>
        <w:rPr>
          <w:color w:val="auto"/>
        </w:rPr>
      </w:pPr>
      <w:r>
        <w:rPr>
          <w:rFonts w:hint="eastAsia"/>
          <w:color w:val="auto"/>
        </w:rPr>
        <w:t>B</w:t>
      </w:r>
      <w:r>
        <w:rPr>
          <w:color w:val="auto"/>
        </w:rPr>
        <w:t xml:space="preserve">.0.3  </w:t>
      </w:r>
      <w:r>
        <w:rPr>
          <w:rFonts w:hint="eastAsia"/>
          <w:color w:val="auto"/>
        </w:rPr>
        <w:t>桥梁</w:t>
      </w:r>
      <w:r>
        <w:rPr>
          <w:color w:val="auto"/>
        </w:rPr>
        <w:t>工程系统分类应符合表B.0.3规定。</w:t>
      </w:r>
    </w:p>
    <w:p>
      <w:pPr>
        <w:ind w:firstLine="422"/>
        <w:jc w:val="center"/>
        <w:rPr>
          <w:color w:val="auto"/>
        </w:rPr>
      </w:pPr>
      <w:r>
        <w:rPr>
          <w:b/>
          <w:color w:val="auto"/>
          <w:sz w:val="21"/>
          <w:szCs w:val="21"/>
        </w:rPr>
        <w:t xml:space="preserve">表B.0.3  </w:t>
      </w:r>
      <w:r>
        <w:rPr>
          <w:rFonts w:hint="eastAsia"/>
          <w:b/>
          <w:color w:val="auto"/>
          <w:sz w:val="21"/>
          <w:szCs w:val="21"/>
        </w:rPr>
        <w:t>桥梁</w:t>
      </w:r>
      <w:r>
        <w:rPr>
          <w:b/>
          <w:color w:val="auto"/>
          <w:sz w:val="21"/>
          <w:szCs w:val="21"/>
        </w:rPr>
        <w:t>工程系统分类</w:t>
      </w:r>
    </w:p>
    <w:tbl>
      <w:tblPr>
        <w:tblStyle w:val="75"/>
        <w:tblW w:w="58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2835"/>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0"/>
                <w:sz w:val="21"/>
                <w:szCs w:val="21"/>
              </w:rPr>
            </w:pPr>
            <w:r>
              <w:rPr>
                <w:rFonts w:asciiTheme="minorHAnsi" w:hAnsiTheme="minorHAnsi" w:cstheme="minorBidi"/>
                <w:color w:val="auto"/>
                <w:kern w:val="0"/>
                <w:sz w:val="21"/>
                <w:szCs w:val="21"/>
              </w:rPr>
              <w:t>一级系统</w:t>
            </w:r>
          </w:p>
        </w:tc>
        <w:tc>
          <w:tcPr>
            <w:tcW w:w="283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0"/>
                <w:sz w:val="21"/>
                <w:szCs w:val="21"/>
              </w:rPr>
              <w:t>二级系统</w:t>
            </w:r>
          </w:p>
        </w:tc>
        <w:tc>
          <w:tcPr>
            <w:tcW w:w="1701"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0"/>
                <w:sz w:val="21"/>
                <w:szCs w:val="21"/>
              </w:rPr>
              <w:t>三</w:t>
            </w:r>
            <w:r>
              <w:rPr>
                <w:rFonts w:asciiTheme="minorHAnsi" w:hAnsiTheme="minorHAnsi" w:cstheme="minorBidi"/>
                <w:color w:val="auto"/>
                <w:kern w:val="0"/>
                <w:sz w:val="21"/>
                <w:szCs w:val="21"/>
              </w:rPr>
              <w:t>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0"/>
                <w:sz w:val="21"/>
                <w:szCs w:val="21"/>
              </w:rPr>
            </w:pPr>
            <w:r>
              <w:rPr>
                <w:rFonts w:asciiTheme="minorHAnsi" w:hAnsiTheme="minorHAnsi" w:cstheme="minorBidi"/>
                <w:color w:val="auto"/>
                <w:kern w:val="0"/>
                <w:sz w:val="21"/>
                <w:szCs w:val="21"/>
              </w:rPr>
              <w:t>桥梁工程</w:t>
            </w:r>
          </w:p>
        </w:tc>
        <w:tc>
          <w:tcPr>
            <w:tcW w:w="2835"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上部结构</w:t>
            </w:r>
          </w:p>
        </w:tc>
        <w:tc>
          <w:tcPr>
            <w:tcW w:w="1701"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主纵梁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0"/>
                <w:sz w:val="21"/>
                <w:szCs w:val="21"/>
              </w:rPr>
            </w:pPr>
          </w:p>
        </w:tc>
        <w:tc>
          <w:tcPr>
            <w:tcW w:w="2835"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1701"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横梁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0"/>
                <w:sz w:val="21"/>
                <w:szCs w:val="21"/>
              </w:rPr>
            </w:pPr>
          </w:p>
        </w:tc>
        <w:tc>
          <w:tcPr>
            <w:tcW w:w="2835"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1701"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预应力系统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0"/>
                <w:sz w:val="21"/>
                <w:szCs w:val="21"/>
              </w:rPr>
            </w:pPr>
          </w:p>
        </w:tc>
        <w:tc>
          <w:tcPr>
            <w:tcW w:w="2835"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下部结构</w:t>
            </w:r>
          </w:p>
        </w:tc>
        <w:tc>
          <w:tcPr>
            <w:tcW w:w="1701"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桥墩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835"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1701"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桥台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835"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1701"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835"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1701"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预应力系统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835"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附属结构</w:t>
            </w:r>
          </w:p>
        </w:tc>
        <w:tc>
          <w:tcPr>
            <w:tcW w:w="1701"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桥面系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835"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1701"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检修系统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835"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1701"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防护系统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835"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支撑、耗能</w:t>
            </w:r>
          </w:p>
        </w:tc>
        <w:tc>
          <w:tcPr>
            <w:tcW w:w="1701"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支座系统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835"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1701"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耗能系统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835"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拱肋（拱桥）</w:t>
            </w:r>
          </w:p>
        </w:tc>
        <w:tc>
          <w:tcPr>
            <w:tcW w:w="1701"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主拱肋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835"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1701"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风撑系统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83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吊杆</w:t>
            </w:r>
          </w:p>
        </w:tc>
        <w:tc>
          <w:tcPr>
            <w:tcW w:w="1701"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83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主塔（斜拉桥、悬索桥）</w:t>
            </w:r>
          </w:p>
        </w:tc>
        <w:tc>
          <w:tcPr>
            <w:tcW w:w="1701"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835"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缆索系统（悬索桥）</w:t>
            </w:r>
          </w:p>
        </w:tc>
        <w:tc>
          <w:tcPr>
            <w:tcW w:w="1701"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主缆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835"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1701"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转向系统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835"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1701"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锚固系统</w:t>
            </w:r>
          </w:p>
        </w:tc>
      </w:tr>
    </w:tbl>
    <w:p>
      <w:pPr>
        <w:pStyle w:val="4"/>
        <w:ind w:firstLine="0" w:firstLineChars="0"/>
        <w:rPr>
          <w:color w:val="auto"/>
        </w:rPr>
      </w:pPr>
      <w:r>
        <w:rPr>
          <w:rFonts w:hint="eastAsia"/>
          <w:color w:val="auto"/>
        </w:rPr>
        <w:t>B</w:t>
      </w:r>
      <w:r>
        <w:rPr>
          <w:color w:val="auto"/>
        </w:rPr>
        <w:t xml:space="preserve">.0.4  </w:t>
      </w:r>
      <w:r>
        <w:rPr>
          <w:rFonts w:hint="eastAsia"/>
          <w:color w:val="auto"/>
        </w:rPr>
        <w:t>隧道工程</w:t>
      </w:r>
      <w:r>
        <w:rPr>
          <w:color w:val="auto"/>
        </w:rPr>
        <w:t>系统分类应符合表B.0.4规定。</w:t>
      </w:r>
    </w:p>
    <w:p>
      <w:pPr>
        <w:ind w:firstLine="422"/>
        <w:jc w:val="center"/>
        <w:rPr>
          <w:color w:val="auto"/>
        </w:rPr>
      </w:pPr>
      <w:r>
        <w:rPr>
          <w:b/>
          <w:color w:val="auto"/>
          <w:sz w:val="21"/>
          <w:szCs w:val="21"/>
        </w:rPr>
        <w:t xml:space="preserve">表B.0.4  </w:t>
      </w:r>
      <w:r>
        <w:rPr>
          <w:rFonts w:hint="eastAsia"/>
          <w:b/>
          <w:color w:val="auto"/>
          <w:sz w:val="21"/>
          <w:szCs w:val="21"/>
        </w:rPr>
        <w:t>隧道工程</w:t>
      </w:r>
      <w:r>
        <w:rPr>
          <w:b/>
          <w:color w:val="auto"/>
          <w:sz w:val="21"/>
          <w:szCs w:val="21"/>
        </w:rPr>
        <w:t>系统分类</w:t>
      </w:r>
    </w:p>
    <w:tbl>
      <w:tblPr>
        <w:tblStyle w:val="75"/>
        <w:tblW w:w="6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2552"/>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0"/>
                <w:sz w:val="21"/>
                <w:szCs w:val="21"/>
              </w:rPr>
            </w:pPr>
            <w:r>
              <w:rPr>
                <w:rFonts w:asciiTheme="minorHAnsi" w:hAnsiTheme="minorHAnsi" w:cstheme="minorBidi"/>
                <w:color w:val="auto"/>
                <w:kern w:val="0"/>
                <w:sz w:val="21"/>
                <w:szCs w:val="21"/>
              </w:rPr>
              <w:t>一级系统</w:t>
            </w:r>
          </w:p>
        </w:tc>
        <w:tc>
          <w:tcPr>
            <w:tcW w:w="2552"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0"/>
                <w:sz w:val="21"/>
                <w:szCs w:val="21"/>
              </w:rPr>
              <w:t>二级系统</w:t>
            </w:r>
          </w:p>
        </w:tc>
        <w:tc>
          <w:tcPr>
            <w:tcW w:w="2693"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0"/>
                <w:sz w:val="21"/>
                <w:szCs w:val="21"/>
              </w:rPr>
              <w:t>三</w:t>
            </w:r>
            <w:r>
              <w:rPr>
                <w:rFonts w:asciiTheme="minorHAnsi" w:hAnsiTheme="minorHAnsi" w:cstheme="minorBidi"/>
                <w:color w:val="auto"/>
                <w:kern w:val="0"/>
                <w:sz w:val="21"/>
                <w:szCs w:val="21"/>
              </w:rPr>
              <w:t>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0"/>
                <w:sz w:val="21"/>
                <w:szCs w:val="21"/>
              </w:rPr>
            </w:pPr>
            <w:r>
              <w:rPr>
                <w:rFonts w:asciiTheme="minorHAnsi" w:hAnsiTheme="minorHAnsi" w:cstheme="minorBidi"/>
                <w:color w:val="auto"/>
                <w:kern w:val="0"/>
                <w:sz w:val="21"/>
                <w:szCs w:val="21"/>
              </w:rPr>
              <w:t>隧道工程</w:t>
            </w:r>
          </w:p>
        </w:tc>
        <w:tc>
          <w:tcPr>
            <w:tcW w:w="2552"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隧道</w:t>
            </w:r>
            <w:r>
              <w:rPr>
                <w:rFonts w:asciiTheme="minorHAnsi" w:hAnsiTheme="minorHAnsi" w:cstheme="minorBidi"/>
                <w:color w:val="auto"/>
                <w:kern w:val="2"/>
                <w:sz w:val="21"/>
                <w:szCs w:val="21"/>
              </w:rPr>
              <w:t>结构</w:t>
            </w:r>
          </w:p>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（明挖</w:t>
            </w:r>
            <w:r>
              <w:rPr>
                <w:rFonts w:hint="eastAsia" w:asciiTheme="minorHAnsi" w:hAnsiTheme="minorHAnsi" w:cstheme="minorBidi"/>
                <w:color w:val="auto"/>
                <w:kern w:val="2"/>
                <w:sz w:val="21"/>
                <w:szCs w:val="21"/>
              </w:rPr>
              <w:t>/暗挖/盾构隧道</w:t>
            </w:r>
            <w:r>
              <w:rPr>
                <w:rFonts w:asciiTheme="minorHAnsi" w:hAnsiTheme="minorHAnsi" w:cstheme="minorBidi"/>
                <w:color w:val="auto"/>
                <w:kern w:val="2"/>
                <w:sz w:val="21"/>
                <w:szCs w:val="21"/>
              </w:rPr>
              <w:t>）</w:t>
            </w:r>
          </w:p>
        </w:tc>
        <w:tc>
          <w:tcPr>
            <w:tcW w:w="2693"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主体结构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0"/>
                <w:sz w:val="21"/>
                <w:szCs w:val="21"/>
              </w:rPr>
            </w:pPr>
          </w:p>
        </w:tc>
        <w:tc>
          <w:tcPr>
            <w:tcW w:w="2552"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693"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围护结构（明挖隧道）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52"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693"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支护结构（暗挖隧道）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52"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693"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洞口（暗挖隧道）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52"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隧道</w:t>
            </w:r>
            <w:r>
              <w:rPr>
                <w:rFonts w:asciiTheme="minorHAnsi" w:hAnsiTheme="minorHAnsi" w:cstheme="minorBidi"/>
                <w:color w:val="auto"/>
                <w:kern w:val="2"/>
                <w:sz w:val="21"/>
                <w:szCs w:val="21"/>
              </w:rPr>
              <w:t>结构</w:t>
            </w:r>
          </w:p>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r>
              <w:rPr>
                <w:rFonts w:hint="eastAsia" w:asciiTheme="minorHAnsi" w:hAnsiTheme="minorHAnsi" w:cstheme="minorBidi"/>
                <w:color w:val="auto"/>
                <w:kern w:val="2"/>
                <w:sz w:val="21"/>
                <w:szCs w:val="21"/>
              </w:rPr>
              <w:t>沉管隧道</w:t>
            </w:r>
            <w:r>
              <w:rPr>
                <w:rFonts w:asciiTheme="minorHAnsi" w:hAnsiTheme="minorHAnsi" w:cstheme="minorBidi"/>
                <w:color w:val="auto"/>
                <w:kern w:val="2"/>
                <w:sz w:val="21"/>
                <w:szCs w:val="21"/>
              </w:rPr>
              <w:t>）</w:t>
            </w:r>
          </w:p>
        </w:tc>
        <w:tc>
          <w:tcPr>
            <w:tcW w:w="2693"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沉管管节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52"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693"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干坞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52"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693"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基槽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0"/>
                <w:sz w:val="21"/>
                <w:szCs w:val="21"/>
              </w:rPr>
            </w:pPr>
          </w:p>
        </w:tc>
        <w:tc>
          <w:tcPr>
            <w:tcW w:w="2552"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隧道</w:t>
            </w:r>
            <w:r>
              <w:rPr>
                <w:rFonts w:asciiTheme="minorHAnsi" w:hAnsiTheme="minorHAnsi" w:cstheme="minorBidi"/>
                <w:color w:val="auto"/>
                <w:kern w:val="2"/>
                <w:sz w:val="21"/>
                <w:szCs w:val="21"/>
              </w:rPr>
              <w:t>建筑</w:t>
            </w:r>
          </w:p>
        </w:tc>
        <w:tc>
          <w:tcPr>
            <w:tcW w:w="2693"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设备</w:t>
            </w:r>
            <w:r>
              <w:rPr>
                <w:rFonts w:asciiTheme="minorHAnsi" w:hAnsiTheme="minorHAnsi" w:cstheme="minorBidi"/>
                <w:color w:val="auto"/>
                <w:kern w:val="2"/>
                <w:sz w:val="21"/>
                <w:szCs w:val="21"/>
              </w:rPr>
              <w:t>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52"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693"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管理</w:t>
            </w:r>
            <w:r>
              <w:rPr>
                <w:rFonts w:asciiTheme="minorHAnsi" w:hAnsiTheme="minorHAnsi" w:cstheme="minorBidi"/>
                <w:color w:val="auto"/>
                <w:kern w:val="2"/>
                <w:sz w:val="21"/>
                <w:szCs w:val="21"/>
              </w:rPr>
              <w:t>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52"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693"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工作井（暗挖/盾构隧道）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52"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隧道监控</w:t>
            </w:r>
          </w:p>
        </w:tc>
        <w:tc>
          <w:tcPr>
            <w:tcW w:w="2693"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视频</w:t>
            </w:r>
            <w:r>
              <w:rPr>
                <w:rFonts w:asciiTheme="minorHAnsi" w:hAnsiTheme="minorHAnsi" w:cstheme="minorBidi"/>
                <w:color w:val="auto"/>
                <w:kern w:val="2"/>
                <w:sz w:val="21"/>
                <w:szCs w:val="21"/>
              </w:rPr>
              <w:t>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52"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693"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设备</w:t>
            </w:r>
            <w:r>
              <w:rPr>
                <w:rFonts w:asciiTheme="minorHAnsi" w:hAnsiTheme="minorHAnsi" w:cstheme="minorBidi"/>
                <w:color w:val="auto"/>
                <w:kern w:val="2"/>
                <w:sz w:val="21"/>
                <w:szCs w:val="21"/>
              </w:rPr>
              <w:t>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52"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693"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火灾报警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52"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隧道</w:t>
            </w:r>
            <w:r>
              <w:rPr>
                <w:rFonts w:asciiTheme="minorHAnsi" w:hAnsiTheme="minorHAnsi" w:cstheme="minorBidi"/>
                <w:color w:val="auto"/>
                <w:kern w:val="2"/>
                <w:sz w:val="21"/>
                <w:szCs w:val="21"/>
              </w:rPr>
              <w:t>照明</w:t>
            </w:r>
          </w:p>
        </w:tc>
        <w:tc>
          <w:tcPr>
            <w:tcW w:w="2693"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照明</w:t>
            </w:r>
            <w:r>
              <w:rPr>
                <w:rFonts w:asciiTheme="minorHAnsi" w:hAnsiTheme="minorHAnsi" w:cstheme="minorBidi"/>
                <w:color w:val="auto"/>
                <w:kern w:val="2"/>
                <w:sz w:val="21"/>
                <w:szCs w:val="21"/>
              </w:rPr>
              <w:t>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52"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693"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供电</w:t>
            </w:r>
            <w:r>
              <w:rPr>
                <w:rFonts w:asciiTheme="minorHAnsi" w:hAnsiTheme="minorHAnsi" w:cstheme="minorBidi"/>
                <w:color w:val="auto"/>
                <w:kern w:val="2"/>
                <w:sz w:val="21"/>
                <w:szCs w:val="21"/>
              </w:rPr>
              <w:t>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52"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693"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风撑系统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52"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通风</w:t>
            </w:r>
            <w:r>
              <w:rPr>
                <w:rFonts w:asciiTheme="minorHAnsi" w:hAnsiTheme="minorHAnsi" w:cstheme="minorBidi"/>
                <w:color w:val="auto"/>
                <w:kern w:val="2"/>
                <w:sz w:val="21"/>
                <w:szCs w:val="21"/>
              </w:rPr>
              <w:t>系统</w:t>
            </w:r>
          </w:p>
        </w:tc>
        <w:tc>
          <w:tcPr>
            <w:tcW w:w="2693"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52"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消防</w:t>
            </w:r>
            <w:r>
              <w:rPr>
                <w:rFonts w:asciiTheme="minorHAnsi" w:hAnsiTheme="minorHAnsi" w:cstheme="minorBidi"/>
                <w:color w:val="auto"/>
                <w:kern w:val="2"/>
                <w:sz w:val="21"/>
                <w:szCs w:val="21"/>
              </w:rPr>
              <w:t>系统</w:t>
            </w:r>
          </w:p>
        </w:tc>
        <w:tc>
          <w:tcPr>
            <w:tcW w:w="2693"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消防</w:t>
            </w:r>
            <w:r>
              <w:rPr>
                <w:rFonts w:asciiTheme="minorHAnsi" w:hAnsiTheme="minorHAnsi" w:cstheme="minorBidi"/>
                <w:color w:val="auto"/>
                <w:kern w:val="2"/>
                <w:sz w:val="21"/>
                <w:szCs w:val="21"/>
              </w:rPr>
              <w:t>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52"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693"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逃生通道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52"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紧急呼叫系统</w:t>
            </w:r>
          </w:p>
        </w:tc>
        <w:tc>
          <w:tcPr>
            <w:tcW w:w="2693"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紧急电话设施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52"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693"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隧道广播设施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52"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隧道附属设施</w:t>
            </w:r>
          </w:p>
        </w:tc>
        <w:tc>
          <w:tcPr>
            <w:tcW w:w="2693"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r>
    </w:tbl>
    <w:p>
      <w:pPr>
        <w:pStyle w:val="4"/>
        <w:ind w:firstLine="0" w:firstLineChars="0"/>
        <w:rPr>
          <w:color w:val="auto"/>
        </w:rPr>
      </w:pPr>
      <w:r>
        <w:rPr>
          <w:rFonts w:hint="eastAsia"/>
          <w:color w:val="auto"/>
        </w:rPr>
        <w:t>B</w:t>
      </w:r>
      <w:r>
        <w:rPr>
          <w:color w:val="auto"/>
        </w:rPr>
        <w:t xml:space="preserve">.0.5 </w:t>
      </w:r>
      <w:r>
        <w:rPr>
          <w:rFonts w:hint="eastAsia"/>
          <w:color w:val="auto"/>
        </w:rPr>
        <w:t>交通智能化</w:t>
      </w:r>
      <w:r>
        <w:rPr>
          <w:color w:val="auto"/>
        </w:rPr>
        <w:t>系统分类应符合表B.0.5的规定。</w:t>
      </w:r>
    </w:p>
    <w:p>
      <w:pPr>
        <w:ind w:firstLine="422"/>
        <w:jc w:val="center"/>
        <w:rPr>
          <w:color w:val="auto"/>
        </w:rPr>
      </w:pPr>
      <w:r>
        <w:rPr>
          <w:b/>
          <w:color w:val="auto"/>
          <w:sz w:val="21"/>
          <w:szCs w:val="21"/>
        </w:rPr>
        <w:t xml:space="preserve">表B.0.5   </w:t>
      </w:r>
      <w:r>
        <w:rPr>
          <w:rFonts w:hint="eastAsia"/>
          <w:b/>
          <w:color w:val="auto"/>
          <w:sz w:val="21"/>
          <w:szCs w:val="21"/>
        </w:rPr>
        <w:t>交通智能化</w:t>
      </w:r>
      <w:r>
        <w:rPr>
          <w:b/>
          <w:color w:val="auto"/>
          <w:sz w:val="21"/>
          <w:szCs w:val="21"/>
        </w:rPr>
        <w:t>系统分类</w:t>
      </w:r>
    </w:p>
    <w:tbl>
      <w:tblPr>
        <w:tblStyle w:val="75"/>
        <w:tblW w:w="73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6"/>
        <w:gridCol w:w="2576"/>
        <w:gridCol w:w="2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6"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0"/>
                <w:sz w:val="21"/>
                <w:szCs w:val="21"/>
              </w:rPr>
            </w:pPr>
            <w:r>
              <w:rPr>
                <w:rFonts w:asciiTheme="minorHAnsi" w:hAnsiTheme="minorHAnsi" w:cstheme="minorBidi"/>
                <w:color w:val="auto"/>
                <w:kern w:val="0"/>
                <w:sz w:val="21"/>
                <w:szCs w:val="21"/>
              </w:rPr>
              <w:t>一级系统</w:t>
            </w:r>
          </w:p>
        </w:tc>
        <w:tc>
          <w:tcPr>
            <w:tcW w:w="2576"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0"/>
                <w:sz w:val="21"/>
                <w:szCs w:val="21"/>
              </w:rPr>
            </w:pPr>
            <w:r>
              <w:rPr>
                <w:rFonts w:asciiTheme="minorHAnsi" w:hAnsiTheme="minorHAnsi" w:cstheme="minorBidi"/>
                <w:color w:val="auto"/>
                <w:kern w:val="0"/>
                <w:sz w:val="21"/>
                <w:szCs w:val="21"/>
              </w:rPr>
              <w:t>二级系统</w:t>
            </w:r>
          </w:p>
        </w:tc>
        <w:tc>
          <w:tcPr>
            <w:tcW w:w="2576"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0"/>
                <w:sz w:val="21"/>
                <w:szCs w:val="21"/>
              </w:rPr>
              <w:t>三</w:t>
            </w:r>
            <w:r>
              <w:rPr>
                <w:rFonts w:asciiTheme="minorHAnsi" w:hAnsiTheme="minorHAnsi" w:cstheme="minorBidi"/>
                <w:color w:val="auto"/>
                <w:kern w:val="0"/>
                <w:sz w:val="21"/>
                <w:szCs w:val="21"/>
              </w:rPr>
              <w:t>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6"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0"/>
                <w:sz w:val="21"/>
                <w:szCs w:val="21"/>
              </w:rPr>
            </w:pPr>
            <w:r>
              <w:rPr>
                <w:rFonts w:hint="eastAsia" w:asciiTheme="minorHAnsi" w:hAnsiTheme="minorHAnsi" w:cstheme="minorBidi"/>
                <w:color w:val="auto"/>
                <w:kern w:val="0"/>
                <w:sz w:val="21"/>
                <w:szCs w:val="21"/>
              </w:rPr>
              <w:t>交通</w:t>
            </w:r>
            <w:r>
              <w:rPr>
                <w:rFonts w:asciiTheme="minorHAnsi" w:hAnsiTheme="minorHAnsi" w:cstheme="minorBidi"/>
                <w:color w:val="auto"/>
                <w:kern w:val="0"/>
                <w:sz w:val="21"/>
                <w:szCs w:val="21"/>
              </w:rPr>
              <w:t>智能化系统</w:t>
            </w:r>
          </w:p>
        </w:tc>
        <w:tc>
          <w:tcPr>
            <w:tcW w:w="2576"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0"/>
                <w:sz w:val="21"/>
                <w:szCs w:val="21"/>
              </w:rPr>
            </w:pPr>
            <w:r>
              <w:rPr>
                <w:rFonts w:asciiTheme="minorHAnsi" w:hAnsiTheme="minorHAnsi" w:cstheme="minorBidi"/>
                <w:color w:val="auto"/>
                <w:kern w:val="0"/>
                <w:sz w:val="21"/>
                <w:szCs w:val="21"/>
              </w:rPr>
              <w:t>信息化应用系统</w:t>
            </w:r>
          </w:p>
        </w:tc>
        <w:tc>
          <w:tcPr>
            <w:tcW w:w="2576"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工作业务应用系统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0"/>
                <w:sz w:val="21"/>
                <w:szCs w:val="21"/>
              </w:rPr>
            </w:pPr>
          </w:p>
        </w:tc>
        <w:tc>
          <w:tcPr>
            <w:tcW w:w="257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0"/>
                <w:sz w:val="21"/>
                <w:szCs w:val="21"/>
              </w:rPr>
            </w:pPr>
          </w:p>
        </w:tc>
        <w:tc>
          <w:tcPr>
            <w:tcW w:w="2576"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交通运营管理系统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0"/>
                <w:sz w:val="21"/>
                <w:szCs w:val="21"/>
              </w:rPr>
            </w:pPr>
          </w:p>
        </w:tc>
        <w:tc>
          <w:tcPr>
            <w:tcW w:w="257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0"/>
                <w:sz w:val="21"/>
                <w:szCs w:val="21"/>
              </w:rPr>
            </w:pPr>
          </w:p>
        </w:tc>
        <w:tc>
          <w:tcPr>
            <w:tcW w:w="2576"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公共服务管理系统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76"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交通信息管理系统</w:t>
            </w:r>
          </w:p>
        </w:tc>
        <w:tc>
          <w:tcPr>
            <w:tcW w:w="2576"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车辆信息</w:t>
            </w:r>
            <w:r>
              <w:rPr>
                <w:rFonts w:hint="eastAsia" w:asciiTheme="minorHAnsi" w:hAnsiTheme="minorHAnsi" w:cstheme="minorBidi"/>
                <w:color w:val="auto"/>
                <w:kern w:val="2"/>
                <w:sz w:val="21"/>
                <w:szCs w:val="21"/>
              </w:rPr>
              <w:t>采集</w:t>
            </w:r>
            <w:r>
              <w:rPr>
                <w:rFonts w:asciiTheme="minorHAnsi" w:hAnsiTheme="minorHAnsi" w:cstheme="minorBidi"/>
                <w:color w:val="auto"/>
                <w:kern w:val="2"/>
                <w:sz w:val="21"/>
                <w:szCs w:val="21"/>
              </w:rPr>
              <w:t>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7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76"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信息处理分析系统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7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76"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交通信息发布系统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76"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智能疏导与调度系统</w:t>
            </w:r>
          </w:p>
        </w:tc>
        <w:tc>
          <w:tcPr>
            <w:tcW w:w="2576"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车站客流疏导系统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7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76"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城市交通智能调度系统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76"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交通安全管理系统</w:t>
            </w:r>
          </w:p>
        </w:tc>
        <w:tc>
          <w:tcPr>
            <w:tcW w:w="2576"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视频安全监控系统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7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76"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事故安全报警系统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7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76"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应急处置与管理系统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76"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机房工程</w:t>
            </w:r>
          </w:p>
        </w:tc>
        <w:tc>
          <w:tcPr>
            <w:tcW w:w="2576"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交通信息管理中心机房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7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76"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交通智能化系统总控室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7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76"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应急指挥中心机房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7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576"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弱电间（电信间）</w:t>
            </w:r>
          </w:p>
        </w:tc>
      </w:tr>
    </w:tbl>
    <w:p>
      <w:pPr>
        <w:ind w:firstLine="480"/>
        <w:rPr>
          <w:color w:val="auto"/>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Pr>
        <w:ind w:firstLine="0" w:firstLineChars="0"/>
        <w:rPr>
          <w:b/>
          <w:i/>
          <w:color w:val="auto"/>
        </w:rPr>
      </w:pPr>
    </w:p>
    <w:p>
      <w:pPr>
        <w:ind w:firstLine="480"/>
        <w:rPr>
          <w:color w:val="auto"/>
        </w:rPr>
      </w:pPr>
    </w:p>
    <w:p>
      <w:pPr>
        <w:pStyle w:val="2"/>
        <w:spacing w:before="312" w:after="312"/>
        <w:jc w:val="center"/>
        <w:rPr>
          <w:rFonts w:eastAsia="宋体"/>
          <w:b/>
          <w:i/>
          <w:color w:val="auto"/>
          <w:sz w:val="24"/>
        </w:rPr>
      </w:pPr>
      <w:bookmarkStart w:id="105" w:name="_Toc19412"/>
      <w:bookmarkStart w:id="106" w:name="_Toc136357456"/>
      <w:r>
        <w:rPr>
          <w:color w:val="auto"/>
        </w:rPr>
        <w:t>附录C</w:t>
      </w:r>
      <w:r>
        <w:rPr>
          <w:rFonts w:hint="eastAsia"/>
          <w:color w:val="auto"/>
        </w:rPr>
        <w:t>: 模型单元属性分类</w:t>
      </w:r>
      <w:bookmarkEnd w:id="105"/>
      <w:r>
        <w:rPr>
          <w:color w:val="auto"/>
        </w:rPr>
        <w:t xml:space="preserve"> </w:t>
      </w:r>
      <w:bookmarkEnd w:id="106"/>
    </w:p>
    <w:p>
      <w:pPr>
        <w:ind w:firstLine="422"/>
        <w:jc w:val="center"/>
        <w:rPr>
          <w:color w:val="auto"/>
        </w:rPr>
      </w:pPr>
      <w:r>
        <w:rPr>
          <w:b/>
          <w:color w:val="auto"/>
          <w:sz w:val="21"/>
          <w:szCs w:val="21"/>
        </w:rPr>
        <w:t xml:space="preserve">表C   </w:t>
      </w:r>
      <w:r>
        <w:rPr>
          <w:rFonts w:hint="eastAsia"/>
          <w:b/>
          <w:color w:val="auto"/>
          <w:sz w:val="21"/>
          <w:szCs w:val="21"/>
        </w:rPr>
        <w:t>模型单元属性分类</w:t>
      </w:r>
    </w:p>
    <w:tbl>
      <w:tblPr>
        <w:tblStyle w:val="75"/>
        <w:tblW w:w="82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746"/>
        <w:gridCol w:w="992"/>
        <w:gridCol w:w="1839"/>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属性分类</w:t>
            </w:r>
          </w:p>
        </w:tc>
        <w:tc>
          <w:tcPr>
            <w:tcW w:w="746"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分类代号</w:t>
            </w:r>
          </w:p>
        </w:tc>
        <w:tc>
          <w:tcPr>
            <w:tcW w:w="992"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属性组代号</w:t>
            </w:r>
          </w:p>
        </w:tc>
        <w:tc>
          <w:tcPr>
            <w:tcW w:w="183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常见属性组</w:t>
            </w:r>
          </w:p>
        </w:tc>
        <w:tc>
          <w:tcPr>
            <w:tcW w:w="396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宜包含的属性信息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项目信息</w:t>
            </w:r>
          </w:p>
        </w:tc>
        <w:tc>
          <w:tcPr>
            <w:tcW w:w="746"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P</w:t>
            </w:r>
            <w:r>
              <w:rPr>
                <w:rFonts w:asciiTheme="minorHAnsi" w:hAnsiTheme="minorHAnsi" w:cstheme="minorBidi"/>
                <w:color w:val="auto"/>
                <w:kern w:val="2"/>
                <w:sz w:val="21"/>
                <w:szCs w:val="21"/>
              </w:rPr>
              <w:t>J</w:t>
            </w:r>
          </w:p>
        </w:tc>
        <w:tc>
          <w:tcPr>
            <w:tcW w:w="992"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P</w:t>
            </w:r>
            <w:r>
              <w:rPr>
                <w:rFonts w:asciiTheme="minorHAnsi" w:hAnsiTheme="minorHAnsi" w:cstheme="minorBidi"/>
                <w:color w:val="auto"/>
                <w:kern w:val="2"/>
                <w:sz w:val="21"/>
                <w:szCs w:val="21"/>
              </w:rPr>
              <w:t>J-100</w:t>
            </w:r>
          </w:p>
        </w:tc>
        <w:tc>
          <w:tcPr>
            <w:tcW w:w="183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项目标识</w:t>
            </w:r>
          </w:p>
        </w:tc>
        <w:tc>
          <w:tcPr>
            <w:tcW w:w="3969" w:type="dxa"/>
            <w:vAlign w:val="center"/>
          </w:tcPr>
          <w:p>
            <w:pPr>
              <w:pStyle w:val="4"/>
              <w:spacing w:before="31" w:beforeLines="10" w:after="31" w:afterLines="10" w:line="240" w:lineRule="auto"/>
              <w:ind w:firstLine="420"/>
              <w:jc w:val="left"/>
              <w:rPr>
                <w:rFonts w:asciiTheme="minorHAnsi" w:hAnsiTheme="minorHAnsi" w:cstheme="minorBidi"/>
                <w:color w:val="auto"/>
                <w:kern w:val="2"/>
                <w:sz w:val="21"/>
                <w:szCs w:val="21"/>
              </w:rPr>
            </w:pPr>
            <w:r>
              <w:rPr>
                <w:rFonts w:asciiTheme="minorHAnsi" w:hAnsiTheme="minorHAnsi" w:cstheme="minorBidi"/>
                <w:color w:val="auto"/>
                <w:kern w:val="2"/>
                <w:sz w:val="21"/>
                <w:szCs w:val="21"/>
              </w:rPr>
              <w:t>项目名称、编号、简称等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74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992"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P</w:t>
            </w:r>
            <w:r>
              <w:rPr>
                <w:rFonts w:asciiTheme="minorHAnsi" w:hAnsiTheme="minorHAnsi" w:cstheme="minorBidi"/>
                <w:color w:val="auto"/>
                <w:kern w:val="2"/>
                <w:sz w:val="21"/>
                <w:szCs w:val="21"/>
              </w:rPr>
              <w:t>J-200</w:t>
            </w:r>
          </w:p>
        </w:tc>
        <w:tc>
          <w:tcPr>
            <w:tcW w:w="183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建设工程概述</w:t>
            </w:r>
          </w:p>
        </w:tc>
        <w:tc>
          <w:tcPr>
            <w:tcW w:w="3969" w:type="dxa"/>
            <w:vAlign w:val="center"/>
          </w:tcPr>
          <w:p>
            <w:pPr>
              <w:pStyle w:val="4"/>
              <w:spacing w:before="31" w:beforeLines="10" w:after="31" w:afterLines="10" w:line="240" w:lineRule="auto"/>
              <w:ind w:firstLine="420"/>
              <w:jc w:val="left"/>
              <w:rPr>
                <w:rFonts w:asciiTheme="minorHAnsi" w:hAnsiTheme="minorHAnsi" w:cstheme="minorBidi"/>
                <w:color w:val="auto"/>
                <w:kern w:val="2"/>
                <w:sz w:val="21"/>
                <w:szCs w:val="21"/>
              </w:rPr>
            </w:pPr>
            <w:r>
              <w:rPr>
                <w:rFonts w:asciiTheme="minorHAnsi" w:hAnsiTheme="minorHAnsi" w:cstheme="minorBidi"/>
                <w:color w:val="auto"/>
                <w:kern w:val="2"/>
                <w:sz w:val="21"/>
                <w:szCs w:val="21"/>
              </w:rPr>
              <w:t>建设工程地点、</w:t>
            </w:r>
            <w:r>
              <w:rPr>
                <w:rFonts w:hint="eastAsia" w:asciiTheme="minorHAnsi" w:hAnsiTheme="minorHAnsi" w:cstheme="minorBidi"/>
                <w:color w:val="auto"/>
                <w:kern w:val="2"/>
                <w:sz w:val="21"/>
                <w:szCs w:val="21"/>
              </w:rPr>
              <w:t>功能</w:t>
            </w:r>
            <w:r>
              <w:rPr>
                <w:rFonts w:asciiTheme="minorHAnsi" w:hAnsiTheme="minorHAnsi" w:cstheme="minorBidi"/>
                <w:color w:val="auto"/>
                <w:kern w:val="2"/>
                <w:sz w:val="21"/>
                <w:szCs w:val="21"/>
              </w:rPr>
              <w:t>定位、自然条件、现况路网、制约条件、建设依据、坐标、采用的坐标体系、高程基准、合同工期等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74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992"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P</w:t>
            </w:r>
            <w:r>
              <w:rPr>
                <w:rFonts w:asciiTheme="minorHAnsi" w:hAnsiTheme="minorHAnsi" w:cstheme="minorBidi"/>
                <w:color w:val="auto"/>
                <w:kern w:val="2"/>
                <w:sz w:val="21"/>
                <w:szCs w:val="21"/>
              </w:rPr>
              <w:t>J-300</w:t>
            </w:r>
          </w:p>
        </w:tc>
        <w:tc>
          <w:tcPr>
            <w:tcW w:w="183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道路</w:t>
            </w:r>
            <w:r>
              <w:rPr>
                <w:rFonts w:asciiTheme="minorHAnsi" w:hAnsiTheme="minorHAnsi" w:cstheme="minorBidi"/>
                <w:color w:val="auto"/>
                <w:kern w:val="2"/>
                <w:sz w:val="21"/>
                <w:szCs w:val="21"/>
              </w:rPr>
              <w:t>等级</w:t>
            </w:r>
          </w:p>
        </w:tc>
        <w:tc>
          <w:tcPr>
            <w:tcW w:w="3969" w:type="dxa"/>
            <w:vAlign w:val="center"/>
          </w:tcPr>
          <w:p>
            <w:pPr>
              <w:pStyle w:val="4"/>
              <w:spacing w:before="31" w:beforeLines="10" w:after="31" w:afterLines="10" w:line="240" w:lineRule="auto"/>
              <w:ind w:firstLine="420"/>
              <w:jc w:val="left"/>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道路</w:t>
            </w:r>
            <w:r>
              <w:rPr>
                <w:rFonts w:asciiTheme="minorHAnsi" w:hAnsiTheme="minorHAnsi" w:cstheme="minorBidi"/>
                <w:color w:val="auto"/>
                <w:kern w:val="2"/>
                <w:sz w:val="21"/>
                <w:szCs w:val="21"/>
              </w:rPr>
              <w:t>类别、等级等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74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992"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P</w:t>
            </w:r>
            <w:r>
              <w:rPr>
                <w:rFonts w:asciiTheme="minorHAnsi" w:hAnsiTheme="minorHAnsi" w:cstheme="minorBidi"/>
                <w:color w:val="auto"/>
                <w:kern w:val="2"/>
                <w:sz w:val="21"/>
                <w:szCs w:val="21"/>
              </w:rPr>
              <w:t>J-400</w:t>
            </w:r>
          </w:p>
        </w:tc>
        <w:tc>
          <w:tcPr>
            <w:tcW w:w="183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设计</w:t>
            </w:r>
            <w:r>
              <w:rPr>
                <w:rFonts w:asciiTheme="minorHAnsi" w:hAnsiTheme="minorHAnsi" w:cstheme="minorBidi"/>
                <w:color w:val="auto"/>
                <w:kern w:val="2"/>
                <w:sz w:val="21"/>
                <w:szCs w:val="21"/>
              </w:rPr>
              <w:t>说明</w:t>
            </w:r>
          </w:p>
        </w:tc>
        <w:tc>
          <w:tcPr>
            <w:tcW w:w="3969" w:type="dxa"/>
            <w:vAlign w:val="center"/>
          </w:tcPr>
          <w:p>
            <w:pPr>
              <w:pStyle w:val="4"/>
              <w:spacing w:before="31" w:beforeLines="10" w:after="31" w:afterLines="10" w:line="240" w:lineRule="auto"/>
              <w:ind w:firstLine="420"/>
              <w:jc w:val="left"/>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总体</w:t>
            </w:r>
            <w:r>
              <w:rPr>
                <w:rFonts w:asciiTheme="minorHAnsi" w:hAnsiTheme="minorHAnsi" w:cstheme="minorBidi"/>
                <w:color w:val="auto"/>
                <w:kern w:val="2"/>
                <w:sz w:val="21"/>
                <w:szCs w:val="21"/>
              </w:rPr>
              <w:t>及各专业设计说明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74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992"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P</w:t>
            </w:r>
            <w:r>
              <w:rPr>
                <w:rFonts w:asciiTheme="minorHAnsi" w:hAnsiTheme="minorHAnsi" w:cstheme="minorBidi"/>
                <w:color w:val="auto"/>
                <w:kern w:val="2"/>
                <w:sz w:val="21"/>
                <w:szCs w:val="21"/>
              </w:rPr>
              <w:t>J-500</w:t>
            </w:r>
          </w:p>
        </w:tc>
        <w:tc>
          <w:tcPr>
            <w:tcW w:w="183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技术</w:t>
            </w:r>
            <w:r>
              <w:rPr>
                <w:rFonts w:asciiTheme="minorHAnsi" w:hAnsiTheme="minorHAnsi" w:cstheme="minorBidi"/>
                <w:color w:val="auto"/>
                <w:kern w:val="2"/>
                <w:sz w:val="21"/>
                <w:szCs w:val="21"/>
              </w:rPr>
              <w:t>经济指标</w:t>
            </w:r>
          </w:p>
        </w:tc>
        <w:tc>
          <w:tcPr>
            <w:tcW w:w="3969" w:type="dxa"/>
            <w:vAlign w:val="center"/>
          </w:tcPr>
          <w:p>
            <w:pPr>
              <w:pStyle w:val="4"/>
              <w:spacing w:before="31" w:beforeLines="10" w:after="31" w:afterLines="10" w:line="240" w:lineRule="auto"/>
              <w:ind w:firstLine="420"/>
              <w:jc w:val="left"/>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采用的</w:t>
            </w:r>
            <w:r>
              <w:rPr>
                <w:rFonts w:asciiTheme="minorHAnsi" w:hAnsiTheme="minorHAnsi" w:cstheme="minorBidi"/>
                <w:color w:val="auto"/>
                <w:kern w:val="2"/>
                <w:sz w:val="21"/>
                <w:szCs w:val="21"/>
              </w:rPr>
              <w:t>设计及技术经济指标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74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992"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P</w:t>
            </w:r>
            <w:r>
              <w:rPr>
                <w:rFonts w:asciiTheme="minorHAnsi" w:hAnsiTheme="minorHAnsi" w:cstheme="minorBidi"/>
                <w:color w:val="auto"/>
                <w:kern w:val="2"/>
                <w:sz w:val="21"/>
                <w:szCs w:val="21"/>
              </w:rPr>
              <w:t>J-600</w:t>
            </w:r>
          </w:p>
        </w:tc>
        <w:tc>
          <w:tcPr>
            <w:tcW w:w="183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建设单位信息</w:t>
            </w:r>
          </w:p>
        </w:tc>
        <w:tc>
          <w:tcPr>
            <w:tcW w:w="3969" w:type="dxa"/>
            <w:vAlign w:val="center"/>
          </w:tcPr>
          <w:p>
            <w:pPr>
              <w:pStyle w:val="4"/>
              <w:spacing w:before="31" w:beforeLines="10" w:after="31" w:afterLines="10" w:line="240" w:lineRule="auto"/>
              <w:ind w:firstLine="420"/>
              <w:jc w:val="left"/>
              <w:rPr>
                <w:rFonts w:asciiTheme="minorHAnsi" w:hAnsiTheme="minorHAnsi" w:cstheme="minorBidi"/>
                <w:color w:val="auto"/>
                <w:kern w:val="2"/>
                <w:sz w:val="21"/>
                <w:szCs w:val="21"/>
              </w:rPr>
            </w:pPr>
            <w:r>
              <w:rPr>
                <w:rFonts w:asciiTheme="minorHAnsi" w:hAnsiTheme="minorHAnsi" w:cstheme="minorBidi"/>
                <w:color w:val="auto"/>
                <w:kern w:val="2"/>
                <w:sz w:val="21"/>
                <w:szCs w:val="21"/>
              </w:rPr>
              <w:t>名称、地址、联系方式等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74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992"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P</w:t>
            </w:r>
            <w:r>
              <w:rPr>
                <w:rFonts w:asciiTheme="minorHAnsi" w:hAnsiTheme="minorHAnsi" w:cstheme="minorBidi"/>
                <w:color w:val="auto"/>
                <w:kern w:val="2"/>
                <w:sz w:val="21"/>
                <w:szCs w:val="21"/>
              </w:rPr>
              <w:t>J-700</w:t>
            </w:r>
          </w:p>
        </w:tc>
        <w:tc>
          <w:tcPr>
            <w:tcW w:w="183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建设参与方信息</w:t>
            </w:r>
          </w:p>
        </w:tc>
        <w:tc>
          <w:tcPr>
            <w:tcW w:w="3969" w:type="dxa"/>
            <w:vAlign w:val="center"/>
          </w:tcPr>
          <w:p>
            <w:pPr>
              <w:pStyle w:val="4"/>
              <w:spacing w:before="31" w:beforeLines="10" w:after="31" w:afterLines="10" w:line="240" w:lineRule="auto"/>
              <w:ind w:firstLine="420"/>
              <w:jc w:val="left"/>
              <w:rPr>
                <w:rFonts w:asciiTheme="minorHAnsi" w:hAnsiTheme="minorHAnsi" w:cstheme="minorBidi"/>
                <w:color w:val="auto"/>
                <w:kern w:val="2"/>
                <w:sz w:val="21"/>
                <w:szCs w:val="21"/>
              </w:rPr>
            </w:pPr>
            <w:r>
              <w:rPr>
                <w:rFonts w:asciiTheme="minorHAnsi" w:hAnsiTheme="minorHAnsi" w:cstheme="minorBidi"/>
                <w:color w:val="auto"/>
                <w:kern w:val="2"/>
                <w:sz w:val="21"/>
                <w:szCs w:val="21"/>
              </w:rPr>
              <w:t>名称、地址、联系方式等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74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992"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P</w:t>
            </w:r>
            <w:r>
              <w:rPr>
                <w:rFonts w:asciiTheme="minorHAnsi" w:hAnsiTheme="minorHAnsi" w:cstheme="minorBidi"/>
                <w:color w:val="auto"/>
                <w:kern w:val="2"/>
                <w:sz w:val="21"/>
                <w:szCs w:val="21"/>
              </w:rPr>
              <w:t>J-800</w:t>
            </w:r>
          </w:p>
        </w:tc>
        <w:tc>
          <w:tcPr>
            <w:tcW w:w="183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规划</w:t>
            </w:r>
            <w:r>
              <w:rPr>
                <w:rFonts w:asciiTheme="minorHAnsi" w:hAnsiTheme="minorHAnsi" w:cstheme="minorBidi"/>
                <w:color w:val="auto"/>
                <w:kern w:val="2"/>
                <w:sz w:val="21"/>
                <w:szCs w:val="21"/>
              </w:rPr>
              <w:t>信息</w:t>
            </w:r>
          </w:p>
        </w:tc>
        <w:tc>
          <w:tcPr>
            <w:tcW w:w="3969" w:type="dxa"/>
            <w:vAlign w:val="center"/>
          </w:tcPr>
          <w:p>
            <w:pPr>
              <w:pStyle w:val="4"/>
              <w:spacing w:before="31" w:beforeLines="10" w:after="31" w:afterLines="10" w:line="240" w:lineRule="auto"/>
              <w:ind w:firstLine="420"/>
              <w:jc w:val="left"/>
              <w:rPr>
                <w:rFonts w:asciiTheme="minorHAnsi" w:hAnsiTheme="minorHAnsi" w:cstheme="minorBidi"/>
                <w:color w:val="auto"/>
                <w:kern w:val="2"/>
                <w:sz w:val="21"/>
                <w:szCs w:val="21"/>
              </w:rPr>
            </w:pPr>
            <w:r>
              <w:rPr>
                <w:rFonts w:asciiTheme="minorHAnsi" w:hAnsiTheme="minorHAnsi" w:cstheme="minorBidi"/>
                <w:color w:val="auto"/>
                <w:kern w:val="2"/>
                <w:sz w:val="21"/>
                <w:szCs w:val="21"/>
              </w:rPr>
              <w:t>规划红线、蓝线、绿线、用地属性等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身份信息</w:t>
            </w:r>
          </w:p>
        </w:tc>
        <w:tc>
          <w:tcPr>
            <w:tcW w:w="746"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I</w:t>
            </w:r>
            <w:r>
              <w:rPr>
                <w:rFonts w:asciiTheme="minorHAnsi" w:hAnsiTheme="minorHAnsi" w:cstheme="minorBidi"/>
                <w:color w:val="auto"/>
                <w:kern w:val="2"/>
                <w:sz w:val="21"/>
                <w:szCs w:val="21"/>
              </w:rPr>
              <w:t>D</w:t>
            </w:r>
          </w:p>
        </w:tc>
        <w:tc>
          <w:tcPr>
            <w:tcW w:w="992"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I</w:t>
            </w:r>
            <w:r>
              <w:rPr>
                <w:rFonts w:asciiTheme="minorHAnsi" w:hAnsiTheme="minorHAnsi" w:cstheme="minorBidi"/>
                <w:color w:val="auto"/>
                <w:kern w:val="2"/>
                <w:sz w:val="21"/>
                <w:szCs w:val="21"/>
              </w:rPr>
              <w:t>D-100</w:t>
            </w:r>
          </w:p>
        </w:tc>
        <w:tc>
          <w:tcPr>
            <w:tcW w:w="183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基本描述</w:t>
            </w:r>
          </w:p>
        </w:tc>
        <w:tc>
          <w:tcPr>
            <w:tcW w:w="3969" w:type="dxa"/>
            <w:vAlign w:val="center"/>
          </w:tcPr>
          <w:p>
            <w:pPr>
              <w:pStyle w:val="4"/>
              <w:spacing w:before="31" w:beforeLines="10" w:after="31" w:afterLines="10" w:line="240" w:lineRule="auto"/>
              <w:ind w:firstLine="420"/>
              <w:jc w:val="left"/>
              <w:rPr>
                <w:rFonts w:asciiTheme="minorHAnsi" w:hAnsiTheme="minorHAnsi" w:cstheme="minorBidi"/>
                <w:color w:val="auto"/>
                <w:kern w:val="2"/>
                <w:sz w:val="21"/>
                <w:szCs w:val="21"/>
              </w:rPr>
            </w:pPr>
            <w:r>
              <w:rPr>
                <w:rFonts w:asciiTheme="minorHAnsi" w:hAnsiTheme="minorHAnsi" w:cstheme="minorBidi"/>
                <w:color w:val="auto"/>
                <w:kern w:val="2"/>
                <w:sz w:val="21"/>
                <w:szCs w:val="21"/>
              </w:rPr>
              <w:t>名称、编号、类型、功能说明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74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992"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I</w:t>
            </w:r>
            <w:r>
              <w:rPr>
                <w:rFonts w:asciiTheme="minorHAnsi" w:hAnsiTheme="minorHAnsi" w:cstheme="minorBidi"/>
                <w:color w:val="auto"/>
                <w:kern w:val="2"/>
                <w:sz w:val="21"/>
                <w:szCs w:val="21"/>
              </w:rPr>
              <w:t>D-200</w:t>
            </w:r>
          </w:p>
        </w:tc>
        <w:tc>
          <w:tcPr>
            <w:tcW w:w="183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编码信息</w:t>
            </w:r>
          </w:p>
        </w:tc>
        <w:tc>
          <w:tcPr>
            <w:tcW w:w="3969" w:type="dxa"/>
            <w:vAlign w:val="center"/>
          </w:tcPr>
          <w:p>
            <w:pPr>
              <w:pStyle w:val="4"/>
              <w:spacing w:before="31" w:beforeLines="10" w:after="31" w:afterLines="10" w:line="240" w:lineRule="auto"/>
              <w:ind w:firstLine="420"/>
              <w:jc w:val="left"/>
              <w:rPr>
                <w:rFonts w:asciiTheme="minorHAnsi" w:hAnsiTheme="minorHAnsi" w:cstheme="minorBidi"/>
                <w:color w:val="auto"/>
                <w:kern w:val="2"/>
                <w:sz w:val="21"/>
                <w:szCs w:val="21"/>
              </w:rPr>
            </w:pPr>
            <w:r>
              <w:rPr>
                <w:rFonts w:asciiTheme="minorHAnsi" w:hAnsiTheme="minorHAnsi" w:cstheme="minorBidi"/>
                <w:color w:val="auto"/>
                <w:kern w:val="2"/>
                <w:sz w:val="21"/>
                <w:szCs w:val="21"/>
              </w:rPr>
              <w:t>编码、编码执行标准等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系统信息</w:t>
            </w:r>
          </w:p>
        </w:tc>
        <w:tc>
          <w:tcPr>
            <w:tcW w:w="746"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S</w:t>
            </w:r>
            <w:r>
              <w:rPr>
                <w:rFonts w:asciiTheme="minorHAnsi" w:hAnsiTheme="minorHAnsi" w:cstheme="minorBidi"/>
                <w:color w:val="auto"/>
                <w:kern w:val="2"/>
                <w:sz w:val="21"/>
                <w:szCs w:val="21"/>
              </w:rPr>
              <w:t>T</w:t>
            </w:r>
          </w:p>
        </w:tc>
        <w:tc>
          <w:tcPr>
            <w:tcW w:w="992"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S</w:t>
            </w:r>
            <w:r>
              <w:rPr>
                <w:rFonts w:asciiTheme="minorHAnsi" w:hAnsiTheme="minorHAnsi" w:cstheme="minorBidi"/>
                <w:color w:val="auto"/>
                <w:kern w:val="2"/>
                <w:sz w:val="21"/>
                <w:szCs w:val="21"/>
              </w:rPr>
              <w:t>T-100</w:t>
            </w:r>
          </w:p>
        </w:tc>
        <w:tc>
          <w:tcPr>
            <w:tcW w:w="183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系统分类</w:t>
            </w:r>
          </w:p>
        </w:tc>
        <w:tc>
          <w:tcPr>
            <w:tcW w:w="3969" w:type="dxa"/>
            <w:vAlign w:val="center"/>
          </w:tcPr>
          <w:p>
            <w:pPr>
              <w:pStyle w:val="4"/>
              <w:spacing w:before="31" w:beforeLines="10" w:after="31" w:afterLines="10" w:line="240" w:lineRule="auto"/>
              <w:ind w:firstLine="420"/>
              <w:jc w:val="left"/>
              <w:rPr>
                <w:rFonts w:asciiTheme="minorHAnsi" w:hAnsiTheme="minorHAnsi" w:cstheme="minorBidi"/>
                <w:color w:val="auto"/>
                <w:kern w:val="2"/>
                <w:sz w:val="21"/>
                <w:szCs w:val="21"/>
              </w:rPr>
            </w:pPr>
            <w:r>
              <w:rPr>
                <w:rFonts w:asciiTheme="minorHAnsi" w:hAnsiTheme="minorHAnsi" w:cstheme="minorBidi"/>
                <w:color w:val="auto"/>
                <w:kern w:val="2"/>
                <w:sz w:val="21"/>
                <w:szCs w:val="21"/>
              </w:rPr>
              <w:t>系统分类名称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74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992"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S</w:t>
            </w:r>
            <w:r>
              <w:rPr>
                <w:rFonts w:asciiTheme="minorHAnsi" w:hAnsiTheme="minorHAnsi" w:cstheme="minorBidi"/>
                <w:color w:val="auto"/>
                <w:kern w:val="2"/>
                <w:sz w:val="21"/>
                <w:szCs w:val="21"/>
              </w:rPr>
              <w:t>T-200</w:t>
            </w:r>
          </w:p>
        </w:tc>
        <w:tc>
          <w:tcPr>
            <w:tcW w:w="183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关联关系</w:t>
            </w:r>
          </w:p>
        </w:tc>
        <w:tc>
          <w:tcPr>
            <w:tcW w:w="3969" w:type="dxa"/>
            <w:vAlign w:val="center"/>
          </w:tcPr>
          <w:p>
            <w:pPr>
              <w:pStyle w:val="4"/>
              <w:spacing w:before="31" w:beforeLines="10" w:after="31" w:afterLines="10" w:line="240" w:lineRule="auto"/>
              <w:ind w:firstLine="420"/>
              <w:jc w:val="left"/>
              <w:rPr>
                <w:rFonts w:asciiTheme="minorHAnsi" w:hAnsiTheme="minorHAnsi" w:cstheme="minorBidi"/>
                <w:color w:val="auto"/>
                <w:kern w:val="2"/>
                <w:sz w:val="21"/>
                <w:szCs w:val="21"/>
              </w:rPr>
            </w:pPr>
            <w:r>
              <w:rPr>
                <w:rFonts w:asciiTheme="minorHAnsi" w:hAnsiTheme="minorHAnsi" w:cstheme="minorBidi"/>
                <w:color w:val="auto"/>
                <w:kern w:val="2"/>
                <w:sz w:val="21"/>
                <w:szCs w:val="21"/>
              </w:rPr>
              <w:t>关联模型单元的名称、编号、编码以及关联关系类型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定位信息</w:t>
            </w:r>
          </w:p>
        </w:tc>
        <w:tc>
          <w:tcPr>
            <w:tcW w:w="746"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L</w:t>
            </w:r>
            <w:r>
              <w:rPr>
                <w:rFonts w:asciiTheme="minorHAnsi" w:hAnsiTheme="minorHAnsi" w:cstheme="minorBidi"/>
                <w:color w:val="auto"/>
                <w:kern w:val="2"/>
                <w:sz w:val="21"/>
                <w:szCs w:val="21"/>
              </w:rPr>
              <w:t>C</w:t>
            </w:r>
          </w:p>
        </w:tc>
        <w:tc>
          <w:tcPr>
            <w:tcW w:w="992"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L</w:t>
            </w:r>
            <w:r>
              <w:rPr>
                <w:rFonts w:asciiTheme="minorHAnsi" w:hAnsiTheme="minorHAnsi" w:cstheme="minorBidi"/>
                <w:color w:val="auto"/>
                <w:kern w:val="2"/>
                <w:sz w:val="21"/>
                <w:szCs w:val="21"/>
              </w:rPr>
              <w:t>C-100</w:t>
            </w:r>
          </w:p>
        </w:tc>
        <w:tc>
          <w:tcPr>
            <w:tcW w:w="183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桩号信息</w:t>
            </w:r>
          </w:p>
        </w:tc>
        <w:tc>
          <w:tcPr>
            <w:tcW w:w="396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里程桩号等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74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992"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L</w:t>
            </w:r>
            <w:r>
              <w:rPr>
                <w:rFonts w:asciiTheme="minorHAnsi" w:hAnsiTheme="minorHAnsi" w:cstheme="minorBidi"/>
                <w:color w:val="auto"/>
                <w:kern w:val="2"/>
                <w:sz w:val="21"/>
                <w:szCs w:val="21"/>
              </w:rPr>
              <w:t>C-200</w:t>
            </w:r>
          </w:p>
        </w:tc>
        <w:tc>
          <w:tcPr>
            <w:tcW w:w="183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坐标定位</w:t>
            </w:r>
          </w:p>
        </w:tc>
        <w:tc>
          <w:tcPr>
            <w:tcW w:w="396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采用的平面坐标系下坐标描述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74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992"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L</w:t>
            </w:r>
            <w:r>
              <w:rPr>
                <w:rFonts w:asciiTheme="minorHAnsi" w:hAnsiTheme="minorHAnsi" w:cstheme="minorBidi"/>
                <w:color w:val="auto"/>
                <w:kern w:val="2"/>
                <w:sz w:val="21"/>
                <w:szCs w:val="21"/>
              </w:rPr>
              <w:t>C-300</w:t>
            </w:r>
          </w:p>
        </w:tc>
        <w:tc>
          <w:tcPr>
            <w:tcW w:w="183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占</w:t>
            </w:r>
            <w:r>
              <w:rPr>
                <w:rFonts w:asciiTheme="minorHAnsi" w:hAnsiTheme="minorHAnsi" w:cstheme="minorBidi"/>
                <w:color w:val="auto"/>
                <w:kern w:val="2"/>
                <w:sz w:val="21"/>
                <w:szCs w:val="21"/>
              </w:rPr>
              <w:t>位尺寸</w:t>
            </w:r>
          </w:p>
        </w:tc>
        <w:tc>
          <w:tcPr>
            <w:tcW w:w="396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长度、宽度、高度、厚度、深度等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技术信息</w:t>
            </w:r>
          </w:p>
        </w:tc>
        <w:tc>
          <w:tcPr>
            <w:tcW w:w="746"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T</w:t>
            </w:r>
            <w:r>
              <w:rPr>
                <w:rFonts w:asciiTheme="minorHAnsi" w:hAnsiTheme="minorHAnsi" w:cstheme="minorBidi"/>
                <w:color w:val="auto"/>
                <w:kern w:val="2"/>
                <w:sz w:val="21"/>
                <w:szCs w:val="21"/>
              </w:rPr>
              <w:t>C</w:t>
            </w:r>
          </w:p>
        </w:tc>
        <w:tc>
          <w:tcPr>
            <w:tcW w:w="992"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T</w:t>
            </w:r>
            <w:r>
              <w:rPr>
                <w:rFonts w:asciiTheme="minorHAnsi" w:hAnsiTheme="minorHAnsi" w:cstheme="minorBidi"/>
                <w:color w:val="auto"/>
                <w:kern w:val="2"/>
                <w:sz w:val="21"/>
                <w:szCs w:val="21"/>
              </w:rPr>
              <w:t>C-100</w:t>
            </w:r>
          </w:p>
        </w:tc>
        <w:tc>
          <w:tcPr>
            <w:tcW w:w="183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构造尺寸</w:t>
            </w:r>
          </w:p>
        </w:tc>
        <w:tc>
          <w:tcPr>
            <w:tcW w:w="3969" w:type="dxa"/>
            <w:vAlign w:val="center"/>
          </w:tcPr>
          <w:p>
            <w:pPr>
              <w:pStyle w:val="4"/>
              <w:spacing w:before="31" w:beforeLines="10" w:after="31" w:afterLines="10" w:line="240" w:lineRule="auto"/>
              <w:ind w:firstLine="420"/>
              <w:jc w:val="left"/>
              <w:rPr>
                <w:rFonts w:asciiTheme="minorHAnsi" w:hAnsiTheme="minorHAnsi" w:cstheme="minorBidi"/>
                <w:color w:val="auto"/>
                <w:kern w:val="2"/>
                <w:sz w:val="21"/>
                <w:szCs w:val="21"/>
              </w:rPr>
            </w:pPr>
            <w:r>
              <w:rPr>
                <w:rFonts w:asciiTheme="minorHAnsi" w:hAnsiTheme="minorHAnsi" w:cstheme="minorBidi"/>
                <w:color w:val="auto"/>
                <w:kern w:val="2"/>
                <w:sz w:val="21"/>
                <w:szCs w:val="21"/>
              </w:rPr>
              <w:t>长度、宽度、高度、厚度、夹角等主要特征尺寸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74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992"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T</w:t>
            </w:r>
            <w:r>
              <w:rPr>
                <w:rFonts w:asciiTheme="minorHAnsi" w:hAnsiTheme="minorHAnsi" w:cstheme="minorBidi"/>
                <w:color w:val="auto"/>
                <w:kern w:val="2"/>
                <w:sz w:val="21"/>
                <w:szCs w:val="21"/>
              </w:rPr>
              <w:t>C-200</w:t>
            </w:r>
          </w:p>
        </w:tc>
        <w:tc>
          <w:tcPr>
            <w:tcW w:w="183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组件构成</w:t>
            </w:r>
          </w:p>
        </w:tc>
        <w:tc>
          <w:tcPr>
            <w:tcW w:w="3969" w:type="dxa"/>
            <w:vAlign w:val="center"/>
          </w:tcPr>
          <w:p>
            <w:pPr>
              <w:pStyle w:val="4"/>
              <w:spacing w:before="31" w:beforeLines="10" w:after="31" w:afterLines="10" w:line="240" w:lineRule="auto"/>
              <w:ind w:firstLine="420"/>
              <w:jc w:val="left"/>
              <w:rPr>
                <w:rFonts w:asciiTheme="minorHAnsi" w:hAnsiTheme="minorHAnsi" w:cstheme="minorBidi"/>
                <w:color w:val="auto"/>
                <w:kern w:val="2"/>
                <w:sz w:val="21"/>
                <w:szCs w:val="21"/>
              </w:rPr>
            </w:pPr>
            <w:r>
              <w:rPr>
                <w:rFonts w:asciiTheme="minorHAnsi" w:hAnsiTheme="minorHAnsi" w:cstheme="minorBidi"/>
                <w:color w:val="auto"/>
                <w:kern w:val="2"/>
                <w:sz w:val="21"/>
                <w:szCs w:val="21"/>
              </w:rPr>
              <w:t>主要组件名称、材质、尺寸等属性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74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992"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T</w:t>
            </w:r>
            <w:r>
              <w:rPr>
                <w:rFonts w:asciiTheme="minorHAnsi" w:hAnsiTheme="minorHAnsi" w:cstheme="minorBidi"/>
                <w:color w:val="auto"/>
                <w:kern w:val="2"/>
                <w:sz w:val="21"/>
                <w:szCs w:val="21"/>
              </w:rPr>
              <w:t>C-300</w:t>
            </w:r>
          </w:p>
        </w:tc>
        <w:tc>
          <w:tcPr>
            <w:tcW w:w="183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设计参数</w:t>
            </w:r>
          </w:p>
        </w:tc>
        <w:tc>
          <w:tcPr>
            <w:tcW w:w="3969" w:type="dxa"/>
            <w:vAlign w:val="center"/>
          </w:tcPr>
          <w:p>
            <w:pPr>
              <w:pStyle w:val="4"/>
              <w:spacing w:before="31" w:beforeLines="10" w:after="31" w:afterLines="10" w:line="240" w:lineRule="auto"/>
              <w:ind w:firstLine="420"/>
              <w:jc w:val="left"/>
              <w:rPr>
                <w:rFonts w:asciiTheme="minorHAnsi" w:hAnsiTheme="minorHAnsi" w:cstheme="minorBidi"/>
                <w:color w:val="auto"/>
                <w:kern w:val="2"/>
                <w:sz w:val="21"/>
                <w:szCs w:val="21"/>
              </w:rPr>
            </w:pPr>
            <w:r>
              <w:rPr>
                <w:rFonts w:asciiTheme="minorHAnsi" w:hAnsiTheme="minorHAnsi" w:cstheme="minorBidi"/>
                <w:color w:val="auto"/>
                <w:kern w:val="2"/>
                <w:sz w:val="21"/>
                <w:szCs w:val="21"/>
              </w:rPr>
              <w:t>主要技术指标、设计指标、设备产品设计性能等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74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992"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T</w:t>
            </w:r>
            <w:r>
              <w:rPr>
                <w:rFonts w:asciiTheme="minorHAnsi" w:hAnsiTheme="minorHAnsi" w:cstheme="minorBidi"/>
                <w:color w:val="auto"/>
                <w:kern w:val="2"/>
                <w:sz w:val="21"/>
                <w:szCs w:val="21"/>
              </w:rPr>
              <w:t>C-400</w:t>
            </w:r>
          </w:p>
        </w:tc>
        <w:tc>
          <w:tcPr>
            <w:tcW w:w="183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技术要求</w:t>
            </w:r>
          </w:p>
        </w:tc>
        <w:tc>
          <w:tcPr>
            <w:tcW w:w="3969" w:type="dxa"/>
            <w:vAlign w:val="center"/>
          </w:tcPr>
          <w:p>
            <w:pPr>
              <w:pStyle w:val="4"/>
              <w:spacing w:before="31" w:beforeLines="10" w:after="31" w:afterLines="10" w:line="240" w:lineRule="auto"/>
              <w:ind w:firstLine="420"/>
              <w:jc w:val="left"/>
              <w:rPr>
                <w:rFonts w:asciiTheme="minorHAnsi" w:hAnsiTheme="minorHAnsi" w:cstheme="minorBidi"/>
                <w:color w:val="auto"/>
                <w:kern w:val="2"/>
                <w:sz w:val="21"/>
                <w:szCs w:val="21"/>
              </w:rPr>
            </w:pPr>
            <w:r>
              <w:rPr>
                <w:rFonts w:asciiTheme="minorHAnsi" w:hAnsiTheme="minorHAnsi" w:cstheme="minorBidi"/>
                <w:color w:val="auto"/>
                <w:kern w:val="2"/>
                <w:sz w:val="21"/>
                <w:szCs w:val="21"/>
              </w:rPr>
              <w:t>材料要求、工艺要求、施工要求、安装要求、维护要求等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施工信息</w:t>
            </w:r>
          </w:p>
        </w:tc>
        <w:tc>
          <w:tcPr>
            <w:tcW w:w="746"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M</w:t>
            </w:r>
            <w:r>
              <w:rPr>
                <w:rFonts w:asciiTheme="minorHAnsi" w:hAnsiTheme="minorHAnsi" w:cstheme="minorBidi"/>
                <w:color w:val="auto"/>
                <w:kern w:val="2"/>
                <w:sz w:val="21"/>
                <w:szCs w:val="21"/>
              </w:rPr>
              <w:t>F</w:t>
            </w:r>
          </w:p>
        </w:tc>
        <w:tc>
          <w:tcPr>
            <w:tcW w:w="992"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M</w:t>
            </w:r>
            <w:r>
              <w:rPr>
                <w:rFonts w:asciiTheme="minorHAnsi" w:hAnsiTheme="minorHAnsi" w:cstheme="minorBidi"/>
                <w:color w:val="auto"/>
                <w:kern w:val="2"/>
                <w:sz w:val="21"/>
                <w:szCs w:val="21"/>
              </w:rPr>
              <w:t>F-100</w:t>
            </w:r>
          </w:p>
        </w:tc>
        <w:tc>
          <w:tcPr>
            <w:tcW w:w="183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材质性能</w:t>
            </w:r>
          </w:p>
        </w:tc>
        <w:tc>
          <w:tcPr>
            <w:tcW w:w="3969" w:type="dxa"/>
            <w:vAlign w:val="center"/>
          </w:tcPr>
          <w:p>
            <w:pPr>
              <w:pStyle w:val="4"/>
              <w:spacing w:before="31" w:beforeLines="10" w:after="31" w:afterLines="10" w:line="240" w:lineRule="auto"/>
              <w:ind w:firstLine="420"/>
              <w:jc w:val="left"/>
              <w:rPr>
                <w:rFonts w:asciiTheme="minorHAnsi" w:hAnsiTheme="minorHAnsi" w:cstheme="minorBidi"/>
                <w:color w:val="auto"/>
                <w:kern w:val="2"/>
                <w:sz w:val="21"/>
                <w:szCs w:val="21"/>
              </w:rPr>
            </w:pPr>
            <w:r>
              <w:rPr>
                <w:rFonts w:asciiTheme="minorHAnsi" w:hAnsiTheme="minorHAnsi" w:cstheme="minorBidi"/>
                <w:color w:val="auto"/>
                <w:kern w:val="2"/>
                <w:sz w:val="21"/>
                <w:szCs w:val="21"/>
              </w:rPr>
              <w:t>材料名称、规格型号、编码、数量、性能参数等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74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992"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M</w:t>
            </w:r>
            <w:r>
              <w:rPr>
                <w:rFonts w:asciiTheme="minorHAnsi" w:hAnsiTheme="minorHAnsi" w:cstheme="minorBidi"/>
                <w:color w:val="auto"/>
                <w:kern w:val="2"/>
                <w:sz w:val="21"/>
                <w:szCs w:val="21"/>
              </w:rPr>
              <w:t>F-200</w:t>
            </w:r>
          </w:p>
        </w:tc>
        <w:tc>
          <w:tcPr>
            <w:tcW w:w="183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检验信息</w:t>
            </w:r>
          </w:p>
        </w:tc>
        <w:tc>
          <w:tcPr>
            <w:tcW w:w="3969" w:type="dxa"/>
            <w:vAlign w:val="center"/>
          </w:tcPr>
          <w:p>
            <w:pPr>
              <w:pStyle w:val="4"/>
              <w:spacing w:before="31" w:beforeLines="10" w:after="31" w:afterLines="10" w:line="240" w:lineRule="auto"/>
              <w:ind w:firstLine="420"/>
              <w:jc w:val="left"/>
              <w:rPr>
                <w:rFonts w:asciiTheme="minorHAnsi" w:hAnsiTheme="minorHAnsi" w:cstheme="minorBidi"/>
                <w:color w:val="auto"/>
                <w:kern w:val="2"/>
                <w:sz w:val="21"/>
                <w:szCs w:val="21"/>
              </w:rPr>
            </w:pPr>
            <w:r>
              <w:rPr>
                <w:rFonts w:asciiTheme="minorHAnsi" w:hAnsiTheme="minorHAnsi" w:cstheme="minorBidi"/>
                <w:color w:val="auto"/>
                <w:kern w:val="2"/>
                <w:sz w:val="21"/>
                <w:szCs w:val="21"/>
              </w:rPr>
              <w:t>试验检测、外观检测、专项检测、质量验收、施工记录等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74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992"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M</w:t>
            </w:r>
            <w:r>
              <w:rPr>
                <w:rFonts w:asciiTheme="minorHAnsi" w:hAnsiTheme="minorHAnsi" w:cstheme="minorBidi"/>
                <w:color w:val="auto"/>
                <w:kern w:val="2"/>
                <w:sz w:val="21"/>
                <w:szCs w:val="21"/>
              </w:rPr>
              <w:t>F-300</w:t>
            </w:r>
          </w:p>
        </w:tc>
        <w:tc>
          <w:tcPr>
            <w:tcW w:w="183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验收信息</w:t>
            </w:r>
          </w:p>
        </w:tc>
        <w:tc>
          <w:tcPr>
            <w:tcW w:w="3969" w:type="dxa"/>
            <w:vAlign w:val="center"/>
          </w:tcPr>
          <w:p>
            <w:pPr>
              <w:pStyle w:val="4"/>
              <w:spacing w:before="31" w:beforeLines="10" w:after="31" w:afterLines="10" w:line="240" w:lineRule="auto"/>
              <w:ind w:firstLine="420"/>
              <w:jc w:val="left"/>
              <w:rPr>
                <w:rFonts w:asciiTheme="minorHAnsi" w:hAnsiTheme="minorHAnsi" w:cstheme="minorBidi"/>
                <w:color w:val="auto"/>
                <w:kern w:val="2"/>
                <w:sz w:val="21"/>
                <w:szCs w:val="21"/>
              </w:rPr>
            </w:pPr>
            <w:r>
              <w:rPr>
                <w:rFonts w:asciiTheme="minorHAnsi" w:hAnsiTheme="minorHAnsi" w:cstheme="minorBidi"/>
                <w:color w:val="auto"/>
                <w:kern w:val="2"/>
                <w:sz w:val="21"/>
                <w:szCs w:val="21"/>
              </w:rPr>
              <w:t>首件验收、分部分项工程</w:t>
            </w:r>
            <w:r>
              <w:rPr>
                <w:rFonts w:hint="eastAsia" w:asciiTheme="minorHAnsi" w:hAnsiTheme="minorHAnsi" w:cstheme="minorBidi"/>
                <w:color w:val="auto"/>
                <w:kern w:val="2"/>
                <w:sz w:val="21"/>
                <w:szCs w:val="21"/>
              </w:rPr>
              <w:t>及</w:t>
            </w:r>
            <w:r>
              <w:rPr>
                <w:rFonts w:asciiTheme="minorHAnsi" w:hAnsiTheme="minorHAnsi" w:cstheme="minorBidi"/>
                <w:color w:val="auto"/>
                <w:kern w:val="2"/>
                <w:sz w:val="21"/>
                <w:szCs w:val="21"/>
              </w:rPr>
              <w:t>单位工程验收、竣工验收等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资产信息</w:t>
            </w:r>
          </w:p>
        </w:tc>
        <w:tc>
          <w:tcPr>
            <w:tcW w:w="746"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A</w:t>
            </w:r>
            <w:r>
              <w:rPr>
                <w:rFonts w:asciiTheme="minorHAnsi" w:hAnsiTheme="minorHAnsi" w:cstheme="minorBidi"/>
                <w:color w:val="auto"/>
                <w:kern w:val="2"/>
                <w:sz w:val="21"/>
                <w:szCs w:val="21"/>
              </w:rPr>
              <w:t>M</w:t>
            </w:r>
          </w:p>
        </w:tc>
        <w:tc>
          <w:tcPr>
            <w:tcW w:w="992"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A</w:t>
            </w:r>
            <w:r>
              <w:rPr>
                <w:rFonts w:asciiTheme="minorHAnsi" w:hAnsiTheme="minorHAnsi" w:cstheme="minorBidi"/>
                <w:color w:val="auto"/>
                <w:kern w:val="2"/>
                <w:sz w:val="21"/>
                <w:szCs w:val="21"/>
              </w:rPr>
              <w:t>M-100</w:t>
            </w:r>
          </w:p>
        </w:tc>
        <w:tc>
          <w:tcPr>
            <w:tcW w:w="183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资产登记</w:t>
            </w:r>
          </w:p>
        </w:tc>
        <w:tc>
          <w:tcPr>
            <w:tcW w:w="3969" w:type="dxa"/>
            <w:vAlign w:val="center"/>
          </w:tcPr>
          <w:p>
            <w:pPr>
              <w:pStyle w:val="4"/>
              <w:spacing w:before="31" w:beforeLines="10" w:after="31" w:afterLines="10" w:line="240" w:lineRule="auto"/>
              <w:ind w:firstLine="420"/>
              <w:jc w:val="left"/>
              <w:rPr>
                <w:rFonts w:asciiTheme="minorHAnsi" w:hAnsiTheme="minorHAnsi" w:cstheme="minorBidi"/>
                <w:color w:val="auto"/>
                <w:kern w:val="2"/>
                <w:sz w:val="21"/>
                <w:szCs w:val="21"/>
              </w:rPr>
            </w:pPr>
            <w:r>
              <w:rPr>
                <w:rFonts w:asciiTheme="minorHAnsi" w:hAnsiTheme="minorHAnsi" w:cstheme="minorBidi"/>
                <w:color w:val="auto"/>
                <w:kern w:val="2"/>
                <w:sz w:val="21"/>
                <w:szCs w:val="21"/>
              </w:rPr>
              <w:t>道路、桥梁、隧道、交安设施、养护设施以及道路空间资源等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74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992"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A</w:t>
            </w:r>
            <w:r>
              <w:rPr>
                <w:rFonts w:asciiTheme="minorHAnsi" w:hAnsiTheme="minorHAnsi" w:cstheme="minorBidi"/>
                <w:color w:val="auto"/>
                <w:kern w:val="2"/>
                <w:sz w:val="21"/>
                <w:szCs w:val="21"/>
              </w:rPr>
              <w:t>M-200</w:t>
            </w:r>
          </w:p>
        </w:tc>
        <w:tc>
          <w:tcPr>
            <w:tcW w:w="183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资产管理</w:t>
            </w:r>
          </w:p>
        </w:tc>
        <w:tc>
          <w:tcPr>
            <w:tcW w:w="3969" w:type="dxa"/>
            <w:vAlign w:val="center"/>
          </w:tcPr>
          <w:p>
            <w:pPr>
              <w:pStyle w:val="4"/>
              <w:spacing w:before="31" w:beforeLines="10" w:after="31" w:afterLines="10" w:line="240" w:lineRule="auto"/>
              <w:ind w:firstLine="420"/>
              <w:jc w:val="left"/>
              <w:rPr>
                <w:rFonts w:asciiTheme="minorHAnsi" w:hAnsiTheme="minorHAnsi" w:cstheme="minorBidi"/>
                <w:color w:val="auto"/>
                <w:kern w:val="2"/>
                <w:sz w:val="21"/>
                <w:szCs w:val="21"/>
              </w:rPr>
            </w:pPr>
            <w:r>
              <w:rPr>
                <w:rFonts w:asciiTheme="minorHAnsi" w:hAnsiTheme="minorHAnsi" w:cstheme="minorBidi"/>
                <w:color w:val="auto"/>
                <w:kern w:val="2"/>
                <w:sz w:val="21"/>
                <w:szCs w:val="21"/>
              </w:rPr>
              <w:t>资产编码、分析、利用与处置等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运维信息</w:t>
            </w:r>
          </w:p>
        </w:tc>
        <w:tc>
          <w:tcPr>
            <w:tcW w:w="746"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O</w:t>
            </w:r>
            <w:r>
              <w:rPr>
                <w:rFonts w:asciiTheme="minorHAnsi" w:hAnsiTheme="minorHAnsi" w:cstheme="minorBidi"/>
                <w:color w:val="auto"/>
                <w:kern w:val="2"/>
                <w:sz w:val="21"/>
                <w:szCs w:val="21"/>
              </w:rPr>
              <w:t>M</w:t>
            </w:r>
          </w:p>
        </w:tc>
        <w:tc>
          <w:tcPr>
            <w:tcW w:w="992"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O</w:t>
            </w:r>
            <w:r>
              <w:rPr>
                <w:rFonts w:asciiTheme="minorHAnsi" w:hAnsiTheme="minorHAnsi" w:cstheme="minorBidi"/>
                <w:color w:val="auto"/>
                <w:kern w:val="2"/>
                <w:sz w:val="21"/>
                <w:szCs w:val="21"/>
              </w:rPr>
              <w:t>M-100</w:t>
            </w:r>
          </w:p>
        </w:tc>
        <w:tc>
          <w:tcPr>
            <w:tcW w:w="183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路况</w:t>
            </w:r>
            <w:r>
              <w:rPr>
                <w:rFonts w:asciiTheme="minorHAnsi" w:hAnsiTheme="minorHAnsi" w:cstheme="minorBidi"/>
                <w:color w:val="auto"/>
                <w:kern w:val="2"/>
                <w:sz w:val="21"/>
                <w:szCs w:val="21"/>
              </w:rPr>
              <w:t>信息</w:t>
            </w:r>
          </w:p>
        </w:tc>
        <w:tc>
          <w:tcPr>
            <w:tcW w:w="3969" w:type="dxa"/>
            <w:vAlign w:val="center"/>
          </w:tcPr>
          <w:p>
            <w:pPr>
              <w:pStyle w:val="4"/>
              <w:spacing w:before="31" w:beforeLines="10" w:after="31" w:afterLines="10" w:line="240" w:lineRule="auto"/>
              <w:ind w:firstLine="420"/>
              <w:jc w:val="left"/>
              <w:rPr>
                <w:rFonts w:asciiTheme="minorHAnsi" w:hAnsiTheme="minorHAnsi" w:cstheme="minorBidi"/>
                <w:color w:val="auto"/>
                <w:kern w:val="2"/>
                <w:sz w:val="21"/>
                <w:szCs w:val="21"/>
              </w:rPr>
            </w:pPr>
            <w:r>
              <w:rPr>
                <w:rFonts w:asciiTheme="minorHAnsi" w:hAnsiTheme="minorHAnsi" w:cstheme="minorBidi"/>
                <w:color w:val="auto"/>
                <w:kern w:val="2"/>
                <w:sz w:val="21"/>
                <w:szCs w:val="21"/>
              </w:rPr>
              <w:t>路面交通状况、应急事件预报等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74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992"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O</w:t>
            </w:r>
            <w:r>
              <w:rPr>
                <w:rFonts w:asciiTheme="minorHAnsi" w:hAnsiTheme="minorHAnsi" w:cstheme="minorBidi"/>
                <w:color w:val="auto"/>
                <w:kern w:val="2"/>
                <w:sz w:val="21"/>
                <w:szCs w:val="21"/>
              </w:rPr>
              <w:t>M-200</w:t>
            </w:r>
          </w:p>
        </w:tc>
        <w:tc>
          <w:tcPr>
            <w:tcW w:w="183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安全</w:t>
            </w:r>
            <w:r>
              <w:rPr>
                <w:rFonts w:asciiTheme="minorHAnsi" w:hAnsiTheme="minorHAnsi" w:cstheme="minorBidi"/>
                <w:color w:val="auto"/>
                <w:kern w:val="2"/>
                <w:sz w:val="21"/>
                <w:szCs w:val="21"/>
              </w:rPr>
              <w:t>信息</w:t>
            </w:r>
          </w:p>
        </w:tc>
        <w:tc>
          <w:tcPr>
            <w:tcW w:w="3969" w:type="dxa"/>
            <w:vAlign w:val="center"/>
          </w:tcPr>
          <w:p>
            <w:pPr>
              <w:pStyle w:val="4"/>
              <w:spacing w:before="31" w:beforeLines="10" w:after="31" w:afterLines="10" w:line="240" w:lineRule="auto"/>
              <w:ind w:firstLine="420"/>
              <w:jc w:val="left"/>
              <w:rPr>
                <w:rFonts w:asciiTheme="minorHAnsi" w:hAnsiTheme="minorHAnsi" w:cstheme="minorBidi"/>
                <w:color w:val="auto"/>
                <w:kern w:val="2"/>
                <w:sz w:val="21"/>
                <w:szCs w:val="21"/>
              </w:rPr>
            </w:pPr>
            <w:r>
              <w:rPr>
                <w:rFonts w:asciiTheme="minorHAnsi" w:hAnsiTheme="minorHAnsi" w:cstheme="minorBidi"/>
                <w:color w:val="auto"/>
                <w:kern w:val="2"/>
                <w:sz w:val="21"/>
                <w:szCs w:val="21"/>
              </w:rPr>
              <w:t>交通安全信息采集、发布及处置等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74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992"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O</w:t>
            </w:r>
            <w:r>
              <w:rPr>
                <w:rFonts w:asciiTheme="minorHAnsi" w:hAnsiTheme="minorHAnsi" w:cstheme="minorBidi"/>
                <w:color w:val="auto"/>
                <w:kern w:val="2"/>
                <w:sz w:val="21"/>
                <w:szCs w:val="21"/>
              </w:rPr>
              <w:t>M-300</w:t>
            </w:r>
          </w:p>
        </w:tc>
        <w:tc>
          <w:tcPr>
            <w:tcW w:w="183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监控信息</w:t>
            </w:r>
          </w:p>
        </w:tc>
        <w:tc>
          <w:tcPr>
            <w:tcW w:w="3969" w:type="dxa"/>
            <w:vAlign w:val="center"/>
          </w:tcPr>
          <w:p>
            <w:pPr>
              <w:pStyle w:val="4"/>
              <w:spacing w:before="31" w:beforeLines="10" w:after="31" w:afterLines="10" w:line="240" w:lineRule="auto"/>
              <w:ind w:firstLine="420"/>
              <w:jc w:val="left"/>
              <w:rPr>
                <w:rFonts w:asciiTheme="minorHAnsi" w:hAnsiTheme="minorHAnsi" w:cstheme="minorBidi"/>
                <w:color w:val="auto"/>
                <w:kern w:val="2"/>
                <w:sz w:val="21"/>
                <w:szCs w:val="21"/>
              </w:rPr>
            </w:pPr>
            <w:r>
              <w:rPr>
                <w:rFonts w:asciiTheme="minorHAnsi" w:hAnsiTheme="minorHAnsi" w:cstheme="minorBidi"/>
                <w:color w:val="auto"/>
                <w:kern w:val="2"/>
                <w:sz w:val="21"/>
                <w:szCs w:val="21"/>
              </w:rPr>
              <w:t>主体结构安全监测、道路及环境病害监测等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74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992"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O</w:t>
            </w:r>
            <w:r>
              <w:rPr>
                <w:rFonts w:asciiTheme="minorHAnsi" w:hAnsiTheme="minorHAnsi" w:cstheme="minorBidi"/>
                <w:color w:val="auto"/>
                <w:kern w:val="2"/>
                <w:sz w:val="21"/>
                <w:szCs w:val="21"/>
              </w:rPr>
              <w:t>M-400</w:t>
            </w:r>
          </w:p>
        </w:tc>
        <w:tc>
          <w:tcPr>
            <w:tcW w:w="183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巡检信息</w:t>
            </w:r>
          </w:p>
        </w:tc>
        <w:tc>
          <w:tcPr>
            <w:tcW w:w="3969" w:type="dxa"/>
            <w:vAlign w:val="center"/>
          </w:tcPr>
          <w:p>
            <w:pPr>
              <w:pStyle w:val="4"/>
              <w:spacing w:before="31" w:beforeLines="10" w:after="31" w:afterLines="10" w:line="240" w:lineRule="auto"/>
              <w:ind w:firstLine="420"/>
              <w:jc w:val="left"/>
              <w:rPr>
                <w:rFonts w:asciiTheme="minorHAnsi" w:hAnsiTheme="minorHAnsi" w:cstheme="minorBidi"/>
                <w:color w:val="auto"/>
                <w:kern w:val="2"/>
                <w:sz w:val="21"/>
                <w:szCs w:val="21"/>
              </w:rPr>
            </w:pPr>
            <w:r>
              <w:rPr>
                <w:rFonts w:asciiTheme="minorHAnsi" w:hAnsiTheme="minorHAnsi" w:cstheme="minorBidi"/>
                <w:color w:val="auto"/>
                <w:kern w:val="2"/>
                <w:sz w:val="21"/>
                <w:szCs w:val="21"/>
              </w:rPr>
              <w:t>日常、定期、专项检查与检测信息及结论等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74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992"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O</w:t>
            </w:r>
            <w:r>
              <w:rPr>
                <w:rFonts w:asciiTheme="minorHAnsi" w:hAnsiTheme="minorHAnsi" w:cstheme="minorBidi"/>
                <w:color w:val="auto"/>
                <w:kern w:val="2"/>
                <w:sz w:val="21"/>
                <w:szCs w:val="21"/>
              </w:rPr>
              <w:t>M-500</w:t>
            </w:r>
          </w:p>
        </w:tc>
        <w:tc>
          <w:tcPr>
            <w:tcW w:w="183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维护信息</w:t>
            </w:r>
          </w:p>
        </w:tc>
        <w:tc>
          <w:tcPr>
            <w:tcW w:w="3969" w:type="dxa"/>
            <w:vAlign w:val="center"/>
          </w:tcPr>
          <w:p>
            <w:pPr>
              <w:pStyle w:val="4"/>
              <w:spacing w:before="31" w:beforeLines="10" w:after="31" w:afterLines="10" w:line="240" w:lineRule="auto"/>
              <w:ind w:firstLine="420"/>
              <w:jc w:val="left"/>
              <w:rPr>
                <w:rFonts w:asciiTheme="minorHAnsi" w:hAnsiTheme="minorHAnsi" w:cstheme="minorBidi"/>
                <w:color w:val="auto"/>
                <w:kern w:val="2"/>
                <w:sz w:val="21"/>
                <w:szCs w:val="21"/>
              </w:rPr>
            </w:pPr>
            <w:r>
              <w:rPr>
                <w:rFonts w:asciiTheme="minorHAnsi" w:hAnsiTheme="minorHAnsi" w:cstheme="minorBidi"/>
                <w:color w:val="auto"/>
                <w:kern w:val="2"/>
                <w:sz w:val="21"/>
                <w:szCs w:val="21"/>
              </w:rPr>
              <w:t>养护及维修等信息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1"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746" w:type="dxa"/>
            <w:vMerge w:val="continue"/>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992"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O</w:t>
            </w:r>
            <w:r>
              <w:rPr>
                <w:rFonts w:asciiTheme="minorHAnsi" w:hAnsiTheme="minorHAnsi" w:cstheme="minorBidi"/>
                <w:color w:val="auto"/>
                <w:kern w:val="2"/>
                <w:sz w:val="21"/>
                <w:szCs w:val="21"/>
              </w:rPr>
              <w:t>M-600</w:t>
            </w:r>
          </w:p>
        </w:tc>
        <w:tc>
          <w:tcPr>
            <w:tcW w:w="183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备件备品</w:t>
            </w:r>
          </w:p>
        </w:tc>
        <w:tc>
          <w:tcPr>
            <w:tcW w:w="3969" w:type="dxa"/>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r>
    </w:tbl>
    <w:p>
      <w:pPr>
        <w:ind w:firstLine="420"/>
        <w:jc w:val="left"/>
        <w:rPr>
          <w:color w:val="auto"/>
          <w:sz w:val="21"/>
          <w:szCs w:val="21"/>
        </w:rPr>
      </w:pPr>
      <w:r>
        <w:rPr>
          <w:color w:val="auto"/>
          <w:sz w:val="21"/>
          <w:szCs w:val="21"/>
        </w:rPr>
        <w:t>注：</w:t>
      </w:r>
      <w:r>
        <w:rPr>
          <w:rFonts w:hint="eastAsia"/>
          <w:color w:val="auto"/>
          <w:sz w:val="21"/>
          <w:szCs w:val="21"/>
        </w:rPr>
        <w:t>1</w:t>
      </w:r>
      <w:r>
        <w:rPr>
          <w:color w:val="auto"/>
          <w:sz w:val="21"/>
          <w:szCs w:val="21"/>
        </w:rPr>
        <w:t xml:space="preserve">   表中未列出的属性组和属性可自定义进行补充；</w:t>
      </w:r>
    </w:p>
    <w:p>
      <w:pPr>
        <w:ind w:firstLine="840" w:firstLineChars="400"/>
        <w:jc w:val="left"/>
        <w:rPr>
          <w:color w:val="auto"/>
          <w:sz w:val="21"/>
          <w:szCs w:val="21"/>
        </w:rPr>
      </w:pPr>
      <w:r>
        <w:rPr>
          <w:rFonts w:hint="eastAsia"/>
          <w:color w:val="auto"/>
          <w:sz w:val="21"/>
          <w:szCs w:val="21"/>
        </w:rPr>
        <w:t>2</w:t>
      </w:r>
      <w:r>
        <w:rPr>
          <w:color w:val="auto"/>
          <w:sz w:val="21"/>
          <w:szCs w:val="21"/>
        </w:rPr>
        <w:t xml:space="preserve">   属性应分项列举，属性代号应在属性组代号数字按整数顺序依次扩展。</w:t>
      </w:r>
    </w:p>
    <w:p>
      <w:pPr>
        <w:ind w:firstLine="0" w:firstLineChars="0"/>
        <w:rPr>
          <w:b/>
          <w:i/>
          <w:color w:val="auto"/>
        </w:rPr>
      </w:pPr>
    </w:p>
    <w:p>
      <w:pPr>
        <w:ind w:firstLine="480"/>
        <w:rPr>
          <w:color w:val="auto"/>
        </w:rPr>
      </w:pPr>
    </w:p>
    <w:p>
      <w:pPr>
        <w:pStyle w:val="2"/>
        <w:spacing w:before="312" w:after="312"/>
        <w:jc w:val="center"/>
        <w:rPr>
          <w:rFonts w:eastAsia="宋体"/>
          <w:b/>
          <w:i/>
          <w:color w:val="auto"/>
          <w:sz w:val="24"/>
        </w:rPr>
      </w:pPr>
      <w:bookmarkStart w:id="107" w:name="_Toc5069"/>
      <w:bookmarkStart w:id="108" w:name="_Toc136357457"/>
      <w:r>
        <w:rPr>
          <w:color w:val="auto"/>
        </w:rPr>
        <w:t>附录D</w:t>
      </w:r>
      <w:r>
        <w:rPr>
          <w:rFonts w:hint="eastAsia"/>
          <w:color w:val="auto"/>
        </w:rPr>
        <w:t>: 项目关键指标表</w:t>
      </w:r>
      <w:bookmarkEnd w:id="107"/>
      <w:r>
        <w:rPr>
          <w:color w:val="auto"/>
        </w:rPr>
        <w:t xml:space="preserve"> </w:t>
      </w:r>
      <w:bookmarkEnd w:id="108"/>
    </w:p>
    <w:tbl>
      <w:tblPr>
        <w:tblStyle w:val="75"/>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2400"/>
        <w:gridCol w:w="1404"/>
        <w:gridCol w:w="3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类别</w:t>
            </w: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指标项</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计量单位</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数据说明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项目总体</w:t>
            </w: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项目代码</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工程规模</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m</w:t>
            </w:r>
            <w:r>
              <w:rPr>
                <w:rFonts w:asciiTheme="minorHAnsi" w:hAnsiTheme="minorHAnsi" w:cstheme="minorBidi"/>
                <w:color w:val="auto"/>
                <w:kern w:val="2"/>
                <w:sz w:val="21"/>
                <w:szCs w:val="21"/>
                <w:vertAlign w:val="superscript"/>
              </w:rPr>
              <w:t>2</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至少保留小数点后一位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项目投资</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万元</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建设周期</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天</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抗震</w:t>
            </w:r>
            <w:r>
              <w:rPr>
                <w:rFonts w:asciiTheme="minorHAnsi" w:hAnsiTheme="minorHAnsi" w:cstheme="minorBidi"/>
                <w:color w:val="auto"/>
                <w:kern w:val="2"/>
                <w:sz w:val="21"/>
                <w:szCs w:val="21"/>
              </w:rPr>
              <w:t>设防烈度</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道路工程</w:t>
            </w: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道路工程代码</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道路等级</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设计时速</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km/h</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道路标准断面宽度</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m</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至少保留小数点后两位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道路路线长度</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m</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至少保留小数点后两位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竖向标高</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m</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至少保留小数点后三位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最大纵坡</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至少保留小数点后一位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最小坡长</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m</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至少保留小数点后两位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最小纵坡</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至少保留小数点后一位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最大坡长</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m</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至少保留小数点后两位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最小平曲线半径</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m</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至少保留小数点后两位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最大超高横坡度</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至少保留小数点后一位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净空</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m</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至少保留小数点后一位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延米</w:t>
            </w:r>
            <w:r>
              <w:rPr>
                <w:rFonts w:asciiTheme="minorHAnsi" w:hAnsiTheme="minorHAnsi" w:cstheme="minorBidi"/>
                <w:color w:val="auto"/>
                <w:kern w:val="2"/>
                <w:sz w:val="21"/>
                <w:szCs w:val="21"/>
              </w:rPr>
              <w:t>造价</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万元</w:t>
            </w:r>
            <w:r>
              <w:rPr>
                <w:rFonts w:hint="eastAsia" w:asciiTheme="minorHAnsi" w:hAnsiTheme="minorHAnsi" w:cstheme="minorBidi"/>
                <w:color w:val="auto"/>
                <w:kern w:val="2"/>
                <w:sz w:val="21"/>
                <w:szCs w:val="21"/>
              </w:rPr>
              <w:t>/</w:t>
            </w:r>
            <w:r>
              <w:rPr>
                <w:rFonts w:asciiTheme="minorHAnsi" w:hAnsiTheme="minorHAnsi" w:cstheme="minorBidi"/>
                <w:color w:val="auto"/>
                <w:kern w:val="2"/>
                <w:sz w:val="21"/>
                <w:szCs w:val="21"/>
              </w:rPr>
              <w:t>m</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至少保留小数点后两位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桥梁工程</w:t>
            </w: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桥梁类型代码</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桥梁</w:t>
            </w:r>
            <w:r>
              <w:rPr>
                <w:rFonts w:hint="eastAsia" w:asciiTheme="minorHAnsi" w:hAnsiTheme="minorHAnsi" w:cstheme="minorBidi"/>
                <w:color w:val="auto"/>
                <w:kern w:val="2"/>
                <w:sz w:val="21"/>
                <w:szCs w:val="21"/>
              </w:rPr>
              <w:t>类型</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桥梁设计使用年限</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年</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桥梁荷载等级</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桥梁标准宽度</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m</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至少保留小数点后三位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桥梁主跨长度</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m</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至少保留小数点后三位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桥梁总长</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m</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至少保留小数点后三位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桥梁</w:t>
            </w:r>
            <w:r>
              <w:rPr>
                <w:rFonts w:hint="eastAsia" w:asciiTheme="minorHAnsi" w:hAnsiTheme="minorHAnsi" w:cstheme="minorBidi"/>
                <w:color w:val="auto"/>
                <w:kern w:val="2"/>
                <w:sz w:val="21"/>
                <w:szCs w:val="21"/>
              </w:rPr>
              <w:t>面积</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m</w:t>
            </w:r>
            <w:r>
              <w:rPr>
                <w:rFonts w:asciiTheme="minorHAnsi" w:hAnsiTheme="minorHAnsi" w:cstheme="minorBidi"/>
                <w:color w:val="auto"/>
                <w:kern w:val="2"/>
                <w:sz w:val="21"/>
                <w:szCs w:val="21"/>
                <w:vertAlign w:val="superscript"/>
              </w:rPr>
              <w:t>2</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至少保留小数点后一位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环境类别</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平米</w:t>
            </w:r>
            <w:r>
              <w:rPr>
                <w:rFonts w:asciiTheme="minorHAnsi" w:hAnsiTheme="minorHAnsi" w:cstheme="minorBidi"/>
                <w:color w:val="auto"/>
                <w:kern w:val="2"/>
                <w:sz w:val="21"/>
                <w:szCs w:val="21"/>
              </w:rPr>
              <w:t>造价</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万元/m</w:t>
            </w:r>
            <w:r>
              <w:rPr>
                <w:rFonts w:asciiTheme="minorHAnsi" w:hAnsiTheme="minorHAnsi" w:cstheme="minorBidi"/>
                <w:color w:val="auto"/>
                <w:kern w:val="2"/>
                <w:sz w:val="21"/>
                <w:szCs w:val="21"/>
                <w:vertAlign w:val="superscript"/>
              </w:rPr>
              <w:t>2</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至少保留小数点后两位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restart"/>
            <w:vAlign w:val="center"/>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隧道工程</w:t>
            </w: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隧道类型代码</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隧道</w:t>
            </w:r>
            <w:r>
              <w:rPr>
                <w:rFonts w:hint="eastAsia" w:asciiTheme="minorHAnsi" w:hAnsiTheme="minorHAnsi" w:cstheme="minorBidi"/>
                <w:color w:val="auto"/>
                <w:kern w:val="2"/>
                <w:sz w:val="21"/>
                <w:szCs w:val="21"/>
              </w:rPr>
              <w:t>类型</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隧道设计使用年限</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年</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隧道标准宽度</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m</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至少保留小数点后三位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围岩等级</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隧道</w:t>
            </w:r>
            <w:r>
              <w:rPr>
                <w:rFonts w:hint="eastAsia" w:asciiTheme="minorHAnsi" w:hAnsiTheme="minorHAnsi" w:cstheme="minorBidi"/>
                <w:color w:val="auto"/>
                <w:kern w:val="2"/>
                <w:sz w:val="21"/>
                <w:szCs w:val="21"/>
              </w:rPr>
              <w:t>长度</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m</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至少保留小数点后三位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asciiTheme="minorHAnsi" w:hAnsiTheme="minorHAnsi" w:cstheme="minorBidi"/>
                <w:color w:val="auto"/>
                <w:kern w:val="2"/>
                <w:sz w:val="21"/>
                <w:szCs w:val="21"/>
              </w:rPr>
              <w:t>隧道</w:t>
            </w:r>
            <w:r>
              <w:rPr>
                <w:rFonts w:hint="eastAsia" w:asciiTheme="minorHAnsi" w:hAnsiTheme="minorHAnsi" w:cstheme="minorBidi"/>
                <w:color w:val="auto"/>
                <w:kern w:val="2"/>
                <w:sz w:val="21"/>
                <w:szCs w:val="21"/>
              </w:rPr>
              <w:t>面积</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m</w:t>
            </w:r>
            <w:r>
              <w:rPr>
                <w:rFonts w:asciiTheme="minorHAnsi" w:hAnsiTheme="minorHAnsi" w:cstheme="minorBidi"/>
                <w:color w:val="auto"/>
                <w:kern w:val="2"/>
                <w:sz w:val="21"/>
                <w:szCs w:val="21"/>
                <w:vertAlign w:val="superscript"/>
              </w:rPr>
              <w:t>2</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至少保留小数点后一位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7" w:type="dxa"/>
            <w:vMerge w:val="continue"/>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p>
        </w:tc>
        <w:tc>
          <w:tcPr>
            <w:tcW w:w="2400"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延米</w:t>
            </w:r>
            <w:r>
              <w:rPr>
                <w:rFonts w:asciiTheme="minorHAnsi" w:hAnsiTheme="minorHAnsi" w:cstheme="minorBidi"/>
                <w:color w:val="auto"/>
                <w:kern w:val="2"/>
                <w:sz w:val="21"/>
                <w:szCs w:val="21"/>
              </w:rPr>
              <w:t>造价</w:t>
            </w:r>
          </w:p>
        </w:tc>
        <w:tc>
          <w:tcPr>
            <w:tcW w:w="1404"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万元/m</w:t>
            </w:r>
          </w:p>
        </w:tc>
        <w:tc>
          <w:tcPr>
            <w:tcW w:w="3085" w:type="dxa"/>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至少保留小数点后两位</w:t>
            </w:r>
          </w:p>
        </w:tc>
      </w:tr>
    </w:tbl>
    <w:p>
      <w:pPr>
        <w:ind w:firstLine="420"/>
        <w:jc w:val="left"/>
        <w:rPr>
          <w:color w:val="auto"/>
          <w:sz w:val="21"/>
          <w:szCs w:val="21"/>
        </w:rPr>
      </w:pPr>
      <w:r>
        <w:rPr>
          <w:color w:val="auto"/>
          <w:sz w:val="21"/>
          <w:szCs w:val="21"/>
        </w:rPr>
        <w:t>注：</w:t>
      </w:r>
      <w:r>
        <w:rPr>
          <w:rFonts w:hint="eastAsia"/>
          <w:color w:val="auto"/>
          <w:sz w:val="21"/>
          <w:szCs w:val="21"/>
        </w:rPr>
        <w:t>1</w:t>
      </w:r>
      <w:r>
        <w:rPr>
          <w:color w:val="auto"/>
          <w:sz w:val="21"/>
          <w:szCs w:val="21"/>
        </w:rPr>
        <w:t xml:space="preserve">   表中未列出的</w:t>
      </w:r>
      <w:r>
        <w:rPr>
          <w:rFonts w:hint="eastAsia"/>
          <w:color w:val="auto"/>
          <w:sz w:val="21"/>
          <w:szCs w:val="21"/>
        </w:rPr>
        <w:t>项目</w:t>
      </w:r>
      <w:r>
        <w:rPr>
          <w:color w:val="auto"/>
          <w:sz w:val="21"/>
          <w:szCs w:val="21"/>
        </w:rPr>
        <w:t>指标项可自定义进行补充；</w:t>
      </w:r>
    </w:p>
    <w:p>
      <w:pPr>
        <w:ind w:firstLine="840" w:firstLineChars="400"/>
        <w:jc w:val="left"/>
        <w:rPr>
          <w:color w:val="auto"/>
          <w:sz w:val="21"/>
          <w:szCs w:val="21"/>
        </w:rPr>
      </w:pPr>
      <w:r>
        <w:rPr>
          <w:rFonts w:hint="eastAsia"/>
          <w:color w:val="auto"/>
          <w:sz w:val="21"/>
          <w:szCs w:val="21"/>
        </w:rPr>
        <w:t>2</w:t>
      </w:r>
      <w:r>
        <w:rPr>
          <w:color w:val="auto"/>
          <w:sz w:val="21"/>
          <w:szCs w:val="21"/>
        </w:rPr>
        <w:t xml:space="preserve">   </w:t>
      </w:r>
      <w:r>
        <w:rPr>
          <w:rFonts w:hint="eastAsia"/>
          <w:color w:val="auto"/>
          <w:sz w:val="21"/>
          <w:szCs w:val="21"/>
        </w:rPr>
        <w:t>指标</w:t>
      </w:r>
      <w:r>
        <w:rPr>
          <w:color w:val="auto"/>
          <w:sz w:val="21"/>
          <w:szCs w:val="21"/>
        </w:rPr>
        <w:t>数据应注明数据来源，并应与规划行政审批成果一致。</w:t>
      </w:r>
    </w:p>
    <w:p>
      <w:pPr>
        <w:ind w:firstLine="0" w:firstLineChars="0"/>
        <w:rPr>
          <w:b/>
          <w:i/>
          <w:color w:val="auto"/>
        </w:rPr>
      </w:pPr>
    </w:p>
    <w:p>
      <w:pPr>
        <w:ind w:firstLine="480"/>
        <w:rPr>
          <w:color w:val="auto"/>
        </w:rPr>
      </w:pPr>
    </w:p>
    <w:p>
      <w:pPr>
        <w:ind w:firstLine="480"/>
        <w:rPr>
          <w:color w:val="auto"/>
        </w:rPr>
      </w:pPr>
    </w:p>
    <w:p>
      <w:pPr>
        <w:pStyle w:val="2"/>
        <w:spacing w:before="312" w:after="312"/>
        <w:jc w:val="center"/>
        <w:rPr>
          <w:rFonts w:eastAsia="宋体"/>
          <w:b/>
          <w:i/>
          <w:color w:val="auto"/>
          <w:sz w:val="24"/>
        </w:rPr>
      </w:pPr>
      <w:bookmarkStart w:id="109" w:name="_Toc13559"/>
      <w:bookmarkStart w:id="110" w:name="_Toc136357458"/>
      <w:r>
        <w:rPr>
          <w:color w:val="auto"/>
        </w:rPr>
        <w:t>附录E</w:t>
      </w:r>
      <w:r>
        <w:rPr>
          <w:rFonts w:hint="eastAsia"/>
          <w:color w:val="auto"/>
        </w:rPr>
        <w:t>: 模型组件单元拆分与命名规则表</w:t>
      </w:r>
      <w:bookmarkEnd w:id="109"/>
      <w:bookmarkEnd w:id="110"/>
    </w:p>
    <w:tbl>
      <w:tblPr>
        <w:tblStyle w:val="75"/>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358"/>
        <w:gridCol w:w="1335"/>
        <w:gridCol w:w="4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序号</w:t>
            </w:r>
          </w:p>
        </w:tc>
        <w:tc>
          <w:tcPr>
            <w:tcW w:w="1358" w:type="dxa"/>
            <w:noWrap/>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拆分方式</w:t>
            </w:r>
          </w:p>
        </w:tc>
        <w:tc>
          <w:tcPr>
            <w:tcW w:w="1335" w:type="dxa"/>
            <w:noWrap/>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信息类别</w:t>
            </w:r>
          </w:p>
        </w:tc>
        <w:tc>
          <w:tcPr>
            <w:tcW w:w="4332" w:type="dxa"/>
            <w:noWrap/>
          </w:tcPr>
          <w:p>
            <w:pPr>
              <w:pStyle w:val="4"/>
              <w:spacing w:before="31" w:beforeLines="10" w:after="31" w:afterLines="10" w:line="240" w:lineRule="auto"/>
              <w:ind w:firstLine="0" w:firstLineChars="0"/>
              <w:jc w:val="center"/>
              <w:rPr>
                <w:rFonts w:asciiTheme="minorHAnsi" w:hAnsiTheme="minorHAnsi" w:cstheme="minorBidi"/>
                <w:color w:val="auto"/>
                <w:kern w:val="2"/>
                <w:sz w:val="21"/>
                <w:szCs w:val="21"/>
              </w:rPr>
            </w:pPr>
            <w:r>
              <w:rPr>
                <w:rFonts w:hint="eastAsia" w:asciiTheme="minorHAnsi" w:hAnsiTheme="minorHAnsi" w:cstheme="minorBidi"/>
                <w:color w:val="auto"/>
                <w:kern w:val="2"/>
                <w:sz w:val="21"/>
                <w:szCs w:val="21"/>
              </w:rPr>
              <w:t>命名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按功能</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项目级信息</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道路工程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城市道路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快速路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主干路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次干路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步行街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郊区道路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居住区道路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工业区道路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绿道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按形态</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功能级信息</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构筑物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桥梁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横梁式桥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梁桥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简支梁桥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连续梁桥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悬臂梁桥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组合梁桥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板桥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刚构桥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T形刚构桥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连续刚构桥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斜腿刚构桥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拱桥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双曲拱桥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空腹拱桥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实腹拱桥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系杆拱桥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桁架桥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斜拉桥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吊桥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人行天桥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高架桥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组合桥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悬索桥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其它桥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2-1-10-1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正交桥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2-1-10-2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斜交桥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2-1-10-3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弯桥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2-1-10-4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坡桥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2-1-10-5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斜桥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2-1-10-6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正桥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2-1-10-7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漫水桥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2-1-10-8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浮桥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2-1-10-9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开启桥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2-1-10-10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跨线桥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2-1-10-11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框架桥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上承式桥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中承式桥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下承式桥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涵洞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管涵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盖板涵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拱涵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箱涵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2-2-5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无压力式涵洞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2-2-6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压力式涵洞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2-2-7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半压力式涵洞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2-2-8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倒虹吸涵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一般隧道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小净距隧道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连拱隧道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分岔隧道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棚洞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线性构筑物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路基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路堤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路堑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半填半挖式路基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台口式路基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按交叉形态</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功能级信息</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交叉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平面交叉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3-1-1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信号控制交叉口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3-1-2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无信号控制交叉口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3-1-3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环形交叉口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3-1-4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有人值守道口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3-1-5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无人值守道口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3-1-6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自动信号控制道口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立体交叉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3-2-1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枢纽立交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3-2-2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一般立交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3-2-3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分离式立交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按功能空间</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功能级信息</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交通功能空间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线路空间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限界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车辆限界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设备限界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建筑限界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4-1-1-3-1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道路建筑限界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4-1-1-3-2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公路建筑限界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4-1-1-3-3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隧道建筑限界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4-1-1-3-4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侧向余宽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行车道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分离式行车道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内侧车道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中间车道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外侧车道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4-1-3-4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附加车道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4-1-3-5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集散车道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4-1-3-6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变速车道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4-1-3-7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加速车道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4-1-3-8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减速车道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4-1-3-9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超车车道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4-1-3-10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爬坡车道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4-1-3-11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停车车道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4-1-3-12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紧急停车带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4-1-3-13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错车道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4-1-3-14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回车道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4-1-3-15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专用车道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4-1-3-16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非机动车道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人行道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盲道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分隔带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中央分隔带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外侧分隔带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安全带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路缘带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路侧带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绿化带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路肩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4-1-10-1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硬路肩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匝道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单向匝道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双向匝道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4-1-11-3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环形匝道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按元素</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构件级别</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工程构筑物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道路铺面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道路路缘与排水沟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道路附件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道路照明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车辆收费系统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停车场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停车场路面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停车场路肩和排水沟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停车场附件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停车场照明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5-1-2-5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外部停车控制设备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人行道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游憩人行道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通勤、通学人行道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购物人行道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5-1-3-4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交通人行道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5-1-3-5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人行道附属设施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园林景观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种植灌溉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草坪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5-1-4-3-1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绿篱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5-1-4-3-2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行道树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5-1-4-4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种植配件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5-1-4-4-1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种植池（钵）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5-1-4-5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景观照明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5-1-4-6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园林景观活动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5-1-4-7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5-1-4-7-1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街旁绿地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5-1-4-7-2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生产绿地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5-1-4-7-3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防护绿地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5-1-4-7-4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附属绿地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5-1-4-7-5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居住绿地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5-1-4-7-6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道路绿地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5-1-4-8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园林小品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5-1-4-9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花架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5-1-4-10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景墙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按构件元素</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构件级别</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基础设施构件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预应力构件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预应力钢束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预应力锚具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钢筋构件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主筋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箍筋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系筋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钢筋网片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6-2-5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构造钢筋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钢护筒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附属设施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交通安全设施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人行横道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人行地道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人行天桥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反坡安全线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阻车堤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挡车堆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防滑堆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防沙设施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6-4-1-9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防雪设施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6-4-1-10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防风栅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减速丘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防撞柱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6-4-1-13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防撞桶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6-4-1-14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限高架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6-4-1-15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应急电话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6-4-1-16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反光标志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6-4-1-17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反光路钮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6-4-1-18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弯道反光镜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分隔设施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护栏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护墙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标柱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防护栅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6-4-2-5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防炫屏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6-4-2-6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防爬网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6-4-2-7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防抛网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6-4-2-8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隔音屏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交通岛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导流岛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中心岛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安全岛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公交停靠站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景观绿化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道路绿化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街道绿化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6-4-5-3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功能栽植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6-4-5-4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护路林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6-4-5-5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扶树架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安全设施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6-4-6-1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交通标志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6-4-6-1-1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警告标志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6-4-6-1-2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禁令标志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6-4-6-1-3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指示标志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6-4-6-1-4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指路标志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6-4-6-1-5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辅助标志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6-4-6-1-6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可变信息标志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6-4-6-2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其它标志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6-4-6-2-1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服务标志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6-4-6-2-2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安全标志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6-4-6-2-3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导向标志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6-4-6-2-4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位置标志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6-4-6-2-5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综合信息标志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6-4-6-2-6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无障碍标志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6-4-6-2-7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警冲标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6-4-6-2-8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分道指示器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6-4-6-2-9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太阳能黄闪灯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6-4-6-2-10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太阳能道口标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6-4-6-2-11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轮廓标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6-4-6-3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交通标线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6-4-6-3-1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视线诱导设施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6-4-6-3-2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隔离设施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6-4-6-3-3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防眩设施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6-4-6-4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其他安全设施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接缝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6-4-7-1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缩缝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6-4-7-2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胀缝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6-4-7-3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真缝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6-4-7-4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假缝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6-4-7-5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横缝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6-4-7-6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纵缝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6-4-7-7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企口缝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6-4-7-8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施工缝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6-4-7-8-1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胶接缝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6-4-7-8-2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湿接缝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6-4-7-8-3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永久缝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6-4-7-8-4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临时缝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6-4-7-8-5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接缝灌浆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6-4-7-8-6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后浇带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其它附属设施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6-4-8-1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支座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6-4-8-2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桥梁伸缩缝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6-4-8-3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防护设施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6-4-8-3-1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防撞垫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6-4-8-3-2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防撞岛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6-4-8-3-3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防撞墩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6-4-8-3-4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防撞护栏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6-4-8-3-5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步道栏杆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6-4-8-4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牛腿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6-4-8-5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桥头搭板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6-4-8-6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锥坡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6-4-8-7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台背填土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6-4-8-8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调治构筑物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6-4-8-9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破冰体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6-4-8-10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传力杆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6-4-8-11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拉杆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6-4-8-12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桥墩防撞设施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6-4-8-12-1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桩支撑系统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6-4-8-12-2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人工岛系统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6-4-8-12-3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漂浮式保护系统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6-4-8-12-4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系缆桩保护系统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6-4-8-12-5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防护板系统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按结构元素</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构件级别</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路基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边坡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坡顶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边坡平台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7-1-1-3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坡脚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碎落台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护坡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护坡道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石笼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抛石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路面结构层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7-2-1-1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面层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7-2-1-2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磨耗层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7-2-1-3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联结层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7-2-1-4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基层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7-2-1-5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垫层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7-2-1-6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隔水层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7-2-1-7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保温层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7-2-1-8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整平层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7-2-1-9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补强层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7-2-1-10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封层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7-2-1-11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透层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7-2-1-12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粘层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桥梁构件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上部结构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主梁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纵梁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横梁</w:t>
            </w:r>
          </w:p>
        </w:tc>
      </w:tr>
      <w:tr>
        <w:tblPrEx>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7-3-1-1-3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支点横梁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7-3-1-1-4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跨间横梁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7-3-1-1-5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挂梁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拱圈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7-3-1-2-1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拱上结构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7-3-1-2-2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腹拱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7-3-1-2-3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拱上侧墙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下部结构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支座垫石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抗震设施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7-3-2-2-1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7-3-2-2-2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限位器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7-3-2-2-3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抗震销棒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盖梁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桥墩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7-3-2-4-1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墩身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7-3-2-4-2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墩帽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7-3-2-4-3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墩柱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7-3-2-4-4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系梁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7-3-2-5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桥台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7-3-2-5-1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台身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7-3-2-5-2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前墙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7-3-2-5-3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翼墙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7-3-2-5-4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台帽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索塔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塔柱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桥塔系梁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索鞍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7-3-3-3-1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主索鞍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7-3-3-3-2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散索鞍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7-3-3-4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斜拉索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7-3-3-5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锚固装置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7-3-3-5-1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钢锚箱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7-3-3-5-2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钢锚梁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7-3-3-6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主缆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7-3-3-7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吊杆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7-3-3-8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索夹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7-3-3-9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锚锭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桥面系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桥面铺装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桥面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道砟桥面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无砟桥面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7-3-5-3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明桥面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7-3-5-4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正交异形板桥面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隧道构件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洞门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7-4-1-1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洞口缓冲结构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7-4-1-2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导坑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7-4-1-3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环框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7-4-1-4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套拱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7-4-1-5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遮光棚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衬砌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7-4-2-1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初次衬砌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7-4-2-2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二次衬砌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7-4-2-3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整体式衬砌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7-4-2-4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装配式衬砌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7-4-2-5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钢筋混凝土管片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7-4-2-6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复合式衬砌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7-4-2-7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下锚段衬砌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明洞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7-4-4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隧道支撑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7-4-5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构件支撑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7-4-6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喷锚支护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7-4-7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管棚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7-4-8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竖井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7-4-9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斜井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7-4-10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横通道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地基基础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7-5-1-1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独立基础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7-5-1-1-1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扩大基础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7-5-1-1-2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刚性基础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7-5-1-2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桩基础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7-5-1-2-1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抗滑桩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7-5-1-3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管柱基础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7-5-1-4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沉井基础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7-5-1-4-1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刃脚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7-5-1-4-2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井壁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7-5-1-4-3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内隔墙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7-5-1-4-4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沉井封底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7-5-1-5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沉箱基础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7-5-1-5-1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压气沉箱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7-5-1-6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承台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7-5-1-6-1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承台系梁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7-5-1-7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基础垫层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基础梁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7-5-3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基础底板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7-5-4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基坑围护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7-5-4-1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地下围护墙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7-5-4-2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锚杆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7-5-4-3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7-5-5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7-5-5-1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摩擦桩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7-5-5-2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端承摩擦桩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7-5-5-3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端承桩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7-5-5-4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摩擦端承桩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7-5-5-5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抗拔桩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混凝土结构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7-6-1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混凝土板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7-6-2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混凝土梁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7-6-3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混凝土柱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7-6-4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混凝上梁柱节点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7-6-5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混凝土墙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7-6-6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预埋及吊环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7-6-7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结构缝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7-6-7-1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沉降缝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7-6-7-2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抗震缝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7-6-7-3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伸缩缝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混凝土板件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7-7-1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桥面板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7-7-2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底板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7-7-3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悬臂板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7-7-4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腹板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7-7-5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壁板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7-7-6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横隔板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7-7-7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加腋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7-8-1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7-8-2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7-8-3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钢桁架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7-8-4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钢网架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7-8-5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钢檩条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7-8-6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拉索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7-8-7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7-8-8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7-8-9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钢结构连接节点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7-8-9-1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钢管连接节点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7-8-9-2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连接板节点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7-8-9-3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梁柱连接节点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7-8-9-4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铸钢节点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7-8-9-5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预应力索节点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7-8-9-6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支座节点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7-8-9-7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柱脚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7-8-10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钢结构连接附件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7-8-10-1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抗剪连接件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7-8-10-2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焊缝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7-8-10-3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紧固件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7-8-10-4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销轴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7-8-10-5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法兰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钢结构板件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7-9-1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翼缘板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7-9-2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钢腹板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7-9-3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钢隔板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7-9-4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7-9-5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加劲板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7-9-5-1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加劲肋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7-9-5-2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球扁钢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7-9-5-3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U形肋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7-9-6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加强板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7-9-6-1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承压板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7-9-6-2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锚垫板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7-9-6-3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补强板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7-9-7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其它板件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7-9-7-1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封板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其他结构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7-10-1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木结构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7-10-2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砌体结构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7-10-3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组合结构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7-10-4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混合结构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按岩土元素</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构件级别</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岩土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岩石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硬质岩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坚硬岩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较硬岩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软质岩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8-1-2-1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较软岩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8-1-2-2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软岩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8-1-2-3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极软岩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碎石土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漂石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块石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卵石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碎石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圆砾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角砾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砂砾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粗砂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中砂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细砂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8-2-2-5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粉砂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粉土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黏性土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老黏性土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一般黏性土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新近沉积黏性土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8-2-4-4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黏土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8-2-4-5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粉质黏土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特殊性岩土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湿陷性土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黄土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湿陷性黄土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非湿陷性黄土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自重湿陷性黄土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非自重湿陷性黄土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红黏土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软土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淤泥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淤泥质土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泥炭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8-2-5-4-4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泥炭质土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冻土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多年冻土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膨胀土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盐渍土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填土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8-2-5-8-1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素填土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8-2-5-8-2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杂填土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8-2-5-8-3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冲填土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8-2-5-8-4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压缩填土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污染土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尾矿土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其它类土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饱和土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非饱和土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8-2-5-11-3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巨粒类土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8-2-5-11-4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粗粒类土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8-2-5-11-5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细粒类土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8-2-5-11-6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正常固结土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8-2-5-11-7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超固结土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8-2-5-11-8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欠固结土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天然地基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加固地基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复合地基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8-3-4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软弱地基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按排水元素</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构件级别</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道路工程排水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9-1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排水系统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9-1-1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排水管道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9-1-2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排水装置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9-1-2-1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集水槽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9-1-2-2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排水口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9-1-3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街道排水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9-1-4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管道排水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9-1-5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渠道排水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9-1-6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泵站排水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9-1-7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路基排水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9-1-7-1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边沟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9-1-7-2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截水沟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9-1-7-3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排水沟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9-1-7-4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急流槽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9-1-7-5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跌水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9-1-7-6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蒸发池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9-1-7-7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盲沟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9-1-7-8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渗水井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9-1-7-9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雨水口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9-1-7-10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检查井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9-1-7-11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雨水口支管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9-1-7-12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泄水口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9-2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水管管件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9-2-1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弯头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9-2-2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三通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9-2-3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四通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9-2-4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过渡件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9-2-5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接头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9-2-6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法兰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9-2-7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卡箍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按电气元素</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构件级别</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电气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10-1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交通智慧化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10-1-1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智能交通管理设施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10-1-1-1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交通信号控制设备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10-1-1-1-1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交通信号灯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10-1-1-1-2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车道灯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10-1-1-2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交通警示灯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10-1-1-3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可变情报板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10-1-1-4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道路交通视频监控设备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10-1-1-5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交通流检测设备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10-1-1-6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交通量调查设备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10-1-1-7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道路交通违法监测设备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10-1-1-8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道路交通边缘计算终端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按分部分项</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构件级信息</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分部分项工程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单项工程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单位工程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分部工程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分项工程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措施项目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路基工程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路面工程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11-7-1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水泥混凝土路面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11-7-1-1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普通混凝土路面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11-7-1-2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钢筋混凝土路面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11-7-1-3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连续配筋混凝土路面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11-7-1-4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钢纤维混凝土路面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11-7-1-5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水泥混凝土预制块路面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11-7-2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复合式路面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11-7-3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沥青路面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11-7-3-1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再生沥青路面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11-7-3-2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沥青混凝土路面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11-7-3-3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全厚式沥青路面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11-7-3-4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沥青碎石路面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11-7-3-5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沥青贯入式路面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11-7-3-6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上拌下贯式沥青路面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11-7-3-7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沥青表面处治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11-7-4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其它路面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11-7-4-1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块料路面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11-7-4-2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石块路面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11-7-4-3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泥结碎石路面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11-7-4-4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水结碎石路面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11-7-4-5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级配路面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11-7-5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基层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11-7-5-1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稳定土基层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11-7-5-2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工业废渣基层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11-7-5-3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块石基层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11-7-6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路槽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11-7-7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路床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桥梁工程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桥梁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钢筋混凝土桥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预应力混凝土桥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圬工桥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石桥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木桥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主桥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引桥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主梁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板梁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T梁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箱梁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11-8-4-3-1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现浇箱梁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11-8-4-3-2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装配式预制箱梁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11-8-4-3-3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加劲钢箱梁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11-8-4-4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桁架梁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11-8-4-5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组合梁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11-8-4-6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主梁节段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桥墩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重力式桥墩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11-8-5-1-1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实体桥墩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11-8-5-1-2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空心桥墩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柱式桥墩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11-8-5-3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排架桥墩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11-8-5-4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柔性墩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11-8-5-5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制动墩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11-8-5-6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单向推力墩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桥台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11-8-6-1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重力式台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11-8-6-2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U形桥台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11-8-6-3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八字形桥台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11-8-6-4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一字形桥台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11-8-6-5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埋置式桥台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11-8-6-6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扶壁式桥台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11-8-6-7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锚碇板式桥台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11-8-6-8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支撑式桥台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11-8-7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预拼装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隧道工程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11-9-1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山岭隧道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11-9-2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水工隧洞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道路附属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11-10-1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铺面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11-10-1-1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道口铺面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11-10-2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限界架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11-10-2-1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道口限界架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11-10-2-2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道路限界架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11-10-3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里程碑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11-10-4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百米桩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11-10-5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公路界碑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11-10-6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预埋管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隐蔽工程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基槽检验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开槽施工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11-11-3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不开槽施工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11-12-1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灌注桩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11-12-2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搅拌桩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11-12-3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沉入桩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11-12-4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大直径桩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11-12-5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PHP泥浆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11-12-6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护筒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11-12-7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桩基后注浆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11-12-8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砖基础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11-12-9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毛石基础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11-12-10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灰土基础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11-12-11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三合土基础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设备调试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11-13-1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单机调试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11-13-2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综合联调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按地基处理工程成果</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构件级信息</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地基处理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稳定土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混合稳定土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沥青稳定土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水泥稳定土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石灰稳定土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粉煤灰稳定土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石灰粉煤灰稳定土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化学处理稳定土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聚合物乳液稳定土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注水稳定土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土工合成材料的稳定土和层分离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土工格柵稳定土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土工布稳定土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土工格栅层分离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12-1-4-4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土工织物层分离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压密注浆稳定土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水泥压密注浆稳定土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化工压力注浆穩定土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喷浆土壤边坡稳定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土钉支护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12-1-7-1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击人式土钉支护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12-1-7-2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注浆土钉支护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12-1-7-3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土钉支护的防腐蚀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12-1-7-4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土钉支护喷射灌浆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12-1-7-5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土钉支护拆除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岩石稳定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锚杆支护和注浆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岩质边坡网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岩质边坡丝网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喷浆岩质边坡稳定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12-2-5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植被岩质边坡稳定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土壤加固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土工合成材料的土壤加固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12-3-1-1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土工格栅土壤加固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12-3-1-2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土工织物土壤加固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纤维土壤加固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12-3-2-1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土工合成材料的纤维土壤加固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混凝土加强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压力灌浆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12-4-1-1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混凝土压力灌浆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12-4-1-2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聚氨酯压力灌浆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压密灌浆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机械提升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振冲和致密化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振浮压实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夯实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12-5-3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压实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12-5-3-1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反压护道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置换法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12-6-1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换填法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12-6-2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强夯置换法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12-6-3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换填垫层法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12-6-4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褥垫法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12-6-5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轻质料填料法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排水固结法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12-7-1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预压法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12-7-2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堆载预压法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12-7-3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超载预压法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12-7-4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真空预压法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12-7-5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真空堆载联合预压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12-7-6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砂井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12-7-7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袋装砂井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12-7-8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塑料排水带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12-7-9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井阻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12-7-10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电渗法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振（挤）密法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12-8-1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浅层原位压实法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12-8-2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碾压法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12-8-3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强夯法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12-8-4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重锤夯实法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12-8-5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砂桩挤密法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12-8-6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爆破挤密法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12-8-7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土桩挤密法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12-8-8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灰土桩法/石灰桩法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12-8-9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水泥粉煤灰碎石桩法（CFG)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12-8-10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双灰桩法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12-8-11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夯实水泥桩法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12-8-12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振冲挤密碎石桩法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12-8-13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振冲密实法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掺入固化物法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12-9-1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注浆法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12-9-2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劈裂注浆法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12-9-3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渗入注浆法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12-9-4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挤密注浆法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12-9-5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深层搅拌法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12-9-6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喷浆深层搅拌法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12-9-7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喷粉深层搅拌法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12-9-8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高压喷射注浆法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12-9-9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水平高压喷射注浆法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12-9-10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化学注浆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12-9-11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硅化法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12-9-12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碱液法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12-9-13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帷幕注浆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12-9-14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固结注浆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加筋法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12-10-1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加筋土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复合地基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竖向增强体复合地基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水平向增强体复合地基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桩体复合地基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散体材料桩复合地基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黏结材料桩复合地基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刚性桩复合地基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柔性桩复合地基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长短桩复合地基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12-11-9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桩网复合地基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12-11-10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复合土体压缩模量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复合地基置换率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桩土应力比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抗液化措施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其它地基处理方法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树根桩法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树根桩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预浸水法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12-13-4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隔断法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12-13-5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砂包地基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12-13-6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烧结法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12-13-7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电渗法加固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12-13-8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渗透压法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12-13-9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热加固法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12-13-10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冻结法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按支护成果</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构件级信息</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边坡支护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边坡防护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土工合成材料的边坡防护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土工格栅边坡防护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土工织物边坡防护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13-1-1-3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附加覆盖控制网的边坡防护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坡铺面边坡防护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13-1-2-1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浇铸混凝上斜坡铺面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13-1-2-2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预制混凝土斜坡铺面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13-1-2-3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混凝土砌块边坡铺面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遏制屏障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13-1-3-1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黏土遏制屏障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13-1-3-2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土工膜遏制屏障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13-1-3-3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膨润土泥浆槽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土钉墙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13-1-4-1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复合土钉墙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木材支撑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板桩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13-2-2-1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钢板桩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13-2-2-2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塑料板桩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金属液压支撑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13-2-3-1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铝合金液压支搽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气动支撑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13-2-5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沟槽屏蔽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支挡结构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排桩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咬合桩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冠梁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13-3-4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腰梁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13-3-5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内支撑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锚杆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挖掘土锚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挖掘岩锚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抗浮锚杆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13-4-4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热交换锚杆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13-4-5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预应力锚杆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围堰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板桩围堰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木材围堰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13-5-3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预制混凝土围堰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13-5-4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钢围堰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地层冻结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地下连续墙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13-7-1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导墙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止水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13-8-1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防渗帷幕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13-8-2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防渗铺盖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13-8-3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截水帷幕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按混凝土产品</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构件级信息</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预制混凝土制品及构件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预制混凝土柱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预制混凝土梁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14-1-2-1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钢筋混凝土板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预制主梁构件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14-1-3-1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预制箱梁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14-1-3-2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预制T梁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14-1-3-3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预制空心板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14-1-3-4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预制节段主梁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预制下部构件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14-1-4-1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预制桥台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14-1-4-2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预制盖梁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14-1-4-3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预制墩身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14-1-4-4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预制墩柱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14-1-4-5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预制承台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14-1-4-6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预制基础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14-1-4-6-1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预制桩基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14-1-4-6-2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预应力管桩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14-1-4-6-3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预制管桩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14-1-4-6-4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预制方桩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其它预制构件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14-1-5-1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预制管片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14-1-5-2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预制节段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14-1-5-3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预制管道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14-1-5-4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小型混凝土预制件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14-1-5-5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预制混凝土块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14-1-5-6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预制防撞护栏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14-1-5-7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预制步道栏杆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14-1-5-8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预制板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商品混凝土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普通混凝土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自密实混凝土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耐热混凝土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高强混凝土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14-2-5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纤维混凝土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14-2-5-1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钢纤维混凝土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14-2-5-2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合成纤维混凝土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14-2-6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泡沫混凝土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14-2-7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轻骨料混凝土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14-2-8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防水混凝土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14-2-9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重混凝土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14-2-10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防辐射混凝土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14-2-11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再生骨料混凝土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14-2-12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清水混凝土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其它混凝土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补充收缩混凝土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加气混凝土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早强混凝土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14-3-4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干硬性混凝土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14-3-5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贫混凝土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水泥及胶凝材料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通用硅酸盐水泥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硅酸盐水泥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普通硅酸盐水泥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矿渣硅酸盐水泥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火山灰质硅酸盐水泥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复合硅酸盐水泥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粉煤灰硅酸盐水泥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特种水泥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硫铝酸盐水泥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14-4-2-1-1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快硬硫铝酸盐水泥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14-4-2-1-2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低碱度硫铝酸盐水泥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14-4-2-1-3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自应力硫铝酸盐水泥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铝酸盐水泥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铁铝酸盐水泥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高铝水泥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14-4-2-5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砌筑水泥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14-4-2-6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白色硅酸盐水泥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14-4-2-7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彩色硅酸盐水泥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14-4-2-8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超细硅酸盐水泥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14-4-2-9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中热硅酸盐水泥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14-4-2-10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低热硅酸盐水泥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14-4-2-11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磷渣硅酸盐水泥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14-4-2-12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镁渣硅酸盐水泥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14-4-2-13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石灰石硅酸盐水泥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14-4-2-14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钢渣硅酸盐水泥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14-4-2-15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道路硅酸盐水泥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14-4-2-16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钢渣道路硅酸盐水泥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14-4-2-17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油井水泥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14-4-2-18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中抗硫酸盐硅酸盐水泥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14-4-2-19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高抗硫酸盐硅酸盐水泥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14-4-2-20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低热微膨胀水泥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14-4-2-21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自应力铁铝酸盐水泥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14-4-2-22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核电水泥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14-4-2-23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海工水泥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矿物掺合料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硅灰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粒化高炉矿渣粉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粉煤灰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14-4-3-4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硅藻土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14-4-3-5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石灰石粉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14-4-3-6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钢渣粉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14-4-3-7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磷渣粉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14-4-3-8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沸石粉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14-4-3-9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复合矿物参合料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其它掺合料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钢纤维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合成纤维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14-4-4-2-1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聚丙烯纤维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14-4-4-2-2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聚丙烯腈纤维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14-4-4-2-3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聚酰胺纤维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14-4-4-2-4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聚乙烯醇纤维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14-4-4-2-5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聚甲醛纤维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混凝土外加剂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减水剂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普通减水剂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高性能减水剂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高效减水剂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缓凝高效减水剂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早强减水剂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引气减水剂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引气剂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早强剂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防水剂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防冻剂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膨胀剂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速凝剂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泵送剂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缓凝剂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促凝剂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阻锈剂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加气剂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抗硫酸盐侵蚀剂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其他外加剂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14-5-14-1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保水剂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14-5-14-2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絮凝剤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14-5-14-3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增稠剂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14-5-14-4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减缩剂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14-5-14-5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保塑剂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14-5-14-6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粘度改性剂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14-5-14-7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碱--骨料反应抑制剂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14-5-14-8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着色剂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14-5-14-9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泡沫剂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14-5-14-10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消泡剂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14-5-14-11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管道压浆剂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14-5-14-12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预应力孔道灌浆剂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14-5-14-13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多功能外加剂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14-5-14-14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助磨剂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骨料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14-6-1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粗骨料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14-6-1-1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碎石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14-6-1-2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卵石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14-6-1-3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碎卵石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14-6-2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细骨料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14-6-2-1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天然砂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14-6-2-2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人工砂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14-6-2-3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混合砂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14-6-3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轻骨料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14-6-3-1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人造轻骨料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14-6-3-2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天然轻骨料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14-6-3-3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工业废渣轻骨料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14-6-3-4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高强轻骨料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14-6-4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超轻骨料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14-6-5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再生骨料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混凝土增强材料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14-7-1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钢纤维增强材料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14-7-2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合成纤维增强材料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14-7-3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碳纤维增强材料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混凝土维护材料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14-8-1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混凝土修补材料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14-8-2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混凝土防护材料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灌浆材料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14-9-1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水泥基灌浆材料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14-9-2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环氧树脂灌浆材料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14-9-3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聚氨酯灌浆材料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按金属产品</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构件级信息</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光圆钢筋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热轧光圆钢筋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螺纹钢筋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15-1-2-1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预应力混凝土用螺纹钢筋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带肋钢筋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15-1-3-1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热轧带肋钢筋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15-1-3-2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冷轧带肋钢筋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15-1-3-3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高延性冷轧带肋钢筋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扭转钢筋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其它钢筋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15-1-5-1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不锈钢筋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15-1-5-2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余热处理钢筋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15-1-5-3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耐蚀钢筋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15-1-5-4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高耐蚀性合金钢筋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15-1-5-5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涂层钢筋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15-1-5-6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钢筋焊接网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15-1-5-7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冷拉钢筋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盘条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低碳钢热轧圆盘条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焊接用钢盘条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焊接用不锈钢盘条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碳素钢丝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合金钢丝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15-3-2-1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预应力低合金钢丝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冷拔钢丝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15-3-3-1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冷拔低碳钢丝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15-3-4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消除应力钢丝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15-3-5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预应力混凝土用钢丝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15-3-5-1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预应力混凝土用光圆钢丝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15-3-5-2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预应力混凝土用螺旋肋钢丝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15-3-5-3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预应力混凝土用刻痕钢丝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15-3-6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热镀锌钢丝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15-3-7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热镀锌铝合金钢丝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15-3-8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钢丝绳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15-3-8-1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细直径钢丝绳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15-3-8-2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普通直径钢丝绳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15-3-8-3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粗直径钢丝绳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15-3-9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钢绞线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15-3-9-1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预应力混凝土用钢绞线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15-3-9-1-1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标准型钢绞线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15-3-9-1-2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刻痕钢绞线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15-3-9-1-3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模拔型钢绞线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15-3-9-2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镀锌钢绞线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15-3-9-3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不锈钢钢绞线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型材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热轧型钢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15-4-1-1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圆钢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15-4-1-2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方钢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15-4-1-3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扁钢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15-4-1-4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工字钢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15-4-1-5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槽钢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15-4-1-6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角钢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15-4-1-7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T型钢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15-4-1-8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H型钢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冷弯型材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挤出型材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15-4-4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不锈钢建筑型材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板（带）材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15-5-1-1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热轧钢板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15-5-1-2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镀锌钢板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15-5-1-3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花纹钢板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15-5-1-4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彩涂钢板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15-5-1-5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钢带材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15-5-1-6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冷轧电镀锡钢板及钢带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15-5-1-7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冷弯波形钢板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15-5-1-8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建筑用压型钢板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铜板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15-5-2-1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铜带材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15-5-2-2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铜箔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棒材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15-6-1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铜棒材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15-6-2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不锈钢棒材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15-6-3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铝棒材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线材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15-7-1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铜线材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15-7-2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铝线材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管材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15-8-1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铸铁管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15-8-2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铜管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15-8-3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铝管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15-8-4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铝合金管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15-8-5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15-8-5-1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直缝电焊钢管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15-8-5-2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结构用无缝钢管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15-8-5-2-1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结构用不锈钢无缝钢管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金属制品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15-9-1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金属楼梯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15-9-2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金属栏杆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15-9-3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金属格栅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15-9-4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金属地板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15-9-5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金属紧固件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15-9-5-1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高强度螺栓连接副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15-9-5-2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高强螺栓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15-9-5-3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螺栓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15-9-5-4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螺母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15-9-5-5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垫片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15-9-5-6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垫圈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15-9-5-7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铁钉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15-9-5-8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铆钉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15-9-5-9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法兰盘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15-9-5-10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钢筋连接套筒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15-9-5-11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索鞍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15-9-5-12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索夹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15-9-6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其它金属制品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15-9-6-1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15-9-6-2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15-9-6-3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铁丝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15-9-6-4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铁皮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按沥青产品</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构件级信息</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石油沥青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道路石油沥青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重交通道路沥青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建筑石油沥青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电缆沥青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防水防潮沥青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管道防腐沥青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水工沥青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油漆沥青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16-1-9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彩色沥青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天然沥青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湖沥青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岩沥青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煤沥青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低温煤沥青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中温煤沥青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高温煤沥青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其它沥青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改性沥青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乳化沥青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改性乳化沥青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16-4-4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稀释沥青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16-4-5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橡胶沥青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16-4-6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橡胶改性沥青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16-4-7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聚合物改性沥青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16-4-8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绝缘沥青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16-4-9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阻燃沥青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16-4-10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阻燃改性沥青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16-4-11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泡沫沥青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16-4-12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硬质道路沥青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16-4-13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焦油沥青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沥青混合料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密级配沥青混合料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沥青玛蹄脂碎石混合料(SMA)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16-5-3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热拌沥青混合料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16-5-4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温拌沥青混合料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16-5-5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冷拌沥青混合料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16-5-6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环氧沥青混合料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16-5-7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开级配沥青混合料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16-5-8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间断级配沥青混合料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16-5-9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沥青处治碎石基层混合料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16-5-10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沥青处治透水基层混合料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16-5-11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浇筑式沥青混合料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16-5-12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再生沥青混合料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16-5-12-1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厂拌热再生沥青混合料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16-5-12-2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厂拌冷再生沥青混合料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16-5-12-3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就地热再生沥青混合料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16-5-12-4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就地冷再生沥青混合料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16-5-13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沥青砂混合料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16-5-14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透水沥青混合料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16-5-15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开级配抗滑表层沥青混合料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16-5-16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排水抗滑沥青混合料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16-5-17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稀浆混合料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16-5-18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Superpave沥青混合料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16-5-19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橡胶沥青混合料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16-5-20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高模量沥青混合料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16-5-21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高模量抗疲劳沥青混合料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16-5-22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沥青混合料回收料(RAP)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添加剂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16-6-1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抗车辙剂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16-6-2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高黏度添加剂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16-6-3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阻燃剂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16-6-4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抗剥落剂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16-6-5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温拌剂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16-6-6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废旧轮胎热解炭黑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16-6-7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高模量剂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16-6-8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稳定剂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16-6-9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再生剂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16-6-10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乳化剂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16-6-11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木质素纤维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16-6-12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复苏剂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按填筑与砌筑材料产品</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构件级信息</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填筑与砌筑材料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17-1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结合料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17-1-1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有机结合料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17-1-2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无机结合料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17-1-3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无机结合料稳定类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17-1-3-1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水泥稳定级配碎石或砾石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17-1-3-2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水泥粉煤灰稳定级配碎石或砾石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17-1-3-3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石灰粉煤灰稳定级配碎石或砾石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17-1-3-4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水泥稳定未筛分碎石或砾石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17-1-3-5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水泥粉煤灰稳定未筛分碎石或砾石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17-1-3-6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石灰粉煤灰稳定未筛分碎石或砾石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17-1-3-7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水泥稳定土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17-1-3-8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石灰稳定土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17-1-3-9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石灰粉煤灰稳定土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17-1-3-10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再生无机结合料稳定材料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17-2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粒料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17-2-1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砾石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17-2-2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石屑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17-2-3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同粒径集料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17-3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料石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17-3-1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片石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17-3-2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块石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17-3-3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锥形块石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17-4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其它填料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17-4-1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毛石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17-4-2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三合土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17-4-3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灰土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按防水及密封产品</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构件级信息</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防水及密封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聚合物改性沥青防水卷材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弹性体改性沥青防水卷材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塑性体改性沥青防水卷材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18-1-1-3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自粘聚合物改性沥青防水卷材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18-1-1-4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预铺/湿铺防水卷材（沥青基）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18-1-1-5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耐根穿剌防水卷材（沥青基）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合成高分子防水卷材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18-1-2-1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TPO/TPV防水卷材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18-1-2-2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聚氯乙烯（PVC）防水卷材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18-1-2-3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三元乙丙橡胶（EP-DM）防水卷材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18-1-2-4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氯化聚乙烯--橡胶共混防水卷材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18-1-2-5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氯化聚乙烯（CPE）防水卷材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18-1-2-6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预铺/湿铺防水卷材（非沥青基）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18-1-2-7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带自粘层的防水卷材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18-1-2-8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耐根穿刺防水卷材（非沥青基）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聚乙烯丙纶防水卷材（复合防水）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防水涂料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聚合物改性沥青防水涂料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18-2-1-1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溶剂型橡胶沥青防水涂料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18-2-1-2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水乳型沥青防水涂料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18-2-1-3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橡胶沥青防水涂料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18-2-1-4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非固化沥青防水涂料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18-2-1-5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冷底子油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合成高分子防水涂料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18-2-2-1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聚合物乳液建筑防水涂料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18-2-2-2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聚氨酯防水涂料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18-2-2-3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聚脲防水涂料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18-2-2-4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丙烯酸防水涂料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聚合物水泥防水涂料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水泥基渗透结晶型防水材料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密封材料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无定形密封材料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18-4-1-1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硅酮建筑密封胶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18-4-1-2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聚氨酯建筑密封胶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18-4-1-3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丙烯酸酯建筑密封胶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18-4-1-4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聚硫建筑密封胶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18-4-1-5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腻子型遇水膨胀橡胶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定形密封材料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18-4-2-1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橡胶止水带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18-4-2-2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钢板止水带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18-4-2-3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制品型遇水膨胀橡胶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18-4-2-4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密封垫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防水透气膜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防水砂浆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堵漏、灌浆材料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18-7-1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无机防水堵漏材料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按防火、防腐产品</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构件级信息</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防火、防腐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19-1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防火材料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19-1-1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钢结构防火涂料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19-1-2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饰面型防火涂料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19-1-3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混凝土结构防火涂料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19-1-4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电缆防火涂料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19-2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防腐材料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19-2-1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钢结构防腐材料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19-2-1-1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底漆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19-2-1-2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中间漆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19-2-1-3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面漆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19-2-2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木结构防腐材料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19-2-3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防腐涂料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19-2-3-1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醇酸涂料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19-2-3-2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环氧涂料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19-2-3-3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环氧沥青涂料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19-2-3-4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氯化橡胶涂料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19-2-3-5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氯磺化聚乙烯涂料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19-2-3-6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聚苯乙烯涂料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19-2-3-7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聚氯乙烯含氟涂料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19-2-3-8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有机硅耐高温防腐蚀涂料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19-2-3-9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高氯化聚乙烯防腐涂料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19-2-3-10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氯醚涂料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19-2-3-11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防锈底涂料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19-2-3-12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富锌底涂料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19-2-3-13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环氧云铁涂料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19-2-3-14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聚氨酯涂料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19-2-3-15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氟碳涂料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19-2-3-16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聚有机硅氧烷涂料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19-2-3-17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无溶剂型涂料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按加固产品</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构件级信息</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加固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20-1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加固材料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20-1-1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喷射混凝土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20-1-2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植筋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20-2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结构胶粘剂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20-2-1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找平材料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20-2-2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底层树脂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20-2-3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浸渍树脂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20-2-4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粘结树脂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20-3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结构界面胶粘剂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20-3-1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粘钢结构胶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20-3-2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灌注结构胶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20-3-3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植筋结构胶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20-3-4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纤维复合材用结构胶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20-4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纤维复合材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20-4-1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纤维片材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20-4-2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纤维布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20-4-3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纤维板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20-5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聚合物砂浆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20-5-1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水泥复合砂浆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20-5-2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剪切销钉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20-5-3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混凝土销键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按基础设施制品</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构件级信息</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基础设施制品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支座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橡胶支座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板式橡胶支座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聚四氟乙烯滑板支座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钢支座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球型钢支座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铸钢支座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弧形钢板支座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新型钢支座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合金钢支座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滑板钢支座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球面支座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盆式橡胶支座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拉力支座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减隔震支座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21-1-6-1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黏性体减震支座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21-1-6-2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叠层橡胶支座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21-1-6-3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铅芯橡胶支座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21-1-6-4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高阻尼叠层橡胶支座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21-1-6-5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滑板支座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21-1-6-6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摩擦摆支座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抗风支座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其它支座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隔振器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波纹管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塑料波纹管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金属波纹管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锚具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夹片式锚具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锥形锚具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墩头锚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21-4-4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螺母锚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21-4-5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挤压锚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21-4-6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保护罩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桥梁伸缩缝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模数式伸缩装置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21-5-1-1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毛勒伸缩缝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弹塑体材料填充式伸缩装置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21-5-2-1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弹塑性体暗缝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21-5-3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复合改性沥青填充式伸缩装置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21-5-4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锌铁皮U形伸缩缝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21-5-5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梳齿板式伸缩缝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21-5-6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型钢伸缩缝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21-5-7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钢板伸缩缝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21-5-8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橡胶伸缩缝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21-5-9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其它伸缩缝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土工合成材料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21-6-1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土工织物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21-6-2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土工格栅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21-6-3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土工膜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21-6-4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土工布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21-6-5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其它土工材料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阻尼器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21-7-1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磁流变阻尼器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21-7-2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摩擦耗能阻尼器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21-7-3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金属阻尼器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21-7-4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电流变液体阻尼器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21-7-5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黏弹性阻尼器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21-7-6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油阻尼器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21-7-7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黏滞阻尼器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21-7-8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调谐液体阻尼器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21-7-9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调谐质量阻尼器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21-7-10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黏滞阻尼墙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21-7-11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形状记忆合金阻尼器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焊接材料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21-8-1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电焊条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21-8-2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焊剂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21-8-3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焊丝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21-8-4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焊粉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21-8-5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焊锡膏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护栏与栏杆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21-9-1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防撞护栏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21-9-1-1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波形护栏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21-9-1-2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新泽西护栏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21-9-1-3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钢护栏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21-9-1-4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缆索护栏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21-9-1-5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活动护栏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21-9-1-6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混凝土防撞护栏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21-9-2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步道栏杆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21-9-2-1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金属栏杆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21-9-2-2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石材栏杆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21-9-2-3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仿石材栏杆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21-9-2-4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混凝土装饰栏杆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21-9-3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其它护栏或栏杆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按位置特征</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属性信息</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位置特征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地理位置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22-1-1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大地坐标系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22-1-2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高程体系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22-1-2-1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地面高程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22-1-2-2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设计高程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按时间和资金特征</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属性信息</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时间和资金特征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时间和计划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使用年限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设计使用年限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评估使用年限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23-1-1-3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加固设计使用年限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其它时间属性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23-2-1-1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特征周期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23-2-1-1-1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设计特征周期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23-2-1-1-2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反应谱特征周期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23-2-1-2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基本周期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23-2-1-3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自振周期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23-2-1-4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重现期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23-2-1-5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基准期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23-2-1-5-1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设计基准期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23-2-1-6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卓越周期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23-2-1-7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检修周期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23-2-1-8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大中修周期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23-2-1-9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运行周期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估算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概算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设计概算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总概算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单项工程综合概算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23-3-3-4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单位工程概算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施工图预算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定额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工程消耗量定额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工程计价定额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23-3-5-3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企业定额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23-3-5-4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劳动定额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23-3-5-5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施工定额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23-3-5-6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预算定额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23-3-5-7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概算定额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23-3-5-8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工期定额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23-3-5-9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定额基价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23-3-6-1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概算指标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23-3-6-2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投资估算指标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23-3-6-3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建设项目综合估算指标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23-3-6-4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单项工程估算指标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23-3-6-5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单位工程估算指标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23-3-6-6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运营指标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23-3-6-7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运营安全指标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合同价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23-3-8-1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工程结算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23-3-8-2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竣工结算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决算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23-3-9-1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竣工决算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工程造价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流动资金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运维费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设备及工器具费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设备购置费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设备原价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抵岸价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23-3-13-4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到岸价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23-3-13-5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进口设备从属费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23-3-13-6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设备运杂费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建筑安装工程费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材料费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材料运杂费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23-3-14-4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材料采购及保管费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23-3-14-5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施工机械使用费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23-3-14-6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企业管理费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23-3-14-7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规费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23-3-14-8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税金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23-3-14-9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固定资产投资方向调节税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工程建设其他费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建设管理费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建设用地费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23-3-15-3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可行性研究费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23-3-15-4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研究试验费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23-3-15-5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勘察设计费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23-3-15-6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环境影响评价费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23-3-15-7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劳动安全卫生评价费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23-3-15-8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招标代理费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23-3-15-9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工程造价咨询费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23-3-15-10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建设项目场地准备费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23-3-15-11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引进技术与引进设备其他费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23-3-15-12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工程保险费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23-3-15-13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联合试运转费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23-3-15-14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特殊设备安全监督检查费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23-3-15-15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市政公用设施费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23-3-15-16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专利及专有技术使用费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23-3-15-17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生产准备费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预备费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23-3-16-1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基本预备费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23-3-16-2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价差预备费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工程造价指数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23-3-18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投资偏差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按物理特征</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属性信息</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物理特征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一维尺寸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标准或自定义大小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锚固长度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计算长度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嵌固深度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自由长度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宽度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车道宽度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计算高度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中和轴高度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受压区高度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24-1-4-4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截面有效高度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24-1-4-5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界限受压区高度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24-1-4-6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提升高度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混凝土保护层厚度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24-1-7-1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覆土深度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24-1-7-2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埋深/埋置深度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24-1-7-3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最小填土高度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24-1-7-4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富裕水深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24-1-8-1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矢高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24-1-8-2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安全超高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24-1-8-3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偏心距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24-1-8-4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界限偏心距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24-1-8-5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安全保护距离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24-1-8-6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净距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24-1-8-7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水平净距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24-1-8-8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垂直净距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间距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24-1-9-1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行车间距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24-1-9-2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安全行车间距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24-1-9-3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轨枕间距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24-1-9-4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轨距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箍筋肢距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跨度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净跨度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计算跨度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半径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24-1-12-1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圆曲线半径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24-1-12-2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截面回转半径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24-1-12-3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水力半径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24-1-12-4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保护半径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计量规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振幅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二维尺寸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角度尺寸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平面角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24-2-2-1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转角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24-2-2-2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偏角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24-2-2-3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方位角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24-2-2-4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象限角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24-2-2-5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方向角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坡角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立体角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24-2-5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内径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24-2-6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外径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24-2-7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圆周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24-2-8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周长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24-2-8-1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湿周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24-2-9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高差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24-2-10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坡度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24-2-10-1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纵坡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24-2-10-1-1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最大纵坡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24-2-10-1-2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最小纵坡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24-2-10-1-3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平均纵坡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24-2-10-2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横坡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24-2-10-3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合成坡度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24-2-11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任意尺寸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24-2-12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人均居住面积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24-2-13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24-2-13-1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比表面积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空间尺寸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液体体积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固体体积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比容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24-3-4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24-3-5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空气渗透量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24-3-6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空气比容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24-3-7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水渗透量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24-3-8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截面模量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24-3-9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截面面积矩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24-3-10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截面惯性矩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24-3-11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截面极惯性矩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比值量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加速度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设计基本地震加速度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自振频率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车速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24-4-5-1-1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设计车速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24-4-5-1-2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运行速度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24-4-5-1-3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最高运行速度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24-4-5-1-4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限制速度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24-4-5-1-5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额定速度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24-4-5-1-6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运营速度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24-4-5-1-7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旅行速度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流速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24-4-5-2-1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平均流速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24-4-5-2-2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设计流速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24-4-5-2-3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行近流速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24-4-5-2-4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实际流速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偏心率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长细比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阻尼比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配筋率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24-4-9-1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体积配筋率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剪跨比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轴压比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其它比值量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24-4-12-1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事故率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24-4-12-1-1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行车责任事故率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24-4-12-1-2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交通事故率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24-4-12-1-3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人口事故率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24-4-12-1-4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车辆事故率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24-4-12-1-5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运行事故率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24-4-12-2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绿信比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化学组成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膨胀率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蠕变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24-5-3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收缩性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24-5-4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收缩率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24-5-4-1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线性收缩率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24-5-4-2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体积收缩率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24-5-5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徐变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24-5-6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24-5-6-1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水硬性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24-5-6-1-1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火山灰性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24-5-6-2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气硬性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24-5-7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离析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24-5-8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盐胀性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24-5-9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溶陷性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质量类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24-6-1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24-6-2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24-6-3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24-6-3-1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干密度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24-6-3-2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最大干密度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24-6-3-3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重力密度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24-6-3-4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相对密度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24-6-3-5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天然密度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24-6-4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初始含水率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24-6-5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最终含水率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24-6-6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孔隙比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24-6-6-1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临界孔隙比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24-6-7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颗粒组成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24-6-8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24-6-9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细度模数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24-6-10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级配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24-6-10-1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最佳级配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24-6-11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水灰比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24-6-12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砂率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24-6-13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油石比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24-6-14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密实度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24-6-15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相对密实度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24-6-16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压实度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24-6-17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配合比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24-6-18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含油率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受力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24-7-1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力、常规特性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24-7-2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作用力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24-7-2-1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浮力/浮托力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24-7-2-2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地基反力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24-7-2-2-1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地基土净反力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24-7-2-3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附着力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24-7-2-4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劈裂力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24-7-2-5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剥裂力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24-7-2-6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冻胀力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24-7-2-7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膨胀力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24-7-2-8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初拉力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24-7-2-9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拉索调整力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24-7-3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每单位长度的力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24-7-4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力矩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24-7-5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双力矩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24-7-6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动量矩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24-7-7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惯性矩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24-7-8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转动惯量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24-7-9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扭矩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24-7-10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电动势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24-7-11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轴向力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24-7-12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剪力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24-7-13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重度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24-7-13-1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干重度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24-7-13-2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浮重度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24-7-13-3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饱和重度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作用效应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24-8-1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地震作用效应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24-8-2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列车作用效应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24-8-2-1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列车竖向动力作用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24-8-2-2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列车离心力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24-8-2-3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列车制动力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24-8-2-4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列车牵引力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24-8-2-5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列车摇摆力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24-8-3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下拉荷载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承载力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24-9-1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桩基承载力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24-9-1-1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桩的极限承载力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24-9-1-2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桩的容许承载力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24-9-1-3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单桩竖向极限承载力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24-9-1-4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单桩水平极限承载力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24-9-1-5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单桩竖向极限抗拔承载力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24-9-1-6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桩的极限端阻力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24-9-1-7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桩的极限侧阻力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24-9-1-8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桩侧阻力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24-9-1-9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桩端阻力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24-9-1-10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负摩阻力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24-9-2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地基承载力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24-9-2-1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地基极限承载力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24-9-2-2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地基容许承载力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24-9-3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承载力特征值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24-9-3-1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单桩承载力特征值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24-9-3-2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单桩竖向极限承载力特征值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24-9-3-3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单桩水平极限承载力特征值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24-9-3-4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单桩竖向极限抗拔承载力特征值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24-9-3-5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地基承载力特征值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24-9-3-6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修正后的地基承载力特征值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24-10-0-7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静水压强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24-10-0-8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静水总压力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24-10-0-9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24-10-0-9-1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总水头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24-10-0-9-2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压力水头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24-10-0-9-3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位置水头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24-10-0-9-4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流速水头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24-10-0-9-5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承压水头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24-10-0-10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孔隙水压力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24-10-0-11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静孔隙水压力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24-10-0-12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超静孔隙水压力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24-10-0-13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孔隙气压力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动态压力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动水压强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设计压力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基本雪压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基本风压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静压力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土的前期固结压力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湿陷起始压力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静压差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水头损失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水力坡度/水力梯度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起始水力梯度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风压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24-10-6-1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静止土压力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24-10-6-2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静止土压力系数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24-10-6-3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主动土压力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24-10-6-4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主动土压力系数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24-10-6-5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被动土压力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24-10-6-6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被动土压力系数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24-10-6-7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侧向土压力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24-10-6-8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库仑土压力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24-10-6-9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朗肯土压力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基底压力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24-10-7-1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自重压力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24-10-7-2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基底附加压力</w:t>
            </w:r>
          </w:p>
        </w:tc>
      </w:tr>
      <w:tr>
        <w:tblPrEx>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24-10-7-3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基底接触压力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24-10-7-4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有效覆盖压力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地震分级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设计标准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风速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24-11-3-1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基本风速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24-11-3-2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设计基准风速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24-11-3-3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临界风速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气候类型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年降雨量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臭氧浓度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水体类型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24-11-9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地面粗糙度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建材检测属性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力学特性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各向同性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各向异性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黏弹性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24-13-4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非线性应力应变关系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24-13-5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屈服准则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24-13-6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应力松弛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按性能特征</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属性信息</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性能特征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强度属性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黏合强度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弯矩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开裂弯矩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弯曲半径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抗弯强度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粘合强度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压缩性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25-1-6-1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压缩模量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25-1-6-2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旁压模量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25-1-6-3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切线模量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25-1-6-4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割线模量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25-1-6-5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卸荷模量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抗收缩性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抗压强度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25-1-8-1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无侧限抗压强度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压碎强度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抗蠕变性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延性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弹塑性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脆性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伸长率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紧固件抗拔性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疲劳强度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挠曲强度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25-1-19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断裂能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25-1-20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断裂切性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摩擦力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抗冲击强度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抗蓄意攻击能力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25-1-25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变形模量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25-1-26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弹性模量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25-1-27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剪变模量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25-1-27-1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动剪切模量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25-1-28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剥离强度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25-1-29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模量比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比例极限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泊松比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抗局部冲击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回弹模量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释放强度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剪切强度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不排水抗剪强度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峰值抗剪强度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25-1-35-3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残余抗剪强度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强度等级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25-1-37-1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截面刚度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25-1-37-1-1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弯曲刚度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25-1-37-2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构件刚度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25-1-37-2-1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构件抗拉刚度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25-1-37-2-2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构件抗压刚度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25-1-37-2-3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构件抗弯刚度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25-1-37-2-4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构件抗剪刚度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25-1-37-2-5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构件抗扭刚度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25-1-37-3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结构侧移刚度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25-1-37-4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楼层侧移刚度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应变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25-1-38-1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线应变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25-1-38-2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剪应变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25-1-38-3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主应变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25-1-38-4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极限应变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应力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25-1-39-1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正应力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25-1-39-2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剪应力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25-1-39-3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主应力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25-1-39-4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自重应力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25-1-39-5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附加应力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25-1-39-6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总应力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25-1-39-7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有效应力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25-1-39-8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地应力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25-1-39-9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应力路径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25-1-39-10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应力水平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25-1-39-11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应力历史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25-1-40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应力速率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撕裂强度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抗撕裂强度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抗拉强度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25-1-44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极限强度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25-1-45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抗风强度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25-1-46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25-1-46-1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周期振动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25-1-46-2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强迫振动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25-1-46-3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共振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25-1-47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抗风浮强度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25-1-48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屈服强度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25-1-49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强度标准值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检测属性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回弹弯沉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25-2-1-1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容许回弹弯沉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路面平整度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路面粗糙度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石料磨光值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25-2-5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筛分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25-2-6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土的稠度界限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25-2-6-1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液限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25-2-6-2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塑限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25-2-6-3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缩限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25-2-6-4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液性指数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25-2-6-5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塑性指数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25-2-6-6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土的平均稠度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25-2-7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石料等级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25-2-8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和易性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25-2-9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坍落度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25-2-10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沥青针入度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25-2-11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粘度/黏滞性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25-2-12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沥青软化点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25-2-13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沥青延度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25-2-14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闪点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25-2-15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溶解度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25-2-16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热稳性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25-2-17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水稳性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25-2-18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磨耗度</w:t>
            </w:r>
          </w:p>
        </w:tc>
      </w:tr>
      <w:tr>
        <w:tblPrEx>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25-2-19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压碎率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25-2-20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加州承载比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25-2-21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劲度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25-2-22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贯入度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25-2-23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饱水率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按岩土特性</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属性信息</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岩土特性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地质描述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地质年代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地质成因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地质构造阶段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岩石风化程度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地质构造类型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岩体结构类型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不良地质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不良地质作用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26-1-9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风化作用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26-1-10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风化程度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场地环境类型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腐蚀等级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26-1-13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场地稳定性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26-1-14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工程地质条件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26-1-15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工程地质分区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26-1-16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地质灾害分类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26-1-17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地质灾害分级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26-1-18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地质灾害危险区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26-1-19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地质灾害危害程度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场地土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标准贯入锤击数临界值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标准贯入锤击数基准值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液化指数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液化等级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26-2-5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标准冻结深度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26-2-6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标准融深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26-2-7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持力层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26-2-8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土的干湿类型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地下常水位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抗浮设计水位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历史最高水位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26-3-4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初见水位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26-3-5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稳定水位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工程抗震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设计地震分组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等效剪切波速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场地地震效应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26-4-4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设计基本地震加速度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26-4-5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场地土液化判别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26-4-6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抗震地段划分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岩土层力学特性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地基稳定性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粘聚力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假黏聚力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休止角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内摩擦角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外摩擦角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饱和度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固结度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含水比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超固结比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活动性指数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灵敏度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触变性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可塑性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崩解性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膨胀性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剪胀性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流变性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26-5-19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湿陷性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26-5-20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自重湿陷性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剪胀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多年冻土上限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冻结指数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融化指数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26-5-25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冻胀率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26-5-26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冻胀量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26-5-27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起始冻结温度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26-5-28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湿陷变形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26-5-29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湿陷等级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26-5-30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自由膨胀率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膨胀变形量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收缩变形量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胀缩变形量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26-5-34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大气影响深度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26-5-35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溶陷变形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26-5-36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含盐量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26-5-37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岩土层力学参数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26-5-37-1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桩侧土摩阻力标准值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26-5-37-2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m值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26-5-37-3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回弹指数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26-5-37-4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土的抗剪强度指标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26-5-37-5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峰值强度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26-5-37-6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残余强度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26-5-37-7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冻结强度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按工程属性</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属性信息</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工程属性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项目属性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服务水平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生命线工程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车辆荷载标准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施工方法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道路施工方法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路面施工方法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桥涵施工方法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27-1-4-4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隧道施工方法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27-1-4-5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管道施工方法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27-1-4-6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综合管廊施工方法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27-1-4-7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其它施工方法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等级道路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公路等级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27-1-5-3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荷载等级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27-1-5-4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结构安全等级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27-1-5-5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抗震等级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27-1-5-6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环境作用等级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27-1-5-7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围岩等级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27-1-5-8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防水等级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27-1-5-9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边坡等级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27-1-5-10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航道等级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27-1-5-11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地下水腐蚀性等级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分类与类型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桥梁分类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隧道洞门类型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主梁截面类型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管廊截面类型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横向桥塔类型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预应力类型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预应力约束类型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预应力筋粘结类型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预应力张拉类型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钢棒类型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斜拉桥结构体系类型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拱圈受力类形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拱圈截面类型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拱轴线形态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索面类型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斜拉索形态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主缆锚固形式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锚碇锚固系统类型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27-1-6-19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主索鞍类型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27-1-6-20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散索鞍类型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支座类型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抗剪连接类型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钢筋截面类型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涵洞洞口形式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27-1-6-25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排水沟类型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27-1-6-26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标志牌形式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27-1-6-27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通风井类型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27-1-6-28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风道截面类型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27-1-6-29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沙丘活动类型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27-1-6-30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风沙危害类型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岩溶分区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小型采空区类型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放射性废物类型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27-1-6-34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养护类别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27-1-6-35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病害程度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27-1-6-36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桥梁完好状态分级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净空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桥下净空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桥面净空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桥梁属性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跨径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27-3-1-1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计算跨径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27-3-1-2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净跨径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矢跨比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计算矢高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27-3-4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桥梁建筑高度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27-3-5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桥长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27-3-6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桥梁全长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27-3-7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桥梁孔径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设计水位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最高水位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最低水位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27-4-4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通航水位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27-4-5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防洪限制水位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27-4-6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正常蓄水位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27-4-7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设计洪水位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27-4-8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校核洪水位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27-4-9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潮位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水力参数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冲刷系数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桥下一般冲刷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27-5-3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桥墩局部冲刷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27-5-4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自然演变冲刷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27-5-5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洪水频率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27-5-6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设计洪水频率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27-5-7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集水面积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景观绿化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27-6-1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绿化覆盖面积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27-6-2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绿化覆盖率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27-6-3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绿地率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27-6-4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人均公园绿地面积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里程桩号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27-7-1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起点桩号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27-7-2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里程桩号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27-7-3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终点桩号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27-7-4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总里程长度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27-7-5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总行驶里程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27-7-6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运营里程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27-7-7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载客里程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27-7-8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调度空驶里程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按数值特征</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属性信息</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数值特征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调整系数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弯矩调幅系数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弯矩增大系数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局部抗压强度提高系数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构件承载力抗震调整系数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地基承载力抗震调整系数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承台效应系数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抗震加固增强系数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新旧结构协同工作系数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28-1-1-9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动力系数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28-1-1-10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冲击系数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地基承载力基础宽度修正系数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地基承载力基础埋深修正系数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影响系数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地震影响系数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体系影响系数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局部影响系数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结构影响系数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28-1-2-4-1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位移放大系数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28-1-2-4-2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位移延性系数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28-1-2-4-3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内力调整系数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折减系数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纵向折减系数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横向折减系数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液化影响折减系数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分项系数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28-1-4-1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频遇值系数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28-1-4-2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准永久值系数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28-1-4-3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组合值系数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28-1-4-4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结构重要性系数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28-1-4-5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作用分项系数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28-1-4-6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抗力分项系数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28-1-4-7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材料性能分项系数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稳定系数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边坡稳定系数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28-1-5-2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轴心受压构件稳定系数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安全系数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28-1-6-1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边坡整体稳定安全系数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28-1-6-2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抗滑移稳定安全系数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28-1-6-3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抗隆起稳定安全系数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28-1-6-4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抗倾覆稳定安全系数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28-1-6-5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抗渗流稳定安全系数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28-1-6-6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液化安全系数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湿陷系数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28-1-7-1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自重湿陷系数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收缩系数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固结系数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压缩系数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28-1-10-1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体积压缩系数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湿度系数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溶陷系数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沉降计算经验系数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均匀系数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级配系数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风化指数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岩石完整性指数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岩石质量指标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28-1-19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基床系数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28-1-20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基底反力系数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压实系数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岩土软化系数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岩石抗力系数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黏滞系数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28-1-25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湿陷系数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28-1-25-1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自重湿陷系数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28-1-26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径流系数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28-1-26-1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土壤渗透系数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28-1-26-2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流量径流系数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28-1-26-3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雨量径流系数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28-1-27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黏性阻尼系数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28-1-28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耗能系数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28-1-29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孔压系数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28-1-30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粗糙系数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结构物的表面系数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抗滑移系数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其它系数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28-1-33-1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（橡胶支座）第一形状系数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28-1-33-2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（橡胶支座）第二形状系数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28-1-33-3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不均匀系数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分析参数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28-2-1-1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预应力损失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28-2-1-2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预应力筋有效预应力值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28-2-1-3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预应力筋消压预应力值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28-2-1-4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雷诺数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28-2-1-5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弗汝德数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28-2-1-6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抗剪强度参数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28-2-1-7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总应力强度参数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28-2-1-8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有效应力强度参数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其它参数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28-2-2-1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28-2-2-2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索鞍预偏量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28-2-2-3</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28-2-2-4</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预留反拱度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28-2-2-5</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报警值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28-2-2-6</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监测报警值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28-2-2-7</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供水保证率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28-2-2-8</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管网漏损率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28-2-2-9</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单位管长漏水量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28-2-2-10</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单位供水量管长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28-2-2-11</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好路率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71"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28-2-2-12</w:t>
            </w:r>
          </w:p>
        </w:tc>
        <w:tc>
          <w:tcPr>
            <w:tcW w:w="1358"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1335"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w:t>
            </w:r>
          </w:p>
        </w:tc>
        <w:tc>
          <w:tcPr>
            <w:tcW w:w="4332" w:type="dxa"/>
            <w:noWrap/>
          </w:tcPr>
          <w:p>
            <w:pPr>
              <w:spacing w:line="240" w:lineRule="auto"/>
              <w:ind w:firstLine="0" w:firstLineChars="0"/>
              <w:jc w:val="left"/>
              <w:rPr>
                <w:rFonts w:asciiTheme="minorHAnsi" w:hAnsiTheme="minorHAnsi" w:eastAsiaTheme="minorEastAsia" w:cstheme="minorBidi"/>
                <w:color w:val="auto"/>
                <w:kern w:val="2"/>
                <w:sz w:val="21"/>
                <w:szCs w:val="21"/>
              </w:rPr>
            </w:pPr>
            <w:r>
              <w:rPr>
                <w:rFonts w:hint="eastAsia" w:asciiTheme="minorHAnsi" w:hAnsiTheme="minorHAnsi" w:eastAsiaTheme="minorEastAsia" w:cstheme="minorBidi"/>
                <w:color w:val="auto"/>
                <w:kern w:val="2"/>
                <w:sz w:val="21"/>
                <w:szCs w:val="21"/>
              </w:rPr>
              <w:t xml:space="preserve">                        养护质量综合值</w:t>
            </w:r>
          </w:p>
        </w:tc>
      </w:tr>
    </w:tbl>
    <w:p>
      <w:pPr>
        <w:ind w:firstLine="420"/>
        <w:jc w:val="left"/>
        <w:rPr>
          <w:color w:val="auto"/>
          <w:sz w:val="21"/>
          <w:szCs w:val="21"/>
        </w:rPr>
      </w:pPr>
    </w:p>
    <w:p>
      <w:pPr>
        <w:ind w:firstLine="420"/>
        <w:jc w:val="left"/>
        <w:rPr>
          <w:color w:val="auto"/>
          <w:sz w:val="21"/>
          <w:szCs w:val="21"/>
        </w:rPr>
      </w:pPr>
      <w:r>
        <w:rPr>
          <w:color w:val="auto"/>
          <w:sz w:val="21"/>
          <w:szCs w:val="21"/>
        </w:rPr>
        <w:t>注：</w:t>
      </w:r>
      <w:r>
        <w:rPr>
          <w:rFonts w:hint="eastAsia"/>
          <w:color w:val="auto"/>
          <w:sz w:val="21"/>
          <w:szCs w:val="21"/>
        </w:rPr>
        <w:t>1</w:t>
      </w:r>
      <w:r>
        <w:rPr>
          <w:color w:val="auto"/>
          <w:sz w:val="21"/>
          <w:szCs w:val="21"/>
        </w:rPr>
        <w:t xml:space="preserve">   </w:t>
      </w:r>
      <w:r>
        <w:rPr>
          <w:rFonts w:hint="eastAsia"/>
          <w:color w:val="auto"/>
          <w:sz w:val="21"/>
          <w:szCs w:val="21"/>
        </w:rPr>
        <w:t>城市道路工程信息模型组件单元拆分与命名主要参考《建筑信息模型分类与编码标准》GB/T 51269的结构模式</w:t>
      </w:r>
      <w:r>
        <w:rPr>
          <w:color w:val="auto"/>
          <w:sz w:val="21"/>
          <w:szCs w:val="21"/>
        </w:rPr>
        <w:t>；</w:t>
      </w:r>
    </w:p>
    <w:p>
      <w:pPr>
        <w:ind w:firstLine="840" w:firstLineChars="400"/>
        <w:jc w:val="left"/>
        <w:rPr>
          <w:color w:val="auto"/>
          <w:sz w:val="21"/>
          <w:szCs w:val="21"/>
        </w:rPr>
      </w:pPr>
      <w:r>
        <w:rPr>
          <w:color w:val="auto"/>
          <w:sz w:val="21"/>
          <w:szCs w:val="21"/>
        </w:rPr>
        <w:t xml:space="preserve">2   </w:t>
      </w:r>
      <w:r>
        <w:rPr>
          <w:rFonts w:hint="eastAsia"/>
          <w:color w:val="auto"/>
          <w:sz w:val="21"/>
          <w:szCs w:val="21"/>
        </w:rPr>
        <w:t>表中</w:t>
      </w:r>
      <w:r>
        <w:rPr>
          <w:color w:val="auto"/>
          <w:sz w:val="21"/>
          <w:szCs w:val="21"/>
        </w:rPr>
        <w:t>未列出的</w:t>
      </w:r>
      <w:r>
        <w:rPr>
          <w:rFonts w:hint="eastAsia"/>
          <w:color w:val="auto"/>
          <w:sz w:val="21"/>
          <w:szCs w:val="21"/>
        </w:rPr>
        <w:t>模型组件及单元</w:t>
      </w:r>
      <w:r>
        <w:rPr>
          <w:color w:val="auto"/>
          <w:sz w:val="21"/>
          <w:szCs w:val="21"/>
        </w:rPr>
        <w:t>项</w:t>
      </w:r>
      <w:r>
        <w:rPr>
          <w:rFonts w:hint="eastAsia"/>
          <w:color w:val="auto"/>
          <w:sz w:val="21"/>
          <w:szCs w:val="21"/>
        </w:rPr>
        <w:t>可参考《建筑信息模型分类与编码标准》GB/T 51269以及选用，也</w:t>
      </w:r>
      <w:r>
        <w:rPr>
          <w:color w:val="auto"/>
          <w:sz w:val="21"/>
          <w:szCs w:val="21"/>
        </w:rPr>
        <w:t>可自定义进行补充；</w:t>
      </w:r>
    </w:p>
    <w:p>
      <w:pPr>
        <w:ind w:firstLine="480"/>
        <w:rPr>
          <w:color w:val="auto"/>
        </w:rPr>
      </w:pPr>
    </w:p>
    <w:p>
      <w:pPr>
        <w:ind w:firstLine="480"/>
        <w:rPr>
          <w:color w:val="auto"/>
        </w:rPr>
        <w:sectPr>
          <w:pgSz w:w="11906" w:h="16838"/>
          <w:pgMar w:top="1440" w:right="1800" w:bottom="1440" w:left="1800" w:header="851" w:footer="992" w:gutter="0"/>
          <w:cols w:space="425" w:num="1"/>
          <w:docGrid w:type="lines" w:linePitch="312" w:charSpace="0"/>
        </w:sectPr>
      </w:pPr>
    </w:p>
    <w:p>
      <w:pPr>
        <w:ind w:firstLine="0" w:firstLineChars="0"/>
        <w:jc w:val="center"/>
        <w:outlineLvl w:val="0"/>
        <w:rPr>
          <w:rFonts w:eastAsia="黑体"/>
          <w:b/>
          <w:color w:val="auto"/>
          <w:sz w:val="28"/>
          <w:szCs w:val="28"/>
        </w:rPr>
      </w:pPr>
      <w:bookmarkStart w:id="111" w:name="_Toc30422188"/>
      <w:bookmarkStart w:id="112" w:name="_Toc426969079"/>
      <w:bookmarkStart w:id="113" w:name="_Toc6327033"/>
      <w:bookmarkStart w:id="114" w:name="_Toc13225"/>
      <w:bookmarkStart w:id="115" w:name="_Toc426971833"/>
      <w:r>
        <w:rPr>
          <w:rFonts w:eastAsia="黑体"/>
          <w:b/>
          <w:color w:val="auto"/>
          <w:sz w:val="28"/>
          <w:szCs w:val="28"/>
        </w:rPr>
        <w:t>用词说明</w:t>
      </w:r>
      <w:bookmarkEnd w:id="111"/>
      <w:bookmarkEnd w:id="112"/>
      <w:bookmarkEnd w:id="113"/>
      <w:bookmarkEnd w:id="114"/>
      <w:bookmarkEnd w:id="115"/>
    </w:p>
    <w:p>
      <w:pPr>
        <w:ind w:firstLine="480"/>
        <w:rPr>
          <w:rFonts w:eastAsia="黑体"/>
          <w:color w:val="auto"/>
          <w:szCs w:val="21"/>
        </w:rPr>
      </w:pPr>
    </w:p>
    <w:p>
      <w:pPr>
        <w:ind w:firstLine="480"/>
        <w:rPr>
          <w:rFonts w:hint="eastAsia"/>
          <w:color w:val="auto"/>
          <w:szCs w:val="21"/>
        </w:rPr>
      </w:pPr>
      <w:r>
        <w:rPr>
          <w:rFonts w:hint="eastAsia"/>
          <w:color w:val="auto"/>
          <w:szCs w:val="21"/>
        </w:rPr>
        <w:t>为便于在执行本标准条文时区别对待，对要求严格程度不同的用词说明如下：</w:t>
      </w:r>
    </w:p>
    <w:p>
      <w:pPr>
        <w:ind w:firstLine="480"/>
        <w:rPr>
          <w:rFonts w:hint="eastAsia"/>
          <w:color w:val="auto"/>
          <w:szCs w:val="21"/>
        </w:rPr>
      </w:pPr>
      <w:r>
        <w:rPr>
          <w:rFonts w:hint="eastAsia"/>
          <w:color w:val="auto"/>
          <w:szCs w:val="21"/>
        </w:rPr>
        <w:t>1　表示很严格，非这样做不可的：</w:t>
      </w:r>
    </w:p>
    <w:p>
      <w:pPr>
        <w:ind w:firstLine="960" w:firstLineChars="400"/>
        <w:rPr>
          <w:rFonts w:hint="eastAsia"/>
          <w:color w:val="auto"/>
          <w:szCs w:val="21"/>
        </w:rPr>
      </w:pPr>
      <w:r>
        <w:rPr>
          <w:rFonts w:hint="eastAsia"/>
          <w:color w:val="auto"/>
          <w:szCs w:val="21"/>
        </w:rPr>
        <w:t>正面词采用“必须”，反面词采用“严禁”；</w:t>
      </w:r>
    </w:p>
    <w:p>
      <w:pPr>
        <w:ind w:firstLine="480"/>
        <w:rPr>
          <w:rFonts w:hint="eastAsia"/>
          <w:color w:val="auto"/>
          <w:szCs w:val="21"/>
        </w:rPr>
      </w:pPr>
      <w:r>
        <w:rPr>
          <w:rFonts w:hint="eastAsia"/>
          <w:color w:val="auto"/>
          <w:szCs w:val="21"/>
        </w:rPr>
        <w:t>2　表示严格，在正常情况下均应这样做的：</w:t>
      </w:r>
    </w:p>
    <w:p>
      <w:pPr>
        <w:ind w:firstLine="960" w:firstLineChars="400"/>
        <w:rPr>
          <w:rFonts w:hint="eastAsia"/>
          <w:color w:val="auto"/>
          <w:szCs w:val="21"/>
        </w:rPr>
      </w:pPr>
      <w:r>
        <w:rPr>
          <w:rFonts w:hint="eastAsia"/>
          <w:color w:val="auto"/>
          <w:szCs w:val="21"/>
        </w:rPr>
        <w:t>正面词采用“应”，反面词采用“不应”或“不得”；</w:t>
      </w:r>
    </w:p>
    <w:p>
      <w:pPr>
        <w:ind w:firstLine="480"/>
        <w:rPr>
          <w:rFonts w:hint="eastAsia"/>
          <w:color w:val="auto"/>
          <w:szCs w:val="21"/>
        </w:rPr>
      </w:pPr>
      <w:r>
        <w:rPr>
          <w:rFonts w:hint="eastAsia"/>
          <w:color w:val="auto"/>
          <w:szCs w:val="21"/>
        </w:rPr>
        <w:t>3　表示允许稍有选择，在条件许可时首先应这样做的：</w:t>
      </w:r>
    </w:p>
    <w:p>
      <w:pPr>
        <w:ind w:firstLine="960" w:firstLineChars="400"/>
        <w:rPr>
          <w:rFonts w:hint="eastAsia"/>
          <w:color w:val="auto"/>
          <w:szCs w:val="21"/>
        </w:rPr>
      </w:pPr>
      <w:r>
        <w:rPr>
          <w:rFonts w:hint="eastAsia"/>
          <w:color w:val="auto"/>
          <w:szCs w:val="21"/>
        </w:rPr>
        <w:t>正面词采用“宜”，反面词采用“不宜”；</w:t>
      </w:r>
    </w:p>
    <w:p>
      <w:pPr>
        <w:ind w:firstLine="480"/>
        <w:rPr>
          <w:color w:val="auto"/>
        </w:rPr>
      </w:pPr>
      <w:r>
        <w:rPr>
          <w:rFonts w:hint="eastAsia"/>
          <w:color w:val="auto"/>
          <w:szCs w:val="21"/>
        </w:rPr>
        <w:t>4　表示有选择，在一定条件下可以这样做的，采用“可”。</w:t>
      </w:r>
    </w:p>
    <w:p>
      <w:pPr>
        <w:ind w:firstLine="480"/>
        <w:rPr>
          <w:color w:val="auto"/>
        </w:rPr>
      </w:pPr>
    </w:p>
    <w:p>
      <w:pPr>
        <w:ind w:firstLine="480"/>
        <w:rPr>
          <w:color w:val="auto"/>
        </w:rPr>
      </w:pPr>
      <w:r>
        <w:rPr>
          <w:color w:val="auto"/>
        </w:rPr>
        <w:br w:type="page"/>
      </w:r>
    </w:p>
    <w:p>
      <w:pPr>
        <w:ind w:firstLine="0" w:firstLineChars="0"/>
        <w:jc w:val="center"/>
        <w:outlineLvl w:val="0"/>
        <w:rPr>
          <w:rFonts w:eastAsia="黑体"/>
          <w:b/>
          <w:color w:val="auto"/>
          <w:sz w:val="28"/>
          <w:szCs w:val="28"/>
        </w:rPr>
      </w:pPr>
      <w:bookmarkStart w:id="116" w:name="_Toc26797"/>
      <w:r>
        <w:rPr>
          <w:rFonts w:eastAsia="黑体"/>
          <w:b/>
          <w:color w:val="auto"/>
          <w:sz w:val="28"/>
          <w:szCs w:val="28"/>
        </w:rPr>
        <w:t>参考与引用标准名录</w:t>
      </w:r>
      <w:bookmarkEnd w:id="116"/>
    </w:p>
    <w:p>
      <w:pPr>
        <w:ind w:firstLine="480"/>
        <w:rPr>
          <w:color w:val="auto"/>
        </w:rPr>
      </w:pPr>
      <w:r>
        <w:rPr>
          <w:color w:val="auto"/>
        </w:rPr>
        <w:t>《建筑信息模型应用统一标准》</w:t>
      </w:r>
      <w:r>
        <w:rPr>
          <w:rFonts w:hint="eastAsia"/>
          <w:color w:val="auto"/>
        </w:rPr>
        <w:t>G</w:t>
      </w:r>
      <w:r>
        <w:rPr>
          <w:color w:val="auto"/>
        </w:rPr>
        <w:t>B/T 51212</w:t>
      </w:r>
    </w:p>
    <w:p>
      <w:pPr>
        <w:ind w:firstLine="480"/>
        <w:rPr>
          <w:color w:val="auto"/>
        </w:rPr>
      </w:pPr>
      <w:r>
        <w:rPr>
          <w:color w:val="auto"/>
        </w:rPr>
        <w:t>《建筑信息模型</w:t>
      </w:r>
      <w:r>
        <w:rPr>
          <w:rFonts w:hint="eastAsia"/>
          <w:color w:val="auto"/>
        </w:rPr>
        <w:t>设计交付</w:t>
      </w:r>
      <w:r>
        <w:rPr>
          <w:color w:val="auto"/>
        </w:rPr>
        <w:t>标准》</w:t>
      </w:r>
      <w:r>
        <w:rPr>
          <w:rFonts w:hint="eastAsia"/>
          <w:color w:val="auto"/>
        </w:rPr>
        <w:t>G</w:t>
      </w:r>
      <w:r>
        <w:rPr>
          <w:color w:val="auto"/>
        </w:rPr>
        <w:t>B/T 51301</w:t>
      </w:r>
    </w:p>
    <w:p>
      <w:pPr>
        <w:ind w:firstLine="480"/>
        <w:rPr>
          <w:color w:val="auto"/>
        </w:rPr>
      </w:pPr>
      <w:r>
        <w:rPr>
          <w:color w:val="auto"/>
        </w:rPr>
        <w:t>《建筑信息模型</w:t>
      </w:r>
      <w:r>
        <w:rPr>
          <w:rFonts w:hint="eastAsia"/>
          <w:color w:val="auto"/>
        </w:rPr>
        <w:t>施工</w:t>
      </w:r>
      <w:r>
        <w:rPr>
          <w:color w:val="auto"/>
        </w:rPr>
        <w:t>应用标准》</w:t>
      </w:r>
      <w:r>
        <w:rPr>
          <w:rFonts w:hint="eastAsia"/>
          <w:color w:val="auto"/>
        </w:rPr>
        <w:t>G</w:t>
      </w:r>
      <w:r>
        <w:rPr>
          <w:color w:val="auto"/>
        </w:rPr>
        <w:t>B/T 51235</w:t>
      </w:r>
    </w:p>
    <w:p>
      <w:pPr>
        <w:ind w:firstLine="480"/>
        <w:rPr>
          <w:color w:val="auto"/>
        </w:rPr>
      </w:pPr>
      <w:r>
        <w:rPr>
          <w:color w:val="auto"/>
        </w:rPr>
        <w:t>《建筑信息模型</w:t>
      </w:r>
      <w:r>
        <w:rPr>
          <w:rFonts w:hint="eastAsia"/>
          <w:color w:val="auto"/>
        </w:rPr>
        <w:t>分类与编码</w:t>
      </w:r>
      <w:r>
        <w:rPr>
          <w:color w:val="auto"/>
        </w:rPr>
        <w:t>标准》</w:t>
      </w:r>
      <w:r>
        <w:rPr>
          <w:rFonts w:hint="eastAsia"/>
          <w:color w:val="auto"/>
        </w:rPr>
        <w:t>G</w:t>
      </w:r>
      <w:r>
        <w:rPr>
          <w:color w:val="auto"/>
        </w:rPr>
        <w:t>B/T 51269</w:t>
      </w:r>
    </w:p>
    <w:p>
      <w:pPr>
        <w:ind w:firstLine="480"/>
        <w:rPr>
          <w:color w:val="auto"/>
        </w:rPr>
      </w:pPr>
      <w:r>
        <w:rPr>
          <w:color w:val="auto"/>
        </w:rPr>
        <w:t>《</w:t>
      </w:r>
      <w:r>
        <w:rPr>
          <w:rFonts w:hint="eastAsia"/>
          <w:color w:val="auto"/>
        </w:rPr>
        <w:t>城市信息模型基础平台技术标准</w:t>
      </w:r>
      <w:r>
        <w:rPr>
          <w:color w:val="auto"/>
        </w:rPr>
        <w:t>》CJJ/T 315</w:t>
      </w:r>
    </w:p>
    <w:p>
      <w:pPr>
        <w:ind w:firstLine="480"/>
        <w:rPr>
          <w:color w:val="auto"/>
        </w:rPr>
      </w:pPr>
      <w:r>
        <w:rPr>
          <w:color w:val="auto"/>
        </w:rPr>
        <w:t>《</w:t>
      </w:r>
      <w:r>
        <w:rPr>
          <w:rFonts w:hint="eastAsia"/>
          <w:color w:val="auto"/>
        </w:rPr>
        <w:t>城市桥梁养护技术标准</w:t>
      </w:r>
      <w:r>
        <w:rPr>
          <w:color w:val="auto"/>
        </w:rPr>
        <w:t>》</w:t>
      </w:r>
      <w:r>
        <w:rPr>
          <w:rFonts w:hint="eastAsia"/>
          <w:color w:val="auto"/>
        </w:rPr>
        <w:t>CJJ 99</w:t>
      </w:r>
    </w:p>
    <w:p>
      <w:pPr>
        <w:ind w:firstLine="480"/>
        <w:rPr>
          <w:color w:val="auto"/>
        </w:rPr>
      </w:pPr>
      <w:r>
        <w:rPr>
          <w:color w:val="auto"/>
        </w:rPr>
        <w:t>《城镇道路养护技术规范》</w:t>
      </w:r>
      <w:r>
        <w:rPr>
          <w:rFonts w:hint="eastAsia"/>
          <w:color w:val="auto"/>
        </w:rPr>
        <w:t xml:space="preserve">CJJ </w:t>
      </w:r>
      <w:r>
        <w:rPr>
          <w:color w:val="auto"/>
        </w:rPr>
        <w:t>36</w:t>
      </w:r>
    </w:p>
    <w:p>
      <w:pPr>
        <w:ind w:firstLine="480"/>
        <w:rPr>
          <w:color w:val="auto"/>
        </w:rPr>
      </w:pPr>
      <w:r>
        <w:rPr>
          <w:color w:val="auto"/>
        </w:rPr>
        <w:t>《建筑</w:t>
      </w:r>
      <w:r>
        <w:rPr>
          <w:rFonts w:hint="eastAsia"/>
          <w:color w:val="auto"/>
        </w:rPr>
        <w:t>工程设计信息模型制图</w:t>
      </w:r>
      <w:r>
        <w:rPr>
          <w:color w:val="auto"/>
        </w:rPr>
        <w:t>标准》JGJ/T 448</w:t>
      </w:r>
    </w:p>
    <w:p>
      <w:pPr>
        <w:ind w:firstLine="480"/>
        <w:rPr>
          <w:color w:val="auto"/>
        </w:rPr>
      </w:pPr>
      <w:r>
        <w:rPr>
          <w:rFonts w:hint="eastAsia"/>
          <w:color w:val="auto"/>
        </w:rPr>
        <w:t>《公路工程施工监理规范》J</w:t>
      </w:r>
      <w:r>
        <w:rPr>
          <w:color w:val="auto"/>
        </w:rPr>
        <w:t>TG G10</w:t>
      </w:r>
    </w:p>
    <w:p>
      <w:pPr>
        <w:ind w:firstLine="480"/>
        <w:rPr>
          <w:color w:val="auto"/>
        </w:rPr>
      </w:pPr>
      <w:r>
        <w:rPr>
          <w:rFonts w:hint="eastAsia"/>
          <w:color w:val="auto"/>
        </w:rPr>
        <w:t>《公路桥梁施工监控技术规程》</w:t>
      </w:r>
      <w:r>
        <w:rPr>
          <w:color w:val="auto"/>
        </w:rPr>
        <w:t>JTG/T 3650-01</w:t>
      </w:r>
    </w:p>
    <w:p>
      <w:pPr>
        <w:ind w:firstLine="480"/>
        <w:rPr>
          <w:color w:val="auto"/>
        </w:rPr>
      </w:pPr>
      <w:r>
        <w:rPr>
          <w:rFonts w:hint="eastAsia"/>
          <w:color w:val="auto"/>
        </w:rPr>
        <w:t>《公路桥涵养护规范》J</w:t>
      </w:r>
      <w:r>
        <w:rPr>
          <w:color w:val="auto"/>
        </w:rPr>
        <w:t>TG 5120</w:t>
      </w:r>
    </w:p>
    <w:p>
      <w:pPr>
        <w:ind w:firstLine="0" w:firstLineChars="0"/>
        <w:rPr>
          <w:color w:val="auto"/>
        </w:rPr>
      </w:pPr>
    </w:p>
    <w:p>
      <w:pPr>
        <w:ind w:firstLine="0" w:firstLineChars="0"/>
        <w:jc w:val="center"/>
        <w:outlineLvl w:val="0"/>
        <w:rPr>
          <w:rFonts w:hint="default" w:eastAsia="黑体"/>
          <w:b/>
          <w:color w:val="auto"/>
          <w:sz w:val="28"/>
          <w:szCs w:val="28"/>
          <w:lang w:val="en-US" w:eastAsia="zh-CN"/>
        </w:rPr>
      </w:pPr>
      <w:r>
        <w:rPr>
          <w:rFonts w:hint="eastAsia" w:eastAsia="黑体"/>
          <w:b/>
          <w:color w:val="auto"/>
          <w:sz w:val="28"/>
          <w:szCs w:val="28"/>
          <w:lang w:val="en-US" w:eastAsia="zh-CN"/>
        </w:rPr>
        <w:t>制定说明</w:t>
      </w:r>
    </w:p>
    <w:p>
      <w:pPr>
        <w:ind w:firstLine="480"/>
        <w:rPr>
          <w:rFonts w:hint="eastAsia"/>
          <w:color w:val="auto"/>
        </w:rPr>
      </w:pPr>
      <w:r>
        <w:rPr>
          <w:rFonts w:hint="eastAsia"/>
          <w:color w:val="auto"/>
        </w:rPr>
        <w:t>本标准制定过程中，编制组针对城市</w:t>
      </w:r>
      <w:r>
        <w:rPr>
          <w:rFonts w:hint="eastAsia"/>
          <w:color w:val="auto"/>
          <w:lang w:val="en-US" w:eastAsia="zh-CN"/>
        </w:rPr>
        <w:t>道路</w:t>
      </w:r>
      <w:r>
        <w:rPr>
          <w:rFonts w:hint="eastAsia"/>
          <w:color w:val="auto"/>
        </w:rPr>
        <w:t>工程</w:t>
      </w:r>
      <w:r>
        <w:rPr>
          <w:rFonts w:hint="eastAsia"/>
          <w:color w:val="auto"/>
          <w:lang w:val="en-US" w:eastAsia="zh-CN"/>
        </w:rPr>
        <w:t>信息模型的具体应用与需求</w:t>
      </w:r>
      <w:r>
        <w:rPr>
          <w:rFonts w:hint="eastAsia"/>
          <w:color w:val="auto"/>
        </w:rPr>
        <w:t>，进行了广泛深入的调查研究，总结了我国工程建设城市</w:t>
      </w:r>
      <w:r>
        <w:rPr>
          <w:rFonts w:hint="eastAsia"/>
          <w:color w:val="auto"/>
          <w:lang w:val="en-US" w:eastAsia="zh-CN"/>
        </w:rPr>
        <w:t>道路</w:t>
      </w:r>
      <w:r>
        <w:rPr>
          <w:rFonts w:hint="eastAsia"/>
          <w:color w:val="auto"/>
        </w:rPr>
        <w:t>工程领域</w:t>
      </w:r>
      <w:r>
        <w:rPr>
          <w:rFonts w:hint="eastAsia"/>
          <w:color w:val="auto"/>
          <w:lang w:val="en-US" w:eastAsia="zh-CN"/>
        </w:rPr>
        <w:t>信息模型</w:t>
      </w:r>
      <w:r>
        <w:rPr>
          <w:rFonts w:hint="eastAsia"/>
          <w:color w:val="auto"/>
        </w:rPr>
        <w:t>的实践</w:t>
      </w:r>
      <w:r>
        <w:rPr>
          <w:rFonts w:hint="eastAsia"/>
          <w:color w:val="auto"/>
          <w:lang w:val="en-US" w:eastAsia="zh-CN"/>
        </w:rPr>
        <w:t>应用</w:t>
      </w:r>
      <w:r>
        <w:rPr>
          <w:rFonts w:hint="eastAsia"/>
          <w:color w:val="auto"/>
        </w:rPr>
        <w:t>经验，参考了我国住建部近年来的发布的重要</w:t>
      </w:r>
      <w:r>
        <w:rPr>
          <w:rFonts w:hint="eastAsia"/>
          <w:color w:val="auto"/>
          <w:lang w:val="en-US" w:eastAsia="zh-CN"/>
        </w:rPr>
        <w:t>BIM技术标准</w:t>
      </w:r>
      <w:r>
        <w:rPr>
          <w:rFonts w:hint="eastAsia"/>
          <w:color w:val="auto"/>
        </w:rPr>
        <w:t>（如20</w:t>
      </w:r>
      <w:r>
        <w:rPr>
          <w:rFonts w:hint="eastAsia"/>
          <w:color w:val="auto"/>
          <w:lang w:val="en-US" w:eastAsia="zh-CN"/>
        </w:rPr>
        <w:t>16</w:t>
      </w:r>
      <w:r>
        <w:rPr>
          <w:rFonts w:hint="eastAsia"/>
          <w:color w:val="auto"/>
        </w:rPr>
        <w:t>年发布的《</w:t>
      </w:r>
      <w:r>
        <w:rPr>
          <w:color w:val="auto"/>
        </w:rPr>
        <w:t>建筑信息模型应用统一标准</w:t>
      </w:r>
      <w:r>
        <w:rPr>
          <w:rFonts w:hint="eastAsia"/>
          <w:color w:val="auto"/>
        </w:rPr>
        <w:t>》和20</w:t>
      </w:r>
      <w:r>
        <w:rPr>
          <w:rFonts w:hint="eastAsia"/>
          <w:color w:val="auto"/>
          <w:lang w:val="en-US" w:eastAsia="zh-CN"/>
        </w:rPr>
        <w:t>18</w:t>
      </w:r>
      <w:r>
        <w:rPr>
          <w:rFonts w:hint="eastAsia"/>
          <w:color w:val="auto"/>
        </w:rPr>
        <w:t>年发布的《</w:t>
      </w:r>
      <w:r>
        <w:rPr>
          <w:color w:val="auto"/>
        </w:rPr>
        <w:t>建筑信息模型</w:t>
      </w:r>
      <w:r>
        <w:rPr>
          <w:rFonts w:hint="eastAsia"/>
          <w:color w:val="auto"/>
        </w:rPr>
        <w:t>设计交付</w:t>
      </w:r>
      <w:r>
        <w:rPr>
          <w:color w:val="auto"/>
        </w:rPr>
        <w:t>标准</w:t>
      </w:r>
      <w:r>
        <w:rPr>
          <w:rFonts w:hint="eastAsia"/>
          <w:color w:val="auto"/>
        </w:rPr>
        <w:t>》等），同时借鉴了国外先进技术法规、技术标准，例如美国宾夕法尼亚州立大学编制的《BIM project execution planning guide》等。此外，本标准还广泛征求了设计、</w:t>
      </w:r>
      <w:r>
        <w:rPr>
          <w:rFonts w:hint="eastAsia"/>
          <w:color w:val="auto"/>
          <w:lang w:val="en-US" w:eastAsia="zh-CN"/>
        </w:rPr>
        <w:t>施工、运维</w:t>
      </w:r>
      <w:r>
        <w:rPr>
          <w:rFonts w:hint="eastAsia"/>
          <w:color w:val="auto"/>
        </w:rPr>
        <w:t>管理</w:t>
      </w:r>
      <w:r>
        <w:rPr>
          <w:rFonts w:hint="eastAsia"/>
          <w:color w:val="auto"/>
          <w:lang w:eastAsia="zh-CN"/>
        </w:rPr>
        <w:t>、</w:t>
      </w:r>
      <w:r>
        <w:rPr>
          <w:rFonts w:hint="eastAsia"/>
          <w:color w:val="auto"/>
          <w:lang w:val="en-US" w:eastAsia="zh-CN"/>
        </w:rPr>
        <w:t>建设管理</w:t>
      </w:r>
      <w:r>
        <w:rPr>
          <w:rFonts w:hint="eastAsia"/>
          <w:color w:val="auto"/>
        </w:rPr>
        <w:t>等单位的意见，在充分吸收和采纳各方意见的基础上，通过反复讨论、修改和完善，最终修订编制完成。</w:t>
      </w:r>
    </w:p>
    <w:p>
      <w:pPr>
        <w:ind w:firstLine="480"/>
        <w:rPr>
          <w:rFonts w:hint="eastAsia"/>
          <w:color w:val="auto"/>
        </w:rPr>
      </w:pPr>
      <w:r>
        <w:rPr>
          <w:rFonts w:hint="eastAsia"/>
          <w:color w:val="auto"/>
        </w:rPr>
        <w:t>为便于广大技术和</w:t>
      </w:r>
      <w:r>
        <w:rPr>
          <w:rFonts w:hint="eastAsia"/>
          <w:color w:val="auto"/>
          <w:lang w:val="en-US" w:eastAsia="zh-CN"/>
        </w:rPr>
        <w:t>BIM从业</w:t>
      </w:r>
      <w:r>
        <w:rPr>
          <w:rFonts w:hint="eastAsia"/>
          <w:color w:val="auto"/>
        </w:rPr>
        <w:t>人员在使用本标准时能正确理解和执行条文规定，编制组按章、节、条顺序编制了本标准的条文说明，对条文规定的目的、依据以及执行中需注意的有关事项等进行了说明。</w:t>
      </w:r>
    </w:p>
    <w:p>
      <w:pPr>
        <w:ind w:firstLine="480"/>
        <w:rPr>
          <w:rFonts w:hint="eastAsia"/>
          <w:color w:val="auto"/>
        </w:rPr>
      </w:pPr>
      <w:r>
        <w:rPr>
          <w:rFonts w:hint="eastAsia"/>
          <w:color w:val="auto"/>
        </w:rPr>
        <w:t>本条文说明不具备与标准正文及附录同等的法律效力，仅供使用者作为理解和把握标准规定的参考。</w:t>
      </w:r>
    </w:p>
    <w:p>
      <w:pPr>
        <w:ind w:firstLine="480"/>
        <w:rPr>
          <w:rFonts w:hint="eastAsia"/>
          <w:color w:val="auto"/>
        </w:rPr>
      </w:pPr>
    </w:p>
    <w:p>
      <w:pPr>
        <w:ind w:firstLine="480"/>
        <w:rPr>
          <w:rFonts w:hint="eastAsia"/>
          <w:color w:val="auto"/>
        </w:rPr>
      </w:pPr>
    </w:p>
    <w:p>
      <w:pPr>
        <w:ind w:firstLine="7" w:firstLineChars="2"/>
        <w:contextualSpacing/>
        <w:jc w:val="center"/>
        <w:rPr>
          <w:b/>
          <w:color w:val="auto"/>
          <w:spacing w:val="25"/>
          <w:sz w:val="32"/>
          <w:szCs w:val="28"/>
          <w:lang w:bidi="en-US"/>
        </w:rPr>
      </w:pPr>
    </w:p>
    <w:p>
      <w:pPr>
        <w:ind w:firstLine="7" w:firstLineChars="2"/>
        <w:contextualSpacing/>
        <w:jc w:val="center"/>
        <w:rPr>
          <w:b/>
          <w:color w:val="auto"/>
          <w:sz w:val="32"/>
          <w:szCs w:val="28"/>
          <w:lang w:bidi="en-US"/>
        </w:rPr>
      </w:pPr>
      <w:r>
        <w:rPr>
          <w:b/>
          <w:color w:val="auto"/>
          <w:spacing w:val="25"/>
          <w:sz w:val="32"/>
          <w:szCs w:val="28"/>
          <w:lang w:bidi="en-US"/>
        </w:rPr>
        <w:t>中国工程建设标准化协会标</w:t>
      </w:r>
      <w:r>
        <w:rPr>
          <w:b/>
          <w:color w:val="auto"/>
          <w:sz w:val="32"/>
          <w:szCs w:val="28"/>
          <w:lang w:bidi="en-US"/>
        </w:rPr>
        <w:t>准</w:t>
      </w:r>
    </w:p>
    <w:p>
      <w:pPr>
        <w:ind w:firstLine="6" w:firstLineChars="2"/>
        <w:contextualSpacing/>
        <w:jc w:val="center"/>
        <w:rPr>
          <w:b/>
          <w:color w:val="auto"/>
          <w:sz w:val="32"/>
          <w:szCs w:val="30"/>
          <w:lang w:bidi="en-US"/>
        </w:rPr>
      </w:pPr>
    </w:p>
    <w:p>
      <w:pPr>
        <w:snapToGrid w:val="0"/>
        <w:spacing w:line="312" w:lineRule="auto"/>
        <w:ind w:firstLine="196" w:firstLineChars="41"/>
        <w:jc w:val="center"/>
        <w:rPr>
          <w:bCs/>
          <w:color w:val="auto"/>
          <w:sz w:val="48"/>
          <w:szCs w:val="36"/>
        </w:rPr>
      </w:pPr>
      <w:r>
        <w:rPr>
          <w:bCs/>
          <w:color w:val="auto"/>
          <w:sz w:val="48"/>
          <w:szCs w:val="36"/>
          <w:lang w:val="zh-CN"/>
        </w:rPr>
        <w:t>城市</w:t>
      </w:r>
      <w:r>
        <w:rPr>
          <w:rFonts w:hint="eastAsia"/>
          <w:bCs/>
          <w:color w:val="auto"/>
          <w:sz w:val="48"/>
          <w:szCs w:val="36"/>
          <w:lang w:val="zh-CN"/>
        </w:rPr>
        <w:t>道路工程信息模型应用标准</w:t>
      </w:r>
    </w:p>
    <w:p>
      <w:pPr>
        <w:spacing w:line="720" w:lineRule="auto"/>
        <w:ind w:firstLine="0" w:firstLineChars="0"/>
        <w:jc w:val="center"/>
        <w:outlineLvl w:val="0"/>
        <w:rPr>
          <w:rFonts w:hint="default" w:eastAsia="黑体"/>
          <w:b w:val="0"/>
          <w:bCs/>
          <w:color w:val="auto"/>
          <w:sz w:val="44"/>
          <w:szCs w:val="44"/>
          <w:lang w:val="en-US" w:eastAsia="zh-CN"/>
        </w:rPr>
      </w:pPr>
      <w:r>
        <w:rPr>
          <w:rFonts w:hint="eastAsia" w:eastAsia="黑体"/>
          <w:b w:val="0"/>
          <w:bCs/>
          <w:color w:val="auto"/>
          <w:sz w:val="44"/>
          <w:szCs w:val="44"/>
          <w:lang w:val="en-US" w:eastAsia="zh-CN"/>
        </w:rPr>
        <w:t>T/CECS  XXX - 20XX</w:t>
      </w:r>
    </w:p>
    <w:p>
      <w:pPr>
        <w:spacing w:line="720" w:lineRule="auto"/>
        <w:ind w:firstLine="0" w:firstLineChars="0"/>
        <w:jc w:val="center"/>
        <w:outlineLvl w:val="0"/>
        <w:rPr>
          <w:rFonts w:hint="eastAsia" w:eastAsia="黑体"/>
          <w:b w:val="0"/>
          <w:bCs/>
          <w:color w:val="auto"/>
          <w:sz w:val="44"/>
          <w:szCs w:val="44"/>
          <w:lang w:val="en-US" w:eastAsia="zh-CN"/>
        </w:rPr>
      </w:pPr>
      <w:r>
        <w:rPr>
          <w:rFonts w:hint="eastAsia" w:eastAsia="黑体"/>
          <w:b w:val="0"/>
          <w:bCs/>
          <w:color w:val="auto"/>
          <w:sz w:val="44"/>
          <w:szCs w:val="44"/>
          <w:lang w:val="en-US" w:eastAsia="zh-CN"/>
        </w:rPr>
        <w:t>条文说明</w:t>
      </w:r>
    </w:p>
    <w:p>
      <w:pPr>
        <w:spacing w:line="720" w:lineRule="auto"/>
        <w:ind w:firstLine="0" w:firstLineChars="0"/>
        <w:jc w:val="center"/>
        <w:outlineLvl w:val="0"/>
        <w:rPr>
          <w:rFonts w:hint="eastAsia" w:eastAsia="黑体"/>
          <w:b w:val="0"/>
          <w:bCs/>
          <w:color w:val="auto"/>
          <w:sz w:val="44"/>
          <w:szCs w:val="44"/>
          <w:lang w:val="en-US" w:eastAsia="zh-CN"/>
        </w:rPr>
      </w:pPr>
    </w:p>
    <w:p>
      <w:pPr>
        <w:spacing w:line="720" w:lineRule="auto"/>
        <w:ind w:firstLine="0" w:firstLineChars="0"/>
        <w:jc w:val="center"/>
        <w:outlineLvl w:val="0"/>
        <w:rPr>
          <w:rFonts w:hint="eastAsia" w:eastAsia="黑体"/>
          <w:b w:val="0"/>
          <w:bCs/>
          <w:color w:val="auto"/>
          <w:sz w:val="44"/>
          <w:szCs w:val="44"/>
          <w:lang w:val="en-US" w:eastAsia="zh-CN"/>
        </w:rPr>
      </w:pPr>
    </w:p>
    <w:p>
      <w:pPr>
        <w:spacing w:line="720" w:lineRule="auto"/>
        <w:ind w:firstLine="0" w:firstLineChars="0"/>
        <w:jc w:val="center"/>
        <w:outlineLvl w:val="0"/>
        <w:rPr>
          <w:rFonts w:hint="eastAsia" w:eastAsia="黑体"/>
          <w:b w:val="0"/>
          <w:bCs/>
          <w:color w:val="auto"/>
          <w:sz w:val="44"/>
          <w:szCs w:val="44"/>
          <w:lang w:val="en-US" w:eastAsia="zh-CN"/>
        </w:rPr>
      </w:pPr>
    </w:p>
    <w:p>
      <w:pPr>
        <w:spacing w:line="720" w:lineRule="auto"/>
        <w:ind w:firstLine="0" w:firstLineChars="0"/>
        <w:jc w:val="center"/>
        <w:outlineLvl w:val="0"/>
        <w:rPr>
          <w:rFonts w:hint="eastAsia" w:eastAsia="黑体"/>
          <w:b w:val="0"/>
          <w:bCs/>
          <w:color w:val="auto"/>
          <w:sz w:val="44"/>
          <w:szCs w:val="44"/>
          <w:lang w:val="en-US" w:eastAsia="zh-CN"/>
        </w:rPr>
      </w:pPr>
    </w:p>
    <w:p>
      <w:pPr>
        <w:spacing w:line="720" w:lineRule="auto"/>
        <w:ind w:firstLine="0" w:firstLineChars="0"/>
        <w:jc w:val="center"/>
        <w:outlineLvl w:val="0"/>
        <w:rPr>
          <w:rFonts w:hint="eastAsia" w:eastAsia="黑体"/>
          <w:b w:val="0"/>
          <w:bCs/>
          <w:color w:val="auto"/>
          <w:sz w:val="44"/>
          <w:szCs w:val="44"/>
          <w:lang w:val="en-US" w:eastAsia="zh-CN"/>
        </w:rPr>
      </w:pPr>
    </w:p>
    <w:p>
      <w:pPr>
        <w:spacing w:line="720" w:lineRule="auto"/>
        <w:ind w:firstLine="0" w:firstLineChars="0"/>
        <w:jc w:val="center"/>
        <w:outlineLvl w:val="0"/>
        <w:rPr>
          <w:rFonts w:hint="eastAsia" w:eastAsia="黑体"/>
          <w:b w:val="0"/>
          <w:bCs/>
          <w:color w:val="auto"/>
          <w:sz w:val="44"/>
          <w:szCs w:val="44"/>
          <w:lang w:val="en-US" w:eastAsia="zh-CN"/>
        </w:rPr>
      </w:pPr>
    </w:p>
    <w:p>
      <w:pPr>
        <w:spacing w:line="720" w:lineRule="auto"/>
        <w:ind w:firstLine="0" w:firstLineChars="0"/>
        <w:jc w:val="center"/>
        <w:outlineLvl w:val="0"/>
        <w:rPr>
          <w:rFonts w:hint="eastAsia" w:eastAsia="黑体"/>
          <w:b w:val="0"/>
          <w:bCs/>
          <w:color w:val="auto"/>
          <w:sz w:val="44"/>
          <w:szCs w:val="44"/>
          <w:lang w:val="en-US" w:eastAsia="zh-CN"/>
        </w:rPr>
      </w:pPr>
    </w:p>
    <w:p>
      <w:pPr>
        <w:spacing w:line="720" w:lineRule="auto"/>
        <w:ind w:firstLine="0" w:firstLineChars="0"/>
        <w:jc w:val="center"/>
        <w:outlineLvl w:val="0"/>
        <w:rPr>
          <w:rFonts w:hint="eastAsia" w:eastAsia="黑体"/>
          <w:b w:val="0"/>
          <w:bCs/>
          <w:color w:val="auto"/>
          <w:sz w:val="44"/>
          <w:szCs w:val="44"/>
          <w:lang w:val="en-US" w:eastAsia="zh-CN"/>
        </w:rPr>
      </w:pPr>
    </w:p>
    <w:p>
      <w:pPr>
        <w:spacing w:line="720" w:lineRule="auto"/>
        <w:ind w:firstLine="0" w:firstLineChars="0"/>
        <w:jc w:val="center"/>
        <w:outlineLvl w:val="0"/>
        <w:rPr>
          <w:rFonts w:hint="eastAsia" w:eastAsia="黑体"/>
          <w:b w:val="0"/>
          <w:bCs/>
          <w:color w:val="auto"/>
          <w:sz w:val="28"/>
          <w:szCs w:val="28"/>
          <w:lang w:val="en-US" w:eastAsia="zh-CN"/>
        </w:rPr>
      </w:pPr>
      <w:r>
        <w:rPr>
          <w:rFonts w:hint="eastAsia" w:eastAsia="黑体"/>
          <w:b w:val="0"/>
          <w:bCs/>
          <w:color w:val="auto"/>
          <w:sz w:val="28"/>
          <w:szCs w:val="28"/>
          <w:lang w:val="en-US" w:eastAsia="zh-CN"/>
        </w:rPr>
        <w:t>目      次</w:t>
      </w:r>
    </w:p>
    <w:p>
      <w:pPr>
        <w:ind w:firstLine="0" w:firstLineChars="0"/>
        <w:jc w:val="left"/>
        <w:rPr>
          <w:rFonts w:hint="eastAsia" w:eastAsiaTheme="minorEastAsia"/>
          <w:color w:val="auto"/>
          <w:szCs w:val="32"/>
          <w:lang w:val="en-US" w:eastAsia="zh-CN"/>
        </w:rPr>
      </w:pPr>
      <w:r>
        <w:rPr>
          <w:rFonts w:hint="eastAsia" w:eastAsiaTheme="minorEastAsia"/>
          <w:color w:val="auto"/>
          <w:szCs w:val="32"/>
          <w:lang w:val="en-US" w:eastAsia="zh-CN"/>
        </w:rPr>
        <w:t>1  总则  ..................................................................................................................（96）</w:t>
      </w:r>
    </w:p>
    <w:p>
      <w:pPr>
        <w:ind w:firstLine="0" w:firstLineChars="0"/>
        <w:jc w:val="left"/>
        <w:rPr>
          <w:rFonts w:hint="eastAsia" w:eastAsiaTheme="minorEastAsia"/>
          <w:color w:val="auto"/>
          <w:szCs w:val="32"/>
          <w:lang w:val="en-US" w:eastAsia="zh-CN"/>
        </w:rPr>
      </w:pPr>
      <w:r>
        <w:rPr>
          <w:rFonts w:hint="eastAsia" w:eastAsiaTheme="minorEastAsia"/>
          <w:color w:val="auto"/>
          <w:szCs w:val="32"/>
          <w:lang w:val="en-US" w:eastAsia="zh-CN"/>
        </w:rPr>
        <w:t>2  术语和缩略词  ................................................................................................. （97）</w:t>
      </w:r>
    </w:p>
    <w:p>
      <w:pPr>
        <w:ind w:left="0" w:leftChars="0" w:firstLine="480" w:firstLineChars="200"/>
        <w:jc w:val="left"/>
        <w:rPr>
          <w:rFonts w:hint="eastAsia" w:eastAsiaTheme="minorEastAsia"/>
          <w:color w:val="auto"/>
          <w:szCs w:val="32"/>
          <w:lang w:val="en-US" w:eastAsia="zh-CN"/>
        </w:rPr>
      </w:pPr>
      <w:r>
        <w:rPr>
          <w:rFonts w:hint="eastAsia" w:eastAsiaTheme="minorEastAsia"/>
          <w:color w:val="auto"/>
          <w:szCs w:val="32"/>
          <w:lang w:val="en-US" w:eastAsia="zh-CN"/>
        </w:rPr>
        <w:t>2.1 术语   ...................................................................................................... （97）</w:t>
      </w:r>
    </w:p>
    <w:p>
      <w:pPr>
        <w:ind w:left="0" w:leftChars="0" w:firstLine="0" w:firstLineChars="0"/>
        <w:jc w:val="left"/>
        <w:rPr>
          <w:rFonts w:hint="eastAsia" w:eastAsiaTheme="minorEastAsia"/>
          <w:color w:val="auto"/>
          <w:szCs w:val="32"/>
          <w:lang w:val="en-US" w:eastAsia="zh-CN"/>
        </w:rPr>
      </w:pPr>
      <w:r>
        <w:rPr>
          <w:rFonts w:hint="eastAsia" w:eastAsiaTheme="minorEastAsia"/>
          <w:color w:val="auto"/>
          <w:szCs w:val="32"/>
          <w:lang w:val="en-US" w:eastAsia="zh-CN"/>
        </w:rPr>
        <w:t>3 基本规定   ....................................................................................................... （101）</w:t>
      </w:r>
    </w:p>
    <w:p>
      <w:pPr>
        <w:ind w:left="0" w:leftChars="0" w:firstLine="0" w:firstLineChars="0"/>
        <w:jc w:val="left"/>
        <w:rPr>
          <w:rFonts w:hint="eastAsia" w:eastAsiaTheme="minorEastAsia"/>
          <w:color w:val="auto"/>
          <w:szCs w:val="32"/>
          <w:lang w:val="en-US" w:eastAsia="zh-CN"/>
        </w:rPr>
      </w:pPr>
      <w:r>
        <w:rPr>
          <w:rFonts w:hint="eastAsia" w:eastAsiaTheme="minorEastAsia"/>
          <w:color w:val="auto"/>
          <w:szCs w:val="32"/>
          <w:lang w:val="en-US" w:eastAsia="zh-CN"/>
        </w:rPr>
        <w:t>4 协同管理   ....................................................................................................... （106）</w:t>
      </w:r>
    </w:p>
    <w:p>
      <w:pPr>
        <w:ind w:firstLine="480" w:firstLineChars="200"/>
        <w:jc w:val="left"/>
        <w:rPr>
          <w:rFonts w:hint="eastAsia" w:eastAsiaTheme="minorEastAsia"/>
          <w:color w:val="auto"/>
          <w:szCs w:val="32"/>
          <w:lang w:val="en-US" w:eastAsia="zh-CN"/>
        </w:rPr>
      </w:pPr>
      <w:r>
        <w:rPr>
          <w:rFonts w:hint="eastAsia" w:eastAsiaTheme="minorEastAsia"/>
          <w:color w:val="auto"/>
          <w:szCs w:val="32"/>
          <w:lang w:val="en-US" w:eastAsia="zh-CN"/>
        </w:rPr>
        <w:t>4.1 一般规定  ............................................................................................. （106）</w:t>
      </w:r>
    </w:p>
    <w:p>
      <w:pPr>
        <w:ind w:firstLine="480" w:firstLineChars="200"/>
        <w:jc w:val="left"/>
        <w:rPr>
          <w:rFonts w:hint="eastAsia" w:eastAsiaTheme="minorEastAsia"/>
          <w:color w:val="auto"/>
          <w:szCs w:val="32"/>
          <w:lang w:val="en-US" w:eastAsia="zh-CN"/>
        </w:rPr>
      </w:pPr>
      <w:r>
        <w:rPr>
          <w:rFonts w:hint="eastAsia" w:eastAsiaTheme="minorEastAsia"/>
          <w:color w:val="auto"/>
          <w:szCs w:val="32"/>
          <w:lang w:val="en-US" w:eastAsia="zh-CN"/>
        </w:rPr>
        <w:t>4.2 应用策划  ............................................................................................. （107）</w:t>
      </w:r>
    </w:p>
    <w:p>
      <w:pPr>
        <w:ind w:firstLine="480" w:firstLineChars="200"/>
        <w:jc w:val="left"/>
        <w:rPr>
          <w:rFonts w:hint="eastAsia" w:eastAsiaTheme="minorEastAsia"/>
          <w:color w:val="auto"/>
          <w:szCs w:val="32"/>
          <w:lang w:val="en-US" w:eastAsia="zh-CN"/>
        </w:rPr>
      </w:pPr>
      <w:r>
        <w:rPr>
          <w:rFonts w:hint="eastAsia" w:eastAsiaTheme="minorEastAsia"/>
          <w:color w:val="auto"/>
          <w:szCs w:val="32"/>
          <w:lang w:val="en-US" w:eastAsia="zh-CN"/>
        </w:rPr>
        <w:t>4.3 数据环境  ............................................................................................. （108）</w:t>
      </w:r>
    </w:p>
    <w:p>
      <w:pPr>
        <w:ind w:firstLine="480" w:firstLineChars="200"/>
        <w:jc w:val="left"/>
        <w:rPr>
          <w:rFonts w:hint="eastAsia" w:eastAsiaTheme="minorEastAsia"/>
          <w:color w:val="auto"/>
          <w:szCs w:val="32"/>
          <w:lang w:val="en-US" w:eastAsia="zh-CN"/>
        </w:rPr>
      </w:pPr>
      <w:r>
        <w:rPr>
          <w:rFonts w:hint="eastAsia" w:eastAsiaTheme="minorEastAsia"/>
          <w:color w:val="auto"/>
          <w:szCs w:val="32"/>
          <w:lang w:val="en-US" w:eastAsia="zh-CN"/>
        </w:rPr>
        <w:t>4.4 数据互用  ............................................................................................. （108）</w:t>
      </w:r>
    </w:p>
    <w:p>
      <w:pPr>
        <w:ind w:firstLine="480" w:firstLineChars="200"/>
        <w:jc w:val="left"/>
        <w:rPr>
          <w:rFonts w:hint="eastAsia" w:eastAsiaTheme="minorEastAsia"/>
          <w:color w:val="auto"/>
          <w:szCs w:val="32"/>
          <w:lang w:val="en-US" w:eastAsia="zh-CN"/>
        </w:rPr>
      </w:pPr>
      <w:r>
        <w:rPr>
          <w:rFonts w:hint="eastAsia" w:eastAsiaTheme="minorEastAsia"/>
          <w:color w:val="auto"/>
          <w:szCs w:val="32"/>
          <w:lang w:val="en-US" w:eastAsia="zh-CN"/>
        </w:rPr>
        <w:t>4.5 数据安全  ............................................................................................. （109）</w:t>
      </w:r>
    </w:p>
    <w:p>
      <w:pPr>
        <w:ind w:firstLine="480" w:firstLineChars="200"/>
        <w:jc w:val="left"/>
        <w:rPr>
          <w:rFonts w:hint="eastAsia" w:eastAsiaTheme="minorEastAsia"/>
          <w:color w:val="auto"/>
          <w:szCs w:val="32"/>
          <w:lang w:val="en-US" w:eastAsia="zh-CN"/>
        </w:rPr>
      </w:pPr>
      <w:r>
        <w:rPr>
          <w:rFonts w:hint="eastAsia" w:eastAsiaTheme="minorEastAsia"/>
          <w:color w:val="auto"/>
          <w:szCs w:val="32"/>
          <w:lang w:val="en-US" w:eastAsia="zh-CN"/>
        </w:rPr>
        <w:t>4.6 模型创建  ............................................................................................. （110）</w:t>
      </w:r>
    </w:p>
    <w:p>
      <w:pPr>
        <w:ind w:firstLine="480" w:firstLineChars="200"/>
        <w:jc w:val="left"/>
        <w:rPr>
          <w:rFonts w:hint="eastAsia" w:eastAsiaTheme="minorEastAsia"/>
          <w:color w:val="auto"/>
          <w:szCs w:val="32"/>
          <w:lang w:val="en-US" w:eastAsia="zh-CN"/>
        </w:rPr>
      </w:pPr>
      <w:r>
        <w:rPr>
          <w:rFonts w:hint="eastAsia" w:eastAsiaTheme="minorEastAsia"/>
          <w:color w:val="auto"/>
          <w:szCs w:val="32"/>
          <w:lang w:val="en-US" w:eastAsia="zh-CN"/>
        </w:rPr>
        <w:t>4.7 交付协同  ............................................................................................. （111）</w:t>
      </w:r>
    </w:p>
    <w:p>
      <w:pPr>
        <w:ind w:firstLine="480" w:firstLineChars="200"/>
        <w:jc w:val="left"/>
        <w:rPr>
          <w:rFonts w:hint="eastAsia" w:eastAsiaTheme="minorEastAsia"/>
          <w:color w:val="auto"/>
          <w:szCs w:val="32"/>
          <w:lang w:val="en-US" w:eastAsia="zh-CN"/>
        </w:rPr>
      </w:pPr>
      <w:r>
        <w:rPr>
          <w:rFonts w:hint="eastAsia" w:eastAsiaTheme="minorEastAsia"/>
          <w:color w:val="auto"/>
          <w:szCs w:val="32"/>
          <w:lang w:val="en-US" w:eastAsia="zh-CN"/>
        </w:rPr>
        <w:t>4.8  模型协同管理  .................................................................................... （112）</w:t>
      </w:r>
    </w:p>
    <w:p>
      <w:pPr>
        <w:ind w:firstLine="0" w:firstLineChars="0"/>
        <w:jc w:val="left"/>
        <w:rPr>
          <w:rFonts w:hint="eastAsia" w:eastAsiaTheme="minorEastAsia"/>
          <w:color w:val="auto"/>
          <w:szCs w:val="32"/>
          <w:lang w:val="en-US" w:eastAsia="zh-CN"/>
        </w:rPr>
      </w:pPr>
      <w:r>
        <w:rPr>
          <w:rFonts w:hint="eastAsia" w:eastAsiaTheme="minorEastAsia"/>
          <w:color w:val="auto"/>
          <w:szCs w:val="32"/>
          <w:lang w:val="en-US" w:eastAsia="zh-CN"/>
        </w:rPr>
        <w:t>5 工程前期阶段  ................................................................................................ （114）</w:t>
      </w:r>
    </w:p>
    <w:p>
      <w:pPr>
        <w:ind w:firstLine="480" w:firstLineChars="200"/>
        <w:jc w:val="left"/>
        <w:rPr>
          <w:rFonts w:hint="eastAsia" w:eastAsiaTheme="minorEastAsia"/>
          <w:color w:val="auto"/>
          <w:szCs w:val="32"/>
          <w:lang w:val="en-US" w:eastAsia="zh-CN"/>
        </w:rPr>
      </w:pPr>
      <w:r>
        <w:rPr>
          <w:rFonts w:hint="eastAsia" w:eastAsiaTheme="minorEastAsia"/>
          <w:color w:val="auto"/>
          <w:szCs w:val="32"/>
          <w:lang w:val="en-US" w:eastAsia="zh-CN"/>
        </w:rPr>
        <w:t>5.1 一般规定  ............................................................................................. （114）</w:t>
      </w:r>
    </w:p>
    <w:p>
      <w:pPr>
        <w:ind w:firstLine="0" w:firstLineChars="0"/>
        <w:jc w:val="left"/>
        <w:rPr>
          <w:rFonts w:hint="eastAsia" w:eastAsiaTheme="minorEastAsia"/>
          <w:color w:val="auto"/>
          <w:szCs w:val="32"/>
          <w:lang w:val="en-US" w:eastAsia="zh-CN"/>
        </w:rPr>
      </w:pPr>
      <w:r>
        <w:rPr>
          <w:rFonts w:hint="eastAsia" w:eastAsiaTheme="minorEastAsia"/>
          <w:color w:val="auto"/>
          <w:szCs w:val="32"/>
          <w:lang w:val="en-US" w:eastAsia="zh-CN"/>
        </w:rPr>
        <w:t>6 勘察、设计阶段 ............................................................................................. （115）</w:t>
      </w:r>
    </w:p>
    <w:p>
      <w:pPr>
        <w:ind w:firstLine="480" w:firstLineChars="200"/>
        <w:jc w:val="left"/>
        <w:rPr>
          <w:rFonts w:hint="eastAsia" w:eastAsiaTheme="minorEastAsia"/>
          <w:color w:val="auto"/>
          <w:szCs w:val="32"/>
          <w:lang w:val="en-US" w:eastAsia="zh-CN"/>
        </w:rPr>
      </w:pPr>
      <w:r>
        <w:rPr>
          <w:rFonts w:hint="eastAsia" w:eastAsiaTheme="minorEastAsia"/>
          <w:color w:val="auto"/>
          <w:szCs w:val="32"/>
          <w:lang w:val="en-US" w:eastAsia="zh-CN"/>
        </w:rPr>
        <w:t>6.1 一般规定  ............................................................................................. （115）</w:t>
      </w:r>
    </w:p>
    <w:p>
      <w:pPr>
        <w:ind w:firstLine="480" w:firstLineChars="200"/>
        <w:jc w:val="left"/>
        <w:rPr>
          <w:rFonts w:hint="eastAsia" w:eastAsiaTheme="minorEastAsia"/>
          <w:color w:val="auto"/>
          <w:szCs w:val="32"/>
          <w:lang w:val="en-US" w:eastAsia="zh-CN"/>
        </w:rPr>
      </w:pPr>
      <w:r>
        <w:rPr>
          <w:rFonts w:hint="eastAsia" w:eastAsiaTheme="minorEastAsia"/>
          <w:color w:val="auto"/>
          <w:szCs w:val="32"/>
          <w:lang w:val="en-US" w:eastAsia="zh-CN"/>
        </w:rPr>
        <w:t>6.2 勘察信息模型应用 .............................................................................. （115）</w:t>
      </w:r>
    </w:p>
    <w:p>
      <w:pPr>
        <w:ind w:firstLine="480" w:firstLineChars="200"/>
        <w:jc w:val="left"/>
        <w:rPr>
          <w:rFonts w:hint="eastAsia" w:eastAsiaTheme="minorEastAsia"/>
          <w:color w:val="auto"/>
          <w:szCs w:val="32"/>
          <w:lang w:val="en-US" w:eastAsia="zh-CN"/>
        </w:rPr>
      </w:pPr>
      <w:r>
        <w:rPr>
          <w:rFonts w:hint="eastAsia" w:eastAsiaTheme="minorEastAsia"/>
          <w:color w:val="auto"/>
          <w:szCs w:val="32"/>
          <w:lang w:val="en-US" w:eastAsia="zh-CN"/>
        </w:rPr>
        <w:t>6.3 设计信息模型应用 .............................................................................. （116）</w:t>
      </w:r>
    </w:p>
    <w:p>
      <w:pPr>
        <w:ind w:firstLine="480" w:firstLineChars="200"/>
        <w:jc w:val="left"/>
        <w:rPr>
          <w:rFonts w:hint="eastAsia" w:eastAsiaTheme="minorEastAsia"/>
          <w:color w:val="auto"/>
          <w:szCs w:val="32"/>
          <w:lang w:val="en-US" w:eastAsia="zh-CN"/>
        </w:rPr>
      </w:pPr>
      <w:r>
        <w:rPr>
          <w:rFonts w:hint="eastAsia" w:eastAsiaTheme="minorEastAsia"/>
          <w:color w:val="auto"/>
          <w:szCs w:val="32"/>
          <w:lang w:val="en-US" w:eastAsia="zh-CN"/>
        </w:rPr>
        <w:t>6.4 协同应用  ............................................................................................. （117）</w:t>
      </w:r>
    </w:p>
    <w:p>
      <w:pPr>
        <w:ind w:firstLine="480" w:firstLineChars="200"/>
        <w:jc w:val="left"/>
        <w:rPr>
          <w:rFonts w:hint="eastAsia" w:eastAsiaTheme="minorEastAsia"/>
          <w:color w:val="auto"/>
          <w:szCs w:val="32"/>
          <w:lang w:val="en-US" w:eastAsia="zh-CN"/>
        </w:rPr>
      </w:pPr>
      <w:r>
        <w:rPr>
          <w:rFonts w:hint="eastAsia" w:eastAsiaTheme="minorEastAsia"/>
          <w:color w:val="auto"/>
          <w:szCs w:val="32"/>
          <w:lang w:val="en-US" w:eastAsia="zh-CN"/>
        </w:rPr>
        <w:t>6.5 交付准备  ............................................................................................. （118）</w:t>
      </w:r>
    </w:p>
    <w:p>
      <w:pPr>
        <w:ind w:firstLine="480" w:firstLineChars="200"/>
        <w:jc w:val="left"/>
        <w:rPr>
          <w:rFonts w:hint="eastAsia" w:eastAsiaTheme="minorEastAsia"/>
          <w:color w:val="auto"/>
          <w:szCs w:val="32"/>
          <w:lang w:val="en-US" w:eastAsia="zh-CN"/>
        </w:rPr>
      </w:pPr>
      <w:r>
        <w:rPr>
          <w:rFonts w:hint="eastAsia" w:eastAsiaTheme="minorEastAsia"/>
          <w:color w:val="auto"/>
          <w:szCs w:val="32"/>
          <w:lang w:val="en-US" w:eastAsia="zh-CN"/>
        </w:rPr>
        <w:t>6.6 设计交付与归档  ................................................................................. （118）</w:t>
      </w:r>
    </w:p>
    <w:p>
      <w:pPr>
        <w:ind w:firstLine="0" w:firstLineChars="0"/>
        <w:jc w:val="left"/>
        <w:rPr>
          <w:rFonts w:hint="eastAsia" w:eastAsiaTheme="minorEastAsia"/>
          <w:color w:val="auto"/>
          <w:szCs w:val="32"/>
          <w:lang w:val="en-US" w:eastAsia="zh-CN"/>
        </w:rPr>
      </w:pPr>
      <w:r>
        <w:rPr>
          <w:rFonts w:hint="eastAsia" w:eastAsiaTheme="minorEastAsia"/>
          <w:color w:val="auto"/>
          <w:szCs w:val="32"/>
          <w:lang w:val="en-US" w:eastAsia="zh-CN"/>
        </w:rPr>
        <w:t>7 施工阶段   ....................................................................................................... （120）</w:t>
      </w:r>
    </w:p>
    <w:p>
      <w:pPr>
        <w:ind w:firstLine="480" w:firstLineChars="200"/>
        <w:jc w:val="left"/>
        <w:rPr>
          <w:rFonts w:hint="eastAsia" w:eastAsiaTheme="minorEastAsia"/>
          <w:color w:val="auto"/>
          <w:szCs w:val="32"/>
          <w:lang w:val="en-US" w:eastAsia="zh-CN"/>
        </w:rPr>
      </w:pPr>
      <w:r>
        <w:rPr>
          <w:rFonts w:hint="eastAsia" w:eastAsiaTheme="minorEastAsia"/>
          <w:color w:val="auto"/>
          <w:szCs w:val="32"/>
          <w:lang w:val="en-US" w:eastAsia="zh-CN"/>
        </w:rPr>
        <w:t>7.1 一般规定  ............................................................................................. （120）</w:t>
      </w:r>
    </w:p>
    <w:p>
      <w:pPr>
        <w:ind w:firstLine="480" w:firstLineChars="200"/>
        <w:jc w:val="left"/>
        <w:rPr>
          <w:rFonts w:hint="eastAsia" w:eastAsiaTheme="minorEastAsia"/>
          <w:color w:val="auto"/>
          <w:szCs w:val="32"/>
          <w:lang w:val="en-US" w:eastAsia="zh-CN"/>
        </w:rPr>
      </w:pPr>
      <w:r>
        <w:rPr>
          <w:rFonts w:hint="eastAsia" w:eastAsiaTheme="minorEastAsia"/>
          <w:color w:val="auto"/>
          <w:szCs w:val="32"/>
          <w:lang w:val="en-US" w:eastAsia="zh-CN"/>
        </w:rPr>
        <w:t>7.2 深化设计  ............................................................................................. （120）</w:t>
      </w:r>
    </w:p>
    <w:p>
      <w:pPr>
        <w:ind w:firstLine="480" w:firstLineChars="200"/>
        <w:jc w:val="left"/>
        <w:rPr>
          <w:rFonts w:hint="eastAsia" w:eastAsiaTheme="minorEastAsia"/>
          <w:color w:val="auto"/>
          <w:szCs w:val="32"/>
          <w:lang w:val="en-US" w:eastAsia="zh-CN"/>
        </w:rPr>
      </w:pPr>
      <w:r>
        <w:rPr>
          <w:rFonts w:hint="eastAsia" w:eastAsiaTheme="minorEastAsia"/>
          <w:color w:val="auto"/>
          <w:szCs w:val="32"/>
          <w:lang w:val="en-US" w:eastAsia="zh-CN"/>
        </w:rPr>
        <w:t>7.3 施工应用  ............................................................................................. （121）</w:t>
      </w:r>
    </w:p>
    <w:p>
      <w:pPr>
        <w:ind w:firstLine="480" w:firstLineChars="200"/>
        <w:jc w:val="left"/>
        <w:rPr>
          <w:rFonts w:hint="eastAsia" w:eastAsiaTheme="minorEastAsia"/>
          <w:color w:val="auto"/>
          <w:szCs w:val="32"/>
          <w:lang w:val="en-US" w:eastAsia="zh-CN"/>
        </w:rPr>
      </w:pPr>
      <w:r>
        <w:rPr>
          <w:rFonts w:hint="eastAsia" w:eastAsiaTheme="minorEastAsia"/>
          <w:color w:val="auto"/>
          <w:szCs w:val="32"/>
          <w:lang w:val="en-US" w:eastAsia="zh-CN"/>
        </w:rPr>
        <w:t>7.4 工程建设项目管理  ............................................................................ （122）</w:t>
      </w:r>
    </w:p>
    <w:p>
      <w:pPr>
        <w:ind w:firstLine="480" w:firstLineChars="200"/>
        <w:jc w:val="left"/>
        <w:rPr>
          <w:rFonts w:hint="eastAsia" w:eastAsiaTheme="minorEastAsia"/>
          <w:color w:val="auto"/>
          <w:szCs w:val="32"/>
          <w:lang w:val="en-US" w:eastAsia="zh-CN"/>
        </w:rPr>
      </w:pPr>
      <w:r>
        <w:rPr>
          <w:rFonts w:hint="eastAsia" w:eastAsiaTheme="minorEastAsia"/>
          <w:color w:val="auto"/>
          <w:szCs w:val="32"/>
          <w:lang w:val="en-US" w:eastAsia="zh-CN"/>
        </w:rPr>
        <w:t>7.5 施工监理  ............................................................................................. （124）</w:t>
      </w:r>
    </w:p>
    <w:p>
      <w:pPr>
        <w:ind w:firstLine="480" w:firstLineChars="200"/>
        <w:jc w:val="left"/>
        <w:rPr>
          <w:rFonts w:hint="eastAsia" w:eastAsiaTheme="minorEastAsia"/>
          <w:color w:val="auto"/>
          <w:szCs w:val="32"/>
          <w:lang w:val="en-US" w:eastAsia="zh-CN"/>
        </w:rPr>
      </w:pPr>
      <w:r>
        <w:rPr>
          <w:rFonts w:hint="eastAsia" w:eastAsiaTheme="minorEastAsia"/>
          <w:color w:val="auto"/>
          <w:szCs w:val="32"/>
          <w:lang w:val="en-US" w:eastAsia="zh-CN"/>
        </w:rPr>
        <w:t>7.6 施工监控  ............................................................................................. （125）</w:t>
      </w:r>
    </w:p>
    <w:p>
      <w:pPr>
        <w:ind w:firstLine="480" w:firstLineChars="200"/>
        <w:jc w:val="left"/>
        <w:rPr>
          <w:rFonts w:hint="eastAsia" w:eastAsiaTheme="minorEastAsia"/>
          <w:color w:val="auto"/>
          <w:szCs w:val="32"/>
          <w:lang w:val="en-US" w:eastAsia="zh-CN"/>
        </w:rPr>
      </w:pPr>
      <w:r>
        <w:rPr>
          <w:rFonts w:hint="eastAsia" w:eastAsiaTheme="minorEastAsia"/>
          <w:color w:val="auto"/>
          <w:szCs w:val="32"/>
          <w:lang w:val="en-US" w:eastAsia="zh-CN"/>
        </w:rPr>
        <w:t>7.7 竣工验收与交付 .................................................................................. （126）</w:t>
      </w:r>
    </w:p>
    <w:p>
      <w:pPr>
        <w:ind w:firstLine="480" w:firstLineChars="200"/>
        <w:jc w:val="left"/>
        <w:rPr>
          <w:rFonts w:hint="eastAsia" w:eastAsiaTheme="minorEastAsia"/>
          <w:color w:val="auto"/>
          <w:szCs w:val="32"/>
          <w:lang w:val="en-US" w:eastAsia="zh-CN"/>
        </w:rPr>
      </w:pPr>
      <w:r>
        <w:rPr>
          <w:rFonts w:hint="eastAsia" w:eastAsiaTheme="minorEastAsia"/>
          <w:color w:val="auto"/>
          <w:szCs w:val="32"/>
          <w:lang w:val="en-US" w:eastAsia="zh-CN"/>
        </w:rPr>
        <w:t>7.8  竣工资料归档  .................................................................................... （127）</w:t>
      </w:r>
    </w:p>
    <w:p>
      <w:pPr>
        <w:ind w:firstLine="0" w:firstLineChars="0"/>
        <w:jc w:val="left"/>
        <w:rPr>
          <w:rFonts w:hint="eastAsia" w:eastAsiaTheme="minorEastAsia"/>
          <w:color w:val="auto"/>
          <w:szCs w:val="32"/>
          <w:lang w:val="en-US" w:eastAsia="zh-CN"/>
        </w:rPr>
      </w:pPr>
      <w:r>
        <w:rPr>
          <w:rFonts w:hint="eastAsia" w:eastAsiaTheme="minorEastAsia"/>
          <w:color w:val="auto"/>
          <w:szCs w:val="32"/>
          <w:lang w:val="en-US" w:eastAsia="zh-CN"/>
        </w:rPr>
        <w:t>8 运维阶段   ....................................................................................................... （128）</w:t>
      </w:r>
    </w:p>
    <w:p>
      <w:pPr>
        <w:ind w:firstLine="480" w:firstLineChars="200"/>
        <w:jc w:val="left"/>
        <w:rPr>
          <w:rFonts w:hint="eastAsia" w:eastAsiaTheme="minorEastAsia"/>
          <w:color w:val="auto"/>
          <w:szCs w:val="32"/>
          <w:lang w:val="en-US" w:eastAsia="zh-CN"/>
        </w:rPr>
      </w:pPr>
      <w:r>
        <w:rPr>
          <w:rFonts w:hint="eastAsia" w:eastAsiaTheme="minorEastAsia"/>
          <w:color w:val="auto"/>
          <w:szCs w:val="32"/>
          <w:lang w:val="en-US" w:eastAsia="zh-CN"/>
        </w:rPr>
        <w:t>8.1 一般规定  ............................................................................................. （128）</w:t>
      </w:r>
    </w:p>
    <w:p>
      <w:pPr>
        <w:ind w:firstLine="480" w:firstLineChars="200"/>
        <w:jc w:val="left"/>
        <w:rPr>
          <w:rFonts w:hint="eastAsia" w:eastAsiaTheme="minorEastAsia"/>
          <w:color w:val="auto"/>
          <w:szCs w:val="32"/>
          <w:lang w:val="en-US" w:eastAsia="zh-CN"/>
        </w:rPr>
      </w:pPr>
      <w:r>
        <w:rPr>
          <w:rFonts w:hint="eastAsia" w:eastAsiaTheme="minorEastAsia"/>
          <w:color w:val="auto"/>
          <w:szCs w:val="32"/>
          <w:lang w:val="en-US" w:eastAsia="zh-CN"/>
        </w:rPr>
        <w:t>8.2 智慧交通与运营管理 .......................................................................... （128）</w:t>
      </w:r>
    </w:p>
    <w:p>
      <w:pPr>
        <w:ind w:firstLine="480" w:firstLineChars="200"/>
        <w:jc w:val="left"/>
        <w:rPr>
          <w:rFonts w:hint="eastAsia" w:eastAsiaTheme="minorEastAsia"/>
          <w:color w:val="auto"/>
          <w:szCs w:val="32"/>
          <w:lang w:val="en-US" w:eastAsia="zh-CN"/>
        </w:rPr>
      </w:pPr>
      <w:r>
        <w:rPr>
          <w:rFonts w:hint="eastAsia" w:eastAsiaTheme="minorEastAsia"/>
          <w:color w:val="auto"/>
          <w:szCs w:val="32"/>
          <w:lang w:val="en-US" w:eastAsia="zh-CN"/>
        </w:rPr>
        <w:t>8.3 养护管理  ............................................................................................. （128）</w:t>
      </w:r>
    </w:p>
    <w:p>
      <w:pPr>
        <w:ind w:firstLine="480" w:firstLineChars="200"/>
        <w:jc w:val="left"/>
        <w:rPr>
          <w:rFonts w:hint="eastAsia" w:eastAsiaTheme="minorEastAsia"/>
          <w:color w:val="auto"/>
          <w:szCs w:val="32"/>
          <w:lang w:val="en-US" w:eastAsia="zh-CN"/>
        </w:rPr>
      </w:pPr>
      <w:r>
        <w:rPr>
          <w:rFonts w:hint="eastAsia" w:eastAsiaTheme="minorEastAsia"/>
          <w:color w:val="auto"/>
          <w:szCs w:val="32"/>
          <w:lang w:val="en-US" w:eastAsia="zh-CN"/>
        </w:rPr>
        <w:t>8.4 资产管理  ............................................................................................. （129）</w:t>
      </w:r>
    </w:p>
    <w:p>
      <w:pPr>
        <w:ind w:firstLine="480" w:firstLineChars="200"/>
        <w:jc w:val="left"/>
        <w:rPr>
          <w:rFonts w:hint="eastAsia" w:eastAsiaTheme="minorEastAsia"/>
          <w:color w:val="auto"/>
          <w:szCs w:val="32"/>
          <w:lang w:val="en-US" w:eastAsia="zh-CN"/>
        </w:rPr>
      </w:pPr>
      <w:r>
        <w:rPr>
          <w:rFonts w:hint="eastAsia" w:eastAsiaTheme="minorEastAsia"/>
          <w:color w:val="auto"/>
          <w:szCs w:val="32"/>
          <w:lang w:val="en-US" w:eastAsia="zh-CN"/>
        </w:rPr>
        <w:t>8.5 健康监测  ............................................................................................. （129）</w:t>
      </w:r>
      <w:bookmarkStart w:id="117" w:name="_GoBack"/>
      <w:bookmarkEnd w:id="117"/>
    </w:p>
    <w:p>
      <w:pPr>
        <w:rPr>
          <w:rFonts w:hint="eastAsia" w:eastAsia="黑体"/>
          <w:b w:val="0"/>
          <w:bCs/>
          <w:color w:val="auto"/>
          <w:sz w:val="28"/>
          <w:szCs w:val="28"/>
          <w:lang w:val="en-US" w:eastAsia="zh-CN"/>
        </w:rPr>
      </w:pPr>
      <w:r>
        <w:rPr>
          <w:rFonts w:hint="eastAsia" w:eastAsia="黑体"/>
          <w:b w:val="0"/>
          <w:bCs/>
          <w:color w:val="auto"/>
          <w:sz w:val="28"/>
          <w:szCs w:val="28"/>
          <w:lang w:val="en-US" w:eastAsia="zh-CN"/>
        </w:rPr>
        <w:br w:type="page"/>
      </w:r>
    </w:p>
    <w:p>
      <w:pPr>
        <w:pStyle w:val="2"/>
        <w:numPr>
          <w:ilvl w:val="0"/>
          <w:numId w:val="13"/>
        </w:numPr>
        <w:spacing w:before="312" w:after="312"/>
        <w:jc w:val="center"/>
        <w:rPr>
          <w:rFonts w:hint="default"/>
          <w:color w:val="auto"/>
          <w:lang w:val="en-US" w:eastAsia="zh-CN"/>
        </w:rPr>
      </w:pPr>
      <w:r>
        <w:rPr>
          <w:rFonts w:hint="eastAsia"/>
          <w:color w:val="auto"/>
          <w:lang w:val="en-US" w:eastAsia="zh-CN"/>
        </w:rPr>
        <w:t xml:space="preserve">   总则</w:t>
      </w:r>
    </w:p>
    <w:p>
      <w:pPr>
        <w:ind w:firstLine="0" w:firstLineChars="0"/>
        <w:jc w:val="left"/>
        <w:rPr>
          <w:rFonts w:hint="eastAsia" w:eastAsiaTheme="minorEastAsia"/>
          <w:color w:val="auto"/>
          <w:szCs w:val="32"/>
        </w:rPr>
      </w:pPr>
      <w:r>
        <w:rPr>
          <w:rFonts w:eastAsiaTheme="minorEastAsia"/>
          <w:color w:val="auto"/>
          <w:szCs w:val="32"/>
        </w:rPr>
        <w:t>1.0.1</w:t>
      </w:r>
      <w:r>
        <w:rPr>
          <w:rFonts w:hint="eastAsia" w:eastAsiaTheme="minorEastAsia"/>
          <w:color w:val="auto"/>
          <w:szCs w:val="32"/>
          <w:lang w:val="en-US" w:eastAsia="zh-CN"/>
        </w:rPr>
        <w:t xml:space="preserve">  </w:t>
      </w:r>
      <w:r>
        <w:rPr>
          <w:rFonts w:hint="eastAsia" w:eastAsiaTheme="minorEastAsia"/>
          <w:color w:val="auto"/>
          <w:szCs w:val="32"/>
        </w:rPr>
        <w:t>2021年10月，中共中央、国务院印发了《国家标准化发展纲要》，</w:t>
      </w:r>
      <w:r>
        <w:rPr>
          <w:rFonts w:hint="eastAsia" w:eastAsiaTheme="minorEastAsia"/>
          <w:color w:val="auto"/>
          <w:szCs w:val="32"/>
          <w:lang w:val="en-US" w:eastAsia="zh-CN"/>
        </w:rPr>
        <w:t>提出</w:t>
      </w:r>
      <w:r>
        <w:rPr>
          <w:rFonts w:hint="eastAsia" w:eastAsiaTheme="minorEastAsia"/>
          <w:color w:val="auto"/>
          <w:szCs w:val="32"/>
        </w:rPr>
        <w:t>到2025年需要实现“四个转变”，即实现标准供给由政府主导向政府与市场并重转变，标准运用由产业与贸易为主向经济社会全域转变，标准化工作由国内驱动向国内国际相互促进转变，标准化发展由数量规模型向质量效益型转变。标准化将更加有效推动国家综合竞争力提升，促进经济社会高质量发展，在构建新发展格局中发挥更大作用。到2035年，结构优化、先进合理、国际兼容的标准体系更加健全，具有中国特色的标准化管理体制更加完善，市场驱动、政府引导、企业为主、社会参与、开放融合的标准化工作格局全面形成。2023年2月27日，中共中央国务院印发《数字中国建设整体布局规划》指出，建设数字中国是数字时代推进中国式现代化的重要引擎，是构筑国家竞争新优势的有力支撑。</w:t>
      </w:r>
    </w:p>
    <w:p>
      <w:pPr>
        <w:ind w:firstLine="480" w:firstLineChars="200"/>
        <w:jc w:val="left"/>
        <w:rPr>
          <w:rFonts w:hint="eastAsia" w:eastAsiaTheme="minorEastAsia"/>
          <w:color w:val="auto"/>
          <w:szCs w:val="32"/>
        </w:rPr>
      </w:pPr>
      <w:r>
        <w:rPr>
          <w:rFonts w:hint="eastAsia" w:eastAsiaTheme="minorEastAsia"/>
          <w:color w:val="auto"/>
          <w:szCs w:val="32"/>
        </w:rPr>
        <w:t>数字技术的</w:t>
      </w:r>
      <w:r>
        <w:rPr>
          <w:rFonts w:hint="eastAsia" w:eastAsiaTheme="minorEastAsia"/>
          <w:color w:val="auto"/>
          <w:szCs w:val="32"/>
          <w:lang w:val="en-US" w:eastAsia="zh-CN"/>
        </w:rPr>
        <w:t>深入</w:t>
      </w:r>
      <w:r>
        <w:rPr>
          <w:rFonts w:hint="eastAsia" w:eastAsiaTheme="minorEastAsia"/>
          <w:color w:val="auto"/>
          <w:szCs w:val="32"/>
        </w:rPr>
        <w:t>应用，一方面是贯彻执行国家技术经济政策，推进城市道路工程建设领域数字化发展，另一方面可以提高城市道路工程建设企业的生产效率与经济效益。为有效发挥标准的引导和约束作用，本标准对城市道路工程信息模型应用及其与城市信息模型需求对接等方面提出了统一的基本要求。</w:t>
      </w:r>
    </w:p>
    <w:p>
      <w:pPr>
        <w:ind w:firstLine="0" w:firstLineChars="0"/>
        <w:rPr>
          <w:rFonts w:eastAsiaTheme="minorEastAsia"/>
          <w:color w:val="auto"/>
          <w:szCs w:val="32"/>
        </w:rPr>
      </w:pPr>
      <w:r>
        <w:rPr>
          <w:rFonts w:eastAsiaTheme="minorEastAsia"/>
          <w:color w:val="auto"/>
          <w:szCs w:val="32"/>
        </w:rPr>
        <w:t>1.0.2</w:t>
      </w:r>
      <w:r>
        <w:rPr>
          <w:rFonts w:hint="eastAsia" w:eastAsiaTheme="minorEastAsia"/>
          <w:color w:val="auto"/>
          <w:szCs w:val="32"/>
          <w:lang w:val="en-US" w:eastAsia="zh-CN"/>
        </w:rPr>
        <w:t xml:space="preserve">  </w:t>
      </w:r>
      <w:r>
        <w:rPr>
          <w:rFonts w:eastAsiaTheme="minorEastAsia"/>
          <w:color w:val="auto"/>
          <w:szCs w:val="32"/>
        </w:rPr>
        <w:t>数字技术</w:t>
      </w:r>
      <w:r>
        <w:rPr>
          <w:rFonts w:hint="eastAsia" w:eastAsiaTheme="minorEastAsia"/>
          <w:color w:val="auto"/>
          <w:szCs w:val="32"/>
        </w:rPr>
        <w:t>已</w:t>
      </w:r>
      <w:r>
        <w:rPr>
          <w:rFonts w:eastAsiaTheme="minorEastAsia"/>
          <w:color w:val="auto"/>
          <w:szCs w:val="32"/>
        </w:rPr>
        <w:t>广泛应用于建筑工程、城市道路工程、铁路工程、公路工程、港口工程、水利水电工程等工程建设领域。对某一具体的</w:t>
      </w:r>
      <w:r>
        <w:rPr>
          <w:rFonts w:hint="eastAsia" w:eastAsiaTheme="minorEastAsia"/>
          <w:color w:val="auto"/>
          <w:szCs w:val="32"/>
        </w:rPr>
        <w:t>工程建设项目</w:t>
      </w:r>
      <w:r>
        <w:rPr>
          <w:rFonts w:eastAsiaTheme="minorEastAsia"/>
          <w:color w:val="auto"/>
          <w:szCs w:val="32"/>
        </w:rPr>
        <w:t>而言，数字技术</w:t>
      </w:r>
      <w:r>
        <w:rPr>
          <w:rFonts w:hint="eastAsia" w:eastAsiaTheme="minorEastAsia"/>
          <w:color w:val="auto"/>
          <w:szCs w:val="32"/>
        </w:rPr>
        <w:t>也</w:t>
      </w:r>
      <w:r>
        <w:rPr>
          <w:rFonts w:eastAsiaTheme="minorEastAsia"/>
          <w:color w:val="auto"/>
          <w:szCs w:val="32"/>
        </w:rPr>
        <w:t>可以在其全生命期内的各阶段（规划、勘察、设计、施工、运维、拆除等）应用。在不同工程建设领域、不同类型</w:t>
      </w:r>
      <w:r>
        <w:rPr>
          <w:rFonts w:hint="eastAsia" w:eastAsiaTheme="minorEastAsia"/>
          <w:color w:val="auto"/>
          <w:szCs w:val="32"/>
        </w:rPr>
        <w:t>工程建设项目</w:t>
      </w:r>
      <w:r>
        <w:rPr>
          <w:rFonts w:eastAsiaTheme="minorEastAsia"/>
          <w:color w:val="auto"/>
          <w:szCs w:val="32"/>
        </w:rPr>
        <w:t>、项目全生命期不同阶段，可采用不同的数字技术应用方式。本标准对各种城市道路工程信息模型数字技术应用方式提出基本要求，是建立城市道路工程信息模型应用的基础标准。</w:t>
      </w:r>
    </w:p>
    <w:p>
      <w:pPr>
        <w:ind w:firstLine="0" w:firstLineChars="0"/>
        <w:rPr>
          <w:color w:val="auto"/>
        </w:rPr>
      </w:pPr>
      <w:r>
        <w:rPr>
          <w:rFonts w:eastAsiaTheme="minorEastAsia"/>
          <w:color w:val="auto"/>
          <w:szCs w:val="32"/>
        </w:rPr>
        <w:t>1.0.3</w:t>
      </w:r>
      <w:r>
        <w:rPr>
          <w:rFonts w:hint="eastAsia" w:eastAsiaTheme="minorEastAsia"/>
          <w:color w:val="auto"/>
          <w:szCs w:val="32"/>
          <w:lang w:val="en-US" w:eastAsia="zh-CN"/>
        </w:rPr>
        <w:t xml:space="preserve">  </w:t>
      </w:r>
      <w:r>
        <w:rPr>
          <w:rFonts w:eastAsiaTheme="minorEastAsia"/>
          <w:color w:val="auto"/>
          <w:szCs w:val="32"/>
        </w:rPr>
        <w:t>城市道路工程信息模型数字技术应用，不仅要遵守本标准的规定，还应遵守其它数字技术应用标准（如城市道路工程信息模型相关的分类与编码标准、存储标准、交付标准等）、以及国家、行业、地方法律法规和其它专业技术标准的要求。</w:t>
      </w:r>
    </w:p>
    <w:p>
      <w:pPr>
        <w:pStyle w:val="2"/>
        <w:numPr>
          <w:ilvl w:val="0"/>
          <w:numId w:val="13"/>
        </w:numPr>
        <w:spacing w:before="312" w:after="312"/>
        <w:jc w:val="center"/>
        <w:rPr>
          <w:rFonts w:hint="default"/>
          <w:color w:val="auto"/>
          <w:lang w:val="en-US" w:eastAsia="zh-CN"/>
        </w:rPr>
      </w:pPr>
      <w:r>
        <w:rPr>
          <w:rFonts w:hint="eastAsia"/>
          <w:color w:val="auto"/>
          <w:lang w:val="en-US" w:eastAsia="zh-CN"/>
        </w:rPr>
        <w:t xml:space="preserve">   术语和缩略词</w:t>
      </w:r>
    </w:p>
    <w:p>
      <w:pPr>
        <w:pStyle w:val="3"/>
        <w:jc w:val="center"/>
        <w:rPr>
          <w:color w:val="auto"/>
        </w:rPr>
      </w:pPr>
      <w:r>
        <w:rPr>
          <w:rFonts w:hint="eastAsia"/>
          <w:color w:val="auto"/>
        </w:rPr>
        <w:t>2</w:t>
      </w:r>
      <w:r>
        <w:rPr>
          <w:color w:val="auto"/>
        </w:rPr>
        <w:t>.1 术语</w:t>
      </w:r>
    </w:p>
    <w:p>
      <w:pPr>
        <w:ind w:firstLine="0" w:firstLineChars="0"/>
        <w:rPr>
          <w:rFonts w:eastAsiaTheme="minorEastAsia"/>
          <w:color w:val="auto"/>
          <w:szCs w:val="32"/>
        </w:rPr>
      </w:pPr>
      <w:r>
        <w:rPr>
          <w:rFonts w:eastAsiaTheme="minorEastAsia"/>
          <w:color w:val="auto"/>
          <w:szCs w:val="32"/>
        </w:rPr>
        <w:t>2.1.2</w:t>
      </w:r>
      <w:r>
        <w:rPr>
          <w:rFonts w:hint="eastAsia" w:eastAsiaTheme="minorEastAsia"/>
          <w:color w:val="auto"/>
          <w:szCs w:val="32"/>
          <w:lang w:val="en-US" w:eastAsia="zh-CN"/>
        </w:rPr>
        <w:t xml:space="preserve">  </w:t>
      </w:r>
      <w:r>
        <w:rPr>
          <w:rFonts w:hint="eastAsia" w:eastAsiaTheme="minorEastAsia"/>
          <w:color w:val="auto"/>
          <w:szCs w:val="32"/>
        </w:rPr>
        <w:t>城市</w:t>
      </w:r>
      <w:r>
        <w:rPr>
          <w:rFonts w:eastAsiaTheme="minorEastAsia"/>
          <w:color w:val="auto"/>
          <w:szCs w:val="32"/>
        </w:rPr>
        <w:t>道路工程信息模型是</w:t>
      </w:r>
      <w:r>
        <w:rPr>
          <w:rFonts w:hint="eastAsia" w:eastAsiaTheme="minorEastAsia"/>
          <w:color w:val="auto"/>
          <w:szCs w:val="32"/>
        </w:rPr>
        <w:t>B</w:t>
      </w:r>
      <w:r>
        <w:rPr>
          <w:rFonts w:eastAsiaTheme="minorEastAsia"/>
          <w:color w:val="auto"/>
          <w:szCs w:val="32"/>
        </w:rPr>
        <w:t>IM模型概念在城市道路工程领域的扩展应用，都</w:t>
      </w:r>
      <w:r>
        <w:rPr>
          <w:rFonts w:hint="eastAsia" w:eastAsiaTheme="minorEastAsia"/>
          <w:color w:val="auto"/>
          <w:szCs w:val="32"/>
        </w:rPr>
        <w:t>属于</w:t>
      </w:r>
      <w:r>
        <w:rPr>
          <w:rFonts w:eastAsiaTheme="minorEastAsia"/>
          <w:color w:val="auto"/>
          <w:szCs w:val="32"/>
        </w:rPr>
        <w:t>数字化技术应用范畴。</w:t>
      </w:r>
    </w:p>
    <w:p>
      <w:pPr>
        <w:ind w:firstLine="480" w:firstLineChars="200"/>
        <w:jc w:val="left"/>
        <w:rPr>
          <w:rFonts w:hint="eastAsia" w:eastAsiaTheme="minorEastAsia"/>
          <w:color w:val="auto"/>
          <w:szCs w:val="32"/>
        </w:rPr>
      </w:pPr>
      <w:r>
        <w:rPr>
          <w:rFonts w:hint="eastAsia" w:eastAsiaTheme="minorEastAsia"/>
          <w:color w:val="auto"/>
          <w:szCs w:val="32"/>
        </w:rPr>
        <w:t>在“BIM”术语中，“BIM”可以指代“building information modeling”、“building information model”、“building information management”三个相互独立且彼此联系的概念。building information model，是建设工程（如建筑、桥梁、道路）及其设施的物理和功能特性的数字化表达，可以作为该工程建设项目相关信息的共享知识资源，为项目全生命期内的各种决策提供可靠的信息支持。 building information modeling，是创建和利用工程建设项目数据在其全生命期内进行设计、施工和运营的业务过程，允许所有项目相关方通过不同技术平台之间的数据互用在同一时间利用相同的信息。building information management，是使用模型内的信息支持工程建设项目全生命期信息共享的业务流程的组织和控制，其效益包括集中和可视化沟通、更早进行多方案比较、可持续性分析、高效设计、多专业集成、施工现场控制、竣工资料记录等。</w:t>
      </w:r>
    </w:p>
    <w:p>
      <w:pPr>
        <w:ind w:firstLine="480" w:firstLineChars="200"/>
        <w:jc w:val="left"/>
        <w:rPr>
          <w:rFonts w:hint="eastAsia" w:eastAsiaTheme="minorEastAsia"/>
          <w:color w:val="auto"/>
          <w:szCs w:val="32"/>
        </w:rPr>
      </w:pPr>
      <w:r>
        <w:rPr>
          <w:rFonts w:hint="eastAsia" w:eastAsiaTheme="minorEastAsia"/>
          <w:color w:val="auto"/>
          <w:szCs w:val="32"/>
        </w:rPr>
        <w:t>在本标准中，城市道路工程信息模型也沿用BIM的上述三个概念，将城市道路工程信息模型的创建、使用和管理统称为“城市道路工程信息模型应用”，简称“模型应用”。单提“模型”时，类似指“building information model”。</w:t>
      </w:r>
    </w:p>
    <w:p>
      <w:pPr>
        <w:ind w:firstLine="480" w:firstLineChars="200"/>
        <w:jc w:val="left"/>
        <w:rPr>
          <w:rFonts w:hint="eastAsia" w:eastAsiaTheme="minorEastAsia"/>
          <w:color w:val="auto"/>
          <w:szCs w:val="32"/>
        </w:rPr>
      </w:pPr>
      <w:r>
        <w:rPr>
          <w:rFonts w:hint="eastAsia" w:eastAsiaTheme="minorEastAsia"/>
          <w:color w:val="auto"/>
          <w:szCs w:val="32"/>
        </w:rPr>
        <w:t>城市道路工程信息模型包括城市道路工程勘察信息模型、城市道路工程前期设计方案信息模型、城市道路工程设计信息模型、城市道路工程施工信息模型以及城市道路工程运维信息模型等，在本标准中分别简称“勘察信息模型”、“设计方案模型”、“设计信息模型”、 “施工信息模型”以及“运维信息模型”。</w:t>
      </w:r>
    </w:p>
    <w:p>
      <w:pPr>
        <w:ind w:firstLine="0" w:firstLineChars="0"/>
        <w:rPr>
          <w:color w:val="auto"/>
        </w:rPr>
      </w:pPr>
      <w:r>
        <w:rPr>
          <w:rFonts w:eastAsiaTheme="minorEastAsia"/>
          <w:color w:val="auto"/>
          <w:szCs w:val="32"/>
        </w:rPr>
        <w:t>2.1.3</w:t>
      </w:r>
      <w:r>
        <w:rPr>
          <w:rFonts w:hint="eastAsia" w:eastAsiaTheme="minorEastAsia"/>
          <w:color w:val="auto"/>
          <w:szCs w:val="32"/>
          <w:lang w:val="en-US" w:eastAsia="zh-CN"/>
        </w:rPr>
        <w:t xml:space="preserve">  </w:t>
      </w:r>
      <w:r>
        <w:rPr>
          <w:rFonts w:eastAsiaTheme="minorEastAsia"/>
          <w:color w:val="auto"/>
          <w:szCs w:val="32"/>
        </w:rPr>
        <w:t>在本标准中，“模型”是指“</w:t>
      </w:r>
      <w:r>
        <w:rPr>
          <w:rFonts w:hint="eastAsia" w:eastAsiaTheme="minorEastAsia"/>
          <w:color w:val="auto"/>
          <w:szCs w:val="32"/>
        </w:rPr>
        <w:t>城市</w:t>
      </w:r>
      <w:r>
        <w:rPr>
          <w:rFonts w:eastAsiaTheme="minorEastAsia"/>
          <w:color w:val="auto"/>
          <w:szCs w:val="32"/>
        </w:rPr>
        <w:t>道路工程信息模型”与“</w:t>
      </w:r>
      <w:r>
        <w:rPr>
          <w:rFonts w:hint="eastAsia" w:eastAsiaTheme="minorEastAsia"/>
          <w:color w:val="auto"/>
          <w:szCs w:val="32"/>
        </w:rPr>
        <w:t>城市</w:t>
      </w:r>
      <w:r>
        <w:rPr>
          <w:rFonts w:eastAsiaTheme="minorEastAsia"/>
          <w:color w:val="auto"/>
          <w:szCs w:val="32"/>
        </w:rPr>
        <w:t>道路工程信息模型子模型”的统称。当单独表述“</w:t>
      </w:r>
      <w:r>
        <w:rPr>
          <w:rFonts w:hint="eastAsia" w:eastAsiaTheme="minorEastAsia"/>
          <w:color w:val="auto"/>
          <w:szCs w:val="32"/>
        </w:rPr>
        <w:t>城市</w:t>
      </w:r>
      <w:r>
        <w:rPr>
          <w:rFonts w:eastAsiaTheme="minorEastAsia"/>
          <w:color w:val="auto"/>
          <w:szCs w:val="32"/>
        </w:rPr>
        <w:t>道路工程信息模型子模型”时，则采用“子模型”作为简称。</w:t>
      </w:r>
    </w:p>
    <w:p>
      <w:pPr>
        <w:ind w:firstLine="0" w:firstLineChars="0"/>
        <w:rPr>
          <w:color w:val="auto"/>
        </w:rPr>
      </w:pPr>
      <w:r>
        <w:rPr>
          <w:rFonts w:eastAsiaTheme="minorEastAsia"/>
          <w:color w:val="auto"/>
          <w:szCs w:val="32"/>
        </w:rPr>
        <w:t>2.1.4</w:t>
      </w:r>
      <w:r>
        <w:rPr>
          <w:rFonts w:hint="eastAsia" w:eastAsiaTheme="minorEastAsia"/>
          <w:color w:val="auto"/>
          <w:szCs w:val="32"/>
          <w:lang w:val="en-US" w:eastAsia="zh-CN"/>
        </w:rPr>
        <w:t xml:space="preserve">  </w:t>
      </w:r>
      <w:r>
        <w:rPr>
          <w:rFonts w:eastAsiaTheme="minorEastAsia"/>
          <w:color w:val="auto"/>
          <w:szCs w:val="32"/>
        </w:rPr>
        <w:t>勘察信息模型</w:t>
      </w:r>
      <w:r>
        <w:rPr>
          <w:rFonts w:hint="eastAsia" w:eastAsiaTheme="minorEastAsia"/>
          <w:color w:val="auto"/>
          <w:szCs w:val="32"/>
        </w:rPr>
        <w:t>可分类城市</w:t>
      </w:r>
      <w:r>
        <w:rPr>
          <w:rFonts w:eastAsiaTheme="minorEastAsia"/>
          <w:color w:val="auto"/>
          <w:szCs w:val="32"/>
        </w:rPr>
        <w:t>道路工程</w:t>
      </w:r>
      <w:r>
        <w:rPr>
          <w:rFonts w:hint="eastAsia" w:eastAsiaTheme="minorEastAsia"/>
          <w:color w:val="auto"/>
          <w:szCs w:val="32"/>
        </w:rPr>
        <w:t>地表信息模型、城市</w:t>
      </w:r>
      <w:r>
        <w:rPr>
          <w:rFonts w:eastAsiaTheme="minorEastAsia"/>
          <w:color w:val="auto"/>
          <w:szCs w:val="32"/>
        </w:rPr>
        <w:t>道路工程地质信息模型以及</w:t>
      </w:r>
      <w:r>
        <w:rPr>
          <w:rFonts w:hint="eastAsia" w:eastAsiaTheme="minorEastAsia"/>
          <w:color w:val="auto"/>
          <w:szCs w:val="32"/>
        </w:rPr>
        <w:t>城市</w:t>
      </w:r>
      <w:r>
        <w:rPr>
          <w:rFonts w:eastAsiaTheme="minorEastAsia"/>
          <w:color w:val="auto"/>
          <w:szCs w:val="32"/>
        </w:rPr>
        <w:t>道路工程岩土工程设计信息模型等几类。</w:t>
      </w:r>
    </w:p>
    <w:p>
      <w:pPr>
        <w:ind w:firstLine="0" w:firstLineChars="0"/>
        <w:rPr>
          <w:color w:val="auto"/>
        </w:rPr>
      </w:pPr>
      <w:r>
        <w:rPr>
          <w:rFonts w:eastAsiaTheme="minorEastAsia"/>
          <w:color w:val="auto"/>
          <w:szCs w:val="32"/>
        </w:rPr>
        <w:t>2.1.5</w:t>
      </w:r>
      <w:r>
        <w:rPr>
          <w:rFonts w:hint="eastAsia" w:eastAsiaTheme="minorEastAsia"/>
          <w:color w:val="auto"/>
          <w:szCs w:val="32"/>
          <w:lang w:val="en-US" w:eastAsia="zh-CN"/>
        </w:rPr>
        <w:t xml:space="preserve">  </w:t>
      </w:r>
      <w:r>
        <w:rPr>
          <w:rFonts w:hint="eastAsia" w:eastAsiaTheme="minorEastAsia"/>
          <w:color w:val="auto"/>
          <w:szCs w:val="32"/>
        </w:rPr>
        <w:t>城市</w:t>
      </w:r>
      <w:r>
        <w:rPr>
          <w:rFonts w:eastAsiaTheme="minorEastAsia"/>
          <w:color w:val="auto"/>
          <w:szCs w:val="32"/>
        </w:rPr>
        <w:t>道路工程信息模型元素是指</w:t>
      </w:r>
      <w:r>
        <w:rPr>
          <w:rFonts w:hint="eastAsia" w:eastAsiaTheme="minorEastAsia"/>
          <w:color w:val="auto"/>
          <w:szCs w:val="32"/>
        </w:rPr>
        <w:t>工程建设项目</w:t>
      </w:r>
      <w:r>
        <w:rPr>
          <w:rFonts w:eastAsiaTheme="minorEastAsia"/>
          <w:color w:val="auto"/>
          <w:szCs w:val="32"/>
        </w:rPr>
        <w:t>的实际构件</w:t>
      </w:r>
      <w:r>
        <w:rPr>
          <w:rFonts w:hint="eastAsia" w:eastAsiaTheme="minorEastAsia"/>
          <w:color w:val="auto"/>
          <w:szCs w:val="32"/>
          <w:lang w:val="en-US" w:eastAsia="zh-CN"/>
        </w:rPr>
        <w:t>单元</w:t>
      </w:r>
      <w:r>
        <w:rPr>
          <w:rFonts w:eastAsiaTheme="minorEastAsia"/>
          <w:color w:val="auto"/>
          <w:szCs w:val="32"/>
        </w:rPr>
        <w:t>、部件（如道路路基、路面、边沟、主梁、墩柱、基础、管线、预埋件等</w:t>
      </w:r>
      <w:r>
        <w:rPr>
          <w:rFonts w:hint="eastAsia" w:eastAsiaTheme="minorEastAsia"/>
          <w:color w:val="auto"/>
          <w:szCs w:val="32"/>
          <w:lang w:val="en-US" w:eastAsia="zh-CN"/>
        </w:rPr>
        <w:t>单独构件单元</w:t>
      </w:r>
      <w:r>
        <w:rPr>
          <w:rFonts w:eastAsiaTheme="minorEastAsia"/>
          <w:color w:val="auto"/>
          <w:szCs w:val="32"/>
        </w:rPr>
        <w:t>）的几何信息（如构件的大小、形状和空间位置等）、非几何信息（如构件类型、材料属性、荷载属性等）以及过程、资源等组成模型的各种内容。</w:t>
      </w:r>
    </w:p>
    <w:p>
      <w:pPr>
        <w:ind w:firstLine="0" w:firstLineChars="0"/>
        <w:rPr>
          <w:color w:val="auto"/>
        </w:rPr>
      </w:pPr>
      <w:r>
        <w:rPr>
          <w:rFonts w:eastAsiaTheme="minorEastAsia"/>
          <w:color w:val="auto"/>
          <w:szCs w:val="32"/>
        </w:rPr>
        <w:t>2.1.6</w:t>
      </w:r>
      <w:r>
        <w:rPr>
          <w:rFonts w:hint="eastAsia" w:eastAsiaTheme="minorEastAsia"/>
          <w:color w:val="auto"/>
          <w:szCs w:val="32"/>
          <w:lang w:val="en-US" w:eastAsia="zh-CN"/>
        </w:rPr>
        <w:t xml:space="preserve">  </w:t>
      </w:r>
      <w:r>
        <w:rPr>
          <w:rFonts w:eastAsiaTheme="minorEastAsia"/>
          <w:color w:val="auto"/>
          <w:szCs w:val="32"/>
        </w:rPr>
        <w:t>在</w:t>
      </w:r>
      <w:r>
        <w:rPr>
          <w:rFonts w:hint="eastAsia" w:eastAsiaTheme="minorEastAsia"/>
          <w:color w:val="auto"/>
          <w:szCs w:val="32"/>
        </w:rPr>
        <w:t>城市道路工程</w:t>
      </w:r>
      <w:r>
        <w:rPr>
          <w:rFonts w:eastAsiaTheme="minorEastAsia"/>
          <w:color w:val="auto"/>
          <w:szCs w:val="32"/>
        </w:rPr>
        <w:t>构筑物全生命期内，对其自身全部特征的描述，包含几何信息及非几何信息以及项目相关信息等。</w:t>
      </w:r>
    </w:p>
    <w:p>
      <w:pPr>
        <w:ind w:firstLine="0" w:firstLineChars="0"/>
        <w:rPr>
          <w:b/>
          <w:i/>
          <w:color w:val="auto"/>
        </w:rPr>
      </w:pPr>
      <w:r>
        <w:rPr>
          <w:rFonts w:eastAsiaTheme="minorEastAsia"/>
          <w:color w:val="auto"/>
          <w:szCs w:val="32"/>
        </w:rPr>
        <w:t>2.1.7</w:t>
      </w:r>
      <w:r>
        <w:rPr>
          <w:rFonts w:hint="eastAsia" w:eastAsiaTheme="minorEastAsia"/>
          <w:color w:val="auto"/>
          <w:szCs w:val="32"/>
          <w:lang w:val="en-US" w:eastAsia="zh-CN"/>
        </w:rPr>
        <w:t xml:space="preserve">  </w:t>
      </w:r>
      <w:r>
        <w:rPr>
          <w:rFonts w:eastAsiaTheme="minorEastAsia"/>
          <w:color w:val="auto"/>
          <w:szCs w:val="32"/>
        </w:rPr>
        <w:t>除相应的模型文件外，还应包括交付物清单、交付物成果使用说明等文件。</w:t>
      </w:r>
    </w:p>
    <w:p>
      <w:pPr>
        <w:ind w:firstLine="0" w:firstLineChars="0"/>
        <w:rPr>
          <w:b/>
          <w:i/>
          <w:color w:val="auto"/>
        </w:rPr>
      </w:pPr>
      <w:r>
        <w:rPr>
          <w:rFonts w:eastAsiaTheme="minorEastAsia"/>
          <w:color w:val="auto"/>
          <w:szCs w:val="32"/>
        </w:rPr>
        <w:t>2.1.8</w:t>
      </w:r>
      <w:r>
        <w:rPr>
          <w:rFonts w:hint="eastAsia" w:eastAsiaTheme="minorEastAsia"/>
          <w:color w:val="auto"/>
          <w:szCs w:val="32"/>
          <w:lang w:val="en-US" w:eastAsia="zh-CN"/>
        </w:rPr>
        <w:t xml:space="preserve">  </w:t>
      </w:r>
      <w:r>
        <w:rPr>
          <w:rFonts w:eastAsiaTheme="minorEastAsia"/>
          <w:color w:val="auto"/>
          <w:szCs w:val="32"/>
        </w:rPr>
        <w:t>协同主要包括</w:t>
      </w:r>
      <w:r>
        <w:rPr>
          <w:rFonts w:hint="eastAsia" w:eastAsiaTheme="minorEastAsia"/>
          <w:color w:val="auto"/>
          <w:szCs w:val="32"/>
        </w:rPr>
        <w:t>城市</w:t>
      </w:r>
      <w:r>
        <w:rPr>
          <w:rFonts w:eastAsiaTheme="minorEastAsia"/>
          <w:color w:val="auto"/>
          <w:szCs w:val="32"/>
        </w:rPr>
        <w:t>道路</w:t>
      </w:r>
      <w:r>
        <w:rPr>
          <w:rFonts w:hint="eastAsia" w:eastAsiaTheme="minorEastAsia"/>
          <w:color w:val="auto"/>
          <w:szCs w:val="32"/>
        </w:rPr>
        <w:t>工程建设项目</w:t>
      </w:r>
      <w:r>
        <w:rPr>
          <w:rFonts w:eastAsiaTheme="minorEastAsia"/>
          <w:color w:val="auto"/>
          <w:szCs w:val="32"/>
        </w:rPr>
        <w:t>参与方之间的协同、各参与方内部不同角色之间的协同以及上下游阶段之间的数据传递与交换等活动。</w:t>
      </w:r>
    </w:p>
    <w:p>
      <w:pPr>
        <w:ind w:firstLine="0" w:firstLineChars="0"/>
        <w:rPr>
          <w:b/>
          <w:i/>
          <w:color w:val="auto"/>
        </w:rPr>
      </w:pPr>
      <w:r>
        <w:rPr>
          <w:rFonts w:eastAsiaTheme="minorEastAsia"/>
          <w:color w:val="auto"/>
          <w:szCs w:val="32"/>
        </w:rPr>
        <w:t>2.1.9</w:t>
      </w:r>
      <w:r>
        <w:rPr>
          <w:rFonts w:hint="eastAsia" w:eastAsiaTheme="minorEastAsia"/>
          <w:color w:val="auto"/>
          <w:szCs w:val="32"/>
          <w:lang w:eastAsia="zh-CN"/>
        </w:rPr>
        <w:t xml:space="preserve"> </w:t>
      </w:r>
      <w:r>
        <w:rPr>
          <w:rFonts w:hint="eastAsia" w:eastAsiaTheme="minorEastAsia"/>
          <w:color w:val="auto"/>
          <w:szCs w:val="32"/>
          <w:lang w:val="en-US" w:eastAsia="zh-CN"/>
        </w:rPr>
        <w:t xml:space="preserve"> </w:t>
      </w:r>
      <w:r>
        <w:rPr>
          <w:rFonts w:eastAsiaTheme="minorEastAsia"/>
          <w:color w:val="auto"/>
          <w:szCs w:val="32"/>
        </w:rPr>
        <w:t>在</w:t>
      </w:r>
      <w:r>
        <w:rPr>
          <w:rFonts w:hint="eastAsia" w:eastAsiaTheme="minorEastAsia"/>
          <w:color w:val="auto"/>
          <w:szCs w:val="32"/>
        </w:rPr>
        <w:t>I</w:t>
      </w:r>
      <w:r>
        <w:rPr>
          <w:rFonts w:eastAsiaTheme="minorEastAsia"/>
          <w:color w:val="auto"/>
          <w:szCs w:val="32"/>
        </w:rPr>
        <w:t>FC构架中，功能空间和产品（部品）在物理世界中体现为“工程对象”，映射在建筑信息模型数字化环境中体现为“模型单元”。同时，模型单元体现了模型的单元化架构组织，即由项目级、功能级、构件级和零件级单元嵌套组成，而不是各类模型散乱的堆砌。模型单元</w:t>
      </w:r>
      <w:r>
        <w:rPr>
          <w:rFonts w:hint="eastAsia" w:eastAsiaTheme="minorEastAsia"/>
          <w:color w:val="auto"/>
          <w:szCs w:val="32"/>
        </w:rPr>
        <w:t>包括</w:t>
      </w:r>
      <w:r>
        <w:rPr>
          <w:rFonts w:eastAsiaTheme="minorEastAsia"/>
          <w:color w:val="auto"/>
          <w:szCs w:val="32"/>
        </w:rPr>
        <w:t>实体</w:t>
      </w:r>
      <w:r>
        <w:rPr>
          <w:rFonts w:hint="eastAsia" w:eastAsiaTheme="minorEastAsia"/>
          <w:color w:val="auto"/>
          <w:szCs w:val="32"/>
        </w:rPr>
        <w:t>、</w:t>
      </w:r>
      <w:r>
        <w:rPr>
          <w:rFonts w:eastAsiaTheme="minorEastAsia"/>
          <w:color w:val="auto"/>
          <w:szCs w:val="32"/>
        </w:rPr>
        <w:t>属性及关联信息等几个维度上体现描述能力，如桥梁的主梁，主梁本身为实体，其相应的几何尺寸、材质、单价等均为属性</w:t>
      </w:r>
      <w:r>
        <w:rPr>
          <w:rFonts w:hint="eastAsia" w:eastAsiaTheme="minorEastAsia"/>
          <w:color w:val="auto"/>
          <w:szCs w:val="32"/>
        </w:rPr>
        <w:t>，</w:t>
      </w:r>
      <w:r>
        <w:rPr>
          <w:rFonts w:eastAsiaTheme="minorEastAsia"/>
          <w:color w:val="auto"/>
          <w:szCs w:val="32"/>
        </w:rPr>
        <w:t>主梁与桥面系及下部结构的相对空间关系等为关联信息。</w:t>
      </w:r>
    </w:p>
    <w:p>
      <w:pPr>
        <w:ind w:firstLine="0" w:firstLineChars="0"/>
        <w:rPr>
          <w:b/>
          <w:i/>
          <w:color w:val="auto"/>
        </w:rPr>
      </w:pPr>
      <w:r>
        <w:rPr>
          <w:rFonts w:eastAsiaTheme="minorEastAsia"/>
          <w:color w:val="auto"/>
          <w:szCs w:val="32"/>
        </w:rPr>
        <w:t>2.1.10</w:t>
      </w:r>
      <w:r>
        <w:rPr>
          <w:rFonts w:hint="eastAsia" w:eastAsiaTheme="minorEastAsia"/>
          <w:color w:val="auto"/>
          <w:szCs w:val="32"/>
          <w:lang w:eastAsia="zh-CN"/>
        </w:rPr>
        <w:t xml:space="preserve">  </w:t>
      </w:r>
      <w:r>
        <w:rPr>
          <w:rFonts w:eastAsiaTheme="minorEastAsia"/>
          <w:color w:val="auto"/>
          <w:szCs w:val="32"/>
        </w:rPr>
        <w:t>在分解模型单元时，不同的工程应用需求会产生不同的分解方式，另外随着工程阶段的发展，对构筑物的描述趋于丰富和详尽。模型单元也趋于细微，从而产生“最小模型单元”的概念。最小模型单元体现了信息模型描述设计信息的细致程度。</w:t>
      </w:r>
    </w:p>
    <w:p>
      <w:pPr>
        <w:ind w:firstLine="0" w:firstLineChars="0"/>
        <w:rPr>
          <w:b/>
          <w:i/>
          <w:color w:val="auto"/>
        </w:rPr>
      </w:pPr>
      <w:r>
        <w:rPr>
          <w:rFonts w:eastAsiaTheme="minorEastAsia"/>
          <w:color w:val="auto"/>
          <w:szCs w:val="32"/>
        </w:rPr>
        <w:t>2.1.1</w:t>
      </w:r>
      <w:r>
        <w:rPr>
          <w:rFonts w:hint="eastAsia" w:eastAsiaTheme="minorEastAsia"/>
          <w:color w:val="auto"/>
          <w:szCs w:val="32"/>
        </w:rPr>
        <w:t>1</w:t>
      </w:r>
      <w:r>
        <w:rPr>
          <w:rFonts w:hint="eastAsia" w:eastAsiaTheme="minorEastAsia"/>
          <w:color w:val="auto"/>
          <w:szCs w:val="32"/>
          <w:lang w:eastAsia="zh-CN"/>
        </w:rPr>
        <w:t xml:space="preserve">  </w:t>
      </w:r>
      <w:r>
        <w:rPr>
          <w:rFonts w:eastAsiaTheme="minorEastAsia"/>
          <w:color w:val="auto"/>
          <w:szCs w:val="32"/>
        </w:rPr>
        <w:t>元数据是描述其它数据的数据，或者说是用于提供某种资源的有关信息的结构数据。元数据是描述信息资源或数据等对象的数据，其使用目的在于：识别资源；评价资源；追踪资源在使用过程中的变化；实现简单高效地管理大量网络化数据；实现信息资源的有效发现、查找、一体化组织和对使用资源的有效管理</w:t>
      </w:r>
      <w:r>
        <w:rPr>
          <w:rFonts w:hint="eastAsia" w:eastAsiaTheme="minorEastAsia"/>
          <w:color w:val="auto"/>
          <w:szCs w:val="32"/>
        </w:rPr>
        <w:t>等</w:t>
      </w:r>
      <w:r>
        <w:rPr>
          <w:rFonts w:eastAsiaTheme="minorEastAsia"/>
          <w:color w:val="auto"/>
          <w:szCs w:val="32"/>
        </w:rPr>
        <w:t>。</w:t>
      </w:r>
    </w:p>
    <w:p>
      <w:pPr>
        <w:ind w:firstLine="0" w:firstLineChars="0"/>
        <w:rPr>
          <w:b/>
          <w:i/>
          <w:color w:val="auto"/>
        </w:rPr>
      </w:pPr>
      <w:r>
        <w:rPr>
          <w:rFonts w:eastAsiaTheme="minorEastAsia"/>
          <w:color w:val="auto"/>
          <w:szCs w:val="32"/>
        </w:rPr>
        <w:t>2.1.1</w:t>
      </w:r>
      <w:r>
        <w:rPr>
          <w:rFonts w:hint="eastAsia" w:eastAsiaTheme="minorEastAsia"/>
          <w:color w:val="auto"/>
          <w:szCs w:val="32"/>
        </w:rPr>
        <w:t>2</w:t>
      </w:r>
      <w:r>
        <w:rPr>
          <w:rFonts w:hint="eastAsia" w:eastAsiaTheme="minorEastAsia"/>
          <w:color w:val="auto"/>
          <w:szCs w:val="32"/>
          <w:lang w:eastAsia="zh-CN"/>
        </w:rPr>
        <w:t xml:space="preserve">  </w:t>
      </w:r>
      <w:r>
        <w:rPr>
          <w:rFonts w:hint="eastAsia" w:eastAsiaTheme="minorEastAsia"/>
          <w:color w:val="auto"/>
          <w:szCs w:val="32"/>
        </w:rPr>
        <w:t>模型精细度是全球通行的衡量信息模型完备程度的指标。但如何定义模型精细度，当前并没有共识。Level of Development简称LOD，概念起源于美国，由美国建筑师协会(AIA)等组织根据工程阶段特点划分为LOD100、200、300、400 乃至500。然而由于版权关系，其他多数国家采用不同的说法。如英国标准BS1192 采用了Level of Definition。本标准采用 Level of Model Definition，日常使用时，也可简称为LOD。在项目应用过程中，亦可采用信息需求水平代替模型精细度。信息需求水平包含了模型精细度要求。</w:t>
      </w:r>
    </w:p>
    <w:p>
      <w:pPr>
        <w:ind w:firstLine="0" w:firstLineChars="0"/>
        <w:rPr>
          <w:b/>
          <w:i/>
          <w:color w:val="auto"/>
        </w:rPr>
      </w:pPr>
      <w:r>
        <w:rPr>
          <w:rFonts w:eastAsiaTheme="minorEastAsia"/>
          <w:color w:val="auto"/>
          <w:szCs w:val="32"/>
        </w:rPr>
        <w:t>2.1.1</w:t>
      </w:r>
      <w:r>
        <w:rPr>
          <w:rFonts w:hint="eastAsia" w:eastAsiaTheme="minorEastAsia"/>
          <w:color w:val="auto"/>
          <w:szCs w:val="32"/>
        </w:rPr>
        <w:t>3</w:t>
      </w:r>
      <w:r>
        <w:rPr>
          <w:rFonts w:hint="eastAsia" w:eastAsiaTheme="minorEastAsia"/>
          <w:color w:val="auto"/>
          <w:szCs w:val="32"/>
          <w:lang w:eastAsia="zh-CN"/>
        </w:rPr>
        <w:t xml:space="preserve">  </w:t>
      </w:r>
      <w:r>
        <w:rPr>
          <w:rFonts w:hint="eastAsia" w:eastAsiaTheme="minorEastAsia"/>
          <w:color w:val="auto"/>
          <w:szCs w:val="32"/>
        </w:rPr>
        <w:t>体现模型单元在视觉呈现上的描述能力。基于目前的软硬件技术，并结合工程实际需求，信息模型无法也没有必要表达出构件或产品的全部几何变化真实细节。应根据应用需求，选择适当的几何表达精度等级。几何精度等级也可简称为Gx。</w:t>
      </w:r>
    </w:p>
    <w:p>
      <w:pPr>
        <w:ind w:firstLine="0" w:firstLineChars="0"/>
        <w:rPr>
          <w:b/>
          <w:i/>
          <w:color w:val="auto"/>
        </w:rPr>
      </w:pPr>
      <w:r>
        <w:rPr>
          <w:rFonts w:eastAsiaTheme="minorEastAsia"/>
          <w:color w:val="auto"/>
          <w:szCs w:val="32"/>
        </w:rPr>
        <w:t>2.1.1</w:t>
      </w:r>
      <w:r>
        <w:rPr>
          <w:rFonts w:hint="eastAsia" w:eastAsiaTheme="minorEastAsia"/>
          <w:color w:val="auto"/>
          <w:szCs w:val="32"/>
        </w:rPr>
        <w:t>4</w:t>
      </w:r>
      <w:r>
        <w:rPr>
          <w:rFonts w:hint="eastAsia" w:eastAsiaTheme="minorEastAsia"/>
          <w:color w:val="auto"/>
          <w:szCs w:val="32"/>
          <w:lang w:eastAsia="zh-CN"/>
        </w:rPr>
        <w:t xml:space="preserve">  </w:t>
      </w:r>
      <w:r>
        <w:rPr>
          <w:rFonts w:hint="eastAsia" w:eastAsiaTheme="minorEastAsia"/>
          <w:color w:val="auto"/>
          <w:szCs w:val="32"/>
        </w:rPr>
        <w:t>信息是模型单元最重要的特征。信息随着工程阶段的推进而逐步丰富。应根据应用需求，选择适当的信息深度等级。信息深度等级也可简称为Nx。</w:t>
      </w:r>
    </w:p>
    <w:p>
      <w:pPr>
        <w:adjustRightInd w:val="0"/>
        <w:snapToGrid w:val="0"/>
        <w:ind w:firstLine="0" w:firstLineChars="0"/>
        <w:rPr>
          <w:rFonts w:eastAsiaTheme="minorEastAsia"/>
          <w:color w:val="auto"/>
          <w:szCs w:val="32"/>
        </w:rPr>
      </w:pPr>
      <w:r>
        <w:rPr>
          <w:rFonts w:eastAsiaTheme="minorEastAsia"/>
          <w:color w:val="auto"/>
          <w:szCs w:val="32"/>
        </w:rPr>
        <w:t>2.1.1</w:t>
      </w:r>
      <w:r>
        <w:rPr>
          <w:rFonts w:hint="eastAsia" w:eastAsiaTheme="minorEastAsia"/>
          <w:color w:val="auto"/>
          <w:szCs w:val="32"/>
        </w:rPr>
        <w:t>5</w:t>
      </w:r>
      <w:r>
        <w:rPr>
          <w:rFonts w:hint="eastAsia" w:eastAsiaTheme="minorEastAsia"/>
          <w:color w:val="auto"/>
          <w:szCs w:val="32"/>
          <w:lang w:eastAsia="zh-CN"/>
        </w:rPr>
        <w:t xml:space="preserve">  </w:t>
      </w:r>
      <w:r>
        <w:rPr>
          <w:rFonts w:hint="eastAsia" w:eastAsiaTheme="minorEastAsia"/>
          <w:color w:val="auto"/>
          <w:szCs w:val="32"/>
        </w:rPr>
        <w:t>在资产管理和项目交付期间，应使用CDE解决方案和工作流程来管理信息。CDE解决方案同时具备管理信息容器属性和元数据的数据库管理能力，以及向团队成员发布更新通知和维护信息处理的审计跟踪的传输能力。整个信息模型并不总是存储在同一个地方，特别是对于大型或复杂的资产或项目，或团队非常分散时。基于信息容器的协同工作允许CDE工作流程采用分布式存储在不同的计算机系统或技术平台上。</w:t>
      </w:r>
    </w:p>
    <w:p>
      <w:pPr>
        <w:adjustRightInd w:val="0"/>
        <w:snapToGrid w:val="0"/>
        <w:ind w:firstLine="480"/>
        <w:rPr>
          <w:rFonts w:eastAsiaTheme="minorEastAsia"/>
          <w:color w:val="auto"/>
          <w:szCs w:val="32"/>
        </w:rPr>
      </w:pPr>
      <w:r>
        <w:rPr>
          <w:rFonts w:hint="eastAsia" w:eastAsiaTheme="minorEastAsia"/>
          <w:color w:val="auto"/>
          <w:szCs w:val="32"/>
        </w:rPr>
        <w:t>采用这种CDE解决方案和工作流的优点包括：</w:t>
      </w:r>
    </w:p>
    <w:p>
      <w:pPr>
        <w:adjustRightInd w:val="0"/>
        <w:snapToGrid w:val="0"/>
        <w:ind w:firstLine="480"/>
        <w:rPr>
          <w:rFonts w:eastAsiaTheme="minorEastAsia"/>
          <w:color w:val="auto"/>
          <w:szCs w:val="32"/>
        </w:rPr>
      </w:pPr>
      <w:r>
        <w:rPr>
          <w:rFonts w:hint="eastAsia" w:eastAsiaTheme="minorEastAsia"/>
          <w:color w:val="auto"/>
          <w:szCs w:val="32"/>
        </w:rPr>
        <w:t>1</w:t>
      </w:r>
      <w:r>
        <w:rPr>
          <w:rFonts w:eastAsiaTheme="minorEastAsia"/>
          <w:color w:val="auto"/>
          <w:szCs w:val="32"/>
        </w:rPr>
        <w:t xml:space="preserve"> </w:t>
      </w:r>
      <w:r>
        <w:rPr>
          <w:rFonts w:hint="eastAsia" w:eastAsiaTheme="minorEastAsia"/>
          <w:color w:val="auto"/>
          <w:szCs w:val="32"/>
        </w:rPr>
        <w:t>每个信息容器中的信息责任仍由生产该信息的组织承担，尽管只有在该组织允许更改其信息内容时才能共享和重用该信息；</w:t>
      </w:r>
    </w:p>
    <w:p>
      <w:pPr>
        <w:adjustRightInd w:val="0"/>
        <w:snapToGrid w:val="0"/>
        <w:ind w:firstLine="480"/>
        <w:rPr>
          <w:rFonts w:eastAsiaTheme="minorEastAsia"/>
          <w:color w:val="auto"/>
          <w:szCs w:val="32"/>
        </w:rPr>
      </w:pPr>
      <w:r>
        <w:rPr>
          <w:rFonts w:eastAsiaTheme="minorEastAsia"/>
          <w:color w:val="auto"/>
          <w:szCs w:val="32"/>
        </w:rPr>
        <w:t xml:space="preserve">2 </w:t>
      </w:r>
      <w:r>
        <w:rPr>
          <w:rFonts w:hint="eastAsia" w:eastAsiaTheme="minorEastAsia"/>
          <w:color w:val="auto"/>
          <w:szCs w:val="32"/>
        </w:rPr>
        <w:t>信息容器共享减少了协同信息生产的时间和成本；</w:t>
      </w:r>
    </w:p>
    <w:p>
      <w:pPr>
        <w:adjustRightInd w:val="0"/>
        <w:snapToGrid w:val="0"/>
        <w:ind w:firstLine="480"/>
        <w:rPr>
          <w:rFonts w:eastAsiaTheme="minorEastAsia"/>
          <w:color w:val="auto"/>
          <w:szCs w:val="32"/>
        </w:rPr>
      </w:pPr>
      <w:r>
        <w:rPr>
          <w:rFonts w:eastAsiaTheme="minorEastAsia"/>
          <w:color w:val="auto"/>
          <w:szCs w:val="32"/>
        </w:rPr>
        <w:t xml:space="preserve">3 </w:t>
      </w:r>
      <w:r>
        <w:rPr>
          <w:rFonts w:hint="eastAsia" w:eastAsiaTheme="minorEastAsia"/>
          <w:color w:val="auto"/>
          <w:szCs w:val="32"/>
        </w:rPr>
        <w:t>在每个项目交付和资产管理活动期间和之后，都可以使用信息结果进行完整的审计跟踪。</w:t>
      </w:r>
    </w:p>
    <w:p>
      <w:pPr>
        <w:ind w:firstLine="0" w:firstLineChars="0"/>
        <w:rPr>
          <w:b/>
          <w:i/>
          <w:color w:val="auto"/>
        </w:rPr>
      </w:pPr>
      <w:r>
        <w:rPr>
          <w:rFonts w:eastAsiaTheme="minorEastAsia"/>
          <w:color w:val="auto"/>
          <w:szCs w:val="32"/>
        </w:rPr>
        <w:t>2.1.1</w:t>
      </w:r>
      <w:r>
        <w:rPr>
          <w:rFonts w:hint="eastAsia" w:eastAsiaTheme="minorEastAsia"/>
          <w:color w:val="auto"/>
          <w:szCs w:val="32"/>
        </w:rPr>
        <w:t xml:space="preserve">6 </w:t>
      </w:r>
      <w:r>
        <w:rPr>
          <w:rFonts w:hint="eastAsia" w:eastAsiaTheme="minorEastAsia"/>
          <w:color w:val="auto"/>
          <w:szCs w:val="32"/>
          <w:lang w:eastAsia="zh-CN"/>
        </w:rPr>
        <w:t xml:space="preserve">  </w:t>
      </w:r>
      <w:r>
        <w:rPr>
          <w:rFonts w:hint="eastAsia" w:eastAsiaTheme="minorEastAsia"/>
          <w:color w:val="auto"/>
          <w:szCs w:val="32"/>
        </w:rPr>
        <w:t>模型交付成果的信息需求水平应基于其目的确定，包括适当确定信息的质量、精细度和信息深度等。信息需求水平也会因交付成果目的不同而有所不同。</w:t>
      </w:r>
    </w:p>
    <w:p>
      <w:pPr>
        <w:ind w:firstLine="0" w:firstLineChars="0"/>
        <w:rPr>
          <w:rFonts w:eastAsiaTheme="minorEastAsia"/>
          <w:color w:val="auto"/>
          <w:szCs w:val="32"/>
        </w:rPr>
      </w:pPr>
      <w:r>
        <w:rPr>
          <w:rFonts w:eastAsiaTheme="minorEastAsia"/>
          <w:color w:val="auto"/>
          <w:szCs w:val="32"/>
        </w:rPr>
        <w:t>2.1.1</w:t>
      </w:r>
      <w:r>
        <w:rPr>
          <w:rFonts w:hint="eastAsia" w:eastAsiaTheme="minorEastAsia"/>
          <w:color w:val="auto"/>
          <w:szCs w:val="32"/>
        </w:rPr>
        <w:t xml:space="preserve">7 </w:t>
      </w:r>
      <w:r>
        <w:rPr>
          <w:rFonts w:hint="eastAsia" w:eastAsiaTheme="minorEastAsia"/>
          <w:color w:val="auto"/>
          <w:szCs w:val="32"/>
          <w:lang w:eastAsia="zh-CN"/>
        </w:rPr>
        <w:t xml:space="preserve">  </w:t>
      </w:r>
      <w:r>
        <w:rPr>
          <w:rFonts w:eastAsiaTheme="minorEastAsia"/>
          <w:color w:val="auto"/>
          <w:szCs w:val="32"/>
        </w:rPr>
        <w:t>CIM基础平台是在城市基础地理信息的基础上，建立建筑物、基础设施等三维数字模型，表达和管理城市三维空间的基础平台，是城市规划、建设、管理、运行工作的基础性操作平台，是智慧城市的基础性、关键性和实体性的信息基础设施。</w:t>
      </w:r>
    </w:p>
    <w:p>
      <w:pPr>
        <w:ind w:left="0" w:leftChars="0" w:firstLine="0" w:firstLineChars="0"/>
        <w:rPr>
          <w:rFonts w:hint="eastAsia" w:eastAsiaTheme="minorEastAsia"/>
          <w:b w:val="0"/>
          <w:bCs w:val="0"/>
          <w:color w:val="auto"/>
          <w:szCs w:val="32"/>
        </w:rPr>
      </w:pPr>
    </w:p>
    <w:p>
      <w:pPr>
        <w:ind w:left="0" w:leftChars="0" w:firstLine="0" w:firstLineChars="0"/>
        <w:rPr>
          <w:rFonts w:hint="eastAsia" w:eastAsiaTheme="minorEastAsia"/>
          <w:color w:val="auto"/>
          <w:szCs w:val="32"/>
        </w:rPr>
      </w:pPr>
    </w:p>
    <w:p>
      <w:pPr>
        <w:ind w:left="0" w:leftChars="0" w:firstLine="0" w:firstLineChars="0"/>
        <w:rPr>
          <w:rFonts w:hint="eastAsia" w:eastAsiaTheme="minorEastAsia"/>
          <w:color w:val="auto"/>
          <w:szCs w:val="32"/>
        </w:rPr>
      </w:pPr>
    </w:p>
    <w:p>
      <w:pPr>
        <w:ind w:left="0" w:leftChars="0" w:firstLine="0" w:firstLineChars="0"/>
        <w:rPr>
          <w:rFonts w:hint="eastAsia" w:eastAsiaTheme="minorEastAsia"/>
          <w:color w:val="auto"/>
          <w:szCs w:val="32"/>
        </w:rPr>
      </w:pPr>
    </w:p>
    <w:p>
      <w:pPr>
        <w:ind w:left="0" w:leftChars="0" w:firstLine="0" w:firstLineChars="0"/>
        <w:rPr>
          <w:rFonts w:hint="eastAsia" w:eastAsiaTheme="minorEastAsia"/>
          <w:color w:val="auto"/>
          <w:szCs w:val="32"/>
        </w:rPr>
      </w:pPr>
    </w:p>
    <w:p>
      <w:pPr>
        <w:ind w:left="0" w:leftChars="0" w:firstLine="0" w:firstLineChars="0"/>
        <w:rPr>
          <w:rFonts w:hint="eastAsia" w:eastAsiaTheme="minorEastAsia"/>
          <w:color w:val="auto"/>
          <w:szCs w:val="32"/>
        </w:rPr>
      </w:pPr>
    </w:p>
    <w:p>
      <w:pPr>
        <w:ind w:left="0" w:leftChars="0" w:firstLine="0" w:firstLineChars="0"/>
        <w:rPr>
          <w:rFonts w:hint="eastAsia" w:eastAsiaTheme="minorEastAsia"/>
          <w:color w:val="auto"/>
          <w:szCs w:val="32"/>
        </w:rPr>
      </w:pPr>
    </w:p>
    <w:p>
      <w:pPr>
        <w:ind w:left="0" w:leftChars="0" w:firstLine="0" w:firstLineChars="0"/>
        <w:rPr>
          <w:rFonts w:hint="eastAsia" w:eastAsiaTheme="minorEastAsia"/>
          <w:color w:val="auto"/>
          <w:szCs w:val="32"/>
        </w:rPr>
      </w:pPr>
    </w:p>
    <w:p>
      <w:pPr>
        <w:ind w:left="0" w:leftChars="0" w:firstLine="0" w:firstLineChars="0"/>
        <w:rPr>
          <w:rFonts w:hint="eastAsia" w:eastAsiaTheme="minorEastAsia"/>
          <w:color w:val="auto"/>
          <w:szCs w:val="32"/>
        </w:rPr>
      </w:pPr>
    </w:p>
    <w:p>
      <w:pPr>
        <w:ind w:left="0" w:leftChars="0" w:firstLine="0" w:firstLineChars="0"/>
        <w:rPr>
          <w:rFonts w:hint="eastAsia" w:eastAsiaTheme="minorEastAsia"/>
          <w:color w:val="auto"/>
          <w:szCs w:val="32"/>
        </w:rPr>
      </w:pPr>
    </w:p>
    <w:p>
      <w:pPr>
        <w:ind w:left="0" w:leftChars="0" w:firstLine="0" w:firstLineChars="0"/>
        <w:rPr>
          <w:rFonts w:hint="eastAsia" w:eastAsiaTheme="minorEastAsia"/>
          <w:color w:val="auto"/>
          <w:szCs w:val="32"/>
        </w:rPr>
      </w:pPr>
    </w:p>
    <w:p>
      <w:pPr>
        <w:ind w:left="0" w:leftChars="0" w:firstLine="0" w:firstLineChars="0"/>
        <w:rPr>
          <w:rFonts w:hint="eastAsia" w:eastAsiaTheme="minorEastAsia"/>
          <w:color w:val="auto"/>
          <w:szCs w:val="32"/>
        </w:rPr>
      </w:pPr>
    </w:p>
    <w:p>
      <w:pPr>
        <w:ind w:left="0" w:leftChars="0" w:firstLine="0" w:firstLineChars="0"/>
        <w:rPr>
          <w:rFonts w:hint="eastAsia" w:eastAsiaTheme="minorEastAsia"/>
          <w:color w:val="auto"/>
          <w:szCs w:val="32"/>
        </w:rPr>
      </w:pPr>
    </w:p>
    <w:p>
      <w:pPr>
        <w:ind w:left="0" w:leftChars="0" w:firstLine="0" w:firstLineChars="0"/>
        <w:rPr>
          <w:rFonts w:hint="eastAsia" w:eastAsiaTheme="minorEastAsia"/>
          <w:color w:val="auto"/>
          <w:szCs w:val="32"/>
        </w:rPr>
      </w:pPr>
    </w:p>
    <w:p>
      <w:pPr>
        <w:ind w:left="0" w:leftChars="0" w:firstLine="0" w:firstLineChars="0"/>
        <w:rPr>
          <w:rFonts w:hint="eastAsia" w:eastAsiaTheme="minorEastAsia"/>
          <w:color w:val="auto"/>
          <w:szCs w:val="32"/>
        </w:rPr>
      </w:pPr>
    </w:p>
    <w:p>
      <w:pPr>
        <w:ind w:left="0" w:leftChars="0" w:firstLine="0" w:firstLineChars="0"/>
        <w:rPr>
          <w:rFonts w:hint="eastAsia" w:eastAsiaTheme="minorEastAsia"/>
          <w:color w:val="auto"/>
          <w:szCs w:val="32"/>
        </w:rPr>
      </w:pPr>
    </w:p>
    <w:p>
      <w:pPr>
        <w:ind w:left="0" w:leftChars="0" w:firstLine="0" w:firstLineChars="0"/>
        <w:rPr>
          <w:rFonts w:hint="eastAsia" w:eastAsiaTheme="minorEastAsia"/>
          <w:color w:val="auto"/>
          <w:szCs w:val="32"/>
        </w:rPr>
      </w:pPr>
    </w:p>
    <w:p>
      <w:pPr>
        <w:ind w:left="0" w:leftChars="0" w:firstLine="0" w:firstLineChars="0"/>
        <w:rPr>
          <w:rFonts w:hint="eastAsia" w:eastAsiaTheme="minorEastAsia"/>
          <w:color w:val="auto"/>
          <w:szCs w:val="32"/>
        </w:rPr>
      </w:pPr>
    </w:p>
    <w:p>
      <w:pPr>
        <w:ind w:left="0" w:leftChars="0" w:firstLine="0" w:firstLineChars="0"/>
        <w:rPr>
          <w:rFonts w:hint="eastAsia" w:eastAsiaTheme="minorEastAsia"/>
          <w:color w:val="auto"/>
          <w:szCs w:val="32"/>
        </w:rPr>
      </w:pPr>
    </w:p>
    <w:p>
      <w:pPr>
        <w:ind w:left="0" w:leftChars="0" w:firstLine="0" w:firstLineChars="0"/>
        <w:rPr>
          <w:rFonts w:hint="eastAsia" w:eastAsiaTheme="minorEastAsia"/>
          <w:color w:val="auto"/>
          <w:szCs w:val="32"/>
        </w:rPr>
      </w:pPr>
    </w:p>
    <w:p>
      <w:pPr>
        <w:ind w:left="0" w:leftChars="0" w:firstLine="0" w:firstLineChars="0"/>
        <w:rPr>
          <w:rFonts w:hint="eastAsia" w:eastAsiaTheme="minorEastAsia"/>
          <w:color w:val="auto"/>
          <w:szCs w:val="32"/>
        </w:rPr>
      </w:pPr>
    </w:p>
    <w:p>
      <w:pPr>
        <w:ind w:left="0" w:leftChars="0" w:firstLine="0" w:firstLineChars="0"/>
        <w:rPr>
          <w:rFonts w:hint="eastAsia" w:eastAsiaTheme="minorEastAsia"/>
          <w:color w:val="auto"/>
          <w:szCs w:val="32"/>
        </w:rPr>
      </w:pPr>
    </w:p>
    <w:p>
      <w:pPr>
        <w:ind w:left="0" w:leftChars="0" w:firstLine="0" w:firstLineChars="0"/>
        <w:rPr>
          <w:rFonts w:hint="eastAsia" w:eastAsiaTheme="minorEastAsia"/>
          <w:color w:val="auto"/>
          <w:szCs w:val="32"/>
        </w:rPr>
      </w:pPr>
    </w:p>
    <w:p>
      <w:pPr>
        <w:pStyle w:val="2"/>
        <w:numPr>
          <w:ilvl w:val="0"/>
          <w:numId w:val="13"/>
        </w:numPr>
        <w:spacing w:before="312" w:after="312"/>
        <w:jc w:val="center"/>
        <w:rPr>
          <w:rFonts w:hint="default"/>
          <w:color w:val="auto"/>
          <w:lang w:val="en-US" w:eastAsia="zh-CN"/>
        </w:rPr>
      </w:pPr>
      <w:r>
        <w:rPr>
          <w:rFonts w:hint="eastAsia"/>
          <w:color w:val="auto"/>
          <w:lang w:val="en-US" w:eastAsia="zh-CN"/>
        </w:rPr>
        <w:t xml:space="preserve">   基本规定</w:t>
      </w:r>
    </w:p>
    <w:p>
      <w:pPr>
        <w:ind w:firstLine="0" w:firstLineChars="0"/>
        <w:rPr>
          <w:b/>
          <w:i/>
          <w:color w:val="auto"/>
        </w:rPr>
      </w:pPr>
      <w:r>
        <w:rPr>
          <w:rFonts w:hint="eastAsia" w:eastAsiaTheme="minorEastAsia"/>
          <w:color w:val="auto"/>
          <w:szCs w:val="32"/>
          <w:lang w:eastAsia="zh-CN"/>
        </w:rPr>
        <w:t>3.0.</w:t>
      </w:r>
      <w:r>
        <w:rPr>
          <w:rFonts w:eastAsiaTheme="minorEastAsia"/>
          <w:color w:val="auto"/>
          <w:szCs w:val="32"/>
        </w:rPr>
        <w:t>1</w:t>
      </w:r>
      <w:r>
        <w:rPr>
          <w:rFonts w:hint="eastAsia" w:eastAsiaTheme="minorEastAsia"/>
          <w:color w:val="auto"/>
          <w:szCs w:val="32"/>
          <w:lang w:eastAsia="zh-CN"/>
        </w:rPr>
        <w:t xml:space="preserve">  </w:t>
      </w:r>
      <w:r>
        <w:rPr>
          <w:rFonts w:eastAsiaTheme="minorEastAsia"/>
          <w:color w:val="auto"/>
          <w:szCs w:val="32"/>
        </w:rPr>
        <w:t>实现城市道路工程各相关方的协同工作、信息共享是数字技术能够支持工程建设行业工作质量和工作效率提升的核心理念和价值。</w:t>
      </w:r>
    </w:p>
    <w:p>
      <w:pPr>
        <w:ind w:firstLine="0" w:firstLineChars="0"/>
        <w:rPr>
          <w:color w:val="auto"/>
        </w:rPr>
      </w:pPr>
      <w:r>
        <w:rPr>
          <w:rFonts w:hint="eastAsia" w:eastAsiaTheme="minorEastAsia"/>
          <w:color w:val="auto"/>
          <w:szCs w:val="32"/>
          <w:lang w:eastAsia="zh-CN"/>
        </w:rPr>
        <w:t>3.0.</w:t>
      </w:r>
      <w:r>
        <w:rPr>
          <w:rFonts w:eastAsiaTheme="minorEastAsia"/>
          <w:color w:val="auto"/>
          <w:szCs w:val="32"/>
        </w:rPr>
        <w:t>2</w:t>
      </w:r>
      <w:r>
        <w:rPr>
          <w:rFonts w:hint="eastAsia" w:eastAsiaTheme="minorEastAsia"/>
          <w:color w:val="auto"/>
          <w:szCs w:val="32"/>
          <w:lang w:eastAsia="zh-CN"/>
        </w:rPr>
        <w:t xml:space="preserve">  </w:t>
      </w:r>
      <w:r>
        <w:rPr>
          <w:rFonts w:eastAsiaTheme="minorEastAsia"/>
          <w:color w:val="auto"/>
          <w:szCs w:val="32"/>
        </w:rPr>
        <w:t>在城市道路工程全生命期内实现协同工作、信息共享，可以最大限度发挥数字技术的作用，提升效率与效益。但由于目前数字技术应用在城市道路工程领域处于初期发展阶段，限于各种条件，有时候很难覆盖工程全生命期，或者即使能够应用而其投入产出比也不合理。此时，可根据工程实际情况和需求，在工程全生命期内的若干阶段（规划、勘察、设计、施工、运维或拆除）或若干项任务中应用数字技术。</w:t>
      </w:r>
    </w:p>
    <w:p>
      <w:pPr>
        <w:ind w:firstLine="0" w:firstLineChars="0"/>
        <w:rPr>
          <w:rFonts w:eastAsiaTheme="minorEastAsia"/>
          <w:color w:val="auto"/>
          <w:szCs w:val="32"/>
        </w:rPr>
      </w:pPr>
      <w:r>
        <w:rPr>
          <w:rFonts w:hint="eastAsia" w:eastAsiaTheme="minorEastAsia"/>
          <w:color w:val="auto"/>
          <w:szCs w:val="32"/>
          <w:lang w:eastAsia="zh-CN"/>
        </w:rPr>
        <w:t>3.0.</w:t>
      </w:r>
      <w:r>
        <w:rPr>
          <w:rFonts w:eastAsiaTheme="minorEastAsia"/>
          <w:color w:val="auto"/>
          <w:szCs w:val="32"/>
        </w:rPr>
        <w:t>3</w:t>
      </w:r>
      <w:r>
        <w:rPr>
          <w:rFonts w:hint="eastAsia" w:eastAsiaTheme="minorEastAsia"/>
          <w:color w:val="auto"/>
          <w:szCs w:val="32"/>
          <w:lang w:eastAsia="zh-CN"/>
        </w:rPr>
        <w:t xml:space="preserve">  </w:t>
      </w:r>
      <w:r>
        <w:rPr>
          <w:rFonts w:hint="eastAsia" w:eastAsiaTheme="minorEastAsia"/>
          <w:color w:val="auto"/>
          <w:szCs w:val="32"/>
        </w:rPr>
        <w:t>工程项目建设管理单位明确进行数字技术应用全过程咨询时，应签订相应的技术咨询服务合同以明确技术咨询服务的内容、范围以及相应的权责等</w:t>
      </w:r>
      <w:r>
        <w:rPr>
          <w:rFonts w:eastAsiaTheme="minorEastAsia"/>
          <w:color w:val="auto"/>
          <w:szCs w:val="32"/>
        </w:rPr>
        <w:t>。</w:t>
      </w:r>
      <w:r>
        <w:rPr>
          <w:rFonts w:hint="eastAsia" w:eastAsiaTheme="minorEastAsia"/>
          <w:color w:val="auto"/>
          <w:szCs w:val="32"/>
        </w:rPr>
        <w:t>全过程工程咨询单位根据合同要求组织编制建设工程项目数字技术应用策划、专项实施方案、项目级应用标准以及控制性实施流程等，建立建设工程项目数字技术应用组织构架、沟通协同机制以及审批和管理机制等，并搭建协同应用平台并创建适应数字技术应用的通用数据环境（CDE）。全过程工程咨询单位应将实施策划、专项实施方案以及人员组织与应用干系人等提交建设单位备案。</w:t>
      </w:r>
    </w:p>
    <w:p>
      <w:pPr>
        <w:ind w:firstLine="0" w:firstLineChars="0"/>
        <w:rPr>
          <w:rFonts w:eastAsiaTheme="minorEastAsia"/>
          <w:color w:val="auto"/>
          <w:szCs w:val="32"/>
        </w:rPr>
      </w:pPr>
      <w:r>
        <w:rPr>
          <w:rFonts w:hint="eastAsia" w:eastAsiaTheme="minorEastAsia"/>
          <w:color w:val="auto"/>
          <w:szCs w:val="32"/>
        </w:rPr>
        <w:t>数字技术专项实施方案主要包括如下内容：</w:t>
      </w:r>
    </w:p>
    <w:p>
      <w:pPr>
        <w:ind w:firstLine="720" w:firstLineChars="0"/>
        <w:rPr>
          <w:rFonts w:eastAsiaTheme="minorEastAsia"/>
          <w:color w:val="auto"/>
          <w:szCs w:val="32"/>
        </w:rPr>
      </w:pPr>
      <w:r>
        <w:rPr>
          <w:rFonts w:hint="eastAsia" w:eastAsiaTheme="minorEastAsia"/>
          <w:color w:val="auto"/>
          <w:szCs w:val="32"/>
        </w:rPr>
        <w:t>1 工程概况；</w:t>
      </w:r>
    </w:p>
    <w:p>
      <w:pPr>
        <w:ind w:firstLine="720" w:firstLineChars="0"/>
        <w:rPr>
          <w:rFonts w:eastAsiaTheme="minorEastAsia"/>
          <w:color w:val="auto"/>
          <w:szCs w:val="32"/>
        </w:rPr>
      </w:pPr>
      <w:r>
        <w:rPr>
          <w:rFonts w:hint="eastAsia" w:eastAsiaTheme="minorEastAsia"/>
          <w:color w:val="auto"/>
          <w:szCs w:val="32"/>
        </w:rPr>
        <w:t>2  咨询应用目标及范围；</w:t>
      </w:r>
    </w:p>
    <w:p>
      <w:pPr>
        <w:ind w:firstLine="720" w:firstLineChars="0"/>
        <w:rPr>
          <w:rFonts w:eastAsiaTheme="minorEastAsia"/>
          <w:color w:val="auto"/>
          <w:szCs w:val="32"/>
        </w:rPr>
      </w:pPr>
      <w:r>
        <w:rPr>
          <w:rFonts w:hint="eastAsia" w:eastAsiaTheme="minorEastAsia"/>
          <w:color w:val="auto"/>
          <w:szCs w:val="32"/>
        </w:rPr>
        <w:t>3 人员组织构架及职责；</w:t>
      </w:r>
    </w:p>
    <w:p>
      <w:pPr>
        <w:ind w:firstLine="720" w:firstLineChars="0"/>
        <w:rPr>
          <w:rFonts w:eastAsiaTheme="minorEastAsia"/>
          <w:color w:val="auto"/>
          <w:szCs w:val="32"/>
        </w:rPr>
      </w:pPr>
      <w:r>
        <w:rPr>
          <w:rFonts w:hint="eastAsia" w:eastAsiaTheme="minorEastAsia"/>
          <w:color w:val="auto"/>
          <w:szCs w:val="32"/>
        </w:rPr>
        <w:t>4  协同管理与沟通机制；</w:t>
      </w:r>
    </w:p>
    <w:p>
      <w:pPr>
        <w:ind w:firstLine="720" w:firstLineChars="0"/>
        <w:rPr>
          <w:rFonts w:eastAsiaTheme="minorEastAsia"/>
          <w:color w:val="auto"/>
          <w:szCs w:val="32"/>
        </w:rPr>
      </w:pPr>
      <w:r>
        <w:rPr>
          <w:rFonts w:hint="eastAsia" w:eastAsiaTheme="minorEastAsia"/>
          <w:color w:val="auto"/>
          <w:szCs w:val="32"/>
        </w:rPr>
        <w:t>5 软硬件基础设施配置；</w:t>
      </w:r>
    </w:p>
    <w:p>
      <w:pPr>
        <w:ind w:firstLine="720" w:firstLineChars="0"/>
        <w:rPr>
          <w:rFonts w:eastAsiaTheme="minorEastAsia"/>
          <w:color w:val="auto"/>
          <w:szCs w:val="32"/>
        </w:rPr>
      </w:pPr>
      <w:r>
        <w:rPr>
          <w:rFonts w:hint="eastAsia" w:eastAsiaTheme="minorEastAsia"/>
          <w:color w:val="auto"/>
          <w:szCs w:val="32"/>
        </w:rPr>
        <w:t>6 通用数据环境（CDE）的搭建；</w:t>
      </w:r>
    </w:p>
    <w:p>
      <w:pPr>
        <w:ind w:firstLine="720" w:firstLineChars="0"/>
        <w:rPr>
          <w:rFonts w:eastAsiaTheme="minorEastAsia"/>
          <w:color w:val="auto"/>
          <w:szCs w:val="32"/>
        </w:rPr>
      </w:pPr>
      <w:r>
        <w:rPr>
          <w:rFonts w:hint="eastAsia" w:eastAsiaTheme="minorEastAsia"/>
          <w:color w:val="auto"/>
          <w:szCs w:val="32"/>
        </w:rPr>
        <w:t>7 工程咨询进度计划；</w:t>
      </w:r>
    </w:p>
    <w:p>
      <w:pPr>
        <w:ind w:firstLine="720" w:firstLineChars="0"/>
        <w:rPr>
          <w:rFonts w:eastAsiaTheme="minorEastAsia"/>
          <w:color w:val="auto"/>
          <w:szCs w:val="32"/>
        </w:rPr>
      </w:pPr>
      <w:r>
        <w:rPr>
          <w:rFonts w:hint="eastAsia" w:eastAsiaTheme="minorEastAsia"/>
          <w:color w:val="auto"/>
          <w:szCs w:val="32"/>
        </w:rPr>
        <w:t>8 数据安全保障措施；</w:t>
      </w:r>
    </w:p>
    <w:p>
      <w:pPr>
        <w:ind w:firstLine="720" w:firstLineChars="0"/>
        <w:rPr>
          <w:rFonts w:hint="eastAsia" w:eastAsiaTheme="minorEastAsia"/>
          <w:color w:val="auto"/>
          <w:szCs w:val="32"/>
          <w:lang w:val="en-US" w:eastAsia="zh-CN"/>
        </w:rPr>
      </w:pPr>
      <w:r>
        <w:rPr>
          <w:rFonts w:hint="eastAsia" w:eastAsiaTheme="minorEastAsia"/>
          <w:color w:val="auto"/>
          <w:szCs w:val="32"/>
        </w:rPr>
        <w:t>9 应用能力评估及培训策划</w:t>
      </w:r>
      <w:r>
        <w:rPr>
          <w:rFonts w:hint="eastAsia" w:eastAsiaTheme="minorEastAsia"/>
          <w:color w:val="auto"/>
          <w:szCs w:val="32"/>
          <w:lang w:eastAsia="zh-CN"/>
        </w:rPr>
        <w:t>。</w:t>
      </w:r>
    </w:p>
    <w:p>
      <w:pPr>
        <w:ind w:firstLine="0" w:firstLineChars="0"/>
        <w:rPr>
          <w:rFonts w:eastAsiaTheme="minorEastAsia"/>
          <w:color w:val="auto"/>
          <w:szCs w:val="32"/>
        </w:rPr>
      </w:pPr>
      <w:r>
        <w:rPr>
          <w:rFonts w:hint="eastAsia" w:eastAsiaTheme="minorEastAsia"/>
          <w:color w:val="auto"/>
          <w:szCs w:val="32"/>
          <w:lang w:eastAsia="zh-CN"/>
        </w:rPr>
        <w:t>3.0.</w:t>
      </w:r>
      <w:r>
        <w:rPr>
          <w:rFonts w:hint="eastAsia" w:eastAsiaTheme="minorEastAsia"/>
          <w:color w:val="auto"/>
          <w:szCs w:val="32"/>
        </w:rPr>
        <w:t>4</w:t>
      </w:r>
      <w:r>
        <w:rPr>
          <w:rFonts w:hint="eastAsia" w:eastAsiaTheme="minorEastAsia"/>
          <w:color w:val="auto"/>
          <w:szCs w:val="32"/>
          <w:lang w:eastAsia="zh-CN"/>
        </w:rPr>
        <w:t xml:space="preserve">  </w:t>
      </w:r>
      <w:r>
        <w:rPr>
          <w:rFonts w:hint="eastAsia" w:eastAsiaTheme="minorEastAsia"/>
          <w:color w:val="auto"/>
          <w:szCs w:val="32"/>
        </w:rPr>
        <w:t>工程建设项目采用数字技术应用时，宜建立数字技术应用后评价制度，对工程项目建设过程中的数字技术应用给出合理可信的评价，客观描述评价过程中发现的问题，为后续数字技术工作的开展以及其它项目的数字技术应用提供合理的建议和可供借鉴的经验与教训。</w:t>
      </w:r>
    </w:p>
    <w:p>
      <w:pPr>
        <w:adjustRightInd w:val="0"/>
        <w:snapToGrid w:val="0"/>
        <w:ind w:firstLine="480"/>
        <w:rPr>
          <w:rFonts w:hint="eastAsia" w:eastAsiaTheme="minorEastAsia"/>
          <w:color w:val="auto"/>
          <w:szCs w:val="32"/>
        </w:rPr>
      </w:pPr>
      <w:r>
        <w:rPr>
          <w:rFonts w:hint="eastAsia" w:eastAsiaTheme="minorEastAsia"/>
          <w:color w:val="auto"/>
          <w:szCs w:val="32"/>
        </w:rPr>
        <w:t>后评价机制宜根据数字技术应用对工程项目保障质量、促进进度、节约成本、提升效率等方面开展。</w:t>
      </w:r>
    </w:p>
    <w:p>
      <w:pPr>
        <w:adjustRightInd w:val="0"/>
        <w:snapToGrid w:val="0"/>
        <w:ind w:firstLine="480"/>
        <w:rPr>
          <w:rFonts w:hint="eastAsia" w:eastAsiaTheme="minorEastAsia"/>
          <w:color w:val="auto"/>
          <w:szCs w:val="32"/>
        </w:rPr>
      </w:pPr>
      <w:r>
        <w:rPr>
          <w:rFonts w:hint="eastAsia" w:eastAsiaTheme="minorEastAsia"/>
          <w:color w:val="auto"/>
          <w:szCs w:val="32"/>
        </w:rPr>
        <w:t>后评价方法可采用定性评价、定量评价以及两者结合的方法进行，并可采取与之相应的调查方法、数据分析方法、逻辑框架法和指标体系评定等方法。</w:t>
      </w:r>
    </w:p>
    <w:p>
      <w:pPr>
        <w:adjustRightInd w:val="0"/>
        <w:snapToGrid w:val="0"/>
        <w:ind w:firstLine="480"/>
        <w:rPr>
          <w:rFonts w:hint="eastAsia" w:eastAsiaTheme="minorEastAsia"/>
          <w:color w:val="auto"/>
          <w:szCs w:val="32"/>
        </w:rPr>
      </w:pPr>
      <w:r>
        <w:rPr>
          <w:rFonts w:hint="eastAsia" w:eastAsiaTheme="minorEastAsia"/>
          <w:color w:val="auto"/>
          <w:szCs w:val="32"/>
        </w:rPr>
        <w:t>后评价指标一般包括一般性指标以及特殊性指标。一般性指标指各类建设项目通用的评价内容，包括组织构架、实施内容、实施成效、质量控制、进度控制、成本控制等；特殊性指标应根据建设工程项目投资方式、类型以及特点等综合确定。</w:t>
      </w:r>
    </w:p>
    <w:p>
      <w:pPr>
        <w:ind w:firstLine="0" w:firstLineChars="0"/>
        <w:rPr>
          <w:b/>
          <w:i/>
          <w:color w:val="auto"/>
        </w:rPr>
      </w:pPr>
      <w:r>
        <w:rPr>
          <w:rFonts w:hint="eastAsia" w:eastAsiaTheme="minorEastAsia"/>
          <w:color w:val="auto"/>
          <w:szCs w:val="32"/>
          <w:lang w:eastAsia="zh-CN"/>
        </w:rPr>
        <w:t>3.0.</w:t>
      </w:r>
      <w:r>
        <w:rPr>
          <w:rFonts w:hint="eastAsia" w:eastAsiaTheme="minorEastAsia"/>
          <w:color w:val="auto"/>
          <w:szCs w:val="32"/>
        </w:rPr>
        <w:t>5</w:t>
      </w:r>
      <w:r>
        <w:rPr>
          <w:rFonts w:hint="eastAsia" w:eastAsiaTheme="minorEastAsia"/>
          <w:color w:val="auto"/>
          <w:szCs w:val="32"/>
          <w:lang w:eastAsia="zh-CN"/>
        </w:rPr>
        <w:t xml:space="preserve">  </w:t>
      </w:r>
      <w:r>
        <w:rPr>
          <w:rFonts w:eastAsiaTheme="minorEastAsia"/>
          <w:color w:val="auto"/>
          <w:szCs w:val="32"/>
        </w:rPr>
        <w:t>保障信息安全的措施包括适宜的软硬件环境、设置操作权限、进行防灾备份等。</w:t>
      </w:r>
    </w:p>
    <w:p>
      <w:pPr>
        <w:ind w:firstLine="0" w:firstLineChars="0"/>
        <w:rPr>
          <w:b/>
          <w:i/>
          <w:color w:val="auto"/>
        </w:rPr>
      </w:pPr>
      <w:r>
        <w:rPr>
          <w:rFonts w:hint="eastAsia" w:eastAsiaTheme="minorEastAsia"/>
          <w:color w:val="auto"/>
          <w:szCs w:val="32"/>
          <w:lang w:eastAsia="zh-CN"/>
        </w:rPr>
        <w:t>3.0.</w:t>
      </w:r>
      <w:r>
        <w:rPr>
          <w:rFonts w:hint="eastAsia" w:eastAsiaTheme="minorEastAsia"/>
          <w:color w:val="auto"/>
          <w:szCs w:val="32"/>
        </w:rPr>
        <w:t>6</w:t>
      </w:r>
      <w:r>
        <w:rPr>
          <w:rFonts w:hint="eastAsia" w:eastAsiaTheme="minorEastAsia"/>
          <w:color w:val="auto"/>
          <w:szCs w:val="32"/>
          <w:lang w:eastAsia="zh-CN"/>
        </w:rPr>
        <w:t xml:space="preserve">  </w:t>
      </w:r>
      <w:r>
        <w:rPr>
          <w:rFonts w:eastAsiaTheme="minorEastAsia"/>
          <w:color w:val="auto"/>
          <w:szCs w:val="32"/>
        </w:rPr>
        <w:t>模型软件</w:t>
      </w:r>
      <w:r>
        <w:rPr>
          <w:rFonts w:hint="eastAsia" w:eastAsiaTheme="minorEastAsia"/>
          <w:color w:val="auto"/>
          <w:szCs w:val="32"/>
          <w:lang w:val="en-US" w:eastAsia="zh-CN"/>
        </w:rPr>
        <w:t>或辅助专用软件</w:t>
      </w:r>
      <w:r>
        <w:rPr>
          <w:rFonts w:eastAsiaTheme="minorEastAsia"/>
          <w:color w:val="auto"/>
          <w:szCs w:val="32"/>
        </w:rPr>
        <w:t>具备查验模型及其应用是否符合相关工程建设标准的要求时，可以更好地保障数字技术应用的工程质量、安全及性能等。</w:t>
      </w:r>
    </w:p>
    <w:p>
      <w:pPr>
        <w:ind w:firstLine="0" w:firstLineChars="0"/>
        <w:rPr>
          <w:b/>
          <w:i/>
          <w:color w:val="auto"/>
        </w:rPr>
      </w:pPr>
      <w:r>
        <w:rPr>
          <w:rFonts w:hint="eastAsia" w:eastAsiaTheme="minorEastAsia"/>
          <w:color w:val="auto"/>
          <w:szCs w:val="32"/>
          <w:lang w:eastAsia="zh-CN"/>
        </w:rPr>
        <w:t>3.0.</w:t>
      </w:r>
      <w:r>
        <w:rPr>
          <w:rFonts w:hint="eastAsia" w:eastAsiaTheme="minorEastAsia"/>
          <w:color w:val="auto"/>
          <w:szCs w:val="32"/>
        </w:rPr>
        <w:t>7</w:t>
      </w:r>
      <w:r>
        <w:rPr>
          <w:rFonts w:hint="eastAsia" w:eastAsiaTheme="minorEastAsia"/>
          <w:color w:val="auto"/>
          <w:szCs w:val="32"/>
          <w:lang w:eastAsia="zh-CN"/>
        </w:rPr>
        <w:t xml:space="preserve">  </w:t>
      </w:r>
      <w:r>
        <w:rPr>
          <w:rFonts w:eastAsiaTheme="minorEastAsia"/>
          <w:color w:val="auto"/>
          <w:szCs w:val="32"/>
        </w:rPr>
        <w:t>模型软件是</w:t>
      </w:r>
      <w:r>
        <w:rPr>
          <w:rFonts w:hint="eastAsia" w:eastAsiaTheme="minorEastAsia"/>
          <w:color w:val="auto"/>
          <w:szCs w:val="32"/>
        </w:rPr>
        <w:t>工程建设项目</w:t>
      </w:r>
      <w:r>
        <w:rPr>
          <w:rFonts w:eastAsiaTheme="minorEastAsia"/>
          <w:color w:val="auto"/>
          <w:szCs w:val="32"/>
        </w:rPr>
        <w:t>参与方（包括技术和管理人员）执行标准、完成任务的必要工具。模型应用水平和模型软件的专业技术水平、数据管理能力和数据互用能力密切相关。对此进行评估，</w:t>
      </w:r>
      <w:r>
        <w:rPr>
          <w:rFonts w:hint="eastAsia" w:eastAsiaTheme="minorEastAsia"/>
          <w:color w:val="auto"/>
          <w:szCs w:val="32"/>
        </w:rPr>
        <w:t>既</w:t>
      </w:r>
      <w:r>
        <w:rPr>
          <w:rFonts w:eastAsiaTheme="minorEastAsia"/>
          <w:color w:val="auto"/>
          <w:szCs w:val="32"/>
        </w:rPr>
        <w:t>可对软件的专业技术水平、实现协同工作和信息共享的能力进行认定，也可以提升模型应用水平以及合理认定数字技术的实际应用水平积累经验。</w:t>
      </w:r>
    </w:p>
    <w:p>
      <w:pPr>
        <w:ind w:firstLine="0" w:firstLineChars="0"/>
        <w:rPr>
          <w:rFonts w:eastAsiaTheme="minorEastAsia"/>
          <w:color w:val="auto"/>
          <w:szCs w:val="32"/>
        </w:rPr>
      </w:pPr>
      <w:r>
        <w:rPr>
          <w:rFonts w:hint="eastAsia" w:eastAsiaTheme="minorEastAsia"/>
          <w:color w:val="auto"/>
          <w:szCs w:val="32"/>
          <w:lang w:eastAsia="zh-CN"/>
        </w:rPr>
        <w:t>3.0.</w:t>
      </w:r>
      <w:r>
        <w:rPr>
          <w:rFonts w:hint="eastAsia" w:eastAsiaTheme="minorEastAsia"/>
          <w:color w:val="auto"/>
          <w:szCs w:val="32"/>
        </w:rPr>
        <w:t>8</w:t>
      </w:r>
      <w:r>
        <w:rPr>
          <w:rFonts w:hint="eastAsia" w:eastAsiaTheme="minorEastAsia"/>
          <w:color w:val="auto"/>
          <w:szCs w:val="32"/>
          <w:lang w:eastAsia="zh-CN"/>
        </w:rPr>
        <w:t xml:space="preserve">  </w:t>
      </w:r>
      <w:r>
        <w:rPr>
          <w:rFonts w:eastAsiaTheme="minorEastAsia"/>
          <w:color w:val="auto"/>
          <w:szCs w:val="32"/>
        </w:rPr>
        <w:t>模型应用目标应根据实施特点及难度需求等综合考虑，并建议按重要性分级，具体可参考</w:t>
      </w:r>
      <w:r>
        <w:rPr>
          <w:rFonts w:hint="eastAsia" w:eastAsiaTheme="minorEastAsia"/>
          <w:color w:val="auto"/>
          <w:szCs w:val="32"/>
        </w:rPr>
        <w:t>表1</w:t>
      </w:r>
      <w:r>
        <w:rPr>
          <w:rFonts w:eastAsiaTheme="minorEastAsia"/>
          <w:color w:val="auto"/>
          <w:szCs w:val="32"/>
        </w:rPr>
        <w:t>制定应用目标。</w:t>
      </w:r>
    </w:p>
    <w:p>
      <w:pPr>
        <w:ind w:firstLine="0" w:firstLineChars="0"/>
        <w:jc w:val="center"/>
        <w:rPr>
          <w:rFonts w:eastAsiaTheme="minorEastAsia"/>
          <w:color w:val="auto"/>
          <w:szCs w:val="32"/>
        </w:rPr>
      </w:pPr>
      <w:r>
        <w:rPr>
          <w:rFonts w:eastAsiaTheme="minorEastAsia"/>
          <w:color w:val="auto"/>
          <w:szCs w:val="32"/>
        </w:rPr>
        <w:t>表1  模型应用目标表示例</w:t>
      </w:r>
    </w:p>
    <w:tbl>
      <w:tblPr>
        <w:tblStyle w:val="74"/>
        <w:tblW w:w="8178" w:type="dxa"/>
        <w:tblInd w:w="108" w:type="dxa"/>
        <w:tblLayout w:type="fixed"/>
        <w:tblCellMar>
          <w:top w:w="0" w:type="dxa"/>
          <w:left w:w="108" w:type="dxa"/>
          <w:bottom w:w="0" w:type="dxa"/>
          <w:right w:w="108" w:type="dxa"/>
        </w:tblCellMar>
      </w:tblPr>
      <w:tblGrid>
        <w:gridCol w:w="1287"/>
        <w:gridCol w:w="3864"/>
        <w:gridCol w:w="3027"/>
      </w:tblGrid>
      <w:tr>
        <w:tblPrEx>
          <w:tblLayout w:type="fixed"/>
          <w:tblCellMar>
            <w:top w:w="0" w:type="dxa"/>
            <w:left w:w="108" w:type="dxa"/>
            <w:bottom w:w="0" w:type="dxa"/>
            <w:right w:w="108" w:type="dxa"/>
          </w:tblCellMar>
        </w:tblPrEx>
        <w:trPr>
          <w:trHeight w:val="559" w:hRule="atLeast"/>
        </w:trPr>
        <w:tc>
          <w:tcPr>
            <w:tcW w:w="1287" w:type="dxa"/>
            <w:tcBorders>
              <w:top w:val="single" w:color="auto" w:sz="8" w:space="0"/>
              <w:left w:val="single" w:color="auto" w:sz="8" w:space="0"/>
              <w:bottom w:val="nil"/>
              <w:right w:val="single" w:color="auto" w:sz="4" w:space="0"/>
            </w:tcBorders>
            <w:shd w:val="clear" w:color="auto" w:fill="auto"/>
            <w:vAlign w:val="center"/>
          </w:tcPr>
          <w:p>
            <w:pPr>
              <w:spacing w:line="240" w:lineRule="auto"/>
              <w:ind w:firstLine="0" w:firstLineChars="0"/>
              <w:jc w:val="center"/>
              <w:rPr>
                <w:rFonts w:ascii="宋体" w:hAnsi="宋体" w:cs="宋体"/>
                <w:b/>
                <w:bCs/>
                <w:color w:val="auto"/>
                <w:sz w:val="21"/>
                <w:szCs w:val="21"/>
              </w:rPr>
            </w:pPr>
            <w:r>
              <w:rPr>
                <w:rFonts w:hint="eastAsia" w:ascii="宋体" w:hAnsi="宋体" w:cs="宋体"/>
                <w:b/>
                <w:bCs/>
                <w:color w:val="auto"/>
                <w:sz w:val="21"/>
                <w:szCs w:val="21"/>
              </w:rPr>
              <w:t>优先级</w:t>
            </w:r>
          </w:p>
          <w:p>
            <w:pPr>
              <w:spacing w:line="240" w:lineRule="auto"/>
              <w:ind w:firstLine="0" w:firstLineChars="0"/>
              <w:jc w:val="center"/>
              <w:rPr>
                <w:rFonts w:ascii="宋体" w:hAnsi="宋体" w:cs="宋体"/>
                <w:b/>
                <w:bCs/>
                <w:color w:val="auto"/>
                <w:sz w:val="21"/>
                <w:szCs w:val="21"/>
              </w:rPr>
            </w:pPr>
            <w:r>
              <w:rPr>
                <w:rFonts w:hint="eastAsia" w:ascii="宋体" w:hAnsi="宋体" w:cs="宋体"/>
                <w:b/>
                <w:bCs/>
                <w:color w:val="auto"/>
                <w:sz w:val="21"/>
                <w:szCs w:val="21"/>
              </w:rPr>
              <w:t xml:space="preserve">(1-3)       </w:t>
            </w:r>
          </w:p>
        </w:tc>
        <w:tc>
          <w:tcPr>
            <w:tcW w:w="3864" w:type="dxa"/>
            <w:tcBorders>
              <w:top w:val="single" w:color="auto" w:sz="8" w:space="0"/>
              <w:left w:val="nil"/>
              <w:bottom w:val="nil"/>
              <w:right w:val="single" w:color="auto" w:sz="4" w:space="0"/>
            </w:tcBorders>
            <w:shd w:val="clear" w:color="auto" w:fill="auto"/>
            <w:noWrap/>
            <w:vAlign w:val="center"/>
          </w:tcPr>
          <w:p>
            <w:pPr>
              <w:spacing w:line="240" w:lineRule="auto"/>
              <w:ind w:firstLine="0" w:firstLineChars="0"/>
              <w:jc w:val="center"/>
              <w:rPr>
                <w:rFonts w:ascii="宋体" w:hAnsi="宋体" w:cs="宋体"/>
                <w:b/>
                <w:bCs/>
                <w:color w:val="auto"/>
                <w:sz w:val="21"/>
                <w:szCs w:val="21"/>
              </w:rPr>
            </w:pPr>
            <w:r>
              <w:rPr>
                <w:rFonts w:hint="eastAsia" w:ascii="宋体" w:hAnsi="宋体" w:cs="宋体"/>
                <w:b/>
                <w:bCs/>
                <w:color w:val="auto"/>
                <w:sz w:val="21"/>
                <w:szCs w:val="21"/>
              </w:rPr>
              <w:t>模型应用目标</w:t>
            </w:r>
          </w:p>
        </w:tc>
        <w:tc>
          <w:tcPr>
            <w:tcW w:w="3027" w:type="dxa"/>
            <w:tcBorders>
              <w:top w:val="single" w:color="auto" w:sz="8" w:space="0"/>
              <w:left w:val="nil"/>
              <w:bottom w:val="nil"/>
              <w:right w:val="single" w:color="auto" w:sz="8" w:space="0"/>
            </w:tcBorders>
            <w:shd w:val="clear" w:color="auto" w:fill="auto"/>
            <w:noWrap/>
            <w:vAlign w:val="center"/>
          </w:tcPr>
          <w:p>
            <w:pPr>
              <w:spacing w:line="240" w:lineRule="auto"/>
              <w:ind w:firstLine="0" w:firstLineChars="0"/>
              <w:jc w:val="center"/>
              <w:rPr>
                <w:rFonts w:ascii="宋体" w:hAnsi="宋体" w:cs="宋体"/>
                <w:b/>
                <w:bCs/>
                <w:color w:val="auto"/>
                <w:sz w:val="21"/>
                <w:szCs w:val="21"/>
              </w:rPr>
            </w:pPr>
            <w:r>
              <w:rPr>
                <w:rFonts w:hint="eastAsia" w:ascii="宋体" w:hAnsi="宋体" w:cs="宋体"/>
                <w:b/>
                <w:bCs/>
                <w:color w:val="auto"/>
                <w:sz w:val="21"/>
                <w:szCs w:val="21"/>
              </w:rPr>
              <w:t>潜在的模型应用点</w:t>
            </w:r>
          </w:p>
        </w:tc>
      </w:tr>
      <w:tr>
        <w:tblPrEx>
          <w:tblLayout w:type="fixed"/>
          <w:tblCellMar>
            <w:top w:w="0" w:type="dxa"/>
            <w:left w:w="108" w:type="dxa"/>
            <w:bottom w:w="0" w:type="dxa"/>
            <w:right w:w="108" w:type="dxa"/>
          </w:tblCellMar>
        </w:tblPrEx>
        <w:trPr>
          <w:trHeight w:val="425" w:hRule="atLeast"/>
        </w:trPr>
        <w:tc>
          <w:tcPr>
            <w:tcW w:w="1287" w:type="dxa"/>
            <w:tcBorders>
              <w:top w:val="single" w:color="auto" w:sz="4" w:space="0"/>
              <w:left w:val="single" w:color="auto" w:sz="8" w:space="0"/>
              <w:bottom w:val="double" w:color="auto" w:sz="6" w:space="0"/>
              <w:right w:val="single" w:color="auto" w:sz="4" w:space="0"/>
            </w:tcBorders>
            <w:shd w:val="clear" w:color="auto" w:fill="auto"/>
            <w:vAlign w:val="center"/>
          </w:tcPr>
          <w:p>
            <w:pPr>
              <w:spacing w:line="240" w:lineRule="auto"/>
              <w:ind w:firstLine="0" w:firstLineChars="0"/>
              <w:jc w:val="center"/>
              <w:rPr>
                <w:rFonts w:ascii="宋体" w:hAnsi="宋体" w:cs="宋体"/>
                <w:b/>
                <w:bCs/>
                <w:color w:val="auto"/>
                <w:sz w:val="21"/>
                <w:szCs w:val="21"/>
              </w:rPr>
            </w:pPr>
            <w:r>
              <w:rPr>
                <w:rFonts w:hint="eastAsia" w:ascii="宋体" w:hAnsi="宋体" w:cs="宋体"/>
                <w:b/>
                <w:bCs/>
                <w:color w:val="auto"/>
                <w:sz w:val="21"/>
                <w:szCs w:val="21"/>
              </w:rPr>
              <w:t>1 = 最重要</w:t>
            </w:r>
          </w:p>
        </w:tc>
        <w:tc>
          <w:tcPr>
            <w:tcW w:w="3864" w:type="dxa"/>
            <w:tcBorders>
              <w:top w:val="single" w:color="auto" w:sz="4" w:space="0"/>
              <w:left w:val="nil"/>
              <w:bottom w:val="double" w:color="auto" w:sz="6" w:space="0"/>
              <w:right w:val="single" w:color="auto" w:sz="4" w:space="0"/>
            </w:tcBorders>
            <w:shd w:val="clear" w:color="auto" w:fill="auto"/>
            <w:noWrap/>
            <w:vAlign w:val="bottom"/>
          </w:tcPr>
          <w:p>
            <w:pPr>
              <w:spacing w:line="240" w:lineRule="auto"/>
              <w:ind w:firstLine="0" w:firstLineChars="0"/>
              <w:jc w:val="left"/>
              <w:rPr>
                <w:rFonts w:ascii="宋体" w:hAnsi="宋体" w:cs="宋体"/>
                <w:b/>
                <w:bCs/>
                <w:color w:val="auto"/>
                <w:sz w:val="21"/>
                <w:szCs w:val="21"/>
              </w:rPr>
            </w:pPr>
            <w:r>
              <w:rPr>
                <w:rFonts w:hint="eastAsia" w:ascii="宋体" w:hAnsi="宋体" w:cs="宋体"/>
                <w:b/>
                <w:bCs/>
                <w:color w:val="auto"/>
                <w:sz w:val="21"/>
                <w:szCs w:val="21"/>
              </w:rPr>
              <w:t>　</w:t>
            </w:r>
          </w:p>
        </w:tc>
        <w:tc>
          <w:tcPr>
            <w:tcW w:w="3027" w:type="dxa"/>
            <w:tcBorders>
              <w:top w:val="single" w:color="auto" w:sz="4" w:space="0"/>
              <w:left w:val="nil"/>
              <w:bottom w:val="double" w:color="auto" w:sz="6" w:space="0"/>
              <w:right w:val="single" w:color="auto" w:sz="8" w:space="0"/>
            </w:tcBorders>
            <w:shd w:val="clear" w:color="auto" w:fill="auto"/>
            <w:noWrap/>
            <w:vAlign w:val="bottom"/>
          </w:tcPr>
          <w:p>
            <w:pPr>
              <w:spacing w:line="240" w:lineRule="auto"/>
              <w:ind w:firstLine="0" w:firstLineChars="0"/>
              <w:jc w:val="left"/>
              <w:rPr>
                <w:rFonts w:ascii="宋体" w:hAnsi="宋体" w:cs="宋体"/>
                <w:b/>
                <w:bCs/>
                <w:color w:val="auto"/>
                <w:sz w:val="21"/>
                <w:szCs w:val="21"/>
              </w:rPr>
            </w:pPr>
            <w:r>
              <w:rPr>
                <w:rFonts w:hint="eastAsia" w:ascii="宋体" w:hAnsi="宋体" w:cs="宋体"/>
                <w:b/>
                <w:bCs/>
                <w:color w:val="auto"/>
                <w:sz w:val="21"/>
                <w:szCs w:val="21"/>
              </w:rPr>
              <w:t>　</w:t>
            </w:r>
          </w:p>
        </w:tc>
      </w:tr>
      <w:tr>
        <w:tblPrEx>
          <w:tblLayout w:type="fixed"/>
          <w:tblCellMar>
            <w:top w:w="0" w:type="dxa"/>
            <w:left w:w="108" w:type="dxa"/>
            <w:bottom w:w="0" w:type="dxa"/>
            <w:right w:w="108" w:type="dxa"/>
          </w:tblCellMar>
        </w:tblPrEx>
        <w:trPr>
          <w:trHeight w:val="425" w:hRule="atLeast"/>
        </w:trPr>
        <w:tc>
          <w:tcPr>
            <w:tcW w:w="1287" w:type="dxa"/>
            <w:tcBorders>
              <w:top w:val="nil"/>
              <w:left w:val="single" w:color="auto" w:sz="8" w:space="0"/>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386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left"/>
              <w:rPr>
                <w:rFonts w:ascii="宋体" w:hAnsi="宋体" w:cs="宋体"/>
                <w:color w:val="auto"/>
                <w:sz w:val="21"/>
                <w:szCs w:val="21"/>
              </w:rPr>
            </w:pPr>
            <w:r>
              <w:rPr>
                <w:rFonts w:hint="eastAsia" w:ascii="宋体" w:hAnsi="宋体" w:cs="宋体"/>
                <w:color w:val="auto"/>
                <w:sz w:val="21"/>
                <w:szCs w:val="21"/>
              </w:rPr>
              <w:t>确保高质量的设计和设计文件</w:t>
            </w:r>
          </w:p>
        </w:tc>
        <w:tc>
          <w:tcPr>
            <w:tcW w:w="3027" w:type="dxa"/>
            <w:tcBorders>
              <w:top w:val="nil"/>
              <w:left w:val="nil"/>
              <w:bottom w:val="single" w:color="auto" w:sz="4" w:space="0"/>
              <w:right w:val="single" w:color="auto" w:sz="8" w:space="0"/>
            </w:tcBorders>
            <w:shd w:val="clear" w:color="auto" w:fill="auto"/>
            <w:vAlign w:val="center"/>
          </w:tcPr>
          <w:p>
            <w:pPr>
              <w:spacing w:line="240" w:lineRule="auto"/>
              <w:ind w:firstLine="0" w:firstLineChars="0"/>
              <w:jc w:val="left"/>
              <w:rPr>
                <w:rFonts w:ascii="宋体" w:hAnsi="宋体" w:cs="宋体"/>
                <w:color w:val="auto"/>
                <w:sz w:val="21"/>
                <w:szCs w:val="21"/>
              </w:rPr>
            </w:pPr>
            <w:r>
              <w:rPr>
                <w:rFonts w:hint="eastAsia" w:ascii="宋体" w:hAnsi="宋体" w:cs="宋体"/>
                <w:color w:val="auto"/>
                <w:sz w:val="21"/>
                <w:szCs w:val="21"/>
              </w:rPr>
              <w:t>设计建模，设计复核，3D协调</w:t>
            </w:r>
          </w:p>
        </w:tc>
      </w:tr>
      <w:tr>
        <w:tblPrEx>
          <w:tblLayout w:type="fixed"/>
          <w:tblCellMar>
            <w:top w:w="0" w:type="dxa"/>
            <w:left w:w="108" w:type="dxa"/>
            <w:bottom w:w="0" w:type="dxa"/>
            <w:right w:w="108" w:type="dxa"/>
          </w:tblCellMar>
        </w:tblPrEx>
        <w:trPr>
          <w:trHeight w:val="425" w:hRule="atLeast"/>
        </w:trPr>
        <w:tc>
          <w:tcPr>
            <w:tcW w:w="1287" w:type="dxa"/>
            <w:tcBorders>
              <w:top w:val="nil"/>
              <w:left w:val="single" w:color="auto" w:sz="8" w:space="0"/>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1</w:t>
            </w:r>
          </w:p>
        </w:tc>
        <w:tc>
          <w:tcPr>
            <w:tcW w:w="386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left"/>
              <w:rPr>
                <w:rFonts w:ascii="宋体" w:hAnsi="宋体" w:cs="宋体"/>
                <w:color w:val="auto"/>
                <w:sz w:val="21"/>
                <w:szCs w:val="21"/>
              </w:rPr>
            </w:pPr>
            <w:r>
              <w:rPr>
                <w:rFonts w:hint="eastAsia" w:ascii="宋体" w:hAnsi="宋体" w:cs="宋体"/>
                <w:color w:val="auto"/>
                <w:sz w:val="21"/>
                <w:szCs w:val="21"/>
              </w:rPr>
              <w:t>协调模拟驾驶者或行人的使用体验</w:t>
            </w:r>
          </w:p>
        </w:tc>
        <w:tc>
          <w:tcPr>
            <w:tcW w:w="3027" w:type="dxa"/>
            <w:tcBorders>
              <w:top w:val="nil"/>
              <w:left w:val="nil"/>
              <w:bottom w:val="single" w:color="auto" w:sz="4" w:space="0"/>
              <w:right w:val="single" w:color="auto" w:sz="8" w:space="0"/>
            </w:tcBorders>
            <w:shd w:val="clear" w:color="auto" w:fill="auto"/>
            <w:vAlign w:val="center"/>
          </w:tcPr>
          <w:p>
            <w:pPr>
              <w:spacing w:line="240" w:lineRule="auto"/>
              <w:ind w:firstLine="0" w:firstLineChars="0"/>
              <w:jc w:val="left"/>
              <w:rPr>
                <w:rFonts w:ascii="宋体" w:hAnsi="宋体" w:cs="宋体"/>
                <w:color w:val="auto"/>
                <w:sz w:val="21"/>
                <w:szCs w:val="21"/>
              </w:rPr>
            </w:pPr>
            <w:r>
              <w:rPr>
                <w:rFonts w:hint="eastAsia" w:ascii="宋体" w:hAnsi="宋体" w:cs="宋体"/>
                <w:color w:val="auto"/>
                <w:sz w:val="21"/>
                <w:szCs w:val="21"/>
              </w:rPr>
              <w:t>4D模拟</w:t>
            </w:r>
          </w:p>
        </w:tc>
      </w:tr>
      <w:tr>
        <w:tblPrEx>
          <w:tblLayout w:type="fixed"/>
          <w:tblCellMar>
            <w:top w:w="0" w:type="dxa"/>
            <w:left w:w="108" w:type="dxa"/>
            <w:bottom w:w="0" w:type="dxa"/>
            <w:right w:w="108" w:type="dxa"/>
          </w:tblCellMar>
        </w:tblPrEx>
        <w:trPr>
          <w:trHeight w:val="425" w:hRule="atLeast"/>
        </w:trPr>
        <w:tc>
          <w:tcPr>
            <w:tcW w:w="1287" w:type="dxa"/>
            <w:tcBorders>
              <w:top w:val="nil"/>
              <w:left w:val="single" w:color="auto" w:sz="8" w:space="0"/>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2</w:t>
            </w:r>
          </w:p>
        </w:tc>
        <w:tc>
          <w:tcPr>
            <w:tcW w:w="386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left"/>
              <w:rPr>
                <w:rFonts w:ascii="宋体" w:hAnsi="宋体" w:cs="宋体"/>
                <w:color w:val="auto"/>
                <w:sz w:val="21"/>
                <w:szCs w:val="21"/>
              </w:rPr>
            </w:pPr>
            <w:r>
              <w:rPr>
                <w:rFonts w:hint="eastAsia" w:ascii="宋体" w:hAnsi="宋体" w:cs="宋体"/>
                <w:color w:val="auto"/>
                <w:sz w:val="21"/>
                <w:szCs w:val="21"/>
              </w:rPr>
              <w:t>提升现场安装的生产率</w:t>
            </w:r>
          </w:p>
        </w:tc>
        <w:tc>
          <w:tcPr>
            <w:tcW w:w="3027" w:type="dxa"/>
            <w:tcBorders>
              <w:top w:val="nil"/>
              <w:left w:val="nil"/>
              <w:bottom w:val="single" w:color="auto" w:sz="4" w:space="0"/>
              <w:right w:val="single" w:color="auto" w:sz="8" w:space="0"/>
            </w:tcBorders>
            <w:shd w:val="clear" w:color="auto" w:fill="auto"/>
            <w:vAlign w:val="center"/>
          </w:tcPr>
          <w:p>
            <w:pPr>
              <w:spacing w:line="240" w:lineRule="auto"/>
              <w:ind w:firstLine="0" w:firstLineChars="0"/>
              <w:jc w:val="left"/>
              <w:rPr>
                <w:rFonts w:ascii="宋体" w:hAnsi="宋体" w:cs="宋体"/>
                <w:color w:val="auto"/>
                <w:sz w:val="21"/>
                <w:szCs w:val="21"/>
              </w:rPr>
            </w:pPr>
            <w:r>
              <w:rPr>
                <w:rFonts w:hint="eastAsia" w:ascii="宋体" w:hAnsi="宋体" w:cs="宋体"/>
                <w:color w:val="auto"/>
                <w:sz w:val="21"/>
                <w:szCs w:val="21"/>
              </w:rPr>
              <w:t>设计检查，3D协调</w:t>
            </w:r>
          </w:p>
        </w:tc>
      </w:tr>
      <w:tr>
        <w:tblPrEx>
          <w:tblLayout w:type="fixed"/>
          <w:tblCellMar>
            <w:top w:w="0" w:type="dxa"/>
            <w:left w:w="108" w:type="dxa"/>
            <w:bottom w:w="0" w:type="dxa"/>
            <w:right w:w="108" w:type="dxa"/>
          </w:tblCellMar>
        </w:tblPrEx>
        <w:trPr>
          <w:trHeight w:val="425" w:hRule="atLeast"/>
        </w:trPr>
        <w:tc>
          <w:tcPr>
            <w:tcW w:w="1287" w:type="dxa"/>
            <w:tcBorders>
              <w:top w:val="nil"/>
              <w:left w:val="single" w:color="auto" w:sz="8" w:space="0"/>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2</w:t>
            </w:r>
          </w:p>
        </w:tc>
        <w:tc>
          <w:tcPr>
            <w:tcW w:w="386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left"/>
              <w:rPr>
                <w:rFonts w:ascii="宋体" w:hAnsi="宋体" w:cs="宋体"/>
                <w:color w:val="auto"/>
                <w:sz w:val="21"/>
                <w:szCs w:val="21"/>
              </w:rPr>
            </w:pPr>
            <w:r>
              <w:rPr>
                <w:rFonts w:hint="eastAsia" w:ascii="宋体" w:hAnsi="宋体" w:cs="宋体"/>
                <w:color w:val="auto"/>
                <w:sz w:val="21"/>
                <w:szCs w:val="21"/>
              </w:rPr>
              <w:t>准确跟踪施工进度</w:t>
            </w:r>
          </w:p>
        </w:tc>
        <w:tc>
          <w:tcPr>
            <w:tcW w:w="3027" w:type="dxa"/>
            <w:tcBorders>
              <w:top w:val="nil"/>
              <w:left w:val="nil"/>
              <w:bottom w:val="single" w:color="auto" w:sz="4" w:space="0"/>
              <w:right w:val="single" w:color="auto" w:sz="8" w:space="0"/>
            </w:tcBorders>
            <w:shd w:val="clear" w:color="auto" w:fill="auto"/>
            <w:vAlign w:val="center"/>
          </w:tcPr>
          <w:p>
            <w:pPr>
              <w:spacing w:line="240" w:lineRule="auto"/>
              <w:ind w:firstLine="0" w:firstLineChars="0"/>
              <w:jc w:val="left"/>
              <w:rPr>
                <w:rFonts w:ascii="宋体" w:hAnsi="宋体" w:cs="宋体"/>
                <w:color w:val="auto"/>
                <w:sz w:val="21"/>
                <w:szCs w:val="21"/>
              </w:rPr>
            </w:pPr>
            <w:r>
              <w:rPr>
                <w:rFonts w:hint="eastAsia" w:ascii="宋体" w:hAnsi="宋体" w:cs="宋体"/>
                <w:color w:val="auto"/>
                <w:sz w:val="21"/>
                <w:szCs w:val="21"/>
              </w:rPr>
              <w:t>4D模拟</w:t>
            </w:r>
          </w:p>
        </w:tc>
      </w:tr>
      <w:tr>
        <w:tblPrEx>
          <w:tblLayout w:type="fixed"/>
          <w:tblCellMar>
            <w:top w:w="0" w:type="dxa"/>
            <w:left w:w="108" w:type="dxa"/>
            <w:bottom w:w="0" w:type="dxa"/>
            <w:right w:w="108" w:type="dxa"/>
          </w:tblCellMar>
        </w:tblPrEx>
        <w:trPr>
          <w:trHeight w:val="425" w:hRule="atLeast"/>
        </w:trPr>
        <w:tc>
          <w:tcPr>
            <w:tcW w:w="1287" w:type="dxa"/>
            <w:tcBorders>
              <w:top w:val="nil"/>
              <w:left w:val="single" w:color="auto" w:sz="8" w:space="0"/>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2</w:t>
            </w:r>
          </w:p>
        </w:tc>
        <w:tc>
          <w:tcPr>
            <w:tcW w:w="3864"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left"/>
              <w:rPr>
                <w:rFonts w:ascii="宋体" w:hAnsi="宋体" w:cs="宋体"/>
                <w:color w:val="auto"/>
                <w:sz w:val="21"/>
                <w:szCs w:val="21"/>
              </w:rPr>
            </w:pPr>
            <w:r>
              <w:rPr>
                <w:rFonts w:hint="eastAsia" w:ascii="宋体" w:hAnsi="宋体" w:cs="宋体"/>
                <w:color w:val="auto"/>
                <w:sz w:val="21"/>
                <w:szCs w:val="21"/>
              </w:rPr>
              <w:t>提供最终准确的建设设计记录，以供后续项目运维及改造使用</w:t>
            </w:r>
          </w:p>
        </w:tc>
        <w:tc>
          <w:tcPr>
            <w:tcW w:w="3027" w:type="dxa"/>
            <w:tcBorders>
              <w:top w:val="nil"/>
              <w:left w:val="nil"/>
              <w:bottom w:val="single" w:color="auto" w:sz="4" w:space="0"/>
              <w:right w:val="single" w:color="auto" w:sz="8" w:space="0"/>
            </w:tcBorders>
            <w:shd w:val="clear" w:color="auto" w:fill="auto"/>
            <w:vAlign w:val="center"/>
          </w:tcPr>
          <w:p>
            <w:pPr>
              <w:spacing w:line="240" w:lineRule="auto"/>
              <w:ind w:firstLine="0" w:firstLineChars="0"/>
              <w:jc w:val="left"/>
              <w:rPr>
                <w:rFonts w:ascii="宋体" w:hAnsi="宋体" w:cs="宋体"/>
                <w:color w:val="auto"/>
                <w:sz w:val="21"/>
                <w:szCs w:val="21"/>
              </w:rPr>
            </w:pPr>
            <w:r>
              <w:rPr>
                <w:rFonts w:hint="eastAsia" w:ascii="宋体" w:hAnsi="宋体" w:cs="宋体"/>
                <w:color w:val="auto"/>
                <w:sz w:val="21"/>
                <w:szCs w:val="21"/>
              </w:rPr>
              <w:t>竣工模型，3D协调</w:t>
            </w:r>
          </w:p>
        </w:tc>
      </w:tr>
      <w:tr>
        <w:tblPrEx>
          <w:tblLayout w:type="fixed"/>
          <w:tblCellMar>
            <w:top w:w="0" w:type="dxa"/>
            <w:left w:w="108" w:type="dxa"/>
            <w:bottom w:w="0" w:type="dxa"/>
            <w:right w:w="108" w:type="dxa"/>
          </w:tblCellMar>
        </w:tblPrEx>
        <w:trPr>
          <w:trHeight w:val="425" w:hRule="atLeast"/>
        </w:trPr>
        <w:tc>
          <w:tcPr>
            <w:tcW w:w="1287" w:type="dxa"/>
            <w:tcBorders>
              <w:top w:val="nil"/>
              <w:left w:val="single" w:color="auto" w:sz="8" w:space="0"/>
              <w:bottom w:val="nil"/>
              <w:right w:val="single" w:color="auto" w:sz="4" w:space="0"/>
            </w:tcBorders>
            <w:shd w:val="clear" w:color="auto" w:fill="auto"/>
            <w:vAlign w:val="center"/>
          </w:tcPr>
          <w:p>
            <w:pPr>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3</w:t>
            </w:r>
          </w:p>
        </w:tc>
        <w:tc>
          <w:tcPr>
            <w:tcW w:w="3864" w:type="dxa"/>
            <w:tcBorders>
              <w:top w:val="nil"/>
              <w:left w:val="nil"/>
              <w:bottom w:val="nil"/>
              <w:right w:val="single" w:color="auto" w:sz="4" w:space="0"/>
            </w:tcBorders>
            <w:shd w:val="clear" w:color="auto" w:fill="auto"/>
            <w:vAlign w:val="center"/>
          </w:tcPr>
          <w:p>
            <w:pPr>
              <w:spacing w:line="240" w:lineRule="auto"/>
              <w:ind w:firstLine="0" w:firstLineChars="0"/>
              <w:jc w:val="left"/>
              <w:rPr>
                <w:rFonts w:ascii="宋体" w:hAnsi="宋体" w:cs="宋体"/>
                <w:color w:val="auto"/>
                <w:sz w:val="21"/>
                <w:szCs w:val="21"/>
              </w:rPr>
            </w:pPr>
            <w:r>
              <w:rPr>
                <w:rFonts w:hint="eastAsia" w:ascii="宋体" w:hAnsi="宋体" w:cs="宋体"/>
                <w:color w:val="auto"/>
                <w:sz w:val="21"/>
                <w:szCs w:val="21"/>
              </w:rPr>
              <w:t>有效监控设计进度，确保实现开工目标</w:t>
            </w:r>
          </w:p>
        </w:tc>
        <w:tc>
          <w:tcPr>
            <w:tcW w:w="3027" w:type="dxa"/>
            <w:tcBorders>
              <w:top w:val="nil"/>
              <w:left w:val="nil"/>
              <w:bottom w:val="nil"/>
              <w:right w:val="single" w:color="auto" w:sz="8" w:space="0"/>
            </w:tcBorders>
            <w:shd w:val="clear" w:color="auto" w:fill="auto"/>
            <w:vAlign w:val="center"/>
          </w:tcPr>
          <w:p>
            <w:pPr>
              <w:spacing w:line="240" w:lineRule="auto"/>
              <w:ind w:firstLine="0" w:firstLineChars="0"/>
              <w:jc w:val="left"/>
              <w:rPr>
                <w:rFonts w:ascii="宋体" w:hAnsi="宋体" w:cs="宋体"/>
                <w:color w:val="auto"/>
                <w:sz w:val="21"/>
                <w:szCs w:val="21"/>
              </w:rPr>
            </w:pPr>
            <w:r>
              <w:rPr>
                <w:rFonts w:hint="eastAsia" w:ascii="宋体" w:hAnsi="宋体" w:cs="宋体"/>
                <w:color w:val="auto"/>
                <w:sz w:val="21"/>
                <w:szCs w:val="21"/>
              </w:rPr>
              <w:t>设计复核</w:t>
            </w:r>
          </w:p>
        </w:tc>
      </w:tr>
      <w:tr>
        <w:tblPrEx>
          <w:tblLayout w:type="fixed"/>
          <w:tblCellMar>
            <w:top w:w="0" w:type="dxa"/>
            <w:left w:w="108" w:type="dxa"/>
            <w:bottom w:w="0" w:type="dxa"/>
            <w:right w:w="108" w:type="dxa"/>
          </w:tblCellMar>
        </w:tblPrEx>
        <w:trPr>
          <w:trHeight w:val="425" w:hRule="atLeast"/>
        </w:trPr>
        <w:tc>
          <w:tcPr>
            <w:tcW w:w="1287" w:type="dxa"/>
            <w:tcBorders>
              <w:top w:val="single" w:color="auto" w:sz="4" w:space="0"/>
              <w:left w:val="single" w:color="auto" w:sz="8" w:space="0"/>
              <w:bottom w:val="single" w:color="auto" w:sz="8" w:space="0"/>
              <w:right w:val="single" w:color="auto" w:sz="4" w:space="0"/>
            </w:tcBorders>
            <w:shd w:val="clear" w:color="auto" w:fill="auto"/>
            <w:vAlign w:val="center"/>
          </w:tcPr>
          <w:p>
            <w:pPr>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3</w:t>
            </w:r>
          </w:p>
        </w:tc>
        <w:tc>
          <w:tcPr>
            <w:tcW w:w="3864" w:type="dxa"/>
            <w:tcBorders>
              <w:top w:val="single" w:color="auto" w:sz="4" w:space="0"/>
              <w:left w:val="nil"/>
              <w:bottom w:val="single" w:color="auto" w:sz="8" w:space="0"/>
              <w:right w:val="single" w:color="auto" w:sz="4" w:space="0"/>
            </w:tcBorders>
            <w:shd w:val="clear" w:color="auto" w:fill="auto"/>
            <w:vAlign w:val="center"/>
          </w:tcPr>
          <w:p>
            <w:pPr>
              <w:spacing w:line="240" w:lineRule="auto"/>
              <w:ind w:firstLine="0" w:firstLineChars="0"/>
              <w:jc w:val="left"/>
              <w:rPr>
                <w:rFonts w:ascii="宋体" w:hAnsi="宋体" w:cs="宋体"/>
                <w:color w:val="auto"/>
                <w:sz w:val="21"/>
                <w:szCs w:val="21"/>
              </w:rPr>
            </w:pPr>
            <w:r>
              <w:rPr>
                <w:rFonts w:hint="eastAsia" w:ascii="宋体" w:hAnsi="宋体" w:cs="宋体"/>
                <w:color w:val="auto"/>
                <w:sz w:val="21"/>
                <w:szCs w:val="21"/>
              </w:rPr>
              <w:t>及时准确审查变更的成本影响</w:t>
            </w:r>
          </w:p>
        </w:tc>
        <w:tc>
          <w:tcPr>
            <w:tcW w:w="3027" w:type="dxa"/>
            <w:tcBorders>
              <w:top w:val="single" w:color="auto" w:sz="4" w:space="0"/>
              <w:left w:val="nil"/>
              <w:bottom w:val="single" w:color="auto" w:sz="8" w:space="0"/>
              <w:right w:val="single" w:color="auto" w:sz="8" w:space="0"/>
            </w:tcBorders>
            <w:shd w:val="clear" w:color="auto" w:fill="auto"/>
            <w:vAlign w:val="center"/>
          </w:tcPr>
          <w:p>
            <w:pPr>
              <w:spacing w:line="240" w:lineRule="auto"/>
              <w:ind w:firstLine="0" w:firstLineChars="0"/>
              <w:jc w:val="left"/>
              <w:rPr>
                <w:rFonts w:ascii="宋体" w:hAnsi="宋体" w:cs="宋体"/>
                <w:color w:val="auto"/>
                <w:sz w:val="21"/>
                <w:szCs w:val="21"/>
              </w:rPr>
            </w:pPr>
            <w:r>
              <w:rPr>
                <w:rFonts w:hint="eastAsia" w:ascii="宋体" w:hAnsi="宋体" w:cs="宋体"/>
                <w:color w:val="auto"/>
                <w:sz w:val="21"/>
                <w:szCs w:val="21"/>
              </w:rPr>
              <w:t>设计建模, 成本估算</w:t>
            </w:r>
          </w:p>
        </w:tc>
      </w:tr>
    </w:tbl>
    <w:p>
      <w:pPr>
        <w:ind w:firstLine="0" w:firstLineChars="0"/>
        <w:rPr>
          <w:rFonts w:eastAsiaTheme="minorEastAsia"/>
          <w:color w:val="auto"/>
          <w:szCs w:val="32"/>
        </w:rPr>
      </w:pPr>
      <w:r>
        <w:rPr>
          <w:rFonts w:hint="eastAsia" w:eastAsiaTheme="minorEastAsia"/>
          <w:color w:val="auto"/>
          <w:szCs w:val="32"/>
        </w:rPr>
        <w:t>为了方便模型应用点审查，也可以编制如表2所示包括模型应用价值、责任方、能力、附加说明以及团队决定是否实施模型应用等内容的模型应用点分析工作表。</w:t>
      </w:r>
    </w:p>
    <w:p>
      <w:pPr>
        <w:ind w:firstLine="0" w:firstLineChars="0"/>
        <w:jc w:val="center"/>
        <w:rPr>
          <w:rFonts w:eastAsiaTheme="minorEastAsia"/>
          <w:color w:val="auto"/>
          <w:szCs w:val="32"/>
        </w:rPr>
      </w:pPr>
      <w:r>
        <w:rPr>
          <w:rFonts w:eastAsiaTheme="minorEastAsia"/>
          <w:color w:val="auto"/>
          <w:szCs w:val="32"/>
        </w:rPr>
        <w:t>表</w:t>
      </w:r>
      <w:r>
        <w:rPr>
          <w:rFonts w:hint="eastAsia" w:eastAsiaTheme="minorEastAsia"/>
          <w:color w:val="auto"/>
          <w:szCs w:val="32"/>
        </w:rPr>
        <w:t>2</w:t>
      </w:r>
      <w:r>
        <w:rPr>
          <w:rFonts w:eastAsiaTheme="minorEastAsia"/>
          <w:color w:val="auto"/>
          <w:szCs w:val="32"/>
        </w:rPr>
        <w:t xml:space="preserve">  </w:t>
      </w:r>
      <w:r>
        <w:rPr>
          <w:rFonts w:hint="eastAsia" w:eastAsiaTheme="minorEastAsia"/>
          <w:color w:val="auto"/>
          <w:szCs w:val="32"/>
        </w:rPr>
        <w:t>模型应用点分析工作表示例</w:t>
      </w:r>
    </w:p>
    <w:tbl>
      <w:tblPr>
        <w:tblStyle w:val="74"/>
        <w:tblW w:w="8332" w:type="dxa"/>
        <w:jc w:val="center"/>
        <w:tblInd w:w="0" w:type="dxa"/>
        <w:tblLayout w:type="fixed"/>
        <w:tblCellMar>
          <w:top w:w="0" w:type="dxa"/>
          <w:left w:w="108" w:type="dxa"/>
          <w:bottom w:w="0" w:type="dxa"/>
          <w:right w:w="108" w:type="dxa"/>
        </w:tblCellMar>
      </w:tblPr>
      <w:tblGrid>
        <w:gridCol w:w="1002"/>
        <w:gridCol w:w="646"/>
        <w:gridCol w:w="1134"/>
        <w:gridCol w:w="709"/>
        <w:gridCol w:w="425"/>
        <w:gridCol w:w="426"/>
        <w:gridCol w:w="425"/>
        <w:gridCol w:w="1417"/>
        <w:gridCol w:w="1560"/>
        <w:gridCol w:w="588"/>
      </w:tblGrid>
      <w:tr>
        <w:tblPrEx>
          <w:tblLayout w:type="fixed"/>
          <w:tblCellMar>
            <w:top w:w="0" w:type="dxa"/>
            <w:left w:w="108" w:type="dxa"/>
            <w:bottom w:w="0" w:type="dxa"/>
            <w:right w:w="108" w:type="dxa"/>
          </w:tblCellMar>
        </w:tblPrEx>
        <w:trPr>
          <w:trHeight w:val="402" w:hRule="atLeast"/>
          <w:jc w:val="center"/>
        </w:trPr>
        <w:tc>
          <w:tcPr>
            <w:tcW w:w="1002" w:type="dxa"/>
            <w:vMerge w:val="restart"/>
            <w:tcBorders>
              <w:top w:val="single" w:color="auto" w:sz="8" w:space="0"/>
              <w:left w:val="single" w:color="auto" w:sz="8"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b/>
                <w:bCs/>
                <w:color w:val="auto"/>
                <w:sz w:val="18"/>
                <w:szCs w:val="18"/>
              </w:rPr>
            </w:pPr>
            <w:r>
              <w:rPr>
                <w:rFonts w:hint="eastAsia" w:ascii="宋体" w:hAnsi="宋体" w:cs="宋体"/>
                <w:b/>
                <w:bCs/>
                <w:color w:val="auto"/>
                <w:sz w:val="18"/>
                <w:szCs w:val="18"/>
              </w:rPr>
              <w:t>模型</w:t>
            </w:r>
          </w:p>
          <w:p>
            <w:pPr>
              <w:spacing w:line="240" w:lineRule="auto"/>
              <w:ind w:firstLine="0" w:firstLineChars="0"/>
              <w:jc w:val="center"/>
              <w:rPr>
                <w:rFonts w:ascii="宋体" w:hAnsi="宋体" w:cs="宋体"/>
                <w:b/>
                <w:bCs/>
                <w:color w:val="auto"/>
                <w:sz w:val="18"/>
                <w:szCs w:val="18"/>
              </w:rPr>
            </w:pPr>
            <w:r>
              <w:rPr>
                <w:rFonts w:hint="eastAsia" w:ascii="宋体" w:hAnsi="宋体" w:cs="宋体"/>
                <w:b/>
                <w:bCs/>
                <w:color w:val="auto"/>
                <w:sz w:val="18"/>
                <w:szCs w:val="18"/>
              </w:rPr>
              <w:t>应用点</w:t>
            </w:r>
          </w:p>
        </w:tc>
        <w:tc>
          <w:tcPr>
            <w:tcW w:w="646" w:type="dxa"/>
            <w:vMerge w:val="restart"/>
            <w:tcBorders>
              <w:top w:val="single" w:color="auto" w:sz="8" w:space="0"/>
              <w:left w:val="single" w:color="auto" w:sz="4" w:space="0"/>
              <w:bottom w:val="single" w:color="000000" w:sz="4" w:space="0"/>
              <w:right w:val="single" w:color="auto" w:sz="4" w:space="0"/>
            </w:tcBorders>
            <w:shd w:val="clear" w:color="auto" w:fill="auto"/>
            <w:vAlign w:val="center"/>
          </w:tcPr>
          <w:p>
            <w:pPr>
              <w:spacing w:line="240" w:lineRule="auto"/>
              <w:ind w:firstLine="0" w:firstLineChars="0"/>
              <w:jc w:val="center"/>
              <w:rPr>
                <w:rFonts w:ascii="宋体" w:hAnsi="宋体" w:cs="宋体"/>
                <w:b/>
                <w:bCs/>
                <w:color w:val="auto"/>
                <w:sz w:val="18"/>
                <w:szCs w:val="18"/>
              </w:rPr>
            </w:pPr>
            <w:r>
              <w:rPr>
                <w:rFonts w:hint="eastAsia" w:ascii="宋体" w:hAnsi="宋体" w:cs="宋体"/>
                <w:b/>
                <w:bCs/>
                <w:color w:val="auto"/>
                <w:sz w:val="18"/>
                <w:szCs w:val="18"/>
              </w:rPr>
              <w:t>对项目的价值</w:t>
            </w:r>
          </w:p>
        </w:tc>
        <w:tc>
          <w:tcPr>
            <w:tcW w:w="1134" w:type="dxa"/>
            <w:vMerge w:val="restart"/>
            <w:tcBorders>
              <w:top w:val="single" w:color="auto" w:sz="8"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cs="宋体"/>
                <w:b/>
                <w:bCs/>
                <w:color w:val="auto"/>
                <w:sz w:val="18"/>
                <w:szCs w:val="18"/>
              </w:rPr>
            </w:pPr>
            <w:r>
              <w:rPr>
                <w:rFonts w:hint="eastAsia" w:ascii="宋体" w:hAnsi="宋体" w:cs="宋体"/>
                <w:b/>
                <w:bCs/>
                <w:color w:val="auto"/>
                <w:sz w:val="18"/>
                <w:szCs w:val="18"/>
              </w:rPr>
              <w:t>责任方</w:t>
            </w:r>
          </w:p>
        </w:tc>
        <w:tc>
          <w:tcPr>
            <w:tcW w:w="709" w:type="dxa"/>
            <w:vMerge w:val="restart"/>
            <w:tcBorders>
              <w:top w:val="single" w:color="auto" w:sz="8" w:space="0"/>
              <w:left w:val="nil"/>
              <w:bottom w:val="single" w:color="000000" w:sz="4" w:space="0"/>
              <w:right w:val="single" w:color="auto" w:sz="4" w:space="0"/>
            </w:tcBorders>
            <w:shd w:val="clear" w:color="auto" w:fill="auto"/>
            <w:vAlign w:val="center"/>
          </w:tcPr>
          <w:p>
            <w:pPr>
              <w:spacing w:line="240" w:lineRule="auto"/>
              <w:ind w:firstLine="0" w:firstLineChars="0"/>
              <w:jc w:val="center"/>
              <w:rPr>
                <w:rFonts w:ascii="宋体" w:hAnsi="宋体" w:cs="宋体"/>
                <w:b/>
                <w:bCs/>
                <w:color w:val="auto"/>
                <w:sz w:val="18"/>
                <w:szCs w:val="18"/>
              </w:rPr>
            </w:pPr>
            <w:r>
              <w:rPr>
                <w:rFonts w:hint="eastAsia" w:ascii="宋体" w:hAnsi="宋体" w:cs="宋体"/>
                <w:b/>
                <w:bCs/>
                <w:color w:val="auto"/>
                <w:sz w:val="18"/>
                <w:szCs w:val="18"/>
              </w:rPr>
              <w:t>对责任方价值</w:t>
            </w:r>
          </w:p>
        </w:tc>
        <w:tc>
          <w:tcPr>
            <w:tcW w:w="1276" w:type="dxa"/>
            <w:gridSpan w:val="3"/>
            <w:vMerge w:val="restart"/>
            <w:tcBorders>
              <w:top w:val="single" w:color="auto" w:sz="8"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cs="宋体"/>
                <w:b/>
                <w:bCs/>
                <w:color w:val="auto"/>
                <w:sz w:val="18"/>
                <w:szCs w:val="18"/>
              </w:rPr>
            </w:pPr>
            <w:r>
              <w:rPr>
                <w:rFonts w:hint="eastAsia" w:ascii="宋体" w:hAnsi="宋体" w:cs="宋体"/>
                <w:b/>
                <w:bCs/>
                <w:color w:val="auto"/>
                <w:sz w:val="18"/>
                <w:szCs w:val="18"/>
              </w:rPr>
              <w:t>能力评级</w:t>
            </w:r>
          </w:p>
        </w:tc>
        <w:tc>
          <w:tcPr>
            <w:tcW w:w="1417" w:type="dxa"/>
            <w:vMerge w:val="restart"/>
            <w:tcBorders>
              <w:top w:val="single" w:color="auto" w:sz="8"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Arial" w:hAnsi="Arial" w:cs="Arial"/>
                <w:b/>
                <w:bCs/>
                <w:color w:val="auto"/>
                <w:sz w:val="18"/>
                <w:szCs w:val="18"/>
              </w:rPr>
            </w:pPr>
            <w:r>
              <w:rPr>
                <w:rFonts w:hint="eastAsia" w:ascii="宋体" w:hAnsi="宋体" w:cs="Arial"/>
                <w:b/>
                <w:bCs/>
                <w:color w:val="auto"/>
                <w:sz w:val="18"/>
                <w:szCs w:val="18"/>
              </w:rPr>
              <w:t>实施所需的额外资源</w:t>
            </w:r>
            <w:r>
              <w:rPr>
                <w:rFonts w:ascii="Arial" w:hAnsi="Arial" w:cs="Arial"/>
                <w:b/>
                <w:bCs/>
                <w:color w:val="auto"/>
                <w:sz w:val="18"/>
                <w:szCs w:val="18"/>
              </w:rPr>
              <w:t>/</w:t>
            </w:r>
            <w:r>
              <w:rPr>
                <w:rFonts w:hint="eastAsia" w:ascii="宋体" w:hAnsi="宋体" w:cs="Arial"/>
                <w:b/>
                <w:bCs/>
                <w:color w:val="auto"/>
                <w:sz w:val="18"/>
                <w:szCs w:val="18"/>
              </w:rPr>
              <w:t>能力</w:t>
            </w:r>
          </w:p>
        </w:tc>
        <w:tc>
          <w:tcPr>
            <w:tcW w:w="1560" w:type="dxa"/>
            <w:vMerge w:val="restart"/>
            <w:tcBorders>
              <w:top w:val="single" w:color="auto" w:sz="8" w:space="0"/>
              <w:left w:val="single" w:color="auto" w:sz="4" w:space="0"/>
              <w:bottom w:val="single" w:color="auto" w:sz="4" w:space="0"/>
              <w:right w:val="nil"/>
            </w:tcBorders>
            <w:shd w:val="clear" w:color="auto" w:fill="auto"/>
            <w:noWrap/>
            <w:vAlign w:val="center"/>
          </w:tcPr>
          <w:p>
            <w:pPr>
              <w:spacing w:line="240" w:lineRule="auto"/>
              <w:ind w:firstLine="0" w:firstLineChars="0"/>
              <w:jc w:val="center"/>
              <w:rPr>
                <w:rFonts w:ascii="宋体" w:hAnsi="宋体" w:cs="宋体"/>
                <w:b/>
                <w:bCs/>
                <w:color w:val="auto"/>
                <w:sz w:val="18"/>
                <w:szCs w:val="18"/>
              </w:rPr>
            </w:pPr>
            <w:r>
              <w:rPr>
                <w:rFonts w:hint="eastAsia" w:ascii="宋体" w:hAnsi="宋体" w:cs="宋体"/>
                <w:b/>
                <w:bCs/>
                <w:color w:val="auto"/>
                <w:sz w:val="18"/>
                <w:szCs w:val="18"/>
              </w:rPr>
              <w:t>备注</w:t>
            </w:r>
          </w:p>
        </w:tc>
        <w:tc>
          <w:tcPr>
            <w:tcW w:w="588" w:type="dxa"/>
            <w:vMerge w:val="restart"/>
            <w:tcBorders>
              <w:top w:val="single" w:color="auto" w:sz="8" w:space="0"/>
              <w:left w:val="single" w:color="auto" w:sz="4" w:space="0"/>
              <w:bottom w:val="single" w:color="auto" w:sz="4" w:space="0"/>
              <w:right w:val="single" w:color="auto" w:sz="8" w:space="0"/>
            </w:tcBorders>
            <w:shd w:val="clear" w:color="auto" w:fill="auto"/>
            <w:vAlign w:val="center"/>
          </w:tcPr>
          <w:p>
            <w:pPr>
              <w:spacing w:line="240" w:lineRule="auto"/>
              <w:ind w:firstLine="0" w:firstLineChars="0"/>
              <w:jc w:val="center"/>
              <w:rPr>
                <w:rFonts w:ascii="宋体" w:hAnsi="宋体" w:cs="宋体"/>
                <w:b/>
                <w:bCs/>
                <w:color w:val="auto"/>
                <w:sz w:val="18"/>
                <w:szCs w:val="18"/>
              </w:rPr>
            </w:pPr>
            <w:r>
              <w:rPr>
                <w:rFonts w:hint="eastAsia" w:ascii="宋体" w:hAnsi="宋体" w:cs="宋体"/>
                <w:b/>
                <w:bCs/>
                <w:color w:val="auto"/>
                <w:sz w:val="18"/>
                <w:szCs w:val="18"/>
              </w:rPr>
              <w:t>过程应用</w:t>
            </w:r>
          </w:p>
        </w:tc>
      </w:tr>
      <w:tr>
        <w:tblPrEx>
          <w:tblLayout w:type="fixed"/>
          <w:tblCellMar>
            <w:top w:w="0" w:type="dxa"/>
            <w:left w:w="108" w:type="dxa"/>
            <w:bottom w:w="0" w:type="dxa"/>
            <w:right w:w="108" w:type="dxa"/>
          </w:tblCellMar>
        </w:tblPrEx>
        <w:trPr>
          <w:trHeight w:val="402" w:hRule="atLeast"/>
          <w:jc w:val="center"/>
        </w:trPr>
        <w:tc>
          <w:tcPr>
            <w:tcW w:w="1002" w:type="dxa"/>
            <w:vMerge w:val="continue"/>
            <w:tcBorders>
              <w:top w:val="single" w:color="auto" w:sz="8" w:space="0"/>
              <w:left w:val="single" w:color="auto" w:sz="8" w:space="0"/>
              <w:bottom w:val="single" w:color="auto" w:sz="4" w:space="0"/>
              <w:right w:val="single" w:color="auto" w:sz="4" w:space="0"/>
            </w:tcBorders>
            <w:vAlign w:val="center"/>
          </w:tcPr>
          <w:p>
            <w:pPr>
              <w:spacing w:line="240" w:lineRule="auto"/>
              <w:ind w:firstLine="0" w:firstLineChars="0"/>
              <w:jc w:val="left"/>
              <w:rPr>
                <w:rFonts w:ascii="宋体" w:hAnsi="宋体" w:cs="宋体"/>
                <w:b/>
                <w:bCs/>
                <w:color w:val="auto"/>
                <w:sz w:val="18"/>
                <w:szCs w:val="18"/>
              </w:rPr>
            </w:pPr>
          </w:p>
        </w:tc>
        <w:tc>
          <w:tcPr>
            <w:tcW w:w="646" w:type="dxa"/>
            <w:vMerge w:val="continue"/>
            <w:tcBorders>
              <w:top w:val="single" w:color="auto" w:sz="8" w:space="0"/>
              <w:left w:val="single" w:color="auto" w:sz="4" w:space="0"/>
              <w:bottom w:val="single" w:color="000000" w:sz="4" w:space="0"/>
              <w:right w:val="single" w:color="auto" w:sz="4" w:space="0"/>
            </w:tcBorders>
            <w:vAlign w:val="center"/>
          </w:tcPr>
          <w:p>
            <w:pPr>
              <w:spacing w:line="240" w:lineRule="auto"/>
              <w:ind w:firstLine="0" w:firstLineChars="0"/>
              <w:jc w:val="left"/>
              <w:rPr>
                <w:rFonts w:ascii="宋体" w:hAnsi="宋体" w:cs="宋体"/>
                <w:b/>
                <w:bCs/>
                <w:color w:val="auto"/>
                <w:sz w:val="18"/>
                <w:szCs w:val="18"/>
              </w:rPr>
            </w:pPr>
          </w:p>
        </w:tc>
        <w:tc>
          <w:tcPr>
            <w:tcW w:w="1134" w:type="dxa"/>
            <w:vMerge w:val="continue"/>
            <w:tcBorders>
              <w:top w:val="single" w:color="auto" w:sz="8" w:space="0"/>
              <w:left w:val="single" w:color="auto" w:sz="4" w:space="0"/>
              <w:bottom w:val="single" w:color="auto" w:sz="4" w:space="0"/>
              <w:right w:val="single" w:color="auto" w:sz="4" w:space="0"/>
            </w:tcBorders>
            <w:vAlign w:val="center"/>
          </w:tcPr>
          <w:p>
            <w:pPr>
              <w:spacing w:line="240" w:lineRule="auto"/>
              <w:ind w:firstLine="0" w:firstLineChars="0"/>
              <w:jc w:val="left"/>
              <w:rPr>
                <w:rFonts w:ascii="宋体" w:hAnsi="宋体" w:cs="宋体"/>
                <w:b/>
                <w:bCs/>
                <w:color w:val="auto"/>
                <w:sz w:val="18"/>
                <w:szCs w:val="18"/>
              </w:rPr>
            </w:pPr>
          </w:p>
        </w:tc>
        <w:tc>
          <w:tcPr>
            <w:tcW w:w="709" w:type="dxa"/>
            <w:vMerge w:val="continue"/>
            <w:tcBorders>
              <w:top w:val="single" w:color="auto" w:sz="8" w:space="0"/>
              <w:left w:val="nil"/>
              <w:bottom w:val="single" w:color="000000" w:sz="4" w:space="0"/>
              <w:right w:val="single" w:color="auto" w:sz="4" w:space="0"/>
            </w:tcBorders>
            <w:vAlign w:val="center"/>
          </w:tcPr>
          <w:p>
            <w:pPr>
              <w:spacing w:line="240" w:lineRule="auto"/>
              <w:ind w:firstLine="0" w:firstLineChars="0"/>
              <w:jc w:val="left"/>
              <w:rPr>
                <w:rFonts w:ascii="宋体" w:hAnsi="宋体" w:cs="宋体"/>
                <w:b/>
                <w:bCs/>
                <w:color w:val="auto"/>
                <w:sz w:val="18"/>
                <w:szCs w:val="18"/>
              </w:rPr>
            </w:pPr>
          </w:p>
        </w:tc>
        <w:tc>
          <w:tcPr>
            <w:tcW w:w="1276" w:type="dxa"/>
            <w:gridSpan w:val="3"/>
            <w:vMerge w:val="continue"/>
            <w:tcBorders>
              <w:top w:val="single" w:color="auto" w:sz="8" w:space="0"/>
              <w:left w:val="single" w:color="auto" w:sz="4" w:space="0"/>
              <w:bottom w:val="single" w:color="auto" w:sz="4" w:space="0"/>
              <w:right w:val="single" w:color="auto" w:sz="4" w:space="0"/>
            </w:tcBorders>
            <w:vAlign w:val="center"/>
          </w:tcPr>
          <w:p>
            <w:pPr>
              <w:spacing w:line="240" w:lineRule="auto"/>
              <w:ind w:firstLine="0" w:firstLineChars="0"/>
              <w:jc w:val="left"/>
              <w:rPr>
                <w:rFonts w:ascii="宋体" w:hAnsi="宋体" w:cs="宋体"/>
                <w:b/>
                <w:bCs/>
                <w:color w:val="auto"/>
                <w:sz w:val="18"/>
                <w:szCs w:val="18"/>
              </w:rPr>
            </w:pPr>
          </w:p>
        </w:tc>
        <w:tc>
          <w:tcPr>
            <w:tcW w:w="1417" w:type="dxa"/>
            <w:vMerge w:val="continue"/>
            <w:tcBorders>
              <w:top w:val="single" w:color="auto" w:sz="8" w:space="0"/>
              <w:left w:val="single" w:color="auto" w:sz="4" w:space="0"/>
              <w:bottom w:val="single" w:color="auto" w:sz="4" w:space="0"/>
              <w:right w:val="single" w:color="auto" w:sz="4" w:space="0"/>
            </w:tcBorders>
            <w:vAlign w:val="center"/>
          </w:tcPr>
          <w:p>
            <w:pPr>
              <w:spacing w:line="240" w:lineRule="auto"/>
              <w:ind w:firstLine="0" w:firstLineChars="0"/>
              <w:jc w:val="left"/>
              <w:rPr>
                <w:rFonts w:ascii="Arial" w:hAnsi="Arial" w:cs="Arial"/>
                <w:b/>
                <w:bCs/>
                <w:color w:val="auto"/>
                <w:sz w:val="18"/>
                <w:szCs w:val="18"/>
              </w:rPr>
            </w:pPr>
          </w:p>
        </w:tc>
        <w:tc>
          <w:tcPr>
            <w:tcW w:w="1560" w:type="dxa"/>
            <w:vMerge w:val="continue"/>
            <w:tcBorders>
              <w:top w:val="single" w:color="auto" w:sz="8" w:space="0"/>
              <w:left w:val="single" w:color="auto" w:sz="4" w:space="0"/>
              <w:bottom w:val="single" w:color="auto" w:sz="4" w:space="0"/>
              <w:right w:val="nil"/>
            </w:tcBorders>
            <w:vAlign w:val="center"/>
          </w:tcPr>
          <w:p>
            <w:pPr>
              <w:spacing w:line="240" w:lineRule="auto"/>
              <w:ind w:firstLine="0" w:firstLineChars="0"/>
              <w:jc w:val="left"/>
              <w:rPr>
                <w:rFonts w:ascii="宋体" w:hAnsi="宋体" w:cs="宋体"/>
                <w:b/>
                <w:bCs/>
                <w:color w:val="auto"/>
                <w:sz w:val="18"/>
                <w:szCs w:val="18"/>
              </w:rPr>
            </w:pPr>
          </w:p>
        </w:tc>
        <w:tc>
          <w:tcPr>
            <w:tcW w:w="588" w:type="dxa"/>
            <w:vMerge w:val="continue"/>
            <w:tcBorders>
              <w:top w:val="single" w:color="auto" w:sz="8" w:space="0"/>
              <w:left w:val="single" w:color="auto" w:sz="4" w:space="0"/>
              <w:bottom w:val="single" w:color="auto" w:sz="4" w:space="0"/>
              <w:right w:val="single" w:color="auto" w:sz="8" w:space="0"/>
            </w:tcBorders>
            <w:vAlign w:val="center"/>
          </w:tcPr>
          <w:p>
            <w:pPr>
              <w:spacing w:line="240" w:lineRule="auto"/>
              <w:ind w:firstLine="0" w:firstLineChars="0"/>
              <w:jc w:val="left"/>
              <w:rPr>
                <w:rFonts w:ascii="宋体" w:hAnsi="宋体" w:cs="宋体"/>
                <w:b/>
                <w:bCs/>
                <w:color w:val="auto"/>
                <w:sz w:val="18"/>
                <w:szCs w:val="18"/>
              </w:rPr>
            </w:pPr>
          </w:p>
        </w:tc>
      </w:tr>
      <w:tr>
        <w:tblPrEx>
          <w:tblLayout w:type="fixed"/>
          <w:tblCellMar>
            <w:top w:w="0" w:type="dxa"/>
            <w:left w:w="108" w:type="dxa"/>
            <w:bottom w:w="0" w:type="dxa"/>
            <w:right w:w="108" w:type="dxa"/>
          </w:tblCellMar>
        </w:tblPrEx>
        <w:trPr>
          <w:trHeight w:val="702" w:hRule="atLeast"/>
          <w:jc w:val="center"/>
        </w:trPr>
        <w:tc>
          <w:tcPr>
            <w:tcW w:w="1002" w:type="dxa"/>
            <w:tcBorders>
              <w:top w:val="nil"/>
              <w:left w:val="single" w:color="auto" w:sz="8" w:space="0"/>
              <w:bottom w:val="single" w:color="auto" w:sz="4" w:space="0"/>
              <w:right w:val="single" w:color="auto" w:sz="4" w:space="0"/>
            </w:tcBorders>
            <w:shd w:val="clear" w:color="auto" w:fill="auto"/>
            <w:noWrap/>
            <w:vAlign w:val="bottom"/>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　</w:t>
            </w:r>
          </w:p>
        </w:tc>
        <w:tc>
          <w:tcPr>
            <w:tcW w:w="64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Arial" w:hAnsi="Arial" w:cs="Arial"/>
                <w:b/>
                <w:bCs/>
                <w:color w:val="auto"/>
                <w:sz w:val="18"/>
                <w:szCs w:val="18"/>
              </w:rPr>
            </w:pPr>
            <w:r>
              <w:rPr>
                <w:rFonts w:hint="eastAsia" w:ascii="宋体" w:hAnsi="宋体" w:cs="Arial"/>
                <w:b/>
                <w:bCs/>
                <w:color w:val="auto"/>
                <w:sz w:val="18"/>
                <w:szCs w:val="18"/>
              </w:rPr>
              <w:t>高</w:t>
            </w:r>
            <w:r>
              <w:rPr>
                <w:rFonts w:ascii="Arial" w:hAnsi="Arial" w:cs="Arial"/>
                <w:b/>
                <w:bCs/>
                <w:color w:val="auto"/>
                <w:sz w:val="18"/>
                <w:szCs w:val="18"/>
              </w:rPr>
              <w:t>/</w:t>
            </w:r>
            <w:r>
              <w:rPr>
                <w:rFonts w:hint="eastAsia" w:ascii="宋体" w:hAnsi="宋体" w:cs="Arial"/>
                <w:b/>
                <w:bCs/>
                <w:color w:val="auto"/>
                <w:sz w:val="18"/>
                <w:szCs w:val="18"/>
              </w:rPr>
              <w:t>中</w:t>
            </w:r>
            <w:r>
              <w:rPr>
                <w:rFonts w:ascii="Arial" w:hAnsi="Arial" w:cs="Arial"/>
                <w:b/>
                <w:bCs/>
                <w:color w:val="auto"/>
                <w:sz w:val="18"/>
                <w:szCs w:val="18"/>
              </w:rPr>
              <w:t>/</w:t>
            </w:r>
            <w:r>
              <w:rPr>
                <w:rFonts w:hint="eastAsia" w:ascii="宋体" w:hAnsi="宋体" w:cs="Arial"/>
                <w:b/>
                <w:bCs/>
                <w:color w:val="auto"/>
                <w:sz w:val="18"/>
                <w:szCs w:val="18"/>
              </w:rPr>
              <w:t>低</w:t>
            </w:r>
          </w:p>
        </w:tc>
        <w:tc>
          <w:tcPr>
            <w:tcW w:w="1134" w:type="dxa"/>
            <w:tcBorders>
              <w:top w:val="nil"/>
              <w:left w:val="nil"/>
              <w:bottom w:val="single" w:color="auto" w:sz="4" w:space="0"/>
              <w:right w:val="single" w:color="auto" w:sz="4" w:space="0"/>
            </w:tcBorders>
            <w:shd w:val="clear" w:color="auto" w:fill="auto"/>
            <w:vAlign w:val="bottom"/>
          </w:tcPr>
          <w:p>
            <w:pPr>
              <w:spacing w:line="240" w:lineRule="auto"/>
              <w:ind w:firstLine="0" w:firstLineChars="0"/>
              <w:jc w:val="center"/>
              <w:rPr>
                <w:rFonts w:ascii="Arial" w:hAnsi="Arial" w:cs="Arial"/>
                <w:b/>
                <w:bCs/>
                <w:color w:val="auto"/>
                <w:sz w:val="18"/>
                <w:szCs w:val="18"/>
              </w:rPr>
            </w:pPr>
            <w:r>
              <w:rPr>
                <w:rFonts w:ascii="Arial" w:hAnsi="Arial" w:cs="Arial"/>
                <w:b/>
                <w:bCs/>
                <w:color w:val="auto"/>
                <w:sz w:val="18"/>
                <w:szCs w:val="18"/>
              </w:rPr>
              <w:t>　</w:t>
            </w:r>
          </w:p>
        </w:tc>
        <w:tc>
          <w:tcPr>
            <w:tcW w:w="70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Arial" w:hAnsi="Arial" w:cs="Arial"/>
                <w:b/>
                <w:bCs/>
                <w:color w:val="auto"/>
                <w:sz w:val="18"/>
                <w:szCs w:val="18"/>
              </w:rPr>
            </w:pPr>
            <w:r>
              <w:rPr>
                <w:rFonts w:hint="eastAsia" w:ascii="宋体" w:hAnsi="宋体" w:cs="Arial"/>
                <w:b/>
                <w:bCs/>
                <w:color w:val="auto"/>
                <w:sz w:val="18"/>
                <w:szCs w:val="18"/>
              </w:rPr>
              <w:t>高</w:t>
            </w:r>
            <w:r>
              <w:rPr>
                <w:rFonts w:ascii="Arial" w:hAnsi="Arial" w:cs="Arial"/>
                <w:b/>
                <w:bCs/>
                <w:color w:val="auto"/>
                <w:sz w:val="18"/>
                <w:szCs w:val="18"/>
              </w:rPr>
              <w:t>/</w:t>
            </w:r>
            <w:r>
              <w:rPr>
                <w:rFonts w:hint="eastAsia" w:ascii="宋体" w:hAnsi="宋体" w:cs="Arial"/>
                <w:b/>
                <w:bCs/>
                <w:color w:val="auto"/>
                <w:sz w:val="18"/>
                <w:szCs w:val="18"/>
              </w:rPr>
              <w:t>中</w:t>
            </w:r>
            <w:r>
              <w:rPr>
                <w:rFonts w:ascii="Arial" w:hAnsi="Arial" w:cs="Arial"/>
                <w:b/>
                <w:bCs/>
                <w:color w:val="auto"/>
                <w:sz w:val="18"/>
                <w:szCs w:val="18"/>
              </w:rPr>
              <w:t>/</w:t>
            </w:r>
            <w:r>
              <w:rPr>
                <w:rFonts w:hint="eastAsia" w:ascii="宋体" w:hAnsi="宋体" w:cs="Arial"/>
                <w:b/>
                <w:bCs/>
                <w:color w:val="auto"/>
                <w:sz w:val="18"/>
                <w:szCs w:val="18"/>
              </w:rPr>
              <w:t>低</w:t>
            </w:r>
          </w:p>
        </w:tc>
        <w:tc>
          <w:tcPr>
            <w:tcW w:w="1276" w:type="dxa"/>
            <w:gridSpan w:val="3"/>
            <w:tcBorders>
              <w:top w:val="single" w:color="auto" w:sz="4" w:space="0"/>
              <w:left w:val="nil"/>
              <w:bottom w:val="single" w:color="auto" w:sz="4" w:space="0"/>
              <w:right w:val="single" w:color="000000" w:sz="4" w:space="0"/>
            </w:tcBorders>
            <w:shd w:val="clear" w:color="auto" w:fill="auto"/>
            <w:vAlign w:val="center"/>
          </w:tcPr>
          <w:p>
            <w:pPr>
              <w:spacing w:line="240" w:lineRule="auto"/>
              <w:ind w:firstLine="0" w:firstLineChars="0"/>
              <w:jc w:val="center"/>
              <w:rPr>
                <w:rFonts w:ascii="Arial" w:hAnsi="Arial" w:cs="Arial"/>
                <w:b/>
                <w:bCs/>
                <w:color w:val="auto"/>
                <w:sz w:val="18"/>
                <w:szCs w:val="18"/>
              </w:rPr>
            </w:pPr>
            <w:r>
              <w:rPr>
                <w:rFonts w:hint="eastAsia" w:ascii="宋体" w:hAnsi="宋体" w:cs="Arial"/>
                <w:b/>
                <w:bCs/>
                <w:color w:val="auto"/>
                <w:sz w:val="18"/>
                <w:szCs w:val="18"/>
              </w:rPr>
              <w:t>等级</w:t>
            </w:r>
            <w:r>
              <w:rPr>
                <w:rFonts w:ascii="Arial" w:hAnsi="Arial" w:cs="Arial"/>
                <w:b/>
                <w:bCs/>
                <w:color w:val="auto"/>
                <w:sz w:val="18"/>
                <w:szCs w:val="18"/>
              </w:rPr>
              <w:t xml:space="preserve"> 1-3             (1 = </w:t>
            </w:r>
            <w:r>
              <w:rPr>
                <w:rFonts w:hint="eastAsia" w:ascii="宋体" w:hAnsi="宋体" w:cs="Arial"/>
                <w:b/>
                <w:bCs/>
                <w:color w:val="auto"/>
                <w:sz w:val="18"/>
                <w:szCs w:val="18"/>
              </w:rPr>
              <w:t>低</w:t>
            </w:r>
            <w:r>
              <w:rPr>
                <w:rFonts w:ascii="Arial" w:hAnsi="Arial" w:cs="Arial"/>
                <w:b/>
                <w:bCs/>
                <w:color w:val="auto"/>
                <w:sz w:val="18"/>
                <w:szCs w:val="18"/>
              </w:rPr>
              <w:t>)</w:t>
            </w:r>
          </w:p>
        </w:tc>
        <w:tc>
          <w:tcPr>
            <w:tcW w:w="1417" w:type="dxa"/>
            <w:tcBorders>
              <w:top w:val="nil"/>
              <w:left w:val="nil"/>
              <w:bottom w:val="single" w:color="auto" w:sz="4" w:space="0"/>
              <w:right w:val="single" w:color="auto" w:sz="4" w:space="0"/>
            </w:tcBorders>
            <w:shd w:val="clear" w:color="auto" w:fill="auto"/>
            <w:vAlign w:val="bottom"/>
          </w:tcPr>
          <w:p>
            <w:pPr>
              <w:spacing w:line="240" w:lineRule="auto"/>
              <w:ind w:firstLine="0" w:firstLineChars="0"/>
              <w:jc w:val="center"/>
              <w:rPr>
                <w:rFonts w:ascii="Arial" w:hAnsi="Arial" w:cs="Arial"/>
                <w:b/>
                <w:bCs/>
                <w:color w:val="auto"/>
                <w:sz w:val="18"/>
                <w:szCs w:val="18"/>
              </w:rPr>
            </w:pPr>
            <w:r>
              <w:rPr>
                <w:rFonts w:ascii="Arial" w:hAnsi="Arial" w:cs="Arial"/>
                <w:b/>
                <w:bCs/>
                <w:color w:val="auto"/>
                <w:sz w:val="18"/>
                <w:szCs w:val="18"/>
              </w:rPr>
              <w:t>　</w:t>
            </w:r>
          </w:p>
        </w:tc>
        <w:tc>
          <w:tcPr>
            <w:tcW w:w="1560" w:type="dxa"/>
            <w:tcBorders>
              <w:top w:val="nil"/>
              <w:left w:val="nil"/>
              <w:bottom w:val="single" w:color="auto" w:sz="4" w:space="0"/>
              <w:right w:val="nil"/>
            </w:tcBorders>
            <w:shd w:val="clear" w:color="auto" w:fill="auto"/>
            <w:vAlign w:val="bottom"/>
          </w:tcPr>
          <w:p>
            <w:pPr>
              <w:spacing w:line="240" w:lineRule="auto"/>
              <w:ind w:firstLine="0" w:firstLineChars="0"/>
              <w:jc w:val="center"/>
              <w:rPr>
                <w:rFonts w:ascii="Arial" w:hAnsi="Arial" w:cs="Arial"/>
                <w:b/>
                <w:bCs/>
                <w:color w:val="auto"/>
                <w:sz w:val="18"/>
                <w:szCs w:val="18"/>
              </w:rPr>
            </w:pPr>
            <w:r>
              <w:rPr>
                <w:rFonts w:ascii="Arial" w:hAnsi="Arial" w:cs="Arial"/>
                <w:b/>
                <w:bCs/>
                <w:color w:val="auto"/>
                <w:sz w:val="18"/>
                <w:szCs w:val="18"/>
              </w:rPr>
              <w:t>　</w:t>
            </w:r>
          </w:p>
        </w:tc>
        <w:tc>
          <w:tcPr>
            <w:tcW w:w="588" w:type="dxa"/>
            <w:tcBorders>
              <w:top w:val="nil"/>
              <w:left w:val="single" w:color="auto" w:sz="4" w:space="0"/>
              <w:bottom w:val="single" w:color="auto" w:sz="4" w:space="0"/>
              <w:right w:val="single" w:color="auto" w:sz="8" w:space="0"/>
            </w:tcBorders>
            <w:shd w:val="clear" w:color="auto" w:fill="auto"/>
            <w:vAlign w:val="center"/>
          </w:tcPr>
          <w:p>
            <w:pPr>
              <w:spacing w:line="240" w:lineRule="auto"/>
              <w:ind w:firstLine="0" w:firstLineChars="0"/>
              <w:jc w:val="center"/>
              <w:rPr>
                <w:rFonts w:ascii="Arial" w:hAnsi="Arial" w:cs="Arial"/>
                <w:b/>
                <w:bCs/>
                <w:color w:val="auto"/>
                <w:sz w:val="18"/>
                <w:szCs w:val="18"/>
              </w:rPr>
            </w:pPr>
            <w:r>
              <w:rPr>
                <w:rFonts w:hint="eastAsia" w:ascii="宋体" w:hAnsi="宋体" w:cs="Arial"/>
                <w:b/>
                <w:bCs/>
                <w:color w:val="auto"/>
                <w:sz w:val="18"/>
                <w:szCs w:val="18"/>
              </w:rPr>
              <w:t>是</w:t>
            </w:r>
            <w:r>
              <w:rPr>
                <w:rFonts w:ascii="Arial" w:hAnsi="Arial" w:cs="Arial"/>
                <w:b/>
                <w:bCs/>
                <w:color w:val="auto"/>
                <w:sz w:val="18"/>
                <w:szCs w:val="18"/>
              </w:rPr>
              <w:t>/</w:t>
            </w:r>
            <w:r>
              <w:rPr>
                <w:rFonts w:hint="eastAsia" w:ascii="宋体" w:hAnsi="宋体" w:cs="Arial"/>
                <w:b/>
                <w:bCs/>
                <w:color w:val="auto"/>
                <w:sz w:val="18"/>
                <w:szCs w:val="18"/>
              </w:rPr>
              <w:t>否</w:t>
            </w:r>
            <w:r>
              <w:rPr>
                <w:rFonts w:ascii="Arial" w:hAnsi="Arial" w:cs="Arial"/>
                <w:b/>
                <w:bCs/>
                <w:color w:val="auto"/>
                <w:sz w:val="18"/>
                <w:szCs w:val="18"/>
              </w:rPr>
              <w:t>/</w:t>
            </w:r>
            <w:r>
              <w:rPr>
                <w:rFonts w:hint="eastAsia" w:ascii="宋体" w:hAnsi="宋体" w:cs="Arial"/>
                <w:b/>
                <w:bCs/>
                <w:color w:val="auto"/>
                <w:sz w:val="18"/>
                <w:szCs w:val="18"/>
              </w:rPr>
              <w:t>可能</w:t>
            </w:r>
          </w:p>
        </w:tc>
      </w:tr>
      <w:tr>
        <w:tblPrEx>
          <w:tblLayout w:type="fixed"/>
          <w:tblCellMar>
            <w:top w:w="0" w:type="dxa"/>
            <w:left w:w="108" w:type="dxa"/>
            <w:bottom w:w="0" w:type="dxa"/>
            <w:right w:w="108" w:type="dxa"/>
          </w:tblCellMar>
        </w:tblPrEx>
        <w:trPr>
          <w:trHeight w:val="553" w:hRule="atLeast"/>
          <w:jc w:val="center"/>
        </w:trPr>
        <w:tc>
          <w:tcPr>
            <w:tcW w:w="1002" w:type="dxa"/>
            <w:tcBorders>
              <w:top w:val="nil"/>
              <w:left w:val="single" w:color="auto" w:sz="8" w:space="0"/>
              <w:bottom w:val="single" w:color="auto" w:sz="4" w:space="0"/>
              <w:right w:val="single" w:color="auto" w:sz="4" w:space="0"/>
            </w:tcBorders>
            <w:shd w:val="clear" w:color="auto" w:fill="auto"/>
            <w:vAlign w:val="bottom"/>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　</w:t>
            </w:r>
          </w:p>
        </w:tc>
        <w:tc>
          <w:tcPr>
            <w:tcW w:w="646" w:type="dxa"/>
            <w:tcBorders>
              <w:top w:val="nil"/>
              <w:left w:val="nil"/>
              <w:bottom w:val="single" w:color="auto" w:sz="4" w:space="0"/>
              <w:right w:val="single" w:color="auto" w:sz="4" w:space="0"/>
            </w:tcBorders>
            <w:shd w:val="clear" w:color="auto" w:fill="auto"/>
            <w:vAlign w:val="bottom"/>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　</w:t>
            </w:r>
          </w:p>
        </w:tc>
        <w:tc>
          <w:tcPr>
            <w:tcW w:w="1134" w:type="dxa"/>
            <w:tcBorders>
              <w:top w:val="nil"/>
              <w:left w:val="nil"/>
              <w:bottom w:val="single" w:color="auto" w:sz="4" w:space="0"/>
              <w:right w:val="single" w:color="auto" w:sz="4" w:space="0"/>
            </w:tcBorders>
            <w:shd w:val="clear" w:color="auto" w:fill="auto"/>
            <w:vAlign w:val="bottom"/>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　</w:t>
            </w:r>
          </w:p>
        </w:tc>
        <w:tc>
          <w:tcPr>
            <w:tcW w:w="709" w:type="dxa"/>
            <w:tcBorders>
              <w:top w:val="nil"/>
              <w:left w:val="nil"/>
              <w:bottom w:val="single" w:color="auto" w:sz="4" w:space="0"/>
              <w:right w:val="single" w:color="auto" w:sz="4" w:space="0"/>
            </w:tcBorders>
            <w:shd w:val="clear" w:color="auto" w:fill="auto"/>
            <w:vAlign w:val="bottom"/>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　</w:t>
            </w:r>
          </w:p>
        </w:tc>
        <w:tc>
          <w:tcPr>
            <w:tcW w:w="425" w:type="dxa"/>
            <w:tcBorders>
              <w:top w:val="nil"/>
              <w:left w:val="nil"/>
              <w:bottom w:val="single" w:color="auto" w:sz="4" w:space="0"/>
              <w:right w:val="single" w:color="auto" w:sz="4" w:space="0"/>
            </w:tcBorders>
            <w:shd w:val="clear" w:color="auto" w:fill="auto"/>
            <w:noWrap/>
            <w:textDirection w:val="btLr"/>
            <w:vAlign w:val="bottom"/>
          </w:tcPr>
          <w:p>
            <w:pPr>
              <w:spacing w:line="240" w:lineRule="auto"/>
              <w:ind w:firstLine="0" w:firstLineChars="0"/>
              <w:jc w:val="center"/>
              <w:rPr>
                <w:rFonts w:ascii="宋体" w:hAnsi="宋体" w:cs="宋体"/>
                <w:color w:val="auto"/>
                <w:sz w:val="18"/>
                <w:szCs w:val="18"/>
              </w:rPr>
            </w:pPr>
            <w:r>
              <w:rPr>
                <w:rFonts w:hint="eastAsia" w:ascii="宋体" w:hAnsi="宋体" w:cs="宋体"/>
                <w:color w:val="auto"/>
                <w:sz w:val="18"/>
                <w:szCs w:val="18"/>
              </w:rPr>
              <w:t>资源</w:t>
            </w:r>
          </w:p>
        </w:tc>
        <w:tc>
          <w:tcPr>
            <w:tcW w:w="426" w:type="dxa"/>
            <w:tcBorders>
              <w:top w:val="nil"/>
              <w:left w:val="nil"/>
              <w:bottom w:val="single" w:color="auto" w:sz="4" w:space="0"/>
              <w:right w:val="single" w:color="auto" w:sz="4" w:space="0"/>
            </w:tcBorders>
            <w:shd w:val="clear" w:color="auto" w:fill="auto"/>
            <w:noWrap/>
            <w:textDirection w:val="btLr"/>
            <w:vAlign w:val="bottom"/>
          </w:tcPr>
          <w:p>
            <w:pPr>
              <w:spacing w:line="240" w:lineRule="auto"/>
              <w:ind w:firstLine="0" w:firstLineChars="0"/>
              <w:jc w:val="center"/>
              <w:rPr>
                <w:rFonts w:ascii="宋体" w:hAnsi="宋体" w:cs="宋体"/>
                <w:color w:val="auto"/>
                <w:sz w:val="18"/>
                <w:szCs w:val="18"/>
              </w:rPr>
            </w:pPr>
            <w:r>
              <w:rPr>
                <w:rFonts w:hint="eastAsia" w:ascii="宋体" w:hAnsi="宋体" w:cs="宋体"/>
                <w:color w:val="auto"/>
                <w:sz w:val="18"/>
                <w:szCs w:val="18"/>
              </w:rPr>
              <w:t>能力</w:t>
            </w:r>
          </w:p>
        </w:tc>
        <w:tc>
          <w:tcPr>
            <w:tcW w:w="425" w:type="dxa"/>
            <w:tcBorders>
              <w:top w:val="nil"/>
              <w:left w:val="nil"/>
              <w:bottom w:val="single" w:color="auto" w:sz="4" w:space="0"/>
              <w:right w:val="single" w:color="auto" w:sz="4" w:space="0"/>
            </w:tcBorders>
            <w:shd w:val="clear" w:color="auto" w:fill="auto"/>
            <w:noWrap/>
            <w:textDirection w:val="btLr"/>
            <w:vAlign w:val="bottom"/>
          </w:tcPr>
          <w:p>
            <w:pPr>
              <w:spacing w:line="240" w:lineRule="auto"/>
              <w:ind w:firstLine="0" w:firstLineChars="0"/>
              <w:jc w:val="center"/>
              <w:rPr>
                <w:rFonts w:ascii="宋体" w:hAnsi="宋体" w:cs="宋体"/>
                <w:color w:val="auto"/>
                <w:sz w:val="18"/>
                <w:szCs w:val="18"/>
              </w:rPr>
            </w:pPr>
            <w:r>
              <w:rPr>
                <w:rFonts w:hint="eastAsia" w:ascii="宋体" w:hAnsi="宋体" w:cs="宋体"/>
                <w:color w:val="auto"/>
                <w:sz w:val="18"/>
                <w:szCs w:val="18"/>
              </w:rPr>
              <w:t>经验</w:t>
            </w:r>
          </w:p>
        </w:tc>
        <w:tc>
          <w:tcPr>
            <w:tcW w:w="1417" w:type="dxa"/>
            <w:tcBorders>
              <w:top w:val="nil"/>
              <w:left w:val="nil"/>
              <w:bottom w:val="single" w:color="auto" w:sz="4" w:space="0"/>
              <w:right w:val="single" w:color="auto" w:sz="4" w:space="0"/>
            </w:tcBorders>
            <w:shd w:val="clear" w:color="auto" w:fill="auto"/>
            <w:vAlign w:val="bottom"/>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　</w:t>
            </w:r>
          </w:p>
        </w:tc>
        <w:tc>
          <w:tcPr>
            <w:tcW w:w="1560" w:type="dxa"/>
            <w:tcBorders>
              <w:top w:val="nil"/>
              <w:left w:val="nil"/>
              <w:bottom w:val="single" w:color="auto" w:sz="4" w:space="0"/>
              <w:right w:val="nil"/>
            </w:tcBorders>
            <w:shd w:val="clear" w:color="auto" w:fill="auto"/>
            <w:vAlign w:val="bottom"/>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　</w:t>
            </w:r>
          </w:p>
        </w:tc>
        <w:tc>
          <w:tcPr>
            <w:tcW w:w="588" w:type="dxa"/>
            <w:tcBorders>
              <w:top w:val="nil"/>
              <w:left w:val="single" w:color="auto" w:sz="4" w:space="0"/>
              <w:bottom w:val="single" w:color="auto" w:sz="4" w:space="0"/>
              <w:right w:val="single" w:color="auto" w:sz="8" w:space="0"/>
            </w:tcBorders>
            <w:shd w:val="clear" w:color="auto" w:fill="auto"/>
            <w:vAlign w:val="bottom"/>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　</w:t>
            </w:r>
          </w:p>
        </w:tc>
      </w:tr>
      <w:tr>
        <w:tblPrEx>
          <w:tblLayout w:type="fixed"/>
          <w:tblCellMar>
            <w:top w:w="0" w:type="dxa"/>
            <w:left w:w="108" w:type="dxa"/>
            <w:bottom w:w="0" w:type="dxa"/>
            <w:right w:w="108" w:type="dxa"/>
          </w:tblCellMar>
        </w:tblPrEx>
        <w:trPr>
          <w:trHeight w:val="402" w:hRule="atLeast"/>
          <w:jc w:val="center"/>
        </w:trPr>
        <w:tc>
          <w:tcPr>
            <w:tcW w:w="1002" w:type="dxa"/>
            <w:tcBorders>
              <w:top w:val="nil"/>
              <w:left w:val="single" w:color="auto" w:sz="8" w:space="0"/>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cs="宋体"/>
                <w:b/>
                <w:bCs/>
                <w:color w:val="auto"/>
                <w:sz w:val="18"/>
                <w:szCs w:val="18"/>
              </w:rPr>
            </w:pPr>
            <w:r>
              <w:rPr>
                <w:rFonts w:hint="eastAsia" w:ascii="宋体" w:hAnsi="宋体" w:cs="宋体"/>
                <w:b/>
                <w:bCs/>
                <w:color w:val="auto"/>
                <w:sz w:val="18"/>
                <w:szCs w:val="18"/>
              </w:rPr>
              <w:t>竣工模型</w:t>
            </w:r>
          </w:p>
        </w:tc>
        <w:tc>
          <w:tcPr>
            <w:tcW w:w="646" w:type="dxa"/>
            <w:tcBorders>
              <w:top w:val="nil"/>
              <w:left w:val="nil"/>
              <w:bottom w:val="single" w:color="auto" w:sz="4" w:space="0"/>
              <w:right w:val="nil"/>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宋体" w:hAnsi="宋体" w:cs="Arial"/>
                <w:color w:val="auto"/>
                <w:sz w:val="18"/>
                <w:szCs w:val="18"/>
              </w:rPr>
              <w:t>高</w:t>
            </w:r>
          </w:p>
        </w:tc>
        <w:tc>
          <w:tcPr>
            <w:tcW w:w="1134"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cs="宋体"/>
                <w:color w:val="auto"/>
                <w:sz w:val="18"/>
                <w:szCs w:val="18"/>
              </w:rPr>
            </w:pPr>
            <w:r>
              <w:rPr>
                <w:rFonts w:hint="eastAsia" w:ascii="宋体" w:hAnsi="宋体" w:cs="宋体"/>
                <w:color w:val="auto"/>
                <w:sz w:val="18"/>
                <w:szCs w:val="18"/>
              </w:rPr>
              <w:t>总承包方</w:t>
            </w:r>
          </w:p>
        </w:tc>
        <w:tc>
          <w:tcPr>
            <w:tcW w:w="709" w:type="dxa"/>
            <w:tcBorders>
              <w:top w:val="nil"/>
              <w:left w:val="nil"/>
              <w:bottom w:val="single" w:color="auto" w:sz="4" w:space="0"/>
              <w:right w:val="nil"/>
            </w:tcBorders>
            <w:shd w:val="clear" w:color="auto" w:fill="auto"/>
            <w:noWrap/>
            <w:vAlign w:val="center"/>
          </w:tcPr>
          <w:p>
            <w:pPr>
              <w:spacing w:line="240" w:lineRule="auto"/>
              <w:ind w:firstLine="0" w:firstLineChars="0"/>
              <w:jc w:val="center"/>
              <w:rPr>
                <w:rFonts w:ascii="宋体" w:hAnsi="宋体" w:cs="宋体"/>
                <w:color w:val="auto"/>
                <w:sz w:val="18"/>
                <w:szCs w:val="18"/>
              </w:rPr>
            </w:pPr>
            <w:r>
              <w:rPr>
                <w:rFonts w:hint="eastAsia" w:ascii="宋体" w:hAnsi="宋体" w:cs="宋体"/>
                <w:color w:val="auto"/>
                <w:sz w:val="18"/>
                <w:szCs w:val="18"/>
              </w:rPr>
              <w:t>中</w:t>
            </w:r>
          </w:p>
        </w:tc>
        <w:tc>
          <w:tcPr>
            <w:tcW w:w="425"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2</w:t>
            </w:r>
          </w:p>
        </w:tc>
        <w:tc>
          <w:tcPr>
            <w:tcW w:w="426"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2</w:t>
            </w:r>
          </w:p>
        </w:tc>
        <w:tc>
          <w:tcPr>
            <w:tcW w:w="425"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2</w:t>
            </w:r>
          </w:p>
        </w:tc>
        <w:tc>
          <w:tcPr>
            <w:tcW w:w="1417"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cs="宋体"/>
                <w:color w:val="auto"/>
                <w:sz w:val="18"/>
                <w:szCs w:val="18"/>
              </w:rPr>
            </w:pPr>
            <w:r>
              <w:rPr>
                <w:rFonts w:hint="eastAsia" w:ascii="宋体" w:hAnsi="宋体" w:cs="宋体"/>
                <w:color w:val="auto"/>
                <w:sz w:val="18"/>
                <w:szCs w:val="18"/>
              </w:rPr>
              <w:t>需软件及培训</w:t>
            </w:r>
          </w:p>
        </w:tc>
        <w:tc>
          <w:tcPr>
            <w:tcW w:w="1560" w:type="dxa"/>
            <w:tcBorders>
              <w:top w:val="nil"/>
              <w:left w:val="nil"/>
              <w:bottom w:val="single" w:color="auto" w:sz="4" w:space="0"/>
              <w:right w:val="nil"/>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ascii="Arial" w:hAnsi="Arial" w:cs="Arial"/>
                <w:color w:val="auto"/>
                <w:sz w:val="18"/>
                <w:szCs w:val="18"/>
              </w:rPr>
              <w:t>　</w:t>
            </w:r>
          </w:p>
        </w:tc>
        <w:tc>
          <w:tcPr>
            <w:tcW w:w="588" w:type="dxa"/>
            <w:tcBorders>
              <w:top w:val="nil"/>
              <w:left w:val="single" w:color="auto" w:sz="4" w:space="0"/>
              <w:bottom w:val="nil"/>
              <w:right w:val="single" w:color="auto" w:sz="8" w:space="0"/>
            </w:tcBorders>
            <w:shd w:val="clear" w:color="auto" w:fill="auto"/>
            <w:noWrap/>
            <w:vAlign w:val="center"/>
          </w:tcPr>
          <w:p>
            <w:pPr>
              <w:spacing w:line="240" w:lineRule="auto"/>
              <w:ind w:firstLine="0" w:firstLineChars="0"/>
              <w:jc w:val="center"/>
              <w:rPr>
                <w:rFonts w:ascii="宋体" w:hAnsi="宋体" w:cs="宋体"/>
                <w:b/>
                <w:bCs/>
                <w:color w:val="auto"/>
                <w:sz w:val="18"/>
                <w:szCs w:val="18"/>
              </w:rPr>
            </w:pPr>
          </w:p>
        </w:tc>
      </w:tr>
      <w:tr>
        <w:tblPrEx>
          <w:tblLayout w:type="fixed"/>
          <w:tblCellMar>
            <w:top w:w="0" w:type="dxa"/>
            <w:left w:w="108" w:type="dxa"/>
            <w:bottom w:w="0" w:type="dxa"/>
            <w:right w:w="108" w:type="dxa"/>
          </w:tblCellMar>
        </w:tblPrEx>
        <w:trPr>
          <w:trHeight w:val="402" w:hRule="atLeast"/>
          <w:jc w:val="center"/>
        </w:trPr>
        <w:tc>
          <w:tcPr>
            <w:tcW w:w="1002" w:type="dxa"/>
            <w:tcBorders>
              <w:top w:val="nil"/>
              <w:left w:val="single" w:color="auto" w:sz="8" w:space="0"/>
              <w:bottom w:val="nil"/>
              <w:right w:val="nil"/>
            </w:tcBorders>
            <w:shd w:val="clear" w:color="auto" w:fill="auto"/>
            <w:noWrap/>
            <w:vAlign w:val="center"/>
          </w:tcPr>
          <w:p>
            <w:pPr>
              <w:spacing w:line="240" w:lineRule="auto"/>
              <w:ind w:firstLine="0" w:firstLineChars="0"/>
              <w:jc w:val="left"/>
              <w:rPr>
                <w:rFonts w:ascii="Arial" w:hAnsi="Arial" w:cs="Arial"/>
                <w:b/>
                <w:bCs/>
                <w:color w:val="auto"/>
                <w:sz w:val="18"/>
                <w:szCs w:val="18"/>
              </w:rPr>
            </w:pPr>
            <w:r>
              <w:rPr>
                <w:rFonts w:ascii="Arial" w:hAnsi="Arial" w:cs="Arial"/>
                <w:b/>
                <w:bCs/>
                <w:color w:val="auto"/>
                <w:sz w:val="18"/>
                <w:szCs w:val="18"/>
              </w:rPr>
              <w:t>　</w:t>
            </w:r>
          </w:p>
        </w:tc>
        <w:tc>
          <w:tcPr>
            <w:tcW w:w="646" w:type="dxa"/>
            <w:tcBorders>
              <w:top w:val="nil"/>
              <w:left w:val="nil"/>
              <w:bottom w:val="nil"/>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　</w:t>
            </w:r>
          </w:p>
        </w:tc>
        <w:tc>
          <w:tcPr>
            <w:tcW w:w="1134"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cs="宋体"/>
                <w:color w:val="auto"/>
                <w:sz w:val="18"/>
                <w:szCs w:val="18"/>
              </w:rPr>
            </w:pPr>
            <w:r>
              <w:rPr>
                <w:rFonts w:hint="eastAsia" w:ascii="宋体" w:hAnsi="宋体" w:cs="宋体"/>
                <w:color w:val="auto"/>
                <w:sz w:val="18"/>
                <w:szCs w:val="18"/>
              </w:rPr>
              <w:t>运维管理方</w:t>
            </w:r>
          </w:p>
        </w:tc>
        <w:tc>
          <w:tcPr>
            <w:tcW w:w="709" w:type="dxa"/>
            <w:tcBorders>
              <w:top w:val="nil"/>
              <w:left w:val="nil"/>
              <w:bottom w:val="single" w:color="auto" w:sz="4" w:space="0"/>
              <w:right w:val="nil"/>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宋体" w:hAnsi="宋体" w:cs="Arial"/>
                <w:color w:val="auto"/>
                <w:sz w:val="18"/>
                <w:szCs w:val="18"/>
              </w:rPr>
              <w:t>高</w:t>
            </w:r>
          </w:p>
        </w:tc>
        <w:tc>
          <w:tcPr>
            <w:tcW w:w="425"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1</w:t>
            </w:r>
          </w:p>
        </w:tc>
        <w:tc>
          <w:tcPr>
            <w:tcW w:w="426"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2</w:t>
            </w:r>
          </w:p>
        </w:tc>
        <w:tc>
          <w:tcPr>
            <w:tcW w:w="425"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1</w:t>
            </w:r>
          </w:p>
        </w:tc>
        <w:tc>
          <w:tcPr>
            <w:tcW w:w="1417"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cs="宋体"/>
                <w:color w:val="auto"/>
                <w:sz w:val="18"/>
                <w:szCs w:val="18"/>
              </w:rPr>
            </w:pPr>
            <w:r>
              <w:rPr>
                <w:rFonts w:hint="eastAsia" w:ascii="宋体" w:hAnsi="宋体" w:cs="宋体"/>
                <w:color w:val="auto"/>
                <w:sz w:val="18"/>
                <w:szCs w:val="18"/>
              </w:rPr>
              <w:t>需软件及培训</w:t>
            </w:r>
          </w:p>
        </w:tc>
        <w:tc>
          <w:tcPr>
            <w:tcW w:w="1560" w:type="dxa"/>
            <w:tcBorders>
              <w:top w:val="nil"/>
              <w:left w:val="nil"/>
              <w:bottom w:val="single" w:color="auto" w:sz="4" w:space="0"/>
              <w:right w:val="nil"/>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ascii="Arial" w:hAnsi="Arial" w:cs="Arial"/>
                <w:color w:val="auto"/>
                <w:sz w:val="18"/>
                <w:szCs w:val="18"/>
              </w:rPr>
              <w:t>　</w:t>
            </w:r>
          </w:p>
        </w:tc>
        <w:tc>
          <w:tcPr>
            <w:tcW w:w="588" w:type="dxa"/>
            <w:tcBorders>
              <w:top w:val="single" w:color="auto" w:sz="4" w:space="0"/>
              <w:left w:val="single" w:color="auto" w:sz="4" w:space="0"/>
              <w:bottom w:val="nil"/>
              <w:right w:val="single" w:color="auto" w:sz="8" w:space="0"/>
            </w:tcBorders>
            <w:shd w:val="clear" w:color="auto" w:fill="auto"/>
            <w:noWrap/>
            <w:vAlign w:val="center"/>
          </w:tcPr>
          <w:p>
            <w:pPr>
              <w:spacing w:line="240" w:lineRule="auto"/>
              <w:ind w:firstLine="0" w:firstLineChars="0"/>
              <w:jc w:val="center"/>
              <w:rPr>
                <w:rFonts w:ascii="Arial" w:hAnsi="Arial" w:cs="Arial"/>
                <w:b/>
                <w:bCs/>
                <w:color w:val="auto"/>
                <w:sz w:val="18"/>
                <w:szCs w:val="18"/>
              </w:rPr>
            </w:pPr>
            <w:r>
              <w:rPr>
                <w:rFonts w:ascii="Arial" w:hAnsi="Arial" w:cs="Arial"/>
                <w:b/>
                <w:bCs/>
                <w:color w:val="auto"/>
                <w:sz w:val="18"/>
                <w:szCs w:val="18"/>
              </w:rPr>
              <w:t>　</w:t>
            </w:r>
          </w:p>
        </w:tc>
      </w:tr>
      <w:tr>
        <w:tblPrEx>
          <w:tblLayout w:type="fixed"/>
          <w:tblCellMar>
            <w:top w:w="0" w:type="dxa"/>
            <w:left w:w="108" w:type="dxa"/>
            <w:bottom w:w="0" w:type="dxa"/>
            <w:right w:w="108" w:type="dxa"/>
          </w:tblCellMar>
        </w:tblPrEx>
        <w:trPr>
          <w:trHeight w:val="402" w:hRule="atLeast"/>
          <w:jc w:val="center"/>
        </w:trPr>
        <w:tc>
          <w:tcPr>
            <w:tcW w:w="1002" w:type="dxa"/>
            <w:tcBorders>
              <w:top w:val="nil"/>
              <w:left w:val="single" w:color="auto" w:sz="8" w:space="0"/>
              <w:bottom w:val="nil"/>
              <w:right w:val="nil"/>
            </w:tcBorders>
            <w:shd w:val="clear" w:color="auto" w:fill="auto"/>
            <w:noWrap/>
            <w:vAlign w:val="center"/>
          </w:tcPr>
          <w:p>
            <w:pPr>
              <w:spacing w:line="240" w:lineRule="auto"/>
              <w:ind w:firstLine="0" w:firstLineChars="0"/>
              <w:jc w:val="left"/>
              <w:rPr>
                <w:rFonts w:ascii="Arial" w:hAnsi="Arial" w:cs="Arial"/>
                <w:b/>
                <w:bCs/>
                <w:color w:val="auto"/>
                <w:sz w:val="18"/>
                <w:szCs w:val="18"/>
              </w:rPr>
            </w:pPr>
            <w:r>
              <w:rPr>
                <w:rFonts w:ascii="Arial" w:hAnsi="Arial" w:cs="Arial"/>
                <w:b/>
                <w:bCs/>
                <w:color w:val="auto"/>
                <w:sz w:val="18"/>
                <w:szCs w:val="18"/>
              </w:rPr>
              <w:t>　</w:t>
            </w:r>
          </w:p>
        </w:tc>
        <w:tc>
          <w:tcPr>
            <w:tcW w:w="646" w:type="dxa"/>
            <w:tcBorders>
              <w:top w:val="nil"/>
              <w:left w:val="nil"/>
              <w:bottom w:val="nil"/>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　</w:t>
            </w:r>
          </w:p>
        </w:tc>
        <w:tc>
          <w:tcPr>
            <w:tcW w:w="1134"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cs="宋体"/>
                <w:color w:val="auto"/>
                <w:sz w:val="18"/>
                <w:szCs w:val="18"/>
              </w:rPr>
            </w:pPr>
            <w:r>
              <w:rPr>
                <w:rFonts w:hint="eastAsia" w:ascii="宋体" w:hAnsi="宋体" w:cs="宋体"/>
                <w:color w:val="auto"/>
                <w:sz w:val="18"/>
                <w:szCs w:val="18"/>
              </w:rPr>
              <w:t>设计人</w:t>
            </w:r>
          </w:p>
        </w:tc>
        <w:tc>
          <w:tcPr>
            <w:tcW w:w="709" w:type="dxa"/>
            <w:tcBorders>
              <w:top w:val="nil"/>
              <w:left w:val="nil"/>
              <w:bottom w:val="single" w:color="auto" w:sz="4" w:space="0"/>
              <w:right w:val="nil"/>
            </w:tcBorders>
            <w:shd w:val="clear" w:color="auto" w:fill="auto"/>
            <w:noWrap/>
            <w:vAlign w:val="center"/>
          </w:tcPr>
          <w:p>
            <w:pPr>
              <w:spacing w:line="240" w:lineRule="auto"/>
              <w:ind w:firstLine="0" w:firstLineChars="0"/>
              <w:jc w:val="center"/>
              <w:rPr>
                <w:rFonts w:ascii="宋体" w:hAnsi="宋体" w:cs="宋体"/>
                <w:color w:val="auto"/>
                <w:sz w:val="18"/>
                <w:szCs w:val="18"/>
              </w:rPr>
            </w:pPr>
            <w:r>
              <w:rPr>
                <w:rFonts w:hint="eastAsia" w:ascii="宋体" w:hAnsi="宋体" w:cs="宋体"/>
                <w:color w:val="auto"/>
                <w:sz w:val="18"/>
                <w:szCs w:val="18"/>
              </w:rPr>
              <w:t>中</w:t>
            </w:r>
          </w:p>
        </w:tc>
        <w:tc>
          <w:tcPr>
            <w:tcW w:w="425"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3</w:t>
            </w:r>
          </w:p>
        </w:tc>
        <w:tc>
          <w:tcPr>
            <w:tcW w:w="426"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3</w:t>
            </w:r>
          </w:p>
        </w:tc>
        <w:tc>
          <w:tcPr>
            <w:tcW w:w="425"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3</w:t>
            </w:r>
          </w:p>
        </w:tc>
        <w:tc>
          <w:tcPr>
            <w:tcW w:w="1417"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color w:val="auto"/>
                <w:sz w:val="18"/>
                <w:szCs w:val="18"/>
              </w:rPr>
            </w:pPr>
          </w:p>
        </w:tc>
        <w:tc>
          <w:tcPr>
            <w:tcW w:w="1560" w:type="dxa"/>
            <w:tcBorders>
              <w:top w:val="nil"/>
              <w:left w:val="nil"/>
              <w:bottom w:val="single" w:color="auto" w:sz="4" w:space="0"/>
              <w:right w:val="nil"/>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ascii="Arial" w:hAnsi="Arial" w:cs="Arial"/>
                <w:color w:val="auto"/>
                <w:sz w:val="18"/>
                <w:szCs w:val="18"/>
              </w:rPr>
              <w:t>　</w:t>
            </w:r>
          </w:p>
        </w:tc>
        <w:tc>
          <w:tcPr>
            <w:tcW w:w="588" w:type="dxa"/>
            <w:tcBorders>
              <w:top w:val="nil"/>
              <w:left w:val="single" w:color="auto" w:sz="4" w:space="0"/>
              <w:bottom w:val="nil"/>
              <w:right w:val="single" w:color="auto" w:sz="8" w:space="0"/>
            </w:tcBorders>
            <w:shd w:val="clear" w:color="auto" w:fill="auto"/>
            <w:noWrap/>
            <w:vAlign w:val="center"/>
          </w:tcPr>
          <w:p>
            <w:pPr>
              <w:spacing w:line="240" w:lineRule="auto"/>
              <w:ind w:firstLine="0" w:firstLineChars="0"/>
              <w:jc w:val="center"/>
              <w:rPr>
                <w:rFonts w:ascii="Arial" w:hAnsi="Arial" w:cs="Arial"/>
                <w:b/>
                <w:bCs/>
                <w:color w:val="auto"/>
                <w:sz w:val="18"/>
                <w:szCs w:val="18"/>
              </w:rPr>
            </w:pPr>
            <w:r>
              <w:rPr>
                <w:rFonts w:ascii="Arial" w:hAnsi="Arial" w:cs="Arial"/>
                <w:b/>
                <w:bCs/>
                <w:color w:val="auto"/>
                <w:sz w:val="18"/>
                <w:szCs w:val="18"/>
              </w:rPr>
              <w:t>　</w:t>
            </w:r>
          </w:p>
        </w:tc>
      </w:tr>
      <w:tr>
        <w:tblPrEx>
          <w:tblLayout w:type="fixed"/>
          <w:tblCellMar>
            <w:top w:w="0" w:type="dxa"/>
            <w:left w:w="108" w:type="dxa"/>
            <w:bottom w:w="0" w:type="dxa"/>
            <w:right w:w="108" w:type="dxa"/>
          </w:tblCellMar>
        </w:tblPrEx>
        <w:trPr>
          <w:trHeight w:val="402" w:hRule="atLeast"/>
          <w:jc w:val="center"/>
        </w:trPr>
        <w:tc>
          <w:tcPr>
            <w:tcW w:w="1002" w:type="dxa"/>
            <w:tcBorders>
              <w:top w:val="single" w:color="auto" w:sz="4" w:space="0"/>
              <w:left w:val="single" w:color="auto" w:sz="8" w:space="0"/>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cs="宋体"/>
                <w:b/>
                <w:bCs/>
                <w:color w:val="auto"/>
                <w:sz w:val="18"/>
                <w:szCs w:val="18"/>
              </w:rPr>
            </w:pPr>
            <w:r>
              <w:rPr>
                <w:rFonts w:hint="eastAsia" w:ascii="宋体" w:hAnsi="宋体" w:cs="宋体"/>
                <w:b/>
                <w:bCs/>
                <w:color w:val="auto"/>
                <w:sz w:val="18"/>
                <w:szCs w:val="18"/>
              </w:rPr>
              <w:t>成本估算</w:t>
            </w:r>
          </w:p>
        </w:tc>
        <w:tc>
          <w:tcPr>
            <w:tcW w:w="646" w:type="dxa"/>
            <w:tcBorders>
              <w:top w:val="single" w:color="auto" w:sz="4" w:space="0"/>
              <w:left w:val="nil"/>
              <w:bottom w:val="single" w:color="auto" w:sz="4" w:space="0"/>
              <w:right w:val="nil"/>
            </w:tcBorders>
            <w:shd w:val="clear" w:color="auto" w:fill="auto"/>
            <w:noWrap/>
            <w:vAlign w:val="center"/>
          </w:tcPr>
          <w:p>
            <w:pPr>
              <w:spacing w:line="240" w:lineRule="auto"/>
              <w:ind w:firstLine="0" w:firstLineChars="0"/>
              <w:jc w:val="center"/>
              <w:rPr>
                <w:rFonts w:ascii="宋体" w:hAnsi="宋体" w:cs="宋体"/>
                <w:color w:val="auto"/>
                <w:sz w:val="18"/>
                <w:szCs w:val="18"/>
              </w:rPr>
            </w:pPr>
            <w:r>
              <w:rPr>
                <w:rFonts w:hint="eastAsia" w:ascii="宋体" w:hAnsi="宋体" w:cs="宋体"/>
                <w:color w:val="auto"/>
                <w:sz w:val="18"/>
                <w:szCs w:val="18"/>
              </w:rPr>
              <w:t>中</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cs="宋体"/>
                <w:color w:val="auto"/>
                <w:sz w:val="18"/>
                <w:szCs w:val="18"/>
              </w:rPr>
            </w:pPr>
            <w:r>
              <w:rPr>
                <w:rFonts w:hint="eastAsia" w:ascii="宋体" w:hAnsi="宋体" w:cs="宋体"/>
                <w:color w:val="auto"/>
                <w:sz w:val="18"/>
                <w:szCs w:val="18"/>
              </w:rPr>
              <w:t>总承包方</w:t>
            </w:r>
          </w:p>
        </w:tc>
        <w:tc>
          <w:tcPr>
            <w:tcW w:w="709" w:type="dxa"/>
            <w:tcBorders>
              <w:top w:val="single" w:color="auto" w:sz="4" w:space="0"/>
              <w:left w:val="nil"/>
              <w:bottom w:val="single" w:color="auto" w:sz="4" w:space="0"/>
              <w:right w:val="nil"/>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宋体" w:hAnsi="宋体" w:cs="Arial"/>
                <w:color w:val="auto"/>
                <w:sz w:val="18"/>
                <w:szCs w:val="18"/>
              </w:rPr>
              <w:t>高</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2</w:t>
            </w:r>
          </w:p>
        </w:tc>
        <w:tc>
          <w:tcPr>
            <w:tcW w:w="42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1</w:t>
            </w:r>
          </w:p>
        </w:tc>
        <w:tc>
          <w:tcPr>
            <w:tcW w:w="42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1</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ascii="Arial" w:hAnsi="Arial" w:cs="Arial"/>
                <w:color w:val="auto"/>
                <w:sz w:val="18"/>
                <w:szCs w:val="18"/>
              </w:rPr>
              <w:t>　</w:t>
            </w:r>
          </w:p>
        </w:tc>
        <w:tc>
          <w:tcPr>
            <w:tcW w:w="1560" w:type="dxa"/>
            <w:tcBorders>
              <w:top w:val="single" w:color="auto" w:sz="4" w:space="0"/>
              <w:left w:val="nil"/>
              <w:bottom w:val="single" w:color="auto" w:sz="4" w:space="0"/>
              <w:right w:val="nil"/>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ascii="Arial" w:hAnsi="Arial" w:cs="Arial"/>
                <w:color w:val="auto"/>
                <w:sz w:val="18"/>
                <w:szCs w:val="18"/>
              </w:rPr>
              <w:t>　</w:t>
            </w:r>
          </w:p>
        </w:tc>
        <w:tc>
          <w:tcPr>
            <w:tcW w:w="588" w:type="dxa"/>
            <w:tcBorders>
              <w:top w:val="nil"/>
              <w:left w:val="single" w:color="auto" w:sz="4" w:space="0"/>
              <w:bottom w:val="nil"/>
              <w:right w:val="single" w:color="auto" w:sz="8" w:space="0"/>
            </w:tcBorders>
            <w:shd w:val="clear" w:color="auto" w:fill="auto"/>
            <w:noWrap/>
            <w:vAlign w:val="center"/>
          </w:tcPr>
          <w:p>
            <w:pPr>
              <w:spacing w:line="240" w:lineRule="auto"/>
              <w:ind w:firstLine="0" w:firstLineChars="0"/>
              <w:jc w:val="center"/>
              <w:rPr>
                <w:rFonts w:ascii="宋体" w:hAnsi="宋体" w:cs="宋体"/>
                <w:b/>
                <w:bCs/>
                <w:color w:val="auto"/>
                <w:sz w:val="18"/>
                <w:szCs w:val="18"/>
              </w:rPr>
            </w:pPr>
          </w:p>
        </w:tc>
      </w:tr>
      <w:tr>
        <w:tblPrEx>
          <w:tblLayout w:type="fixed"/>
          <w:tblCellMar>
            <w:top w:w="0" w:type="dxa"/>
            <w:left w:w="108" w:type="dxa"/>
            <w:bottom w:w="0" w:type="dxa"/>
            <w:right w:w="108" w:type="dxa"/>
          </w:tblCellMar>
        </w:tblPrEx>
        <w:trPr>
          <w:trHeight w:val="402" w:hRule="atLeast"/>
          <w:jc w:val="center"/>
        </w:trPr>
        <w:tc>
          <w:tcPr>
            <w:tcW w:w="1002" w:type="dxa"/>
            <w:tcBorders>
              <w:top w:val="nil"/>
              <w:left w:val="single" w:color="auto" w:sz="8" w:space="0"/>
              <w:bottom w:val="nil"/>
              <w:right w:val="nil"/>
            </w:tcBorders>
            <w:shd w:val="clear" w:color="auto" w:fill="auto"/>
            <w:noWrap/>
            <w:vAlign w:val="center"/>
          </w:tcPr>
          <w:p>
            <w:pPr>
              <w:spacing w:line="240" w:lineRule="auto"/>
              <w:ind w:firstLine="0" w:firstLineChars="0"/>
              <w:jc w:val="left"/>
              <w:rPr>
                <w:rFonts w:ascii="Arial" w:hAnsi="Arial" w:cs="Arial"/>
                <w:b/>
                <w:bCs/>
                <w:color w:val="auto"/>
                <w:sz w:val="18"/>
                <w:szCs w:val="18"/>
              </w:rPr>
            </w:pPr>
            <w:r>
              <w:rPr>
                <w:rFonts w:ascii="Arial" w:hAnsi="Arial" w:cs="Arial"/>
                <w:b/>
                <w:bCs/>
                <w:color w:val="auto"/>
                <w:sz w:val="18"/>
                <w:szCs w:val="18"/>
              </w:rPr>
              <w:t>　</w:t>
            </w:r>
          </w:p>
        </w:tc>
        <w:tc>
          <w:tcPr>
            <w:tcW w:w="646" w:type="dxa"/>
            <w:tcBorders>
              <w:top w:val="nil"/>
              <w:left w:val="nil"/>
              <w:bottom w:val="nil"/>
              <w:right w:val="nil"/>
            </w:tcBorders>
            <w:shd w:val="clear" w:color="auto" w:fill="auto"/>
            <w:noWrap/>
            <w:vAlign w:val="center"/>
          </w:tcPr>
          <w:p>
            <w:pPr>
              <w:spacing w:line="240" w:lineRule="auto"/>
              <w:ind w:firstLine="0" w:firstLineChars="0"/>
              <w:jc w:val="left"/>
              <w:rPr>
                <w:rFonts w:ascii="Arial" w:hAnsi="Arial" w:cs="Arial"/>
                <w:b/>
                <w:bCs/>
                <w:color w:val="auto"/>
                <w:sz w:val="18"/>
                <w:szCs w:val="18"/>
              </w:rPr>
            </w:pPr>
          </w:p>
        </w:tc>
        <w:tc>
          <w:tcPr>
            <w:tcW w:w="1134"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ascii="Arial" w:hAnsi="Arial" w:cs="Arial"/>
                <w:color w:val="auto"/>
                <w:sz w:val="18"/>
                <w:szCs w:val="18"/>
              </w:rPr>
              <w:t>　</w:t>
            </w:r>
          </w:p>
        </w:tc>
        <w:tc>
          <w:tcPr>
            <w:tcW w:w="70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　</w:t>
            </w:r>
          </w:p>
        </w:tc>
        <w:tc>
          <w:tcPr>
            <w:tcW w:w="425"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　</w:t>
            </w:r>
          </w:p>
        </w:tc>
        <w:tc>
          <w:tcPr>
            <w:tcW w:w="426"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　</w:t>
            </w:r>
          </w:p>
        </w:tc>
        <w:tc>
          <w:tcPr>
            <w:tcW w:w="425"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　</w:t>
            </w:r>
          </w:p>
        </w:tc>
        <w:tc>
          <w:tcPr>
            <w:tcW w:w="1417"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ascii="Arial" w:hAnsi="Arial" w:cs="Arial"/>
                <w:color w:val="auto"/>
                <w:sz w:val="18"/>
                <w:szCs w:val="18"/>
              </w:rPr>
              <w:t>　</w:t>
            </w:r>
          </w:p>
        </w:tc>
        <w:tc>
          <w:tcPr>
            <w:tcW w:w="1560" w:type="dxa"/>
            <w:tcBorders>
              <w:top w:val="nil"/>
              <w:left w:val="nil"/>
              <w:bottom w:val="single" w:color="auto" w:sz="4" w:space="0"/>
              <w:right w:val="nil"/>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ascii="Arial" w:hAnsi="Arial" w:cs="Arial"/>
                <w:color w:val="auto"/>
                <w:sz w:val="18"/>
                <w:szCs w:val="18"/>
              </w:rPr>
              <w:t>　</w:t>
            </w:r>
          </w:p>
        </w:tc>
        <w:tc>
          <w:tcPr>
            <w:tcW w:w="588" w:type="dxa"/>
            <w:tcBorders>
              <w:top w:val="single" w:color="auto" w:sz="4" w:space="0"/>
              <w:left w:val="single" w:color="auto" w:sz="4" w:space="0"/>
              <w:bottom w:val="nil"/>
              <w:right w:val="single" w:color="auto" w:sz="8" w:space="0"/>
            </w:tcBorders>
            <w:shd w:val="clear" w:color="auto" w:fill="auto"/>
            <w:noWrap/>
            <w:vAlign w:val="center"/>
          </w:tcPr>
          <w:p>
            <w:pPr>
              <w:spacing w:line="240" w:lineRule="auto"/>
              <w:ind w:firstLine="0" w:firstLineChars="0"/>
              <w:jc w:val="center"/>
              <w:rPr>
                <w:rFonts w:ascii="Arial" w:hAnsi="Arial" w:cs="Arial"/>
                <w:b/>
                <w:bCs/>
                <w:color w:val="auto"/>
                <w:sz w:val="18"/>
                <w:szCs w:val="18"/>
              </w:rPr>
            </w:pPr>
            <w:r>
              <w:rPr>
                <w:rFonts w:ascii="Arial" w:hAnsi="Arial" w:cs="Arial"/>
                <w:b/>
                <w:bCs/>
                <w:color w:val="auto"/>
                <w:sz w:val="18"/>
                <w:szCs w:val="18"/>
              </w:rPr>
              <w:t>　</w:t>
            </w:r>
          </w:p>
        </w:tc>
      </w:tr>
      <w:tr>
        <w:tblPrEx>
          <w:tblLayout w:type="fixed"/>
          <w:tblCellMar>
            <w:top w:w="0" w:type="dxa"/>
            <w:left w:w="108" w:type="dxa"/>
            <w:bottom w:w="0" w:type="dxa"/>
            <w:right w:w="108" w:type="dxa"/>
          </w:tblCellMar>
        </w:tblPrEx>
        <w:trPr>
          <w:trHeight w:val="402" w:hRule="atLeast"/>
          <w:jc w:val="center"/>
        </w:trPr>
        <w:tc>
          <w:tcPr>
            <w:tcW w:w="1002" w:type="dxa"/>
            <w:tcBorders>
              <w:top w:val="nil"/>
              <w:left w:val="single" w:color="auto" w:sz="8" w:space="0"/>
              <w:bottom w:val="nil"/>
              <w:right w:val="nil"/>
            </w:tcBorders>
            <w:shd w:val="clear" w:color="auto" w:fill="auto"/>
            <w:noWrap/>
            <w:vAlign w:val="center"/>
          </w:tcPr>
          <w:p>
            <w:pPr>
              <w:spacing w:line="240" w:lineRule="auto"/>
              <w:ind w:firstLine="0" w:firstLineChars="0"/>
              <w:jc w:val="left"/>
              <w:rPr>
                <w:rFonts w:ascii="Arial" w:hAnsi="Arial" w:cs="Arial"/>
                <w:b/>
                <w:bCs/>
                <w:color w:val="auto"/>
                <w:sz w:val="18"/>
                <w:szCs w:val="18"/>
              </w:rPr>
            </w:pPr>
            <w:r>
              <w:rPr>
                <w:rFonts w:ascii="Arial" w:hAnsi="Arial" w:cs="Arial"/>
                <w:b/>
                <w:bCs/>
                <w:color w:val="auto"/>
                <w:sz w:val="18"/>
                <w:szCs w:val="18"/>
              </w:rPr>
              <w:t>　</w:t>
            </w:r>
          </w:p>
        </w:tc>
        <w:tc>
          <w:tcPr>
            <w:tcW w:w="646" w:type="dxa"/>
            <w:tcBorders>
              <w:top w:val="nil"/>
              <w:left w:val="nil"/>
              <w:bottom w:val="nil"/>
              <w:right w:val="nil"/>
            </w:tcBorders>
            <w:shd w:val="clear" w:color="auto" w:fill="auto"/>
            <w:noWrap/>
            <w:vAlign w:val="center"/>
          </w:tcPr>
          <w:p>
            <w:pPr>
              <w:spacing w:line="240" w:lineRule="auto"/>
              <w:ind w:firstLine="0" w:firstLineChars="0"/>
              <w:jc w:val="left"/>
              <w:rPr>
                <w:rFonts w:ascii="Arial" w:hAnsi="Arial" w:cs="Arial"/>
                <w:b/>
                <w:bCs/>
                <w:color w:val="auto"/>
                <w:sz w:val="18"/>
                <w:szCs w:val="18"/>
              </w:rPr>
            </w:pPr>
          </w:p>
        </w:tc>
        <w:tc>
          <w:tcPr>
            <w:tcW w:w="1134"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ascii="Arial" w:hAnsi="Arial" w:cs="Arial"/>
                <w:color w:val="auto"/>
                <w:sz w:val="18"/>
                <w:szCs w:val="18"/>
              </w:rPr>
              <w:t>　</w:t>
            </w:r>
          </w:p>
        </w:tc>
        <w:tc>
          <w:tcPr>
            <w:tcW w:w="70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　</w:t>
            </w:r>
          </w:p>
        </w:tc>
        <w:tc>
          <w:tcPr>
            <w:tcW w:w="425"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　</w:t>
            </w:r>
          </w:p>
        </w:tc>
        <w:tc>
          <w:tcPr>
            <w:tcW w:w="426"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　</w:t>
            </w:r>
          </w:p>
        </w:tc>
        <w:tc>
          <w:tcPr>
            <w:tcW w:w="425"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　</w:t>
            </w:r>
          </w:p>
        </w:tc>
        <w:tc>
          <w:tcPr>
            <w:tcW w:w="1417"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ascii="Arial" w:hAnsi="Arial" w:cs="Arial"/>
                <w:color w:val="auto"/>
                <w:sz w:val="18"/>
                <w:szCs w:val="18"/>
              </w:rPr>
              <w:t>　</w:t>
            </w:r>
          </w:p>
        </w:tc>
        <w:tc>
          <w:tcPr>
            <w:tcW w:w="1560" w:type="dxa"/>
            <w:tcBorders>
              <w:top w:val="nil"/>
              <w:left w:val="nil"/>
              <w:bottom w:val="single" w:color="auto" w:sz="4" w:space="0"/>
              <w:right w:val="nil"/>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ascii="Arial" w:hAnsi="Arial" w:cs="Arial"/>
                <w:color w:val="auto"/>
                <w:sz w:val="18"/>
                <w:szCs w:val="18"/>
              </w:rPr>
              <w:t>　</w:t>
            </w:r>
          </w:p>
        </w:tc>
        <w:tc>
          <w:tcPr>
            <w:tcW w:w="588" w:type="dxa"/>
            <w:tcBorders>
              <w:top w:val="nil"/>
              <w:left w:val="single" w:color="auto" w:sz="4" w:space="0"/>
              <w:bottom w:val="nil"/>
              <w:right w:val="single" w:color="auto" w:sz="8" w:space="0"/>
            </w:tcBorders>
            <w:shd w:val="clear" w:color="auto" w:fill="auto"/>
            <w:noWrap/>
            <w:vAlign w:val="center"/>
          </w:tcPr>
          <w:p>
            <w:pPr>
              <w:spacing w:line="240" w:lineRule="auto"/>
              <w:ind w:firstLine="0" w:firstLineChars="0"/>
              <w:jc w:val="center"/>
              <w:rPr>
                <w:rFonts w:ascii="Arial" w:hAnsi="Arial" w:cs="Arial"/>
                <w:b/>
                <w:bCs/>
                <w:color w:val="auto"/>
                <w:sz w:val="18"/>
                <w:szCs w:val="18"/>
              </w:rPr>
            </w:pPr>
            <w:r>
              <w:rPr>
                <w:rFonts w:ascii="Arial" w:hAnsi="Arial" w:cs="Arial"/>
                <w:b/>
                <w:bCs/>
                <w:color w:val="auto"/>
                <w:sz w:val="18"/>
                <w:szCs w:val="18"/>
              </w:rPr>
              <w:t>　</w:t>
            </w:r>
          </w:p>
        </w:tc>
      </w:tr>
      <w:tr>
        <w:tblPrEx>
          <w:tblLayout w:type="fixed"/>
          <w:tblCellMar>
            <w:top w:w="0" w:type="dxa"/>
            <w:left w:w="108" w:type="dxa"/>
            <w:bottom w:w="0" w:type="dxa"/>
            <w:right w:w="108" w:type="dxa"/>
          </w:tblCellMar>
        </w:tblPrEx>
        <w:trPr>
          <w:trHeight w:val="402" w:hRule="atLeast"/>
          <w:jc w:val="center"/>
        </w:trPr>
        <w:tc>
          <w:tcPr>
            <w:tcW w:w="1002" w:type="dxa"/>
            <w:tcBorders>
              <w:top w:val="single" w:color="auto" w:sz="4" w:space="0"/>
              <w:left w:val="single" w:color="auto" w:sz="8" w:space="0"/>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b/>
                <w:bCs/>
                <w:color w:val="auto"/>
                <w:sz w:val="18"/>
                <w:szCs w:val="18"/>
              </w:rPr>
            </w:pPr>
            <w:r>
              <w:rPr>
                <w:rFonts w:ascii="Arial" w:hAnsi="Arial" w:cs="Arial"/>
                <w:b/>
                <w:bCs/>
                <w:color w:val="auto"/>
                <w:sz w:val="18"/>
                <w:szCs w:val="18"/>
              </w:rPr>
              <w:t>4D</w:t>
            </w:r>
            <w:r>
              <w:rPr>
                <w:rFonts w:hint="eastAsia" w:ascii="宋体" w:hAnsi="宋体" w:cs="Arial"/>
                <w:b/>
                <w:bCs/>
                <w:color w:val="auto"/>
                <w:sz w:val="18"/>
                <w:szCs w:val="18"/>
              </w:rPr>
              <w:t>模拟</w:t>
            </w:r>
          </w:p>
        </w:tc>
        <w:tc>
          <w:tcPr>
            <w:tcW w:w="646" w:type="dxa"/>
            <w:tcBorders>
              <w:top w:val="single" w:color="auto" w:sz="4" w:space="0"/>
              <w:left w:val="nil"/>
              <w:bottom w:val="single" w:color="auto" w:sz="4" w:space="0"/>
              <w:right w:val="nil"/>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宋体" w:hAnsi="宋体" w:cs="Arial"/>
                <w:color w:val="auto"/>
                <w:sz w:val="18"/>
                <w:szCs w:val="18"/>
              </w:rPr>
              <w:t>高</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cs="宋体"/>
                <w:color w:val="auto"/>
                <w:sz w:val="18"/>
                <w:szCs w:val="18"/>
              </w:rPr>
            </w:pPr>
            <w:r>
              <w:rPr>
                <w:rFonts w:hint="eastAsia" w:ascii="宋体" w:hAnsi="宋体" w:cs="宋体"/>
                <w:color w:val="auto"/>
                <w:sz w:val="18"/>
                <w:szCs w:val="18"/>
              </w:rPr>
              <w:t>总承包方</w:t>
            </w:r>
          </w:p>
        </w:tc>
        <w:tc>
          <w:tcPr>
            <w:tcW w:w="709" w:type="dxa"/>
            <w:tcBorders>
              <w:top w:val="single" w:color="auto" w:sz="4" w:space="0"/>
              <w:left w:val="nil"/>
              <w:bottom w:val="single" w:color="auto" w:sz="4" w:space="0"/>
              <w:right w:val="nil"/>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宋体" w:hAnsi="宋体" w:cs="Arial"/>
                <w:color w:val="auto"/>
                <w:sz w:val="18"/>
                <w:szCs w:val="18"/>
              </w:rPr>
              <w:t>高</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3</w:t>
            </w:r>
          </w:p>
        </w:tc>
        <w:tc>
          <w:tcPr>
            <w:tcW w:w="42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2</w:t>
            </w:r>
          </w:p>
        </w:tc>
        <w:tc>
          <w:tcPr>
            <w:tcW w:w="42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2</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cs="宋体"/>
                <w:color w:val="auto"/>
                <w:sz w:val="18"/>
                <w:szCs w:val="18"/>
              </w:rPr>
            </w:pPr>
            <w:r>
              <w:rPr>
                <w:rFonts w:hint="eastAsia" w:ascii="宋体" w:hAnsi="宋体" w:cs="宋体"/>
                <w:color w:val="auto"/>
                <w:sz w:val="18"/>
                <w:szCs w:val="18"/>
              </w:rPr>
              <w:t>需要最新软件培训</w:t>
            </w:r>
          </w:p>
        </w:tc>
        <w:tc>
          <w:tcPr>
            <w:tcW w:w="1560"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cs="宋体"/>
                <w:color w:val="auto"/>
                <w:sz w:val="18"/>
                <w:szCs w:val="18"/>
              </w:rPr>
            </w:pPr>
            <w:r>
              <w:rPr>
                <w:rFonts w:hint="eastAsia" w:ascii="宋体" w:hAnsi="宋体" w:cs="宋体"/>
                <w:color w:val="auto"/>
                <w:sz w:val="18"/>
                <w:szCs w:val="18"/>
              </w:rPr>
              <w:t>高价值归因于业主</w:t>
            </w:r>
          </w:p>
        </w:tc>
        <w:tc>
          <w:tcPr>
            <w:tcW w:w="588" w:type="dxa"/>
            <w:tcBorders>
              <w:top w:val="nil"/>
              <w:left w:val="nil"/>
              <w:bottom w:val="nil"/>
              <w:right w:val="single" w:color="auto" w:sz="8" w:space="0"/>
            </w:tcBorders>
            <w:shd w:val="clear" w:color="auto" w:fill="auto"/>
            <w:noWrap/>
            <w:vAlign w:val="center"/>
          </w:tcPr>
          <w:p>
            <w:pPr>
              <w:spacing w:line="240" w:lineRule="auto"/>
              <w:ind w:firstLine="0" w:firstLineChars="0"/>
              <w:jc w:val="center"/>
              <w:rPr>
                <w:rFonts w:ascii="宋体" w:hAnsi="宋体" w:cs="宋体"/>
                <w:b/>
                <w:bCs/>
                <w:color w:val="auto"/>
                <w:sz w:val="18"/>
                <w:szCs w:val="18"/>
              </w:rPr>
            </w:pPr>
          </w:p>
        </w:tc>
      </w:tr>
      <w:tr>
        <w:tblPrEx>
          <w:tblLayout w:type="fixed"/>
          <w:tblCellMar>
            <w:top w:w="0" w:type="dxa"/>
            <w:left w:w="108" w:type="dxa"/>
            <w:bottom w:w="0" w:type="dxa"/>
            <w:right w:w="108" w:type="dxa"/>
          </w:tblCellMar>
        </w:tblPrEx>
        <w:trPr>
          <w:trHeight w:val="402" w:hRule="atLeast"/>
          <w:jc w:val="center"/>
        </w:trPr>
        <w:tc>
          <w:tcPr>
            <w:tcW w:w="1002" w:type="dxa"/>
            <w:tcBorders>
              <w:top w:val="nil"/>
              <w:left w:val="single" w:color="auto" w:sz="8" w:space="0"/>
              <w:bottom w:val="nil"/>
              <w:right w:val="nil"/>
            </w:tcBorders>
            <w:shd w:val="clear" w:color="auto" w:fill="auto"/>
            <w:noWrap/>
            <w:vAlign w:val="center"/>
          </w:tcPr>
          <w:p>
            <w:pPr>
              <w:spacing w:line="240" w:lineRule="auto"/>
              <w:ind w:firstLine="0" w:firstLineChars="0"/>
              <w:jc w:val="left"/>
              <w:rPr>
                <w:rFonts w:ascii="Arial" w:hAnsi="Arial" w:cs="Arial"/>
                <w:b/>
                <w:bCs/>
                <w:color w:val="auto"/>
                <w:sz w:val="18"/>
                <w:szCs w:val="18"/>
              </w:rPr>
            </w:pPr>
            <w:r>
              <w:rPr>
                <w:rFonts w:ascii="Arial" w:hAnsi="Arial" w:cs="Arial"/>
                <w:b/>
                <w:bCs/>
                <w:color w:val="auto"/>
                <w:sz w:val="18"/>
                <w:szCs w:val="18"/>
              </w:rPr>
              <w:t>　</w:t>
            </w:r>
          </w:p>
        </w:tc>
        <w:tc>
          <w:tcPr>
            <w:tcW w:w="646" w:type="dxa"/>
            <w:tcBorders>
              <w:top w:val="nil"/>
              <w:left w:val="nil"/>
              <w:bottom w:val="nil"/>
              <w:right w:val="nil"/>
            </w:tcBorders>
            <w:shd w:val="clear" w:color="auto" w:fill="auto"/>
            <w:noWrap/>
            <w:vAlign w:val="center"/>
          </w:tcPr>
          <w:p>
            <w:pPr>
              <w:spacing w:line="240" w:lineRule="auto"/>
              <w:ind w:firstLine="0" w:firstLineChars="0"/>
              <w:jc w:val="left"/>
              <w:rPr>
                <w:rFonts w:ascii="Arial" w:hAnsi="Arial" w:cs="Arial"/>
                <w:b/>
                <w:bCs/>
                <w:color w:val="auto"/>
                <w:sz w:val="18"/>
                <w:szCs w:val="18"/>
              </w:rPr>
            </w:pPr>
          </w:p>
        </w:tc>
        <w:tc>
          <w:tcPr>
            <w:tcW w:w="1134"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color w:val="auto"/>
                <w:sz w:val="18"/>
                <w:szCs w:val="18"/>
              </w:rPr>
            </w:pPr>
          </w:p>
        </w:tc>
        <w:tc>
          <w:tcPr>
            <w:tcW w:w="70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　</w:t>
            </w:r>
          </w:p>
        </w:tc>
        <w:tc>
          <w:tcPr>
            <w:tcW w:w="425"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　</w:t>
            </w:r>
          </w:p>
        </w:tc>
        <w:tc>
          <w:tcPr>
            <w:tcW w:w="426"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　</w:t>
            </w:r>
          </w:p>
        </w:tc>
        <w:tc>
          <w:tcPr>
            <w:tcW w:w="425"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　</w:t>
            </w:r>
          </w:p>
        </w:tc>
        <w:tc>
          <w:tcPr>
            <w:tcW w:w="1417"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cs="宋体"/>
                <w:color w:val="auto"/>
                <w:sz w:val="18"/>
                <w:szCs w:val="18"/>
              </w:rPr>
            </w:pPr>
            <w:r>
              <w:rPr>
                <w:rFonts w:hint="eastAsia" w:ascii="宋体" w:hAnsi="宋体" w:cs="宋体"/>
                <w:color w:val="auto"/>
                <w:sz w:val="18"/>
                <w:szCs w:val="18"/>
              </w:rPr>
              <w:t>基础设施需求</w:t>
            </w:r>
          </w:p>
        </w:tc>
        <w:tc>
          <w:tcPr>
            <w:tcW w:w="1560" w:type="dxa"/>
            <w:tcBorders>
              <w:top w:val="nil"/>
              <w:left w:val="nil"/>
              <w:bottom w:val="single" w:color="auto" w:sz="4" w:space="0"/>
              <w:right w:val="nil"/>
            </w:tcBorders>
            <w:shd w:val="clear" w:color="auto" w:fill="auto"/>
            <w:noWrap/>
            <w:vAlign w:val="center"/>
          </w:tcPr>
          <w:p>
            <w:pPr>
              <w:spacing w:line="240" w:lineRule="auto"/>
              <w:ind w:firstLine="0" w:firstLineChars="0"/>
              <w:jc w:val="left"/>
              <w:rPr>
                <w:rFonts w:ascii="宋体" w:hAnsi="宋体" w:cs="宋体"/>
                <w:color w:val="auto"/>
                <w:sz w:val="18"/>
                <w:szCs w:val="18"/>
              </w:rPr>
            </w:pPr>
            <w:r>
              <w:rPr>
                <w:rFonts w:hint="eastAsia" w:ascii="宋体" w:hAnsi="宋体" w:cs="宋体"/>
                <w:color w:val="auto"/>
                <w:sz w:val="18"/>
                <w:szCs w:val="18"/>
              </w:rPr>
              <w:t>分阶段难题</w:t>
            </w:r>
          </w:p>
        </w:tc>
        <w:tc>
          <w:tcPr>
            <w:tcW w:w="588" w:type="dxa"/>
            <w:tcBorders>
              <w:top w:val="single" w:color="auto" w:sz="4" w:space="0"/>
              <w:left w:val="single" w:color="auto" w:sz="4" w:space="0"/>
              <w:bottom w:val="nil"/>
              <w:right w:val="single" w:color="auto" w:sz="8" w:space="0"/>
            </w:tcBorders>
            <w:shd w:val="clear" w:color="auto" w:fill="auto"/>
            <w:noWrap/>
            <w:vAlign w:val="center"/>
          </w:tcPr>
          <w:p>
            <w:pPr>
              <w:spacing w:line="240" w:lineRule="auto"/>
              <w:ind w:firstLine="0" w:firstLineChars="0"/>
              <w:jc w:val="center"/>
              <w:rPr>
                <w:rFonts w:ascii="Arial" w:hAnsi="Arial" w:cs="Arial"/>
                <w:b/>
                <w:bCs/>
                <w:color w:val="auto"/>
                <w:sz w:val="18"/>
                <w:szCs w:val="18"/>
              </w:rPr>
            </w:pPr>
            <w:r>
              <w:rPr>
                <w:rFonts w:ascii="Arial" w:hAnsi="Arial" w:cs="Arial"/>
                <w:b/>
                <w:bCs/>
                <w:color w:val="auto"/>
                <w:sz w:val="18"/>
                <w:szCs w:val="18"/>
              </w:rPr>
              <w:t>　</w:t>
            </w:r>
          </w:p>
        </w:tc>
      </w:tr>
      <w:tr>
        <w:tblPrEx>
          <w:tblLayout w:type="fixed"/>
          <w:tblCellMar>
            <w:top w:w="0" w:type="dxa"/>
            <w:left w:w="108" w:type="dxa"/>
            <w:bottom w:w="0" w:type="dxa"/>
            <w:right w:w="108" w:type="dxa"/>
          </w:tblCellMar>
        </w:tblPrEx>
        <w:trPr>
          <w:trHeight w:val="402" w:hRule="atLeast"/>
          <w:jc w:val="center"/>
        </w:trPr>
        <w:tc>
          <w:tcPr>
            <w:tcW w:w="1002" w:type="dxa"/>
            <w:tcBorders>
              <w:top w:val="nil"/>
              <w:left w:val="single" w:color="auto" w:sz="8" w:space="0"/>
              <w:bottom w:val="nil"/>
              <w:right w:val="nil"/>
            </w:tcBorders>
            <w:shd w:val="clear" w:color="auto" w:fill="auto"/>
            <w:noWrap/>
            <w:vAlign w:val="center"/>
          </w:tcPr>
          <w:p>
            <w:pPr>
              <w:spacing w:line="240" w:lineRule="auto"/>
              <w:ind w:firstLine="0" w:firstLineChars="0"/>
              <w:jc w:val="left"/>
              <w:rPr>
                <w:rFonts w:ascii="Arial" w:hAnsi="Arial" w:cs="Arial"/>
                <w:b/>
                <w:bCs/>
                <w:color w:val="auto"/>
                <w:sz w:val="18"/>
                <w:szCs w:val="18"/>
              </w:rPr>
            </w:pPr>
            <w:r>
              <w:rPr>
                <w:rFonts w:ascii="Arial" w:hAnsi="Arial" w:cs="Arial"/>
                <w:b/>
                <w:bCs/>
                <w:color w:val="auto"/>
                <w:sz w:val="18"/>
                <w:szCs w:val="18"/>
              </w:rPr>
              <w:t>　</w:t>
            </w:r>
          </w:p>
        </w:tc>
        <w:tc>
          <w:tcPr>
            <w:tcW w:w="646" w:type="dxa"/>
            <w:tcBorders>
              <w:top w:val="nil"/>
              <w:left w:val="nil"/>
              <w:bottom w:val="nil"/>
              <w:right w:val="nil"/>
            </w:tcBorders>
            <w:shd w:val="clear" w:color="auto" w:fill="auto"/>
            <w:noWrap/>
            <w:vAlign w:val="center"/>
          </w:tcPr>
          <w:p>
            <w:pPr>
              <w:spacing w:line="240" w:lineRule="auto"/>
              <w:ind w:firstLine="0" w:firstLineChars="0"/>
              <w:jc w:val="left"/>
              <w:rPr>
                <w:rFonts w:ascii="Arial" w:hAnsi="Arial" w:cs="Arial"/>
                <w:b/>
                <w:bCs/>
                <w:color w:val="auto"/>
                <w:sz w:val="18"/>
                <w:szCs w:val="18"/>
              </w:rPr>
            </w:pPr>
          </w:p>
        </w:tc>
        <w:tc>
          <w:tcPr>
            <w:tcW w:w="1134"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color w:val="auto"/>
                <w:sz w:val="18"/>
                <w:szCs w:val="18"/>
              </w:rPr>
            </w:pPr>
          </w:p>
        </w:tc>
        <w:tc>
          <w:tcPr>
            <w:tcW w:w="70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　</w:t>
            </w:r>
          </w:p>
        </w:tc>
        <w:tc>
          <w:tcPr>
            <w:tcW w:w="425"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　</w:t>
            </w:r>
          </w:p>
        </w:tc>
        <w:tc>
          <w:tcPr>
            <w:tcW w:w="426"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　</w:t>
            </w:r>
          </w:p>
        </w:tc>
        <w:tc>
          <w:tcPr>
            <w:tcW w:w="425"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　</w:t>
            </w:r>
          </w:p>
        </w:tc>
        <w:tc>
          <w:tcPr>
            <w:tcW w:w="1417"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ascii="Arial" w:hAnsi="Arial" w:cs="Arial"/>
                <w:color w:val="auto"/>
                <w:sz w:val="18"/>
                <w:szCs w:val="18"/>
              </w:rPr>
              <w:t>　</w:t>
            </w:r>
          </w:p>
        </w:tc>
        <w:tc>
          <w:tcPr>
            <w:tcW w:w="1560" w:type="dxa"/>
            <w:tcBorders>
              <w:top w:val="nil"/>
              <w:left w:val="nil"/>
              <w:bottom w:val="single" w:color="auto" w:sz="4" w:space="0"/>
              <w:right w:val="nil"/>
            </w:tcBorders>
            <w:shd w:val="clear" w:color="auto" w:fill="auto"/>
            <w:noWrap/>
            <w:vAlign w:val="center"/>
          </w:tcPr>
          <w:p>
            <w:pPr>
              <w:spacing w:line="240" w:lineRule="auto"/>
              <w:ind w:firstLine="0" w:firstLineChars="0"/>
              <w:jc w:val="left"/>
              <w:rPr>
                <w:rFonts w:ascii="宋体" w:hAnsi="宋体" w:cs="宋体"/>
                <w:color w:val="auto"/>
                <w:sz w:val="18"/>
                <w:szCs w:val="18"/>
              </w:rPr>
            </w:pPr>
            <w:r>
              <w:rPr>
                <w:rFonts w:hint="eastAsia" w:ascii="宋体" w:hAnsi="宋体" w:cs="宋体"/>
                <w:color w:val="auto"/>
                <w:sz w:val="18"/>
                <w:szCs w:val="18"/>
              </w:rPr>
              <w:t>用于分阶段施工</w:t>
            </w:r>
          </w:p>
        </w:tc>
        <w:tc>
          <w:tcPr>
            <w:tcW w:w="588" w:type="dxa"/>
            <w:tcBorders>
              <w:top w:val="nil"/>
              <w:left w:val="single" w:color="auto" w:sz="4" w:space="0"/>
              <w:bottom w:val="nil"/>
              <w:right w:val="single" w:color="auto" w:sz="8" w:space="0"/>
            </w:tcBorders>
            <w:shd w:val="clear" w:color="auto" w:fill="auto"/>
            <w:noWrap/>
            <w:vAlign w:val="center"/>
          </w:tcPr>
          <w:p>
            <w:pPr>
              <w:spacing w:line="240" w:lineRule="auto"/>
              <w:ind w:firstLine="0" w:firstLineChars="0"/>
              <w:jc w:val="center"/>
              <w:rPr>
                <w:rFonts w:ascii="Arial" w:hAnsi="Arial" w:cs="Arial"/>
                <w:b/>
                <w:bCs/>
                <w:color w:val="auto"/>
                <w:sz w:val="18"/>
                <w:szCs w:val="18"/>
              </w:rPr>
            </w:pPr>
            <w:r>
              <w:rPr>
                <w:rFonts w:ascii="Arial" w:hAnsi="Arial" w:cs="Arial"/>
                <w:b/>
                <w:bCs/>
                <w:color w:val="auto"/>
                <w:sz w:val="18"/>
                <w:szCs w:val="18"/>
              </w:rPr>
              <w:t>　</w:t>
            </w:r>
          </w:p>
        </w:tc>
      </w:tr>
      <w:tr>
        <w:tblPrEx>
          <w:tblLayout w:type="fixed"/>
          <w:tblCellMar>
            <w:top w:w="0" w:type="dxa"/>
            <w:left w:w="108" w:type="dxa"/>
            <w:bottom w:w="0" w:type="dxa"/>
            <w:right w:w="108" w:type="dxa"/>
          </w:tblCellMar>
        </w:tblPrEx>
        <w:trPr>
          <w:trHeight w:val="402" w:hRule="atLeast"/>
          <w:jc w:val="center"/>
        </w:trPr>
        <w:tc>
          <w:tcPr>
            <w:tcW w:w="1002" w:type="dxa"/>
            <w:tcBorders>
              <w:top w:val="single" w:color="auto" w:sz="4" w:space="0"/>
              <w:left w:val="single" w:color="auto" w:sz="8" w:space="0"/>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b/>
                <w:bCs/>
                <w:color w:val="auto"/>
                <w:sz w:val="18"/>
                <w:szCs w:val="18"/>
              </w:rPr>
            </w:pPr>
            <w:r>
              <w:rPr>
                <w:rFonts w:ascii="Arial" w:hAnsi="Arial" w:cs="Arial"/>
                <w:b/>
                <w:bCs/>
                <w:color w:val="auto"/>
                <w:sz w:val="18"/>
                <w:szCs w:val="18"/>
              </w:rPr>
              <w:t>3D</w:t>
            </w:r>
            <w:r>
              <w:rPr>
                <w:rFonts w:hint="eastAsia" w:ascii="宋体" w:hAnsi="宋体" w:cs="Arial"/>
                <w:b/>
                <w:bCs/>
                <w:color w:val="auto"/>
                <w:sz w:val="18"/>
                <w:szCs w:val="18"/>
              </w:rPr>
              <w:t>协调</w:t>
            </w:r>
            <w:r>
              <w:rPr>
                <w:rFonts w:ascii="Arial" w:hAnsi="Arial" w:cs="Arial"/>
                <w:b/>
                <w:bCs/>
                <w:color w:val="auto"/>
                <w:sz w:val="18"/>
                <w:szCs w:val="18"/>
              </w:rPr>
              <w:t xml:space="preserve"> (</w:t>
            </w:r>
            <w:r>
              <w:rPr>
                <w:rFonts w:hint="eastAsia" w:ascii="宋体" w:hAnsi="宋体" w:cs="Arial"/>
                <w:b/>
                <w:bCs/>
                <w:color w:val="auto"/>
                <w:sz w:val="18"/>
                <w:szCs w:val="18"/>
              </w:rPr>
              <w:t>施工</w:t>
            </w:r>
            <w:r>
              <w:rPr>
                <w:rFonts w:ascii="Arial" w:hAnsi="Arial" w:cs="Arial"/>
                <w:b/>
                <w:bCs/>
                <w:color w:val="auto"/>
                <w:sz w:val="18"/>
                <w:szCs w:val="18"/>
              </w:rPr>
              <w:t>)</w:t>
            </w:r>
          </w:p>
        </w:tc>
        <w:tc>
          <w:tcPr>
            <w:tcW w:w="646" w:type="dxa"/>
            <w:tcBorders>
              <w:top w:val="single" w:color="auto" w:sz="4" w:space="0"/>
              <w:left w:val="nil"/>
              <w:bottom w:val="single" w:color="auto" w:sz="4" w:space="0"/>
              <w:right w:val="nil"/>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宋体" w:hAnsi="宋体" w:cs="Arial"/>
                <w:color w:val="auto"/>
                <w:sz w:val="18"/>
                <w:szCs w:val="18"/>
              </w:rPr>
              <w:t>高</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cs="宋体"/>
                <w:color w:val="auto"/>
                <w:sz w:val="18"/>
                <w:szCs w:val="18"/>
              </w:rPr>
            </w:pPr>
            <w:r>
              <w:rPr>
                <w:rFonts w:hint="eastAsia" w:ascii="宋体" w:hAnsi="宋体" w:cs="宋体"/>
                <w:color w:val="auto"/>
                <w:sz w:val="18"/>
                <w:szCs w:val="18"/>
              </w:rPr>
              <w:t>总承包方</w:t>
            </w:r>
          </w:p>
        </w:tc>
        <w:tc>
          <w:tcPr>
            <w:tcW w:w="709" w:type="dxa"/>
            <w:tcBorders>
              <w:top w:val="single" w:color="auto" w:sz="4" w:space="0"/>
              <w:left w:val="nil"/>
              <w:bottom w:val="single" w:color="auto" w:sz="4" w:space="0"/>
              <w:right w:val="nil"/>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宋体" w:hAnsi="宋体" w:cs="Arial"/>
                <w:color w:val="auto"/>
                <w:sz w:val="18"/>
                <w:szCs w:val="18"/>
              </w:rPr>
              <w:t>高</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3</w:t>
            </w:r>
          </w:p>
        </w:tc>
        <w:tc>
          <w:tcPr>
            <w:tcW w:w="42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3</w:t>
            </w:r>
          </w:p>
        </w:tc>
        <w:tc>
          <w:tcPr>
            <w:tcW w:w="42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3</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hint="eastAsia" w:ascii="宋体" w:hAnsi="宋体" w:cs="宋体"/>
                <w:color w:val="auto"/>
                <w:sz w:val="18"/>
                <w:szCs w:val="18"/>
              </w:rPr>
              <w:t>需软件及培训</w:t>
            </w:r>
          </w:p>
        </w:tc>
        <w:tc>
          <w:tcPr>
            <w:tcW w:w="1560" w:type="dxa"/>
            <w:tcBorders>
              <w:top w:val="single" w:color="auto" w:sz="4" w:space="0"/>
              <w:left w:val="nil"/>
              <w:bottom w:val="single" w:color="auto" w:sz="4" w:space="0"/>
              <w:right w:val="nil"/>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ascii="Arial" w:hAnsi="Arial" w:cs="Arial"/>
                <w:color w:val="auto"/>
                <w:sz w:val="18"/>
                <w:szCs w:val="18"/>
              </w:rPr>
              <w:t>　</w:t>
            </w:r>
          </w:p>
        </w:tc>
        <w:tc>
          <w:tcPr>
            <w:tcW w:w="588" w:type="dxa"/>
            <w:tcBorders>
              <w:top w:val="nil"/>
              <w:left w:val="single" w:color="auto" w:sz="4" w:space="0"/>
              <w:bottom w:val="nil"/>
              <w:right w:val="single" w:color="auto" w:sz="8" w:space="0"/>
            </w:tcBorders>
            <w:shd w:val="clear" w:color="auto" w:fill="auto"/>
            <w:noWrap/>
            <w:vAlign w:val="center"/>
          </w:tcPr>
          <w:p>
            <w:pPr>
              <w:spacing w:line="240" w:lineRule="auto"/>
              <w:ind w:firstLine="0" w:firstLineChars="0"/>
              <w:jc w:val="center"/>
              <w:rPr>
                <w:rFonts w:ascii="宋体" w:hAnsi="宋体" w:cs="宋体"/>
                <w:b/>
                <w:bCs/>
                <w:color w:val="auto"/>
                <w:sz w:val="18"/>
                <w:szCs w:val="18"/>
              </w:rPr>
            </w:pPr>
          </w:p>
        </w:tc>
      </w:tr>
      <w:tr>
        <w:tblPrEx>
          <w:tblLayout w:type="fixed"/>
          <w:tblCellMar>
            <w:top w:w="0" w:type="dxa"/>
            <w:left w:w="108" w:type="dxa"/>
            <w:bottom w:w="0" w:type="dxa"/>
            <w:right w:w="108" w:type="dxa"/>
          </w:tblCellMar>
        </w:tblPrEx>
        <w:trPr>
          <w:trHeight w:val="402" w:hRule="atLeast"/>
          <w:jc w:val="center"/>
        </w:trPr>
        <w:tc>
          <w:tcPr>
            <w:tcW w:w="1002" w:type="dxa"/>
            <w:tcBorders>
              <w:top w:val="nil"/>
              <w:left w:val="single" w:color="auto" w:sz="8" w:space="0"/>
              <w:bottom w:val="nil"/>
              <w:right w:val="nil"/>
            </w:tcBorders>
            <w:shd w:val="clear" w:color="auto" w:fill="auto"/>
            <w:noWrap/>
            <w:vAlign w:val="center"/>
          </w:tcPr>
          <w:p>
            <w:pPr>
              <w:spacing w:line="240" w:lineRule="auto"/>
              <w:ind w:firstLine="0" w:firstLineChars="0"/>
              <w:jc w:val="left"/>
              <w:rPr>
                <w:rFonts w:ascii="Arial" w:hAnsi="Arial" w:cs="Arial"/>
                <w:b/>
                <w:bCs/>
                <w:color w:val="auto"/>
                <w:sz w:val="18"/>
                <w:szCs w:val="18"/>
              </w:rPr>
            </w:pPr>
            <w:r>
              <w:rPr>
                <w:rFonts w:ascii="Arial" w:hAnsi="Arial" w:cs="Arial"/>
                <w:b/>
                <w:bCs/>
                <w:color w:val="auto"/>
                <w:sz w:val="18"/>
                <w:szCs w:val="18"/>
              </w:rPr>
              <w:t>　</w:t>
            </w:r>
          </w:p>
        </w:tc>
        <w:tc>
          <w:tcPr>
            <w:tcW w:w="646" w:type="dxa"/>
            <w:tcBorders>
              <w:top w:val="nil"/>
              <w:left w:val="nil"/>
              <w:bottom w:val="nil"/>
              <w:right w:val="nil"/>
            </w:tcBorders>
            <w:shd w:val="clear" w:color="auto" w:fill="auto"/>
            <w:noWrap/>
            <w:vAlign w:val="center"/>
          </w:tcPr>
          <w:p>
            <w:pPr>
              <w:spacing w:line="240" w:lineRule="auto"/>
              <w:ind w:firstLine="0" w:firstLineChars="0"/>
              <w:jc w:val="left"/>
              <w:rPr>
                <w:rFonts w:ascii="Arial" w:hAnsi="Arial" w:cs="Arial"/>
                <w:b/>
                <w:bCs/>
                <w:color w:val="auto"/>
                <w:sz w:val="18"/>
                <w:szCs w:val="18"/>
              </w:rPr>
            </w:pPr>
          </w:p>
        </w:tc>
        <w:tc>
          <w:tcPr>
            <w:tcW w:w="1134"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cs="宋体"/>
                <w:color w:val="auto"/>
                <w:sz w:val="18"/>
                <w:szCs w:val="18"/>
              </w:rPr>
            </w:pPr>
            <w:r>
              <w:rPr>
                <w:rFonts w:hint="eastAsia" w:ascii="宋体" w:hAnsi="宋体" w:cs="宋体"/>
                <w:color w:val="auto"/>
                <w:sz w:val="18"/>
                <w:szCs w:val="18"/>
              </w:rPr>
              <w:t>子承包方</w:t>
            </w:r>
          </w:p>
        </w:tc>
        <w:tc>
          <w:tcPr>
            <w:tcW w:w="709" w:type="dxa"/>
            <w:tcBorders>
              <w:top w:val="nil"/>
              <w:left w:val="nil"/>
              <w:bottom w:val="single" w:color="auto" w:sz="4" w:space="0"/>
              <w:right w:val="nil"/>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宋体" w:hAnsi="宋体" w:cs="Arial"/>
                <w:color w:val="auto"/>
                <w:sz w:val="18"/>
                <w:szCs w:val="18"/>
              </w:rPr>
              <w:t>高</w:t>
            </w:r>
          </w:p>
        </w:tc>
        <w:tc>
          <w:tcPr>
            <w:tcW w:w="425"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1</w:t>
            </w:r>
          </w:p>
        </w:tc>
        <w:tc>
          <w:tcPr>
            <w:tcW w:w="426"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3</w:t>
            </w:r>
          </w:p>
        </w:tc>
        <w:tc>
          <w:tcPr>
            <w:tcW w:w="425"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3</w:t>
            </w:r>
          </w:p>
        </w:tc>
        <w:tc>
          <w:tcPr>
            <w:tcW w:w="1417"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cs="宋体"/>
                <w:color w:val="auto"/>
                <w:sz w:val="18"/>
                <w:szCs w:val="18"/>
              </w:rPr>
            </w:pPr>
            <w:r>
              <w:rPr>
                <w:rFonts w:hint="eastAsia" w:ascii="宋体" w:hAnsi="宋体" w:cs="宋体"/>
                <w:color w:val="auto"/>
                <w:sz w:val="18"/>
                <w:szCs w:val="18"/>
              </w:rPr>
              <w:t>需要数字预拼</w:t>
            </w:r>
          </w:p>
        </w:tc>
        <w:tc>
          <w:tcPr>
            <w:tcW w:w="1560" w:type="dxa"/>
            <w:tcBorders>
              <w:top w:val="nil"/>
              <w:left w:val="nil"/>
              <w:bottom w:val="single" w:color="auto" w:sz="4" w:space="0"/>
              <w:right w:val="nil"/>
            </w:tcBorders>
            <w:shd w:val="clear" w:color="auto" w:fill="auto"/>
            <w:noWrap/>
            <w:vAlign w:val="center"/>
          </w:tcPr>
          <w:p>
            <w:pPr>
              <w:spacing w:line="240" w:lineRule="auto"/>
              <w:ind w:firstLine="0" w:firstLineChars="0"/>
              <w:jc w:val="left"/>
              <w:rPr>
                <w:rFonts w:ascii="宋体" w:hAnsi="宋体" w:cs="宋体"/>
                <w:color w:val="auto"/>
                <w:sz w:val="18"/>
                <w:szCs w:val="18"/>
              </w:rPr>
            </w:pPr>
          </w:p>
        </w:tc>
        <w:tc>
          <w:tcPr>
            <w:tcW w:w="588" w:type="dxa"/>
            <w:tcBorders>
              <w:top w:val="single" w:color="auto" w:sz="4" w:space="0"/>
              <w:left w:val="single" w:color="auto" w:sz="4" w:space="0"/>
              <w:bottom w:val="nil"/>
              <w:right w:val="single" w:color="auto" w:sz="8" w:space="0"/>
            </w:tcBorders>
            <w:shd w:val="clear" w:color="auto" w:fill="auto"/>
            <w:noWrap/>
            <w:vAlign w:val="center"/>
          </w:tcPr>
          <w:p>
            <w:pPr>
              <w:spacing w:line="240" w:lineRule="auto"/>
              <w:ind w:firstLine="0" w:firstLineChars="0"/>
              <w:jc w:val="center"/>
              <w:rPr>
                <w:rFonts w:ascii="Arial" w:hAnsi="Arial" w:cs="Arial"/>
                <w:b/>
                <w:bCs/>
                <w:color w:val="auto"/>
                <w:sz w:val="18"/>
                <w:szCs w:val="18"/>
              </w:rPr>
            </w:pPr>
            <w:r>
              <w:rPr>
                <w:rFonts w:ascii="Arial" w:hAnsi="Arial" w:cs="Arial"/>
                <w:b/>
                <w:bCs/>
                <w:color w:val="auto"/>
                <w:sz w:val="18"/>
                <w:szCs w:val="18"/>
              </w:rPr>
              <w:t>　</w:t>
            </w:r>
          </w:p>
        </w:tc>
      </w:tr>
      <w:tr>
        <w:tblPrEx>
          <w:tblLayout w:type="fixed"/>
          <w:tblCellMar>
            <w:top w:w="0" w:type="dxa"/>
            <w:left w:w="108" w:type="dxa"/>
            <w:bottom w:w="0" w:type="dxa"/>
            <w:right w:w="108" w:type="dxa"/>
          </w:tblCellMar>
        </w:tblPrEx>
        <w:trPr>
          <w:trHeight w:val="402" w:hRule="atLeast"/>
          <w:jc w:val="center"/>
        </w:trPr>
        <w:tc>
          <w:tcPr>
            <w:tcW w:w="1002" w:type="dxa"/>
            <w:tcBorders>
              <w:top w:val="nil"/>
              <w:left w:val="single" w:color="auto" w:sz="8" w:space="0"/>
              <w:bottom w:val="nil"/>
              <w:right w:val="nil"/>
            </w:tcBorders>
            <w:shd w:val="clear" w:color="auto" w:fill="auto"/>
            <w:noWrap/>
            <w:vAlign w:val="center"/>
          </w:tcPr>
          <w:p>
            <w:pPr>
              <w:spacing w:line="240" w:lineRule="auto"/>
              <w:ind w:firstLine="0" w:firstLineChars="0"/>
              <w:jc w:val="left"/>
              <w:rPr>
                <w:rFonts w:ascii="Arial" w:hAnsi="Arial" w:cs="Arial"/>
                <w:b/>
                <w:bCs/>
                <w:color w:val="auto"/>
                <w:sz w:val="18"/>
                <w:szCs w:val="18"/>
              </w:rPr>
            </w:pPr>
            <w:r>
              <w:rPr>
                <w:rFonts w:ascii="Arial" w:hAnsi="Arial" w:cs="Arial"/>
                <w:b/>
                <w:bCs/>
                <w:color w:val="auto"/>
                <w:sz w:val="18"/>
                <w:szCs w:val="18"/>
              </w:rPr>
              <w:t>　</w:t>
            </w:r>
          </w:p>
        </w:tc>
        <w:tc>
          <w:tcPr>
            <w:tcW w:w="646" w:type="dxa"/>
            <w:tcBorders>
              <w:top w:val="nil"/>
              <w:left w:val="nil"/>
              <w:bottom w:val="nil"/>
              <w:right w:val="nil"/>
            </w:tcBorders>
            <w:shd w:val="clear" w:color="auto" w:fill="auto"/>
            <w:noWrap/>
            <w:vAlign w:val="center"/>
          </w:tcPr>
          <w:p>
            <w:pPr>
              <w:spacing w:line="240" w:lineRule="auto"/>
              <w:ind w:firstLine="0" w:firstLineChars="0"/>
              <w:jc w:val="left"/>
              <w:rPr>
                <w:rFonts w:ascii="Arial" w:hAnsi="Arial" w:cs="Arial"/>
                <w:b/>
                <w:bCs/>
                <w:color w:val="auto"/>
                <w:sz w:val="18"/>
                <w:szCs w:val="18"/>
              </w:rPr>
            </w:pPr>
          </w:p>
        </w:tc>
        <w:tc>
          <w:tcPr>
            <w:tcW w:w="1134"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cs="宋体"/>
                <w:color w:val="auto"/>
                <w:sz w:val="18"/>
                <w:szCs w:val="18"/>
              </w:rPr>
            </w:pPr>
            <w:r>
              <w:rPr>
                <w:rFonts w:hint="eastAsia" w:ascii="宋体" w:hAnsi="宋体" w:cs="宋体"/>
                <w:color w:val="auto"/>
                <w:sz w:val="18"/>
                <w:szCs w:val="18"/>
              </w:rPr>
              <w:t>设计人</w:t>
            </w:r>
          </w:p>
        </w:tc>
        <w:tc>
          <w:tcPr>
            <w:tcW w:w="709" w:type="dxa"/>
            <w:tcBorders>
              <w:top w:val="nil"/>
              <w:left w:val="nil"/>
              <w:bottom w:val="single" w:color="auto" w:sz="4" w:space="0"/>
              <w:right w:val="nil"/>
            </w:tcBorders>
            <w:shd w:val="clear" w:color="auto" w:fill="auto"/>
            <w:noWrap/>
            <w:vAlign w:val="center"/>
          </w:tcPr>
          <w:p>
            <w:pPr>
              <w:spacing w:line="240" w:lineRule="auto"/>
              <w:ind w:firstLine="0" w:firstLineChars="0"/>
              <w:jc w:val="center"/>
              <w:rPr>
                <w:rFonts w:ascii="宋体" w:hAnsi="宋体" w:cs="宋体"/>
                <w:color w:val="auto"/>
                <w:sz w:val="18"/>
                <w:szCs w:val="18"/>
              </w:rPr>
            </w:pPr>
            <w:r>
              <w:rPr>
                <w:rFonts w:hint="eastAsia" w:ascii="宋体" w:hAnsi="宋体" w:cs="宋体"/>
                <w:color w:val="auto"/>
                <w:sz w:val="18"/>
                <w:szCs w:val="18"/>
              </w:rPr>
              <w:t>中</w:t>
            </w:r>
          </w:p>
        </w:tc>
        <w:tc>
          <w:tcPr>
            <w:tcW w:w="425"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2</w:t>
            </w:r>
          </w:p>
        </w:tc>
        <w:tc>
          <w:tcPr>
            <w:tcW w:w="426"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3</w:t>
            </w:r>
          </w:p>
        </w:tc>
        <w:tc>
          <w:tcPr>
            <w:tcW w:w="425"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3</w:t>
            </w:r>
          </w:p>
        </w:tc>
        <w:tc>
          <w:tcPr>
            <w:tcW w:w="1417"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ascii="Arial" w:hAnsi="Arial" w:cs="Arial"/>
                <w:color w:val="auto"/>
                <w:sz w:val="18"/>
                <w:szCs w:val="18"/>
              </w:rPr>
              <w:t>　</w:t>
            </w:r>
          </w:p>
        </w:tc>
        <w:tc>
          <w:tcPr>
            <w:tcW w:w="1560" w:type="dxa"/>
            <w:tcBorders>
              <w:top w:val="nil"/>
              <w:left w:val="nil"/>
              <w:bottom w:val="single" w:color="auto" w:sz="4" w:space="0"/>
              <w:right w:val="nil"/>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ascii="Arial" w:hAnsi="Arial" w:cs="Arial"/>
                <w:color w:val="auto"/>
                <w:sz w:val="18"/>
                <w:szCs w:val="18"/>
              </w:rPr>
              <w:t>　</w:t>
            </w:r>
          </w:p>
        </w:tc>
        <w:tc>
          <w:tcPr>
            <w:tcW w:w="588" w:type="dxa"/>
            <w:tcBorders>
              <w:top w:val="nil"/>
              <w:left w:val="single" w:color="auto" w:sz="4" w:space="0"/>
              <w:bottom w:val="nil"/>
              <w:right w:val="single" w:color="auto" w:sz="8" w:space="0"/>
            </w:tcBorders>
            <w:shd w:val="clear" w:color="auto" w:fill="auto"/>
            <w:noWrap/>
            <w:vAlign w:val="center"/>
          </w:tcPr>
          <w:p>
            <w:pPr>
              <w:spacing w:line="240" w:lineRule="auto"/>
              <w:ind w:firstLine="0" w:firstLineChars="0"/>
              <w:jc w:val="center"/>
              <w:rPr>
                <w:rFonts w:ascii="Arial" w:hAnsi="Arial" w:cs="Arial"/>
                <w:b/>
                <w:bCs/>
                <w:color w:val="auto"/>
                <w:sz w:val="18"/>
                <w:szCs w:val="18"/>
              </w:rPr>
            </w:pPr>
            <w:r>
              <w:rPr>
                <w:rFonts w:ascii="Arial" w:hAnsi="Arial" w:cs="Arial"/>
                <w:b/>
                <w:bCs/>
                <w:color w:val="auto"/>
                <w:sz w:val="18"/>
                <w:szCs w:val="18"/>
              </w:rPr>
              <w:t>　</w:t>
            </w:r>
          </w:p>
        </w:tc>
      </w:tr>
      <w:tr>
        <w:tblPrEx>
          <w:tblLayout w:type="fixed"/>
          <w:tblCellMar>
            <w:top w:w="0" w:type="dxa"/>
            <w:left w:w="108" w:type="dxa"/>
            <w:bottom w:w="0" w:type="dxa"/>
            <w:right w:w="108" w:type="dxa"/>
          </w:tblCellMar>
        </w:tblPrEx>
        <w:trPr>
          <w:trHeight w:val="402" w:hRule="atLeast"/>
          <w:jc w:val="center"/>
        </w:trPr>
        <w:tc>
          <w:tcPr>
            <w:tcW w:w="1002" w:type="dxa"/>
            <w:tcBorders>
              <w:top w:val="single" w:color="auto" w:sz="4" w:space="0"/>
              <w:left w:val="single" w:color="auto" w:sz="8" w:space="0"/>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cs="宋体"/>
                <w:b/>
                <w:bCs/>
                <w:color w:val="auto"/>
                <w:sz w:val="18"/>
                <w:szCs w:val="18"/>
              </w:rPr>
            </w:pPr>
            <w:r>
              <w:rPr>
                <w:rFonts w:hint="eastAsia" w:ascii="宋体" w:hAnsi="宋体" w:cs="宋体"/>
                <w:b/>
                <w:bCs/>
                <w:color w:val="auto"/>
                <w:sz w:val="18"/>
                <w:szCs w:val="18"/>
              </w:rPr>
              <w:t>工程分析</w:t>
            </w:r>
          </w:p>
        </w:tc>
        <w:tc>
          <w:tcPr>
            <w:tcW w:w="646" w:type="dxa"/>
            <w:tcBorders>
              <w:top w:val="single" w:color="auto" w:sz="4" w:space="0"/>
              <w:left w:val="nil"/>
              <w:bottom w:val="single" w:color="auto" w:sz="4" w:space="0"/>
              <w:right w:val="nil"/>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宋体" w:hAnsi="宋体" w:cs="Arial"/>
                <w:color w:val="auto"/>
                <w:sz w:val="18"/>
                <w:szCs w:val="18"/>
              </w:rPr>
              <w:t>高</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hint="eastAsia" w:ascii="宋体" w:hAnsi="宋体" w:cs="Arial"/>
                <w:color w:val="auto"/>
                <w:sz w:val="18"/>
                <w:szCs w:val="18"/>
              </w:rPr>
              <w:t>桥隧工程师</w:t>
            </w:r>
          </w:p>
        </w:tc>
        <w:tc>
          <w:tcPr>
            <w:tcW w:w="709" w:type="dxa"/>
            <w:tcBorders>
              <w:top w:val="single" w:color="auto" w:sz="4" w:space="0"/>
              <w:left w:val="nil"/>
              <w:bottom w:val="single" w:color="auto" w:sz="4" w:space="0"/>
              <w:right w:val="nil"/>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宋体" w:hAnsi="宋体" w:cs="Arial"/>
                <w:color w:val="auto"/>
                <w:sz w:val="18"/>
                <w:szCs w:val="18"/>
              </w:rPr>
              <w:t>高</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2</w:t>
            </w:r>
          </w:p>
        </w:tc>
        <w:tc>
          <w:tcPr>
            <w:tcW w:w="42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Arial" w:hAnsi="Arial" w:cs="Arial"/>
                <w:color w:val="auto"/>
                <w:sz w:val="18"/>
                <w:szCs w:val="18"/>
              </w:rPr>
              <w:t>3</w:t>
            </w:r>
          </w:p>
        </w:tc>
        <w:tc>
          <w:tcPr>
            <w:tcW w:w="42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2</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ascii="Arial" w:hAnsi="Arial" w:cs="Arial"/>
                <w:color w:val="auto"/>
                <w:sz w:val="18"/>
                <w:szCs w:val="18"/>
              </w:rPr>
              <w:t>　</w:t>
            </w:r>
          </w:p>
        </w:tc>
        <w:tc>
          <w:tcPr>
            <w:tcW w:w="1560" w:type="dxa"/>
            <w:tcBorders>
              <w:top w:val="single" w:color="auto" w:sz="4" w:space="0"/>
              <w:left w:val="nil"/>
              <w:bottom w:val="single" w:color="auto" w:sz="4" w:space="0"/>
              <w:right w:val="nil"/>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ascii="Arial" w:hAnsi="Arial" w:cs="Arial"/>
                <w:color w:val="auto"/>
                <w:sz w:val="18"/>
                <w:szCs w:val="18"/>
              </w:rPr>
              <w:t>结构有限元分析</w:t>
            </w:r>
          </w:p>
        </w:tc>
        <w:tc>
          <w:tcPr>
            <w:tcW w:w="588" w:type="dxa"/>
            <w:tcBorders>
              <w:top w:val="nil"/>
              <w:left w:val="single" w:color="auto" w:sz="4" w:space="0"/>
              <w:bottom w:val="nil"/>
              <w:right w:val="single" w:color="auto" w:sz="8" w:space="0"/>
            </w:tcBorders>
            <w:shd w:val="clear" w:color="auto" w:fill="auto"/>
            <w:noWrap/>
            <w:vAlign w:val="center"/>
          </w:tcPr>
          <w:p>
            <w:pPr>
              <w:spacing w:line="240" w:lineRule="auto"/>
              <w:ind w:firstLine="0" w:firstLineChars="0"/>
              <w:jc w:val="center"/>
              <w:rPr>
                <w:rFonts w:ascii="宋体" w:hAnsi="宋体" w:cs="宋体"/>
                <w:b/>
                <w:bCs/>
                <w:color w:val="auto"/>
                <w:sz w:val="18"/>
                <w:szCs w:val="18"/>
              </w:rPr>
            </w:pPr>
          </w:p>
        </w:tc>
      </w:tr>
      <w:tr>
        <w:tblPrEx>
          <w:tblLayout w:type="fixed"/>
          <w:tblCellMar>
            <w:top w:w="0" w:type="dxa"/>
            <w:left w:w="108" w:type="dxa"/>
            <w:bottom w:w="0" w:type="dxa"/>
            <w:right w:w="108" w:type="dxa"/>
          </w:tblCellMar>
        </w:tblPrEx>
        <w:trPr>
          <w:trHeight w:val="402" w:hRule="atLeast"/>
          <w:jc w:val="center"/>
        </w:trPr>
        <w:tc>
          <w:tcPr>
            <w:tcW w:w="1002" w:type="dxa"/>
            <w:tcBorders>
              <w:top w:val="nil"/>
              <w:left w:val="single" w:color="auto" w:sz="8" w:space="0"/>
              <w:bottom w:val="nil"/>
              <w:right w:val="nil"/>
            </w:tcBorders>
            <w:shd w:val="clear" w:color="auto" w:fill="auto"/>
            <w:noWrap/>
            <w:vAlign w:val="center"/>
          </w:tcPr>
          <w:p>
            <w:pPr>
              <w:spacing w:line="240" w:lineRule="auto"/>
              <w:ind w:firstLine="0" w:firstLineChars="0"/>
              <w:jc w:val="left"/>
              <w:rPr>
                <w:rFonts w:ascii="Arial" w:hAnsi="Arial" w:cs="Arial"/>
                <w:b/>
                <w:bCs/>
                <w:color w:val="auto"/>
                <w:sz w:val="18"/>
                <w:szCs w:val="18"/>
              </w:rPr>
            </w:pPr>
            <w:r>
              <w:rPr>
                <w:rFonts w:ascii="Arial" w:hAnsi="Arial" w:cs="Arial"/>
                <w:b/>
                <w:bCs/>
                <w:color w:val="auto"/>
                <w:sz w:val="18"/>
                <w:szCs w:val="18"/>
              </w:rPr>
              <w:t>　</w:t>
            </w:r>
          </w:p>
        </w:tc>
        <w:tc>
          <w:tcPr>
            <w:tcW w:w="646" w:type="dxa"/>
            <w:tcBorders>
              <w:top w:val="nil"/>
              <w:left w:val="nil"/>
              <w:bottom w:val="nil"/>
              <w:right w:val="nil"/>
            </w:tcBorders>
            <w:shd w:val="clear" w:color="auto" w:fill="auto"/>
            <w:noWrap/>
            <w:vAlign w:val="center"/>
          </w:tcPr>
          <w:p>
            <w:pPr>
              <w:spacing w:line="240" w:lineRule="auto"/>
              <w:ind w:firstLine="0" w:firstLineChars="0"/>
              <w:jc w:val="left"/>
              <w:rPr>
                <w:rFonts w:ascii="Arial" w:hAnsi="Arial" w:cs="Arial"/>
                <w:b/>
                <w:bCs/>
                <w:color w:val="auto"/>
                <w:sz w:val="18"/>
                <w:szCs w:val="18"/>
              </w:rPr>
            </w:pPr>
          </w:p>
        </w:tc>
        <w:tc>
          <w:tcPr>
            <w:tcW w:w="1134" w:type="dxa"/>
            <w:tcBorders>
              <w:top w:val="nil"/>
              <w:left w:val="single" w:color="auto" w:sz="4" w:space="0"/>
              <w:bottom w:val="single" w:color="auto" w:sz="4" w:space="0"/>
              <w:right w:val="nil"/>
            </w:tcBorders>
            <w:shd w:val="clear" w:color="auto" w:fill="auto"/>
            <w:noWrap/>
            <w:vAlign w:val="center"/>
          </w:tcPr>
          <w:p>
            <w:pPr>
              <w:spacing w:line="240" w:lineRule="auto"/>
              <w:ind w:firstLine="0" w:firstLineChars="0"/>
              <w:jc w:val="left"/>
              <w:rPr>
                <w:rFonts w:ascii="宋体" w:hAnsi="宋体" w:cs="宋体"/>
                <w:color w:val="auto"/>
                <w:sz w:val="18"/>
                <w:szCs w:val="18"/>
              </w:rPr>
            </w:pPr>
            <w:r>
              <w:rPr>
                <w:rFonts w:hint="eastAsia" w:ascii="Arial" w:hAnsi="Arial" w:cs="Arial"/>
                <w:color w:val="auto"/>
                <w:sz w:val="18"/>
                <w:szCs w:val="18"/>
              </w:rPr>
              <w:t>交通</w:t>
            </w:r>
            <w:r>
              <w:rPr>
                <w:rFonts w:hint="eastAsia" w:ascii="宋体" w:hAnsi="宋体" w:cs="Arial"/>
                <w:color w:val="auto"/>
                <w:sz w:val="18"/>
                <w:szCs w:val="18"/>
              </w:rPr>
              <w:t>工程师</w:t>
            </w:r>
          </w:p>
        </w:tc>
        <w:tc>
          <w:tcPr>
            <w:tcW w:w="709" w:type="dxa"/>
            <w:tcBorders>
              <w:top w:val="nil"/>
              <w:left w:val="single" w:color="auto" w:sz="4" w:space="0"/>
              <w:bottom w:val="single" w:color="auto" w:sz="4" w:space="0"/>
              <w:right w:val="nil"/>
            </w:tcBorders>
            <w:shd w:val="clear" w:color="auto" w:fill="auto"/>
            <w:noWrap/>
            <w:vAlign w:val="center"/>
          </w:tcPr>
          <w:p>
            <w:pPr>
              <w:spacing w:line="240" w:lineRule="auto"/>
              <w:ind w:firstLine="0" w:firstLineChars="0"/>
              <w:jc w:val="center"/>
              <w:rPr>
                <w:rFonts w:ascii="宋体" w:hAnsi="宋体" w:cs="宋体"/>
                <w:color w:val="auto"/>
                <w:sz w:val="18"/>
                <w:szCs w:val="18"/>
              </w:rPr>
            </w:pPr>
            <w:r>
              <w:rPr>
                <w:rFonts w:hint="eastAsia" w:ascii="宋体" w:hAnsi="宋体" w:cs="宋体"/>
                <w:color w:val="auto"/>
                <w:sz w:val="18"/>
                <w:szCs w:val="18"/>
              </w:rPr>
              <w:t>中</w:t>
            </w:r>
          </w:p>
        </w:tc>
        <w:tc>
          <w:tcPr>
            <w:tcW w:w="425"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2</w:t>
            </w:r>
          </w:p>
        </w:tc>
        <w:tc>
          <w:tcPr>
            <w:tcW w:w="426"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2</w:t>
            </w:r>
          </w:p>
        </w:tc>
        <w:tc>
          <w:tcPr>
            <w:tcW w:w="425"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2</w:t>
            </w:r>
          </w:p>
        </w:tc>
        <w:tc>
          <w:tcPr>
            <w:tcW w:w="1417"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ascii="Arial" w:hAnsi="Arial" w:cs="Arial"/>
                <w:color w:val="auto"/>
                <w:sz w:val="18"/>
                <w:szCs w:val="18"/>
              </w:rPr>
              <w:t>　</w:t>
            </w:r>
          </w:p>
        </w:tc>
        <w:tc>
          <w:tcPr>
            <w:tcW w:w="1560" w:type="dxa"/>
            <w:tcBorders>
              <w:top w:val="nil"/>
              <w:left w:val="nil"/>
              <w:bottom w:val="single" w:color="auto" w:sz="4" w:space="0"/>
              <w:right w:val="nil"/>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ascii="Arial" w:hAnsi="Arial" w:cs="Arial"/>
                <w:color w:val="auto"/>
                <w:sz w:val="18"/>
                <w:szCs w:val="18"/>
              </w:rPr>
              <w:t>交通仿真分析</w:t>
            </w:r>
          </w:p>
        </w:tc>
        <w:tc>
          <w:tcPr>
            <w:tcW w:w="588" w:type="dxa"/>
            <w:tcBorders>
              <w:top w:val="single" w:color="auto" w:sz="4" w:space="0"/>
              <w:left w:val="single" w:color="auto" w:sz="4" w:space="0"/>
              <w:bottom w:val="nil"/>
              <w:right w:val="single" w:color="auto" w:sz="8" w:space="0"/>
            </w:tcBorders>
            <w:shd w:val="clear" w:color="auto" w:fill="auto"/>
            <w:noWrap/>
            <w:vAlign w:val="center"/>
          </w:tcPr>
          <w:p>
            <w:pPr>
              <w:spacing w:line="240" w:lineRule="auto"/>
              <w:ind w:firstLine="0" w:firstLineChars="0"/>
              <w:jc w:val="center"/>
              <w:rPr>
                <w:rFonts w:ascii="Arial" w:hAnsi="Arial" w:cs="Arial"/>
                <w:b/>
                <w:bCs/>
                <w:color w:val="auto"/>
                <w:sz w:val="18"/>
                <w:szCs w:val="18"/>
              </w:rPr>
            </w:pPr>
            <w:r>
              <w:rPr>
                <w:rFonts w:ascii="Arial" w:hAnsi="Arial" w:cs="Arial"/>
                <w:b/>
                <w:bCs/>
                <w:color w:val="auto"/>
                <w:sz w:val="18"/>
                <w:szCs w:val="18"/>
              </w:rPr>
              <w:t>　</w:t>
            </w:r>
          </w:p>
        </w:tc>
      </w:tr>
      <w:tr>
        <w:tblPrEx>
          <w:tblLayout w:type="fixed"/>
          <w:tblCellMar>
            <w:top w:w="0" w:type="dxa"/>
            <w:left w:w="108" w:type="dxa"/>
            <w:bottom w:w="0" w:type="dxa"/>
            <w:right w:w="108" w:type="dxa"/>
          </w:tblCellMar>
        </w:tblPrEx>
        <w:trPr>
          <w:trHeight w:val="402" w:hRule="atLeast"/>
          <w:jc w:val="center"/>
        </w:trPr>
        <w:tc>
          <w:tcPr>
            <w:tcW w:w="1002" w:type="dxa"/>
            <w:tcBorders>
              <w:top w:val="nil"/>
              <w:left w:val="single" w:color="auto" w:sz="8" w:space="0"/>
              <w:bottom w:val="nil"/>
              <w:right w:val="nil"/>
            </w:tcBorders>
            <w:shd w:val="clear" w:color="auto" w:fill="auto"/>
            <w:noWrap/>
            <w:vAlign w:val="center"/>
          </w:tcPr>
          <w:p>
            <w:pPr>
              <w:spacing w:line="240" w:lineRule="auto"/>
              <w:ind w:firstLine="0" w:firstLineChars="0"/>
              <w:jc w:val="left"/>
              <w:rPr>
                <w:rFonts w:ascii="Arial" w:hAnsi="Arial" w:cs="Arial"/>
                <w:b/>
                <w:bCs/>
                <w:color w:val="auto"/>
                <w:sz w:val="18"/>
                <w:szCs w:val="18"/>
              </w:rPr>
            </w:pPr>
            <w:r>
              <w:rPr>
                <w:rFonts w:ascii="Arial" w:hAnsi="Arial" w:cs="Arial"/>
                <w:b/>
                <w:bCs/>
                <w:color w:val="auto"/>
                <w:sz w:val="18"/>
                <w:szCs w:val="18"/>
              </w:rPr>
              <w:t>　</w:t>
            </w:r>
          </w:p>
        </w:tc>
        <w:tc>
          <w:tcPr>
            <w:tcW w:w="646" w:type="dxa"/>
            <w:tcBorders>
              <w:top w:val="nil"/>
              <w:left w:val="nil"/>
              <w:bottom w:val="nil"/>
              <w:right w:val="nil"/>
            </w:tcBorders>
            <w:shd w:val="clear" w:color="auto" w:fill="auto"/>
            <w:noWrap/>
            <w:vAlign w:val="center"/>
          </w:tcPr>
          <w:p>
            <w:pPr>
              <w:spacing w:line="240" w:lineRule="auto"/>
              <w:ind w:firstLine="0" w:firstLineChars="0"/>
              <w:jc w:val="left"/>
              <w:rPr>
                <w:rFonts w:ascii="Arial" w:hAnsi="Arial" w:cs="Arial"/>
                <w:b/>
                <w:bCs/>
                <w:color w:val="auto"/>
                <w:sz w:val="18"/>
                <w:szCs w:val="18"/>
              </w:rPr>
            </w:pPr>
          </w:p>
        </w:tc>
        <w:tc>
          <w:tcPr>
            <w:tcW w:w="1134" w:type="dxa"/>
            <w:tcBorders>
              <w:top w:val="nil"/>
              <w:left w:val="single" w:color="auto" w:sz="4" w:space="0"/>
              <w:bottom w:val="single" w:color="auto" w:sz="4" w:space="0"/>
              <w:right w:val="nil"/>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hint="eastAsia" w:ascii="Arial" w:hAnsi="Arial" w:cs="Arial"/>
                <w:color w:val="auto"/>
                <w:sz w:val="18"/>
                <w:szCs w:val="18"/>
              </w:rPr>
              <w:t>道路工程师</w:t>
            </w:r>
          </w:p>
        </w:tc>
        <w:tc>
          <w:tcPr>
            <w:tcW w:w="709"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宋体" w:hAnsi="宋体" w:cs="宋体"/>
                <w:color w:val="auto"/>
                <w:sz w:val="18"/>
                <w:szCs w:val="18"/>
              </w:rPr>
              <w:t>中</w:t>
            </w:r>
          </w:p>
        </w:tc>
        <w:tc>
          <w:tcPr>
            <w:tcW w:w="425"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Arial" w:hAnsi="Arial" w:cs="Arial"/>
                <w:color w:val="auto"/>
                <w:sz w:val="18"/>
                <w:szCs w:val="18"/>
              </w:rPr>
              <w:t>1</w:t>
            </w:r>
          </w:p>
        </w:tc>
        <w:tc>
          <w:tcPr>
            <w:tcW w:w="426"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2</w:t>
            </w:r>
          </w:p>
        </w:tc>
        <w:tc>
          <w:tcPr>
            <w:tcW w:w="425"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Arial" w:hAnsi="Arial" w:cs="Arial"/>
                <w:color w:val="auto"/>
                <w:sz w:val="18"/>
                <w:szCs w:val="18"/>
              </w:rPr>
              <w:t>1</w:t>
            </w:r>
          </w:p>
        </w:tc>
        <w:tc>
          <w:tcPr>
            <w:tcW w:w="1417"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ascii="Arial" w:hAnsi="Arial" w:cs="Arial"/>
                <w:color w:val="auto"/>
                <w:sz w:val="18"/>
                <w:szCs w:val="18"/>
              </w:rPr>
              <w:t>　</w:t>
            </w:r>
          </w:p>
        </w:tc>
        <w:tc>
          <w:tcPr>
            <w:tcW w:w="1560" w:type="dxa"/>
            <w:tcBorders>
              <w:top w:val="nil"/>
              <w:left w:val="nil"/>
              <w:bottom w:val="single" w:color="auto" w:sz="4" w:space="0"/>
              <w:right w:val="nil"/>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hint="eastAsia" w:ascii="Arial" w:hAnsi="Arial" w:cs="Arial"/>
                <w:color w:val="auto"/>
                <w:sz w:val="18"/>
                <w:szCs w:val="18"/>
              </w:rPr>
              <w:t>土方平衡</w:t>
            </w:r>
          </w:p>
        </w:tc>
        <w:tc>
          <w:tcPr>
            <w:tcW w:w="588" w:type="dxa"/>
            <w:tcBorders>
              <w:top w:val="nil"/>
              <w:left w:val="single" w:color="auto" w:sz="4" w:space="0"/>
              <w:bottom w:val="nil"/>
              <w:right w:val="single" w:color="auto" w:sz="8" w:space="0"/>
            </w:tcBorders>
            <w:shd w:val="clear" w:color="auto" w:fill="auto"/>
            <w:noWrap/>
            <w:vAlign w:val="center"/>
          </w:tcPr>
          <w:p>
            <w:pPr>
              <w:spacing w:line="240" w:lineRule="auto"/>
              <w:ind w:firstLine="0" w:firstLineChars="0"/>
              <w:jc w:val="center"/>
              <w:rPr>
                <w:rFonts w:ascii="Arial" w:hAnsi="Arial" w:cs="Arial"/>
                <w:b/>
                <w:bCs/>
                <w:color w:val="auto"/>
                <w:sz w:val="18"/>
                <w:szCs w:val="18"/>
              </w:rPr>
            </w:pPr>
            <w:r>
              <w:rPr>
                <w:rFonts w:ascii="Arial" w:hAnsi="Arial" w:cs="Arial"/>
                <w:b/>
                <w:bCs/>
                <w:color w:val="auto"/>
                <w:sz w:val="18"/>
                <w:szCs w:val="18"/>
              </w:rPr>
              <w:t>　</w:t>
            </w:r>
          </w:p>
        </w:tc>
      </w:tr>
      <w:tr>
        <w:tblPrEx>
          <w:tblLayout w:type="fixed"/>
          <w:tblCellMar>
            <w:top w:w="0" w:type="dxa"/>
            <w:left w:w="108" w:type="dxa"/>
            <w:bottom w:w="0" w:type="dxa"/>
            <w:right w:w="108" w:type="dxa"/>
          </w:tblCellMar>
        </w:tblPrEx>
        <w:trPr>
          <w:trHeight w:val="402" w:hRule="atLeast"/>
          <w:jc w:val="center"/>
        </w:trPr>
        <w:tc>
          <w:tcPr>
            <w:tcW w:w="1002" w:type="dxa"/>
            <w:tcBorders>
              <w:top w:val="single" w:color="auto" w:sz="4" w:space="0"/>
              <w:left w:val="single" w:color="auto" w:sz="8" w:space="0"/>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cs="宋体"/>
                <w:b/>
                <w:bCs/>
                <w:color w:val="auto"/>
                <w:sz w:val="18"/>
                <w:szCs w:val="18"/>
              </w:rPr>
            </w:pPr>
            <w:r>
              <w:rPr>
                <w:rFonts w:hint="eastAsia" w:ascii="宋体" w:hAnsi="宋体" w:cs="宋体"/>
                <w:b/>
                <w:bCs/>
                <w:color w:val="auto"/>
                <w:sz w:val="18"/>
                <w:szCs w:val="18"/>
              </w:rPr>
              <w:t>设计评审</w:t>
            </w:r>
          </w:p>
        </w:tc>
        <w:tc>
          <w:tcPr>
            <w:tcW w:w="646" w:type="dxa"/>
            <w:tcBorders>
              <w:top w:val="single" w:color="auto" w:sz="4" w:space="0"/>
              <w:left w:val="nil"/>
              <w:bottom w:val="single" w:color="auto" w:sz="4" w:space="0"/>
              <w:right w:val="nil"/>
            </w:tcBorders>
            <w:shd w:val="clear" w:color="auto" w:fill="auto"/>
            <w:noWrap/>
            <w:vAlign w:val="center"/>
          </w:tcPr>
          <w:p>
            <w:pPr>
              <w:spacing w:line="240" w:lineRule="auto"/>
              <w:ind w:firstLine="0" w:firstLineChars="0"/>
              <w:jc w:val="center"/>
              <w:rPr>
                <w:rFonts w:ascii="宋体" w:hAnsi="宋体" w:cs="宋体"/>
                <w:color w:val="auto"/>
                <w:sz w:val="18"/>
                <w:szCs w:val="18"/>
              </w:rPr>
            </w:pPr>
            <w:r>
              <w:rPr>
                <w:rFonts w:hint="eastAsia" w:ascii="宋体" w:hAnsi="宋体" w:cs="宋体"/>
                <w:color w:val="auto"/>
                <w:sz w:val="18"/>
                <w:szCs w:val="18"/>
              </w:rPr>
              <w:t>中</w:t>
            </w:r>
          </w:p>
        </w:tc>
        <w:tc>
          <w:tcPr>
            <w:tcW w:w="1134" w:type="dxa"/>
            <w:tcBorders>
              <w:top w:val="single" w:color="auto" w:sz="4" w:space="0"/>
              <w:left w:val="single" w:color="auto" w:sz="4" w:space="0"/>
              <w:bottom w:val="single" w:color="auto" w:sz="4" w:space="0"/>
              <w:right w:val="nil"/>
            </w:tcBorders>
            <w:shd w:val="clear" w:color="auto" w:fill="auto"/>
            <w:noWrap/>
            <w:vAlign w:val="center"/>
          </w:tcPr>
          <w:p>
            <w:pPr>
              <w:spacing w:line="240" w:lineRule="auto"/>
              <w:ind w:firstLine="0" w:firstLineChars="0"/>
              <w:jc w:val="left"/>
              <w:rPr>
                <w:rFonts w:ascii="宋体" w:hAnsi="宋体" w:cs="宋体"/>
                <w:color w:val="auto"/>
                <w:sz w:val="18"/>
                <w:szCs w:val="18"/>
              </w:rPr>
            </w:pPr>
            <w:r>
              <w:rPr>
                <w:rFonts w:hint="eastAsia" w:ascii="宋体" w:hAnsi="宋体" w:cs="Arial"/>
                <w:color w:val="auto"/>
                <w:sz w:val="18"/>
                <w:szCs w:val="18"/>
              </w:rPr>
              <w:t>桥隧工程师</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宋体" w:hAnsi="宋体" w:cs="宋体"/>
                <w:color w:val="auto"/>
                <w:sz w:val="18"/>
                <w:szCs w:val="18"/>
              </w:rPr>
            </w:pPr>
            <w:r>
              <w:rPr>
                <w:rFonts w:hint="eastAsia" w:ascii="宋体" w:hAnsi="宋体" w:cs="宋体"/>
                <w:color w:val="auto"/>
                <w:sz w:val="18"/>
                <w:szCs w:val="18"/>
              </w:rPr>
              <w:t>中</w:t>
            </w:r>
          </w:p>
        </w:tc>
        <w:tc>
          <w:tcPr>
            <w:tcW w:w="42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1</w:t>
            </w:r>
          </w:p>
        </w:tc>
        <w:tc>
          <w:tcPr>
            <w:tcW w:w="42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2</w:t>
            </w:r>
          </w:p>
        </w:tc>
        <w:tc>
          <w:tcPr>
            <w:tcW w:w="42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1</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ascii="Arial" w:hAnsi="Arial" w:cs="Arial"/>
                <w:color w:val="auto"/>
                <w:sz w:val="18"/>
                <w:szCs w:val="18"/>
              </w:rPr>
              <w:t>　</w:t>
            </w:r>
          </w:p>
        </w:tc>
        <w:tc>
          <w:tcPr>
            <w:tcW w:w="1560" w:type="dxa"/>
            <w:tcBorders>
              <w:top w:val="single" w:color="auto" w:sz="4" w:space="0"/>
              <w:left w:val="nil"/>
              <w:bottom w:val="single" w:color="auto" w:sz="4" w:space="0"/>
              <w:right w:val="nil"/>
            </w:tcBorders>
            <w:shd w:val="clear" w:color="auto" w:fill="auto"/>
            <w:noWrap/>
            <w:vAlign w:val="center"/>
          </w:tcPr>
          <w:p>
            <w:pPr>
              <w:spacing w:line="240" w:lineRule="auto"/>
              <w:ind w:firstLine="0" w:firstLineChars="0"/>
              <w:jc w:val="left"/>
              <w:rPr>
                <w:rFonts w:ascii="宋体" w:hAnsi="宋体" w:cs="宋体"/>
                <w:color w:val="auto"/>
                <w:sz w:val="18"/>
                <w:szCs w:val="18"/>
              </w:rPr>
            </w:pPr>
            <w:r>
              <w:rPr>
                <w:rFonts w:hint="eastAsia" w:ascii="宋体" w:hAnsi="宋体" w:cs="宋体"/>
                <w:color w:val="auto"/>
                <w:sz w:val="18"/>
                <w:szCs w:val="18"/>
              </w:rPr>
              <w:t>设计模型评审</w:t>
            </w:r>
          </w:p>
        </w:tc>
        <w:tc>
          <w:tcPr>
            <w:tcW w:w="588" w:type="dxa"/>
            <w:tcBorders>
              <w:top w:val="nil"/>
              <w:left w:val="single" w:color="auto" w:sz="4" w:space="0"/>
              <w:bottom w:val="nil"/>
              <w:right w:val="single" w:color="auto" w:sz="8" w:space="0"/>
            </w:tcBorders>
            <w:shd w:val="clear" w:color="auto" w:fill="auto"/>
            <w:noWrap/>
            <w:vAlign w:val="center"/>
          </w:tcPr>
          <w:p>
            <w:pPr>
              <w:spacing w:line="240" w:lineRule="auto"/>
              <w:ind w:firstLine="0" w:firstLineChars="0"/>
              <w:jc w:val="center"/>
              <w:rPr>
                <w:rFonts w:ascii="宋体" w:hAnsi="宋体" w:cs="宋体"/>
                <w:b/>
                <w:bCs/>
                <w:color w:val="auto"/>
                <w:sz w:val="18"/>
                <w:szCs w:val="18"/>
              </w:rPr>
            </w:pPr>
          </w:p>
        </w:tc>
      </w:tr>
      <w:tr>
        <w:tblPrEx>
          <w:tblLayout w:type="fixed"/>
          <w:tblCellMar>
            <w:top w:w="0" w:type="dxa"/>
            <w:left w:w="108" w:type="dxa"/>
            <w:bottom w:w="0" w:type="dxa"/>
            <w:right w:w="108" w:type="dxa"/>
          </w:tblCellMar>
        </w:tblPrEx>
        <w:trPr>
          <w:trHeight w:val="402" w:hRule="atLeast"/>
          <w:jc w:val="center"/>
        </w:trPr>
        <w:tc>
          <w:tcPr>
            <w:tcW w:w="1002" w:type="dxa"/>
            <w:tcBorders>
              <w:top w:val="nil"/>
              <w:left w:val="single" w:color="auto" w:sz="8" w:space="0"/>
              <w:bottom w:val="nil"/>
              <w:right w:val="nil"/>
            </w:tcBorders>
            <w:shd w:val="clear" w:color="auto" w:fill="auto"/>
            <w:noWrap/>
            <w:vAlign w:val="center"/>
          </w:tcPr>
          <w:p>
            <w:pPr>
              <w:spacing w:line="240" w:lineRule="auto"/>
              <w:ind w:firstLine="0" w:firstLineChars="0"/>
              <w:jc w:val="left"/>
              <w:rPr>
                <w:rFonts w:ascii="Arial" w:hAnsi="Arial" w:cs="Arial"/>
                <w:b/>
                <w:bCs/>
                <w:color w:val="auto"/>
                <w:sz w:val="18"/>
                <w:szCs w:val="18"/>
              </w:rPr>
            </w:pPr>
            <w:r>
              <w:rPr>
                <w:rFonts w:ascii="Arial" w:hAnsi="Arial" w:cs="Arial"/>
                <w:b/>
                <w:bCs/>
                <w:color w:val="auto"/>
                <w:sz w:val="18"/>
                <w:szCs w:val="18"/>
              </w:rPr>
              <w:t>　</w:t>
            </w:r>
          </w:p>
        </w:tc>
        <w:tc>
          <w:tcPr>
            <w:tcW w:w="646" w:type="dxa"/>
            <w:tcBorders>
              <w:top w:val="nil"/>
              <w:left w:val="nil"/>
              <w:bottom w:val="nil"/>
              <w:right w:val="nil"/>
            </w:tcBorders>
            <w:shd w:val="clear" w:color="auto" w:fill="auto"/>
            <w:noWrap/>
            <w:vAlign w:val="center"/>
          </w:tcPr>
          <w:p>
            <w:pPr>
              <w:spacing w:line="240" w:lineRule="auto"/>
              <w:ind w:firstLine="0" w:firstLineChars="0"/>
              <w:jc w:val="left"/>
              <w:rPr>
                <w:rFonts w:ascii="Arial" w:hAnsi="Arial" w:cs="Arial"/>
                <w:b/>
                <w:bCs/>
                <w:color w:val="auto"/>
                <w:sz w:val="18"/>
                <w:szCs w:val="18"/>
              </w:rPr>
            </w:pPr>
          </w:p>
        </w:tc>
        <w:tc>
          <w:tcPr>
            <w:tcW w:w="1134"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hint="eastAsia" w:ascii="Arial" w:hAnsi="Arial" w:cs="Arial"/>
                <w:color w:val="auto"/>
                <w:sz w:val="18"/>
                <w:szCs w:val="18"/>
              </w:rPr>
              <w:t>道路</w:t>
            </w:r>
            <w:r>
              <w:rPr>
                <w:rFonts w:hint="eastAsia" w:ascii="宋体" w:hAnsi="宋体" w:cs="Arial"/>
                <w:color w:val="auto"/>
                <w:sz w:val="18"/>
                <w:szCs w:val="18"/>
              </w:rPr>
              <w:t>工程师</w:t>
            </w:r>
          </w:p>
        </w:tc>
        <w:tc>
          <w:tcPr>
            <w:tcW w:w="70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宋体" w:hAnsi="宋体" w:cs="宋体"/>
                <w:color w:val="auto"/>
                <w:sz w:val="18"/>
                <w:szCs w:val="18"/>
              </w:rPr>
              <w:t>中</w:t>
            </w:r>
          </w:p>
        </w:tc>
        <w:tc>
          <w:tcPr>
            <w:tcW w:w="425"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1</w:t>
            </w:r>
          </w:p>
        </w:tc>
        <w:tc>
          <w:tcPr>
            <w:tcW w:w="426"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2</w:t>
            </w:r>
          </w:p>
        </w:tc>
        <w:tc>
          <w:tcPr>
            <w:tcW w:w="425"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1</w:t>
            </w:r>
          </w:p>
        </w:tc>
        <w:tc>
          <w:tcPr>
            <w:tcW w:w="1417"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ascii="Arial" w:hAnsi="Arial" w:cs="Arial"/>
                <w:color w:val="auto"/>
                <w:sz w:val="18"/>
                <w:szCs w:val="18"/>
              </w:rPr>
              <w:t>　</w:t>
            </w:r>
          </w:p>
        </w:tc>
        <w:tc>
          <w:tcPr>
            <w:tcW w:w="1560" w:type="dxa"/>
            <w:tcBorders>
              <w:top w:val="nil"/>
              <w:left w:val="nil"/>
              <w:bottom w:val="single" w:color="auto" w:sz="4" w:space="0"/>
              <w:right w:val="nil"/>
            </w:tcBorders>
            <w:shd w:val="clear" w:color="auto" w:fill="auto"/>
            <w:noWrap/>
            <w:vAlign w:val="center"/>
          </w:tcPr>
          <w:p>
            <w:pPr>
              <w:spacing w:line="240" w:lineRule="auto"/>
              <w:ind w:firstLine="0" w:firstLineChars="0"/>
              <w:jc w:val="left"/>
              <w:rPr>
                <w:rFonts w:ascii="宋体" w:hAnsi="宋体" w:cs="宋体"/>
                <w:color w:val="auto"/>
                <w:sz w:val="18"/>
                <w:szCs w:val="18"/>
              </w:rPr>
            </w:pPr>
          </w:p>
        </w:tc>
        <w:tc>
          <w:tcPr>
            <w:tcW w:w="588" w:type="dxa"/>
            <w:tcBorders>
              <w:top w:val="single" w:color="auto" w:sz="4" w:space="0"/>
              <w:left w:val="single" w:color="auto" w:sz="4" w:space="0"/>
              <w:bottom w:val="nil"/>
              <w:right w:val="single" w:color="auto" w:sz="8" w:space="0"/>
            </w:tcBorders>
            <w:shd w:val="clear" w:color="auto" w:fill="auto"/>
            <w:noWrap/>
            <w:vAlign w:val="center"/>
          </w:tcPr>
          <w:p>
            <w:pPr>
              <w:spacing w:line="240" w:lineRule="auto"/>
              <w:ind w:firstLine="0" w:firstLineChars="0"/>
              <w:jc w:val="center"/>
              <w:rPr>
                <w:rFonts w:ascii="Arial" w:hAnsi="Arial" w:cs="Arial"/>
                <w:b/>
                <w:bCs/>
                <w:color w:val="auto"/>
                <w:sz w:val="18"/>
                <w:szCs w:val="18"/>
              </w:rPr>
            </w:pPr>
            <w:r>
              <w:rPr>
                <w:rFonts w:ascii="Arial" w:hAnsi="Arial" w:cs="Arial"/>
                <w:b/>
                <w:bCs/>
                <w:color w:val="auto"/>
                <w:sz w:val="18"/>
                <w:szCs w:val="18"/>
              </w:rPr>
              <w:t>　</w:t>
            </w:r>
          </w:p>
        </w:tc>
      </w:tr>
      <w:tr>
        <w:tblPrEx>
          <w:tblLayout w:type="fixed"/>
          <w:tblCellMar>
            <w:top w:w="0" w:type="dxa"/>
            <w:left w:w="108" w:type="dxa"/>
            <w:bottom w:w="0" w:type="dxa"/>
            <w:right w:w="108" w:type="dxa"/>
          </w:tblCellMar>
        </w:tblPrEx>
        <w:trPr>
          <w:trHeight w:val="402" w:hRule="atLeast"/>
          <w:jc w:val="center"/>
        </w:trPr>
        <w:tc>
          <w:tcPr>
            <w:tcW w:w="1002" w:type="dxa"/>
            <w:tcBorders>
              <w:top w:val="nil"/>
              <w:left w:val="single" w:color="auto" w:sz="8" w:space="0"/>
              <w:bottom w:val="nil"/>
              <w:right w:val="nil"/>
            </w:tcBorders>
            <w:shd w:val="clear" w:color="auto" w:fill="auto"/>
            <w:noWrap/>
            <w:vAlign w:val="center"/>
          </w:tcPr>
          <w:p>
            <w:pPr>
              <w:spacing w:line="240" w:lineRule="auto"/>
              <w:ind w:firstLine="0" w:firstLineChars="0"/>
              <w:jc w:val="left"/>
              <w:rPr>
                <w:rFonts w:ascii="Arial" w:hAnsi="Arial" w:cs="Arial"/>
                <w:b/>
                <w:bCs/>
                <w:color w:val="auto"/>
                <w:sz w:val="18"/>
                <w:szCs w:val="18"/>
              </w:rPr>
            </w:pPr>
            <w:r>
              <w:rPr>
                <w:rFonts w:ascii="Arial" w:hAnsi="Arial" w:cs="Arial"/>
                <w:b/>
                <w:bCs/>
                <w:color w:val="auto"/>
                <w:sz w:val="18"/>
                <w:szCs w:val="18"/>
              </w:rPr>
              <w:t>　</w:t>
            </w:r>
          </w:p>
        </w:tc>
        <w:tc>
          <w:tcPr>
            <w:tcW w:w="646" w:type="dxa"/>
            <w:tcBorders>
              <w:top w:val="nil"/>
              <w:left w:val="nil"/>
              <w:bottom w:val="nil"/>
              <w:right w:val="nil"/>
            </w:tcBorders>
            <w:shd w:val="clear" w:color="auto" w:fill="auto"/>
            <w:noWrap/>
            <w:vAlign w:val="center"/>
          </w:tcPr>
          <w:p>
            <w:pPr>
              <w:spacing w:line="240" w:lineRule="auto"/>
              <w:ind w:firstLine="0" w:firstLineChars="0"/>
              <w:jc w:val="left"/>
              <w:rPr>
                <w:rFonts w:ascii="Arial" w:hAnsi="Arial" w:cs="Arial"/>
                <w:b/>
                <w:bCs/>
                <w:color w:val="auto"/>
                <w:sz w:val="18"/>
                <w:szCs w:val="18"/>
              </w:rPr>
            </w:pPr>
          </w:p>
        </w:tc>
        <w:tc>
          <w:tcPr>
            <w:tcW w:w="1134"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hint="eastAsia" w:ascii="Arial" w:hAnsi="Arial" w:cs="Arial"/>
                <w:color w:val="auto"/>
                <w:sz w:val="18"/>
                <w:szCs w:val="18"/>
              </w:rPr>
              <w:t>交通工程师</w:t>
            </w:r>
          </w:p>
        </w:tc>
        <w:tc>
          <w:tcPr>
            <w:tcW w:w="70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宋体" w:hAnsi="宋体" w:cs="宋体"/>
                <w:color w:val="auto"/>
                <w:sz w:val="18"/>
                <w:szCs w:val="18"/>
              </w:rPr>
              <w:t>中</w:t>
            </w:r>
          </w:p>
        </w:tc>
        <w:tc>
          <w:tcPr>
            <w:tcW w:w="425"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1</w:t>
            </w:r>
          </w:p>
        </w:tc>
        <w:tc>
          <w:tcPr>
            <w:tcW w:w="426"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2</w:t>
            </w:r>
          </w:p>
        </w:tc>
        <w:tc>
          <w:tcPr>
            <w:tcW w:w="425"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1</w:t>
            </w:r>
          </w:p>
        </w:tc>
        <w:tc>
          <w:tcPr>
            <w:tcW w:w="1417"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ascii="Arial" w:hAnsi="Arial" w:cs="Arial"/>
                <w:color w:val="auto"/>
                <w:sz w:val="18"/>
                <w:szCs w:val="18"/>
              </w:rPr>
              <w:t>　</w:t>
            </w:r>
          </w:p>
        </w:tc>
        <w:tc>
          <w:tcPr>
            <w:tcW w:w="1560" w:type="dxa"/>
            <w:tcBorders>
              <w:top w:val="nil"/>
              <w:left w:val="nil"/>
              <w:bottom w:val="single" w:color="auto" w:sz="4" w:space="0"/>
              <w:right w:val="nil"/>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ascii="Arial" w:hAnsi="Arial" w:cs="Arial"/>
                <w:color w:val="auto"/>
                <w:sz w:val="18"/>
                <w:szCs w:val="18"/>
              </w:rPr>
              <w:t>　</w:t>
            </w:r>
          </w:p>
        </w:tc>
        <w:tc>
          <w:tcPr>
            <w:tcW w:w="588" w:type="dxa"/>
            <w:tcBorders>
              <w:top w:val="nil"/>
              <w:left w:val="single" w:color="auto" w:sz="4" w:space="0"/>
              <w:bottom w:val="nil"/>
              <w:right w:val="single" w:color="auto" w:sz="8" w:space="0"/>
            </w:tcBorders>
            <w:shd w:val="clear" w:color="auto" w:fill="auto"/>
            <w:noWrap/>
            <w:vAlign w:val="center"/>
          </w:tcPr>
          <w:p>
            <w:pPr>
              <w:spacing w:line="240" w:lineRule="auto"/>
              <w:ind w:firstLine="0" w:firstLineChars="0"/>
              <w:jc w:val="center"/>
              <w:rPr>
                <w:rFonts w:ascii="Arial" w:hAnsi="Arial" w:cs="Arial"/>
                <w:b/>
                <w:bCs/>
                <w:color w:val="auto"/>
                <w:sz w:val="18"/>
                <w:szCs w:val="18"/>
              </w:rPr>
            </w:pPr>
            <w:r>
              <w:rPr>
                <w:rFonts w:ascii="Arial" w:hAnsi="Arial" w:cs="Arial"/>
                <w:b/>
                <w:bCs/>
                <w:color w:val="auto"/>
                <w:sz w:val="18"/>
                <w:szCs w:val="18"/>
              </w:rPr>
              <w:t>　</w:t>
            </w:r>
          </w:p>
        </w:tc>
      </w:tr>
      <w:tr>
        <w:tblPrEx>
          <w:tblLayout w:type="fixed"/>
          <w:tblCellMar>
            <w:top w:w="0" w:type="dxa"/>
            <w:left w:w="108" w:type="dxa"/>
            <w:bottom w:w="0" w:type="dxa"/>
            <w:right w:w="108" w:type="dxa"/>
          </w:tblCellMar>
        </w:tblPrEx>
        <w:trPr>
          <w:trHeight w:val="402" w:hRule="atLeast"/>
          <w:jc w:val="center"/>
        </w:trPr>
        <w:tc>
          <w:tcPr>
            <w:tcW w:w="1002" w:type="dxa"/>
            <w:tcBorders>
              <w:top w:val="single" w:color="auto" w:sz="4" w:space="0"/>
              <w:left w:val="single" w:color="auto" w:sz="8" w:space="0"/>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b/>
                <w:bCs/>
                <w:color w:val="auto"/>
                <w:sz w:val="18"/>
                <w:szCs w:val="18"/>
              </w:rPr>
            </w:pPr>
            <w:r>
              <w:rPr>
                <w:rFonts w:ascii="Arial" w:hAnsi="Arial" w:cs="Arial"/>
                <w:b/>
                <w:bCs/>
                <w:color w:val="auto"/>
                <w:sz w:val="18"/>
                <w:szCs w:val="18"/>
              </w:rPr>
              <w:t>3D</w:t>
            </w:r>
            <w:r>
              <w:rPr>
                <w:rFonts w:hint="eastAsia" w:ascii="宋体" w:hAnsi="宋体" w:cs="Arial"/>
                <w:b/>
                <w:bCs/>
                <w:color w:val="auto"/>
                <w:sz w:val="18"/>
                <w:szCs w:val="18"/>
              </w:rPr>
              <w:t>协调</w:t>
            </w:r>
            <w:r>
              <w:rPr>
                <w:rFonts w:ascii="Arial" w:hAnsi="Arial" w:cs="Arial"/>
                <w:b/>
                <w:bCs/>
                <w:color w:val="auto"/>
                <w:sz w:val="18"/>
                <w:szCs w:val="18"/>
              </w:rPr>
              <w:t xml:space="preserve"> (</w:t>
            </w:r>
            <w:r>
              <w:rPr>
                <w:rFonts w:hint="eastAsia" w:ascii="宋体" w:hAnsi="宋体" w:cs="Arial"/>
                <w:b/>
                <w:bCs/>
                <w:color w:val="auto"/>
                <w:sz w:val="18"/>
                <w:szCs w:val="18"/>
              </w:rPr>
              <w:t>设计</w:t>
            </w:r>
            <w:r>
              <w:rPr>
                <w:rFonts w:ascii="Arial" w:hAnsi="Arial" w:cs="Arial"/>
                <w:b/>
                <w:bCs/>
                <w:color w:val="auto"/>
                <w:sz w:val="18"/>
                <w:szCs w:val="18"/>
              </w:rPr>
              <w:t>)</w:t>
            </w:r>
          </w:p>
        </w:tc>
        <w:tc>
          <w:tcPr>
            <w:tcW w:w="646" w:type="dxa"/>
            <w:tcBorders>
              <w:top w:val="single" w:color="auto" w:sz="4" w:space="0"/>
              <w:left w:val="nil"/>
              <w:bottom w:val="single" w:color="auto" w:sz="4" w:space="0"/>
              <w:right w:val="nil"/>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宋体" w:hAnsi="宋体" w:cs="Arial"/>
                <w:color w:val="auto"/>
                <w:sz w:val="18"/>
                <w:szCs w:val="18"/>
              </w:rPr>
              <w:t>高</w:t>
            </w:r>
          </w:p>
        </w:tc>
        <w:tc>
          <w:tcPr>
            <w:tcW w:w="1134" w:type="dxa"/>
            <w:tcBorders>
              <w:top w:val="single" w:color="auto" w:sz="4" w:space="0"/>
              <w:left w:val="single" w:color="auto" w:sz="4" w:space="0"/>
              <w:bottom w:val="single" w:color="auto" w:sz="4" w:space="0"/>
              <w:right w:val="nil"/>
            </w:tcBorders>
            <w:shd w:val="clear" w:color="auto" w:fill="auto"/>
            <w:noWrap/>
            <w:vAlign w:val="center"/>
          </w:tcPr>
          <w:p>
            <w:pPr>
              <w:spacing w:line="240" w:lineRule="auto"/>
              <w:ind w:firstLine="0" w:firstLineChars="0"/>
              <w:jc w:val="left"/>
              <w:rPr>
                <w:rFonts w:ascii="宋体" w:hAnsi="宋体" w:cs="宋体"/>
                <w:color w:val="auto"/>
                <w:sz w:val="18"/>
                <w:szCs w:val="18"/>
              </w:rPr>
            </w:pPr>
            <w:r>
              <w:rPr>
                <w:rFonts w:hint="eastAsia" w:ascii="宋体" w:hAnsi="宋体" w:cs="Arial"/>
                <w:color w:val="auto"/>
                <w:sz w:val="18"/>
                <w:szCs w:val="18"/>
              </w:rPr>
              <w:t>桥隧</w:t>
            </w:r>
            <w:r>
              <w:rPr>
                <w:rFonts w:hint="eastAsia" w:ascii="宋体" w:hAnsi="宋体" w:cs="宋体"/>
                <w:color w:val="auto"/>
                <w:sz w:val="18"/>
                <w:szCs w:val="18"/>
              </w:rPr>
              <w:t>工程师</w:t>
            </w:r>
          </w:p>
        </w:tc>
        <w:tc>
          <w:tcPr>
            <w:tcW w:w="709" w:type="dxa"/>
            <w:tcBorders>
              <w:top w:val="single" w:color="auto" w:sz="4" w:space="0"/>
              <w:left w:val="single" w:color="auto" w:sz="4" w:space="0"/>
              <w:bottom w:val="single" w:color="auto" w:sz="4" w:space="0"/>
              <w:right w:val="nil"/>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宋体" w:hAnsi="宋体" w:cs="Arial"/>
                <w:color w:val="auto"/>
                <w:sz w:val="18"/>
                <w:szCs w:val="18"/>
              </w:rPr>
              <w:t>高</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2</w:t>
            </w:r>
          </w:p>
        </w:tc>
        <w:tc>
          <w:tcPr>
            <w:tcW w:w="42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2</w:t>
            </w:r>
          </w:p>
        </w:tc>
        <w:tc>
          <w:tcPr>
            <w:tcW w:w="42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2</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cs="宋体"/>
                <w:color w:val="auto"/>
                <w:sz w:val="18"/>
                <w:szCs w:val="18"/>
              </w:rPr>
            </w:pPr>
            <w:r>
              <w:rPr>
                <w:rFonts w:hint="eastAsia" w:ascii="宋体" w:hAnsi="宋体" w:cs="宋体"/>
                <w:color w:val="auto"/>
                <w:sz w:val="18"/>
                <w:szCs w:val="18"/>
              </w:rPr>
              <w:t>需要协调软件</w:t>
            </w:r>
          </w:p>
        </w:tc>
        <w:tc>
          <w:tcPr>
            <w:tcW w:w="1560" w:type="dxa"/>
            <w:tcBorders>
              <w:top w:val="single" w:color="auto" w:sz="4" w:space="0"/>
              <w:left w:val="nil"/>
              <w:bottom w:val="single" w:color="auto" w:sz="4" w:space="0"/>
              <w:right w:val="nil"/>
            </w:tcBorders>
            <w:shd w:val="clear" w:color="auto" w:fill="auto"/>
            <w:noWrap/>
            <w:vAlign w:val="center"/>
          </w:tcPr>
          <w:p>
            <w:pPr>
              <w:spacing w:line="240" w:lineRule="auto"/>
              <w:ind w:firstLine="0" w:firstLineChars="0"/>
              <w:jc w:val="left"/>
              <w:rPr>
                <w:rFonts w:ascii="宋体" w:hAnsi="宋体" w:cs="宋体"/>
                <w:color w:val="auto"/>
                <w:sz w:val="18"/>
                <w:szCs w:val="18"/>
              </w:rPr>
            </w:pPr>
            <w:r>
              <w:rPr>
                <w:rFonts w:hint="eastAsia" w:ascii="宋体" w:hAnsi="宋体" w:cs="宋体"/>
                <w:color w:val="auto"/>
                <w:sz w:val="18"/>
                <w:szCs w:val="18"/>
              </w:rPr>
              <w:t>承包方推动协调</w:t>
            </w:r>
          </w:p>
        </w:tc>
        <w:tc>
          <w:tcPr>
            <w:tcW w:w="588" w:type="dxa"/>
            <w:tcBorders>
              <w:top w:val="nil"/>
              <w:left w:val="single" w:color="auto" w:sz="4" w:space="0"/>
              <w:bottom w:val="nil"/>
              <w:right w:val="single" w:color="auto" w:sz="8" w:space="0"/>
            </w:tcBorders>
            <w:shd w:val="clear" w:color="auto" w:fill="auto"/>
            <w:noWrap/>
            <w:vAlign w:val="center"/>
          </w:tcPr>
          <w:p>
            <w:pPr>
              <w:spacing w:line="240" w:lineRule="auto"/>
              <w:ind w:firstLine="0" w:firstLineChars="0"/>
              <w:jc w:val="center"/>
              <w:rPr>
                <w:rFonts w:ascii="宋体" w:hAnsi="宋体" w:cs="宋体"/>
                <w:b/>
                <w:bCs/>
                <w:color w:val="auto"/>
                <w:sz w:val="18"/>
                <w:szCs w:val="18"/>
              </w:rPr>
            </w:pPr>
          </w:p>
        </w:tc>
      </w:tr>
      <w:tr>
        <w:tblPrEx>
          <w:tblLayout w:type="fixed"/>
          <w:tblCellMar>
            <w:top w:w="0" w:type="dxa"/>
            <w:left w:w="108" w:type="dxa"/>
            <w:bottom w:w="0" w:type="dxa"/>
            <w:right w:w="108" w:type="dxa"/>
          </w:tblCellMar>
        </w:tblPrEx>
        <w:trPr>
          <w:trHeight w:val="402" w:hRule="atLeast"/>
          <w:jc w:val="center"/>
        </w:trPr>
        <w:tc>
          <w:tcPr>
            <w:tcW w:w="1002" w:type="dxa"/>
            <w:tcBorders>
              <w:top w:val="nil"/>
              <w:left w:val="single" w:color="auto" w:sz="8" w:space="0"/>
              <w:bottom w:val="nil"/>
              <w:right w:val="nil"/>
            </w:tcBorders>
            <w:shd w:val="clear" w:color="auto" w:fill="auto"/>
            <w:noWrap/>
            <w:vAlign w:val="center"/>
          </w:tcPr>
          <w:p>
            <w:pPr>
              <w:spacing w:line="240" w:lineRule="auto"/>
              <w:ind w:firstLine="0" w:firstLineChars="0"/>
              <w:jc w:val="left"/>
              <w:rPr>
                <w:rFonts w:ascii="Arial" w:hAnsi="Arial" w:cs="Arial"/>
                <w:b/>
                <w:bCs/>
                <w:color w:val="auto"/>
                <w:sz w:val="18"/>
                <w:szCs w:val="18"/>
              </w:rPr>
            </w:pPr>
            <w:r>
              <w:rPr>
                <w:rFonts w:ascii="Arial" w:hAnsi="Arial" w:cs="Arial"/>
                <w:b/>
                <w:bCs/>
                <w:color w:val="auto"/>
                <w:sz w:val="18"/>
                <w:szCs w:val="18"/>
              </w:rPr>
              <w:t>　</w:t>
            </w:r>
          </w:p>
        </w:tc>
        <w:tc>
          <w:tcPr>
            <w:tcW w:w="646" w:type="dxa"/>
            <w:tcBorders>
              <w:top w:val="nil"/>
              <w:left w:val="nil"/>
              <w:bottom w:val="nil"/>
              <w:right w:val="nil"/>
            </w:tcBorders>
            <w:shd w:val="clear" w:color="auto" w:fill="auto"/>
            <w:noWrap/>
            <w:vAlign w:val="center"/>
          </w:tcPr>
          <w:p>
            <w:pPr>
              <w:spacing w:line="240" w:lineRule="auto"/>
              <w:ind w:firstLine="0" w:firstLineChars="0"/>
              <w:jc w:val="left"/>
              <w:rPr>
                <w:rFonts w:ascii="Arial" w:hAnsi="Arial" w:cs="Arial"/>
                <w:b/>
                <w:bCs/>
                <w:color w:val="auto"/>
                <w:sz w:val="18"/>
                <w:szCs w:val="18"/>
              </w:rPr>
            </w:pPr>
          </w:p>
        </w:tc>
        <w:tc>
          <w:tcPr>
            <w:tcW w:w="1134"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hint="eastAsia" w:ascii="Arial" w:hAnsi="Arial" w:cs="Arial"/>
                <w:color w:val="auto"/>
                <w:sz w:val="18"/>
                <w:szCs w:val="18"/>
              </w:rPr>
              <w:t>道路</w:t>
            </w:r>
            <w:r>
              <w:rPr>
                <w:rFonts w:hint="eastAsia" w:ascii="宋体" w:hAnsi="宋体" w:cs="Arial"/>
                <w:color w:val="auto"/>
                <w:sz w:val="18"/>
                <w:szCs w:val="18"/>
              </w:rPr>
              <w:t>工程师</w:t>
            </w:r>
          </w:p>
        </w:tc>
        <w:tc>
          <w:tcPr>
            <w:tcW w:w="709" w:type="dxa"/>
            <w:tcBorders>
              <w:top w:val="nil"/>
              <w:left w:val="nil"/>
              <w:bottom w:val="single" w:color="auto" w:sz="4" w:space="0"/>
              <w:right w:val="nil"/>
            </w:tcBorders>
            <w:shd w:val="clear" w:color="auto" w:fill="auto"/>
            <w:noWrap/>
            <w:vAlign w:val="center"/>
          </w:tcPr>
          <w:p>
            <w:pPr>
              <w:spacing w:line="240" w:lineRule="auto"/>
              <w:ind w:firstLine="0" w:firstLineChars="0"/>
              <w:jc w:val="center"/>
              <w:rPr>
                <w:rFonts w:ascii="宋体" w:hAnsi="宋体" w:cs="宋体"/>
                <w:color w:val="auto"/>
                <w:sz w:val="18"/>
                <w:szCs w:val="18"/>
              </w:rPr>
            </w:pPr>
            <w:r>
              <w:rPr>
                <w:rFonts w:hint="eastAsia" w:ascii="宋体" w:hAnsi="宋体" w:cs="宋体"/>
                <w:color w:val="auto"/>
                <w:sz w:val="18"/>
                <w:szCs w:val="18"/>
              </w:rPr>
              <w:t>中</w:t>
            </w:r>
          </w:p>
        </w:tc>
        <w:tc>
          <w:tcPr>
            <w:tcW w:w="425"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2</w:t>
            </w:r>
          </w:p>
        </w:tc>
        <w:tc>
          <w:tcPr>
            <w:tcW w:w="426"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2</w:t>
            </w:r>
          </w:p>
        </w:tc>
        <w:tc>
          <w:tcPr>
            <w:tcW w:w="425"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1</w:t>
            </w:r>
          </w:p>
        </w:tc>
        <w:tc>
          <w:tcPr>
            <w:tcW w:w="1417"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ascii="Arial" w:hAnsi="Arial" w:cs="Arial"/>
                <w:color w:val="auto"/>
                <w:sz w:val="18"/>
                <w:szCs w:val="18"/>
              </w:rPr>
              <w:t>　</w:t>
            </w:r>
          </w:p>
        </w:tc>
        <w:tc>
          <w:tcPr>
            <w:tcW w:w="1560" w:type="dxa"/>
            <w:tcBorders>
              <w:top w:val="nil"/>
              <w:left w:val="nil"/>
              <w:bottom w:val="single" w:color="auto" w:sz="4" w:space="0"/>
              <w:right w:val="nil"/>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ascii="Arial" w:hAnsi="Arial" w:cs="Arial"/>
                <w:color w:val="auto"/>
                <w:sz w:val="18"/>
                <w:szCs w:val="18"/>
              </w:rPr>
              <w:t>　</w:t>
            </w:r>
          </w:p>
        </w:tc>
        <w:tc>
          <w:tcPr>
            <w:tcW w:w="588" w:type="dxa"/>
            <w:tcBorders>
              <w:top w:val="single" w:color="auto" w:sz="4" w:space="0"/>
              <w:left w:val="single" w:color="auto" w:sz="4" w:space="0"/>
              <w:bottom w:val="nil"/>
              <w:right w:val="single" w:color="auto" w:sz="8" w:space="0"/>
            </w:tcBorders>
            <w:shd w:val="clear" w:color="auto" w:fill="auto"/>
            <w:noWrap/>
            <w:vAlign w:val="center"/>
          </w:tcPr>
          <w:p>
            <w:pPr>
              <w:spacing w:line="240" w:lineRule="auto"/>
              <w:ind w:firstLine="0" w:firstLineChars="0"/>
              <w:jc w:val="center"/>
              <w:rPr>
                <w:rFonts w:ascii="Arial" w:hAnsi="Arial" w:cs="Arial"/>
                <w:b/>
                <w:bCs/>
                <w:color w:val="auto"/>
                <w:sz w:val="18"/>
                <w:szCs w:val="18"/>
              </w:rPr>
            </w:pPr>
            <w:r>
              <w:rPr>
                <w:rFonts w:ascii="Arial" w:hAnsi="Arial" w:cs="Arial"/>
                <w:b/>
                <w:bCs/>
                <w:color w:val="auto"/>
                <w:sz w:val="18"/>
                <w:szCs w:val="18"/>
              </w:rPr>
              <w:t>　</w:t>
            </w:r>
          </w:p>
        </w:tc>
      </w:tr>
      <w:tr>
        <w:tblPrEx>
          <w:tblLayout w:type="fixed"/>
          <w:tblCellMar>
            <w:top w:w="0" w:type="dxa"/>
            <w:left w:w="108" w:type="dxa"/>
            <w:bottom w:w="0" w:type="dxa"/>
            <w:right w:w="108" w:type="dxa"/>
          </w:tblCellMar>
        </w:tblPrEx>
        <w:trPr>
          <w:trHeight w:val="402" w:hRule="atLeast"/>
          <w:jc w:val="center"/>
        </w:trPr>
        <w:tc>
          <w:tcPr>
            <w:tcW w:w="1002" w:type="dxa"/>
            <w:tcBorders>
              <w:top w:val="nil"/>
              <w:left w:val="single" w:color="auto" w:sz="8" w:space="0"/>
              <w:bottom w:val="nil"/>
              <w:right w:val="nil"/>
            </w:tcBorders>
            <w:shd w:val="clear" w:color="auto" w:fill="auto"/>
            <w:noWrap/>
            <w:vAlign w:val="center"/>
          </w:tcPr>
          <w:p>
            <w:pPr>
              <w:spacing w:line="240" w:lineRule="auto"/>
              <w:ind w:firstLine="0" w:firstLineChars="0"/>
              <w:jc w:val="left"/>
              <w:rPr>
                <w:rFonts w:ascii="Arial" w:hAnsi="Arial" w:cs="Arial"/>
                <w:b/>
                <w:bCs/>
                <w:color w:val="auto"/>
                <w:sz w:val="18"/>
                <w:szCs w:val="18"/>
              </w:rPr>
            </w:pPr>
            <w:r>
              <w:rPr>
                <w:rFonts w:ascii="Arial" w:hAnsi="Arial" w:cs="Arial"/>
                <w:b/>
                <w:bCs/>
                <w:color w:val="auto"/>
                <w:sz w:val="18"/>
                <w:szCs w:val="18"/>
              </w:rPr>
              <w:t>　</w:t>
            </w:r>
          </w:p>
        </w:tc>
        <w:tc>
          <w:tcPr>
            <w:tcW w:w="646" w:type="dxa"/>
            <w:tcBorders>
              <w:top w:val="nil"/>
              <w:left w:val="nil"/>
              <w:bottom w:val="nil"/>
              <w:right w:val="nil"/>
            </w:tcBorders>
            <w:shd w:val="clear" w:color="auto" w:fill="auto"/>
            <w:noWrap/>
            <w:vAlign w:val="center"/>
          </w:tcPr>
          <w:p>
            <w:pPr>
              <w:spacing w:line="240" w:lineRule="auto"/>
              <w:ind w:firstLine="0" w:firstLineChars="0"/>
              <w:jc w:val="left"/>
              <w:rPr>
                <w:rFonts w:ascii="Arial" w:hAnsi="Arial" w:cs="Arial"/>
                <w:b/>
                <w:bCs/>
                <w:color w:val="auto"/>
                <w:sz w:val="18"/>
                <w:szCs w:val="18"/>
              </w:rPr>
            </w:pPr>
          </w:p>
        </w:tc>
        <w:tc>
          <w:tcPr>
            <w:tcW w:w="1134"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cs="宋体"/>
                <w:color w:val="auto"/>
                <w:sz w:val="18"/>
                <w:szCs w:val="18"/>
              </w:rPr>
            </w:pPr>
            <w:r>
              <w:rPr>
                <w:rFonts w:hint="eastAsia" w:ascii="宋体" w:hAnsi="宋体" w:cs="宋体"/>
                <w:color w:val="auto"/>
                <w:sz w:val="18"/>
                <w:szCs w:val="18"/>
              </w:rPr>
              <w:t>电气工程师</w:t>
            </w:r>
          </w:p>
        </w:tc>
        <w:tc>
          <w:tcPr>
            <w:tcW w:w="709" w:type="dxa"/>
            <w:tcBorders>
              <w:top w:val="nil"/>
              <w:left w:val="nil"/>
              <w:bottom w:val="single" w:color="auto" w:sz="4" w:space="0"/>
              <w:right w:val="nil"/>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宋体" w:hAnsi="宋体" w:cs="宋体"/>
                <w:color w:val="auto"/>
                <w:sz w:val="18"/>
                <w:szCs w:val="18"/>
              </w:rPr>
              <w:t>中</w:t>
            </w:r>
          </w:p>
        </w:tc>
        <w:tc>
          <w:tcPr>
            <w:tcW w:w="425"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2</w:t>
            </w:r>
          </w:p>
        </w:tc>
        <w:tc>
          <w:tcPr>
            <w:tcW w:w="426"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2</w:t>
            </w:r>
          </w:p>
        </w:tc>
        <w:tc>
          <w:tcPr>
            <w:tcW w:w="425"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1</w:t>
            </w:r>
          </w:p>
        </w:tc>
        <w:tc>
          <w:tcPr>
            <w:tcW w:w="1417"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ascii="Arial" w:hAnsi="Arial" w:cs="Arial"/>
                <w:color w:val="auto"/>
                <w:sz w:val="18"/>
                <w:szCs w:val="18"/>
              </w:rPr>
              <w:t>　</w:t>
            </w:r>
          </w:p>
        </w:tc>
        <w:tc>
          <w:tcPr>
            <w:tcW w:w="1560" w:type="dxa"/>
            <w:tcBorders>
              <w:top w:val="nil"/>
              <w:left w:val="nil"/>
              <w:bottom w:val="single" w:color="auto" w:sz="4" w:space="0"/>
              <w:right w:val="nil"/>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ascii="Arial" w:hAnsi="Arial" w:cs="Arial"/>
                <w:color w:val="auto"/>
                <w:sz w:val="18"/>
                <w:szCs w:val="18"/>
              </w:rPr>
              <w:t>　</w:t>
            </w:r>
          </w:p>
        </w:tc>
        <w:tc>
          <w:tcPr>
            <w:tcW w:w="588" w:type="dxa"/>
            <w:tcBorders>
              <w:top w:val="nil"/>
              <w:left w:val="single" w:color="auto" w:sz="4" w:space="0"/>
              <w:bottom w:val="nil"/>
              <w:right w:val="single" w:color="auto" w:sz="8" w:space="0"/>
            </w:tcBorders>
            <w:shd w:val="clear" w:color="auto" w:fill="auto"/>
            <w:noWrap/>
            <w:vAlign w:val="center"/>
          </w:tcPr>
          <w:p>
            <w:pPr>
              <w:spacing w:line="240" w:lineRule="auto"/>
              <w:ind w:firstLine="0" w:firstLineChars="0"/>
              <w:jc w:val="center"/>
              <w:rPr>
                <w:rFonts w:ascii="Arial" w:hAnsi="Arial" w:cs="Arial"/>
                <w:b/>
                <w:bCs/>
                <w:color w:val="auto"/>
                <w:sz w:val="18"/>
                <w:szCs w:val="18"/>
              </w:rPr>
            </w:pPr>
            <w:r>
              <w:rPr>
                <w:rFonts w:ascii="Arial" w:hAnsi="Arial" w:cs="Arial"/>
                <w:b/>
                <w:bCs/>
                <w:color w:val="auto"/>
                <w:sz w:val="18"/>
                <w:szCs w:val="18"/>
              </w:rPr>
              <w:t>　</w:t>
            </w:r>
          </w:p>
        </w:tc>
      </w:tr>
      <w:tr>
        <w:tblPrEx>
          <w:tblLayout w:type="fixed"/>
          <w:tblCellMar>
            <w:top w:w="0" w:type="dxa"/>
            <w:left w:w="108" w:type="dxa"/>
            <w:bottom w:w="0" w:type="dxa"/>
            <w:right w:w="108" w:type="dxa"/>
          </w:tblCellMar>
        </w:tblPrEx>
        <w:trPr>
          <w:trHeight w:val="402" w:hRule="atLeast"/>
          <w:jc w:val="center"/>
        </w:trPr>
        <w:tc>
          <w:tcPr>
            <w:tcW w:w="1002" w:type="dxa"/>
            <w:tcBorders>
              <w:top w:val="single" w:color="auto" w:sz="4" w:space="0"/>
              <w:left w:val="single" w:color="auto" w:sz="8" w:space="0"/>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cs="宋体"/>
                <w:b/>
                <w:bCs/>
                <w:color w:val="auto"/>
                <w:sz w:val="18"/>
                <w:szCs w:val="18"/>
              </w:rPr>
            </w:pPr>
            <w:r>
              <w:rPr>
                <w:rFonts w:hint="eastAsia" w:ascii="宋体" w:hAnsi="宋体" w:cs="宋体"/>
                <w:b/>
                <w:bCs/>
                <w:color w:val="auto"/>
                <w:sz w:val="18"/>
                <w:szCs w:val="18"/>
              </w:rPr>
              <w:t>设计建模</w:t>
            </w:r>
          </w:p>
        </w:tc>
        <w:tc>
          <w:tcPr>
            <w:tcW w:w="646" w:type="dxa"/>
            <w:tcBorders>
              <w:top w:val="single" w:color="auto" w:sz="4" w:space="0"/>
              <w:left w:val="nil"/>
              <w:bottom w:val="single" w:color="auto" w:sz="4" w:space="0"/>
              <w:right w:val="nil"/>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宋体" w:hAnsi="宋体" w:cs="Arial"/>
                <w:color w:val="auto"/>
                <w:sz w:val="18"/>
                <w:szCs w:val="18"/>
              </w:rPr>
              <w:t>高</w:t>
            </w:r>
          </w:p>
        </w:tc>
        <w:tc>
          <w:tcPr>
            <w:tcW w:w="1134" w:type="dxa"/>
            <w:tcBorders>
              <w:top w:val="single" w:color="auto" w:sz="4" w:space="0"/>
              <w:left w:val="single" w:color="auto" w:sz="4" w:space="0"/>
              <w:bottom w:val="single" w:color="auto" w:sz="4" w:space="0"/>
              <w:right w:val="nil"/>
            </w:tcBorders>
            <w:shd w:val="clear" w:color="auto" w:fill="auto"/>
            <w:noWrap/>
            <w:vAlign w:val="center"/>
          </w:tcPr>
          <w:p>
            <w:pPr>
              <w:spacing w:line="240" w:lineRule="auto"/>
              <w:ind w:firstLine="0" w:firstLineChars="0"/>
              <w:jc w:val="left"/>
              <w:rPr>
                <w:rFonts w:ascii="宋体" w:hAnsi="宋体" w:cs="宋体"/>
                <w:color w:val="auto"/>
                <w:sz w:val="18"/>
                <w:szCs w:val="18"/>
              </w:rPr>
            </w:pPr>
            <w:r>
              <w:rPr>
                <w:rFonts w:hint="eastAsia" w:ascii="宋体" w:hAnsi="宋体" w:cs="宋体"/>
                <w:color w:val="auto"/>
                <w:sz w:val="18"/>
                <w:szCs w:val="18"/>
              </w:rPr>
              <w:t>道路工程师</w:t>
            </w:r>
          </w:p>
        </w:tc>
        <w:tc>
          <w:tcPr>
            <w:tcW w:w="709" w:type="dxa"/>
            <w:tcBorders>
              <w:top w:val="single" w:color="auto" w:sz="4" w:space="0"/>
              <w:left w:val="single" w:color="auto" w:sz="4" w:space="0"/>
              <w:bottom w:val="single" w:color="auto" w:sz="4" w:space="0"/>
              <w:right w:val="nil"/>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宋体" w:hAnsi="宋体" w:cs="Arial"/>
                <w:color w:val="auto"/>
                <w:sz w:val="18"/>
                <w:szCs w:val="18"/>
              </w:rPr>
              <w:t>高</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3</w:t>
            </w:r>
          </w:p>
        </w:tc>
        <w:tc>
          <w:tcPr>
            <w:tcW w:w="42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3</w:t>
            </w:r>
          </w:p>
        </w:tc>
        <w:tc>
          <w:tcPr>
            <w:tcW w:w="42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3</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ascii="Arial" w:hAnsi="Arial" w:cs="Arial"/>
                <w:color w:val="auto"/>
                <w:sz w:val="18"/>
                <w:szCs w:val="18"/>
              </w:rPr>
              <w:t>　</w:t>
            </w:r>
          </w:p>
        </w:tc>
        <w:tc>
          <w:tcPr>
            <w:tcW w:w="1560" w:type="dxa"/>
            <w:tcBorders>
              <w:top w:val="single" w:color="auto" w:sz="4" w:space="0"/>
              <w:left w:val="nil"/>
              <w:bottom w:val="single" w:color="auto" w:sz="4" w:space="0"/>
              <w:right w:val="nil"/>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hint="eastAsia" w:ascii="Arial" w:hAnsi="Arial" w:cs="Arial"/>
                <w:color w:val="auto"/>
                <w:sz w:val="18"/>
                <w:szCs w:val="18"/>
              </w:rPr>
              <w:t>道路模型</w:t>
            </w:r>
          </w:p>
        </w:tc>
        <w:tc>
          <w:tcPr>
            <w:tcW w:w="588" w:type="dxa"/>
            <w:tcBorders>
              <w:top w:val="nil"/>
              <w:left w:val="single" w:color="auto" w:sz="4" w:space="0"/>
              <w:bottom w:val="nil"/>
              <w:right w:val="single" w:color="auto" w:sz="8" w:space="0"/>
            </w:tcBorders>
            <w:shd w:val="clear" w:color="auto" w:fill="auto"/>
            <w:noWrap/>
            <w:vAlign w:val="center"/>
          </w:tcPr>
          <w:p>
            <w:pPr>
              <w:spacing w:line="240" w:lineRule="auto"/>
              <w:ind w:firstLine="0" w:firstLineChars="0"/>
              <w:jc w:val="center"/>
              <w:rPr>
                <w:rFonts w:ascii="宋体" w:hAnsi="宋体" w:cs="宋体"/>
                <w:b/>
                <w:bCs/>
                <w:color w:val="auto"/>
                <w:sz w:val="18"/>
                <w:szCs w:val="18"/>
              </w:rPr>
            </w:pPr>
          </w:p>
        </w:tc>
      </w:tr>
      <w:tr>
        <w:tblPrEx>
          <w:tblLayout w:type="fixed"/>
          <w:tblCellMar>
            <w:top w:w="0" w:type="dxa"/>
            <w:left w:w="108" w:type="dxa"/>
            <w:bottom w:w="0" w:type="dxa"/>
            <w:right w:w="108" w:type="dxa"/>
          </w:tblCellMar>
        </w:tblPrEx>
        <w:trPr>
          <w:trHeight w:val="402" w:hRule="atLeast"/>
          <w:jc w:val="center"/>
        </w:trPr>
        <w:tc>
          <w:tcPr>
            <w:tcW w:w="1002" w:type="dxa"/>
            <w:tcBorders>
              <w:top w:val="nil"/>
              <w:left w:val="single" w:color="auto" w:sz="8" w:space="0"/>
              <w:bottom w:val="nil"/>
              <w:right w:val="nil"/>
            </w:tcBorders>
            <w:shd w:val="clear" w:color="auto" w:fill="auto"/>
            <w:noWrap/>
            <w:vAlign w:val="center"/>
          </w:tcPr>
          <w:p>
            <w:pPr>
              <w:spacing w:line="240" w:lineRule="auto"/>
              <w:ind w:firstLine="0" w:firstLineChars="0"/>
              <w:jc w:val="left"/>
              <w:rPr>
                <w:rFonts w:ascii="Arial" w:hAnsi="Arial" w:cs="Arial"/>
                <w:b/>
                <w:bCs/>
                <w:color w:val="auto"/>
                <w:sz w:val="18"/>
                <w:szCs w:val="18"/>
              </w:rPr>
            </w:pPr>
            <w:r>
              <w:rPr>
                <w:rFonts w:ascii="Arial" w:hAnsi="Arial" w:cs="Arial"/>
                <w:b/>
                <w:bCs/>
                <w:color w:val="auto"/>
                <w:sz w:val="18"/>
                <w:szCs w:val="18"/>
              </w:rPr>
              <w:t>　</w:t>
            </w:r>
          </w:p>
        </w:tc>
        <w:tc>
          <w:tcPr>
            <w:tcW w:w="646" w:type="dxa"/>
            <w:tcBorders>
              <w:top w:val="nil"/>
              <w:left w:val="nil"/>
              <w:bottom w:val="nil"/>
              <w:right w:val="nil"/>
            </w:tcBorders>
            <w:shd w:val="clear" w:color="auto" w:fill="auto"/>
            <w:noWrap/>
            <w:vAlign w:val="center"/>
          </w:tcPr>
          <w:p>
            <w:pPr>
              <w:spacing w:line="240" w:lineRule="auto"/>
              <w:ind w:firstLine="0" w:firstLineChars="0"/>
              <w:jc w:val="left"/>
              <w:rPr>
                <w:rFonts w:ascii="Arial" w:hAnsi="Arial" w:cs="Arial"/>
                <w:b/>
                <w:bCs/>
                <w:color w:val="auto"/>
                <w:sz w:val="18"/>
                <w:szCs w:val="18"/>
              </w:rPr>
            </w:pPr>
          </w:p>
        </w:tc>
        <w:tc>
          <w:tcPr>
            <w:tcW w:w="1134"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hint="eastAsia" w:ascii="宋体" w:hAnsi="宋体" w:cs="Arial"/>
                <w:color w:val="auto"/>
                <w:sz w:val="18"/>
                <w:szCs w:val="18"/>
              </w:rPr>
              <w:t>桥隧工程师</w:t>
            </w:r>
          </w:p>
        </w:tc>
        <w:tc>
          <w:tcPr>
            <w:tcW w:w="709" w:type="dxa"/>
            <w:tcBorders>
              <w:top w:val="nil"/>
              <w:left w:val="nil"/>
              <w:bottom w:val="single" w:color="auto" w:sz="4" w:space="0"/>
              <w:right w:val="nil"/>
            </w:tcBorders>
            <w:shd w:val="clear" w:color="auto" w:fill="auto"/>
            <w:noWrap/>
            <w:vAlign w:val="center"/>
          </w:tcPr>
          <w:p>
            <w:pPr>
              <w:spacing w:line="240" w:lineRule="auto"/>
              <w:ind w:firstLine="0" w:firstLineChars="0"/>
              <w:jc w:val="center"/>
              <w:rPr>
                <w:rFonts w:ascii="宋体" w:hAnsi="宋体" w:cs="宋体"/>
                <w:color w:val="auto"/>
                <w:sz w:val="18"/>
                <w:szCs w:val="18"/>
              </w:rPr>
            </w:pPr>
            <w:r>
              <w:rPr>
                <w:rFonts w:hint="eastAsia" w:ascii="宋体" w:hAnsi="宋体" w:cs="Arial"/>
                <w:color w:val="auto"/>
                <w:sz w:val="18"/>
                <w:szCs w:val="18"/>
              </w:rPr>
              <w:t>高</w:t>
            </w:r>
          </w:p>
        </w:tc>
        <w:tc>
          <w:tcPr>
            <w:tcW w:w="425"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3</w:t>
            </w:r>
          </w:p>
        </w:tc>
        <w:tc>
          <w:tcPr>
            <w:tcW w:w="426"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3</w:t>
            </w:r>
          </w:p>
        </w:tc>
        <w:tc>
          <w:tcPr>
            <w:tcW w:w="425"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ascii="Arial" w:hAnsi="Arial" w:cs="Arial"/>
                <w:color w:val="auto"/>
                <w:sz w:val="18"/>
                <w:szCs w:val="18"/>
              </w:rPr>
              <w:t>3</w:t>
            </w:r>
          </w:p>
        </w:tc>
        <w:tc>
          <w:tcPr>
            <w:tcW w:w="1417"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ascii="Arial" w:hAnsi="Arial" w:cs="Arial"/>
                <w:color w:val="auto"/>
                <w:sz w:val="18"/>
                <w:szCs w:val="18"/>
              </w:rPr>
              <w:t>　</w:t>
            </w:r>
          </w:p>
        </w:tc>
        <w:tc>
          <w:tcPr>
            <w:tcW w:w="1560" w:type="dxa"/>
            <w:tcBorders>
              <w:top w:val="nil"/>
              <w:left w:val="nil"/>
              <w:bottom w:val="single" w:color="auto" w:sz="4" w:space="0"/>
              <w:right w:val="nil"/>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hint="eastAsia" w:ascii="Arial" w:hAnsi="Arial" w:cs="Arial"/>
                <w:color w:val="auto"/>
                <w:sz w:val="18"/>
                <w:szCs w:val="18"/>
              </w:rPr>
              <w:t>桥隧模型</w:t>
            </w:r>
          </w:p>
        </w:tc>
        <w:tc>
          <w:tcPr>
            <w:tcW w:w="588" w:type="dxa"/>
            <w:tcBorders>
              <w:top w:val="single" w:color="auto" w:sz="4" w:space="0"/>
              <w:left w:val="single" w:color="auto" w:sz="4" w:space="0"/>
              <w:bottom w:val="nil"/>
              <w:right w:val="single" w:color="auto" w:sz="8" w:space="0"/>
            </w:tcBorders>
            <w:shd w:val="clear" w:color="auto" w:fill="auto"/>
            <w:noWrap/>
            <w:vAlign w:val="center"/>
          </w:tcPr>
          <w:p>
            <w:pPr>
              <w:spacing w:line="240" w:lineRule="auto"/>
              <w:ind w:firstLine="0" w:firstLineChars="0"/>
              <w:jc w:val="center"/>
              <w:rPr>
                <w:rFonts w:ascii="Arial" w:hAnsi="Arial" w:cs="Arial"/>
                <w:b/>
                <w:bCs/>
                <w:color w:val="auto"/>
                <w:sz w:val="18"/>
                <w:szCs w:val="18"/>
              </w:rPr>
            </w:pPr>
            <w:r>
              <w:rPr>
                <w:rFonts w:ascii="Arial" w:hAnsi="Arial" w:cs="Arial"/>
                <w:b/>
                <w:bCs/>
                <w:color w:val="auto"/>
                <w:sz w:val="18"/>
                <w:szCs w:val="18"/>
              </w:rPr>
              <w:t>　</w:t>
            </w:r>
          </w:p>
        </w:tc>
      </w:tr>
      <w:tr>
        <w:tblPrEx>
          <w:tblLayout w:type="fixed"/>
          <w:tblCellMar>
            <w:top w:w="0" w:type="dxa"/>
            <w:left w:w="108" w:type="dxa"/>
            <w:bottom w:w="0" w:type="dxa"/>
            <w:right w:w="108" w:type="dxa"/>
          </w:tblCellMar>
        </w:tblPrEx>
        <w:trPr>
          <w:trHeight w:val="402" w:hRule="atLeast"/>
          <w:jc w:val="center"/>
        </w:trPr>
        <w:tc>
          <w:tcPr>
            <w:tcW w:w="1002" w:type="dxa"/>
            <w:tcBorders>
              <w:top w:val="nil"/>
              <w:left w:val="single" w:color="auto" w:sz="8" w:space="0"/>
              <w:bottom w:val="nil"/>
              <w:right w:val="nil"/>
            </w:tcBorders>
            <w:shd w:val="clear" w:color="auto" w:fill="auto"/>
            <w:noWrap/>
            <w:vAlign w:val="center"/>
          </w:tcPr>
          <w:p>
            <w:pPr>
              <w:spacing w:line="240" w:lineRule="auto"/>
              <w:ind w:firstLine="0" w:firstLineChars="0"/>
              <w:jc w:val="left"/>
              <w:rPr>
                <w:rFonts w:ascii="Arial" w:hAnsi="Arial" w:cs="Arial"/>
                <w:b/>
                <w:bCs/>
                <w:color w:val="auto"/>
                <w:sz w:val="18"/>
                <w:szCs w:val="18"/>
              </w:rPr>
            </w:pPr>
            <w:r>
              <w:rPr>
                <w:rFonts w:ascii="Arial" w:hAnsi="Arial" w:cs="Arial"/>
                <w:b/>
                <w:bCs/>
                <w:color w:val="auto"/>
                <w:sz w:val="18"/>
                <w:szCs w:val="18"/>
              </w:rPr>
              <w:t>　</w:t>
            </w:r>
          </w:p>
        </w:tc>
        <w:tc>
          <w:tcPr>
            <w:tcW w:w="646" w:type="dxa"/>
            <w:tcBorders>
              <w:top w:val="nil"/>
              <w:left w:val="nil"/>
              <w:bottom w:val="nil"/>
              <w:right w:val="single" w:color="auto" w:sz="4" w:space="0"/>
            </w:tcBorders>
            <w:shd w:val="clear" w:color="auto" w:fill="auto"/>
            <w:noWrap/>
            <w:vAlign w:val="center"/>
          </w:tcPr>
          <w:p>
            <w:pPr>
              <w:spacing w:line="240" w:lineRule="auto"/>
              <w:ind w:firstLine="0" w:firstLineChars="0"/>
              <w:jc w:val="left"/>
              <w:rPr>
                <w:rFonts w:ascii="Arial" w:hAnsi="Arial" w:cs="Arial"/>
                <w:b/>
                <w:bCs/>
                <w:color w:val="auto"/>
                <w:sz w:val="18"/>
                <w:szCs w:val="18"/>
              </w:rPr>
            </w:pP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cs="宋体"/>
                <w:color w:val="auto"/>
                <w:sz w:val="18"/>
                <w:szCs w:val="18"/>
              </w:rPr>
            </w:pPr>
            <w:r>
              <w:rPr>
                <w:rFonts w:hint="eastAsia" w:ascii="宋体" w:hAnsi="宋体" w:cs="宋体"/>
                <w:color w:val="auto"/>
                <w:sz w:val="18"/>
                <w:szCs w:val="18"/>
              </w:rPr>
              <w:t>电气工程师</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宋体" w:hAnsi="宋体" w:cs="宋体"/>
                <w:color w:val="auto"/>
                <w:sz w:val="18"/>
                <w:szCs w:val="18"/>
              </w:rPr>
              <w:t>中</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Arial" w:hAnsi="Arial" w:cs="Arial"/>
                <w:color w:val="auto"/>
                <w:sz w:val="18"/>
                <w:szCs w:val="18"/>
              </w:rPr>
              <w:t>2</w:t>
            </w:r>
          </w:p>
        </w:tc>
        <w:tc>
          <w:tcPr>
            <w:tcW w:w="42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Arial" w:hAnsi="Arial" w:cs="Arial"/>
                <w:color w:val="auto"/>
                <w:sz w:val="18"/>
                <w:szCs w:val="18"/>
              </w:rPr>
              <w:t>2</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Arial" w:hAnsi="Arial" w:cs="Arial"/>
                <w:color w:val="auto"/>
                <w:sz w:val="18"/>
                <w:szCs w:val="18"/>
              </w:rPr>
              <w:t>1</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ascii="Arial" w:hAnsi="Arial" w:cs="Arial"/>
                <w:color w:val="auto"/>
                <w:sz w:val="18"/>
                <w:szCs w:val="18"/>
              </w:rPr>
              <w:t>　</w:t>
            </w: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hint="eastAsia" w:ascii="Arial" w:hAnsi="Arial" w:cs="Arial"/>
                <w:color w:val="auto"/>
                <w:sz w:val="18"/>
                <w:szCs w:val="18"/>
              </w:rPr>
              <w:t>电气模型</w:t>
            </w:r>
          </w:p>
        </w:tc>
        <w:tc>
          <w:tcPr>
            <w:tcW w:w="588" w:type="dxa"/>
            <w:tcBorders>
              <w:top w:val="nil"/>
              <w:left w:val="single" w:color="auto" w:sz="4" w:space="0"/>
              <w:bottom w:val="nil"/>
              <w:right w:val="single" w:color="auto" w:sz="8" w:space="0"/>
            </w:tcBorders>
            <w:shd w:val="clear" w:color="auto" w:fill="auto"/>
            <w:noWrap/>
            <w:vAlign w:val="center"/>
          </w:tcPr>
          <w:p>
            <w:pPr>
              <w:spacing w:line="240" w:lineRule="auto"/>
              <w:ind w:firstLine="0" w:firstLineChars="0"/>
              <w:jc w:val="center"/>
              <w:rPr>
                <w:rFonts w:ascii="Arial" w:hAnsi="Arial" w:cs="Arial"/>
                <w:b/>
                <w:bCs/>
                <w:color w:val="auto"/>
                <w:sz w:val="18"/>
                <w:szCs w:val="18"/>
              </w:rPr>
            </w:pPr>
            <w:r>
              <w:rPr>
                <w:rFonts w:ascii="Arial" w:hAnsi="Arial" w:cs="Arial"/>
                <w:b/>
                <w:bCs/>
                <w:color w:val="auto"/>
                <w:sz w:val="18"/>
                <w:szCs w:val="18"/>
              </w:rPr>
              <w:t>　</w:t>
            </w:r>
          </w:p>
        </w:tc>
      </w:tr>
      <w:tr>
        <w:tblPrEx>
          <w:tblLayout w:type="fixed"/>
          <w:tblCellMar>
            <w:top w:w="0" w:type="dxa"/>
            <w:left w:w="108" w:type="dxa"/>
            <w:bottom w:w="0" w:type="dxa"/>
            <w:right w:w="108" w:type="dxa"/>
          </w:tblCellMar>
        </w:tblPrEx>
        <w:trPr>
          <w:trHeight w:val="402" w:hRule="atLeast"/>
          <w:jc w:val="center"/>
        </w:trPr>
        <w:tc>
          <w:tcPr>
            <w:tcW w:w="1002" w:type="dxa"/>
            <w:tcBorders>
              <w:top w:val="nil"/>
              <w:left w:val="single" w:color="auto" w:sz="8" w:space="0"/>
              <w:bottom w:val="nil"/>
              <w:right w:val="nil"/>
            </w:tcBorders>
            <w:shd w:val="clear" w:color="auto" w:fill="auto"/>
            <w:noWrap/>
            <w:vAlign w:val="center"/>
          </w:tcPr>
          <w:p>
            <w:pPr>
              <w:spacing w:line="240" w:lineRule="auto"/>
              <w:ind w:firstLine="0" w:firstLineChars="0"/>
              <w:jc w:val="left"/>
              <w:rPr>
                <w:rFonts w:ascii="Arial" w:hAnsi="Arial" w:cs="Arial"/>
                <w:b/>
                <w:bCs/>
                <w:color w:val="auto"/>
                <w:sz w:val="18"/>
                <w:szCs w:val="18"/>
              </w:rPr>
            </w:pPr>
          </w:p>
        </w:tc>
        <w:tc>
          <w:tcPr>
            <w:tcW w:w="646" w:type="dxa"/>
            <w:tcBorders>
              <w:top w:val="nil"/>
              <w:left w:val="nil"/>
              <w:bottom w:val="nil"/>
              <w:right w:val="single" w:color="auto" w:sz="4" w:space="0"/>
            </w:tcBorders>
            <w:shd w:val="clear" w:color="auto" w:fill="auto"/>
            <w:noWrap/>
            <w:vAlign w:val="center"/>
          </w:tcPr>
          <w:p>
            <w:pPr>
              <w:spacing w:line="240" w:lineRule="auto"/>
              <w:ind w:firstLine="0" w:firstLineChars="0"/>
              <w:jc w:val="left"/>
              <w:rPr>
                <w:rFonts w:ascii="Arial" w:hAnsi="Arial" w:cs="Arial"/>
                <w:b/>
                <w:bCs/>
                <w:color w:val="auto"/>
                <w:sz w:val="18"/>
                <w:szCs w:val="18"/>
              </w:rPr>
            </w:pP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cs="宋体"/>
                <w:color w:val="auto"/>
                <w:sz w:val="18"/>
                <w:szCs w:val="18"/>
              </w:rPr>
            </w:pPr>
            <w:r>
              <w:rPr>
                <w:rFonts w:hint="eastAsia" w:ascii="宋体" w:hAnsi="宋体" w:cs="宋体"/>
                <w:color w:val="auto"/>
                <w:sz w:val="18"/>
                <w:szCs w:val="18"/>
              </w:rPr>
              <w:t>排水工程师</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宋体" w:hAnsi="宋体" w:cs="宋体"/>
                <w:color w:val="auto"/>
                <w:sz w:val="18"/>
                <w:szCs w:val="18"/>
              </w:rPr>
              <w:t>低</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Arial" w:hAnsi="Arial" w:cs="Arial"/>
                <w:color w:val="auto"/>
                <w:sz w:val="18"/>
                <w:szCs w:val="18"/>
              </w:rPr>
              <w:t>2</w:t>
            </w:r>
          </w:p>
        </w:tc>
        <w:tc>
          <w:tcPr>
            <w:tcW w:w="42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Arial" w:hAnsi="Arial" w:cs="Arial"/>
                <w:color w:val="auto"/>
                <w:sz w:val="18"/>
                <w:szCs w:val="18"/>
              </w:rPr>
              <w:t>2</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Arial" w:hAnsi="Arial" w:cs="Arial"/>
                <w:color w:val="auto"/>
                <w:sz w:val="18"/>
                <w:szCs w:val="18"/>
              </w:rPr>
              <w:t>1</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color w:val="auto"/>
                <w:sz w:val="18"/>
                <w:szCs w:val="18"/>
              </w:rPr>
            </w:pPr>
          </w:p>
        </w:tc>
        <w:tc>
          <w:tcPr>
            <w:tcW w:w="156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hint="eastAsia" w:ascii="Arial" w:hAnsi="Arial" w:cs="Arial"/>
                <w:color w:val="auto"/>
                <w:sz w:val="18"/>
                <w:szCs w:val="18"/>
              </w:rPr>
              <w:t>排水结构模型</w:t>
            </w:r>
          </w:p>
        </w:tc>
        <w:tc>
          <w:tcPr>
            <w:tcW w:w="588" w:type="dxa"/>
            <w:tcBorders>
              <w:top w:val="nil"/>
              <w:left w:val="single" w:color="auto" w:sz="4" w:space="0"/>
              <w:bottom w:val="nil"/>
              <w:right w:val="single" w:color="auto" w:sz="8" w:space="0"/>
            </w:tcBorders>
            <w:shd w:val="clear" w:color="auto" w:fill="auto"/>
            <w:noWrap/>
            <w:vAlign w:val="center"/>
          </w:tcPr>
          <w:p>
            <w:pPr>
              <w:spacing w:line="240" w:lineRule="auto"/>
              <w:ind w:firstLine="0" w:firstLineChars="0"/>
              <w:jc w:val="center"/>
              <w:rPr>
                <w:rFonts w:ascii="Arial" w:hAnsi="Arial" w:cs="Arial"/>
                <w:b/>
                <w:bCs/>
                <w:color w:val="auto"/>
                <w:sz w:val="18"/>
                <w:szCs w:val="18"/>
              </w:rPr>
            </w:pPr>
          </w:p>
        </w:tc>
      </w:tr>
      <w:tr>
        <w:tblPrEx>
          <w:tblLayout w:type="fixed"/>
          <w:tblCellMar>
            <w:top w:w="0" w:type="dxa"/>
            <w:left w:w="108" w:type="dxa"/>
            <w:bottom w:w="0" w:type="dxa"/>
            <w:right w:w="108" w:type="dxa"/>
          </w:tblCellMar>
        </w:tblPrEx>
        <w:trPr>
          <w:trHeight w:val="402" w:hRule="atLeast"/>
          <w:jc w:val="center"/>
        </w:trPr>
        <w:tc>
          <w:tcPr>
            <w:tcW w:w="1002" w:type="dxa"/>
            <w:tcBorders>
              <w:top w:val="nil"/>
              <w:left w:val="single" w:color="auto" w:sz="8" w:space="0"/>
              <w:bottom w:val="single" w:color="auto" w:sz="8" w:space="0"/>
              <w:right w:val="nil"/>
            </w:tcBorders>
            <w:shd w:val="clear" w:color="auto" w:fill="auto"/>
            <w:noWrap/>
            <w:vAlign w:val="center"/>
          </w:tcPr>
          <w:p>
            <w:pPr>
              <w:spacing w:line="240" w:lineRule="auto"/>
              <w:ind w:firstLine="0" w:firstLineChars="0"/>
              <w:jc w:val="left"/>
              <w:rPr>
                <w:rFonts w:ascii="Arial" w:hAnsi="Arial" w:cs="Arial"/>
                <w:b/>
                <w:bCs/>
                <w:color w:val="auto"/>
                <w:sz w:val="18"/>
                <w:szCs w:val="18"/>
              </w:rPr>
            </w:pPr>
          </w:p>
        </w:tc>
        <w:tc>
          <w:tcPr>
            <w:tcW w:w="646" w:type="dxa"/>
            <w:tcBorders>
              <w:top w:val="nil"/>
              <w:left w:val="nil"/>
              <w:bottom w:val="single" w:color="auto" w:sz="8" w:space="0"/>
              <w:right w:val="single" w:color="auto" w:sz="4" w:space="0"/>
            </w:tcBorders>
            <w:shd w:val="clear" w:color="auto" w:fill="auto"/>
            <w:noWrap/>
            <w:vAlign w:val="center"/>
          </w:tcPr>
          <w:p>
            <w:pPr>
              <w:spacing w:line="240" w:lineRule="auto"/>
              <w:ind w:firstLine="0" w:firstLineChars="0"/>
              <w:jc w:val="left"/>
              <w:rPr>
                <w:rFonts w:ascii="Arial" w:hAnsi="Arial" w:cs="Arial"/>
                <w:b/>
                <w:bCs/>
                <w:color w:val="auto"/>
                <w:sz w:val="18"/>
                <w:szCs w:val="18"/>
              </w:rPr>
            </w:pPr>
          </w:p>
        </w:tc>
        <w:tc>
          <w:tcPr>
            <w:tcW w:w="1134" w:type="dxa"/>
            <w:tcBorders>
              <w:top w:val="single" w:color="auto" w:sz="4" w:space="0"/>
              <w:left w:val="single" w:color="auto" w:sz="4" w:space="0"/>
              <w:bottom w:val="single" w:color="auto" w:sz="8" w:space="0"/>
              <w:right w:val="single" w:color="auto" w:sz="4" w:space="0"/>
            </w:tcBorders>
            <w:shd w:val="clear" w:color="auto" w:fill="auto"/>
            <w:noWrap/>
            <w:vAlign w:val="center"/>
          </w:tcPr>
          <w:p>
            <w:pPr>
              <w:spacing w:line="240" w:lineRule="auto"/>
              <w:ind w:firstLine="0" w:firstLineChars="0"/>
              <w:jc w:val="left"/>
              <w:rPr>
                <w:rFonts w:ascii="宋体" w:hAnsi="宋体" w:cs="宋体"/>
                <w:color w:val="auto"/>
                <w:sz w:val="18"/>
                <w:szCs w:val="18"/>
              </w:rPr>
            </w:pPr>
            <w:r>
              <w:rPr>
                <w:rFonts w:hint="eastAsia" w:ascii="宋体" w:hAnsi="宋体" w:cs="宋体"/>
                <w:color w:val="auto"/>
                <w:sz w:val="18"/>
                <w:szCs w:val="18"/>
              </w:rPr>
              <w:t>景观工程师</w:t>
            </w:r>
          </w:p>
        </w:tc>
        <w:tc>
          <w:tcPr>
            <w:tcW w:w="709" w:type="dxa"/>
            <w:tcBorders>
              <w:top w:val="single" w:color="auto" w:sz="4" w:space="0"/>
              <w:left w:val="single" w:color="auto" w:sz="4" w:space="0"/>
              <w:bottom w:val="single" w:color="auto" w:sz="8"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宋体" w:hAnsi="宋体" w:cs="宋体"/>
                <w:color w:val="auto"/>
                <w:sz w:val="18"/>
                <w:szCs w:val="18"/>
              </w:rPr>
              <w:t>中</w:t>
            </w:r>
          </w:p>
        </w:tc>
        <w:tc>
          <w:tcPr>
            <w:tcW w:w="425" w:type="dxa"/>
            <w:tcBorders>
              <w:top w:val="single" w:color="auto" w:sz="4" w:space="0"/>
              <w:left w:val="single" w:color="auto" w:sz="4" w:space="0"/>
              <w:bottom w:val="single" w:color="auto" w:sz="8"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Arial" w:hAnsi="Arial" w:cs="Arial"/>
                <w:color w:val="auto"/>
                <w:sz w:val="18"/>
                <w:szCs w:val="18"/>
              </w:rPr>
              <w:t>2</w:t>
            </w:r>
          </w:p>
        </w:tc>
        <w:tc>
          <w:tcPr>
            <w:tcW w:w="426" w:type="dxa"/>
            <w:tcBorders>
              <w:top w:val="single" w:color="auto" w:sz="4" w:space="0"/>
              <w:left w:val="single" w:color="auto" w:sz="4" w:space="0"/>
              <w:bottom w:val="single" w:color="auto" w:sz="8"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Arial" w:hAnsi="Arial" w:cs="Arial"/>
                <w:color w:val="auto"/>
                <w:sz w:val="18"/>
                <w:szCs w:val="18"/>
              </w:rPr>
              <w:t>2</w:t>
            </w:r>
          </w:p>
        </w:tc>
        <w:tc>
          <w:tcPr>
            <w:tcW w:w="425" w:type="dxa"/>
            <w:tcBorders>
              <w:top w:val="single" w:color="auto" w:sz="4" w:space="0"/>
              <w:left w:val="single" w:color="auto" w:sz="4" w:space="0"/>
              <w:bottom w:val="single" w:color="auto" w:sz="8" w:space="0"/>
              <w:right w:val="single" w:color="auto" w:sz="4" w:space="0"/>
            </w:tcBorders>
            <w:shd w:val="clear" w:color="auto" w:fill="auto"/>
            <w:noWrap/>
            <w:vAlign w:val="center"/>
          </w:tcPr>
          <w:p>
            <w:pPr>
              <w:spacing w:line="240" w:lineRule="auto"/>
              <w:ind w:firstLine="0" w:firstLineChars="0"/>
              <w:jc w:val="center"/>
              <w:rPr>
                <w:rFonts w:ascii="Arial" w:hAnsi="Arial" w:cs="Arial"/>
                <w:color w:val="auto"/>
                <w:sz w:val="18"/>
                <w:szCs w:val="18"/>
              </w:rPr>
            </w:pPr>
            <w:r>
              <w:rPr>
                <w:rFonts w:hint="eastAsia" w:ascii="Arial" w:hAnsi="Arial" w:cs="Arial"/>
                <w:color w:val="auto"/>
                <w:sz w:val="18"/>
                <w:szCs w:val="18"/>
              </w:rPr>
              <w:t>2</w:t>
            </w:r>
          </w:p>
        </w:tc>
        <w:tc>
          <w:tcPr>
            <w:tcW w:w="1417" w:type="dxa"/>
            <w:tcBorders>
              <w:top w:val="single" w:color="auto" w:sz="4" w:space="0"/>
              <w:left w:val="single" w:color="auto" w:sz="4" w:space="0"/>
              <w:bottom w:val="single" w:color="auto" w:sz="8" w:space="0"/>
              <w:right w:val="single" w:color="auto" w:sz="4" w:space="0"/>
            </w:tcBorders>
            <w:shd w:val="clear" w:color="auto" w:fill="auto"/>
            <w:noWrap/>
            <w:vAlign w:val="center"/>
          </w:tcPr>
          <w:p>
            <w:pPr>
              <w:spacing w:line="240" w:lineRule="auto"/>
              <w:ind w:firstLine="0" w:firstLineChars="0"/>
              <w:jc w:val="left"/>
              <w:rPr>
                <w:rFonts w:ascii="Arial" w:hAnsi="Arial" w:cs="Arial"/>
                <w:color w:val="auto"/>
                <w:sz w:val="18"/>
                <w:szCs w:val="18"/>
              </w:rPr>
            </w:pPr>
          </w:p>
        </w:tc>
        <w:tc>
          <w:tcPr>
            <w:tcW w:w="1560" w:type="dxa"/>
            <w:tcBorders>
              <w:top w:val="single" w:color="auto" w:sz="4" w:space="0"/>
              <w:left w:val="single" w:color="auto" w:sz="4" w:space="0"/>
              <w:bottom w:val="single" w:color="auto" w:sz="8" w:space="0"/>
              <w:right w:val="single" w:color="auto" w:sz="4" w:space="0"/>
            </w:tcBorders>
            <w:shd w:val="clear" w:color="auto" w:fill="auto"/>
            <w:noWrap/>
            <w:vAlign w:val="center"/>
          </w:tcPr>
          <w:p>
            <w:pPr>
              <w:spacing w:line="240" w:lineRule="auto"/>
              <w:ind w:firstLine="0" w:firstLineChars="0"/>
              <w:jc w:val="left"/>
              <w:rPr>
                <w:rFonts w:ascii="Arial" w:hAnsi="Arial" w:cs="Arial"/>
                <w:color w:val="auto"/>
                <w:sz w:val="18"/>
                <w:szCs w:val="18"/>
              </w:rPr>
            </w:pPr>
            <w:r>
              <w:rPr>
                <w:rFonts w:hint="eastAsia" w:ascii="Arial" w:hAnsi="Arial" w:cs="Arial"/>
                <w:color w:val="auto"/>
                <w:sz w:val="18"/>
                <w:szCs w:val="18"/>
              </w:rPr>
              <w:t>景观绿化模型</w:t>
            </w:r>
          </w:p>
        </w:tc>
        <w:tc>
          <w:tcPr>
            <w:tcW w:w="588" w:type="dxa"/>
            <w:tcBorders>
              <w:top w:val="nil"/>
              <w:left w:val="single" w:color="auto" w:sz="4" w:space="0"/>
              <w:bottom w:val="single" w:color="auto" w:sz="8" w:space="0"/>
              <w:right w:val="single" w:color="auto" w:sz="8" w:space="0"/>
            </w:tcBorders>
            <w:shd w:val="clear" w:color="auto" w:fill="auto"/>
            <w:noWrap/>
            <w:vAlign w:val="center"/>
          </w:tcPr>
          <w:p>
            <w:pPr>
              <w:spacing w:line="240" w:lineRule="auto"/>
              <w:ind w:firstLine="0" w:firstLineChars="0"/>
              <w:jc w:val="center"/>
              <w:rPr>
                <w:rFonts w:ascii="Arial" w:hAnsi="Arial" w:cs="Arial"/>
                <w:b/>
                <w:bCs/>
                <w:color w:val="auto"/>
                <w:sz w:val="18"/>
                <w:szCs w:val="18"/>
              </w:rPr>
            </w:pPr>
          </w:p>
        </w:tc>
      </w:tr>
    </w:tbl>
    <w:p>
      <w:pPr>
        <w:ind w:firstLine="0" w:firstLineChars="0"/>
        <w:rPr>
          <w:color w:val="auto"/>
        </w:rPr>
      </w:pPr>
      <w:r>
        <w:rPr>
          <w:rFonts w:hint="eastAsia" w:eastAsiaTheme="minorEastAsia"/>
          <w:color w:val="auto"/>
          <w:szCs w:val="32"/>
          <w:lang w:eastAsia="zh-CN"/>
        </w:rPr>
        <w:t>3.0.</w:t>
      </w:r>
      <w:r>
        <w:rPr>
          <w:rFonts w:hint="eastAsia" w:eastAsiaTheme="minorEastAsia"/>
          <w:color w:val="auto"/>
          <w:szCs w:val="32"/>
        </w:rPr>
        <w:t>9</w:t>
      </w:r>
      <w:r>
        <w:rPr>
          <w:rFonts w:hint="eastAsia" w:eastAsiaTheme="minorEastAsia"/>
          <w:color w:val="auto"/>
          <w:szCs w:val="32"/>
          <w:lang w:eastAsia="zh-CN"/>
        </w:rPr>
        <w:t xml:space="preserve">  </w:t>
      </w:r>
      <w:r>
        <w:rPr>
          <w:rFonts w:eastAsiaTheme="minorEastAsia"/>
          <w:color w:val="auto"/>
          <w:szCs w:val="32"/>
        </w:rPr>
        <w:t>为充分发挥</w:t>
      </w:r>
      <w:r>
        <w:rPr>
          <w:rFonts w:hint="eastAsia" w:eastAsiaTheme="minorEastAsia"/>
          <w:color w:val="auto"/>
          <w:szCs w:val="32"/>
        </w:rPr>
        <w:t>模型应用潜能，最大限度提升数字技术应用价值。</w:t>
      </w:r>
    </w:p>
    <w:p>
      <w:pPr>
        <w:ind w:firstLine="0" w:firstLineChars="0"/>
        <w:rPr>
          <w:rFonts w:eastAsiaTheme="minorEastAsia"/>
          <w:color w:val="auto"/>
          <w:szCs w:val="32"/>
        </w:rPr>
      </w:pPr>
      <w:r>
        <w:rPr>
          <w:rFonts w:hint="eastAsia" w:eastAsiaTheme="minorEastAsia"/>
          <w:color w:val="auto"/>
          <w:szCs w:val="32"/>
          <w:lang w:eastAsia="zh-CN"/>
        </w:rPr>
        <w:t>3.0.</w:t>
      </w:r>
      <w:r>
        <w:rPr>
          <w:rFonts w:hint="eastAsia" w:eastAsiaTheme="minorEastAsia"/>
          <w:color w:val="auto"/>
          <w:szCs w:val="32"/>
        </w:rPr>
        <w:t>10</w:t>
      </w:r>
      <w:r>
        <w:rPr>
          <w:rFonts w:hint="eastAsia" w:eastAsiaTheme="minorEastAsia"/>
          <w:color w:val="auto"/>
          <w:szCs w:val="32"/>
          <w:lang w:eastAsia="zh-CN"/>
        </w:rPr>
        <w:t xml:space="preserve">  </w:t>
      </w:r>
      <w:r>
        <w:rPr>
          <w:rFonts w:eastAsiaTheme="minorEastAsia"/>
          <w:color w:val="auto"/>
          <w:szCs w:val="32"/>
        </w:rPr>
        <w:t>模型</w:t>
      </w:r>
      <w:r>
        <w:rPr>
          <w:rFonts w:hint="eastAsia" w:eastAsiaTheme="minorEastAsia"/>
          <w:color w:val="auto"/>
          <w:szCs w:val="32"/>
        </w:rPr>
        <w:t>交付还</w:t>
      </w:r>
      <w:r>
        <w:rPr>
          <w:rFonts w:eastAsiaTheme="minorEastAsia"/>
          <w:color w:val="auto"/>
          <w:szCs w:val="32"/>
        </w:rPr>
        <w:t>应满足各相关方</w:t>
      </w:r>
      <w:r>
        <w:rPr>
          <w:rFonts w:hint="eastAsia" w:eastAsiaTheme="minorEastAsia"/>
          <w:color w:val="auto"/>
          <w:szCs w:val="32"/>
        </w:rPr>
        <w:t>合同和协议</w:t>
      </w:r>
      <w:r>
        <w:rPr>
          <w:rFonts w:eastAsiaTheme="minorEastAsia"/>
          <w:color w:val="auto"/>
          <w:szCs w:val="32"/>
        </w:rPr>
        <w:t>要求及国家、行业、地方等现行有关标准的规定</w:t>
      </w:r>
      <w:r>
        <w:rPr>
          <w:rFonts w:hint="eastAsia" w:eastAsiaTheme="minorEastAsia"/>
          <w:color w:val="auto"/>
          <w:szCs w:val="32"/>
        </w:rPr>
        <w:t>，合同与协议中应明确模型交付物的验收标准</w:t>
      </w:r>
      <w:r>
        <w:rPr>
          <w:rFonts w:eastAsiaTheme="minorEastAsia"/>
          <w:color w:val="auto"/>
          <w:szCs w:val="32"/>
        </w:rPr>
        <w:t>。交付的模型、图纸、文档等相互之间应保持一致。模型交付还应包含模型所有权的状态，模型的创建者、审核者与更新者，模型创建、审核与更新的时间，以及所使用的软件及版本。</w:t>
      </w:r>
    </w:p>
    <w:p>
      <w:pPr>
        <w:ind w:firstLine="0" w:firstLineChars="0"/>
        <w:rPr>
          <w:rFonts w:eastAsiaTheme="minorEastAsia"/>
          <w:color w:val="auto"/>
          <w:szCs w:val="32"/>
        </w:rPr>
      </w:pPr>
      <w:r>
        <w:rPr>
          <w:rFonts w:hint="eastAsia" w:eastAsiaTheme="minorEastAsia"/>
          <w:color w:val="auto"/>
          <w:szCs w:val="32"/>
          <w:lang w:eastAsia="zh-CN"/>
        </w:rPr>
        <w:t>3.0.</w:t>
      </w:r>
      <w:r>
        <w:rPr>
          <w:rFonts w:eastAsiaTheme="minorEastAsia"/>
          <w:color w:val="auto"/>
          <w:szCs w:val="32"/>
        </w:rPr>
        <w:t>1</w:t>
      </w:r>
      <w:r>
        <w:rPr>
          <w:rFonts w:hint="eastAsia" w:eastAsiaTheme="minorEastAsia"/>
          <w:color w:val="auto"/>
          <w:szCs w:val="32"/>
        </w:rPr>
        <w:t xml:space="preserve">3 </w:t>
      </w:r>
      <w:r>
        <w:rPr>
          <w:rFonts w:hint="eastAsia" w:eastAsiaTheme="minorEastAsia"/>
          <w:color w:val="auto"/>
          <w:szCs w:val="32"/>
          <w:lang w:eastAsia="zh-CN"/>
        </w:rPr>
        <w:t xml:space="preserve">  </w:t>
      </w:r>
      <w:r>
        <w:rPr>
          <w:rFonts w:hint="eastAsia" w:eastAsiaTheme="minorEastAsia"/>
          <w:color w:val="auto"/>
          <w:szCs w:val="32"/>
        </w:rPr>
        <w:t>在</w:t>
      </w:r>
      <w:r>
        <w:rPr>
          <w:rFonts w:eastAsiaTheme="minorEastAsia"/>
          <w:color w:val="auto"/>
          <w:szCs w:val="32"/>
        </w:rPr>
        <w:t>模型应用过程中，应注意“四新”应用，</w:t>
      </w:r>
      <w:r>
        <w:rPr>
          <w:rFonts w:hint="eastAsia" w:eastAsiaTheme="minorEastAsia"/>
          <w:color w:val="auto"/>
          <w:szCs w:val="32"/>
        </w:rPr>
        <w:t>利用</w:t>
      </w:r>
      <w:r>
        <w:rPr>
          <w:rFonts w:eastAsiaTheme="minorEastAsia"/>
          <w:color w:val="auto"/>
          <w:szCs w:val="32"/>
        </w:rPr>
        <w:t>模型保障“四新”的更好</w:t>
      </w:r>
      <w:r>
        <w:rPr>
          <w:rFonts w:hint="eastAsia" w:eastAsiaTheme="minorEastAsia"/>
          <w:color w:val="auto"/>
          <w:szCs w:val="32"/>
        </w:rPr>
        <w:t>实施</w:t>
      </w:r>
      <w:r>
        <w:rPr>
          <w:rFonts w:eastAsiaTheme="minorEastAsia"/>
          <w:color w:val="auto"/>
          <w:szCs w:val="32"/>
        </w:rPr>
        <w:t>。</w:t>
      </w:r>
    </w:p>
    <w:p>
      <w:pPr>
        <w:ind w:firstLine="0" w:firstLineChars="0"/>
        <w:rPr>
          <w:rFonts w:eastAsiaTheme="minorEastAsia"/>
          <w:color w:val="auto"/>
          <w:szCs w:val="32"/>
        </w:rPr>
      </w:pPr>
      <w:r>
        <w:rPr>
          <w:rFonts w:hint="eastAsia" w:eastAsiaTheme="minorEastAsia"/>
          <w:color w:val="auto"/>
          <w:szCs w:val="32"/>
          <w:lang w:eastAsia="zh-CN"/>
        </w:rPr>
        <w:t>3.0.</w:t>
      </w:r>
      <w:r>
        <w:rPr>
          <w:rFonts w:eastAsiaTheme="minorEastAsia"/>
          <w:color w:val="auto"/>
          <w:szCs w:val="32"/>
        </w:rPr>
        <w:t>1</w:t>
      </w:r>
      <w:r>
        <w:rPr>
          <w:rFonts w:hint="eastAsia" w:eastAsiaTheme="minorEastAsia"/>
          <w:color w:val="auto"/>
          <w:szCs w:val="32"/>
        </w:rPr>
        <w:t>4</w:t>
      </w:r>
      <w:r>
        <w:rPr>
          <w:rFonts w:eastAsiaTheme="minorEastAsia"/>
          <w:color w:val="auto"/>
          <w:szCs w:val="32"/>
        </w:rPr>
        <w:t xml:space="preserve"> </w:t>
      </w:r>
      <w:r>
        <w:rPr>
          <w:rFonts w:hint="eastAsia" w:eastAsiaTheme="minorEastAsia"/>
          <w:color w:val="auto"/>
          <w:szCs w:val="32"/>
          <w:lang w:eastAsia="zh-CN"/>
        </w:rPr>
        <w:t xml:space="preserve">  </w:t>
      </w:r>
      <w:r>
        <w:rPr>
          <w:rFonts w:eastAsiaTheme="minorEastAsia"/>
          <w:color w:val="auto"/>
          <w:szCs w:val="32"/>
        </w:rPr>
        <w:t xml:space="preserve"> </w:t>
      </w:r>
      <w:r>
        <w:rPr>
          <w:rFonts w:hint="eastAsia" w:eastAsiaTheme="minorEastAsia"/>
          <w:color w:val="auto"/>
          <w:szCs w:val="32"/>
        </w:rPr>
        <w:t>业务流程建模符号（BPMN - Business Process Modeling Notation）最开始是由BPMI（The Business Process Management Initiative）开发的一套供BPM及workflow等的</w:t>
      </w:r>
      <w:r>
        <w:rPr>
          <w:rFonts w:eastAsiaTheme="minorEastAsia"/>
          <w:color w:val="auto"/>
          <w:szCs w:val="32"/>
        </w:rPr>
        <w:fldChar w:fldCharType="begin"/>
      </w:r>
      <w:r>
        <w:rPr>
          <w:rFonts w:eastAsiaTheme="minorEastAsia"/>
          <w:color w:val="auto"/>
          <w:szCs w:val="32"/>
        </w:rPr>
        <w:instrText xml:space="preserve"> HYPERLINK "https://baike.baidu.com/item/%E5%BB%BA%E6%A8%A1%E8%AF%AD%E8%A8%80?fromModule=lemma_inlink" \t "https://baike.baidu.com/item/%E4%B8%9A%E5%8A%A1%E6%B5%81%E7%A8%8B%E5%BB%BA%E6%A8%A1%E6%A0%87%E6%B3%A8/_blank" </w:instrText>
      </w:r>
      <w:r>
        <w:rPr>
          <w:rFonts w:eastAsiaTheme="minorEastAsia"/>
          <w:color w:val="auto"/>
          <w:szCs w:val="32"/>
        </w:rPr>
        <w:fldChar w:fldCharType="separate"/>
      </w:r>
      <w:r>
        <w:rPr>
          <w:rFonts w:eastAsiaTheme="minorEastAsia"/>
          <w:color w:val="auto"/>
          <w:szCs w:val="32"/>
        </w:rPr>
        <w:t>建模语言</w:t>
      </w:r>
      <w:r>
        <w:rPr>
          <w:rFonts w:eastAsiaTheme="minorEastAsia"/>
          <w:color w:val="auto"/>
          <w:szCs w:val="32"/>
        </w:rPr>
        <w:fldChar w:fldCharType="end"/>
      </w:r>
      <w:r>
        <w:rPr>
          <w:rFonts w:hint="eastAsia" w:eastAsiaTheme="minorEastAsia"/>
          <w:color w:val="auto"/>
          <w:szCs w:val="32"/>
        </w:rPr>
        <w:t>标准。2004年5月BPMI对外发布了BPMN 1.0 规范，后BPMI并入到OMG组织，OMG于2011年推出BPMN2.0标准，对BPMN进行了重新定义（Business Process Model and Notation）。</w:t>
      </w:r>
    </w:p>
    <w:p>
      <w:pPr>
        <w:ind w:firstLine="480" w:firstLineChars="200"/>
        <w:rPr>
          <w:rFonts w:eastAsiaTheme="minorEastAsia"/>
          <w:color w:val="auto"/>
          <w:szCs w:val="32"/>
        </w:rPr>
      </w:pPr>
      <w:r>
        <w:rPr>
          <w:rFonts w:hint="eastAsia" w:eastAsiaTheme="minorEastAsia"/>
          <w:color w:val="auto"/>
          <w:szCs w:val="32"/>
        </w:rPr>
        <w:t>BPMN的关键要素之一是流程图在使用的符号和标记方面的视觉外观。下表给出了开发流程图时常用的表达符号。</w:t>
      </w:r>
    </w:p>
    <w:p>
      <w:pPr>
        <w:ind w:firstLine="0" w:firstLineChars="0"/>
        <w:jc w:val="center"/>
        <w:rPr>
          <w:rFonts w:eastAsiaTheme="minorEastAsia"/>
          <w:color w:val="auto"/>
          <w:szCs w:val="32"/>
        </w:rPr>
      </w:pPr>
      <w:r>
        <w:rPr>
          <w:rFonts w:eastAsiaTheme="minorEastAsia"/>
          <w:color w:val="auto"/>
          <w:szCs w:val="32"/>
        </w:rPr>
        <w:t>表</w:t>
      </w:r>
      <w:r>
        <w:rPr>
          <w:rFonts w:hint="eastAsia" w:eastAsiaTheme="minorEastAsia"/>
          <w:color w:val="auto"/>
          <w:szCs w:val="32"/>
        </w:rPr>
        <w:t>3</w:t>
      </w:r>
      <w:r>
        <w:rPr>
          <w:rFonts w:eastAsiaTheme="minorEastAsia"/>
          <w:color w:val="auto"/>
          <w:szCs w:val="32"/>
        </w:rPr>
        <w:t xml:space="preserve">  </w:t>
      </w:r>
      <w:r>
        <w:rPr>
          <w:rFonts w:hint="eastAsia" w:eastAsiaTheme="minorEastAsia"/>
          <w:color w:val="auto"/>
          <w:szCs w:val="32"/>
        </w:rPr>
        <w:t>流程图中的流程映射符号</w:t>
      </w:r>
    </w:p>
    <w:tbl>
      <w:tblPr>
        <w:tblStyle w:val="7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5868"/>
        <w:gridCol w:w="1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28" w:type="dxa"/>
            <w:vAlign w:val="center"/>
          </w:tcPr>
          <w:p>
            <w:pPr>
              <w:spacing w:line="240" w:lineRule="auto"/>
              <w:ind w:firstLine="0" w:firstLineChars="0"/>
              <w:jc w:val="center"/>
              <w:rPr>
                <w:rFonts w:ascii="宋体" w:hAnsi="宋体" w:cs="宋体" w:eastAsiaTheme="minorEastAsia"/>
                <w:color w:val="auto"/>
                <w:kern w:val="2"/>
                <w:sz w:val="21"/>
                <w:szCs w:val="21"/>
              </w:rPr>
            </w:pPr>
            <w:r>
              <w:rPr>
                <w:rFonts w:hint="eastAsia" w:ascii="宋体" w:hAnsi="宋体" w:cs="宋体" w:eastAsiaTheme="minorEastAsia"/>
                <w:color w:val="auto"/>
                <w:kern w:val="2"/>
                <w:sz w:val="21"/>
                <w:szCs w:val="21"/>
              </w:rPr>
              <w:t>元素</w:t>
            </w:r>
          </w:p>
        </w:tc>
        <w:tc>
          <w:tcPr>
            <w:tcW w:w="5868" w:type="dxa"/>
            <w:vAlign w:val="center"/>
          </w:tcPr>
          <w:p>
            <w:pPr>
              <w:spacing w:line="240" w:lineRule="auto"/>
              <w:ind w:firstLine="0" w:firstLineChars="0"/>
              <w:jc w:val="center"/>
              <w:rPr>
                <w:rFonts w:ascii="宋体" w:hAnsi="宋体" w:cs="宋体" w:eastAsiaTheme="minorEastAsia"/>
                <w:color w:val="auto"/>
                <w:kern w:val="2"/>
                <w:sz w:val="21"/>
                <w:szCs w:val="21"/>
              </w:rPr>
            </w:pPr>
            <w:r>
              <w:rPr>
                <w:rFonts w:hint="eastAsia" w:ascii="宋体" w:hAnsi="宋体" w:cs="宋体" w:eastAsiaTheme="minorEastAsia"/>
                <w:color w:val="auto"/>
                <w:kern w:val="2"/>
                <w:sz w:val="21"/>
                <w:szCs w:val="21"/>
              </w:rPr>
              <w:t>描述</w:t>
            </w:r>
          </w:p>
        </w:tc>
        <w:tc>
          <w:tcPr>
            <w:tcW w:w="1826" w:type="dxa"/>
            <w:vAlign w:val="center"/>
          </w:tcPr>
          <w:p>
            <w:pPr>
              <w:spacing w:line="240" w:lineRule="auto"/>
              <w:ind w:firstLine="0" w:firstLineChars="0"/>
              <w:jc w:val="center"/>
              <w:rPr>
                <w:rFonts w:ascii="宋体" w:hAnsi="宋体" w:cs="宋体" w:eastAsiaTheme="minorEastAsia"/>
                <w:color w:val="auto"/>
                <w:kern w:val="2"/>
                <w:sz w:val="21"/>
                <w:szCs w:val="21"/>
              </w:rPr>
            </w:pPr>
            <w:r>
              <w:rPr>
                <w:rFonts w:hint="eastAsia" w:ascii="宋体" w:hAnsi="宋体" w:cs="宋体" w:eastAsiaTheme="minorEastAsia"/>
                <w:color w:val="auto"/>
                <w:kern w:val="2"/>
                <w:sz w:val="21"/>
                <w:szCs w:val="21"/>
              </w:rPr>
              <w:t>表达符号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vAlign w:val="center"/>
          </w:tcPr>
          <w:p>
            <w:pPr>
              <w:spacing w:line="240" w:lineRule="auto"/>
              <w:ind w:firstLine="0" w:firstLineChars="0"/>
              <w:jc w:val="center"/>
              <w:rPr>
                <w:rFonts w:ascii="宋体" w:hAnsi="宋体" w:cs="宋体" w:eastAsiaTheme="minorEastAsia"/>
                <w:color w:val="auto"/>
                <w:kern w:val="2"/>
                <w:sz w:val="21"/>
                <w:szCs w:val="21"/>
              </w:rPr>
            </w:pPr>
            <w:r>
              <w:rPr>
                <w:rFonts w:hint="eastAsia" w:ascii="宋体" w:hAnsi="宋体" w:cs="宋体" w:eastAsiaTheme="minorEastAsia"/>
                <w:color w:val="auto"/>
                <w:kern w:val="2"/>
                <w:sz w:val="21"/>
                <w:szCs w:val="21"/>
              </w:rPr>
              <w:t>事件</w:t>
            </w:r>
          </w:p>
        </w:tc>
        <w:tc>
          <w:tcPr>
            <w:tcW w:w="5868" w:type="dxa"/>
            <w:vAlign w:val="center"/>
          </w:tcPr>
          <w:p>
            <w:pPr>
              <w:spacing w:line="240" w:lineRule="auto"/>
              <w:ind w:firstLine="0" w:firstLineChars="0"/>
              <w:jc w:val="left"/>
              <w:rPr>
                <w:rFonts w:ascii="宋体" w:hAnsi="宋体" w:cs="宋体" w:eastAsiaTheme="minorEastAsia"/>
                <w:color w:val="auto"/>
                <w:kern w:val="2"/>
                <w:sz w:val="21"/>
                <w:szCs w:val="21"/>
              </w:rPr>
            </w:pPr>
            <w:r>
              <w:rPr>
                <w:rFonts w:hint="eastAsia" w:ascii="宋体" w:hAnsi="宋体" w:cs="宋体" w:eastAsiaTheme="minorEastAsia"/>
                <w:color w:val="auto"/>
                <w:kern w:val="2"/>
                <w:sz w:val="21"/>
                <w:szCs w:val="21"/>
              </w:rPr>
              <w:t>在业务流程的运行过程中发生的事情。基于事件对流程的影响，划分为三种类型的事件：开始、事件和结束</w:t>
            </w:r>
          </w:p>
        </w:tc>
        <w:tc>
          <w:tcPr>
            <w:tcW w:w="1826" w:type="dxa"/>
            <w:vAlign w:val="center"/>
          </w:tcPr>
          <w:p>
            <w:pPr>
              <w:spacing w:line="240" w:lineRule="auto"/>
              <w:ind w:firstLine="0" w:firstLineChars="0"/>
              <w:jc w:val="center"/>
              <w:rPr>
                <w:rFonts w:ascii="宋体" w:hAnsi="宋体" w:cs="宋体" w:eastAsiaTheme="minorEastAsia"/>
                <w:color w:val="auto"/>
                <w:kern w:val="2"/>
                <w:sz w:val="21"/>
                <w:szCs w:val="21"/>
              </w:rPr>
            </w:pPr>
            <w:r>
              <w:rPr>
                <w:rFonts w:asciiTheme="minorHAnsi" w:hAnsiTheme="minorHAnsi" w:eastAsiaTheme="minorEastAsia" w:cstheme="minorBidi"/>
                <w:color w:val="auto"/>
                <w:kern w:val="2"/>
              </w:rPr>
              <w:drawing>
                <wp:inline distT="0" distB="0" distL="114300" distR="114300">
                  <wp:extent cx="370840" cy="321310"/>
                  <wp:effectExtent l="0" t="0" r="1016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stretch>
                            <a:fillRect/>
                          </a:stretch>
                        </pic:blipFill>
                        <pic:spPr>
                          <a:xfrm>
                            <a:off x="0" y="0"/>
                            <a:ext cx="370840" cy="3213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vAlign w:val="center"/>
          </w:tcPr>
          <w:p>
            <w:pPr>
              <w:spacing w:line="240" w:lineRule="auto"/>
              <w:ind w:firstLine="0" w:firstLineChars="0"/>
              <w:jc w:val="center"/>
              <w:rPr>
                <w:rFonts w:ascii="宋体" w:hAnsi="宋体" w:cs="宋体" w:eastAsiaTheme="minorEastAsia"/>
                <w:color w:val="auto"/>
                <w:kern w:val="2"/>
                <w:sz w:val="21"/>
                <w:szCs w:val="21"/>
              </w:rPr>
            </w:pPr>
            <w:r>
              <w:rPr>
                <w:rFonts w:hint="eastAsia" w:ascii="宋体" w:hAnsi="宋体" w:cs="宋体" w:eastAsiaTheme="minorEastAsia"/>
                <w:color w:val="auto"/>
                <w:kern w:val="2"/>
                <w:sz w:val="21"/>
                <w:szCs w:val="21"/>
              </w:rPr>
              <w:t>活动</w:t>
            </w:r>
          </w:p>
        </w:tc>
        <w:tc>
          <w:tcPr>
            <w:tcW w:w="5868" w:type="dxa"/>
            <w:vAlign w:val="center"/>
          </w:tcPr>
          <w:p>
            <w:pPr>
              <w:spacing w:line="240" w:lineRule="auto"/>
              <w:ind w:firstLine="0" w:firstLineChars="0"/>
              <w:jc w:val="left"/>
              <w:rPr>
                <w:rFonts w:ascii="宋体" w:hAnsi="宋体" w:cs="宋体" w:eastAsiaTheme="minorEastAsia"/>
                <w:color w:val="auto"/>
                <w:kern w:val="2"/>
                <w:sz w:val="21"/>
                <w:szCs w:val="21"/>
              </w:rPr>
            </w:pPr>
            <w:r>
              <w:rPr>
                <w:rFonts w:hint="eastAsia" w:ascii="宋体" w:hAnsi="宋体" w:cs="宋体" w:eastAsiaTheme="minorEastAsia"/>
                <w:color w:val="auto"/>
                <w:kern w:val="2"/>
                <w:sz w:val="21"/>
                <w:szCs w:val="21"/>
              </w:rPr>
              <w:t>包括任务和子流程等，是实体执行工作或活动的通用术语。</w:t>
            </w:r>
          </w:p>
        </w:tc>
        <w:tc>
          <w:tcPr>
            <w:tcW w:w="1826" w:type="dxa"/>
            <w:vAlign w:val="center"/>
          </w:tcPr>
          <w:p>
            <w:pPr>
              <w:spacing w:line="240" w:lineRule="auto"/>
              <w:ind w:firstLine="0" w:firstLineChars="0"/>
              <w:jc w:val="center"/>
              <w:rPr>
                <w:rFonts w:ascii="宋体" w:hAnsi="宋体" w:cs="宋体" w:eastAsiaTheme="minorEastAsia"/>
                <w:color w:val="auto"/>
                <w:kern w:val="2"/>
                <w:sz w:val="21"/>
                <w:szCs w:val="21"/>
              </w:rPr>
            </w:pPr>
            <w:r>
              <w:rPr>
                <w:rFonts w:asciiTheme="minorHAnsi" w:hAnsiTheme="minorHAnsi" w:eastAsiaTheme="minorEastAsia" w:cstheme="minorBidi"/>
                <w:color w:val="auto"/>
                <w:kern w:val="2"/>
              </w:rPr>
              <w:drawing>
                <wp:inline distT="0" distB="0" distL="114300" distR="114300">
                  <wp:extent cx="491490" cy="306070"/>
                  <wp:effectExtent l="0" t="0" r="3810" b="1778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3"/>
                          <a:stretch>
                            <a:fillRect/>
                          </a:stretch>
                        </pic:blipFill>
                        <pic:spPr>
                          <a:xfrm>
                            <a:off x="0" y="0"/>
                            <a:ext cx="491490" cy="3060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vAlign w:val="center"/>
          </w:tcPr>
          <w:p>
            <w:pPr>
              <w:spacing w:line="240" w:lineRule="auto"/>
              <w:ind w:firstLine="0" w:firstLineChars="0"/>
              <w:jc w:val="center"/>
              <w:rPr>
                <w:rFonts w:ascii="宋体" w:hAnsi="宋体" w:cs="宋体" w:eastAsiaTheme="minorEastAsia"/>
                <w:color w:val="auto"/>
                <w:kern w:val="2"/>
                <w:sz w:val="21"/>
                <w:szCs w:val="21"/>
              </w:rPr>
            </w:pPr>
            <w:r>
              <w:rPr>
                <w:rFonts w:hint="eastAsia" w:ascii="宋体" w:hAnsi="宋体" w:cs="宋体" w:eastAsiaTheme="minorEastAsia"/>
                <w:color w:val="auto"/>
                <w:kern w:val="2"/>
                <w:sz w:val="21"/>
                <w:szCs w:val="21"/>
              </w:rPr>
              <w:t>网关</w:t>
            </w:r>
          </w:p>
        </w:tc>
        <w:tc>
          <w:tcPr>
            <w:tcW w:w="5868" w:type="dxa"/>
            <w:vAlign w:val="center"/>
          </w:tcPr>
          <w:p>
            <w:pPr>
              <w:spacing w:line="240" w:lineRule="auto"/>
              <w:ind w:firstLine="0" w:firstLineChars="0"/>
              <w:jc w:val="left"/>
              <w:rPr>
                <w:rFonts w:ascii="宋体" w:hAnsi="宋体" w:cs="宋体" w:eastAsiaTheme="minorEastAsia"/>
                <w:color w:val="auto"/>
                <w:kern w:val="2"/>
                <w:sz w:val="21"/>
                <w:szCs w:val="21"/>
              </w:rPr>
            </w:pPr>
            <w:r>
              <w:rPr>
                <w:rFonts w:hint="eastAsia" w:ascii="宋体" w:hAnsi="宋体" w:cs="宋体" w:eastAsiaTheme="minorEastAsia"/>
                <w:color w:val="auto"/>
                <w:kern w:val="2"/>
                <w:sz w:val="21"/>
                <w:szCs w:val="21"/>
              </w:rPr>
              <w:t>用于表示流程的分支与合并。也可以被视为等同于传统流程图中的决策</w:t>
            </w:r>
          </w:p>
        </w:tc>
        <w:tc>
          <w:tcPr>
            <w:tcW w:w="1826" w:type="dxa"/>
            <w:vAlign w:val="center"/>
          </w:tcPr>
          <w:p>
            <w:pPr>
              <w:spacing w:line="240" w:lineRule="auto"/>
              <w:ind w:firstLine="0" w:firstLineChars="0"/>
              <w:jc w:val="center"/>
              <w:rPr>
                <w:rFonts w:ascii="宋体" w:hAnsi="宋体" w:cs="宋体" w:eastAsiaTheme="minorEastAsia"/>
                <w:color w:val="auto"/>
                <w:kern w:val="2"/>
                <w:sz w:val="21"/>
                <w:szCs w:val="21"/>
              </w:rPr>
            </w:pPr>
            <w:r>
              <w:rPr>
                <w:rFonts w:asciiTheme="minorHAnsi" w:hAnsiTheme="minorHAnsi" w:eastAsiaTheme="minorEastAsia" w:cstheme="minorBidi"/>
                <w:color w:val="auto"/>
                <w:kern w:val="2"/>
              </w:rPr>
              <w:drawing>
                <wp:inline distT="0" distB="0" distL="114300" distR="114300">
                  <wp:extent cx="391160" cy="356870"/>
                  <wp:effectExtent l="0" t="0" r="8890" b="508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4"/>
                          <a:stretch>
                            <a:fillRect/>
                          </a:stretch>
                        </pic:blipFill>
                        <pic:spPr>
                          <a:xfrm>
                            <a:off x="0" y="0"/>
                            <a:ext cx="391160" cy="3568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vAlign w:val="center"/>
          </w:tcPr>
          <w:p>
            <w:pPr>
              <w:spacing w:line="240" w:lineRule="auto"/>
              <w:ind w:firstLine="0" w:firstLineChars="0"/>
              <w:jc w:val="center"/>
              <w:rPr>
                <w:rFonts w:ascii="宋体" w:hAnsi="宋体" w:cs="宋体" w:eastAsiaTheme="minorEastAsia"/>
                <w:color w:val="auto"/>
                <w:kern w:val="2"/>
                <w:sz w:val="21"/>
                <w:szCs w:val="21"/>
              </w:rPr>
            </w:pPr>
            <w:r>
              <w:rPr>
                <w:rFonts w:hint="eastAsia" w:ascii="宋体" w:hAnsi="宋体" w:cs="宋体" w:eastAsiaTheme="minorEastAsia"/>
                <w:color w:val="auto"/>
                <w:kern w:val="2"/>
                <w:sz w:val="21"/>
                <w:szCs w:val="21"/>
              </w:rPr>
              <w:t>顺序流</w:t>
            </w:r>
          </w:p>
        </w:tc>
        <w:tc>
          <w:tcPr>
            <w:tcW w:w="5868" w:type="dxa"/>
            <w:vAlign w:val="center"/>
          </w:tcPr>
          <w:p>
            <w:pPr>
              <w:spacing w:line="240" w:lineRule="auto"/>
              <w:ind w:firstLine="0" w:firstLineChars="0"/>
              <w:jc w:val="left"/>
              <w:rPr>
                <w:rFonts w:ascii="宋体" w:hAnsi="宋体" w:cs="宋体" w:eastAsiaTheme="minorEastAsia"/>
                <w:color w:val="auto"/>
                <w:kern w:val="2"/>
                <w:sz w:val="21"/>
                <w:szCs w:val="21"/>
              </w:rPr>
            </w:pPr>
            <w:r>
              <w:rPr>
                <w:rFonts w:hint="eastAsia" w:ascii="宋体" w:hAnsi="宋体" w:cs="宋体" w:eastAsiaTheme="minorEastAsia"/>
                <w:color w:val="auto"/>
                <w:kern w:val="2"/>
                <w:sz w:val="21"/>
                <w:szCs w:val="21"/>
              </w:rPr>
              <w:t>用一个带实心箭头的实心线表示，用于指定活动执行的顺序</w:t>
            </w:r>
          </w:p>
        </w:tc>
        <w:tc>
          <w:tcPr>
            <w:tcW w:w="1826" w:type="dxa"/>
            <w:vAlign w:val="center"/>
          </w:tcPr>
          <w:p>
            <w:pPr>
              <w:spacing w:line="240" w:lineRule="auto"/>
              <w:ind w:firstLine="0" w:firstLineChars="0"/>
              <w:jc w:val="center"/>
              <w:rPr>
                <w:rFonts w:ascii="宋体" w:hAnsi="宋体" w:cs="宋体" w:eastAsiaTheme="minorEastAsia"/>
                <w:color w:val="auto"/>
                <w:kern w:val="2"/>
                <w:sz w:val="21"/>
                <w:szCs w:val="21"/>
              </w:rPr>
            </w:pPr>
            <w:r>
              <w:rPr>
                <w:rFonts w:asciiTheme="minorHAnsi" w:hAnsiTheme="minorHAnsi" w:eastAsiaTheme="minorEastAsia" w:cstheme="minorBidi"/>
                <w:color w:val="auto"/>
                <w:kern w:val="2"/>
              </w:rPr>
              <w:drawing>
                <wp:inline distT="0" distB="0" distL="114300" distR="114300">
                  <wp:extent cx="646430" cy="259715"/>
                  <wp:effectExtent l="0" t="0" r="1270" b="698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5"/>
                          <a:stretch>
                            <a:fillRect/>
                          </a:stretch>
                        </pic:blipFill>
                        <pic:spPr>
                          <a:xfrm>
                            <a:off x="0" y="0"/>
                            <a:ext cx="646430" cy="2597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vAlign w:val="center"/>
          </w:tcPr>
          <w:p>
            <w:pPr>
              <w:spacing w:line="240" w:lineRule="auto"/>
              <w:ind w:firstLine="0" w:firstLineChars="0"/>
              <w:jc w:val="center"/>
              <w:rPr>
                <w:rFonts w:ascii="宋体" w:hAnsi="宋体" w:cs="宋体" w:eastAsiaTheme="minorEastAsia"/>
                <w:color w:val="auto"/>
                <w:kern w:val="2"/>
                <w:sz w:val="21"/>
                <w:szCs w:val="21"/>
              </w:rPr>
            </w:pPr>
            <w:r>
              <w:rPr>
                <w:rFonts w:hint="eastAsia" w:ascii="宋体" w:hAnsi="宋体" w:cs="宋体" w:eastAsiaTheme="minorEastAsia"/>
                <w:color w:val="auto"/>
                <w:kern w:val="2"/>
                <w:sz w:val="21"/>
                <w:szCs w:val="21"/>
              </w:rPr>
              <w:t>消息流</w:t>
            </w:r>
          </w:p>
        </w:tc>
        <w:tc>
          <w:tcPr>
            <w:tcW w:w="5868" w:type="dxa"/>
            <w:vAlign w:val="center"/>
          </w:tcPr>
          <w:p>
            <w:pPr>
              <w:spacing w:line="240" w:lineRule="auto"/>
              <w:ind w:firstLine="0" w:firstLineChars="0"/>
              <w:jc w:val="left"/>
              <w:rPr>
                <w:rFonts w:ascii="宋体" w:hAnsi="宋体" w:cs="宋体" w:eastAsiaTheme="minorEastAsia"/>
                <w:color w:val="auto"/>
                <w:kern w:val="2"/>
                <w:sz w:val="21"/>
                <w:szCs w:val="21"/>
              </w:rPr>
            </w:pPr>
            <w:r>
              <w:rPr>
                <w:rFonts w:hint="eastAsia" w:ascii="宋体" w:hAnsi="宋体" w:cs="宋体" w:eastAsiaTheme="minorEastAsia"/>
                <w:color w:val="auto"/>
                <w:kern w:val="2"/>
                <w:sz w:val="21"/>
                <w:szCs w:val="21"/>
              </w:rPr>
              <w:t>用于描述两个独立的业务参与者之间发送和接受的消息流动</w:t>
            </w:r>
          </w:p>
        </w:tc>
        <w:tc>
          <w:tcPr>
            <w:tcW w:w="1826" w:type="dxa"/>
            <w:vAlign w:val="center"/>
          </w:tcPr>
          <w:p>
            <w:pPr>
              <w:spacing w:line="240" w:lineRule="auto"/>
              <w:ind w:firstLine="0" w:firstLineChars="0"/>
              <w:jc w:val="center"/>
              <w:rPr>
                <w:rFonts w:ascii="宋体" w:hAnsi="宋体" w:cs="宋体" w:eastAsiaTheme="minorEastAsia"/>
                <w:color w:val="auto"/>
                <w:kern w:val="2"/>
                <w:sz w:val="21"/>
                <w:szCs w:val="21"/>
              </w:rPr>
            </w:pPr>
            <w:r>
              <w:rPr>
                <w:rFonts w:asciiTheme="minorHAnsi" w:hAnsiTheme="minorHAnsi" w:eastAsiaTheme="minorEastAsia" w:cstheme="minorBidi"/>
                <w:color w:val="auto"/>
                <w:kern w:val="2"/>
              </w:rPr>
              <w:drawing>
                <wp:inline distT="0" distB="0" distL="114300" distR="114300">
                  <wp:extent cx="568960" cy="185420"/>
                  <wp:effectExtent l="0" t="0" r="2540" b="508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6"/>
                          <a:stretch>
                            <a:fillRect/>
                          </a:stretch>
                        </pic:blipFill>
                        <pic:spPr>
                          <a:xfrm>
                            <a:off x="0" y="0"/>
                            <a:ext cx="568960" cy="1854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vAlign w:val="center"/>
          </w:tcPr>
          <w:p>
            <w:pPr>
              <w:spacing w:line="240" w:lineRule="auto"/>
              <w:ind w:firstLine="0" w:firstLineChars="0"/>
              <w:jc w:val="center"/>
              <w:rPr>
                <w:rFonts w:ascii="宋体" w:hAnsi="宋体" w:cs="宋体" w:eastAsiaTheme="minorEastAsia"/>
                <w:color w:val="auto"/>
                <w:kern w:val="2"/>
                <w:sz w:val="21"/>
                <w:szCs w:val="21"/>
              </w:rPr>
            </w:pPr>
            <w:r>
              <w:rPr>
                <w:rFonts w:hint="eastAsia" w:ascii="宋体" w:hAnsi="宋体" w:cs="宋体" w:eastAsiaTheme="minorEastAsia"/>
                <w:color w:val="auto"/>
                <w:kern w:val="2"/>
                <w:sz w:val="21"/>
                <w:szCs w:val="21"/>
              </w:rPr>
              <w:t>关联</w:t>
            </w:r>
          </w:p>
        </w:tc>
        <w:tc>
          <w:tcPr>
            <w:tcW w:w="5868" w:type="dxa"/>
            <w:vAlign w:val="center"/>
          </w:tcPr>
          <w:p>
            <w:pPr>
              <w:spacing w:line="240" w:lineRule="auto"/>
              <w:ind w:firstLine="0" w:firstLineChars="0"/>
              <w:jc w:val="left"/>
              <w:rPr>
                <w:rFonts w:ascii="宋体" w:hAnsi="宋体" w:cs="宋体" w:eastAsiaTheme="minorEastAsia"/>
                <w:color w:val="auto"/>
                <w:kern w:val="2"/>
                <w:sz w:val="21"/>
                <w:szCs w:val="21"/>
              </w:rPr>
            </w:pPr>
            <w:r>
              <w:rPr>
                <w:rFonts w:hint="eastAsia" w:ascii="宋体" w:hAnsi="宋体" w:cs="宋体" w:eastAsiaTheme="minorEastAsia"/>
                <w:color w:val="auto"/>
                <w:kern w:val="2"/>
                <w:sz w:val="21"/>
                <w:szCs w:val="21"/>
              </w:rPr>
              <w:t>用于将相关信息及流程与数据对象联系起来，展示活动的关联以及输入或输出</w:t>
            </w:r>
          </w:p>
        </w:tc>
        <w:tc>
          <w:tcPr>
            <w:tcW w:w="1826" w:type="dxa"/>
            <w:vAlign w:val="center"/>
          </w:tcPr>
          <w:p>
            <w:pPr>
              <w:spacing w:line="240" w:lineRule="auto"/>
              <w:ind w:firstLine="0" w:firstLineChars="0"/>
              <w:jc w:val="center"/>
              <w:rPr>
                <w:rFonts w:ascii="宋体" w:hAnsi="宋体" w:cs="宋体" w:eastAsiaTheme="minorEastAsia"/>
                <w:color w:val="auto"/>
                <w:kern w:val="2"/>
                <w:sz w:val="21"/>
                <w:szCs w:val="21"/>
              </w:rPr>
            </w:pPr>
            <w:r>
              <w:rPr>
                <w:rFonts w:asciiTheme="minorHAnsi" w:hAnsiTheme="minorHAnsi" w:eastAsiaTheme="minorEastAsia" w:cstheme="minorBidi"/>
                <w:color w:val="auto"/>
                <w:kern w:val="2"/>
              </w:rPr>
              <w:drawing>
                <wp:inline distT="0" distB="0" distL="114300" distR="114300">
                  <wp:extent cx="634365" cy="257175"/>
                  <wp:effectExtent l="0" t="0" r="13335" b="952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27"/>
                          <a:stretch>
                            <a:fillRect/>
                          </a:stretch>
                        </pic:blipFill>
                        <pic:spPr>
                          <a:xfrm>
                            <a:off x="0" y="0"/>
                            <a:ext cx="634365" cy="2571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vAlign w:val="center"/>
          </w:tcPr>
          <w:p>
            <w:pPr>
              <w:spacing w:line="240" w:lineRule="auto"/>
              <w:ind w:firstLine="0" w:firstLineChars="0"/>
              <w:jc w:val="center"/>
              <w:rPr>
                <w:rFonts w:ascii="宋体" w:hAnsi="宋体" w:cs="宋体" w:eastAsiaTheme="minorEastAsia"/>
                <w:color w:val="auto"/>
                <w:kern w:val="2"/>
                <w:sz w:val="21"/>
                <w:szCs w:val="21"/>
              </w:rPr>
            </w:pPr>
            <w:r>
              <w:rPr>
                <w:rFonts w:hint="eastAsia" w:ascii="宋体" w:hAnsi="宋体" w:cs="宋体" w:eastAsiaTheme="minorEastAsia"/>
                <w:color w:val="auto"/>
                <w:kern w:val="2"/>
                <w:sz w:val="21"/>
                <w:szCs w:val="21"/>
              </w:rPr>
              <w:t>泳道</w:t>
            </w:r>
          </w:p>
        </w:tc>
        <w:tc>
          <w:tcPr>
            <w:tcW w:w="5868" w:type="dxa"/>
            <w:vAlign w:val="center"/>
          </w:tcPr>
          <w:p>
            <w:pPr>
              <w:spacing w:line="240" w:lineRule="auto"/>
              <w:ind w:firstLine="0" w:firstLineChars="0"/>
              <w:jc w:val="left"/>
              <w:rPr>
                <w:rFonts w:ascii="宋体" w:hAnsi="宋体" w:cs="宋体" w:eastAsiaTheme="minorEastAsia"/>
                <w:color w:val="auto"/>
                <w:kern w:val="2"/>
                <w:sz w:val="21"/>
                <w:szCs w:val="21"/>
              </w:rPr>
            </w:pPr>
            <w:r>
              <w:rPr>
                <w:rFonts w:hint="eastAsia" w:ascii="宋体" w:hAnsi="宋体" w:cs="宋体" w:eastAsiaTheme="minorEastAsia"/>
                <w:color w:val="auto"/>
                <w:kern w:val="2"/>
                <w:sz w:val="21"/>
                <w:szCs w:val="21"/>
              </w:rPr>
              <w:t>通过泳道对主要的建模元素进行分组，将活动划分到不同的可视化类别中来描述由不同的参与者的责任与职责。包含池和道</w:t>
            </w:r>
          </w:p>
        </w:tc>
        <w:tc>
          <w:tcPr>
            <w:tcW w:w="1826" w:type="dxa"/>
            <w:vAlign w:val="center"/>
          </w:tcPr>
          <w:p>
            <w:pPr>
              <w:spacing w:line="240" w:lineRule="auto"/>
              <w:ind w:firstLine="0" w:firstLineChars="0"/>
              <w:jc w:val="center"/>
              <w:rPr>
                <w:rFonts w:ascii="宋体" w:hAnsi="宋体" w:cs="宋体" w:eastAsiaTheme="minorEastAsia"/>
                <w:color w:val="auto"/>
                <w:kern w:val="2"/>
                <w:sz w:val="21"/>
                <w:szCs w:val="21"/>
              </w:rPr>
            </w:pPr>
            <w:r>
              <w:rPr>
                <w:rFonts w:asciiTheme="minorHAnsi" w:hAnsiTheme="minorHAnsi" w:eastAsiaTheme="minorEastAsia" w:cstheme="minorBidi"/>
                <w:color w:val="auto"/>
                <w:kern w:val="2"/>
              </w:rPr>
              <w:drawing>
                <wp:inline distT="0" distB="0" distL="114300" distR="114300">
                  <wp:extent cx="901700" cy="433705"/>
                  <wp:effectExtent l="0" t="0" r="12700" b="444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8"/>
                          <a:stretch>
                            <a:fillRect/>
                          </a:stretch>
                        </pic:blipFill>
                        <pic:spPr>
                          <a:xfrm>
                            <a:off x="0" y="0"/>
                            <a:ext cx="901700" cy="4337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vAlign w:val="center"/>
          </w:tcPr>
          <w:p>
            <w:pPr>
              <w:spacing w:line="240" w:lineRule="auto"/>
              <w:ind w:firstLine="0" w:firstLineChars="0"/>
              <w:jc w:val="center"/>
              <w:rPr>
                <w:rFonts w:ascii="宋体" w:hAnsi="宋体" w:cs="宋体" w:eastAsiaTheme="minorEastAsia"/>
                <w:color w:val="auto"/>
                <w:kern w:val="2"/>
                <w:sz w:val="21"/>
                <w:szCs w:val="21"/>
              </w:rPr>
            </w:pPr>
            <w:r>
              <w:rPr>
                <w:rFonts w:hint="eastAsia" w:ascii="宋体" w:hAnsi="宋体" w:cs="宋体" w:eastAsiaTheme="minorEastAsia"/>
                <w:color w:val="auto"/>
                <w:kern w:val="2"/>
                <w:sz w:val="21"/>
                <w:szCs w:val="21"/>
              </w:rPr>
              <w:t>数据对象</w:t>
            </w:r>
          </w:p>
        </w:tc>
        <w:tc>
          <w:tcPr>
            <w:tcW w:w="5868" w:type="dxa"/>
            <w:vAlign w:val="center"/>
          </w:tcPr>
          <w:p>
            <w:pPr>
              <w:spacing w:line="240" w:lineRule="auto"/>
              <w:ind w:firstLine="0" w:firstLineChars="0"/>
              <w:jc w:val="left"/>
              <w:rPr>
                <w:rFonts w:ascii="宋体" w:hAnsi="宋体" w:cs="宋体" w:eastAsiaTheme="minorEastAsia"/>
                <w:color w:val="auto"/>
                <w:kern w:val="2"/>
                <w:sz w:val="21"/>
                <w:szCs w:val="21"/>
              </w:rPr>
            </w:pPr>
            <w:r>
              <w:rPr>
                <w:rFonts w:hint="eastAsia" w:ascii="宋体" w:hAnsi="宋体" w:cs="宋体" w:eastAsiaTheme="minorEastAsia"/>
                <w:color w:val="auto"/>
                <w:kern w:val="2"/>
                <w:sz w:val="21"/>
                <w:szCs w:val="21"/>
              </w:rPr>
              <w:t>用来显示数据是如何被活动所需要或产生的一种机制。它们通过关联被连接到活动上</w:t>
            </w:r>
          </w:p>
        </w:tc>
        <w:tc>
          <w:tcPr>
            <w:tcW w:w="1826" w:type="dxa"/>
            <w:vAlign w:val="center"/>
          </w:tcPr>
          <w:p>
            <w:pPr>
              <w:spacing w:line="240" w:lineRule="auto"/>
              <w:ind w:firstLine="0" w:firstLineChars="0"/>
              <w:jc w:val="center"/>
              <w:rPr>
                <w:rFonts w:ascii="宋体" w:hAnsi="宋体" w:cs="宋体" w:eastAsiaTheme="minorEastAsia"/>
                <w:color w:val="auto"/>
                <w:kern w:val="2"/>
                <w:sz w:val="21"/>
                <w:szCs w:val="21"/>
              </w:rPr>
            </w:pPr>
            <w:r>
              <w:rPr>
                <w:rFonts w:asciiTheme="minorHAnsi" w:hAnsiTheme="minorHAnsi" w:eastAsiaTheme="minorEastAsia" w:cstheme="minorBidi"/>
                <w:color w:val="auto"/>
                <w:kern w:val="2"/>
              </w:rPr>
              <w:drawing>
                <wp:inline distT="0" distB="0" distL="114300" distR="114300">
                  <wp:extent cx="309880" cy="415925"/>
                  <wp:effectExtent l="0" t="0" r="13970" b="317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29"/>
                          <a:stretch>
                            <a:fillRect/>
                          </a:stretch>
                        </pic:blipFill>
                        <pic:spPr>
                          <a:xfrm>
                            <a:off x="0" y="0"/>
                            <a:ext cx="309880" cy="4159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vAlign w:val="center"/>
          </w:tcPr>
          <w:p>
            <w:pPr>
              <w:spacing w:line="240" w:lineRule="auto"/>
              <w:ind w:firstLine="0" w:firstLineChars="0"/>
              <w:jc w:val="center"/>
              <w:rPr>
                <w:rFonts w:ascii="宋体" w:hAnsi="宋体" w:cs="宋体" w:eastAsiaTheme="minorEastAsia"/>
                <w:color w:val="auto"/>
                <w:kern w:val="2"/>
                <w:sz w:val="21"/>
                <w:szCs w:val="21"/>
              </w:rPr>
            </w:pPr>
            <w:r>
              <w:rPr>
                <w:rFonts w:hint="eastAsia" w:ascii="宋体" w:hAnsi="宋体" w:cs="宋体" w:eastAsiaTheme="minorEastAsia"/>
                <w:color w:val="auto"/>
                <w:kern w:val="2"/>
                <w:sz w:val="21"/>
                <w:szCs w:val="21"/>
              </w:rPr>
              <w:t>组</w:t>
            </w:r>
          </w:p>
        </w:tc>
        <w:tc>
          <w:tcPr>
            <w:tcW w:w="5868" w:type="dxa"/>
            <w:vAlign w:val="center"/>
          </w:tcPr>
          <w:p>
            <w:pPr>
              <w:spacing w:line="240" w:lineRule="auto"/>
              <w:ind w:firstLine="0" w:firstLineChars="0"/>
              <w:jc w:val="left"/>
              <w:rPr>
                <w:rFonts w:ascii="宋体" w:hAnsi="宋体" w:cs="宋体" w:eastAsiaTheme="minorEastAsia"/>
                <w:color w:val="auto"/>
                <w:kern w:val="2"/>
                <w:sz w:val="21"/>
                <w:szCs w:val="21"/>
              </w:rPr>
            </w:pPr>
            <w:r>
              <w:rPr>
                <w:rFonts w:hint="eastAsia" w:ascii="宋体" w:hAnsi="宋体" w:cs="宋体" w:eastAsiaTheme="minorEastAsia"/>
                <w:color w:val="auto"/>
                <w:kern w:val="2"/>
                <w:sz w:val="21"/>
                <w:szCs w:val="21"/>
              </w:rPr>
              <w:t>代表一个信息类别，但并不影响组内的顺序流。类别名称作为组的标签在图中标识，组可以用于记录或分析的目的</w:t>
            </w:r>
          </w:p>
        </w:tc>
        <w:tc>
          <w:tcPr>
            <w:tcW w:w="1826" w:type="dxa"/>
            <w:vAlign w:val="center"/>
          </w:tcPr>
          <w:p>
            <w:pPr>
              <w:spacing w:line="240" w:lineRule="auto"/>
              <w:ind w:firstLine="0" w:firstLineChars="0"/>
              <w:jc w:val="center"/>
              <w:rPr>
                <w:rFonts w:ascii="宋体" w:hAnsi="宋体" w:cs="宋体" w:eastAsiaTheme="minorEastAsia"/>
                <w:color w:val="auto"/>
                <w:kern w:val="2"/>
                <w:sz w:val="21"/>
                <w:szCs w:val="21"/>
              </w:rPr>
            </w:pPr>
            <w:r>
              <w:rPr>
                <w:rFonts w:asciiTheme="minorHAnsi" w:hAnsiTheme="minorHAnsi" w:eastAsiaTheme="minorEastAsia" w:cstheme="minorBidi"/>
                <w:color w:val="auto"/>
                <w:kern w:val="2"/>
              </w:rPr>
              <w:drawing>
                <wp:inline distT="0" distB="0" distL="114300" distR="114300">
                  <wp:extent cx="589915" cy="351155"/>
                  <wp:effectExtent l="0" t="0" r="635" b="1079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30"/>
                          <a:stretch>
                            <a:fillRect/>
                          </a:stretch>
                        </pic:blipFill>
                        <pic:spPr>
                          <a:xfrm>
                            <a:off x="0" y="0"/>
                            <a:ext cx="589915" cy="3511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vAlign w:val="center"/>
          </w:tcPr>
          <w:p>
            <w:pPr>
              <w:spacing w:line="240" w:lineRule="auto"/>
              <w:ind w:firstLine="0" w:firstLineChars="0"/>
              <w:jc w:val="center"/>
              <w:rPr>
                <w:rFonts w:ascii="宋体" w:hAnsi="宋体" w:cs="宋体" w:eastAsiaTheme="minorEastAsia"/>
                <w:color w:val="auto"/>
                <w:kern w:val="2"/>
                <w:sz w:val="21"/>
                <w:szCs w:val="21"/>
              </w:rPr>
            </w:pPr>
            <w:r>
              <w:rPr>
                <w:rFonts w:hint="eastAsia" w:ascii="宋体" w:hAnsi="宋体" w:cs="宋体" w:eastAsiaTheme="minorEastAsia"/>
                <w:color w:val="auto"/>
                <w:kern w:val="2"/>
                <w:sz w:val="21"/>
                <w:szCs w:val="21"/>
              </w:rPr>
              <w:t>注释</w:t>
            </w:r>
          </w:p>
        </w:tc>
        <w:tc>
          <w:tcPr>
            <w:tcW w:w="5868" w:type="dxa"/>
            <w:vAlign w:val="center"/>
          </w:tcPr>
          <w:p>
            <w:pPr>
              <w:spacing w:line="240" w:lineRule="auto"/>
              <w:ind w:firstLine="0" w:firstLineChars="0"/>
              <w:jc w:val="left"/>
              <w:rPr>
                <w:rFonts w:ascii="宋体" w:hAnsi="宋体" w:cs="宋体" w:eastAsiaTheme="minorEastAsia"/>
                <w:color w:val="auto"/>
                <w:kern w:val="2"/>
                <w:sz w:val="21"/>
                <w:szCs w:val="21"/>
              </w:rPr>
            </w:pPr>
            <w:r>
              <w:rPr>
                <w:rFonts w:hint="eastAsia" w:ascii="宋体" w:hAnsi="宋体" w:cs="宋体" w:eastAsiaTheme="minorEastAsia"/>
                <w:color w:val="auto"/>
                <w:kern w:val="2"/>
                <w:sz w:val="21"/>
                <w:szCs w:val="21"/>
              </w:rPr>
              <w:t>附加的文本信息</w:t>
            </w:r>
          </w:p>
        </w:tc>
        <w:tc>
          <w:tcPr>
            <w:tcW w:w="1826" w:type="dxa"/>
            <w:vAlign w:val="center"/>
          </w:tcPr>
          <w:p>
            <w:pPr>
              <w:spacing w:line="240" w:lineRule="auto"/>
              <w:ind w:firstLine="0" w:firstLineChars="0"/>
              <w:jc w:val="center"/>
              <w:rPr>
                <w:rFonts w:ascii="宋体" w:hAnsi="宋体" w:cs="宋体" w:eastAsiaTheme="minorEastAsia"/>
                <w:color w:val="auto"/>
                <w:kern w:val="2"/>
                <w:sz w:val="21"/>
                <w:szCs w:val="21"/>
              </w:rPr>
            </w:pPr>
            <w:r>
              <w:rPr>
                <w:rFonts w:asciiTheme="minorHAnsi" w:hAnsiTheme="minorHAnsi" w:eastAsiaTheme="minorEastAsia" w:cstheme="minorBidi"/>
                <w:color w:val="auto"/>
                <w:kern w:val="2"/>
              </w:rPr>
              <w:drawing>
                <wp:inline distT="0" distB="0" distL="114300" distR="114300">
                  <wp:extent cx="598170" cy="471170"/>
                  <wp:effectExtent l="0" t="0" r="11430" b="508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31"/>
                          <a:stretch>
                            <a:fillRect/>
                          </a:stretch>
                        </pic:blipFill>
                        <pic:spPr>
                          <a:xfrm>
                            <a:off x="0" y="0"/>
                            <a:ext cx="598170" cy="471170"/>
                          </a:xfrm>
                          <a:prstGeom prst="rect">
                            <a:avLst/>
                          </a:prstGeom>
                          <a:noFill/>
                          <a:ln>
                            <a:noFill/>
                          </a:ln>
                        </pic:spPr>
                      </pic:pic>
                    </a:graphicData>
                  </a:graphic>
                </wp:inline>
              </w:drawing>
            </w:r>
          </w:p>
        </w:tc>
      </w:tr>
    </w:tbl>
    <w:p>
      <w:pPr>
        <w:ind w:firstLine="0" w:firstLineChars="0"/>
        <w:rPr>
          <w:b/>
          <w:i/>
          <w:color w:val="auto"/>
        </w:rPr>
      </w:pPr>
    </w:p>
    <w:p>
      <w:pPr>
        <w:ind w:firstLine="0" w:firstLineChars="0"/>
        <w:rPr>
          <w:rFonts w:eastAsiaTheme="minorEastAsia"/>
          <w:color w:val="auto"/>
          <w:szCs w:val="32"/>
        </w:rPr>
      </w:pPr>
      <w:r>
        <w:rPr>
          <w:rFonts w:hint="eastAsia" w:eastAsiaTheme="minorEastAsia"/>
          <w:color w:val="auto"/>
          <w:szCs w:val="32"/>
          <w:lang w:eastAsia="zh-CN"/>
        </w:rPr>
        <w:t>3.0.</w:t>
      </w:r>
      <w:r>
        <w:rPr>
          <w:rFonts w:eastAsiaTheme="minorEastAsia"/>
          <w:color w:val="auto"/>
          <w:szCs w:val="32"/>
        </w:rPr>
        <w:t>1</w:t>
      </w:r>
      <w:r>
        <w:rPr>
          <w:rFonts w:hint="eastAsia" w:eastAsiaTheme="minorEastAsia"/>
          <w:color w:val="auto"/>
          <w:szCs w:val="32"/>
        </w:rPr>
        <w:t xml:space="preserve">5 </w:t>
      </w:r>
      <w:r>
        <w:rPr>
          <w:rFonts w:hint="eastAsia" w:eastAsiaTheme="minorEastAsia"/>
          <w:color w:val="auto"/>
          <w:szCs w:val="32"/>
          <w:lang w:eastAsia="zh-CN"/>
        </w:rPr>
        <w:t xml:space="preserve">  </w:t>
      </w:r>
      <w:r>
        <w:rPr>
          <w:rFonts w:eastAsiaTheme="minorEastAsia"/>
          <w:color w:val="auto"/>
          <w:szCs w:val="32"/>
        </w:rPr>
        <w:t xml:space="preserve"> </w:t>
      </w:r>
      <w:r>
        <w:rPr>
          <w:rFonts w:hint="eastAsia" w:eastAsiaTheme="minorEastAsia"/>
          <w:color w:val="auto"/>
          <w:szCs w:val="32"/>
        </w:rPr>
        <w:t>工程建设项目合同应明确在数字技术应用成果归属，产生合同约定范围以外的成果归属问题以及相关的权利与义务需通过协商或仲裁方式解决。</w:t>
      </w:r>
    </w:p>
    <w:p>
      <w:pPr>
        <w:ind w:firstLine="0" w:firstLineChars="0"/>
        <w:rPr>
          <w:b/>
          <w:i/>
          <w:color w:val="auto"/>
        </w:rPr>
      </w:pPr>
    </w:p>
    <w:p>
      <w:pPr>
        <w:ind w:firstLine="0" w:firstLineChars="0"/>
        <w:rPr>
          <w:b/>
          <w:i/>
          <w:color w:val="auto"/>
        </w:rPr>
      </w:pPr>
    </w:p>
    <w:p>
      <w:pPr>
        <w:ind w:firstLine="0" w:firstLineChars="0"/>
        <w:rPr>
          <w:b/>
          <w:i/>
          <w:color w:val="auto"/>
        </w:rPr>
      </w:pPr>
    </w:p>
    <w:p>
      <w:pPr>
        <w:ind w:firstLine="0" w:firstLineChars="0"/>
        <w:rPr>
          <w:b/>
          <w:i/>
          <w:color w:val="auto"/>
        </w:rPr>
      </w:pPr>
    </w:p>
    <w:p>
      <w:pPr>
        <w:ind w:firstLine="0" w:firstLineChars="0"/>
        <w:rPr>
          <w:b/>
          <w:i/>
          <w:color w:val="auto"/>
        </w:rPr>
      </w:pPr>
    </w:p>
    <w:p>
      <w:pPr>
        <w:ind w:firstLine="0" w:firstLineChars="0"/>
        <w:rPr>
          <w:b/>
          <w:i/>
          <w:color w:val="auto"/>
        </w:rPr>
      </w:pPr>
    </w:p>
    <w:p>
      <w:pPr>
        <w:ind w:firstLine="0" w:firstLineChars="0"/>
        <w:rPr>
          <w:b/>
          <w:i/>
          <w:color w:val="auto"/>
        </w:rPr>
      </w:pPr>
    </w:p>
    <w:p>
      <w:pPr>
        <w:ind w:firstLine="0" w:firstLineChars="0"/>
        <w:rPr>
          <w:b/>
          <w:i/>
          <w:color w:val="auto"/>
        </w:rPr>
      </w:pPr>
    </w:p>
    <w:p>
      <w:pPr>
        <w:ind w:firstLine="0" w:firstLineChars="0"/>
        <w:rPr>
          <w:b/>
          <w:i/>
          <w:color w:val="auto"/>
        </w:rPr>
      </w:pPr>
    </w:p>
    <w:p>
      <w:pPr>
        <w:ind w:firstLine="0" w:firstLineChars="0"/>
        <w:rPr>
          <w:b/>
          <w:i/>
          <w:color w:val="auto"/>
        </w:rPr>
      </w:pPr>
    </w:p>
    <w:p>
      <w:pPr>
        <w:ind w:firstLine="0" w:firstLineChars="0"/>
        <w:rPr>
          <w:b/>
          <w:i/>
          <w:color w:val="auto"/>
        </w:rPr>
      </w:pPr>
    </w:p>
    <w:p>
      <w:pPr>
        <w:ind w:firstLine="0" w:firstLineChars="0"/>
        <w:rPr>
          <w:b/>
          <w:i/>
          <w:color w:val="auto"/>
        </w:rPr>
      </w:pPr>
    </w:p>
    <w:p>
      <w:pPr>
        <w:ind w:firstLine="0" w:firstLineChars="0"/>
        <w:rPr>
          <w:b/>
          <w:i/>
          <w:color w:val="auto"/>
        </w:rPr>
      </w:pPr>
    </w:p>
    <w:p>
      <w:pPr>
        <w:ind w:firstLine="0" w:firstLineChars="0"/>
        <w:rPr>
          <w:b/>
          <w:i/>
          <w:color w:val="auto"/>
        </w:rPr>
      </w:pPr>
    </w:p>
    <w:p>
      <w:pPr>
        <w:ind w:firstLine="0" w:firstLineChars="0"/>
        <w:rPr>
          <w:b/>
          <w:i/>
          <w:color w:val="auto"/>
        </w:rPr>
      </w:pPr>
    </w:p>
    <w:p>
      <w:pPr>
        <w:pStyle w:val="2"/>
        <w:numPr>
          <w:ilvl w:val="0"/>
          <w:numId w:val="13"/>
        </w:numPr>
        <w:spacing w:before="312" w:after="312"/>
        <w:jc w:val="center"/>
        <w:rPr>
          <w:rFonts w:hint="eastAsia"/>
          <w:color w:val="auto"/>
          <w:lang w:val="en-US" w:eastAsia="zh-CN"/>
        </w:rPr>
      </w:pPr>
      <w:r>
        <w:rPr>
          <w:rFonts w:hint="eastAsia"/>
          <w:color w:val="auto"/>
          <w:lang w:val="en-US" w:eastAsia="zh-CN"/>
        </w:rPr>
        <w:t>协同管理</w:t>
      </w:r>
    </w:p>
    <w:p>
      <w:pPr>
        <w:pStyle w:val="3"/>
        <w:jc w:val="center"/>
        <w:rPr>
          <w:color w:val="auto"/>
        </w:rPr>
      </w:pPr>
      <w:r>
        <w:rPr>
          <w:color w:val="auto"/>
        </w:rPr>
        <w:t>4.1 一般规定</w:t>
      </w:r>
    </w:p>
    <w:p>
      <w:pPr>
        <w:ind w:firstLine="0" w:firstLineChars="0"/>
        <w:rPr>
          <w:rFonts w:eastAsiaTheme="minorEastAsia"/>
          <w:color w:val="auto"/>
          <w:szCs w:val="32"/>
        </w:rPr>
      </w:pPr>
      <w:r>
        <w:rPr>
          <w:rFonts w:eastAsiaTheme="minorEastAsia"/>
          <w:color w:val="auto"/>
          <w:szCs w:val="32"/>
        </w:rPr>
        <w:t>4.1.1</w:t>
      </w:r>
      <w:r>
        <w:rPr>
          <w:rFonts w:hint="eastAsia" w:eastAsiaTheme="minorEastAsia"/>
          <w:color w:val="auto"/>
          <w:szCs w:val="32"/>
          <w:lang w:eastAsia="zh-CN"/>
        </w:rPr>
        <w:t xml:space="preserve">  </w:t>
      </w:r>
      <w:r>
        <w:rPr>
          <w:rFonts w:hint="eastAsia" w:eastAsiaTheme="minorEastAsia"/>
          <w:color w:val="auto"/>
          <w:szCs w:val="32"/>
        </w:rPr>
        <w:t>模型创建前应进行工程建设需求的收集与分析，结合实施团队的实际应用能力与水平，明确模型应用目标。对信息需求进行定义以及制定信息交付计划，并制定相应的实施流程，确保模型应用价值的体现以及模型协同应用的落地。</w:t>
      </w:r>
    </w:p>
    <w:p>
      <w:pPr>
        <w:ind w:firstLine="0" w:firstLineChars="0"/>
        <w:rPr>
          <w:rFonts w:eastAsiaTheme="minorEastAsia"/>
          <w:color w:val="auto"/>
          <w:szCs w:val="32"/>
        </w:rPr>
      </w:pPr>
      <w:r>
        <w:rPr>
          <w:rFonts w:hint="eastAsia" w:eastAsiaTheme="minorEastAsia"/>
          <w:color w:val="auto"/>
          <w:szCs w:val="32"/>
        </w:rPr>
        <w:t>4</w:t>
      </w:r>
      <w:r>
        <w:rPr>
          <w:rFonts w:eastAsiaTheme="minorEastAsia"/>
          <w:color w:val="auto"/>
          <w:szCs w:val="32"/>
        </w:rPr>
        <w:t>.</w:t>
      </w:r>
      <w:r>
        <w:rPr>
          <w:rFonts w:hint="eastAsia" w:eastAsiaTheme="minorEastAsia"/>
          <w:color w:val="auto"/>
          <w:szCs w:val="32"/>
        </w:rPr>
        <w:t>1</w:t>
      </w:r>
      <w:r>
        <w:rPr>
          <w:rFonts w:eastAsiaTheme="minorEastAsia"/>
          <w:color w:val="auto"/>
          <w:szCs w:val="32"/>
        </w:rPr>
        <w:t>.</w:t>
      </w:r>
      <w:r>
        <w:rPr>
          <w:rFonts w:hint="eastAsia" w:eastAsiaTheme="minorEastAsia"/>
          <w:color w:val="auto"/>
          <w:szCs w:val="32"/>
        </w:rPr>
        <w:t xml:space="preserve">2 </w:t>
      </w:r>
      <w:r>
        <w:rPr>
          <w:rFonts w:hint="eastAsia" w:eastAsiaTheme="minorEastAsia"/>
          <w:color w:val="auto"/>
          <w:szCs w:val="32"/>
          <w:lang w:eastAsia="zh-CN"/>
        </w:rPr>
        <w:t xml:space="preserve">  </w:t>
      </w:r>
      <w:r>
        <w:rPr>
          <w:rFonts w:hint="eastAsia" w:eastAsiaTheme="minorEastAsia"/>
          <w:color w:val="auto"/>
          <w:szCs w:val="32"/>
        </w:rPr>
        <w:t>工程建设项目全生命期内，应根据各个阶段、各项任务的需要创建、使用和管理模型，并应根据工程建设项目的实际条件，选择合适的模型应用方式</w:t>
      </w:r>
      <w:r>
        <w:rPr>
          <w:rFonts w:eastAsiaTheme="minorEastAsia"/>
          <w:color w:val="auto"/>
          <w:szCs w:val="32"/>
        </w:rPr>
        <w:t>，同时应考虑模型数据满足数据的互用要求。</w:t>
      </w:r>
    </w:p>
    <w:p>
      <w:pPr>
        <w:ind w:firstLine="0" w:firstLineChars="0"/>
        <w:rPr>
          <w:rFonts w:eastAsiaTheme="minorEastAsia"/>
          <w:color w:val="auto"/>
          <w:szCs w:val="32"/>
        </w:rPr>
      </w:pPr>
      <w:r>
        <w:rPr>
          <w:rFonts w:eastAsiaTheme="minorEastAsia"/>
          <w:color w:val="auto"/>
          <w:szCs w:val="32"/>
        </w:rPr>
        <w:t>4.1.</w:t>
      </w:r>
      <w:r>
        <w:rPr>
          <w:rFonts w:hint="eastAsia" w:eastAsiaTheme="minorEastAsia"/>
          <w:color w:val="auto"/>
          <w:szCs w:val="32"/>
        </w:rPr>
        <w:t>3</w:t>
      </w:r>
      <w:r>
        <w:rPr>
          <w:rFonts w:hint="eastAsia" w:eastAsiaTheme="minorEastAsia"/>
          <w:color w:val="auto"/>
          <w:szCs w:val="32"/>
          <w:lang w:eastAsia="zh-CN"/>
        </w:rPr>
        <w:t xml:space="preserve">  </w:t>
      </w:r>
      <w:r>
        <w:rPr>
          <w:rFonts w:eastAsiaTheme="minorEastAsia"/>
          <w:color w:val="auto"/>
          <w:szCs w:val="32"/>
        </w:rPr>
        <w:t>合同与协议可以更好地保障</w:t>
      </w:r>
      <w:r>
        <w:rPr>
          <w:rFonts w:hint="eastAsia" w:eastAsiaTheme="minorEastAsia"/>
          <w:color w:val="auto"/>
          <w:szCs w:val="32"/>
        </w:rPr>
        <w:t>城市道路工程建设项目协同管理</w:t>
      </w:r>
      <w:r>
        <w:rPr>
          <w:rFonts w:eastAsiaTheme="minorEastAsia"/>
          <w:color w:val="auto"/>
          <w:szCs w:val="32"/>
        </w:rPr>
        <w:t>过程中的资源投入，保障模型应用与协同管理目标的实现</w:t>
      </w:r>
      <w:r>
        <w:rPr>
          <w:rFonts w:hint="eastAsia" w:eastAsiaTheme="minorEastAsia"/>
          <w:color w:val="auto"/>
          <w:szCs w:val="32"/>
        </w:rPr>
        <w:t>。</w:t>
      </w:r>
    </w:p>
    <w:p>
      <w:pPr>
        <w:ind w:firstLine="0" w:firstLineChars="0"/>
        <w:rPr>
          <w:rFonts w:eastAsiaTheme="minorEastAsia"/>
          <w:color w:val="auto"/>
          <w:szCs w:val="32"/>
        </w:rPr>
      </w:pPr>
      <w:r>
        <w:rPr>
          <w:rFonts w:eastAsiaTheme="minorEastAsia"/>
          <w:color w:val="auto"/>
          <w:szCs w:val="32"/>
        </w:rPr>
        <w:t>4.1.</w:t>
      </w:r>
      <w:r>
        <w:rPr>
          <w:rFonts w:hint="eastAsia" w:eastAsiaTheme="minorEastAsia"/>
          <w:color w:val="auto"/>
          <w:szCs w:val="32"/>
        </w:rPr>
        <w:t>4</w:t>
      </w:r>
      <w:r>
        <w:rPr>
          <w:rFonts w:hint="eastAsia" w:eastAsiaTheme="minorEastAsia"/>
          <w:color w:val="auto"/>
          <w:szCs w:val="32"/>
          <w:lang w:eastAsia="zh-CN"/>
        </w:rPr>
        <w:t xml:space="preserve">  </w:t>
      </w:r>
      <w:r>
        <w:rPr>
          <w:rFonts w:hint="eastAsia" w:eastAsiaTheme="minorEastAsia"/>
          <w:color w:val="auto"/>
          <w:szCs w:val="32"/>
        </w:rPr>
        <w:t>多参与方</w:t>
      </w:r>
      <w:r>
        <w:rPr>
          <w:rFonts w:eastAsiaTheme="minorEastAsia"/>
          <w:color w:val="auto"/>
          <w:szCs w:val="32"/>
        </w:rPr>
        <w:t>、多平台的异地协同需求随着项目的</w:t>
      </w:r>
      <w:r>
        <w:rPr>
          <w:rFonts w:hint="eastAsia" w:eastAsiaTheme="minorEastAsia"/>
          <w:color w:val="auto"/>
          <w:szCs w:val="32"/>
        </w:rPr>
        <w:t>规模</w:t>
      </w:r>
      <w:r>
        <w:rPr>
          <w:rFonts w:eastAsiaTheme="minorEastAsia"/>
          <w:color w:val="auto"/>
          <w:szCs w:val="32"/>
        </w:rPr>
        <w:t>及复杂度的增大</w:t>
      </w:r>
      <w:r>
        <w:rPr>
          <w:rFonts w:hint="eastAsia" w:eastAsiaTheme="minorEastAsia"/>
          <w:color w:val="auto"/>
          <w:szCs w:val="32"/>
        </w:rPr>
        <w:t>而</w:t>
      </w:r>
      <w:r>
        <w:rPr>
          <w:rFonts w:eastAsiaTheme="minorEastAsia"/>
          <w:color w:val="auto"/>
          <w:szCs w:val="32"/>
        </w:rPr>
        <w:t>越来越常见</w:t>
      </w:r>
      <w:r>
        <w:rPr>
          <w:rFonts w:hint="eastAsia" w:eastAsiaTheme="minorEastAsia"/>
          <w:color w:val="auto"/>
          <w:szCs w:val="32"/>
        </w:rPr>
        <w:t>。在项目前期，针对模型应用目标，并结合项目特点，制定项目实施计划与标准，合理选择应用平台，统筹模型的协同应用，降低后期协同管理难度。</w:t>
      </w:r>
    </w:p>
    <w:p>
      <w:pPr>
        <w:ind w:firstLine="0" w:firstLineChars="0"/>
        <w:rPr>
          <w:rFonts w:eastAsiaTheme="minorEastAsia"/>
          <w:color w:val="auto"/>
          <w:szCs w:val="32"/>
        </w:rPr>
      </w:pPr>
      <w:r>
        <w:rPr>
          <w:rFonts w:eastAsiaTheme="minorEastAsia"/>
          <w:color w:val="auto"/>
          <w:szCs w:val="32"/>
        </w:rPr>
        <w:t>4.1.</w:t>
      </w:r>
      <w:r>
        <w:rPr>
          <w:rFonts w:hint="eastAsia" w:eastAsiaTheme="minorEastAsia"/>
          <w:color w:val="auto"/>
          <w:szCs w:val="32"/>
        </w:rPr>
        <w:t>5</w:t>
      </w:r>
      <w:r>
        <w:rPr>
          <w:rFonts w:hint="eastAsia" w:eastAsiaTheme="minorEastAsia"/>
          <w:color w:val="auto"/>
          <w:szCs w:val="32"/>
          <w:lang w:eastAsia="zh-CN"/>
        </w:rPr>
        <w:t xml:space="preserve">  </w:t>
      </w:r>
      <w:r>
        <w:rPr>
          <w:rFonts w:hint="eastAsia" w:eastAsiaTheme="minorEastAsia"/>
          <w:color w:val="auto"/>
          <w:szCs w:val="32"/>
        </w:rPr>
        <w:t>城市道路工程建设项目协同管理平台能协助建设工程建设项目高效的进行数据协同与管理，提升模型应用过程中的协同效率。</w:t>
      </w:r>
    </w:p>
    <w:p>
      <w:pPr>
        <w:ind w:firstLine="0" w:firstLineChars="0"/>
        <w:rPr>
          <w:rFonts w:eastAsiaTheme="minorEastAsia"/>
          <w:color w:val="auto"/>
          <w:szCs w:val="32"/>
        </w:rPr>
      </w:pPr>
      <w:r>
        <w:rPr>
          <w:rFonts w:eastAsiaTheme="minorEastAsia"/>
          <w:color w:val="auto"/>
          <w:szCs w:val="32"/>
        </w:rPr>
        <w:t>4.1.</w:t>
      </w:r>
      <w:r>
        <w:rPr>
          <w:rFonts w:hint="eastAsia" w:eastAsiaTheme="minorEastAsia"/>
          <w:color w:val="auto"/>
          <w:szCs w:val="32"/>
        </w:rPr>
        <w:t>6</w:t>
      </w:r>
      <w:r>
        <w:rPr>
          <w:rFonts w:hint="eastAsia" w:eastAsiaTheme="minorEastAsia"/>
          <w:color w:val="auto"/>
          <w:szCs w:val="32"/>
          <w:lang w:eastAsia="zh-CN"/>
        </w:rPr>
        <w:t xml:space="preserve">  </w:t>
      </w:r>
      <w:r>
        <w:rPr>
          <w:rFonts w:hint="eastAsia" w:eastAsiaTheme="minorEastAsia"/>
          <w:color w:val="auto"/>
          <w:szCs w:val="32"/>
        </w:rPr>
        <w:t>项目协同管理平台应能得到有效管理与维护，确保模型数据协同管理的实施。</w:t>
      </w:r>
    </w:p>
    <w:p>
      <w:pPr>
        <w:ind w:firstLine="0" w:firstLineChars="0"/>
        <w:rPr>
          <w:rFonts w:eastAsiaTheme="minorEastAsia"/>
          <w:color w:val="auto"/>
          <w:szCs w:val="32"/>
        </w:rPr>
      </w:pPr>
      <w:r>
        <w:rPr>
          <w:rFonts w:eastAsiaTheme="minorEastAsia"/>
          <w:color w:val="auto"/>
          <w:szCs w:val="32"/>
        </w:rPr>
        <w:t>4.1.</w:t>
      </w:r>
      <w:r>
        <w:rPr>
          <w:rFonts w:hint="eastAsia" w:eastAsiaTheme="minorEastAsia"/>
          <w:color w:val="auto"/>
          <w:szCs w:val="32"/>
        </w:rPr>
        <w:t>7</w:t>
      </w:r>
      <w:r>
        <w:rPr>
          <w:rFonts w:eastAsiaTheme="minorEastAsia"/>
          <w:color w:val="auto"/>
          <w:szCs w:val="32"/>
        </w:rPr>
        <w:t xml:space="preserve"> </w:t>
      </w:r>
      <w:r>
        <w:rPr>
          <w:rFonts w:hint="eastAsia" w:eastAsiaTheme="minorEastAsia"/>
          <w:color w:val="auto"/>
          <w:szCs w:val="32"/>
          <w:lang w:eastAsia="zh-CN"/>
        </w:rPr>
        <w:t xml:space="preserve">  </w:t>
      </w:r>
      <w:r>
        <w:rPr>
          <w:rFonts w:hint="eastAsia" w:eastAsiaTheme="minorEastAsia"/>
          <w:color w:val="auto"/>
          <w:szCs w:val="32"/>
        </w:rPr>
        <w:t>模型应用</w:t>
      </w:r>
      <w:r>
        <w:rPr>
          <w:rFonts w:eastAsiaTheme="minorEastAsia"/>
          <w:color w:val="auto"/>
          <w:szCs w:val="32"/>
        </w:rPr>
        <w:t>实施策划</w:t>
      </w:r>
      <w:r>
        <w:rPr>
          <w:rFonts w:hint="eastAsia" w:eastAsiaTheme="minorEastAsia"/>
          <w:color w:val="auto"/>
          <w:szCs w:val="32"/>
        </w:rPr>
        <w:t>和</w:t>
      </w:r>
      <w:r>
        <w:rPr>
          <w:rFonts w:eastAsiaTheme="minorEastAsia"/>
          <w:color w:val="auto"/>
          <w:szCs w:val="32"/>
        </w:rPr>
        <w:t>执行计划中</w:t>
      </w:r>
      <w:r>
        <w:rPr>
          <w:rFonts w:hint="eastAsia" w:eastAsiaTheme="minorEastAsia"/>
          <w:color w:val="auto"/>
          <w:szCs w:val="32"/>
        </w:rPr>
        <w:t>给出</w:t>
      </w:r>
      <w:r>
        <w:rPr>
          <w:rFonts w:eastAsiaTheme="minorEastAsia"/>
          <w:color w:val="auto"/>
          <w:szCs w:val="32"/>
        </w:rPr>
        <w:t>对</w:t>
      </w:r>
      <w:r>
        <w:rPr>
          <w:rFonts w:hint="eastAsia" w:eastAsiaTheme="minorEastAsia"/>
          <w:color w:val="auto"/>
          <w:szCs w:val="32"/>
        </w:rPr>
        <w:t>设计变更的管理机制与策略，通过过程管理和流程控制，达到有效降低模型应用中因变更活动而产生的影响</w:t>
      </w:r>
      <w:r>
        <w:rPr>
          <w:rFonts w:eastAsiaTheme="minorEastAsia"/>
          <w:color w:val="auto"/>
          <w:szCs w:val="32"/>
        </w:rPr>
        <w:t>。</w:t>
      </w:r>
    </w:p>
    <w:p>
      <w:pPr>
        <w:ind w:firstLine="0" w:firstLineChars="0"/>
        <w:rPr>
          <w:rFonts w:eastAsiaTheme="minorEastAsia"/>
          <w:color w:val="auto"/>
          <w:szCs w:val="32"/>
        </w:rPr>
      </w:pPr>
      <w:r>
        <w:rPr>
          <w:rFonts w:eastAsiaTheme="minorEastAsia"/>
          <w:color w:val="auto"/>
          <w:szCs w:val="32"/>
        </w:rPr>
        <w:t>4.1.</w:t>
      </w:r>
      <w:r>
        <w:rPr>
          <w:rFonts w:hint="eastAsia" w:eastAsiaTheme="minorEastAsia"/>
          <w:color w:val="auto"/>
          <w:szCs w:val="32"/>
        </w:rPr>
        <w:t>8</w:t>
      </w:r>
      <w:r>
        <w:rPr>
          <w:rFonts w:hint="eastAsia" w:eastAsiaTheme="minorEastAsia"/>
          <w:color w:val="auto"/>
          <w:szCs w:val="32"/>
          <w:lang w:eastAsia="zh-CN"/>
        </w:rPr>
        <w:t xml:space="preserve">  </w:t>
      </w:r>
      <w:r>
        <w:rPr>
          <w:rFonts w:hint="eastAsia" w:eastAsiaTheme="minorEastAsia"/>
          <w:color w:val="auto"/>
          <w:szCs w:val="32"/>
        </w:rPr>
        <w:t>基于风险思维的模型信息质量管理体系，及时发现风险，尽可能通过前期规划有效规避风险的产生。</w:t>
      </w:r>
    </w:p>
    <w:p>
      <w:pPr>
        <w:ind w:firstLine="0" w:firstLineChars="0"/>
        <w:rPr>
          <w:rFonts w:hint="eastAsia" w:eastAsiaTheme="minorEastAsia"/>
          <w:color w:val="auto"/>
          <w:szCs w:val="32"/>
        </w:rPr>
      </w:pPr>
      <w:r>
        <w:rPr>
          <w:rFonts w:eastAsiaTheme="minorEastAsia"/>
          <w:color w:val="auto"/>
          <w:szCs w:val="32"/>
        </w:rPr>
        <w:t>4.1.</w:t>
      </w:r>
      <w:r>
        <w:rPr>
          <w:rFonts w:hint="eastAsia" w:eastAsiaTheme="minorEastAsia"/>
          <w:color w:val="auto"/>
          <w:szCs w:val="32"/>
        </w:rPr>
        <w:t>9</w:t>
      </w:r>
      <w:r>
        <w:rPr>
          <w:rFonts w:hint="eastAsia" w:eastAsiaTheme="minorEastAsia"/>
          <w:color w:val="auto"/>
          <w:szCs w:val="32"/>
          <w:lang w:eastAsia="zh-CN"/>
        </w:rPr>
        <w:t xml:space="preserve">  </w:t>
      </w:r>
      <w:r>
        <w:rPr>
          <w:rFonts w:hint="eastAsia" w:eastAsiaTheme="minorEastAsia"/>
          <w:color w:val="auto"/>
          <w:szCs w:val="32"/>
        </w:rPr>
        <w:t>通过不断融合G</w:t>
      </w:r>
      <w:r>
        <w:rPr>
          <w:rFonts w:eastAsiaTheme="minorEastAsia"/>
          <w:color w:val="auto"/>
          <w:szCs w:val="32"/>
        </w:rPr>
        <w:t>IS、大数据、云计算、物联网、AI、移动通信</w:t>
      </w:r>
      <w:r>
        <w:rPr>
          <w:rFonts w:hint="eastAsia" w:eastAsiaTheme="minorEastAsia"/>
          <w:color w:val="auto"/>
          <w:szCs w:val="32"/>
        </w:rPr>
        <w:t>、互联网</w:t>
      </w:r>
      <w:r>
        <w:rPr>
          <w:rFonts w:eastAsiaTheme="minorEastAsia"/>
          <w:color w:val="auto"/>
          <w:szCs w:val="32"/>
        </w:rPr>
        <w:t>等</w:t>
      </w:r>
      <w:r>
        <w:rPr>
          <w:rFonts w:hint="eastAsia" w:eastAsiaTheme="minorEastAsia"/>
          <w:color w:val="auto"/>
          <w:szCs w:val="32"/>
        </w:rPr>
        <w:t>先进</w:t>
      </w:r>
      <w:r>
        <w:rPr>
          <w:rFonts w:eastAsiaTheme="minorEastAsia"/>
          <w:color w:val="auto"/>
          <w:szCs w:val="32"/>
        </w:rPr>
        <w:t>技术，</w:t>
      </w:r>
      <w:r>
        <w:rPr>
          <w:rFonts w:hint="eastAsia" w:eastAsiaTheme="minorEastAsia"/>
          <w:color w:val="auto"/>
          <w:szCs w:val="32"/>
        </w:rPr>
        <w:t>逐步</w:t>
      </w:r>
      <w:r>
        <w:rPr>
          <w:rFonts w:eastAsiaTheme="minorEastAsia"/>
          <w:color w:val="auto"/>
          <w:szCs w:val="32"/>
        </w:rPr>
        <w:t>实现建设</w:t>
      </w:r>
      <w:r>
        <w:rPr>
          <w:rFonts w:hint="eastAsia" w:eastAsiaTheme="minorEastAsia"/>
          <w:color w:val="auto"/>
          <w:szCs w:val="32"/>
        </w:rPr>
        <w:t>工程建设项目</w:t>
      </w:r>
      <w:r>
        <w:rPr>
          <w:rFonts w:eastAsiaTheme="minorEastAsia"/>
          <w:color w:val="auto"/>
          <w:szCs w:val="32"/>
        </w:rPr>
        <w:t>的数字孪生</w:t>
      </w:r>
      <w:r>
        <w:rPr>
          <w:rFonts w:hint="eastAsia" w:eastAsiaTheme="minorEastAsia"/>
          <w:color w:val="auto"/>
          <w:szCs w:val="32"/>
        </w:rPr>
        <w:t>应用</w:t>
      </w:r>
      <w:r>
        <w:rPr>
          <w:rFonts w:eastAsiaTheme="minorEastAsia"/>
          <w:color w:val="auto"/>
          <w:szCs w:val="32"/>
        </w:rPr>
        <w:t>，提升项目的建、管、养品质</w:t>
      </w:r>
      <w:r>
        <w:rPr>
          <w:rFonts w:hint="eastAsia" w:eastAsiaTheme="minorEastAsia"/>
          <w:color w:val="auto"/>
          <w:szCs w:val="32"/>
        </w:rPr>
        <w:t>与管理水平</w:t>
      </w:r>
      <w:r>
        <w:rPr>
          <w:rFonts w:eastAsiaTheme="minorEastAsia"/>
          <w:color w:val="auto"/>
          <w:szCs w:val="32"/>
        </w:rPr>
        <w:t>，助力数字城市的</w:t>
      </w:r>
      <w:r>
        <w:rPr>
          <w:rFonts w:hint="eastAsia" w:eastAsiaTheme="minorEastAsia"/>
          <w:color w:val="auto"/>
          <w:szCs w:val="32"/>
        </w:rPr>
        <w:t>高质量</w:t>
      </w:r>
      <w:r>
        <w:rPr>
          <w:rFonts w:eastAsiaTheme="minorEastAsia"/>
          <w:color w:val="auto"/>
          <w:szCs w:val="32"/>
        </w:rPr>
        <w:t>发展</w:t>
      </w:r>
      <w:r>
        <w:rPr>
          <w:rFonts w:hint="eastAsia" w:eastAsiaTheme="minorEastAsia"/>
          <w:color w:val="auto"/>
          <w:szCs w:val="32"/>
        </w:rPr>
        <w:t>。</w:t>
      </w:r>
    </w:p>
    <w:p>
      <w:pPr>
        <w:pStyle w:val="3"/>
        <w:jc w:val="center"/>
        <w:rPr>
          <w:color w:val="auto"/>
        </w:rPr>
      </w:pPr>
      <w:r>
        <w:rPr>
          <w:rFonts w:hint="eastAsia"/>
          <w:color w:val="auto"/>
          <w:lang w:val="en-US" w:eastAsia="zh-CN"/>
        </w:rPr>
        <w:t>4</w:t>
      </w:r>
      <w:r>
        <w:rPr>
          <w:color w:val="auto"/>
        </w:rPr>
        <w:t>.</w:t>
      </w:r>
      <w:r>
        <w:rPr>
          <w:rFonts w:hint="eastAsia"/>
          <w:color w:val="auto"/>
        </w:rPr>
        <w:t>2</w:t>
      </w:r>
      <w:r>
        <w:rPr>
          <w:color w:val="auto"/>
        </w:rPr>
        <w:t xml:space="preserve"> </w:t>
      </w:r>
      <w:r>
        <w:rPr>
          <w:rFonts w:hint="eastAsia"/>
          <w:color w:val="auto"/>
        </w:rPr>
        <w:t>应用</w:t>
      </w:r>
      <w:r>
        <w:rPr>
          <w:color w:val="auto"/>
        </w:rPr>
        <w:t>策划</w:t>
      </w:r>
    </w:p>
    <w:p>
      <w:pPr>
        <w:ind w:firstLine="0" w:firstLineChars="0"/>
        <w:rPr>
          <w:rFonts w:eastAsiaTheme="minorEastAsia"/>
          <w:color w:val="auto"/>
          <w:szCs w:val="32"/>
        </w:rPr>
      </w:pPr>
      <w:r>
        <w:rPr>
          <w:rFonts w:hint="eastAsia" w:eastAsiaTheme="minorEastAsia"/>
          <w:color w:val="auto"/>
          <w:szCs w:val="32"/>
          <w:lang w:eastAsia="zh-CN"/>
        </w:rPr>
        <w:t>4.2.</w:t>
      </w:r>
      <w:r>
        <w:rPr>
          <w:rFonts w:eastAsiaTheme="minorEastAsia"/>
          <w:color w:val="auto"/>
          <w:szCs w:val="32"/>
        </w:rPr>
        <w:t>1</w:t>
      </w:r>
      <w:r>
        <w:rPr>
          <w:rFonts w:hint="eastAsia" w:eastAsiaTheme="minorEastAsia"/>
          <w:color w:val="auto"/>
          <w:szCs w:val="32"/>
          <w:lang w:eastAsia="zh-CN"/>
        </w:rPr>
        <w:t xml:space="preserve">  </w:t>
      </w:r>
      <w:r>
        <w:rPr>
          <w:rFonts w:eastAsiaTheme="minorEastAsia"/>
          <w:color w:val="auto"/>
          <w:szCs w:val="32"/>
        </w:rPr>
        <w:t>模型的阶段性或局部性应用应兼顾模型全</w:t>
      </w:r>
      <w:r>
        <w:rPr>
          <w:rFonts w:hint="eastAsia" w:eastAsiaTheme="minorEastAsia"/>
          <w:color w:val="auto"/>
          <w:szCs w:val="32"/>
        </w:rPr>
        <w:t>生</w:t>
      </w:r>
      <w:r>
        <w:rPr>
          <w:rFonts w:eastAsiaTheme="minorEastAsia"/>
          <w:color w:val="auto"/>
          <w:szCs w:val="32"/>
        </w:rPr>
        <w:t>命期应用需求，</w:t>
      </w:r>
      <w:r>
        <w:rPr>
          <w:rFonts w:hint="eastAsia" w:eastAsiaTheme="minorEastAsia"/>
          <w:color w:val="auto"/>
          <w:szCs w:val="32"/>
        </w:rPr>
        <w:t>将后期需求前置，</w:t>
      </w:r>
      <w:r>
        <w:rPr>
          <w:rFonts w:eastAsiaTheme="minorEastAsia"/>
          <w:color w:val="auto"/>
          <w:szCs w:val="32"/>
        </w:rPr>
        <w:t>最大限度提升模型的应用</w:t>
      </w:r>
      <w:r>
        <w:rPr>
          <w:rFonts w:hint="eastAsia" w:eastAsiaTheme="minorEastAsia"/>
          <w:color w:val="auto"/>
          <w:szCs w:val="32"/>
        </w:rPr>
        <w:t>效率与</w:t>
      </w:r>
      <w:r>
        <w:rPr>
          <w:rFonts w:eastAsiaTheme="minorEastAsia"/>
          <w:color w:val="auto"/>
          <w:szCs w:val="32"/>
        </w:rPr>
        <w:t>价值。</w:t>
      </w:r>
    </w:p>
    <w:p>
      <w:pPr>
        <w:ind w:firstLine="480"/>
        <w:rPr>
          <w:rFonts w:eastAsiaTheme="minorEastAsia"/>
          <w:color w:val="auto"/>
          <w:szCs w:val="32"/>
        </w:rPr>
      </w:pPr>
      <w:r>
        <w:rPr>
          <w:rFonts w:eastAsiaTheme="minorEastAsia"/>
          <w:color w:val="auto"/>
          <w:szCs w:val="32"/>
        </w:rPr>
        <w:t>通过事前策划</w:t>
      </w:r>
      <w:r>
        <w:rPr>
          <w:rFonts w:hint="eastAsia" w:eastAsiaTheme="minorEastAsia"/>
          <w:color w:val="auto"/>
          <w:szCs w:val="32"/>
        </w:rPr>
        <w:t>和综合统筹</w:t>
      </w:r>
      <w:r>
        <w:rPr>
          <w:rFonts w:eastAsiaTheme="minorEastAsia"/>
          <w:color w:val="auto"/>
          <w:szCs w:val="32"/>
        </w:rPr>
        <w:t>，并制定相应的实施计划，项目和项目团队成员可以实现以下价值：</w:t>
      </w:r>
    </w:p>
    <w:p>
      <w:pPr>
        <w:ind w:firstLine="480"/>
        <w:rPr>
          <w:rFonts w:eastAsiaTheme="minorEastAsia"/>
          <w:color w:val="auto"/>
          <w:szCs w:val="32"/>
        </w:rPr>
      </w:pPr>
      <w:r>
        <w:rPr>
          <w:rFonts w:hint="eastAsia" w:eastAsiaTheme="minorEastAsia"/>
          <w:color w:val="auto"/>
          <w:szCs w:val="32"/>
        </w:rPr>
        <w:t>1</w:t>
      </w:r>
      <w:r>
        <w:rPr>
          <w:rFonts w:eastAsiaTheme="minorEastAsia"/>
          <w:color w:val="auto"/>
          <w:szCs w:val="32"/>
        </w:rPr>
        <w:t xml:space="preserve">  各方将清楚地理解并传达在项目中实施BIM的战略目标。</w:t>
      </w:r>
    </w:p>
    <w:p>
      <w:pPr>
        <w:ind w:firstLine="480"/>
        <w:rPr>
          <w:rFonts w:eastAsiaTheme="minorEastAsia"/>
          <w:color w:val="auto"/>
          <w:szCs w:val="32"/>
        </w:rPr>
      </w:pPr>
      <w:r>
        <w:rPr>
          <w:rFonts w:hint="eastAsia" w:eastAsiaTheme="minorEastAsia"/>
          <w:color w:val="auto"/>
          <w:szCs w:val="32"/>
        </w:rPr>
        <w:t>2</w:t>
      </w:r>
      <w:r>
        <w:rPr>
          <w:rFonts w:eastAsiaTheme="minorEastAsia"/>
          <w:color w:val="auto"/>
          <w:szCs w:val="32"/>
        </w:rPr>
        <w:t xml:space="preserve">  组织将了解他们在实施中的作用和责任。</w:t>
      </w:r>
    </w:p>
    <w:p>
      <w:pPr>
        <w:ind w:firstLine="480"/>
        <w:rPr>
          <w:rFonts w:eastAsiaTheme="minorEastAsia"/>
          <w:color w:val="auto"/>
          <w:szCs w:val="32"/>
        </w:rPr>
      </w:pPr>
      <w:r>
        <w:rPr>
          <w:rFonts w:eastAsiaTheme="minorEastAsia"/>
          <w:color w:val="auto"/>
          <w:szCs w:val="32"/>
        </w:rPr>
        <w:t>3 该团队将能够设计一个非常适合每个团队成员的业务实践和典型组织工作流程的执行流程。</w:t>
      </w:r>
    </w:p>
    <w:p>
      <w:pPr>
        <w:ind w:firstLine="480"/>
        <w:rPr>
          <w:rFonts w:eastAsiaTheme="minorEastAsia"/>
          <w:color w:val="auto"/>
          <w:szCs w:val="32"/>
        </w:rPr>
      </w:pPr>
      <w:r>
        <w:rPr>
          <w:rFonts w:eastAsiaTheme="minorEastAsia"/>
          <w:color w:val="auto"/>
          <w:szCs w:val="32"/>
        </w:rPr>
        <w:t>4 该计划将概述成功实施BIM以实现预期用途所需的其他资源，培训或其他能力。</w:t>
      </w:r>
    </w:p>
    <w:p>
      <w:pPr>
        <w:ind w:firstLine="480"/>
        <w:rPr>
          <w:rFonts w:eastAsiaTheme="minorEastAsia"/>
          <w:color w:val="auto"/>
          <w:szCs w:val="32"/>
        </w:rPr>
      </w:pPr>
      <w:r>
        <w:rPr>
          <w:rFonts w:eastAsiaTheme="minorEastAsia"/>
          <w:color w:val="auto"/>
          <w:szCs w:val="32"/>
        </w:rPr>
        <w:t>5 该计划将为向加入该项目的未来参与者描述该过程提供基准。</w:t>
      </w:r>
    </w:p>
    <w:p>
      <w:pPr>
        <w:ind w:firstLine="480"/>
        <w:rPr>
          <w:rFonts w:eastAsiaTheme="minorEastAsia"/>
          <w:color w:val="auto"/>
          <w:szCs w:val="32"/>
        </w:rPr>
      </w:pPr>
      <w:r>
        <w:rPr>
          <w:rFonts w:eastAsiaTheme="minorEastAsia"/>
          <w:color w:val="auto"/>
          <w:szCs w:val="32"/>
        </w:rPr>
        <w:t>6  采购部门将能够定义合同语言，以确保所有项目参与者履行其义务。</w:t>
      </w:r>
    </w:p>
    <w:p>
      <w:pPr>
        <w:ind w:firstLine="480"/>
        <w:rPr>
          <w:rFonts w:eastAsiaTheme="minorEastAsia"/>
          <w:color w:val="auto"/>
          <w:szCs w:val="32"/>
        </w:rPr>
      </w:pPr>
      <w:r>
        <w:rPr>
          <w:rFonts w:eastAsiaTheme="minorEastAsia"/>
          <w:color w:val="auto"/>
          <w:szCs w:val="32"/>
        </w:rPr>
        <w:t>7  基线计划将为衡量整个项目的进展情况提供一个目标。</w:t>
      </w:r>
    </w:p>
    <w:p>
      <w:pPr>
        <w:ind w:firstLine="0" w:firstLineChars="0"/>
        <w:rPr>
          <w:rFonts w:eastAsiaTheme="minorEastAsia"/>
          <w:color w:val="auto"/>
          <w:szCs w:val="32"/>
        </w:rPr>
      </w:pPr>
      <w:r>
        <w:rPr>
          <w:rFonts w:hint="eastAsia" w:eastAsiaTheme="minorEastAsia"/>
          <w:color w:val="auto"/>
          <w:szCs w:val="32"/>
          <w:lang w:eastAsia="zh-CN"/>
        </w:rPr>
        <w:t>4.2.</w:t>
      </w:r>
      <w:r>
        <w:rPr>
          <w:rFonts w:eastAsiaTheme="minorEastAsia"/>
          <w:color w:val="auto"/>
          <w:szCs w:val="32"/>
        </w:rPr>
        <w:t>2</w:t>
      </w:r>
      <w:r>
        <w:rPr>
          <w:rFonts w:hint="eastAsia" w:eastAsiaTheme="minorEastAsia"/>
          <w:color w:val="auto"/>
          <w:szCs w:val="32"/>
          <w:lang w:eastAsia="zh-CN"/>
        </w:rPr>
        <w:t xml:space="preserve">  </w:t>
      </w:r>
      <w:r>
        <w:rPr>
          <w:rFonts w:hint="eastAsia" w:eastAsiaTheme="minorEastAsia"/>
          <w:color w:val="auto"/>
          <w:szCs w:val="32"/>
        </w:rPr>
        <w:t>模型应用总体策划前需对项目数字技术应用进行价值分析与价值挖掘，并将</w:t>
      </w:r>
      <w:r>
        <w:rPr>
          <w:rFonts w:eastAsiaTheme="minorEastAsia"/>
          <w:color w:val="auto"/>
          <w:szCs w:val="32"/>
        </w:rPr>
        <w:t>模型应用策划</w:t>
      </w:r>
      <w:r>
        <w:rPr>
          <w:rFonts w:hint="eastAsia" w:eastAsiaTheme="minorEastAsia"/>
          <w:color w:val="auto"/>
          <w:szCs w:val="32"/>
        </w:rPr>
        <w:t>关键</w:t>
      </w:r>
      <w:r>
        <w:rPr>
          <w:rFonts w:eastAsiaTheme="minorEastAsia"/>
          <w:color w:val="auto"/>
          <w:szCs w:val="32"/>
        </w:rPr>
        <w:t>内容作为项目实施过程中的合同条款要求，以便后期实施过程中得以应用与落实。模型应用目标应明确、可测量、可达成，并且应与项目实施目的相一致。</w:t>
      </w:r>
    </w:p>
    <w:p>
      <w:pPr>
        <w:adjustRightInd w:val="0"/>
        <w:snapToGrid w:val="0"/>
        <w:ind w:firstLine="0" w:firstLineChars="0"/>
        <w:rPr>
          <w:rFonts w:eastAsiaTheme="minorEastAsia"/>
          <w:color w:val="auto"/>
          <w:szCs w:val="32"/>
        </w:rPr>
      </w:pPr>
      <w:r>
        <w:rPr>
          <w:rFonts w:hint="eastAsia" w:eastAsiaTheme="minorEastAsia"/>
          <w:color w:val="auto"/>
          <w:szCs w:val="32"/>
          <w:lang w:eastAsia="zh-CN"/>
        </w:rPr>
        <w:t>4.2.</w:t>
      </w:r>
      <w:r>
        <w:rPr>
          <w:rFonts w:eastAsiaTheme="minorEastAsia"/>
          <w:color w:val="auto"/>
          <w:szCs w:val="32"/>
        </w:rPr>
        <w:t>3</w:t>
      </w:r>
      <w:r>
        <w:rPr>
          <w:rFonts w:hint="eastAsia" w:eastAsiaTheme="minorEastAsia"/>
          <w:color w:val="auto"/>
          <w:szCs w:val="32"/>
          <w:lang w:eastAsia="zh-CN"/>
        </w:rPr>
        <w:t xml:space="preserve">  </w:t>
      </w:r>
      <w:r>
        <w:rPr>
          <w:rFonts w:hint="eastAsia" w:eastAsiaTheme="minorEastAsia"/>
          <w:color w:val="auto"/>
          <w:szCs w:val="32"/>
        </w:rPr>
        <w:t>映射项目业务应用流程需要项目组首先制定一个总体流程图，显示不同的模型应用将如何执行，总体流程图展示了模型应用在项目上的关系。这个流程图还包含了在整个项目生命周期中发生的高层级的信息交换。</w:t>
      </w:r>
    </w:p>
    <w:p>
      <w:pPr>
        <w:adjustRightInd w:val="0"/>
        <w:snapToGrid w:val="0"/>
        <w:ind w:firstLine="0" w:firstLineChars="0"/>
        <w:rPr>
          <w:rFonts w:eastAsiaTheme="minorEastAsia" w:cstheme="minorBidi"/>
          <w:color w:val="auto"/>
        </w:rPr>
      </w:pPr>
      <w:r>
        <w:rPr>
          <w:rFonts w:hint="eastAsia" w:eastAsiaTheme="minorEastAsia"/>
          <w:color w:val="auto"/>
          <w:szCs w:val="32"/>
        </w:rPr>
        <w:t>然后，开发更为详细的模型应用流程图，以更高的细节级别定义具体的模型应用实施。为项目上每个确定的模型应用点创建详细的模型应用流程图，以明确定义要执行的各种流程的顺序。这些流程图还确定了每个流程的责任方、参考信息内容以及将与其他流程创建和共享的信息交换。</w:t>
      </w:r>
    </w:p>
    <w:p>
      <w:pPr>
        <w:adjustRightInd w:val="0"/>
        <w:snapToGrid w:val="0"/>
        <w:ind w:firstLine="0" w:firstLineChars="0"/>
        <w:rPr>
          <w:rFonts w:eastAsiaTheme="minorEastAsia"/>
          <w:color w:val="auto"/>
          <w:szCs w:val="32"/>
        </w:rPr>
      </w:pPr>
      <w:r>
        <w:rPr>
          <w:rFonts w:hint="eastAsia" w:eastAsiaTheme="minorEastAsia"/>
          <w:color w:val="auto"/>
          <w:szCs w:val="32"/>
        </w:rPr>
        <w:t>为了实现这种两级方法，可以采用业务流程建模与标注( Business Process Modeling Notation，BPMN )，以便由各个项目团队成员创建格式一致的流程图。</w:t>
      </w:r>
    </w:p>
    <w:p>
      <w:pPr>
        <w:ind w:firstLine="0" w:firstLineChars="0"/>
        <w:rPr>
          <w:color w:val="auto"/>
        </w:rPr>
      </w:pPr>
      <w:r>
        <w:rPr>
          <w:rFonts w:hint="eastAsia" w:eastAsiaTheme="minorEastAsia"/>
          <w:color w:val="auto"/>
          <w:szCs w:val="32"/>
          <w:lang w:eastAsia="zh-CN"/>
        </w:rPr>
        <w:t>4.2.</w:t>
      </w:r>
      <w:r>
        <w:rPr>
          <w:rFonts w:eastAsiaTheme="minorEastAsia"/>
          <w:color w:val="auto"/>
          <w:szCs w:val="32"/>
        </w:rPr>
        <w:t>4</w:t>
      </w:r>
      <w:r>
        <w:rPr>
          <w:rFonts w:hint="eastAsia" w:eastAsiaTheme="minorEastAsia"/>
          <w:color w:val="auto"/>
          <w:szCs w:val="32"/>
          <w:lang w:eastAsia="zh-CN"/>
        </w:rPr>
        <w:t xml:space="preserve">  </w:t>
      </w:r>
      <w:r>
        <w:rPr>
          <w:rFonts w:hint="eastAsia" w:eastAsiaTheme="minorEastAsia"/>
          <w:color w:val="auto"/>
          <w:szCs w:val="32"/>
        </w:rPr>
        <w:t>规划过程中最重要的步骤之一是通过定义模型</w:t>
      </w:r>
      <w:r>
        <w:rPr>
          <w:rFonts w:eastAsiaTheme="minorEastAsia"/>
          <w:color w:val="auto"/>
          <w:szCs w:val="32"/>
        </w:rPr>
        <w:t>应用</w:t>
      </w:r>
      <w:r>
        <w:rPr>
          <w:rFonts w:hint="eastAsia" w:eastAsiaTheme="minorEastAsia"/>
          <w:color w:val="auto"/>
          <w:szCs w:val="32"/>
        </w:rPr>
        <w:t>实施的总体目标，明确定义模型对项目和项目组成员的潜在价值。</w:t>
      </w:r>
      <w:r>
        <w:rPr>
          <w:rFonts w:eastAsiaTheme="minorEastAsia"/>
          <w:color w:val="auto"/>
          <w:szCs w:val="32"/>
        </w:rPr>
        <w:t>一旦团队从项目和公司的角度</w:t>
      </w:r>
      <w:r>
        <w:rPr>
          <w:rFonts w:hint="eastAsia" w:eastAsiaTheme="minorEastAsia"/>
          <w:color w:val="auto"/>
          <w:szCs w:val="32"/>
        </w:rPr>
        <w:t>明确</w:t>
      </w:r>
      <w:r>
        <w:rPr>
          <w:rFonts w:eastAsiaTheme="minorEastAsia"/>
          <w:color w:val="auto"/>
          <w:szCs w:val="32"/>
        </w:rPr>
        <w:t>了</w:t>
      </w:r>
      <w:r>
        <w:rPr>
          <w:rFonts w:hint="eastAsia" w:eastAsiaTheme="minorEastAsia"/>
          <w:color w:val="auto"/>
          <w:szCs w:val="32"/>
        </w:rPr>
        <w:t>可</w:t>
      </w:r>
      <w:r>
        <w:rPr>
          <w:rFonts w:eastAsiaTheme="minorEastAsia"/>
          <w:color w:val="auto"/>
          <w:szCs w:val="32"/>
        </w:rPr>
        <w:t>量化目标，</w:t>
      </w:r>
      <w:r>
        <w:rPr>
          <w:rFonts w:hint="eastAsia" w:eastAsiaTheme="minorEastAsia"/>
          <w:color w:val="auto"/>
          <w:szCs w:val="32"/>
        </w:rPr>
        <w:t>然后</w:t>
      </w:r>
      <w:r>
        <w:rPr>
          <w:rFonts w:eastAsiaTheme="minorEastAsia"/>
          <w:color w:val="auto"/>
          <w:szCs w:val="32"/>
        </w:rPr>
        <w:t>项目上具体</w:t>
      </w:r>
      <w:r>
        <w:rPr>
          <w:rFonts w:hint="eastAsia" w:eastAsiaTheme="minorEastAsia"/>
          <w:color w:val="auto"/>
          <w:szCs w:val="32"/>
        </w:rPr>
        <w:t>模型应用点就可以被确定了</w:t>
      </w:r>
      <w:r>
        <w:rPr>
          <w:rFonts w:eastAsiaTheme="minorEastAsia"/>
          <w:color w:val="auto"/>
          <w:szCs w:val="32"/>
        </w:rPr>
        <w:t>。确定了模型应用点，便可以绘制执行</w:t>
      </w:r>
      <w:r>
        <w:rPr>
          <w:rFonts w:hint="eastAsia" w:eastAsiaTheme="minorEastAsia"/>
          <w:color w:val="auto"/>
          <w:szCs w:val="32"/>
        </w:rPr>
        <w:t>模型</w:t>
      </w:r>
      <w:r>
        <w:rPr>
          <w:rFonts w:eastAsiaTheme="minorEastAsia"/>
          <w:color w:val="auto"/>
          <w:szCs w:val="32"/>
        </w:rPr>
        <w:t>实施策划过程的流程</w:t>
      </w:r>
      <w:r>
        <w:rPr>
          <w:rFonts w:hint="eastAsia" w:eastAsiaTheme="minorEastAsia"/>
          <w:color w:val="auto"/>
          <w:szCs w:val="32"/>
        </w:rPr>
        <w:t>，并明确</w:t>
      </w:r>
      <w:r>
        <w:rPr>
          <w:rFonts w:eastAsiaTheme="minorEastAsia"/>
          <w:color w:val="auto"/>
          <w:szCs w:val="32"/>
        </w:rPr>
        <w:t>负责每个</w:t>
      </w:r>
      <w:r>
        <w:rPr>
          <w:rFonts w:hint="eastAsia" w:eastAsiaTheme="minorEastAsia"/>
          <w:color w:val="auto"/>
          <w:szCs w:val="32"/>
        </w:rPr>
        <w:t>具体模型应用点</w:t>
      </w:r>
      <w:r>
        <w:rPr>
          <w:rFonts w:eastAsiaTheme="minorEastAsia"/>
          <w:color w:val="auto"/>
          <w:szCs w:val="32"/>
        </w:rPr>
        <w:t>的团队成员选择或设计更详细的流程图。同时明确项目参与者之间将发生的信息交换内容。</w:t>
      </w:r>
      <w:r>
        <w:rPr>
          <w:rFonts w:hint="eastAsia" w:eastAsiaTheme="minorEastAsia"/>
          <w:color w:val="auto"/>
          <w:szCs w:val="32"/>
        </w:rPr>
        <w:t>最后明确支撑模型</w:t>
      </w:r>
      <w:r>
        <w:rPr>
          <w:rFonts w:eastAsiaTheme="minorEastAsia"/>
          <w:color w:val="auto"/>
          <w:szCs w:val="32"/>
        </w:rPr>
        <w:t>应用计划流程所需的基础设施及相关基础工作。</w:t>
      </w:r>
    </w:p>
    <w:p>
      <w:pPr>
        <w:ind w:firstLine="0" w:firstLineChars="0"/>
        <w:rPr>
          <w:b/>
          <w:i/>
          <w:color w:val="auto"/>
        </w:rPr>
      </w:pPr>
    </w:p>
    <w:p>
      <w:pPr>
        <w:pStyle w:val="3"/>
        <w:jc w:val="center"/>
        <w:rPr>
          <w:color w:val="auto"/>
        </w:rPr>
      </w:pPr>
      <w:r>
        <w:rPr>
          <w:rFonts w:hint="eastAsia"/>
          <w:color w:val="auto"/>
          <w:lang w:val="en-US" w:eastAsia="zh-CN"/>
        </w:rPr>
        <w:t>4</w:t>
      </w:r>
      <w:r>
        <w:rPr>
          <w:color w:val="auto"/>
        </w:rPr>
        <w:t>.3</w:t>
      </w:r>
      <w:r>
        <w:rPr>
          <w:rFonts w:hint="eastAsia"/>
          <w:color w:val="auto"/>
        </w:rPr>
        <w:t xml:space="preserve"> 数据环境</w:t>
      </w:r>
    </w:p>
    <w:p>
      <w:pPr>
        <w:ind w:firstLine="0" w:firstLineChars="0"/>
        <w:rPr>
          <w:rFonts w:eastAsiaTheme="minorEastAsia"/>
          <w:color w:val="auto"/>
          <w:szCs w:val="32"/>
        </w:rPr>
      </w:pPr>
      <w:r>
        <w:rPr>
          <w:rFonts w:hint="eastAsia" w:eastAsiaTheme="minorEastAsia"/>
          <w:color w:val="auto"/>
          <w:szCs w:val="32"/>
          <w:lang w:eastAsia="zh-CN"/>
        </w:rPr>
        <w:t>4.3.</w:t>
      </w:r>
      <w:r>
        <w:rPr>
          <w:rFonts w:eastAsiaTheme="minorEastAsia"/>
          <w:color w:val="auto"/>
          <w:szCs w:val="32"/>
        </w:rPr>
        <w:t>1</w:t>
      </w:r>
      <w:r>
        <w:rPr>
          <w:rFonts w:hint="eastAsia" w:eastAsiaTheme="minorEastAsia"/>
          <w:color w:val="auto"/>
          <w:szCs w:val="32"/>
          <w:lang w:eastAsia="zh-CN"/>
        </w:rPr>
        <w:t xml:space="preserve">  </w:t>
      </w:r>
      <w:r>
        <w:rPr>
          <w:rFonts w:hint="eastAsia" w:eastAsiaTheme="minorEastAsia"/>
          <w:color w:val="auto"/>
          <w:szCs w:val="32"/>
        </w:rPr>
        <w:t>实施CDE解决方案和工作流支持整合信息模型时，应考虑允许哪些需要履行职责的人访问其信息。该解决方案可以通过多种方式和使用一系列不同的技术来实现，包括数据标准、协同要求、平台系统以及硬件基础设施等。</w:t>
      </w:r>
    </w:p>
    <w:p>
      <w:pPr>
        <w:ind w:firstLine="0" w:firstLineChars="0"/>
        <w:rPr>
          <w:rFonts w:eastAsiaTheme="minorEastAsia"/>
          <w:color w:val="auto"/>
          <w:szCs w:val="32"/>
        </w:rPr>
      </w:pPr>
      <w:r>
        <w:rPr>
          <w:rFonts w:hint="eastAsia" w:eastAsiaTheme="minorEastAsia"/>
          <w:color w:val="auto"/>
          <w:szCs w:val="32"/>
          <w:lang w:eastAsia="zh-CN"/>
        </w:rPr>
        <w:t>4.3.</w:t>
      </w:r>
      <w:r>
        <w:rPr>
          <w:rFonts w:eastAsiaTheme="minorEastAsia"/>
          <w:color w:val="auto"/>
          <w:szCs w:val="32"/>
        </w:rPr>
        <w:t>2</w:t>
      </w:r>
      <w:r>
        <w:rPr>
          <w:rFonts w:hint="eastAsia" w:eastAsiaTheme="minorEastAsia"/>
          <w:color w:val="auto"/>
          <w:szCs w:val="32"/>
          <w:lang w:eastAsia="zh-CN"/>
        </w:rPr>
        <w:t xml:space="preserve">  </w:t>
      </w:r>
      <w:r>
        <w:rPr>
          <w:rFonts w:hint="eastAsia"/>
          <w:color w:val="auto"/>
        </w:rPr>
        <w:t>C</w:t>
      </w:r>
      <w:r>
        <w:rPr>
          <w:color w:val="auto"/>
        </w:rPr>
        <w:t>DE数据环境</w:t>
      </w:r>
      <w:r>
        <w:rPr>
          <w:rFonts w:hint="eastAsia"/>
          <w:color w:val="auto"/>
        </w:rPr>
        <w:t>中的</w:t>
      </w:r>
      <w:r>
        <w:rPr>
          <w:color w:val="auto"/>
        </w:rPr>
        <w:t>信息容器包括工作过程中、共享、发布及归档几种状态。</w:t>
      </w:r>
      <w:r>
        <w:rPr>
          <w:rFonts w:hint="eastAsia" w:eastAsiaTheme="minorEastAsia"/>
          <w:color w:val="auto"/>
          <w:szCs w:val="32"/>
        </w:rPr>
        <w:t>CDE中每个信息容器的当前版本及发展情况应为</w:t>
      </w:r>
      <w:r>
        <w:rPr>
          <w:rFonts w:eastAsiaTheme="minorEastAsia"/>
          <w:color w:val="auto"/>
          <w:szCs w:val="32"/>
        </w:rPr>
        <w:t>工作过程中、共享、发布</w:t>
      </w:r>
      <w:r>
        <w:rPr>
          <w:rFonts w:hint="eastAsia" w:eastAsiaTheme="minorEastAsia"/>
          <w:color w:val="auto"/>
          <w:szCs w:val="32"/>
        </w:rPr>
        <w:t>三种状态之一</w:t>
      </w:r>
      <w:r>
        <w:rPr>
          <w:rFonts w:eastAsiaTheme="minorEastAsia"/>
          <w:color w:val="auto"/>
          <w:szCs w:val="32"/>
        </w:rPr>
        <w:t>。</w:t>
      </w:r>
      <w:r>
        <w:rPr>
          <w:rFonts w:hint="eastAsia" w:eastAsiaTheme="minorEastAsia"/>
          <w:color w:val="auto"/>
          <w:szCs w:val="32"/>
        </w:rPr>
        <w:t>归档状态用于保存在信息管理过程的共享和发布状态的所有信息容器的日志，以及对其开发过程的审核跟踪。存档状态中有引用标记的信息容器，该信息此前处于“已发布”状态的表示可能已用于更详细的设计工作、施工或资产管理。</w:t>
      </w:r>
    </w:p>
    <w:p>
      <w:pPr>
        <w:adjustRightInd w:val="0"/>
        <w:snapToGrid w:val="0"/>
        <w:ind w:firstLine="0" w:firstLineChars="0"/>
        <w:rPr>
          <w:rFonts w:eastAsiaTheme="minorEastAsia" w:cstheme="minorBidi"/>
          <w:color w:val="auto"/>
        </w:rPr>
      </w:pPr>
      <w:r>
        <w:rPr>
          <w:rFonts w:hint="eastAsia" w:eastAsiaTheme="minorEastAsia"/>
          <w:color w:val="auto"/>
          <w:szCs w:val="32"/>
          <w:lang w:eastAsia="zh-CN"/>
        </w:rPr>
        <w:t>4.3.</w:t>
      </w:r>
      <w:r>
        <w:rPr>
          <w:rFonts w:eastAsiaTheme="minorEastAsia"/>
          <w:color w:val="auto"/>
          <w:szCs w:val="32"/>
        </w:rPr>
        <w:t>3</w:t>
      </w:r>
      <w:r>
        <w:rPr>
          <w:rFonts w:hint="eastAsia" w:eastAsiaTheme="minorEastAsia"/>
          <w:color w:val="auto"/>
          <w:szCs w:val="32"/>
          <w:lang w:eastAsia="zh-CN"/>
        </w:rPr>
        <w:t xml:space="preserve">  </w:t>
      </w:r>
      <w:r>
        <w:rPr>
          <w:rFonts w:hint="eastAsia" w:eastAsiaTheme="minorEastAsia"/>
          <w:color w:val="auto"/>
          <w:szCs w:val="32"/>
        </w:rPr>
        <w:t>元数据最初由其作者标示，然后通过审批和授权程序进行修改。将信息容器用于状态代码所指用途之外的任何地方，都将带来风险。CDE解决方案同时具备管理信息容器属性和元数据的数据库管理能力，以及向参与人员发布更新通知和维护信息处理的审计跟踪的传输能力。</w:t>
      </w:r>
    </w:p>
    <w:p>
      <w:pPr>
        <w:ind w:firstLine="0" w:firstLineChars="0"/>
        <w:rPr>
          <w:rFonts w:eastAsiaTheme="minorEastAsia"/>
          <w:color w:val="auto"/>
          <w:szCs w:val="32"/>
        </w:rPr>
      </w:pPr>
      <w:r>
        <w:rPr>
          <w:rFonts w:hint="eastAsia" w:eastAsiaTheme="minorEastAsia"/>
          <w:color w:val="auto"/>
          <w:szCs w:val="32"/>
          <w:lang w:eastAsia="zh-CN"/>
        </w:rPr>
        <w:t>4.3.</w:t>
      </w:r>
      <w:r>
        <w:rPr>
          <w:rFonts w:eastAsiaTheme="minorEastAsia"/>
          <w:color w:val="auto"/>
          <w:szCs w:val="32"/>
        </w:rPr>
        <w:t>7</w:t>
      </w:r>
      <w:r>
        <w:rPr>
          <w:rFonts w:hint="eastAsia" w:eastAsiaTheme="minorEastAsia"/>
          <w:color w:val="auto"/>
          <w:szCs w:val="32"/>
          <w:lang w:eastAsia="zh-CN"/>
        </w:rPr>
        <w:t xml:space="preserve">  </w:t>
      </w:r>
      <w:r>
        <w:rPr>
          <w:rFonts w:hint="eastAsia" w:eastAsiaTheme="minorEastAsia"/>
          <w:color w:val="auto"/>
          <w:szCs w:val="32"/>
        </w:rPr>
        <w:t>考虑在C</w:t>
      </w:r>
      <w:r>
        <w:rPr>
          <w:rFonts w:eastAsiaTheme="minorEastAsia"/>
          <w:color w:val="auto"/>
          <w:szCs w:val="32"/>
        </w:rPr>
        <w:t>DE数据环境下进行自动信息检查</w:t>
      </w:r>
      <w:r>
        <w:rPr>
          <w:rFonts w:hint="eastAsia" w:eastAsiaTheme="minorEastAsia"/>
          <w:color w:val="auto"/>
          <w:szCs w:val="32"/>
        </w:rPr>
        <w:t>的便捷性</w:t>
      </w:r>
      <w:r>
        <w:rPr>
          <w:rFonts w:eastAsiaTheme="minorEastAsia"/>
          <w:color w:val="auto"/>
          <w:szCs w:val="32"/>
        </w:rPr>
        <w:t>，</w:t>
      </w:r>
      <w:r>
        <w:rPr>
          <w:rFonts w:hint="eastAsia" w:eastAsiaTheme="minorEastAsia"/>
          <w:color w:val="auto"/>
          <w:szCs w:val="32"/>
        </w:rPr>
        <w:t>同时</w:t>
      </w:r>
      <w:r>
        <w:rPr>
          <w:rFonts w:eastAsiaTheme="minorEastAsia"/>
          <w:color w:val="auto"/>
          <w:szCs w:val="32"/>
        </w:rPr>
        <w:t>增强信息质量及模型的协同应用能力。</w:t>
      </w:r>
    </w:p>
    <w:p>
      <w:pPr>
        <w:pStyle w:val="3"/>
        <w:jc w:val="center"/>
        <w:rPr>
          <w:color w:val="auto"/>
        </w:rPr>
      </w:pPr>
      <w:r>
        <w:rPr>
          <w:rFonts w:hint="eastAsia"/>
          <w:color w:val="auto"/>
          <w:lang w:val="en-US" w:eastAsia="zh-CN"/>
        </w:rPr>
        <w:t>4</w:t>
      </w:r>
      <w:r>
        <w:rPr>
          <w:color w:val="auto"/>
        </w:rPr>
        <w:t>.</w:t>
      </w:r>
      <w:r>
        <w:rPr>
          <w:rFonts w:hint="eastAsia"/>
          <w:color w:val="auto"/>
        </w:rPr>
        <w:t>4</w:t>
      </w:r>
      <w:r>
        <w:rPr>
          <w:color w:val="auto"/>
        </w:rPr>
        <w:t xml:space="preserve"> </w:t>
      </w:r>
      <w:r>
        <w:rPr>
          <w:rFonts w:hint="eastAsia"/>
          <w:color w:val="auto"/>
        </w:rPr>
        <w:t>数据互用</w:t>
      </w:r>
    </w:p>
    <w:p>
      <w:pPr>
        <w:ind w:firstLine="0" w:firstLineChars="0"/>
        <w:rPr>
          <w:b/>
          <w:i/>
          <w:color w:val="auto"/>
        </w:rPr>
      </w:pPr>
      <w:r>
        <w:rPr>
          <w:rFonts w:hint="eastAsia" w:eastAsiaTheme="minorEastAsia"/>
          <w:color w:val="auto"/>
          <w:szCs w:val="32"/>
          <w:lang w:eastAsia="zh-CN"/>
        </w:rPr>
        <w:t>4.4.</w:t>
      </w:r>
      <w:r>
        <w:rPr>
          <w:rFonts w:eastAsiaTheme="minorEastAsia"/>
          <w:color w:val="auto"/>
          <w:szCs w:val="32"/>
        </w:rPr>
        <w:t>1</w:t>
      </w:r>
      <w:r>
        <w:rPr>
          <w:rFonts w:hint="eastAsia" w:eastAsiaTheme="minorEastAsia"/>
          <w:color w:val="auto"/>
          <w:szCs w:val="32"/>
          <w:lang w:eastAsia="zh-CN"/>
        </w:rPr>
        <w:t xml:space="preserve">  </w:t>
      </w:r>
      <w:r>
        <w:rPr>
          <w:rFonts w:eastAsiaTheme="minorEastAsia"/>
          <w:color w:val="auto"/>
          <w:szCs w:val="32"/>
        </w:rPr>
        <w:t>符合有关标准要求的城市道路工程各相关方之间模型数据互用协议，是保证顺利实现数据互用的基础。在无相关应用标准参考时，亦可由相关方商定数据互用协议。</w:t>
      </w:r>
    </w:p>
    <w:p>
      <w:pPr>
        <w:ind w:firstLine="0" w:firstLineChars="0"/>
        <w:rPr>
          <w:rFonts w:eastAsiaTheme="minorEastAsia"/>
          <w:color w:val="auto"/>
          <w:szCs w:val="32"/>
        </w:rPr>
      </w:pPr>
      <w:r>
        <w:rPr>
          <w:rFonts w:hint="eastAsia" w:eastAsiaTheme="minorEastAsia"/>
          <w:color w:val="auto"/>
          <w:szCs w:val="32"/>
          <w:lang w:eastAsia="zh-CN"/>
        </w:rPr>
        <w:t>4.4.</w:t>
      </w:r>
      <w:r>
        <w:rPr>
          <w:rFonts w:eastAsiaTheme="minorEastAsia"/>
          <w:color w:val="auto"/>
          <w:szCs w:val="32"/>
        </w:rPr>
        <w:t>4</w:t>
      </w:r>
      <w:r>
        <w:rPr>
          <w:rFonts w:hint="eastAsia" w:eastAsiaTheme="minorEastAsia"/>
          <w:color w:val="auto"/>
          <w:szCs w:val="32"/>
          <w:lang w:eastAsia="zh-CN"/>
        </w:rPr>
        <w:t xml:space="preserve">  </w:t>
      </w:r>
      <w:r>
        <w:rPr>
          <w:rFonts w:hint="eastAsia" w:eastAsiaTheme="minorEastAsia"/>
          <w:color w:val="auto"/>
          <w:szCs w:val="32"/>
        </w:rPr>
        <w:t>模型数据的存储可参考</w:t>
      </w:r>
      <w:r>
        <w:rPr>
          <w:rFonts w:eastAsiaTheme="minorEastAsia"/>
          <w:color w:val="auto"/>
          <w:szCs w:val="32"/>
        </w:rPr>
        <w:t>《</w:t>
      </w:r>
      <w:r>
        <w:rPr>
          <w:rFonts w:hint="eastAsia" w:eastAsiaTheme="minorEastAsia"/>
          <w:color w:val="auto"/>
          <w:szCs w:val="32"/>
        </w:rPr>
        <w:t>建筑工程信息模型存储标准</w:t>
      </w:r>
      <w:r>
        <w:rPr>
          <w:rFonts w:eastAsiaTheme="minorEastAsia"/>
          <w:color w:val="auto"/>
          <w:szCs w:val="32"/>
        </w:rPr>
        <w:t>》</w:t>
      </w:r>
      <w:r>
        <w:rPr>
          <w:rFonts w:hint="eastAsia" w:eastAsiaTheme="minorEastAsia"/>
          <w:color w:val="auto"/>
          <w:szCs w:val="32"/>
        </w:rPr>
        <w:t>G</w:t>
      </w:r>
      <w:r>
        <w:rPr>
          <w:rFonts w:eastAsiaTheme="minorEastAsia"/>
          <w:color w:val="auto"/>
          <w:szCs w:val="32"/>
        </w:rPr>
        <w:t>B/T 51447-2021的规定要求，并宜拓展城市道路工程相关元素与信息对象。</w:t>
      </w:r>
    </w:p>
    <w:p>
      <w:pPr>
        <w:ind w:firstLine="0" w:firstLineChars="0"/>
        <w:rPr>
          <w:rFonts w:eastAsiaTheme="minorEastAsia"/>
          <w:color w:val="auto"/>
          <w:szCs w:val="32"/>
        </w:rPr>
      </w:pPr>
      <w:r>
        <w:rPr>
          <w:rFonts w:hint="eastAsia" w:eastAsiaTheme="minorEastAsia"/>
          <w:color w:val="auto"/>
          <w:szCs w:val="32"/>
          <w:lang w:eastAsia="zh-CN"/>
        </w:rPr>
        <w:t>4.4.</w:t>
      </w:r>
      <w:r>
        <w:rPr>
          <w:rFonts w:eastAsiaTheme="minorEastAsia"/>
          <w:color w:val="auto"/>
          <w:szCs w:val="32"/>
        </w:rPr>
        <w:t>5</w:t>
      </w:r>
      <w:r>
        <w:rPr>
          <w:rFonts w:hint="eastAsia" w:eastAsiaTheme="minorEastAsia"/>
          <w:color w:val="auto"/>
          <w:szCs w:val="32"/>
          <w:lang w:eastAsia="zh-CN"/>
        </w:rPr>
        <w:t xml:space="preserve">  </w:t>
      </w:r>
      <w:r>
        <w:rPr>
          <w:rFonts w:hint="eastAsia" w:eastAsiaTheme="minorEastAsia"/>
          <w:color w:val="auto"/>
          <w:szCs w:val="32"/>
        </w:rPr>
        <w:t>确保数据交换质量管理过程合规性，在信息共享之前，主要是对信息创建者的数据创建质量控制过程；在信息共享后，主要依托数据应用审批的质量控制流程等。</w:t>
      </w:r>
    </w:p>
    <w:p>
      <w:pPr>
        <w:adjustRightInd w:val="0"/>
        <w:snapToGrid w:val="0"/>
        <w:ind w:firstLine="0" w:firstLineChars="0"/>
        <w:rPr>
          <w:rFonts w:eastAsiaTheme="minorEastAsia"/>
          <w:color w:val="auto"/>
          <w:szCs w:val="32"/>
        </w:rPr>
      </w:pPr>
      <w:r>
        <w:rPr>
          <w:rFonts w:hint="eastAsia" w:eastAsiaTheme="minorEastAsia"/>
          <w:color w:val="auto"/>
          <w:szCs w:val="32"/>
          <w:lang w:eastAsia="zh-CN"/>
        </w:rPr>
        <w:t>4.4.</w:t>
      </w:r>
      <w:r>
        <w:rPr>
          <w:rFonts w:eastAsiaTheme="minorEastAsia"/>
          <w:color w:val="auto"/>
          <w:szCs w:val="32"/>
        </w:rPr>
        <w:t>6</w:t>
      </w:r>
      <w:r>
        <w:rPr>
          <w:rFonts w:hint="eastAsia" w:eastAsiaTheme="minorEastAsia"/>
          <w:color w:val="auto"/>
          <w:szCs w:val="32"/>
          <w:lang w:eastAsia="zh-CN"/>
        </w:rPr>
        <w:t xml:space="preserve">  </w:t>
      </w:r>
      <w:r>
        <w:rPr>
          <w:rFonts w:hint="eastAsia" w:eastAsiaTheme="minorEastAsia"/>
          <w:color w:val="auto"/>
          <w:szCs w:val="32"/>
        </w:rPr>
        <w:t>构建C</w:t>
      </w:r>
      <w:r>
        <w:rPr>
          <w:rFonts w:eastAsiaTheme="minorEastAsia"/>
          <w:color w:val="auto"/>
          <w:szCs w:val="32"/>
        </w:rPr>
        <w:t>DE</w:t>
      </w:r>
      <w:r>
        <w:rPr>
          <w:rFonts w:hint="eastAsia" w:eastAsiaTheme="minorEastAsia"/>
          <w:color w:val="auto"/>
          <w:szCs w:val="32"/>
        </w:rPr>
        <w:t>数据</w:t>
      </w:r>
      <w:r>
        <w:rPr>
          <w:rFonts w:eastAsiaTheme="minorEastAsia"/>
          <w:color w:val="auto"/>
          <w:szCs w:val="32"/>
        </w:rPr>
        <w:t>环境，可以</w:t>
      </w:r>
      <w:r>
        <w:rPr>
          <w:rFonts w:hint="eastAsia" w:eastAsiaTheme="minorEastAsia"/>
          <w:color w:val="auto"/>
          <w:szCs w:val="32"/>
        </w:rPr>
        <w:t>有效</w:t>
      </w:r>
      <w:r>
        <w:rPr>
          <w:rFonts w:eastAsiaTheme="minorEastAsia"/>
          <w:color w:val="auto"/>
          <w:szCs w:val="32"/>
        </w:rPr>
        <w:t>提升数据及信息的协同共享效率，提升系统平台的稳定性</w:t>
      </w:r>
      <w:r>
        <w:rPr>
          <w:rFonts w:hint="eastAsia" w:eastAsiaTheme="minorEastAsia"/>
          <w:color w:val="auto"/>
          <w:szCs w:val="32"/>
        </w:rPr>
        <w:t>以及协同能力。</w:t>
      </w:r>
    </w:p>
    <w:p>
      <w:pPr>
        <w:pStyle w:val="3"/>
        <w:jc w:val="center"/>
        <w:rPr>
          <w:color w:val="auto"/>
        </w:rPr>
      </w:pPr>
      <w:r>
        <w:rPr>
          <w:rFonts w:hint="eastAsia"/>
          <w:color w:val="auto"/>
          <w:lang w:val="en-US" w:eastAsia="zh-CN"/>
        </w:rPr>
        <w:t>4</w:t>
      </w:r>
      <w:r>
        <w:rPr>
          <w:color w:val="auto"/>
        </w:rPr>
        <w:t>.</w:t>
      </w:r>
      <w:r>
        <w:rPr>
          <w:rFonts w:hint="eastAsia"/>
          <w:color w:val="auto"/>
        </w:rPr>
        <w:t>5</w:t>
      </w:r>
      <w:r>
        <w:rPr>
          <w:color w:val="auto"/>
        </w:rPr>
        <w:t xml:space="preserve"> </w:t>
      </w:r>
      <w:r>
        <w:rPr>
          <w:rFonts w:hint="eastAsia"/>
          <w:color w:val="auto"/>
        </w:rPr>
        <w:t>数据安全</w:t>
      </w:r>
    </w:p>
    <w:p>
      <w:pPr>
        <w:adjustRightInd w:val="0"/>
        <w:snapToGrid w:val="0"/>
        <w:ind w:firstLine="0" w:firstLineChars="0"/>
        <w:rPr>
          <w:rFonts w:eastAsiaTheme="minorEastAsia"/>
          <w:color w:val="auto"/>
          <w:szCs w:val="32"/>
        </w:rPr>
      </w:pPr>
      <w:r>
        <w:rPr>
          <w:rFonts w:hint="eastAsia" w:eastAsiaTheme="minorEastAsia"/>
          <w:color w:val="auto"/>
          <w:szCs w:val="32"/>
          <w:lang w:eastAsia="zh-CN"/>
        </w:rPr>
        <w:t>4.5.</w:t>
      </w:r>
      <w:r>
        <w:rPr>
          <w:rFonts w:hint="eastAsia" w:eastAsiaTheme="minorEastAsia"/>
          <w:color w:val="auto"/>
          <w:szCs w:val="32"/>
        </w:rPr>
        <w:t>2</w:t>
      </w:r>
      <w:r>
        <w:rPr>
          <w:rFonts w:hint="eastAsia" w:eastAsiaTheme="minorEastAsia"/>
          <w:color w:val="auto"/>
          <w:szCs w:val="32"/>
          <w:lang w:eastAsia="zh-CN"/>
        </w:rPr>
        <w:t xml:space="preserve">  </w:t>
      </w:r>
      <w:r>
        <w:rPr>
          <w:rFonts w:hint="eastAsia" w:eastAsiaTheme="minorEastAsia"/>
          <w:color w:val="auto"/>
          <w:szCs w:val="32"/>
        </w:rPr>
        <w:t>具有安全意识、基于风险的方法可以在城市道路工程建设计划、项目、资产、产品或服务的整个生命周期中应用，无论是计划的还是既有的，其中获取、创建、处理和/或存储敏感信息。有网络需求的数据信息安全应结合国家政策文件中有关网络与信息安全治理要求，从策划、技术、管理等维度进行综合考虑，确保信息安全。</w:t>
      </w:r>
    </w:p>
    <w:p>
      <w:pPr>
        <w:adjustRightInd w:val="0"/>
        <w:snapToGrid w:val="0"/>
        <w:ind w:firstLine="0" w:firstLineChars="0"/>
        <w:rPr>
          <w:rFonts w:eastAsiaTheme="minorEastAsia"/>
          <w:color w:val="auto"/>
          <w:szCs w:val="32"/>
        </w:rPr>
      </w:pPr>
      <w:r>
        <w:rPr>
          <w:rFonts w:hint="eastAsia" w:eastAsiaTheme="minorEastAsia"/>
          <w:color w:val="auto"/>
          <w:szCs w:val="32"/>
          <w:lang w:eastAsia="zh-CN"/>
        </w:rPr>
        <w:t>4.5.</w:t>
      </w:r>
      <w:r>
        <w:rPr>
          <w:rFonts w:hint="eastAsia" w:eastAsiaTheme="minorEastAsia"/>
          <w:color w:val="auto"/>
          <w:szCs w:val="32"/>
        </w:rPr>
        <w:t>3</w:t>
      </w:r>
      <w:r>
        <w:rPr>
          <w:rFonts w:hint="eastAsia" w:eastAsiaTheme="minorEastAsia"/>
          <w:color w:val="auto"/>
          <w:szCs w:val="32"/>
          <w:lang w:eastAsia="zh-CN"/>
        </w:rPr>
        <w:t xml:space="preserve">  </w:t>
      </w:r>
      <w:r>
        <w:rPr>
          <w:rFonts w:hint="eastAsia" w:eastAsiaTheme="minorEastAsia"/>
          <w:color w:val="auto"/>
          <w:szCs w:val="32"/>
        </w:rPr>
        <w:t>首先应明确城市道路工程建设信息的敏感性，其次对数据信息进行合理分类，识别数据信息的敏感性性。在识别敏感信息后，应对敏感信息进行评估并分级，采用相应等级的信息安全措施保障敏感信息的安全。</w:t>
      </w:r>
    </w:p>
    <w:p>
      <w:pPr>
        <w:adjustRightInd w:val="0"/>
        <w:snapToGrid w:val="0"/>
        <w:ind w:firstLine="480"/>
        <w:jc w:val="left"/>
        <w:rPr>
          <w:rFonts w:eastAsiaTheme="minorEastAsia"/>
          <w:color w:val="auto"/>
          <w:szCs w:val="32"/>
        </w:rPr>
      </w:pPr>
      <w:r>
        <w:rPr>
          <w:rFonts w:hint="eastAsia" w:eastAsiaTheme="minorEastAsia"/>
          <w:color w:val="auto"/>
          <w:szCs w:val="32"/>
        </w:rPr>
        <w:t>安全策略的制定和维护，主要包括：</w:t>
      </w:r>
    </w:p>
    <w:p>
      <w:pPr>
        <w:adjustRightInd w:val="0"/>
        <w:snapToGrid w:val="0"/>
        <w:ind w:firstLine="480"/>
        <w:jc w:val="left"/>
        <w:rPr>
          <w:rFonts w:eastAsiaTheme="minorEastAsia"/>
          <w:color w:val="auto"/>
          <w:szCs w:val="32"/>
        </w:rPr>
      </w:pPr>
      <w:r>
        <w:rPr>
          <w:rFonts w:eastAsiaTheme="minorEastAsia"/>
          <w:color w:val="auto"/>
          <w:szCs w:val="32"/>
        </w:rPr>
        <w:t xml:space="preserve">1 </w:t>
      </w:r>
      <w:r>
        <w:rPr>
          <w:rFonts w:hint="eastAsia" w:eastAsiaTheme="minorEastAsia"/>
          <w:color w:val="auto"/>
          <w:szCs w:val="32"/>
        </w:rPr>
        <w:t>安全分类流程应用的结果记录；</w:t>
      </w:r>
    </w:p>
    <w:p>
      <w:pPr>
        <w:adjustRightInd w:val="0"/>
        <w:snapToGrid w:val="0"/>
        <w:ind w:firstLine="480"/>
        <w:jc w:val="left"/>
        <w:rPr>
          <w:rFonts w:eastAsiaTheme="minorEastAsia"/>
          <w:color w:val="auto"/>
          <w:szCs w:val="32"/>
        </w:rPr>
      </w:pPr>
      <w:r>
        <w:rPr>
          <w:rFonts w:eastAsiaTheme="minorEastAsia"/>
          <w:color w:val="auto"/>
          <w:szCs w:val="32"/>
        </w:rPr>
        <w:t xml:space="preserve">2 </w:t>
      </w:r>
      <w:r>
        <w:rPr>
          <w:rFonts w:hint="eastAsia" w:eastAsiaTheme="minorEastAsia"/>
          <w:color w:val="auto"/>
          <w:szCs w:val="32"/>
        </w:rPr>
        <w:t>对安全思想方法的治理、问责制和责任安排；</w:t>
      </w:r>
    </w:p>
    <w:p>
      <w:pPr>
        <w:adjustRightInd w:val="0"/>
        <w:snapToGrid w:val="0"/>
        <w:ind w:firstLine="480"/>
        <w:jc w:val="left"/>
        <w:rPr>
          <w:rFonts w:eastAsiaTheme="minorEastAsia"/>
          <w:color w:val="auto"/>
          <w:szCs w:val="32"/>
        </w:rPr>
      </w:pPr>
      <w:r>
        <w:rPr>
          <w:rFonts w:eastAsiaTheme="minorEastAsia"/>
          <w:color w:val="auto"/>
          <w:szCs w:val="32"/>
        </w:rPr>
        <w:t xml:space="preserve">3 </w:t>
      </w:r>
      <w:r>
        <w:rPr>
          <w:rFonts w:hint="eastAsia" w:eastAsiaTheme="minorEastAsia"/>
          <w:color w:val="auto"/>
          <w:szCs w:val="32"/>
        </w:rPr>
        <w:t>模型集成与对基于技术系统的日益依赖导致的具体安全风险；</w:t>
      </w:r>
    </w:p>
    <w:p>
      <w:pPr>
        <w:adjustRightInd w:val="0"/>
        <w:snapToGrid w:val="0"/>
        <w:ind w:firstLine="480"/>
        <w:jc w:val="left"/>
        <w:rPr>
          <w:rFonts w:eastAsiaTheme="minorEastAsia"/>
          <w:color w:val="auto"/>
          <w:szCs w:val="32"/>
        </w:rPr>
      </w:pPr>
      <w:r>
        <w:rPr>
          <w:rFonts w:eastAsiaTheme="minorEastAsia"/>
          <w:color w:val="auto"/>
          <w:szCs w:val="32"/>
        </w:rPr>
        <w:t xml:space="preserve">4 </w:t>
      </w:r>
      <w:r>
        <w:rPr>
          <w:rFonts w:hint="eastAsia" w:eastAsiaTheme="minorEastAsia"/>
          <w:color w:val="auto"/>
          <w:szCs w:val="32"/>
        </w:rPr>
        <w:t>应对这些安全风险的潜在风险缓解措施和待实施的缓解措施；</w:t>
      </w:r>
    </w:p>
    <w:p>
      <w:pPr>
        <w:adjustRightInd w:val="0"/>
        <w:snapToGrid w:val="0"/>
        <w:ind w:firstLine="480"/>
        <w:jc w:val="left"/>
        <w:rPr>
          <w:rFonts w:eastAsiaTheme="minorEastAsia"/>
          <w:color w:val="auto"/>
          <w:szCs w:val="32"/>
        </w:rPr>
      </w:pPr>
      <w:r>
        <w:rPr>
          <w:rFonts w:eastAsiaTheme="minorEastAsia"/>
          <w:color w:val="auto"/>
          <w:szCs w:val="32"/>
        </w:rPr>
        <w:t xml:space="preserve">5 </w:t>
      </w:r>
      <w:r>
        <w:rPr>
          <w:rFonts w:hint="eastAsia" w:eastAsiaTheme="minorEastAsia"/>
          <w:color w:val="auto"/>
          <w:szCs w:val="32"/>
        </w:rPr>
        <w:t>容忍安全风险和剩余容忍安全风险总结；</w:t>
      </w:r>
    </w:p>
    <w:p>
      <w:pPr>
        <w:adjustRightInd w:val="0"/>
        <w:snapToGrid w:val="0"/>
        <w:ind w:firstLine="480"/>
        <w:jc w:val="left"/>
        <w:rPr>
          <w:rFonts w:eastAsiaTheme="minorEastAsia"/>
          <w:color w:val="auto"/>
          <w:szCs w:val="32"/>
        </w:rPr>
      </w:pPr>
      <w:r>
        <w:rPr>
          <w:rFonts w:eastAsiaTheme="minorEastAsia"/>
          <w:color w:val="auto"/>
          <w:szCs w:val="32"/>
        </w:rPr>
        <w:t xml:space="preserve">6 </w:t>
      </w:r>
      <w:r>
        <w:rPr>
          <w:rFonts w:hint="eastAsia" w:eastAsiaTheme="minorEastAsia"/>
          <w:color w:val="auto"/>
          <w:szCs w:val="32"/>
        </w:rPr>
        <w:t>审查和更新安全策略的机制。</w:t>
      </w:r>
    </w:p>
    <w:p>
      <w:pPr>
        <w:adjustRightInd w:val="0"/>
        <w:snapToGrid w:val="0"/>
        <w:ind w:firstLine="0" w:firstLineChars="0"/>
        <w:rPr>
          <w:rFonts w:eastAsiaTheme="minorEastAsia"/>
          <w:color w:val="auto"/>
          <w:szCs w:val="32"/>
        </w:rPr>
      </w:pPr>
      <w:r>
        <w:rPr>
          <w:rFonts w:hint="eastAsia" w:eastAsiaTheme="minorEastAsia"/>
          <w:color w:val="auto"/>
          <w:szCs w:val="32"/>
          <w:lang w:eastAsia="zh-CN"/>
        </w:rPr>
        <w:t>4.5.</w:t>
      </w:r>
      <w:r>
        <w:rPr>
          <w:rFonts w:hint="eastAsia" w:eastAsiaTheme="minorEastAsia"/>
          <w:color w:val="auto"/>
          <w:szCs w:val="32"/>
        </w:rPr>
        <w:t>4</w:t>
      </w:r>
      <w:r>
        <w:rPr>
          <w:rFonts w:hint="eastAsia" w:eastAsiaTheme="minorEastAsia"/>
          <w:color w:val="auto"/>
          <w:szCs w:val="32"/>
          <w:lang w:eastAsia="zh-CN"/>
        </w:rPr>
        <w:t xml:space="preserve">  </w:t>
      </w:r>
      <w:r>
        <w:rPr>
          <w:rFonts w:hint="eastAsia" w:eastAsiaTheme="minorEastAsia"/>
          <w:color w:val="auto"/>
          <w:szCs w:val="32"/>
        </w:rPr>
        <w:t>数据信息安全机制包括管理模型数据信息安全的整体策略和防范安全风险的缓解措施等。</w:t>
      </w:r>
    </w:p>
    <w:p>
      <w:pPr>
        <w:adjustRightInd w:val="0"/>
        <w:snapToGrid w:val="0"/>
        <w:ind w:firstLine="0" w:firstLineChars="0"/>
        <w:rPr>
          <w:rFonts w:eastAsiaTheme="minorEastAsia"/>
          <w:color w:val="auto"/>
          <w:szCs w:val="32"/>
        </w:rPr>
      </w:pPr>
      <w:r>
        <w:rPr>
          <w:rFonts w:hint="eastAsia" w:eastAsiaTheme="minorEastAsia"/>
          <w:color w:val="auto"/>
          <w:szCs w:val="32"/>
          <w:lang w:eastAsia="zh-CN"/>
        </w:rPr>
        <w:t>4.5.</w:t>
      </w:r>
      <w:r>
        <w:rPr>
          <w:rFonts w:hint="eastAsia" w:eastAsiaTheme="minorEastAsia"/>
          <w:color w:val="auto"/>
          <w:szCs w:val="32"/>
        </w:rPr>
        <w:t>5</w:t>
      </w:r>
      <w:r>
        <w:rPr>
          <w:rFonts w:hint="eastAsia" w:eastAsiaTheme="minorEastAsia"/>
          <w:color w:val="auto"/>
          <w:szCs w:val="32"/>
          <w:lang w:eastAsia="zh-CN"/>
        </w:rPr>
        <w:t xml:space="preserve">  </w:t>
      </w:r>
      <w:r>
        <w:rPr>
          <w:rFonts w:hint="eastAsia" w:eastAsiaTheme="minorEastAsia"/>
          <w:color w:val="auto"/>
          <w:szCs w:val="32"/>
        </w:rPr>
        <w:t>通过评估，明确可能产生的具体安全风险，并对应采取相应的安全缓解措施。实施安全缓解措施后，需评估措施的有效性及其残余安全风险是否可接受，直至安全风险可接受为止。</w:t>
      </w:r>
    </w:p>
    <w:p>
      <w:pPr>
        <w:ind w:firstLine="0" w:firstLineChars="0"/>
        <w:rPr>
          <w:b/>
          <w:i/>
          <w:color w:val="auto"/>
        </w:rPr>
      </w:pPr>
      <w:r>
        <w:rPr>
          <w:rFonts w:hint="eastAsia" w:eastAsiaTheme="minorEastAsia"/>
          <w:color w:val="auto"/>
          <w:szCs w:val="32"/>
          <w:lang w:eastAsia="zh-CN"/>
        </w:rPr>
        <w:t>4.5.</w:t>
      </w:r>
      <w:r>
        <w:rPr>
          <w:rFonts w:hint="eastAsia" w:eastAsiaTheme="minorEastAsia"/>
          <w:color w:val="auto"/>
          <w:szCs w:val="32"/>
        </w:rPr>
        <w:t>6</w:t>
      </w:r>
      <w:r>
        <w:rPr>
          <w:rFonts w:hint="eastAsia" w:eastAsiaTheme="minorEastAsia"/>
          <w:color w:val="auto"/>
          <w:szCs w:val="32"/>
          <w:lang w:eastAsia="zh-CN"/>
        </w:rPr>
        <w:t xml:space="preserve">  </w:t>
      </w:r>
      <w:r>
        <w:rPr>
          <w:rFonts w:eastAsiaTheme="minorEastAsia"/>
          <w:color w:val="auto"/>
          <w:szCs w:val="32"/>
        </w:rPr>
        <w:t>模型包含比</w:t>
      </w:r>
      <w:r>
        <w:rPr>
          <w:rFonts w:hint="eastAsia" w:eastAsiaTheme="minorEastAsia"/>
          <w:color w:val="auto"/>
          <w:szCs w:val="32"/>
        </w:rPr>
        <w:t>C</w:t>
      </w:r>
      <w:r>
        <w:rPr>
          <w:rFonts w:eastAsiaTheme="minorEastAsia"/>
          <w:color w:val="auto"/>
          <w:szCs w:val="32"/>
        </w:rPr>
        <w:t>AD更丰富的数据，而且模型数据也无法像</w:t>
      </w:r>
      <w:r>
        <w:rPr>
          <w:rFonts w:hint="eastAsia" w:eastAsiaTheme="minorEastAsia"/>
          <w:color w:val="auto"/>
          <w:szCs w:val="32"/>
        </w:rPr>
        <w:t>C</w:t>
      </w:r>
      <w:r>
        <w:rPr>
          <w:rFonts w:eastAsiaTheme="minorEastAsia"/>
          <w:color w:val="auto"/>
          <w:szCs w:val="32"/>
        </w:rPr>
        <w:t>AD数据一样进行硬拷贝保存，数字形式是模型数据的唯一保存形式。因此，模型数据的安全性问题比</w:t>
      </w:r>
      <w:r>
        <w:rPr>
          <w:rFonts w:hint="eastAsia" w:eastAsiaTheme="minorEastAsia"/>
          <w:color w:val="auto"/>
          <w:szCs w:val="32"/>
        </w:rPr>
        <w:t>C</w:t>
      </w:r>
      <w:r>
        <w:rPr>
          <w:rFonts w:eastAsiaTheme="minorEastAsia"/>
          <w:color w:val="auto"/>
          <w:szCs w:val="32"/>
        </w:rPr>
        <w:t>AD数据的安全性问题更复杂，需要有切实可行的措施保证数据安全，包括存储介质安全、访问权限安全、数据发布安全等。</w:t>
      </w:r>
    </w:p>
    <w:p>
      <w:pPr>
        <w:pStyle w:val="3"/>
        <w:jc w:val="center"/>
        <w:rPr>
          <w:color w:val="auto"/>
        </w:rPr>
      </w:pPr>
      <w:r>
        <w:rPr>
          <w:rFonts w:hint="eastAsia"/>
          <w:color w:val="auto"/>
        </w:rPr>
        <w:t>4</w:t>
      </w:r>
      <w:r>
        <w:rPr>
          <w:color w:val="auto"/>
        </w:rPr>
        <w:t>.</w:t>
      </w:r>
      <w:r>
        <w:rPr>
          <w:rFonts w:hint="eastAsia"/>
          <w:color w:val="auto"/>
          <w:lang w:val="en-US" w:eastAsia="zh-CN"/>
        </w:rPr>
        <w:t>6</w:t>
      </w:r>
      <w:r>
        <w:rPr>
          <w:color w:val="auto"/>
        </w:rPr>
        <w:t xml:space="preserve"> </w:t>
      </w:r>
      <w:r>
        <w:rPr>
          <w:rFonts w:hint="eastAsia"/>
          <w:color w:val="auto"/>
        </w:rPr>
        <w:t>模型创建</w:t>
      </w:r>
    </w:p>
    <w:p>
      <w:pPr>
        <w:ind w:firstLine="0" w:firstLineChars="0"/>
        <w:rPr>
          <w:rFonts w:eastAsiaTheme="minorEastAsia"/>
          <w:color w:val="auto"/>
          <w:szCs w:val="32"/>
        </w:rPr>
      </w:pPr>
      <w:r>
        <w:rPr>
          <w:rFonts w:hint="eastAsia" w:eastAsiaTheme="minorEastAsia"/>
          <w:color w:val="auto"/>
          <w:szCs w:val="32"/>
          <w:lang w:eastAsia="zh-CN"/>
        </w:rPr>
        <w:t>4.</w:t>
      </w:r>
      <w:r>
        <w:rPr>
          <w:rFonts w:hint="eastAsia" w:eastAsiaTheme="minorEastAsia"/>
          <w:color w:val="auto"/>
          <w:szCs w:val="32"/>
          <w:lang w:val="en-US" w:eastAsia="zh-CN"/>
        </w:rPr>
        <w:t>6</w:t>
      </w:r>
      <w:r>
        <w:rPr>
          <w:rFonts w:hint="eastAsia" w:eastAsiaTheme="minorEastAsia"/>
          <w:color w:val="auto"/>
          <w:szCs w:val="32"/>
          <w:lang w:eastAsia="zh-CN"/>
        </w:rPr>
        <w:t>.</w:t>
      </w:r>
      <w:r>
        <w:rPr>
          <w:rFonts w:hint="eastAsia" w:eastAsiaTheme="minorEastAsia"/>
          <w:color w:val="auto"/>
          <w:szCs w:val="32"/>
        </w:rPr>
        <w:t xml:space="preserve">1 </w:t>
      </w:r>
      <w:r>
        <w:rPr>
          <w:rFonts w:hint="eastAsia" w:eastAsiaTheme="minorEastAsia"/>
          <w:color w:val="auto"/>
          <w:szCs w:val="32"/>
          <w:lang w:eastAsia="zh-CN"/>
        </w:rPr>
        <w:t xml:space="preserve">  </w:t>
      </w:r>
      <w:r>
        <w:rPr>
          <w:rFonts w:eastAsiaTheme="minorEastAsia"/>
          <w:color w:val="auto"/>
          <w:szCs w:val="32"/>
        </w:rPr>
        <w:t>模型创建前，应根据</w:t>
      </w:r>
      <w:r>
        <w:rPr>
          <w:rFonts w:hint="eastAsia" w:eastAsiaTheme="minorEastAsia"/>
          <w:color w:val="auto"/>
          <w:szCs w:val="32"/>
        </w:rPr>
        <w:t>工程建设项目</w:t>
      </w:r>
      <w:r>
        <w:rPr>
          <w:rFonts w:eastAsiaTheme="minorEastAsia"/>
          <w:color w:val="auto"/>
          <w:szCs w:val="32"/>
        </w:rPr>
        <w:t>不同阶段、专业、任务的需求，对模型及子模型进行总体规划。</w:t>
      </w:r>
      <w:r>
        <w:rPr>
          <w:rFonts w:hint="eastAsia" w:eastAsiaTheme="minorEastAsia"/>
          <w:color w:val="auto"/>
          <w:szCs w:val="32"/>
        </w:rPr>
        <w:t>统一</w:t>
      </w:r>
      <w:r>
        <w:rPr>
          <w:rFonts w:eastAsiaTheme="minorEastAsia"/>
          <w:color w:val="auto"/>
          <w:szCs w:val="32"/>
        </w:rPr>
        <w:t>模型构架是指模型创建时，统筹模型各阶段、各参与方、各模型应用点等需求，搭建一个易于各专业之间以及各参与方之间的协同应用、易于拓展、便于管理的模型框架。对不同类型和内容的模型数据，宜进行统一管理和维护。对于大模型的拆分，应进行系统规划与管理，便于模型的操作及其可实施性。</w:t>
      </w:r>
    </w:p>
    <w:p>
      <w:pPr>
        <w:ind w:firstLine="0" w:firstLineChars="0"/>
        <w:rPr>
          <w:rFonts w:eastAsiaTheme="minorEastAsia"/>
          <w:color w:val="auto"/>
          <w:szCs w:val="32"/>
        </w:rPr>
      </w:pPr>
      <w:r>
        <w:rPr>
          <w:rFonts w:hint="eastAsia" w:eastAsiaTheme="minorEastAsia"/>
          <w:color w:val="auto"/>
          <w:szCs w:val="32"/>
          <w:lang w:eastAsia="zh-CN"/>
        </w:rPr>
        <w:t>4.6.</w:t>
      </w:r>
      <w:r>
        <w:rPr>
          <w:rFonts w:hint="eastAsia" w:eastAsiaTheme="minorEastAsia"/>
          <w:color w:val="auto"/>
          <w:szCs w:val="32"/>
        </w:rPr>
        <w:t xml:space="preserve">2 </w:t>
      </w:r>
      <w:r>
        <w:rPr>
          <w:rFonts w:hint="eastAsia" w:eastAsiaTheme="minorEastAsia"/>
          <w:color w:val="auto"/>
          <w:szCs w:val="32"/>
          <w:lang w:eastAsia="zh-CN"/>
        </w:rPr>
        <w:t xml:space="preserve">  </w:t>
      </w:r>
      <w:r>
        <w:rPr>
          <w:rFonts w:eastAsiaTheme="minorEastAsia"/>
          <w:color w:val="auto"/>
          <w:szCs w:val="32"/>
        </w:rPr>
        <w:t>模型可采用集成方式创建，也可采用分散方式创建。</w:t>
      </w:r>
      <w:r>
        <w:rPr>
          <w:rFonts w:hint="eastAsia" w:eastAsiaTheme="minorEastAsia"/>
          <w:color w:val="auto"/>
          <w:szCs w:val="32"/>
        </w:rPr>
        <w:t>统一</w:t>
      </w:r>
      <w:r>
        <w:rPr>
          <w:rFonts w:eastAsiaTheme="minorEastAsia"/>
          <w:color w:val="auto"/>
          <w:szCs w:val="32"/>
        </w:rPr>
        <w:t>模型</w:t>
      </w:r>
      <w:r>
        <w:rPr>
          <w:rFonts w:hint="eastAsia" w:eastAsiaTheme="minorEastAsia"/>
          <w:color w:val="auto"/>
          <w:szCs w:val="32"/>
        </w:rPr>
        <w:t>结构应</w:t>
      </w:r>
      <w:r>
        <w:rPr>
          <w:rFonts w:eastAsiaTheme="minorEastAsia"/>
          <w:color w:val="auto"/>
          <w:szCs w:val="32"/>
        </w:rPr>
        <w:t>具备对子模型的创建与应用的统筹拓展能力，同时也应具备对外部子模型的整合能力。</w:t>
      </w:r>
    </w:p>
    <w:p>
      <w:pPr>
        <w:ind w:firstLine="0" w:firstLineChars="0"/>
        <w:rPr>
          <w:color w:val="auto"/>
        </w:rPr>
      </w:pPr>
      <w:r>
        <w:rPr>
          <w:rFonts w:hint="eastAsia" w:eastAsiaTheme="minorEastAsia"/>
          <w:color w:val="auto"/>
          <w:szCs w:val="32"/>
          <w:lang w:eastAsia="zh-CN"/>
        </w:rPr>
        <w:t>4.6.</w:t>
      </w:r>
      <w:r>
        <w:rPr>
          <w:rFonts w:hint="eastAsia" w:eastAsiaTheme="minorEastAsia"/>
          <w:color w:val="auto"/>
          <w:szCs w:val="32"/>
        </w:rPr>
        <w:t xml:space="preserve">3 </w:t>
      </w:r>
      <w:r>
        <w:rPr>
          <w:rFonts w:hint="eastAsia" w:eastAsiaTheme="minorEastAsia"/>
          <w:color w:val="auto"/>
          <w:szCs w:val="32"/>
          <w:lang w:eastAsia="zh-CN"/>
        </w:rPr>
        <w:t xml:space="preserve">  </w:t>
      </w:r>
      <w:r>
        <w:rPr>
          <w:rFonts w:eastAsiaTheme="minorEastAsia"/>
          <w:color w:val="auto"/>
          <w:szCs w:val="32"/>
        </w:rPr>
        <w:t>保持模型扩展前后模型结构的一致性，是保障模型在城市道路工程全生命期不同阶段、不同专业和任务以及不同参与方协同应用的必要条件之一。</w:t>
      </w:r>
    </w:p>
    <w:p>
      <w:pPr>
        <w:ind w:firstLine="0" w:firstLineChars="0"/>
        <w:rPr>
          <w:rFonts w:eastAsiaTheme="minorEastAsia"/>
          <w:color w:val="auto"/>
          <w:szCs w:val="32"/>
        </w:rPr>
      </w:pPr>
      <w:r>
        <w:rPr>
          <w:rFonts w:hint="eastAsia" w:eastAsiaTheme="minorEastAsia"/>
          <w:color w:val="auto"/>
          <w:szCs w:val="32"/>
          <w:lang w:eastAsia="zh-CN"/>
        </w:rPr>
        <w:t>4.6.</w:t>
      </w:r>
      <w:r>
        <w:rPr>
          <w:rFonts w:hint="eastAsia" w:eastAsiaTheme="minorEastAsia"/>
          <w:color w:val="auto"/>
          <w:szCs w:val="32"/>
        </w:rPr>
        <w:t xml:space="preserve">4 </w:t>
      </w:r>
      <w:r>
        <w:rPr>
          <w:rFonts w:hint="eastAsia" w:eastAsiaTheme="minorEastAsia"/>
          <w:color w:val="auto"/>
          <w:szCs w:val="32"/>
          <w:lang w:eastAsia="zh-CN"/>
        </w:rPr>
        <w:t xml:space="preserve">  </w:t>
      </w:r>
      <w:r>
        <w:rPr>
          <w:rFonts w:hint="eastAsia" w:eastAsiaTheme="minorEastAsia"/>
          <w:color w:val="auto"/>
          <w:szCs w:val="32"/>
        </w:rPr>
        <w:t>不同</w:t>
      </w:r>
      <w:r>
        <w:rPr>
          <w:rFonts w:eastAsiaTheme="minorEastAsia"/>
          <w:color w:val="auto"/>
          <w:szCs w:val="32"/>
        </w:rPr>
        <w:t>类型与内容的模型创建宜采用数据格式相同或兼容的软件。当采用数据格式不兼容的软件时，应能通过数据转换标准或工具实现数据互用。采用不同方式创建的模型之间应具有协调一致性。模型及其交付物的命名应简明且易于辨识。</w:t>
      </w:r>
    </w:p>
    <w:p>
      <w:pPr>
        <w:ind w:firstLine="0" w:firstLineChars="0"/>
        <w:rPr>
          <w:rFonts w:eastAsiaTheme="minorEastAsia"/>
          <w:color w:val="auto"/>
          <w:szCs w:val="32"/>
        </w:rPr>
      </w:pPr>
      <w:r>
        <w:rPr>
          <w:rFonts w:hint="eastAsia" w:eastAsiaTheme="minorEastAsia"/>
          <w:color w:val="auto"/>
          <w:szCs w:val="32"/>
          <w:lang w:eastAsia="zh-CN"/>
        </w:rPr>
        <w:t>4.6.</w:t>
      </w:r>
      <w:r>
        <w:rPr>
          <w:rFonts w:hint="eastAsia" w:eastAsiaTheme="minorEastAsia"/>
          <w:color w:val="auto"/>
          <w:szCs w:val="32"/>
        </w:rPr>
        <w:t xml:space="preserve">5 </w:t>
      </w:r>
      <w:r>
        <w:rPr>
          <w:rFonts w:hint="eastAsia" w:eastAsiaTheme="minorEastAsia"/>
          <w:color w:val="auto"/>
          <w:szCs w:val="32"/>
          <w:lang w:eastAsia="zh-CN"/>
        </w:rPr>
        <w:t xml:space="preserve">  </w:t>
      </w:r>
      <w:r>
        <w:rPr>
          <w:rFonts w:eastAsiaTheme="minorEastAsia"/>
          <w:color w:val="auto"/>
          <w:szCs w:val="32"/>
        </w:rPr>
        <w:t>模型应用过程中经常会涉及大量的数据信息交换，只有保证所有获取信息的唯一性与一致性，才能确保模型数据的正确应用。不同来源的同一模型数据的唯一性可有效减少数据冗余，是城市道路工程全生命期海量模型数据管理的重要条件。采用不同方式表达的模型数据的一致性可避免数据差异和逻辑矛盾，是城市道路工程全生命期各阶段、各任务、各相关参与方模型信息共享和数据互用的基本保证。</w:t>
      </w:r>
    </w:p>
    <w:p>
      <w:pPr>
        <w:ind w:firstLine="0" w:firstLineChars="0"/>
        <w:rPr>
          <w:color w:val="auto"/>
        </w:rPr>
      </w:pPr>
      <w:r>
        <w:rPr>
          <w:rFonts w:eastAsiaTheme="minorEastAsia"/>
          <w:color w:val="auto"/>
          <w:szCs w:val="32"/>
        </w:rPr>
        <w:t>共享模型元素在城市道路工程全生命期内能够被唯一识别是模型共享和数据互用的必要条件，可以通过设置模型元素的唯一标识属性来实现。</w:t>
      </w:r>
    </w:p>
    <w:p>
      <w:pPr>
        <w:ind w:firstLine="0" w:firstLineChars="0"/>
        <w:rPr>
          <w:rFonts w:eastAsiaTheme="minorEastAsia"/>
          <w:color w:val="auto"/>
          <w:szCs w:val="32"/>
        </w:rPr>
      </w:pPr>
      <w:r>
        <w:rPr>
          <w:rFonts w:hint="eastAsia" w:eastAsiaTheme="minorEastAsia"/>
          <w:color w:val="auto"/>
          <w:szCs w:val="32"/>
          <w:lang w:eastAsia="zh-CN"/>
        </w:rPr>
        <w:t>4.6.</w:t>
      </w:r>
      <w:r>
        <w:rPr>
          <w:rFonts w:hint="eastAsia" w:eastAsiaTheme="minorEastAsia"/>
          <w:color w:val="auto"/>
          <w:szCs w:val="32"/>
        </w:rPr>
        <w:t>6</w:t>
      </w:r>
      <w:r>
        <w:rPr>
          <w:rFonts w:hint="eastAsia" w:eastAsiaTheme="minorEastAsia"/>
          <w:color w:val="auto"/>
          <w:szCs w:val="32"/>
          <w:lang w:eastAsia="zh-CN"/>
        </w:rPr>
        <w:t xml:space="preserve">  </w:t>
      </w:r>
      <w:r>
        <w:rPr>
          <w:rFonts w:hint="eastAsia" w:eastAsiaTheme="minorEastAsia"/>
          <w:color w:val="auto"/>
          <w:szCs w:val="32"/>
        </w:rPr>
        <w:t>版本控制宜在命名字段中标识</w:t>
      </w:r>
      <w:r>
        <w:rPr>
          <w:rFonts w:eastAsiaTheme="minorEastAsia"/>
          <w:color w:val="auto"/>
          <w:szCs w:val="32"/>
        </w:rPr>
        <w:t>。模型</w:t>
      </w:r>
      <w:r>
        <w:rPr>
          <w:rFonts w:hint="eastAsia" w:eastAsiaTheme="minorEastAsia"/>
          <w:color w:val="auto"/>
          <w:szCs w:val="32"/>
        </w:rPr>
        <w:t>更新</w:t>
      </w:r>
      <w:r>
        <w:rPr>
          <w:rFonts w:eastAsiaTheme="minorEastAsia"/>
          <w:color w:val="auto"/>
          <w:szCs w:val="32"/>
        </w:rPr>
        <w:t>及交付物的代码及类别、命名、版本管理原则与要求可参考《建筑信息模型设计交付标准》</w:t>
      </w:r>
      <w:r>
        <w:rPr>
          <w:rFonts w:hint="eastAsia" w:eastAsiaTheme="minorEastAsia"/>
          <w:color w:val="auto"/>
          <w:szCs w:val="32"/>
        </w:rPr>
        <w:t>G</w:t>
      </w:r>
      <w:r>
        <w:rPr>
          <w:rFonts w:eastAsiaTheme="minorEastAsia"/>
          <w:color w:val="auto"/>
          <w:szCs w:val="32"/>
        </w:rPr>
        <w:t>B/T 51301中的规定。</w:t>
      </w:r>
    </w:p>
    <w:p>
      <w:pPr>
        <w:ind w:firstLine="0" w:firstLineChars="0"/>
        <w:rPr>
          <w:rFonts w:eastAsiaTheme="minorEastAsia"/>
          <w:color w:val="auto"/>
          <w:szCs w:val="32"/>
        </w:rPr>
      </w:pPr>
      <w:r>
        <w:rPr>
          <w:rFonts w:hint="eastAsia" w:eastAsiaTheme="minorEastAsia"/>
          <w:color w:val="auto"/>
          <w:szCs w:val="32"/>
          <w:lang w:eastAsia="zh-CN"/>
        </w:rPr>
        <w:t>4.6.</w:t>
      </w:r>
      <w:r>
        <w:rPr>
          <w:rFonts w:hint="eastAsia" w:eastAsiaTheme="minorEastAsia"/>
          <w:color w:val="auto"/>
          <w:szCs w:val="32"/>
        </w:rPr>
        <w:t>7</w:t>
      </w:r>
      <w:r>
        <w:rPr>
          <w:rFonts w:hint="eastAsia" w:eastAsiaTheme="minorEastAsia"/>
          <w:color w:val="auto"/>
          <w:szCs w:val="32"/>
          <w:lang w:eastAsia="zh-CN"/>
        </w:rPr>
        <w:t xml:space="preserve">  </w:t>
      </w:r>
      <w:r>
        <w:rPr>
          <w:rFonts w:hint="eastAsia" w:eastAsiaTheme="minorEastAsia"/>
          <w:color w:val="auto"/>
          <w:szCs w:val="32"/>
        </w:rPr>
        <w:t>根据项目需求，也可在模型应用策划中明确模型在各阶段及各项应用中的信息需求水平，自定义相应的模型深度要求</w:t>
      </w:r>
      <w:r>
        <w:rPr>
          <w:rFonts w:eastAsiaTheme="minorEastAsia"/>
          <w:color w:val="auto"/>
          <w:szCs w:val="32"/>
        </w:rPr>
        <w:t>。</w:t>
      </w:r>
    </w:p>
    <w:p>
      <w:pPr>
        <w:ind w:firstLine="0" w:firstLineChars="0"/>
        <w:rPr>
          <w:rFonts w:eastAsiaTheme="minorEastAsia"/>
          <w:color w:val="auto"/>
          <w:szCs w:val="32"/>
        </w:rPr>
      </w:pPr>
      <w:r>
        <w:rPr>
          <w:rFonts w:hint="eastAsia" w:eastAsiaTheme="minorEastAsia"/>
          <w:color w:val="auto"/>
          <w:szCs w:val="32"/>
          <w:lang w:eastAsia="zh-CN"/>
        </w:rPr>
        <w:t>4.6.</w:t>
      </w:r>
      <w:r>
        <w:rPr>
          <w:rFonts w:eastAsiaTheme="minorEastAsia"/>
          <w:color w:val="auto"/>
          <w:szCs w:val="32"/>
        </w:rPr>
        <w:t>1</w:t>
      </w:r>
      <w:r>
        <w:rPr>
          <w:rFonts w:hint="eastAsia" w:eastAsiaTheme="minorEastAsia"/>
          <w:color w:val="auto"/>
          <w:szCs w:val="32"/>
        </w:rPr>
        <w:t>0</w:t>
      </w:r>
      <w:r>
        <w:rPr>
          <w:rFonts w:hint="eastAsia" w:eastAsiaTheme="minorEastAsia"/>
          <w:color w:val="auto"/>
          <w:szCs w:val="32"/>
          <w:lang w:eastAsia="zh-CN"/>
        </w:rPr>
        <w:t xml:space="preserve">  </w:t>
      </w:r>
      <w:r>
        <w:rPr>
          <w:rFonts w:hint="eastAsia" w:eastAsiaTheme="minorEastAsia"/>
          <w:color w:val="auto"/>
          <w:szCs w:val="32"/>
        </w:rPr>
        <w:t>为保障模型信息的有序而规范地传递，模型单元的描述方式关系到数据应用时能否进行数据定位</w:t>
      </w:r>
      <w:r>
        <w:rPr>
          <w:rFonts w:eastAsiaTheme="minorEastAsia"/>
          <w:color w:val="auto"/>
          <w:szCs w:val="32"/>
        </w:rPr>
        <w:t>。因此有必要制定共同规则，既约束模型单元的输入，也提供数据定位的方法。</w:t>
      </w:r>
      <w:r>
        <w:rPr>
          <w:rFonts w:hint="eastAsia" w:eastAsiaTheme="minorEastAsia"/>
          <w:color w:val="auto"/>
          <w:szCs w:val="32"/>
        </w:rPr>
        <w:t>模型单元分为实体、属性两个维度。模型单元的属性分类是信息组织的模式。鉴于构筑物属性繁多，难以穷举表达，从标准化的角度来看，应用方自行编制的标准体系中，应尽可能充分列举所需的属性名称，从而达到标准前置的目的。</w:t>
      </w:r>
    </w:p>
    <w:p>
      <w:pPr>
        <w:ind w:firstLine="0" w:firstLineChars="0"/>
        <w:rPr>
          <w:rFonts w:eastAsiaTheme="minorEastAsia"/>
          <w:color w:val="auto"/>
          <w:szCs w:val="32"/>
        </w:rPr>
      </w:pPr>
      <w:r>
        <w:rPr>
          <w:rFonts w:hint="eastAsia" w:eastAsiaTheme="minorEastAsia"/>
          <w:color w:val="auto"/>
          <w:szCs w:val="32"/>
          <w:lang w:eastAsia="zh-CN"/>
        </w:rPr>
        <w:t>4.6.</w:t>
      </w:r>
      <w:r>
        <w:rPr>
          <w:rFonts w:eastAsiaTheme="minorEastAsia"/>
          <w:color w:val="auto"/>
          <w:szCs w:val="32"/>
        </w:rPr>
        <w:t>1</w:t>
      </w:r>
      <w:r>
        <w:rPr>
          <w:rFonts w:hint="eastAsia" w:eastAsiaTheme="minorEastAsia"/>
          <w:color w:val="auto"/>
          <w:szCs w:val="32"/>
        </w:rPr>
        <w:t>1</w:t>
      </w:r>
      <w:r>
        <w:rPr>
          <w:rFonts w:hint="eastAsia" w:eastAsiaTheme="minorEastAsia"/>
          <w:color w:val="auto"/>
          <w:szCs w:val="32"/>
          <w:lang w:eastAsia="zh-CN"/>
        </w:rPr>
        <w:t xml:space="preserve">  </w:t>
      </w:r>
      <w:r>
        <w:rPr>
          <w:rFonts w:eastAsiaTheme="minorEastAsia"/>
          <w:color w:val="auto"/>
          <w:szCs w:val="32"/>
        </w:rPr>
        <w:t>信息深度会随工程建设阶段的进行而不断深入，信息深度能反映不同实施阶段下对模型不同信息丰富程度的需求</w:t>
      </w:r>
      <w:r>
        <w:rPr>
          <w:rFonts w:hint="eastAsia" w:eastAsiaTheme="minorEastAsia"/>
          <w:color w:val="auto"/>
          <w:szCs w:val="32"/>
        </w:rPr>
        <w:t>。信息的表达深度以满足工程建设项目不同阶段对信息模型的最低要求为基准，应根据工程建设项目不同阶段的信息需求水平综合确定。</w:t>
      </w:r>
    </w:p>
    <w:p>
      <w:pPr>
        <w:ind w:firstLine="0" w:firstLineChars="0"/>
        <w:rPr>
          <w:rFonts w:eastAsiaTheme="minorEastAsia"/>
          <w:color w:val="auto"/>
          <w:szCs w:val="32"/>
        </w:rPr>
      </w:pPr>
      <w:r>
        <w:rPr>
          <w:rFonts w:hint="eastAsia" w:eastAsiaTheme="minorEastAsia"/>
          <w:color w:val="auto"/>
          <w:szCs w:val="32"/>
          <w:lang w:eastAsia="zh-CN"/>
        </w:rPr>
        <w:t>4.6.</w:t>
      </w:r>
      <w:r>
        <w:rPr>
          <w:rFonts w:eastAsiaTheme="minorEastAsia"/>
          <w:color w:val="auto"/>
          <w:szCs w:val="32"/>
        </w:rPr>
        <w:t>1</w:t>
      </w:r>
      <w:r>
        <w:rPr>
          <w:rFonts w:hint="eastAsia" w:eastAsiaTheme="minorEastAsia"/>
          <w:color w:val="auto"/>
          <w:szCs w:val="32"/>
        </w:rPr>
        <w:t xml:space="preserve">2 </w:t>
      </w:r>
      <w:r>
        <w:rPr>
          <w:rFonts w:hint="eastAsia" w:eastAsiaTheme="minorEastAsia"/>
          <w:color w:val="auto"/>
          <w:szCs w:val="32"/>
          <w:lang w:eastAsia="zh-CN"/>
        </w:rPr>
        <w:t xml:space="preserve">  </w:t>
      </w:r>
      <w:r>
        <w:rPr>
          <w:rFonts w:hint="eastAsia" w:eastAsiaTheme="minorEastAsia"/>
          <w:color w:val="auto"/>
          <w:szCs w:val="32"/>
        </w:rPr>
        <w:t>对模型质量进行控制检查过程中，需结合项目应用目标，对实施成果与效果进行有效评估，总结经验教训，提出改进措施，提升模型的控制质量</w:t>
      </w:r>
      <w:r>
        <w:rPr>
          <w:rFonts w:eastAsiaTheme="minorEastAsia"/>
          <w:color w:val="auto"/>
          <w:szCs w:val="32"/>
        </w:rPr>
        <w:t>。</w:t>
      </w:r>
    </w:p>
    <w:p>
      <w:pPr>
        <w:ind w:firstLine="0" w:firstLineChars="0"/>
        <w:rPr>
          <w:rFonts w:eastAsiaTheme="minorEastAsia"/>
          <w:color w:val="auto"/>
          <w:szCs w:val="32"/>
        </w:rPr>
      </w:pPr>
      <w:r>
        <w:rPr>
          <w:rFonts w:hint="eastAsia" w:eastAsiaTheme="minorEastAsia"/>
          <w:color w:val="auto"/>
          <w:szCs w:val="32"/>
          <w:lang w:eastAsia="zh-CN"/>
        </w:rPr>
        <w:t>4.6.</w:t>
      </w:r>
      <w:r>
        <w:rPr>
          <w:rFonts w:eastAsiaTheme="minorEastAsia"/>
          <w:color w:val="auto"/>
          <w:szCs w:val="32"/>
        </w:rPr>
        <w:t>1</w:t>
      </w:r>
      <w:r>
        <w:rPr>
          <w:rFonts w:hint="eastAsia" w:eastAsiaTheme="minorEastAsia"/>
          <w:color w:val="auto"/>
          <w:szCs w:val="32"/>
        </w:rPr>
        <w:t xml:space="preserve">3 </w:t>
      </w:r>
      <w:r>
        <w:rPr>
          <w:rFonts w:hint="eastAsia" w:eastAsiaTheme="minorEastAsia"/>
          <w:color w:val="auto"/>
          <w:szCs w:val="32"/>
          <w:lang w:eastAsia="zh-CN"/>
        </w:rPr>
        <w:t xml:space="preserve">  </w:t>
      </w:r>
      <w:r>
        <w:rPr>
          <w:rFonts w:eastAsiaTheme="minorEastAsia"/>
          <w:color w:val="auto"/>
          <w:szCs w:val="32"/>
        </w:rPr>
        <w:t>度量单位建议采用国际单位米制。当以米为单位制时，应保留小数点后三位，以毫米为单位时可取整。模型成果输出交付时，需兼顾成果使用方的时空参考系及度量单位等需求。</w:t>
      </w:r>
    </w:p>
    <w:p>
      <w:pPr>
        <w:pStyle w:val="3"/>
        <w:jc w:val="center"/>
        <w:rPr>
          <w:color w:val="auto"/>
        </w:rPr>
      </w:pPr>
      <w:r>
        <w:rPr>
          <w:color w:val="auto"/>
        </w:rPr>
        <w:t>4.</w:t>
      </w:r>
      <w:r>
        <w:rPr>
          <w:rFonts w:hint="eastAsia"/>
          <w:color w:val="auto"/>
          <w:lang w:val="en-US" w:eastAsia="zh-CN"/>
        </w:rPr>
        <w:t>7</w:t>
      </w:r>
      <w:r>
        <w:rPr>
          <w:color w:val="auto"/>
        </w:rPr>
        <w:t xml:space="preserve">  </w:t>
      </w:r>
      <w:r>
        <w:rPr>
          <w:rFonts w:hint="eastAsia"/>
          <w:color w:val="auto"/>
        </w:rPr>
        <w:t>交付协同</w:t>
      </w:r>
    </w:p>
    <w:p>
      <w:pPr>
        <w:ind w:firstLine="0" w:firstLineChars="0"/>
        <w:rPr>
          <w:rFonts w:hint="eastAsia" w:eastAsiaTheme="minorEastAsia"/>
          <w:color w:val="auto"/>
          <w:szCs w:val="32"/>
          <w:lang w:eastAsia="zh-CN"/>
        </w:rPr>
      </w:pPr>
      <w:r>
        <w:rPr>
          <w:rFonts w:hint="eastAsia" w:eastAsiaTheme="minorEastAsia"/>
          <w:color w:val="auto"/>
          <w:szCs w:val="32"/>
          <w:lang w:eastAsia="zh-CN"/>
        </w:rPr>
        <w:t>4.7.1  阶段性交付协同包含方案设计阶段、初步设计阶段、施工图设计阶段、深化设计阶段以及竣工移交等的交付协同。面向应用的交付协同主要是指针对过程中具体应用。</w:t>
      </w:r>
    </w:p>
    <w:p>
      <w:pPr>
        <w:ind w:firstLine="0" w:firstLineChars="0"/>
        <w:rPr>
          <w:rFonts w:eastAsiaTheme="minorEastAsia"/>
          <w:color w:val="auto"/>
          <w:szCs w:val="32"/>
        </w:rPr>
      </w:pPr>
      <w:r>
        <w:rPr>
          <w:rFonts w:hint="eastAsia" w:eastAsiaTheme="minorEastAsia"/>
          <w:color w:val="auto"/>
          <w:szCs w:val="32"/>
          <w:lang w:eastAsia="zh-CN"/>
        </w:rPr>
        <w:t>4.7.</w:t>
      </w:r>
      <w:r>
        <w:rPr>
          <w:rFonts w:eastAsiaTheme="minorEastAsia"/>
          <w:color w:val="auto"/>
          <w:szCs w:val="32"/>
        </w:rPr>
        <w:t>2</w:t>
      </w:r>
      <w:r>
        <w:rPr>
          <w:rFonts w:hint="eastAsia" w:eastAsiaTheme="minorEastAsia"/>
          <w:color w:val="auto"/>
          <w:szCs w:val="32"/>
          <w:lang w:eastAsia="zh-CN"/>
        </w:rPr>
        <w:t xml:space="preserve">  </w:t>
      </w:r>
      <w:r>
        <w:rPr>
          <w:rFonts w:hint="eastAsia" w:eastAsiaTheme="minorEastAsia"/>
          <w:color w:val="auto"/>
          <w:szCs w:val="32"/>
        </w:rPr>
        <w:t>二维工程图纸及工程量清单等内容宜通过交付模型导出，并进行相关审核，确保图模一致性</w:t>
      </w:r>
      <w:r>
        <w:rPr>
          <w:rFonts w:eastAsiaTheme="minorEastAsia"/>
          <w:color w:val="auto"/>
          <w:szCs w:val="32"/>
        </w:rPr>
        <w:t>。</w:t>
      </w:r>
    </w:p>
    <w:p>
      <w:pPr>
        <w:ind w:firstLine="0" w:firstLineChars="0"/>
        <w:rPr>
          <w:rFonts w:eastAsiaTheme="minorEastAsia"/>
          <w:color w:val="auto"/>
          <w:szCs w:val="32"/>
        </w:rPr>
      </w:pPr>
      <w:r>
        <w:rPr>
          <w:rFonts w:hint="eastAsia" w:eastAsiaTheme="minorEastAsia"/>
          <w:color w:val="auto"/>
          <w:szCs w:val="32"/>
          <w:lang w:eastAsia="zh-CN"/>
        </w:rPr>
        <w:t>4.7.</w:t>
      </w:r>
      <w:r>
        <w:rPr>
          <w:rFonts w:eastAsiaTheme="minorEastAsia"/>
          <w:color w:val="auto"/>
          <w:szCs w:val="32"/>
        </w:rPr>
        <w:t>3</w:t>
      </w:r>
      <w:r>
        <w:rPr>
          <w:rFonts w:hint="eastAsia" w:eastAsiaTheme="minorEastAsia"/>
          <w:color w:val="auto"/>
          <w:szCs w:val="32"/>
          <w:lang w:eastAsia="zh-CN"/>
        </w:rPr>
        <w:t xml:space="preserve">  </w:t>
      </w:r>
      <w:r>
        <w:rPr>
          <w:rFonts w:hint="eastAsia" w:eastAsiaTheme="minorEastAsia"/>
          <w:color w:val="auto"/>
          <w:szCs w:val="32"/>
        </w:rPr>
        <w:t>模型成果信息交付过程中通过模型数据集中管理与人员权限管理等方式来保障数据安全</w:t>
      </w:r>
      <w:r>
        <w:rPr>
          <w:rFonts w:eastAsiaTheme="minorEastAsia"/>
          <w:color w:val="auto"/>
          <w:szCs w:val="32"/>
        </w:rPr>
        <w:t>，并</w:t>
      </w:r>
      <w:r>
        <w:rPr>
          <w:rFonts w:hint="eastAsia" w:eastAsiaTheme="minorEastAsia"/>
          <w:color w:val="auto"/>
          <w:szCs w:val="32"/>
        </w:rPr>
        <w:t>确保</w:t>
      </w:r>
      <w:r>
        <w:rPr>
          <w:rFonts w:eastAsiaTheme="minorEastAsia"/>
          <w:color w:val="auto"/>
          <w:szCs w:val="32"/>
        </w:rPr>
        <w:t>文件以及数据间关联的有效性。</w:t>
      </w:r>
    </w:p>
    <w:p>
      <w:pPr>
        <w:ind w:firstLine="0" w:firstLineChars="0"/>
        <w:rPr>
          <w:rFonts w:eastAsiaTheme="minorEastAsia"/>
          <w:color w:val="auto"/>
          <w:szCs w:val="32"/>
        </w:rPr>
      </w:pPr>
      <w:r>
        <w:rPr>
          <w:rFonts w:hint="eastAsia" w:eastAsiaTheme="minorEastAsia"/>
          <w:color w:val="auto"/>
          <w:szCs w:val="32"/>
          <w:lang w:eastAsia="zh-CN"/>
        </w:rPr>
        <w:t>4.7.</w:t>
      </w:r>
      <w:r>
        <w:rPr>
          <w:rFonts w:eastAsiaTheme="minorEastAsia"/>
          <w:color w:val="auto"/>
          <w:szCs w:val="32"/>
        </w:rPr>
        <w:t xml:space="preserve">4 </w:t>
      </w:r>
      <w:r>
        <w:rPr>
          <w:rFonts w:hint="eastAsia" w:eastAsiaTheme="minorEastAsia"/>
          <w:color w:val="auto"/>
          <w:szCs w:val="32"/>
          <w:lang w:eastAsia="zh-CN"/>
        </w:rPr>
        <w:t xml:space="preserve">  </w:t>
      </w:r>
      <w:r>
        <w:rPr>
          <w:rFonts w:eastAsiaTheme="minorEastAsia"/>
          <w:color w:val="auto"/>
          <w:szCs w:val="32"/>
        </w:rPr>
        <w:t>模型单元的属性值可在设计阶段逐步完善，但应</w:t>
      </w:r>
      <w:r>
        <w:rPr>
          <w:rFonts w:hint="eastAsia" w:eastAsiaTheme="minorEastAsia"/>
          <w:color w:val="auto"/>
          <w:szCs w:val="32"/>
        </w:rPr>
        <w:t>满足</w:t>
      </w:r>
      <w:r>
        <w:rPr>
          <w:rFonts w:eastAsiaTheme="minorEastAsia"/>
          <w:color w:val="auto"/>
          <w:szCs w:val="32"/>
        </w:rPr>
        <w:t>唯一性、一致性等原则，宜对属性值来源进行标记。</w:t>
      </w:r>
    </w:p>
    <w:p>
      <w:pPr>
        <w:pStyle w:val="3"/>
        <w:jc w:val="center"/>
        <w:rPr>
          <w:color w:val="auto"/>
        </w:rPr>
      </w:pPr>
      <w:r>
        <w:rPr>
          <w:color w:val="auto"/>
        </w:rPr>
        <w:t>4.</w:t>
      </w:r>
      <w:r>
        <w:rPr>
          <w:rFonts w:hint="eastAsia"/>
          <w:color w:val="auto"/>
          <w:lang w:val="en-US" w:eastAsia="zh-CN"/>
        </w:rPr>
        <w:t>8</w:t>
      </w:r>
      <w:r>
        <w:rPr>
          <w:color w:val="auto"/>
        </w:rPr>
        <w:t xml:space="preserve">  </w:t>
      </w:r>
      <w:r>
        <w:rPr>
          <w:rFonts w:hint="eastAsia"/>
          <w:color w:val="auto"/>
          <w:lang w:val="en-US" w:eastAsia="zh-CN"/>
        </w:rPr>
        <w:t>模型</w:t>
      </w:r>
      <w:r>
        <w:rPr>
          <w:rFonts w:hint="eastAsia"/>
          <w:color w:val="auto"/>
        </w:rPr>
        <w:t>协同管理</w:t>
      </w:r>
    </w:p>
    <w:p>
      <w:pPr>
        <w:ind w:firstLine="0" w:firstLineChars="0"/>
        <w:rPr>
          <w:rFonts w:eastAsiaTheme="minorEastAsia"/>
          <w:color w:val="auto"/>
          <w:szCs w:val="32"/>
        </w:rPr>
      </w:pPr>
      <w:r>
        <w:rPr>
          <w:rFonts w:hint="eastAsia" w:eastAsiaTheme="minorEastAsia"/>
          <w:color w:val="auto"/>
          <w:szCs w:val="32"/>
          <w:lang w:eastAsia="zh-CN"/>
        </w:rPr>
        <w:t>4.8.</w:t>
      </w:r>
      <w:r>
        <w:rPr>
          <w:rFonts w:hint="eastAsia" w:eastAsiaTheme="minorEastAsia"/>
          <w:color w:val="auto"/>
          <w:szCs w:val="32"/>
        </w:rPr>
        <w:t>1</w:t>
      </w:r>
      <w:r>
        <w:rPr>
          <w:rFonts w:hint="eastAsia" w:eastAsiaTheme="minorEastAsia"/>
          <w:color w:val="auto"/>
          <w:szCs w:val="32"/>
          <w:lang w:eastAsia="zh-CN"/>
        </w:rPr>
        <w:t xml:space="preserve">  </w:t>
      </w:r>
      <w:r>
        <w:rPr>
          <w:rFonts w:hint="eastAsia" w:eastAsiaTheme="minorEastAsia"/>
          <w:color w:val="auto"/>
          <w:szCs w:val="32"/>
        </w:rPr>
        <w:t>协同管理平台能从建设工程建设项目整体管理层面有效统筹模型信息的协同应用，有利于从整体流程上把控项目模型信息的协同管理，提升项目的协同管理效率与水平</w:t>
      </w:r>
      <w:r>
        <w:rPr>
          <w:rFonts w:eastAsiaTheme="minorEastAsia"/>
          <w:color w:val="auto"/>
          <w:szCs w:val="32"/>
        </w:rPr>
        <w:t>。</w:t>
      </w:r>
    </w:p>
    <w:p>
      <w:pPr>
        <w:ind w:firstLine="0" w:firstLineChars="0"/>
        <w:rPr>
          <w:rFonts w:eastAsiaTheme="minorEastAsia"/>
          <w:color w:val="auto"/>
          <w:szCs w:val="32"/>
        </w:rPr>
      </w:pPr>
      <w:r>
        <w:rPr>
          <w:rFonts w:hint="eastAsia" w:eastAsiaTheme="minorEastAsia"/>
          <w:color w:val="auto"/>
          <w:szCs w:val="32"/>
          <w:lang w:eastAsia="zh-CN"/>
        </w:rPr>
        <w:t>4.8.</w:t>
      </w:r>
      <w:r>
        <w:rPr>
          <w:rFonts w:hint="eastAsia" w:eastAsiaTheme="minorEastAsia"/>
          <w:color w:val="auto"/>
          <w:szCs w:val="32"/>
        </w:rPr>
        <w:t>2</w:t>
      </w:r>
      <w:r>
        <w:rPr>
          <w:rFonts w:hint="eastAsia" w:eastAsiaTheme="minorEastAsia"/>
          <w:color w:val="auto"/>
          <w:szCs w:val="32"/>
          <w:lang w:eastAsia="zh-CN"/>
        </w:rPr>
        <w:t xml:space="preserve">  </w:t>
      </w:r>
      <w:r>
        <w:rPr>
          <w:rFonts w:hint="eastAsia" w:eastAsiaTheme="minorEastAsia"/>
          <w:color w:val="auto"/>
          <w:szCs w:val="32"/>
        </w:rPr>
        <w:t>模型协同管理机制中包含基于模型的协调沟通机制，以及对问题的反馈与管理等，形成信息协同管理闭环</w:t>
      </w:r>
      <w:r>
        <w:rPr>
          <w:rFonts w:eastAsiaTheme="minorEastAsia"/>
          <w:color w:val="auto"/>
          <w:szCs w:val="32"/>
        </w:rPr>
        <w:t>。</w:t>
      </w:r>
    </w:p>
    <w:p>
      <w:pPr>
        <w:ind w:firstLine="0" w:firstLineChars="0"/>
        <w:rPr>
          <w:rFonts w:eastAsiaTheme="minorEastAsia"/>
          <w:color w:val="auto"/>
          <w:szCs w:val="32"/>
        </w:rPr>
      </w:pPr>
      <w:r>
        <w:rPr>
          <w:rFonts w:hint="eastAsia" w:eastAsiaTheme="minorEastAsia"/>
          <w:color w:val="auto"/>
          <w:szCs w:val="32"/>
          <w:lang w:eastAsia="zh-CN"/>
        </w:rPr>
        <w:t>4.8.</w:t>
      </w:r>
      <w:r>
        <w:rPr>
          <w:rFonts w:eastAsiaTheme="minorEastAsia"/>
          <w:color w:val="auto"/>
          <w:szCs w:val="32"/>
        </w:rPr>
        <w:t>3</w:t>
      </w:r>
      <w:r>
        <w:rPr>
          <w:rFonts w:hint="eastAsia" w:eastAsiaTheme="minorEastAsia"/>
          <w:color w:val="auto"/>
          <w:szCs w:val="32"/>
          <w:lang w:eastAsia="zh-CN"/>
        </w:rPr>
        <w:t xml:space="preserve">  </w:t>
      </w:r>
      <w:r>
        <w:rPr>
          <w:rFonts w:hint="eastAsia" w:eastAsiaTheme="minorEastAsia"/>
          <w:color w:val="auto"/>
          <w:szCs w:val="32"/>
        </w:rPr>
        <w:t>建设工程建设项目协同管理能有效整合建设工程建设项目的需求管理，协调模型间的应用需求，体现模型应用价值，提升项目整体的数字化管理能力</w:t>
      </w:r>
      <w:r>
        <w:rPr>
          <w:rFonts w:eastAsiaTheme="minorEastAsia"/>
          <w:color w:val="auto"/>
          <w:szCs w:val="32"/>
        </w:rPr>
        <w:t>。</w:t>
      </w:r>
    </w:p>
    <w:p>
      <w:pPr>
        <w:ind w:firstLine="0" w:firstLineChars="0"/>
        <w:rPr>
          <w:rFonts w:eastAsiaTheme="minorEastAsia"/>
          <w:color w:val="auto"/>
          <w:szCs w:val="32"/>
        </w:rPr>
      </w:pPr>
      <w:r>
        <w:rPr>
          <w:rFonts w:hint="eastAsia" w:eastAsiaTheme="minorEastAsia"/>
          <w:color w:val="auto"/>
          <w:szCs w:val="32"/>
          <w:lang w:eastAsia="zh-CN"/>
        </w:rPr>
        <w:t>4.8.</w:t>
      </w:r>
      <w:r>
        <w:rPr>
          <w:rFonts w:eastAsiaTheme="minorEastAsia"/>
          <w:color w:val="auto"/>
          <w:szCs w:val="32"/>
        </w:rPr>
        <w:t>4</w:t>
      </w:r>
      <w:r>
        <w:rPr>
          <w:rFonts w:hint="eastAsia" w:eastAsiaTheme="minorEastAsia"/>
          <w:color w:val="auto"/>
          <w:szCs w:val="32"/>
          <w:lang w:eastAsia="zh-CN"/>
        </w:rPr>
        <w:t xml:space="preserve">  </w:t>
      </w:r>
      <w:r>
        <w:rPr>
          <w:rFonts w:hint="eastAsia" w:eastAsiaTheme="minorEastAsia"/>
          <w:color w:val="auto"/>
          <w:szCs w:val="32"/>
        </w:rPr>
        <w:t>有效</w:t>
      </w:r>
      <w:r>
        <w:rPr>
          <w:rFonts w:eastAsiaTheme="minorEastAsia"/>
          <w:color w:val="auto"/>
          <w:szCs w:val="32"/>
        </w:rPr>
        <w:t>的</w:t>
      </w:r>
      <w:r>
        <w:rPr>
          <w:rFonts w:hint="eastAsia" w:eastAsiaTheme="minorEastAsia"/>
          <w:color w:val="auto"/>
          <w:szCs w:val="32"/>
        </w:rPr>
        <w:t>工程项目</w:t>
      </w:r>
      <w:r>
        <w:rPr>
          <w:rFonts w:eastAsiaTheme="minorEastAsia"/>
          <w:color w:val="auto"/>
          <w:szCs w:val="32"/>
        </w:rPr>
        <w:t>组织管理</w:t>
      </w:r>
      <w:r>
        <w:rPr>
          <w:rFonts w:hint="eastAsia" w:eastAsiaTheme="minorEastAsia"/>
          <w:color w:val="auto"/>
          <w:szCs w:val="32"/>
        </w:rPr>
        <w:t>是工程建设项目高效协同管理的基础，建立详细的责任矩阵，明确要生产什么信息、信息何时交换、与谁交换、谁负责等内容</w:t>
      </w:r>
      <w:r>
        <w:rPr>
          <w:rFonts w:eastAsiaTheme="minorEastAsia"/>
          <w:color w:val="auto"/>
          <w:szCs w:val="32"/>
        </w:rPr>
        <w:t>。通过</w:t>
      </w:r>
      <w:r>
        <w:rPr>
          <w:rFonts w:hint="eastAsia" w:eastAsiaTheme="minorEastAsia"/>
          <w:color w:val="auto"/>
          <w:szCs w:val="32"/>
        </w:rPr>
        <w:t>详细的责任矩阵，使相关方的责任更加清晰，具体示例参见表4。</w:t>
      </w:r>
    </w:p>
    <w:p>
      <w:pPr>
        <w:ind w:firstLine="0" w:firstLineChars="0"/>
        <w:jc w:val="center"/>
        <w:rPr>
          <w:rFonts w:eastAsiaTheme="minorEastAsia"/>
          <w:color w:val="auto"/>
          <w:szCs w:val="32"/>
        </w:rPr>
      </w:pPr>
      <w:r>
        <w:rPr>
          <w:rFonts w:hint="eastAsia" w:eastAsiaTheme="minorEastAsia"/>
          <w:color w:val="auto"/>
          <w:szCs w:val="32"/>
        </w:rPr>
        <w:t>表4</w:t>
      </w:r>
      <w:r>
        <w:rPr>
          <w:rFonts w:eastAsiaTheme="minorEastAsia"/>
          <w:color w:val="auto"/>
          <w:szCs w:val="32"/>
        </w:rPr>
        <w:t xml:space="preserve">  项目协同管理详细责任矩阵示例</w:t>
      </w:r>
    </w:p>
    <w:tbl>
      <w:tblPr>
        <w:tblStyle w:val="74"/>
        <w:tblW w:w="8090" w:type="dxa"/>
        <w:jc w:val="center"/>
        <w:tblInd w:w="0" w:type="dxa"/>
        <w:tblLayout w:type="fixed"/>
        <w:tblCellMar>
          <w:top w:w="0" w:type="dxa"/>
          <w:left w:w="10" w:type="dxa"/>
          <w:bottom w:w="0" w:type="dxa"/>
          <w:right w:w="10" w:type="dxa"/>
        </w:tblCellMar>
      </w:tblPr>
      <w:tblGrid>
        <w:gridCol w:w="4121"/>
        <w:gridCol w:w="1098"/>
        <w:gridCol w:w="957"/>
        <w:gridCol w:w="957"/>
        <w:gridCol w:w="957"/>
      </w:tblGrid>
      <w:tr>
        <w:tblPrEx>
          <w:tblLayout w:type="fixed"/>
          <w:tblCellMar>
            <w:top w:w="0" w:type="dxa"/>
            <w:left w:w="10" w:type="dxa"/>
            <w:bottom w:w="0" w:type="dxa"/>
            <w:right w:w="10" w:type="dxa"/>
          </w:tblCellMar>
        </w:tblPrEx>
        <w:trPr>
          <w:trHeight w:val="635" w:hRule="exact"/>
          <w:jc w:val="center"/>
        </w:trPr>
        <w:tc>
          <w:tcPr>
            <w:tcW w:w="4121" w:type="dxa"/>
            <w:tcBorders>
              <w:top w:val="single" w:color="auto" w:sz="4" w:space="0"/>
              <w:left w:val="single" w:color="auto" w:sz="4" w:space="0"/>
            </w:tcBorders>
            <w:shd w:val="clear" w:color="auto" w:fill="FFFFFF"/>
            <w:vAlign w:val="center"/>
          </w:tcPr>
          <w:p>
            <w:pPr>
              <w:pStyle w:val="666"/>
              <w:spacing w:after="0"/>
              <w:jc w:val="center"/>
              <w:rPr>
                <w:color w:val="auto"/>
                <w:sz w:val="20"/>
                <w:szCs w:val="20"/>
              </w:rPr>
            </w:pPr>
            <w:r>
              <w:rPr>
                <w:rFonts w:hint="eastAsia" w:ascii="宋体" w:hAnsi="宋体" w:cs="宋体"/>
                <w:color w:val="auto"/>
                <w:sz w:val="20"/>
                <w:szCs w:val="20"/>
                <w:lang w:bidi="en-US"/>
              </w:rPr>
              <w:t>主要任务</w:t>
            </w:r>
          </w:p>
        </w:tc>
        <w:tc>
          <w:tcPr>
            <w:tcW w:w="1098" w:type="dxa"/>
            <w:tcBorders>
              <w:top w:val="single" w:color="auto" w:sz="4" w:space="0"/>
              <w:left w:val="single" w:color="auto" w:sz="4" w:space="0"/>
            </w:tcBorders>
            <w:shd w:val="clear" w:color="auto" w:fill="FFFFFF"/>
            <w:vAlign w:val="center"/>
          </w:tcPr>
          <w:p>
            <w:pPr>
              <w:pStyle w:val="666"/>
              <w:spacing w:after="0"/>
              <w:jc w:val="center"/>
              <w:rPr>
                <w:rFonts w:ascii="宋体" w:hAnsi="宋体" w:cs="宋体"/>
                <w:color w:val="auto"/>
                <w:sz w:val="20"/>
                <w:szCs w:val="20"/>
                <w:lang w:bidi="en-US"/>
              </w:rPr>
            </w:pPr>
            <w:r>
              <w:rPr>
                <w:rFonts w:ascii="宋体" w:hAnsi="宋体" w:cs="宋体"/>
                <w:color w:val="auto"/>
                <w:sz w:val="20"/>
                <w:szCs w:val="20"/>
                <w:lang w:bidi="en-US"/>
              </w:rPr>
              <w:t>建设管理方</w:t>
            </w:r>
          </w:p>
        </w:tc>
        <w:tc>
          <w:tcPr>
            <w:tcW w:w="957" w:type="dxa"/>
            <w:tcBorders>
              <w:top w:val="single" w:color="auto" w:sz="4" w:space="0"/>
              <w:left w:val="single" w:color="auto" w:sz="4" w:space="0"/>
            </w:tcBorders>
            <w:shd w:val="clear" w:color="auto" w:fill="FFFFFF"/>
            <w:vAlign w:val="center"/>
          </w:tcPr>
          <w:p>
            <w:pPr>
              <w:pStyle w:val="666"/>
              <w:spacing w:after="0"/>
              <w:jc w:val="center"/>
              <w:rPr>
                <w:rFonts w:ascii="宋体" w:hAnsi="宋体" w:cs="宋体"/>
                <w:color w:val="auto"/>
                <w:sz w:val="20"/>
                <w:szCs w:val="20"/>
                <w:lang w:bidi="en-US"/>
              </w:rPr>
            </w:pPr>
            <w:r>
              <w:rPr>
                <w:rFonts w:ascii="宋体" w:hAnsi="宋体" w:cs="宋体"/>
                <w:color w:val="auto"/>
                <w:sz w:val="20"/>
                <w:szCs w:val="20"/>
                <w:lang w:bidi="en-US"/>
              </w:rPr>
              <w:t>咨询方</w:t>
            </w:r>
          </w:p>
        </w:tc>
        <w:tc>
          <w:tcPr>
            <w:tcW w:w="957" w:type="dxa"/>
            <w:tcBorders>
              <w:top w:val="single" w:color="auto" w:sz="4" w:space="0"/>
              <w:left w:val="single" w:color="auto" w:sz="4" w:space="0"/>
            </w:tcBorders>
            <w:shd w:val="clear" w:color="auto" w:fill="FFFFFF"/>
            <w:vAlign w:val="center"/>
          </w:tcPr>
          <w:p>
            <w:pPr>
              <w:pStyle w:val="666"/>
              <w:spacing w:after="0"/>
              <w:jc w:val="center"/>
              <w:rPr>
                <w:rFonts w:ascii="宋体" w:hAnsi="宋体" w:cs="宋体"/>
                <w:color w:val="auto"/>
                <w:sz w:val="20"/>
                <w:szCs w:val="20"/>
                <w:lang w:bidi="en-US"/>
              </w:rPr>
            </w:pPr>
            <w:r>
              <w:rPr>
                <w:rFonts w:ascii="宋体" w:hAnsi="宋体" w:cs="宋体"/>
                <w:color w:val="auto"/>
                <w:sz w:val="20"/>
                <w:szCs w:val="20"/>
                <w:lang w:bidi="en-US"/>
              </w:rPr>
              <w:t>总承包方</w:t>
            </w:r>
          </w:p>
        </w:tc>
        <w:tc>
          <w:tcPr>
            <w:tcW w:w="957" w:type="dxa"/>
            <w:tcBorders>
              <w:top w:val="single" w:color="auto" w:sz="4" w:space="0"/>
              <w:left w:val="single" w:color="auto" w:sz="4" w:space="0"/>
              <w:right w:val="single" w:color="auto" w:sz="4" w:space="0"/>
            </w:tcBorders>
            <w:shd w:val="clear" w:color="auto" w:fill="FFFFFF"/>
            <w:vAlign w:val="center"/>
          </w:tcPr>
          <w:p>
            <w:pPr>
              <w:pStyle w:val="666"/>
              <w:spacing w:after="0"/>
              <w:jc w:val="center"/>
              <w:rPr>
                <w:rFonts w:ascii="宋体" w:hAnsi="宋体" w:cs="宋体"/>
                <w:color w:val="auto"/>
                <w:sz w:val="20"/>
                <w:szCs w:val="20"/>
                <w:lang w:bidi="en-US"/>
              </w:rPr>
            </w:pPr>
            <w:r>
              <w:rPr>
                <w:rFonts w:ascii="宋体" w:hAnsi="宋体" w:cs="宋体"/>
                <w:color w:val="auto"/>
                <w:sz w:val="20"/>
                <w:szCs w:val="20"/>
                <w:lang w:bidi="en-US"/>
              </w:rPr>
              <w:t>子承包方</w:t>
            </w: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ind w:firstLine="400"/>
              <w:jc w:val="left"/>
              <w:rPr>
                <w:rFonts w:ascii="宋体" w:hAnsi="宋体" w:cs="宋体"/>
                <w:color w:val="auto"/>
                <w:sz w:val="20"/>
                <w:szCs w:val="20"/>
                <w:lang w:bidi="en-US"/>
              </w:rPr>
            </w:pPr>
            <w:r>
              <w:rPr>
                <w:rFonts w:hint="eastAsia" w:ascii="宋体" w:hAnsi="宋体" w:cs="宋体"/>
                <w:color w:val="auto"/>
                <w:sz w:val="20"/>
                <w:szCs w:val="20"/>
                <w:lang w:bidi="en-US"/>
              </w:rPr>
              <w:t>任命人员履行信息管理职能</w:t>
            </w:r>
          </w:p>
        </w:tc>
        <w:tc>
          <w:tcPr>
            <w:tcW w:w="1098" w:type="dxa"/>
            <w:tcBorders>
              <w:top w:val="single" w:color="auto" w:sz="4" w:space="0"/>
              <w:left w:val="single" w:color="auto" w:sz="4" w:space="0"/>
            </w:tcBorders>
            <w:shd w:val="clear" w:color="auto" w:fill="FFFFFF"/>
            <w:vAlign w:val="center"/>
          </w:tcPr>
          <w:p>
            <w:pPr>
              <w:ind w:firstLine="402"/>
              <w:rPr>
                <w:rFonts w:ascii="宋体" w:hAnsi="宋体" w:cs="宋体"/>
                <w:color w:val="auto"/>
                <w:kern w:val="2"/>
                <w:sz w:val="20"/>
                <w:szCs w:val="20"/>
                <w:lang w:bidi="en-US"/>
              </w:rPr>
            </w:pPr>
            <w:r>
              <w:rPr>
                <w:rFonts w:eastAsia="Times New Roman"/>
                <w:b/>
                <w:color w:val="auto"/>
                <w:sz w:val="20"/>
                <w:szCs w:val="20"/>
                <w:lang w:bidi="en-US"/>
              </w:rPr>
              <w:t>R</w:t>
            </w:r>
          </w:p>
        </w:tc>
        <w:tc>
          <w:tcPr>
            <w:tcW w:w="957" w:type="dxa"/>
            <w:tcBorders>
              <w:top w:val="single" w:color="auto" w:sz="4" w:space="0"/>
              <w:left w:val="single" w:color="auto" w:sz="4" w:space="0"/>
            </w:tcBorders>
            <w:shd w:val="clear" w:color="auto" w:fill="FFFFFF"/>
            <w:vAlign w:val="center"/>
          </w:tcPr>
          <w:p>
            <w:pPr>
              <w:ind w:firstLine="402"/>
              <w:rPr>
                <w:rFonts w:ascii="宋体" w:hAnsi="宋体" w:cs="宋体"/>
                <w:color w:val="auto"/>
                <w:kern w:val="2"/>
                <w:sz w:val="20"/>
                <w:szCs w:val="20"/>
                <w:lang w:bidi="en-US"/>
              </w:rPr>
            </w:pPr>
            <w:r>
              <w:rPr>
                <w:rFonts w:eastAsia="Times New Roman"/>
                <w:b/>
                <w:color w:val="auto"/>
                <w:sz w:val="20"/>
                <w:szCs w:val="20"/>
                <w:lang w:bidi="en-US"/>
              </w:rPr>
              <w:t>C</w:t>
            </w:r>
          </w:p>
        </w:tc>
        <w:tc>
          <w:tcPr>
            <w:tcW w:w="957" w:type="dxa"/>
            <w:tcBorders>
              <w:top w:val="single" w:color="auto" w:sz="4" w:space="0"/>
              <w:left w:val="single" w:color="auto" w:sz="4" w:space="0"/>
            </w:tcBorders>
            <w:shd w:val="clear" w:color="auto" w:fill="FFFFFF"/>
            <w:vAlign w:val="center"/>
          </w:tcPr>
          <w:p>
            <w:pPr>
              <w:ind w:firstLine="402"/>
              <w:rPr>
                <w:rFonts w:ascii="宋体" w:hAnsi="宋体" w:cs="宋体"/>
                <w:color w:val="auto"/>
                <w:kern w:val="2"/>
                <w:sz w:val="20"/>
                <w:szCs w:val="20"/>
                <w:lang w:bidi="en-US"/>
              </w:rPr>
            </w:pPr>
            <w:r>
              <w:rPr>
                <w:rFonts w:eastAsia="Times New Roman"/>
                <w:b/>
                <w:color w:val="auto"/>
                <w:sz w:val="20"/>
                <w:szCs w:val="20"/>
                <w:lang w:bidi="en-US"/>
              </w:rPr>
              <w:t>A</w:t>
            </w:r>
          </w:p>
        </w:tc>
        <w:tc>
          <w:tcPr>
            <w:tcW w:w="957" w:type="dxa"/>
            <w:tcBorders>
              <w:top w:val="single" w:color="auto" w:sz="4" w:space="0"/>
              <w:left w:val="single" w:color="auto" w:sz="4" w:space="0"/>
              <w:right w:val="single" w:color="auto" w:sz="4" w:space="0"/>
            </w:tcBorders>
            <w:shd w:val="clear" w:color="auto" w:fill="FFFFFF"/>
            <w:vAlign w:val="center"/>
          </w:tcPr>
          <w:p>
            <w:pPr>
              <w:ind w:firstLine="402"/>
              <w:rPr>
                <w:rFonts w:ascii="宋体" w:hAnsi="宋体" w:cs="宋体"/>
                <w:color w:val="auto"/>
                <w:kern w:val="2"/>
                <w:sz w:val="20"/>
                <w:szCs w:val="20"/>
                <w:lang w:bidi="en-US"/>
              </w:rPr>
            </w:pPr>
            <w:r>
              <w:rPr>
                <w:rFonts w:eastAsia="Times New Roman"/>
                <w:b/>
                <w:color w:val="auto"/>
                <w:sz w:val="20"/>
                <w:szCs w:val="20"/>
                <w:lang w:bidi="en-US"/>
              </w:rPr>
              <w:t>I</w:t>
            </w: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ind w:firstLine="400"/>
              <w:jc w:val="left"/>
              <w:rPr>
                <w:color w:val="auto"/>
                <w:sz w:val="20"/>
                <w:szCs w:val="20"/>
              </w:rPr>
            </w:pPr>
            <w:r>
              <w:rPr>
                <w:rFonts w:hint="eastAsia" w:ascii="宋体" w:hAnsi="宋体" w:cs="宋体"/>
                <w:color w:val="auto"/>
                <w:sz w:val="20"/>
                <w:szCs w:val="20"/>
                <w:lang w:bidi="en-US"/>
              </w:rPr>
              <w:t>确定项目信息需求</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ind w:firstLine="400"/>
              <w:jc w:val="left"/>
              <w:rPr>
                <w:color w:val="auto"/>
                <w:sz w:val="20"/>
                <w:szCs w:val="20"/>
              </w:rPr>
            </w:pPr>
            <w:r>
              <w:rPr>
                <w:rFonts w:hint="eastAsia" w:ascii="宋体" w:hAnsi="宋体" w:cs="宋体"/>
                <w:color w:val="auto"/>
                <w:sz w:val="20"/>
                <w:szCs w:val="20"/>
                <w:lang w:bidi="en-US"/>
              </w:rPr>
              <w:t>建立项目信息交付里程碑</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ind w:firstLine="400"/>
              <w:jc w:val="left"/>
              <w:rPr>
                <w:color w:val="auto"/>
                <w:sz w:val="20"/>
                <w:szCs w:val="20"/>
              </w:rPr>
            </w:pPr>
            <w:r>
              <w:rPr>
                <w:rFonts w:hint="eastAsia" w:ascii="宋体" w:hAnsi="宋体" w:cs="宋体"/>
                <w:color w:val="auto"/>
                <w:sz w:val="20"/>
                <w:szCs w:val="20"/>
                <w:lang w:bidi="en-US"/>
              </w:rPr>
              <w:t>建立项目信息标准</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ind w:firstLine="400"/>
              <w:jc w:val="left"/>
              <w:rPr>
                <w:color w:val="auto"/>
                <w:sz w:val="20"/>
                <w:szCs w:val="20"/>
              </w:rPr>
            </w:pPr>
            <w:r>
              <w:rPr>
                <w:rFonts w:hint="eastAsia" w:ascii="宋体" w:hAnsi="宋体" w:cs="宋体"/>
                <w:color w:val="auto"/>
                <w:sz w:val="20"/>
                <w:szCs w:val="20"/>
                <w:lang w:bidi="en-US"/>
              </w:rPr>
              <w:t>建立项目信息生产方法与流程</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ind w:firstLine="400"/>
              <w:jc w:val="left"/>
              <w:rPr>
                <w:color w:val="auto"/>
                <w:sz w:val="20"/>
                <w:szCs w:val="20"/>
              </w:rPr>
            </w:pPr>
            <w:r>
              <w:rPr>
                <w:rFonts w:hint="eastAsia" w:ascii="宋体" w:hAnsi="宋体" w:cs="宋体"/>
                <w:color w:val="auto"/>
                <w:sz w:val="20"/>
                <w:szCs w:val="20"/>
                <w:lang w:bidi="en-US"/>
              </w:rPr>
              <w:t>建立项目的参考信息与共享资源</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ind w:firstLine="400"/>
              <w:jc w:val="left"/>
              <w:rPr>
                <w:color w:val="auto"/>
                <w:sz w:val="20"/>
                <w:szCs w:val="20"/>
              </w:rPr>
            </w:pPr>
            <w:r>
              <w:rPr>
                <w:rFonts w:hint="eastAsia" w:ascii="宋体" w:hAnsi="宋体" w:cs="宋体"/>
                <w:color w:val="auto"/>
                <w:sz w:val="20"/>
                <w:szCs w:val="20"/>
                <w:lang w:bidi="en-US"/>
              </w:rPr>
              <w:t>建立项目通用数据环境</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ind w:firstLine="400"/>
              <w:jc w:val="left"/>
              <w:rPr>
                <w:color w:val="auto"/>
                <w:sz w:val="20"/>
                <w:szCs w:val="20"/>
              </w:rPr>
            </w:pPr>
            <w:r>
              <w:rPr>
                <w:rFonts w:hint="eastAsia" w:ascii="宋体" w:hAnsi="宋体" w:cs="宋体"/>
                <w:color w:val="auto"/>
                <w:sz w:val="20"/>
                <w:szCs w:val="20"/>
                <w:lang w:bidi="en-US"/>
              </w:rPr>
              <w:t>确立项目的信息通信协议</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ind w:firstLine="400"/>
              <w:jc w:val="left"/>
              <w:rPr>
                <w:color w:val="auto"/>
                <w:sz w:val="20"/>
                <w:szCs w:val="20"/>
              </w:rPr>
            </w:pPr>
            <w:r>
              <w:rPr>
                <w:rFonts w:hint="eastAsia" w:ascii="宋体" w:hAnsi="宋体" w:cs="宋体"/>
                <w:color w:val="auto"/>
                <w:sz w:val="20"/>
                <w:szCs w:val="20"/>
                <w:lang w:bidi="en-US"/>
              </w:rPr>
              <w:t>确定信息接收方的信息交换需求</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ind w:firstLine="400"/>
              <w:jc w:val="left"/>
              <w:rPr>
                <w:color w:val="auto"/>
                <w:sz w:val="20"/>
                <w:szCs w:val="20"/>
              </w:rPr>
            </w:pPr>
            <w:r>
              <w:rPr>
                <w:rFonts w:hint="eastAsia" w:ascii="宋体" w:hAnsi="宋体" w:cs="宋体"/>
                <w:color w:val="auto"/>
                <w:sz w:val="20"/>
                <w:szCs w:val="20"/>
                <w:lang w:bidi="en-US"/>
              </w:rPr>
              <w:t>收集参考信息与共享资源</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ind w:firstLine="400"/>
              <w:jc w:val="left"/>
              <w:rPr>
                <w:color w:val="auto"/>
                <w:sz w:val="20"/>
                <w:szCs w:val="20"/>
              </w:rPr>
            </w:pPr>
            <w:r>
              <w:rPr>
                <w:rFonts w:hint="eastAsia" w:ascii="宋体" w:hAnsi="宋体" w:cs="宋体"/>
                <w:color w:val="auto"/>
                <w:sz w:val="20"/>
                <w:szCs w:val="20"/>
                <w:lang w:bidi="en-US"/>
              </w:rPr>
              <w:t>确定投标响应需求与评价标准</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ind w:firstLine="400"/>
              <w:jc w:val="left"/>
              <w:rPr>
                <w:color w:val="auto"/>
                <w:sz w:val="20"/>
                <w:szCs w:val="20"/>
              </w:rPr>
            </w:pPr>
            <w:r>
              <w:rPr>
                <w:rFonts w:hint="eastAsia"/>
                <w:color w:val="auto"/>
                <w:sz w:val="20"/>
                <w:szCs w:val="20"/>
              </w:rPr>
              <w:t>编制招标信息</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ind w:firstLine="400"/>
              <w:jc w:val="left"/>
              <w:rPr>
                <w:color w:val="auto"/>
                <w:sz w:val="20"/>
                <w:szCs w:val="20"/>
              </w:rPr>
            </w:pPr>
            <w:r>
              <w:rPr>
                <w:rFonts w:hint="eastAsia" w:ascii="宋体" w:hAnsi="宋体" w:cs="宋体"/>
                <w:color w:val="auto"/>
                <w:sz w:val="20"/>
                <w:szCs w:val="20"/>
                <w:lang w:bidi="en-US"/>
              </w:rPr>
              <w:t>推荐人员担任信息管理职能</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ind w:firstLine="400"/>
              <w:jc w:val="left"/>
              <w:rPr>
                <w:color w:val="auto"/>
                <w:sz w:val="20"/>
                <w:szCs w:val="20"/>
              </w:rPr>
            </w:pPr>
            <w:r>
              <w:rPr>
                <w:rFonts w:hint="eastAsia" w:ascii="宋体" w:hAnsi="宋体" w:cs="宋体"/>
                <w:color w:val="auto"/>
                <w:sz w:val="20"/>
                <w:szCs w:val="20"/>
                <w:lang w:bidi="en-US"/>
              </w:rPr>
              <w:t>制定交付团队的（预审批）模型实施计划</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ind w:firstLine="400"/>
              <w:jc w:val="left"/>
              <w:rPr>
                <w:color w:val="auto"/>
                <w:sz w:val="20"/>
                <w:szCs w:val="20"/>
              </w:rPr>
            </w:pPr>
            <w:r>
              <w:rPr>
                <w:rFonts w:hint="eastAsia" w:ascii="宋体" w:hAnsi="宋体" w:cs="宋体"/>
                <w:color w:val="auto"/>
                <w:sz w:val="20"/>
                <w:szCs w:val="20"/>
                <w:lang w:bidi="en-US"/>
              </w:rPr>
              <w:t>评估任务团队的能力</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ind w:firstLine="400"/>
              <w:jc w:val="left"/>
              <w:rPr>
                <w:color w:val="auto"/>
                <w:sz w:val="20"/>
                <w:szCs w:val="20"/>
              </w:rPr>
            </w:pPr>
            <w:r>
              <w:rPr>
                <w:rFonts w:hint="eastAsia" w:ascii="宋体" w:hAnsi="宋体" w:cs="宋体"/>
                <w:color w:val="auto"/>
                <w:sz w:val="20"/>
                <w:szCs w:val="20"/>
                <w:lang w:bidi="en-US"/>
              </w:rPr>
              <w:t>确立交付团队的能力</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ind w:firstLine="400"/>
              <w:jc w:val="left"/>
              <w:rPr>
                <w:color w:val="auto"/>
                <w:sz w:val="20"/>
                <w:szCs w:val="20"/>
              </w:rPr>
            </w:pPr>
            <w:r>
              <w:rPr>
                <w:rFonts w:hint="eastAsia" w:ascii="宋体" w:hAnsi="宋体" w:cs="宋体"/>
                <w:color w:val="auto"/>
                <w:sz w:val="20"/>
                <w:szCs w:val="20"/>
                <w:lang w:bidi="en-US"/>
              </w:rPr>
              <w:t>制定交付团队的动员计划</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ind w:firstLine="400"/>
              <w:jc w:val="left"/>
              <w:rPr>
                <w:color w:val="auto"/>
                <w:sz w:val="20"/>
                <w:szCs w:val="20"/>
              </w:rPr>
            </w:pPr>
            <w:r>
              <w:rPr>
                <w:rFonts w:hint="eastAsia"/>
                <w:color w:val="auto"/>
                <w:sz w:val="20"/>
                <w:szCs w:val="20"/>
              </w:rPr>
              <w:t>建立交付团队的风险登记册</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ind w:firstLine="400"/>
              <w:jc w:val="left"/>
              <w:rPr>
                <w:color w:val="auto"/>
                <w:sz w:val="20"/>
                <w:szCs w:val="20"/>
              </w:rPr>
            </w:pPr>
            <w:r>
              <w:rPr>
                <w:rFonts w:hint="eastAsia" w:ascii="宋体" w:hAnsi="宋体" w:cs="宋体"/>
                <w:color w:val="auto"/>
                <w:sz w:val="20"/>
                <w:szCs w:val="20"/>
                <w:lang w:bidi="en-US"/>
              </w:rPr>
              <w:t>编制交付团队的投标响应</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ind w:firstLine="400"/>
              <w:jc w:val="left"/>
              <w:rPr>
                <w:color w:val="auto"/>
                <w:sz w:val="20"/>
                <w:szCs w:val="20"/>
              </w:rPr>
            </w:pPr>
            <w:r>
              <w:rPr>
                <w:rFonts w:hint="eastAsia" w:ascii="宋体" w:hAnsi="宋体" w:cs="宋体"/>
                <w:color w:val="auto"/>
                <w:sz w:val="20"/>
                <w:szCs w:val="20"/>
                <w:lang w:bidi="en-US"/>
              </w:rPr>
              <w:t>确认交付团队的模型实施计划</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bottom w:val="single" w:color="auto" w:sz="4" w:space="0"/>
            </w:tcBorders>
            <w:shd w:val="clear" w:color="auto" w:fill="FFFFFF"/>
            <w:vAlign w:val="center"/>
          </w:tcPr>
          <w:p>
            <w:pPr>
              <w:pStyle w:val="666"/>
              <w:spacing w:after="0"/>
              <w:ind w:firstLine="400"/>
              <w:jc w:val="left"/>
              <w:rPr>
                <w:color w:val="auto"/>
                <w:sz w:val="20"/>
                <w:szCs w:val="20"/>
              </w:rPr>
            </w:pPr>
            <w:r>
              <w:rPr>
                <w:rFonts w:hint="eastAsia" w:ascii="宋体" w:hAnsi="宋体" w:cs="宋体"/>
                <w:color w:val="auto"/>
                <w:sz w:val="20"/>
                <w:szCs w:val="20"/>
                <w:lang w:bidi="en-US"/>
              </w:rPr>
              <w:t>建立交付团队的详细责任矩阵</w:t>
            </w:r>
          </w:p>
        </w:tc>
        <w:tc>
          <w:tcPr>
            <w:tcW w:w="1098" w:type="dxa"/>
            <w:tcBorders>
              <w:top w:val="single" w:color="auto" w:sz="4" w:space="0"/>
              <w:left w:val="single" w:color="auto" w:sz="4" w:space="0"/>
              <w:bottom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bottom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bottom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line="230" w:lineRule="auto"/>
              <w:ind w:firstLine="400"/>
              <w:jc w:val="left"/>
              <w:rPr>
                <w:color w:val="auto"/>
                <w:sz w:val="20"/>
                <w:szCs w:val="20"/>
              </w:rPr>
            </w:pPr>
            <w:r>
              <w:rPr>
                <w:rFonts w:hint="eastAsia" w:ascii="宋体" w:hAnsi="宋体" w:cs="宋体"/>
                <w:color w:val="auto"/>
                <w:sz w:val="20"/>
                <w:szCs w:val="20"/>
                <w:lang w:bidi="en-US"/>
              </w:rPr>
              <w:t>确定信息主提供方的信息交换需求</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ind w:firstLine="400"/>
              <w:jc w:val="left"/>
              <w:rPr>
                <w:color w:val="auto"/>
                <w:sz w:val="20"/>
                <w:szCs w:val="20"/>
              </w:rPr>
            </w:pPr>
            <w:r>
              <w:rPr>
                <w:rFonts w:hint="eastAsia"/>
                <w:color w:val="auto"/>
                <w:sz w:val="20"/>
                <w:szCs w:val="20"/>
              </w:rPr>
              <w:t>制定任务信息交付计划</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ind w:firstLine="400"/>
              <w:jc w:val="left"/>
              <w:rPr>
                <w:color w:val="auto"/>
                <w:sz w:val="20"/>
                <w:szCs w:val="20"/>
              </w:rPr>
            </w:pPr>
            <w:r>
              <w:rPr>
                <w:rFonts w:hint="eastAsia" w:ascii="宋体" w:hAnsi="宋体" w:cs="宋体"/>
                <w:color w:val="auto"/>
                <w:sz w:val="20"/>
                <w:szCs w:val="20"/>
                <w:lang w:bidi="en-US"/>
              </w:rPr>
              <w:t>制定主干信息交付计划</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line="230" w:lineRule="auto"/>
              <w:ind w:firstLine="400"/>
              <w:jc w:val="left"/>
              <w:rPr>
                <w:color w:val="auto"/>
                <w:sz w:val="20"/>
                <w:szCs w:val="20"/>
              </w:rPr>
            </w:pPr>
            <w:r>
              <w:rPr>
                <w:rFonts w:hint="eastAsia" w:ascii="宋体" w:hAnsi="宋体" w:cs="宋体"/>
                <w:color w:val="auto"/>
                <w:sz w:val="20"/>
                <w:szCs w:val="20"/>
                <w:lang w:bidi="en-US"/>
              </w:rPr>
              <w:t>完成信息主提供方的审批文件</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line="230" w:lineRule="auto"/>
              <w:ind w:firstLine="400"/>
              <w:jc w:val="left"/>
              <w:rPr>
                <w:color w:val="auto"/>
                <w:sz w:val="20"/>
                <w:szCs w:val="20"/>
              </w:rPr>
            </w:pPr>
            <w:r>
              <w:rPr>
                <w:rFonts w:hint="eastAsia" w:ascii="宋体" w:hAnsi="宋体" w:cs="宋体"/>
                <w:color w:val="auto"/>
                <w:sz w:val="20"/>
                <w:szCs w:val="20"/>
                <w:lang w:bidi="en-US"/>
              </w:rPr>
              <w:t>完成信息提供方的审批文件</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ind w:firstLine="400"/>
              <w:jc w:val="left"/>
              <w:rPr>
                <w:color w:val="auto"/>
                <w:sz w:val="20"/>
                <w:szCs w:val="20"/>
              </w:rPr>
            </w:pPr>
            <w:r>
              <w:rPr>
                <w:rFonts w:hint="eastAsia" w:ascii="宋体" w:hAnsi="宋体" w:cs="宋体"/>
                <w:color w:val="auto"/>
                <w:sz w:val="20"/>
                <w:szCs w:val="20"/>
                <w:lang w:bidi="en-US"/>
              </w:rPr>
              <w:t>调动资源</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ind w:firstLine="400"/>
              <w:jc w:val="left"/>
              <w:rPr>
                <w:color w:val="auto"/>
                <w:sz w:val="20"/>
                <w:szCs w:val="20"/>
              </w:rPr>
            </w:pPr>
            <w:r>
              <w:rPr>
                <w:rFonts w:hint="eastAsia" w:ascii="宋体" w:hAnsi="宋体" w:cs="宋体"/>
                <w:color w:val="auto"/>
                <w:sz w:val="20"/>
                <w:szCs w:val="20"/>
                <w:lang w:bidi="en-US"/>
              </w:rPr>
              <w:t>调配信息技术</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line="228" w:lineRule="auto"/>
              <w:ind w:firstLine="400"/>
              <w:jc w:val="left"/>
              <w:rPr>
                <w:color w:val="auto"/>
                <w:sz w:val="20"/>
                <w:szCs w:val="20"/>
              </w:rPr>
            </w:pPr>
            <w:r>
              <w:rPr>
                <w:rFonts w:hint="eastAsia" w:ascii="宋体" w:hAnsi="宋体" w:cs="宋体"/>
                <w:color w:val="auto"/>
                <w:sz w:val="20"/>
                <w:szCs w:val="20"/>
                <w:lang w:bidi="en-US"/>
              </w:rPr>
              <w:t>测试项目信息生产方法与流程</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line="230" w:lineRule="auto"/>
              <w:ind w:firstLine="400"/>
              <w:jc w:val="left"/>
              <w:rPr>
                <w:color w:val="auto"/>
                <w:sz w:val="20"/>
                <w:szCs w:val="20"/>
              </w:rPr>
            </w:pPr>
            <w:r>
              <w:rPr>
                <w:rFonts w:hint="eastAsia" w:ascii="宋体" w:hAnsi="宋体" w:cs="宋体"/>
                <w:color w:val="auto"/>
                <w:sz w:val="20"/>
                <w:szCs w:val="20"/>
                <w:lang w:bidi="en-US"/>
              </w:rPr>
              <w:t>检查参考信息与共享资源的可用性</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ind w:firstLine="400"/>
              <w:jc w:val="left"/>
              <w:rPr>
                <w:color w:val="auto"/>
                <w:sz w:val="20"/>
                <w:szCs w:val="20"/>
              </w:rPr>
            </w:pPr>
            <w:r>
              <w:rPr>
                <w:rFonts w:hint="eastAsia" w:ascii="宋体" w:hAnsi="宋体" w:cs="宋体"/>
                <w:color w:val="auto"/>
                <w:sz w:val="20"/>
                <w:szCs w:val="20"/>
                <w:lang w:bidi="en-US"/>
              </w:rPr>
              <w:t>生成信息</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ind w:firstLine="400"/>
              <w:jc w:val="left"/>
              <w:rPr>
                <w:color w:val="auto"/>
                <w:sz w:val="20"/>
                <w:szCs w:val="20"/>
              </w:rPr>
            </w:pPr>
            <w:r>
              <w:rPr>
                <w:rFonts w:hint="eastAsia" w:ascii="宋体" w:hAnsi="宋体" w:cs="宋体"/>
                <w:color w:val="auto"/>
                <w:sz w:val="20"/>
                <w:szCs w:val="20"/>
                <w:lang w:bidi="en-US"/>
              </w:rPr>
              <w:t>开展质量保障检查</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ind w:firstLine="400"/>
              <w:jc w:val="left"/>
              <w:rPr>
                <w:color w:val="auto"/>
                <w:sz w:val="20"/>
                <w:szCs w:val="20"/>
              </w:rPr>
            </w:pPr>
            <w:r>
              <w:rPr>
                <w:rFonts w:hint="eastAsia" w:ascii="宋体" w:hAnsi="宋体" w:cs="宋体"/>
                <w:color w:val="auto"/>
                <w:sz w:val="20"/>
                <w:szCs w:val="20"/>
                <w:lang w:bidi="en-US"/>
              </w:rPr>
              <w:t>审核信息并批准共享</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ind w:firstLine="400"/>
              <w:jc w:val="left"/>
              <w:rPr>
                <w:color w:val="auto"/>
                <w:sz w:val="20"/>
                <w:szCs w:val="20"/>
              </w:rPr>
            </w:pPr>
            <w:r>
              <w:rPr>
                <w:rFonts w:hint="eastAsia" w:ascii="宋体" w:hAnsi="宋体" w:cs="宋体"/>
                <w:color w:val="auto"/>
                <w:sz w:val="20"/>
                <w:szCs w:val="20"/>
                <w:lang w:bidi="en-US"/>
              </w:rPr>
              <w:t>信息模型审查</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line="230" w:lineRule="auto"/>
              <w:ind w:firstLine="400"/>
              <w:jc w:val="left"/>
              <w:rPr>
                <w:color w:val="auto"/>
                <w:sz w:val="20"/>
                <w:szCs w:val="20"/>
              </w:rPr>
            </w:pPr>
            <w:r>
              <w:rPr>
                <w:rFonts w:hint="eastAsia" w:ascii="宋体" w:hAnsi="宋体" w:cs="宋体"/>
                <w:color w:val="auto"/>
                <w:sz w:val="20"/>
                <w:szCs w:val="20"/>
                <w:lang w:bidi="en-US"/>
              </w:rPr>
              <w:t>提交信息模型给信息主提供方授权</w:t>
            </w:r>
          </w:p>
        </w:tc>
        <w:tc>
          <w:tcPr>
            <w:tcW w:w="1098" w:type="dxa"/>
            <w:tcBorders>
              <w:top w:val="single" w:color="auto" w:sz="4" w:space="0"/>
              <w:left w:val="single" w:color="auto" w:sz="4" w:space="0"/>
            </w:tcBorders>
            <w:shd w:val="clear" w:color="auto" w:fill="FFFFFF"/>
            <w:vAlign w:val="center"/>
          </w:tcPr>
          <w:p>
            <w:pPr>
              <w:pStyle w:val="666"/>
              <w:spacing w:after="0"/>
              <w:ind w:firstLine="400"/>
              <w:jc w:val="left"/>
              <w:rPr>
                <w:rFonts w:ascii="宋体" w:hAnsi="宋体" w:cs="宋体"/>
                <w:color w:val="auto"/>
                <w:sz w:val="20"/>
                <w:szCs w:val="20"/>
                <w:lang w:bidi="en-US"/>
              </w:rPr>
            </w:pPr>
          </w:p>
        </w:tc>
        <w:tc>
          <w:tcPr>
            <w:tcW w:w="957" w:type="dxa"/>
            <w:tcBorders>
              <w:top w:val="single" w:color="auto" w:sz="4" w:space="0"/>
              <w:left w:val="single" w:color="auto" w:sz="4" w:space="0"/>
            </w:tcBorders>
            <w:shd w:val="clear" w:color="auto" w:fill="FFFFFF"/>
            <w:vAlign w:val="center"/>
          </w:tcPr>
          <w:p>
            <w:pPr>
              <w:pStyle w:val="666"/>
              <w:spacing w:after="0"/>
              <w:ind w:firstLine="400"/>
              <w:jc w:val="left"/>
              <w:rPr>
                <w:rFonts w:ascii="宋体" w:hAnsi="宋体" w:cs="宋体"/>
                <w:color w:val="auto"/>
                <w:sz w:val="20"/>
                <w:szCs w:val="20"/>
                <w:lang w:bidi="en-US"/>
              </w:rPr>
            </w:pPr>
          </w:p>
        </w:tc>
        <w:tc>
          <w:tcPr>
            <w:tcW w:w="957" w:type="dxa"/>
            <w:tcBorders>
              <w:top w:val="single" w:color="auto" w:sz="4" w:space="0"/>
              <w:left w:val="single" w:color="auto" w:sz="4" w:space="0"/>
            </w:tcBorders>
            <w:shd w:val="clear" w:color="auto" w:fill="FFFFFF"/>
            <w:vAlign w:val="center"/>
          </w:tcPr>
          <w:p>
            <w:pPr>
              <w:pStyle w:val="666"/>
              <w:spacing w:after="0"/>
              <w:ind w:firstLine="400"/>
              <w:jc w:val="left"/>
              <w:rPr>
                <w:rFonts w:ascii="宋体" w:hAnsi="宋体" w:cs="宋体"/>
                <w:color w:val="auto"/>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pStyle w:val="666"/>
              <w:spacing w:after="0"/>
              <w:ind w:firstLine="400"/>
              <w:jc w:val="left"/>
              <w:rPr>
                <w:rFonts w:ascii="宋体" w:hAnsi="宋体" w:cs="宋体"/>
                <w:color w:val="auto"/>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ind w:firstLine="400"/>
              <w:jc w:val="left"/>
              <w:rPr>
                <w:color w:val="auto"/>
                <w:sz w:val="20"/>
                <w:szCs w:val="20"/>
              </w:rPr>
            </w:pPr>
            <w:r>
              <w:rPr>
                <w:rFonts w:hint="eastAsia" w:ascii="宋体" w:hAnsi="宋体" w:cs="宋体"/>
                <w:color w:val="auto"/>
                <w:sz w:val="20"/>
                <w:szCs w:val="20"/>
                <w:lang w:bidi="en-US"/>
              </w:rPr>
              <w:t>信息模型的审查与授权</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line="230" w:lineRule="auto"/>
              <w:ind w:firstLine="400"/>
              <w:jc w:val="left"/>
              <w:rPr>
                <w:color w:val="auto"/>
                <w:sz w:val="20"/>
                <w:szCs w:val="20"/>
              </w:rPr>
            </w:pPr>
            <w:r>
              <w:rPr>
                <w:rFonts w:hint="eastAsia" w:ascii="宋体" w:hAnsi="宋体" w:cs="宋体"/>
                <w:color w:val="auto"/>
                <w:sz w:val="20"/>
                <w:szCs w:val="20"/>
                <w:lang w:bidi="en-US"/>
              </w:rPr>
              <w:t>提交信息模型给信息接收方验收</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ind w:firstLine="400"/>
              <w:jc w:val="left"/>
              <w:rPr>
                <w:color w:val="auto"/>
                <w:sz w:val="20"/>
                <w:szCs w:val="20"/>
              </w:rPr>
            </w:pPr>
            <w:r>
              <w:rPr>
                <w:rFonts w:hint="eastAsia" w:ascii="宋体" w:hAnsi="宋体" w:cs="宋体"/>
                <w:color w:val="auto"/>
                <w:sz w:val="20"/>
                <w:szCs w:val="20"/>
                <w:lang w:bidi="en-US"/>
              </w:rPr>
              <w:t>审查并接受信息模型</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tcBorders>
            <w:shd w:val="clear" w:color="auto" w:fill="FFFFFF"/>
            <w:vAlign w:val="center"/>
          </w:tcPr>
          <w:p>
            <w:pPr>
              <w:pStyle w:val="666"/>
              <w:spacing w:after="0"/>
              <w:ind w:firstLine="400"/>
              <w:jc w:val="left"/>
              <w:rPr>
                <w:color w:val="auto"/>
                <w:sz w:val="20"/>
                <w:szCs w:val="20"/>
              </w:rPr>
            </w:pPr>
            <w:r>
              <w:rPr>
                <w:rFonts w:hint="eastAsia" w:ascii="宋体" w:hAnsi="宋体" w:cs="宋体"/>
                <w:color w:val="auto"/>
                <w:sz w:val="20"/>
                <w:szCs w:val="20"/>
                <w:lang w:bidi="en-US"/>
              </w:rPr>
              <w:t>项目信息模型归档</w:t>
            </w:r>
          </w:p>
        </w:tc>
        <w:tc>
          <w:tcPr>
            <w:tcW w:w="1098"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4121" w:type="dxa"/>
            <w:tcBorders>
              <w:top w:val="single" w:color="auto" w:sz="4" w:space="0"/>
              <w:left w:val="single" w:color="auto" w:sz="4" w:space="0"/>
              <w:bottom w:val="single" w:color="auto" w:sz="4" w:space="0"/>
            </w:tcBorders>
            <w:shd w:val="clear" w:color="auto" w:fill="FFFFFF"/>
            <w:vAlign w:val="center"/>
          </w:tcPr>
          <w:p>
            <w:pPr>
              <w:pStyle w:val="666"/>
              <w:spacing w:after="0"/>
              <w:ind w:firstLine="400"/>
              <w:jc w:val="left"/>
              <w:rPr>
                <w:color w:val="auto"/>
                <w:sz w:val="20"/>
                <w:szCs w:val="20"/>
              </w:rPr>
            </w:pPr>
            <w:r>
              <w:rPr>
                <w:rFonts w:hint="eastAsia" w:ascii="宋体" w:hAnsi="宋体" w:cs="宋体"/>
                <w:color w:val="auto"/>
                <w:sz w:val="20"/>
                <w:szCs w:val="20"/>
                <w:lang w:bidi="en-US"/>
              </w:rPr>
              <w:t>为将来项目汲取经验教训</w:t>
            </w:r>
          </w:p>
        </w:tc>
        <w:tc>
          <w:tcPr>
            <w:tcW w:w="1098" w:type="dxa"/>
            <w:tcBorders>
              <w:top w:val="single" w:color="auto" w:sz="4" w:space="0"/>
              <w:left w:val="single" w:color="auto" w:sz="4" w:space="0"/>
              <w:bottom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bottom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bottom w:val="single" w:color="auto" w:sz="4" w:space="0"/>
            </w:tcBorders>
            <w:shd w:val="clear" w:color="auto" w:fill="FFFFFF"/>
            <w:vAlign w:val="center"/>
          </w:tcPr>
          <w:p>
            <w:pPr>
              <w:ind w:firstLine="400"/>
              <w:rPr>
                <w:rFonts w:ascii="宋体" w:hAnsi="宋体" w:cs="宋体"/>
                <w:color w:val="auto"/>
                <w:kern w:val="2"/>
                <w:sz w:val="20"/>
                <w:szCs w:val="20"/>
                <w:lang w:bidi="en-US"/>
              </w:rPr>
            </w:pPr>
          </w:p>
        </w:tc>
        <w:tc>
          <w:tcPr>
            <w:tcW w:w="957"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rPr>
                <w:rFonts w:ascii="宋体" w:hAnsi="宋体" w:cs="宋体"/>
                <w:color w:val="auto"/>
                <w:kern w:val="2"/>
                <w:sz w:val="20"/>
                <w:szCs w:val="20"/>
                <w:lang w:bidi="en-US"/>
              </w:rPr>
            </w:pPr>
          </w:p>
        </w:tc>
      </w:tr>
      <w:tr>
        <w:tblPrEx>
          <w:tblLayout w:type="fixed"/>
          <w:tblCellMar>
            <w:top w:w="0" w:type="dxa"/>
            <w:left w:w="10" w:type="dxa"/>
            <w:bottom w:w="0" w:type="dxa"/>
            <w:right w:w="10" w:type="dxa"/>
          </w:tblCellMar>
        </w:tblPrEx>
        <w:trPr>
          <w:trHeight w:val="312" w:hRule="exact"/>
          <w:jc w:val="center"/>
        </w:trPr>
        <w:tc>
          <w:tcPr>
            <w:tcW w:w="8090"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pPr>
              <w:pStyle w:val="666"/>
              <w:spacing w:after="40"/>
              <w:ind w:firstLine="400" w:firstLineChars="200"/>
              <w:rPr>
                <w:b/>
                <w:color w:val="auto"/>
                <w:sz w:val="10"/>
                <w:szCs w:val="10"/>
              </w:rPr>
            </w:pPr>
            <w:r>
              <w:rPr>
                <w:rFonts w:hint="eastAsia" w:ascii="宋体" w:hAnsi="宋体" w:cs="宋体"/>
                <w:b/>
                <w:color w:val="auto"/>
                <w:sz w:val="20"/>
                <w:szCs w:val="20"/>
                <w:lang w:bidi="en-US"/>
              </w:rPr>
              <w:t>注：</w:t>
            </w:r>
            <w:r>
              <w:rPr>
                <w:rFonts w:ascii="Times New Roman" w:hAnsi="Times New Roman" w:eastAsia="Times New Roman"/>
                <w:b/>
                <w:color w:val="auto"/>
                <w:sz w:val="20"/>
                <w:szCs w:val="20"/>
                <w:lang w:bidi="en-US"/>
              </w:rPr>
              <w:t>R</w:t>
            </w:r>
            <w:r>
              <w:rPr>
                <w:rFonts w:hint="eastAsia" w:ascii="宋体" w:hAnsi="宋体" w:cs="宋体"/>
                <w:b/>
                <w:color w:val="auto"/>
                <w:sz w:val="20"/>
                <w:szCs w:val="20"/>
                <w:lang w:bidi="en-US"/>
              </w:rPr>
              <w:t>负责实施活动，</w:t>
            </w:r>
            <w:r>
              <w:rPr>
                <w:rFonts w:ascii="Times New Roman" w:hAnsi="Times New Roman" w:eastAsia="Times New Roman"/>
                <w:b/>
                <w:color w:val="auto"/>
                <w:sz w:val="20"/>
                <w:szCs w:val="20"/>
                <w:lang w:bidi="en-US"/>
              </w:rPr>
              <w:t>C</w:t>
            </w:r>
            <w:r>
              <w:rPr>
                <w:rFonts w:hint="eastAsia" w:ascii="宋体" w:hAnsi="宋体" w:cs="宋体"/>
                <w:b/>
                <w:color w:val="auto"/>
                <w:sz w:val="20"/>
                <w:szCs w:val="20"/>
                <w:lang w:bidi="en-US"/>
              </w:rPr>
              <w:t>活动期间咨询，</w:t>
            </w:r>
            <w:r>
              <w:rPr>
                <w:rFonts w:ascii="Times New Roman" w:hAnsi="Times New Roman" w:eastAsia="Times New Roman"/>
                <w:b/>
                <w:color w:val="auto"/>
                <w:sz w:val="20"/>
                <w:szCs w:val="20"/>
                <w:lang w:bidi="en-US"/>
              </w:rPr>
              <w:t>A</w:t>
            </w:r>
            <w:r>
              <w:rPr>
                <w:rFonts w:hint="eastAsia" w:ascii="宋体" w:hAnsi="宋体" w:cs="宋体"/>
                <w:b/>
                <w:color w:val="auto"/>
                <w:sz w:val="20"/>
                <w:szCs w:val="20"/>
                <w:lang w:bidi="en-US"/>
              </w:rPr>
              <w:t>对活动完成负责，</w:t>
            </w:r>
            <w:r>
              <w:rPr>
                <w:rFonts w:ascii="Times New Roman" w:hAnsi="Times New Roman" w:eastAsia="Times New Roman"/>
                <w:b/>
                <w:color w:val="auto"/>
                <w:sz w:val="20"/>
                <w:szCs w:val="20"/>
                <w:lang w:bidi="en-US"/>
              </w:rPr>
              <w:t>I</w:t>
            </w:r>
            <w:r>
              <w:rPr>
                <w:rFonts w:hint="eastAsia" w:ascii="宋体" w:hAnsi="宋体" w:cs="宋体"/>
                <w:b/>
                <w:color w:val="auto"/>
                <w:sz w:val="20"/>
                <w:szCs w:val="20"/>
                <w:lang w:bidi="en-US"/>
              </w:rPr>
              <w:t>通知活动完成后任务。</w:t>
            </w:r>
          </w:p>
        </w:tc>
      </w:tr>
    </w:tbl>
    <w:p>
      <w:pPr>
        <w:ind w:firstLine="0" w:firstLineChars="0"/>
        <w:rPr>
          <w:rFonts w:eastAsiaTheme="minorEastAsia"/>
          <w:color w:val="auto"/>
          <w:szCs w:val="32"/>
        </w:rPr>
      </w:pPr>
      <w:r>
        <w:rPr>
          <w:rFonts w:hint="eastAsia" w:eastAsiaTheme="minorEastAsia"/>
          <w:color w:val="auto"/>
          <w:szCs w:val="32"/>
          <w:lang w:eastAsia="zh-CN"/>
        </w:rPr>
        <w:t>4.8.</w:t>
      </w:r>
      <w:r>
        <w:rPr>
          <w:rFonts w:eastAsiaTheme="minorEastAsia"/>
          <w:color w:val="auto"/>
          <w:szCs w:val="32"/>
        </w:rPr>
        <w:t>6</w:t>
      </w:r>
      <w:r>
        <w:rPr>
          <w:rFonts w:hint="eastAsia" w:eastAsiaTheme="minorEastAsia"/>
          <w:color w:val="auto"/>
          <w:szCs w:val="32"/>
          <w:lang w:eastAsia="zh-CN"/>
        </w:rPr>
        <w:t xml:space="preserve">  </w:t>
      </w:r>
      <w:r>
        <w:rPr>
          <w:rFonts w:hint="eastAsia" w:eastAsiaTheme="minorEastAsia"/>
          <w:color w:val="auto"/>
          <w:szCs w:val="32"/>
        </w:rPr>
        <w:t xml:space="preserve">数据检查及审查工作可以有效提升协同过程中数据产生的质量，降低应用过程中的风险 </w:t>
      </w:r>
      <w:r>
        <w:rPr>
          <w:rFonts w:eastAsiaTheme="minorEastAsia"/>
          <w:color w:val="auto"/>
          <w:szCs w:val="32"/>
        </w:rPr>
        <w:t>。</w:t>
      </w:r>
    </w:p>
    <w:p>
      <w:pPr>
        <w:adjustRightInd w:val="0"/>
        <w:snapToGrid w:val="0"/>
        <w:ind w:firstLine="0" w:firstLineChars="0"/>
        <w:rPr>
          <w:b/>
          <w:i/>
          <w:color w:val="auto"/>
        </w:rPr>
      </w:pPr>
    </w:p>
    <w:p>
      <w:pPr>
        <w:rPr>
          <w:b/>
          <w:i/>
          <w:color w:val="auto"/>
        </w:rPr>
      </w:pPr>
      <w:r>
        <w:rPr>
          <w:b/>
          <w:i/>
          <w:color w:val="auto"/>
        </w:rPr>
        <w:br w:type="page"/>
      </w:r>
    </w:p>
    <w:p>
      <w:pPr>
        <w:pStyle w:val="2"/>
        <w:numPr>
          <w:ilvl w:val="0"/>
          <w:numId w:val="13"/>
        </w:numPr>
        <w:spacing w:before="312" w:after="312"/>
        <w:jc w:val="center"/>
        <w:rPr>
          <w:rFonts w:hint="default"/>
          <w:color w:val="auto"/>
          <w:lang w:val="en-US" w:eastAsia="zh-CN"/>
        </w:rPr>
      </w:pPr>
      <w:r>
        <w:rPr>
          <w:rFonts w:hint="eastAsia"/>
          <w:color w:val="auto"/>
          <w:lang w:val="en-US" w:eastAsia="zh-CN"/>
        </w:rPr>
        <w:t xml:space="preserve">   工程前期阶段</w:t>
      </w:r>
    </w:p>
    <w:p>
      <w:pPr>
        <w:pStyle w:val="3"/>
        <w:jc w:val="center"/>
        <w:rPr>
          <w:color w:val="auto"/>
        </w:rPr>
      </w:pPr>
      <w:r>
        <w:rPr>
          <w:color w:val="auto"/>
        </w:rPr>
        <w:t>5.1 一般规定</w:t>
      </w:r>
    </w:p>
    <w:p>
      <w:pPr>
        <w:ind w:firstLine="0" w:firstLineChars="0"/>
        <w:rPr>
          <w:rFonts w:eastAsiaTheme="minorEastAsia"/>
          <w:color w:val="auto"/>
          <w:szCs w:val="32"/>
        </w:rPr>
      </w:pPr>
      <w:r>
        <w:rPr>
          <w:rFonts w:eastAsiaTheme="minorEastAsia"/>
          <w:color w:val="auto"/>
          <w:szCs w:val="32"/>
        </w:rPr>
        <w:t>5.1.1</w:t>
      </w:r>
      <w:r>
        <w:rPr>
          <w:rFonts w:hint="eastAsia" w:eastAsiaTheme="minorEastAsia"/>
          <w:color w:val="auto"/>
          <w:szCs w:val="32"/>
          <w:lang w:eastAsia="zh-CN"/>
        </w:rPr>
        <w:t xml:space="preserve">  </w:t>
      </w:r>
      <w:r>
        <w:rPr>
          <w:rFonts w:hint="eastAsia" w:eastAsiaTheme="minorEastAsia"/>
          <w:color w:val="auto"/>
          <w:szCs w:val="32"/>
        </w:rPr>
        <w:t>城市道路工程设计</w:t>
      </w:r>
      <w:r>
        <w:rPr>
          <w:rFonts w:eastAsiaTheme="minorEastAsia"/>
          <w:color w:val="auto"/>
          <w:szCs w:val="32"/>
        </w:rPr>
        <w:t>方案</w:t>
      </w:r>
      <w:r>
        <w:rPr>
          <w:rFonts w:hint="eastAsia" w:eastAsiaTheme="minorEastAsia"/>
          <w:color w:val="auto"/>
          <w:szCs w:val="32"/>
        </w:rPr>
        <w:t>信息</w:t>
      </w:r>
      <w:r>
        <w:rPr>
          <w:rFonts w:eastAsiaTheme="minorEastAsia"/>
          <w:color w:val="auto"/>
          <w:szCs w:val="32"/>
        </w:rPr>
        <w:t>模型宜包含且不限于如下基础信息：</w:t>
      </w:r>
    </w:p>
    <w:p>
      <w:pPr>
        <w:ind w:firstLine="480" w:firstLineChars="200"/>
        <w:rPr>
          <w:rFonts w:eastAsiaTheme="minorEastAsia"/>
          <w:color w:val="auto"/>
          <w:szCs w:val="32"/>
        </w:rPr>
      </w:pPr>
      <w:r>
        <w:rPr>
          <w:rFonts w:eastAsiaTheme="minorEastAsia"/>
          <w:color w:val="auto"/>
          <w:szCs w:val="32"/>
        </w:rPr>
        <w:t>1</w:t>
      </w:r>
      <w:r>
        <w:rPr>
          <w:rFonts w:hint="eastAsia" w:eastAsiaTheme="minorEastAsia"/>
          <w:color w:val="auto"/>
          <w:szCs w:val="32"/>
          <w:lang w:val="en-US" w:eastAsia="zh-CN"/>
        </w:rPr>
        <w:t xml:space="preserve"> </w:t>
      </w:r>
      <w:r>
        <w:rPr>
          <w:rFonts w:eastAsiaTheme="minorEastAsia"/>
          <w:color w:val="auto"/>
          <w:szCs w:val="32"/>
        </w:rPr>
        <w:t>项目总体信息：项目名称、背景、编号以及功能定位说明、项目建设单位信息、项目的投资性质、技术标准、设计指标、时间进度需求等。</w:t>
      </w:r>
    </w:p>
    <w:p>
      <w:pPr>
        <w:ind w:firstLine="480" w:firstLineChars="200"/>
        <w:rPr>
          <w:rFonts w:eastAsiaTheme="minorEastAsia"/>
          <w:color w:val="auto"/>
          <w:szCs w:val="32"/>
        </w:rPr>
      </w:pPr>
      <w:r>
        <w:rPr>
          <w:rFonts w:eastAsiaTheme="minorEastAsia"/>
          <w:color w:val="auto"/>
          <w:szCs w:val="32"/>
        </w:rPr>
        <w:t>2</w:t>
      </w:r>
      <w:r>
        <w:rPr>
          <w:rFonts w:hint="eastAsia" w:eastAsiaTheme="minorEastAsia"/>
          <w:color w:val="auto"/>
          <w:szCs w:val="32"/>
          <w:lang w:val="en-US" w:eastAsia="zh-CN"/>
        </w:rPr>
        <w:t xml:space="preserve"> </w:t>
      </w:r>
      <w:r>
        <w:rPr>
          <w:rFonts w:eastAsiaTheme="minorEastAsia"/>
          <w:color w:val="auto"/>
          <w:szCs w:val="32"/>
        </w:rPr>
        <w:t>基础资料：规划资料（含项目规划、周边路网规划、其它与项目相关的规划资料等）、现状条件及环境资料（包含环境敏感区资料，如环境敏感区、水资源保护区、文物保护区、军管区等）、主要地下管网、踏勘资料、所在地区的历史人文信息、水文、河道航道等级等。</w:t>
      </w:r>
    </w:p>
    <w:p>
      <w:pPr>
        <w:ind w:firstLine="480" w:firstLineChars="200"/>
        <w:rPr>
          <w:rFonts w:eastAsiaTheme="minorEastAsia"/>
          <w:color w:val="auto"/>
          <w:szCs w:val="32"/>
        </w:rPr>
      </w:pPr>
      <w:r>
        <w:rPr>
          <w:rFonts w:eastAsiaTheme="minorEastAsia"/>
          <w:color w:val="auto"/>
          <w:szCs w:val="32"/>
        </w:rPr>
        <w:t>3</w:t>
      </w:r>
      <w:r>
        <w:rPr>
          <w:rFonts w:hint="eastAsia" w:eastAsiaTheme="minorEastAsia"/>
          <w:color w:val="auto"/>
          <w:szCs w:val="32"/>
          <w:lang w:val="en-US" w:eastAsia="zh-CN"/>
        </w:rPr>
        <w:t xml:space="preserve"> </w:t>
      </w:r>
      <w:r>
        <w:rPr>
          <w:rFonts w:eastAsiaTheme="minorEastAsia"/>
          <w:color w:val="auto"/>
          <w:szCs w:val="32"/>
        </w:rPr>
        <w:t>依据类文件：项目任务书或委托文件、项目建议书、环保部门审批文件、建设用地预审文件、城市规划部门的评审意见、项目资本金承诺证明以及银行等金融机构对项目贷款的承诺函等。</w:t>
      </w:r>
    </w:p>
    <w:p>
      <w:pPr>
        <w:ind w:firstLine="480" w:firstLineChars="200"/>
        <w:rPr>
          <w:rFonts w:eastAsiaTheme="minorEastAsia"/>
          <w:color w:val="auto"/>
          <w:szCs w:val="32"/>
        </w:rPr>
      </w:pPr>
      <w:r>
        <w:rPr>
          <w:rFonts w:eastAsiaTheme="minorEastAsia"/>
          <w:color w:val="auto"/>
          <w:szCs w:val="32"/>
        </w:rPr>
        <w:t>4</w:t>
      </w:r>
      <w:r>
        <w:rPr>
          <w:rFonts w:hint="eastAsia" w:eastAsiaTheme="minorEastAsia"/>
          <w:color w:val="auto"/>
          <w:szCs w:val="32"/>
          <w:lang w:val="en-US" w:eastAsia="zh-CN"/>
        </w:rPr>
        <w:t xml:space="preserve"> </w:t>
      </w:r>
      <w:r>
        <w:rPr>
          <w:rFonts w:eastAsiaTheme="minorEastAsia"/>
          <w:color w:val="auto"/>
          <w:szCs w:val="32"/>
        </w:rPr>
        <w:t>其它资料信息：会议纪要或资料、政策依据类文件等。</w:t>
      </w:r>
    </w:p>
    <w:p>
      <w:pPr>
        <w:ind w:firstLine="480" w:firstLineChars="200"/>
        <w:rPr>
          <w:rFonts w:eastAsiaTheme="minorEastAsia"/>
          <w:color w:val="auto"/>
          <w:szCs w:val="32"/>
        </w:rPr>
      </w:pPr>
      <w:r>
        <w:rPr>
          <w:rFonts w:eastAsiaTheme="minorEastAsia"/>
          <w:color w:val="auto"/>
          <w:szCs w:val="32"/>
        </w:rPr>
        <w:t>通过数字化的规划资源及数字模型可以高质量、高效</w:t>
      </w:r>
      <w:r>
        <w:rPr>
          <w:rFonts w:hint="eastAsia" w:eastAsiaTheme="minorEastAsia"/>
          <w:color w:val="auto"/>
          <w:szCs w:val="32"/>
        </w:rPr>
        <w:t>地</w:t>
      </w:r>
      <w:r>
        <w:rPr>
          <w:rFonts w:eastAsiaTheme="minorEastAsia"/>
          <w:color w:val="auto"/>
          <w:szCs w:val="32"/>
        </w:rPr>
        <w:t>完成规划方案设计与</w:t>
      </w:r>
      <w:r>
        <w:rPr>
          <w:rFonts w:hint="eastAsia" w:eastAsiaTheme="minorEastAsia"/>
          <w:color w:val="auto"/>
          <w:szCs w:val="32"/>
        </w:rPr>
        <w:t>规划审批、规划管理等</w:t>
      </w:r>
      <w:r>
        <w:rPr>
          <w:rFonts w:eastAsiaTheme="minorEastAsia"/>
          <w:color w:val="auto"/>
          <w:szCs w:val="32"/>
        </w:rPr>
        <w:t>方面的工作。</w:t>
      </w:r>
    </w:p>
    <w:p>
      <w:pPr>
        <w:ind w:firstLine="0" w:firstLineChars="0"/>
        <w:rPr>
          <w:color w:val="auto"/>
        </w:rPr>
      </w:pPr>
      <w:r>
        <w:rPr>
          <w:rFonts w:eastAsiaTheme="minorEastAsia"/>
          <w:color w:val="auto"/>
          <w:szCs w:val="32"/>
        </w:rPr>
        <w:t>5.1.6</w:t>
      </w:r>
      <w:r>
        <w:rPr>
          <w:rFonts w:hint="eastAsia" w:eastAsiaTheme="minorEastAsia"/>
          <w:color w:val="auto"/>
          <w:szCs w:val="32"/>
          <w:lang w:eastAsia="zh-CN"/>
        </w:rPr>
        <w:t xml:space="preserve">  </w:t>
      </w:r>
      <w:r>
        <w:rPr>
          <w:rFonts w:eastAsiaTheme="minorEastAsia"/>
          <w:color w:val="auto"/>
          <w:szCs w:val="32"/>
        </w:rPr>
        <w:t>城市道路工程信息模型</w:t>
      </w:r>
      <w:r>
        <w:rPr>
          <w:rFonts w:hint="eastAsia" w:eastAsiaTheme="minorEastAsia"/>
          <w:color w:val="auto"/>
          <w:szCs w:val="32"/>
        </w:rPr>
        <w:t>工程前期阶段</w:t>
      </w:r>
      <w:r>
        <w:rPr>
          <w:rFonts w:eastAsiaTheme="minorEastAsia"/>
          <w:color w:val="auto"/>
          <w:szCs w:val="32"/>
        </w:rPr>
        <w:t>报批数据交付物包含设计方案模型以及工程</w:t>
      </w:r>
      <w:r>
        <w:rPr>
          <w:rFonts w:hint="eastAsia" w:eastAsiaTheme="minorEastAsia"/>
          <w:color w:val="auto"/>
          <w:szCs w:val="32"/>
        </w:rPr>
        <w:t>设计</w:t>
      </w:r>
      <w:r>
        <w:rPr>
          <w:rFonts w:eastAsiaTheme="minorEastAsia"/>
          <w:color w:val="auto"/>
          <w:szCs w:val="32"/>
        </w:rPr>
        <w:t>方案图纸等文件级相关的审查资料，其中工程</w:t>
      </w:r>
      <w:r>
        <w:rPr>
          <w:rFonts w:hint="eastAsia" w:eastAsiaTheme="minorEastAsia"/>
          <w:color w:val="auto"/>
          <w:szCs w:val="32"/>
        </w:rPr>
        <w:t>设计</w:t>
      </w:r>
      <w:r>
        <w:rPr>
          <w:rFonts w:eastAsiaTheme="minorEastAsia"/>
          <w:color w:val="auto"/>
          <w:szCs w:val="32"/>
        </w:rPr>
        <w:t>方案图纸应与设计方案模型内容一致。</w:t>
      </w:r>
    </w:p>
    <w:p>
      <w:pPr>
        <w:ind w:firstLine="0" w:firstLineChars="0"/>
        <w:rPr>
          <w:rFonts w:eastAsiaTheme="minorEastAsia"/>
          <w:color w:val="auto"/>
          <w:szCs w:val="32"/>
        </w:rPr>
      </w:pPr>
      <w:r>
        <w:rPr>
          <w:rFonts w:eastAsiaTheme="minorEastAsia"/>
          <w:color w:val="auto"/>
          <w:szCs w:val="32"/>
        </w:rPr>
        <w:t>5.2.1</w:t>
      </w:r>
      <w:r>
        <w:rPr>
          <w:rFonts w:hint="eastAsia" w:eastAsiaTheme="minorEastAsia"/>
          <w:color w:val="auto"/>
          <w:szCs w:val="32"/>
          <w:lang w:eastAsia="zh-CN"/>
        </w:rPr>
        <w:t xml:space="preserve">  </w:t>
      </w:r>
      <w:r>
        <w:rPr>
          <w:rFonts w:hint="eastAsia"/>
          <w:color w:val="auto"/>
        </w:rPr>
        <w:t>方案信息模型</w:t>
      </w:r>
      <w:r>
        <w:rPr>
          <w:rFonts w:eastAsiaTheme="minorEastAsia"/>
          <w:color w:val="auto"/>
          <w:szCs w:val="32"/>
        </w:rPr>
        <w:t>应包含场地模型</w:t>
      </w:r>
      <w:r>
        <w:rPr>
          <w:rFonts w:hint="eastAsia" w:eastAsiaTheme="minorEastAsia"/>
          <w:color w:val="auto"/>
          <w:szCs w:val="32"/>
        </w:rPr>
        <w:t>以及</w:t>
      </w:r>
      <w:r>
        <w:rPr>
          <w:rFonts w:eastAsiaTheme="minorEastAsia"/>
          <w:color w:val="auto"/>
          <w:szCs w:val="32"/>
        </w:rPr>
        <w:t>相关专业方案模型等，应能</w:t>
      </w:r>
      <w:r>
        <w:rPr>
          <w:rFonts w:hint="eastAsia" w:eastAsiaTheme="minorEastAsia"/>
          <w:color w:val="auto"/>
          <w:szCs w:val="32"/>
        </w:rPr>
        <w:t>进行多</w:t>
      </w:r>
      <w:r>
        <w:rPr>
          <w:rFonts w:eastAsiaTheme="minorEastAsia"/>
          <w:color w:val="auto"/>
          <w:szCs w:val="32"/>
        </w:rPr>
        <w:t>方案比选</w:t>
      </w:r>
      <w:r>
        <w:rPr>
          <w:rFonts w:hint="eastAsia" w:eastAsiaTheme="minorEastAsia"/>
          <w:color w:val="auto"/>
          <w:szCs w:val="32"/>
        </w:rPr>
        <w:t>预评估</w:t>
      </w:r>
      <w:r>
        <w:rPr>
          <w:rFonts w:eastAsiaTheme="minorEastAsia"/>
          <w:color w:val="auto"/>
          <w:szCs w:val="32"/>
        </w:rPr>
        <w:t>等。轻量化展示以及多功能漫游展示可以更好地加深对项目使用功能的理解以及对项目建成后效果的评估。</w:t>
      </w:r>
    </w:p>
    <w:p>
      <w:pPr>
        <w:ind w:firstLine="0" w:firstLineChars="0"/>
        <w:rPr>
          <w:rFonts w:eastAsiaTheme="minorEastAsia"/>
          <w:color w:val="auto"/>
          <w:szCs w:val="32"/>
        </w:rPr>
      </w:pPr>
      <w:r>
        <w:rPr>
          <w:rFonts w:eastAsiaTheme="minorEastAsia"/>
          <w:color w:val="auto"/>
          <w:szCs w:val="32"/>
        </w:rPr>
        <w:t>5.2.</w:t>
      </w:r>
      <w:r>
        <w:rPr>
          <w:rFonts w:hint="eastAsia" w:eastAsiaTheme="minorEastAsia"/>
          <w:color w:val="auto"/>
          <w:szCs w:val="32"/>
        </w:rPr>
        <w:t>2</w:t>
      </w:r>
      <w:r>
        <w:rPr>
          <w:rFonts w:hint="eastAsia" w:eastAsiaTheme="minorEastAsia"/>
          <w:color w:val="auto"/>
          <w:szCs w:val="32"/>
          <w:lang w:eastAsia="zh-CN"/>
        </w:rPr>
        <w:t xml:space="preserve">  </w:t>
      </w:r>
      <w:r>
        <w:rPr>
          <w:rFonts w:eastAsiaTheme="minorEastAsia"/>
          <w:color w:val="auto"/>
          <w:szCs w:val="32"/>
        </w:rPr>
        <w:t>关键</w:t>
      </w:r>
      <w:r>
        <w:rPr>
          <w:rFonts w:hint="eastAsia" w:eastAsiaTheme="minorEastAsia"/>
          <w:color w:val="auto"/>
          <w:szCs w:val="32"/>
        </w:rPr>
        <w:t>指标</w:t>
      </w:r>
      <w:r>
        <w:rPr>
          <w:rFonts w:eastAsiaTheme="minorEastAsia"/>
          <w:color w:val="auto"/>
          <w:szCs w:val="32"/>
        </w:rPr>
        <w:t>及相关信息资源的快速查询与对比分析应用，可以辅助高效完成项目评估与</w:t>
      </w:r>
      <w:r>
        <w:rPr>
          <w:rFonts w:hint="eastAsia" w:eastAsiaTheme="minorEastAsia"/>
          <w:color w:val="auto"/>
          <w:szCs w:val="32"/>
        </w:rPr>
        <w:t>评审</w:t>
      </w:r>
      <w:r>
        <w:rPr>
          <w:rFonts w:eastAsiaTheme="minorEastAsia"/>
          <w:color w:val="auto"/>
          <w:szCs w:val="32"/>
        </w:rPr>
        <w:t>等工作。</w:t>
      </w:r>
    </w:p>
    <w:p>
      <w:pPr>
        <w:ind w:firstLine="0" w:firstLineChars="0"/>
        <w:rPr>
          <w:b/>
          <w:i/>
          <w:color w:val="auto"/>
        </w:rPr>
      </w:pPr>
      <w:r>
        <w:rPr>
          <w:rFonts w:eastAsiaTheme="minorEastAsia"/>
          <w:color w:val="auto"/>
          <w:szCs w:val="32"/>
        </w:rPr>
        <w:t>5.2.</w:t>
      </w:r>
      <w:r>
        <w:rPr>
          <w:rFonts w:hint="eastAsia" w:eastAsiaTheme="minorEastAsia"/>
          <w:color w:val="auto"/>
          <w:szCs w:val="32"/>
        </w:rPr>
        <w:t>3</w:t>
      </w:r>
      <w:r>
        <w:rPr>
          <w:rFonts w:hint="eastAsia" w:eastAsiaTheme="minorEastAsia"/>
          <w:color w:val="auto"/>
          <w:szCs w:val="32"/>
          <w:lang w:val="en-US" w:eastAsia="zh-CN"/>
        </w:rPr>
        <w:t xml:space="preserve">  </w:t>
      </w:r>
      <w:r>
        <w:rPr>
          <w:rFonts w:hint="eastAsia"/>
          <w:color w:val="auto"/>
        </w:rPr>
        <w:t>方案信息模型</w:t>
      </w:r>
      <w:r>
        <w:rPr>
          <w:rFonts w:hint="eastAsia" w:eastAsiaTheme="minorEastAsia"/>
          <w:color w:val="auto"/>
          <w:szCs w:val="32"/>
        </w:rPr>
        <w:t>交付成果中应包含规划审批需要的关键指标信息，包括关键设计技术指标、红线范围、沿线征地及建筑物等征拆数量、关键节点交通组织、工程投资估算等信息以及漫游成果展示及对模型的检查与评估报告等内容。</w:t>
      </w:r>
    </w:p>
    <w:p>
      <w:pPr>
        <w:ind w:firstLine="0" w:firstLineChars="0"/>
        <w:rPr>
          <w:b/>
          <w:i/>
          <w:color w:val="auto"/>
        </w:rPr>
      </w:pPr>
    </w:p>
    <w:p>
      <w:pPr>
        <w:pStyle w:val="2"/>
        <w:numPr>
          <w:ilvl w:val="0"/>
          <w:numId w:val="13"/>
        </w:numPr>
        <w:spacing w:before="312" w:after="312"/>
        <w:jc w:val="center"/>
        <w:rPr>
          <w:rFonts w:hint="default"/>
          <w:color w:val="auto"/>
          <w:lang w:val="en-US" w:eastAsia="zh-CN"/>
        </w:rPr>
      </w:pPr>
      <w:r>
        <w:rPr>
          <w:rFonts w:hint="eastAsia"/>
          <w:color w:val="auto"/>
          <w:lang w:val="en-US" w:eastAsia="zh-CN"/>
        </w:rPr>
        <w:t xml:space="preserve">   勘察设计阶段</w:t>
      </w:r>
    </w:p>
    <w:p>
      <w:pPr>
        <w:pStyle w:val="3"/>
        <w:jc w:val="center"/>
        <w:rPr>
          <w:color w:val="auto"/>
        </w:rPr>
      </w:pPr>
      <w:r>
        <w:rPr>
          <w:color w:val="auto"/>
        </w:rPr>
        <w:t>6.1 一般规定</w:t>
      </w:r>
    </w:p>
    <w:p>
      <w:pPr>
        <w:ind w:firstLine="0" w:firstLineChars="0"/>
        <w:rPr>
          <w:rFonts w:eastAsiaTheme="minorEastAsia"/>
          <w:color w:val="auto"/>
          <w:szCs w:val="32"/>
        </w:rPr>
      </w:pPr>
      <w:r>
        <w:rPr>
          <w:rFonts w:eastAsiaTheme="minorEastAsia"/>
          <w:color w:val="auto"/>
          <w:szCs w:val="32"/>
        </w:rPr>
        <w:t>6.1.1</w:t>
      </w:r>
      <w:r>
        <w:rPr>
          <w:rFonts w:hint="eastAsia" w:eastAsiaTheme="minorEastAsia"/>
          <w:color w:val="auto"/>
          <w:szCs w:val="32"/>
          <w:lang w:eastAsia="zh-CN"/>
        </w:rPr>
        <w:t xml:space="preserve">  </w:t>
      </w:r>
      <w:r>
        <w:rPr>
          <w:rFonts w:hint="eastAsia" w:eastAsiaTheme="minorEastAsia"/>
          <w:color w:val="auto"/>
          <w:szCs w:val="32"/>
        </w:rPr>
        <w:t>对于技术</w:t>
      </w:r>
      <w:r>
        <w:rPr>
          <w:rFonts w:eastAsiaTheme="minorEastAsia"/>
          <w:color w:val="auto"/>
          <w:szCs w:val="32"/>
        </w:rPr>
        <w:t>简单、方案明确的小型建设项目，经主管部门批准后，可采用一阶段施工图设计。对于技术复杂、基础资料缺乏或不足的建设项目，或建设项目中的特大桥、大型地质灾害治理等，必要时可增加技术设计阶段。</w:t>
      </w:r>
    </w:p>
    <w:p>
      <w:pPr>
        <w:ind w:firstLine="0" w:firstLineChars="0"/>
        <w:rPr>
          <w:rFonts w:eastAsiaTheme="minorEastAsia"/>
          <w:color w:val="auto"/>
          <w:szCs w:val="32"/>
        </w:rPr>
      </w:pPr>
      <w:r>
        <w:rPr>
          <w:rFonts w:eastAsiaTheme="minorEastAsia"/>
          <w:color w:val="auto"/>
          <w:szCs w:val="32"/>
        </w:rPr>
        <w:t>6.1.</w:t>
      </w:r>
      <w:r>
        <w:rPr>
          <w:rFonts w:hint="eastAsia" w:eastAsiaTheme="minorEastAsia"/>
          <w:color w:val="auto"/>
          <w:szCs w:val="32"/>
        </w:rPr>
        <w:t>2</w:t>
      </w:r>
      <w:r>
        <w:rPr>
          <w:rFonts w:eastAsiaTheme="minorEastAsia"/>
          <w:color w:val="auto"/>
          <w:szCs w:val="32"/>
        </w:rPr>
        <w:t xml:space="preserve"> </w:t>
      </w:r>
      <w:r>
        <w:rPr>
          <w:rFonts w:hint="eastAsia" w:eastAsiaTheme="minorEastAsia"/>
          <w:color w:val="auto"/>
          <w:szCs w:val="32"/>
          <w:lang w:eastAsia="zh-CN"/>
        </w:rPr>
        <w:t xml:space="preserve">  </w:t>
      </w:r>
      <w:r>
        <w:rPr>
          <w:rFonts w:hint="eastAsia" w:eastAsiaTheme="minorEastAsia"/>
          <w:color w:val="auto"/>
          <w:szCs w:val="32"/>
        </w:rPr>
        <w:t>施工图</w:t>
      </w:r>
      <w:r>
        <w:rPr>
          <w:rFonts w:eastAsiaTheme="minorEastAsia"/>
          <w:color w:val="auto"/>
          <w:szCs w:val="32"/>
        </w:rPr>
        <w:t>审查数据应以项目为基本单位进行提交和管理，并应包含项目定位信息，并宜记录在模型使用说明文件中。</w:t>
      </w:r>
    </w:p>
    <w:p>
      <w:pPr>
        <w:ind w:firstLine="0" w:firstLineChars="0"/>
        <w:rPr>
          <w:rFonts w:eastAsiaTheme="minorEastAsia"/>
          <w:color w:val="auto"/>
          <w:szCs w:val="32"/>
        </w:rPr>
      </w:pPr>
      <w:r>
        <w:rPr>
          <w:rFonts w:eastAsiaTheme="minorEastAsia"/>
          <w:color w:val="auto"/>
          <w:szCs w:val="32"/>
        </w:rPr>
        <w:t>6.1.</w:t>
      </w:r>
      <w:r>
        <w:rPr>
          <w:rFonts w:hint="eastAsia" w:eastAsiaTheme="minorEastAsia"/>
          <w:color w:val="auto"/>
          <w:szCs w:val="32"/>
        </w:rPr>
        <w:t>3</w:t>
      </w:r>
      <w:r>
        <w:rPr>
          <w:rFonts w:eastAsiaTheme="minorEastAsia"/>
          <w:color w:val="auto"/>
          <w:szCs w:val="32"/>
        </w:rPr>
        <w:t xml:space="preserve"> </w:t>
      </w:r>
      <w:r>
        <w:rPr>
          <w:rFonts w:hint="eastAsia" w:eastAsiaTheme="minorEastAsia"/>
          <w:color w:val="auto"/>
          <w:szCs w:val="32"/>
          <w:lang w:eastAsia="zh-CN"/>
        </w:rPr>
        <w:t xml:space="preserve">  </w:t>
      </w:r>
      <w:r>
        <w:rPr>
          <w:rFonts w:hint="eastAsia" w:eastAsiaTheme="minorEastAsia"/>
          <w:color w:val="auto"/>
          <w:szCs w:val="32"/>
        </w:rPr>
        <w:t>根据项目总体策划，针对勘察、设计阶段任务特点，制定相应的模型应用的详细实施流程，并与各专业核对模型应用过程中的信息交换需求，落实应用过程中的手段与方法，确保模型应用的顺利实施</w:t>
      </w:r>
      <w:r>
        <w:rPr>
          <w:rFonts w:eastAsiaTheme="minorEastAsia"/>
          <w:color w:val="auto"/>
          <w:szCs w:val="32"/>
        </w:rPr>
        <w:t>。</w:t>
      </w:r>
    </w:p>
    <w:p>
      <w:pPr>
        <w:ind w:firstLine="0" w:firstLineChars="0"/>
        <w:rPr>
          <w:rFonts w:eastAsiaTheme="minorEastAsia"/>
          <w:color w:val="auto"/>
          <w:szCs w:val="32"/>
        </w:rPr>
      </w:pPr>
      <w:r>
        <w:rPr>
          <w:rFonts w:eastAsiaTheme="minorEastAsia"/>
          <w:color w:val="auto"/>
          <w:szCs w:val="32"/>
        </w:rPr>
        <w:t>6.1.</w:t>
      </w:r>
      <w:r>
        <w:rPr>
          <w:rFonts w:hint="eastAsia" w:eastAsiaTheme="minorEastAsia"/>
          <w:color w:val="auto"/>
          <w:szCs w:val="32"/>
        </w:rPr>
        <w:t>4</w:t>
      </w:r>
      <w:r>
        <w:rPr>
          <w:rFonts w:eastAsiaTheme="minorEastAsia"/>
          <w:color w:val="auto"/>
          <w:szCs w:val="32"/>
        </w:rPr>
        <w:t xml:space="preserve"> </w:t>
      </w:r>
      <w:r>
        <w:rPr>
          <w:rFonts w:hint="eastAsia" w:eastAsiaTheme="minorEastAsia"/>
          <w:color w:val="auto"/>
          <w:szCs w:val="32"/>
          <w:lang w:eastAsia="zh-CN"/>
        </w:rPr>
        <w:t xml:space="preserve">  </w:t>
      </w:r>
      <w:r>
        <w:rPr>
          <w:rFonts w:hint="eastAsia" w:eastAsiaTheme="minorEastAsia"/>
          <w:color w:val="auto"/>
          <w:szCs w:val="32"/>
        </w:rPr>
        <w:t>设计招标文件中明确设计阶段数字技术应用的具体目标、实施应用内容、设计交付成果要求等，并对设计投标企业的数字技术应用业绩和团队成员技术能力提出具体要求。</w:t>
      </w:r>
    </w:p>
    <w:p>
      <w:pPr>
        <w:ind w:firstLine="480" w:firstLineChars="200"/>
        <w:rPr>
          <w:rFonts w:eastAsiaTheme="minorEastAsia"/>
          <w:color w:val="auto"/>
          <w:szCs w:val="32"/>
        </w:rPr>
      </w:pPr>
      <w:r>
        <w:rPr>
          <w:rFonts w:hint="eastAsia"/>
          <w:color w:val="auto"/>
        </w:rPr>
        <w:t>投标方的</w:t>
      </w:r>
      <w:r>
        <w:rPr>
          <w:rFonts w:hint="eastAsia" w:eastAsiaTheme="minorEastAsia"/>
          <w:color w:val="auto"/>
          <w:szCs w:val="32"/>
        </w:rPr>
        <w:t>勘察、设计投标模型宜基于</w:t>
      </w:r>
      <w:r>
        <w:rPr>
          <w:rFonts w:hint="eastAsia"/>
          <w:color w:val="auto"/>
        </w:rPr>
        <w:t>方案信息模型</w:t>
      </w:r>
      <w:r>
        <w:rPr>
          <w:rFonts w:hint="eastAsia" w:eastAsiaTheme="minorEastAsia"/>
          <w:color w:val="auto"/>
          <w:szCs w:val="32"/>
        </w:rPr>
        <w:t>进行深化，并对设计招标文件要求给出响应，通过三维可视化模型进行方案虚拟体验，并通过技术指标、设计关键指标以及建设成本估算的分析应用体现方案的特点及优势。</w:t>
      </w:r>
    </w:p>
    <w:p>
      <w:pPr>
        <w:ind w:firstLine="0" w:firstLineChars="0"/>
        <w:rPr>
          <w:rFonts w:eastAsiaTheme="minorEastAsia"/>
          <w:color w:val="auto"/>
          <w:szCs w:val="32"/>
        </w:rPr>
      </w:pPr>
      <w:r>
        <w:rPr>
          <w:rFonts w:eastAsiaTheme="minorEastAsia"/>
          <w:color w:val="auto"/>
          <w:szCs w:val="32"/>
        </w:rPr>
        <w:t>6.1.</w:t>
      </w:r>
      <w:r>
        <w:rPr>
          <w:rFonts w:hint="eastAsia" w:eastAsiaTheme="minorEastAsia"/>
          <w:color w:val="auto"/>
          <w:szCs w:val="32"/>
        </w:rPr>
        <w:t>5</w:t>
      </w:r>
      <w:r>
        <w:rPr>
          <w:rFonts w:hint="eastAsia" w:eastAsiaTheme="minorEastAsia"/>
          <w:color w:val="auto"/>
          <w:szCs w:val="32"/>
          <w:lang w:eastAsia="zh-CN"/>
        </w:rPr>
        <w:t xml:space="preserve">  </w:t>
      </w:r>
      <w:r>
        <w:rPr>
          <w:rFonts w:hint="eastAsia" w:eastAsiaTheme="minorEastAsia"/>
          <w:color w:val="auto"/>
          <w:szCs w:val="32"/>
        </w:rPr>
        <w:t>勘察信息模型的创建可根据工程设计的需要进行分块分次创建，但需注意模型的协调一致性</w:t>
      </w:r>
      <w:r>
        <w:rPr>
          <w:rFonts w:eastAsiaTheme="minorEastAsia"/>
          <w:color w:val="auto"/>
          <w:szCs w:val="32"/>
        </w:rPr>
        <w:t>。</w:t>
      </w:r>
      <w:r>
        <w:rPr>
          <w:rFonts w:hint="eastAsia" w:eastAsiaTheme="minorEastAsia"/>
          <w:color w:val="auto"/>
          <w:szCs w:val="32"/>
        </w:rPr>
        <w:t>勘察信息模型深度在方案设计阶段对应踏勘深度，在初步设计阶段对应初步勘察深度，在施工图设计阶段的对应详细勘察深度。</w:t>
      </w:r>
    </w:p>
    <w:p>
      <w:pPr>
        <w:ind w:firstLine="0" w:firstLineChars="0"/>
        <w:rPr>
          <w:rFonts w:eastAsiaTheme="minorEastAsia"/>
          <w:color w:val="auto"/>
          <w:szCs w:val="32"/>
        </w:rPr>
      </w:pPr>
      <w:r>
        <w:rPr>
          <w:rFonts w:eastAsiaTheme="minorEastAsia"/>
          <w:color w:val="auto"/>
          <w:szCs w:val="32"/>
        </w:rPr>
        <w:t>6.1.</w:t>
      </w:r>
      <w:r>
        <w:rPr>
          <w:rFonts w:hint="eastAsia" w:eastAsiaTheme="minorEastAsia"/>
          <w:color w:val="auto"/>
          <w:szCs w:val="32"/>
        </w:rPr>
        <w:t>6</w:t>
      </w:r>
      <w:r>
        <w:rPr>
          <w:rFonts w:hint="eastAsia" w:eastAsiaTheme="minorEastAsia"/>
          <w:color w:val="auto"/>
          <w:szCs w:val="32"/>
          <w:lang w:eastAsia="zh-CN"/>
        </w:rPr>
        <w:t xml:space="preserve">  </w:t>
      </w:r>
      <w:r>
        <w:rPr>
          <w:rFonts w:eastAsiaTheme="minorEastAsia"/>
          <w:color w:val="auto"/>
          <w:szCs w:val="32"/>
        </w:rPr>
        <w:t>勘察地质</w:t>
      </w:r>
      <w:r>
        <w:rPr>
          <w:rFonts w:hint="eastAsia" w:eastAsiaTheme="minorEastAsia"/>
          <w:color w:val="auto"/>
          <w:szCs w:val="32"/>
        </w:rPr>
        <w:t>模型材质宜与实际地质情况一致</w:t>
      </w:r>
      <w:r>
        <w:rPr>
          <w:rFonts w:eastAsiaTheme="minorEastAsia"/>
          <w:color w:val="auto"/>
          <w:szCs w:val="32"/>
        </w:rPr>
        <w:t>。</w:t>
      </w:r>
    </w:p>
    <w:p>
      <w:pPr>
        <w:pStyle w:val="3"/>
        <w:jc w:val="center"/>
        <w:rPr>
          <w:color w:val="auto"/>
        </w:rPr>
      </w:pPr>
      <w:r>
        <w:rPr>
          <w:color w:val="auto"/>
        </w:rPr>
        <w:t>6.</w:t>
      </w:r>
      <w:r>
        <w:rPr>
          <w:rFonts w:hint="eastAsia"/>
          <w:color w:val="auto"/>
        </w:rPr>
        <w:t>2</w:t>
      </w:r>
      <w:r>
        <w:rPr>
          <w:color w:val="auto"/>
        </w:rPr>
        <w:t xml:space="preserve"> </w:t>
      </w:r>
      <w:r>
        <w:rPr>
          <w:rFonts w:hint="eastAsia"/>
          <w:color w:val="auto"/>
        </w:rPr>
        <w:t>勘察信息模型应用</w:t>
      </w:r>
    </w:p>
    <w:p>
      <w:pPr>
        <w:ind w:firstLine="0" w:firstLineChars="0"/>
        <w:rPr>
          <w:rFonts w:eastAsiaTheme="minorEastAsia"/>
          <w:color w:val="auto"/>
          <w:szCs w:val="32"/>
        </w:rPr>
      </w:pPr>
      <w:r>
        <w:rPr>
          <w:rFonts w:eastAsiaTheme="minorEastAsia"/>
          <w:color w:val="auto"/>
          <w:szCs w:val="32"/>
        </w:rPr>
        <w:t>6.2.1</w:t>
      </w:r>
      <w:r>
        <w:rPr>
          <w:rFonts w:hint="eastAsia" w:eastAsiaTheme="minorEastAsia"/>
          <w:color w:val="auto"/>
          <w:szCs w:val="32"/>
          <w:lang w:eastAsia="zh-CN"/>
        </w:rPr>
        <w:t xml:space="preserve">  </w:t>
      </w:r>
      <w:r>
        <w:rPr>
          <w:rFonts w:eastAsiaTheme="minorEastAsia"/>
          <w:color w:val="auto"/>
          <w:szCs w:val="32"/>
        </w:rPr>
        <w:t>勘察</w:t>
      </w:r>
      <w:r>
        <w:rPr>
          <w:rFonts w:hint="eastAsia" w:eastAsiaTheme="minorEastAsia"/>
          <w:color w:val="auto"/>
          <w:szCs w:val="32"/>
        </w:rPr>
        <w:t>信息模型的地表信息模型应保证准确性以及完整性等，其范围应符合相关规范及设计要求确定的勘察范围</w:t>
      </w:r>
      <w:r>
        <w:rPr>
          <w:rFonts w:eastAsiaTheme="minorEastAsia"/>
          <w:color w:val="auto"/>
          <w:szCs w:val="32"/>
        </w:rPr>
        <w:t>。同时勘察</w:t>
      </w:r>
      <w:r>
        <w:rPr>
          <w:rFonts w:hint="eastAsia" w:eastAsiaTheme="minorEastAsia"/>
          <w:color w:val="auto"/>
          <w:szCs w:val="32"/>
        </w:rPr>
        <w:t>信息模型应具备可编辑性，满足后期岩土工程设计的需求。</w:t>
      </w:r>
    </w:p>
    <w:p>
      <w:pPr>
        <w:ind w:firstLine="0" w:firstLineChars="0"/>
        <w:rPr>
          <w:rFonts w:eastAsiaTheme="minorEastAsia"/>
          <w:color w:val="auto"/>
          <w:szCs w:val="32"/>
        </w:rPr>
      </w:pPr>
      <w:r>
        <w:rPr>
          <w:rFonts w:eastAsiaTheme="minorEastAsia"/>
          <w:color w:val="auto"/>
          <w:szCs w:val="32"/>
        </w:rPr>
        <w:t>6.2.2</w:t>
      </w:r>
      <w:r>
        <w:rPr>
          <w:rFonts w:hint="eastAsia" w:eastAsiaTheme="minorEastAsia"/>
          <w:color w:val="auto"/>
          <w:szCs w:val="32"/>
          <w:lang w:eastAsia="zh-CN"/>
        </w:rPr>
        <w:t xml:space="preserve">  </w:t>
      </w:r>
      <w:r>
        <w:rPr>
          <w:rFonts w:eastAsiaTheme="minorEastAsia"/>
          <w:color w:val="auto"/>
          <w:szCs w:val="32"/>
        </w:rPr>
        <w:t>勘察</w:t>
      </w:r>
      <w:r>
        <w:rPr>
          <w:rFonts w:hint="eastAsia" w:eastAsiaTheme="minorEastAsia"/>
          <w:color w:val="auto"/>
          <w:szCs w:val="32"/>
        </w:rPr>
        <w:t>信息模型的地质信息模型宜包含拟建场地空间地质信息以及主要设计信息等，且应包含地层岩性、地质构造、水文地质条件、不良地质现象、建构筑物主要设计数据、相邻建构筑物、地下管网数据等内容</w:t>
      </w:r>
      <w:r>
        <w:rPr>
          <w:rFonts w:eastAsiaTheme="minorEastAsia"/>
          <w:color w:val="auto"/>
          <w:szCs w:val="32"/>
        </w:rPr>
        <w:t>。</w:t>
      </w:r>
    </w:p>
    <w:p>
      <w:pPr>
        <w:ind w:firstLine="0" w:firstLineChars="0"/>
        <w:rPr>
          <w:rFonts w:eastAsiaTheme="minorEastAsia"/>
          <w:color w:val="auto"/>
          <w:szCs w:val="32"/>
        </w:rPr>
      </w:pPr>
      <w:r>
        <w:rPr>
          <w:rFonts w:eastAsiaTheme="minorEastAsia"/>
          <w:color w:val="auto"/>
          <w:szCs w:val="32"/>
        </w:rPr>
        <w:t>6.2.3</w:t>
      </w:r>
      <w:r>
        <w:rPr>
          <w:rFonts w:hint="eastAsia" w:eastAsiaTheme="minorEastAsia"/>
          <w:color w:val="auto"/>
          <w:szCs w:val="32"/>
          <w:lang w:eastAsia="zh-CN"/>
        </w:rPr>
        <w:t xml:space="preserve">  </w:t>
      </w:r>
      <w:r>
        <w:rPr>
          <w:rFonts w:eastAsiaTheme="minorEastAsia"/>
          <w:color w:val="auto"/>
          <w:szCs w:val="32"/>
        </w:rPr>
        <w:t>勘察</w:t>
      </w:r>
      <w:r>
        <w:rPr>
          <w:rFonts w:hint="eastAsia" w:eastAsiaTheme="minorEastAsia"/>
          <w:color w:val="auto"/>
          <w:szCs w:val="32"/>
        </w:rPr>
        <w:t>信息模型的岩土工程设计信息模型的空间范围，应包含边坡、基坑影响区域以及受影响的保护对象，并应满足岩土工程设计及相邻建构筑物分析与评价的需要</w:t>
      </w:r>
      <w:r>
        <w:rPr>
          <w:rFonts w:eastAsiaTheme="minorEastAsia"/>
          <w:color w:val="auto"/>
          <w:szCs w:val="32"/>
        </w:rPr>
        <w:t>。</w:t>
      </w:r>
    </w:p>
    <w:p>
      <w:pPr>
        <w:ind w:firstLine="0" w:firstLineChars="0"/>
        <w:rPr>
          <w:rFonts w:eastAsiaTheme="minorEastAsia"/>
          <w:color w:val="auto"/>
          <w:szCs w:val="32"/>
        </w:rPr>
      </w:pPr>
      <w:r>
        <w:rPr>
          <w:rFonts w:eastAsiaTheme="minorEastAsia"/>
          <w:color w:val="auto"/>
          <w:szCs w:val="32"/>
        </w:rPr>
        <w:t xml:space="preserve">6.2.5 </w:t>
      </w:r>
      <w:r>
        <w:rPr>
          <w:rFonts w:hint="eastAsia" w:eastAsiaTheme="minorEastAsia"/>
          <w:color w:val="auto"/>
          <w:szCs w:val="32"/>
          <w:lang w:eastAsia="zh-CN"/>
        </w:rPr>
        <w:t xml:space="preserve">  </w:t>
      </w:r>
      <w:r>
        <w:rPr>
          <w:rFonts w:hint="eastAsia" w:eastAsiaTheme="minorEastAsia"/>
          <w:color w:val="auto"/>
          <w:szCs w:val="32"/>
        </w:rPr>
        <w:t xml:space="preserve"> </w:t>
      </w:r>
      <w:r>
        <w:rPr>
          <w:rFonts w:eastAsiaTheme="minorEastAsia"/>
          <w:color w:val="auto"/>
          <w:szCs w:val="32"/>
        </w:rPr>
        <w:t>随着勘察工作的深入，不同设计阶段对应的岩土计算参数的要求不同，勘察</w:t>
      </w:r>
      <w:r>
        <w:rPr>
          <w:rFonts w:hint="eastAsia" w:eastAsiaTheme="minorEastAsia"/>
          <w:color w:val="auto"/>
          <w:szCs w:val="32"/>
        </w:rPr>
        <w:t>信息模型应根据需求进行相应调整，满足相关规范的要求</w:t>
      </w:r>
      <w:r>
        <w:rPr>
          <w:rFonts w:eastAsiaTheme="minorEastAsia"/>
          <w:color w:val="auto"/>
          <w:szCs w:val="32"/>
        </w:rPr>
        <w:t>。并应在勘察、设计阶段满足信息模型的连续性、协调性、完备性与一致性等要求。</w:t>
      </w:r>
    </w:p>
    <w:p>
      <w:pPr>
        <w:pStyle w:val="3"/>
        <w:jc w:val="center"/>
        <w:rPr>
          <w:color w:val="auto"/>
        </w:rPr>
      </w:pPr>
      <w:r>
        <w:rPr>
          <w:color w:val="auto"/>
        </w:rPr>
        <w:t>6.</w:t>
      </w:r>
      <w:r>
        <w:rPr>
          <w:rFonts w:hint="eastAsia"/>
          <w:color w:val="auto"/>
        </w:rPr>
        <w:t>3</w:t>
      </w:r>
      <w:r>
        <w:rPr>
          <w:color w:val="auto"/>
        </w:rPr>
        <w:t xml:space="preserve"> </w:t>
      </w:r>
      <w:r>
        <w:rPr>
          <w:rFonts w:hint="eastAsia"/>
          <w:color w:val="auto"/>
        </w:rPr>
        <w:t>设计信息模型应用</w:t>
      </w:r>
    </w:p>
    <w:p>
      <w:pPr>
        <w:ind w:firstLine="0" w:firstLineChars="0"/>
        <w:rPr>
          <w:rFonts w:eastAsiaTheme="minorEastAsia"/>
          <w:color w:val="auto"/>
          <w:szCs w:val="32"/>
        </w:rPr>
      </w:pPr>
      <w:r>
        <w:rPr>
          <w:rFonts w:eastAsiaTheme="minorEastAsia"/>
          <w:color w:val="auto"/>
          <w:szCs w:val="32"/>
        </w:rPr>
        <w:t xml:space="preserve">6.3.1 </w:t>
      </w:r>
      <w:r>
        <w:rPr>
          <w:rFonts w:hint="eastAsia" w:eastAsiaTheme="minorEastAsia"/>
          <w:color w:val="auto"/>
          <w:szCs w:val="32"/>
          <w:lang w:eastAsia="zh-CN"/>
        </w:rPr>
        <w:t xml:space="preserve">  </w:t>
      </w:r>
      <w:r>
        <w:rPr>
          <w:rFonts w:hint="eastAsia" w:eastAsiaTheme="minorEastAsia"/>
          <w:color w:val="auto"/>
          <w:szCs w:val="32"/>
        </w:rPr>
        <w:t xml:space="preserve"> 漫游体验能够在项目实施前从使用者的视角最大限度地发现项目合理性问题，降低项目实施风险，提升项目的设计品质。同时根据</w:t>
      </w:r>
      <w:r>
        <w:rPr>
          <w:rFonts w:eastAsiaTheme="minorEastAsia"/>
          <w:color w:val="auto"/>
          <w:szCs w:val="32"/>
        </w:rPr>
        <w:t>模型进行二维出图、工程量统计等能够比较好地</w:t>
      </w:r>
      <w:r>
        <w:rPr>
          <w:rFonts w:hint="eastAsia" w:eastAsiaTheme="minorEastAsia"/>
          <w:color w:val="auto"/>
          <w:szCs w:val="32"/>
        </w:rPr>
        <w:t>保障</w:t>
      </w:r>
      <w:r>
        <w:rPr>
          <w:rFonts w:eastAsiaTheme="minorEastAsia"/>
          <w:color w:val="auto"/>
          <w:szCs w:val="32"/>
        </w:rPr>
        <w:t>图模一致性。</w:t>
      </w:r>
    </w:p>
    <w:p>
      <w:pPr>
        <w:ind w:firstLine="0" w:firstLineChars="0"/>
        <w:rPr>
          <w:rFonts w:eastAsiaTheme="minorEastAsia"/>
          <w:color w:val="auto"/>
          <w:szCs w:val="32"/>
        </w:rPr>
      </w:pPr>
      <w:r>
        <w:rPr>
          <w:rFonts w:eastAsiaTheme="minorEastAsia"/>
          <w:color w:val="auto"/>
          <w:szCs w:val="32"/>
        </w:rPr>
        <w:t xml:space="preserve">6.3.2 </w:t>
      </w:r>
      <w:r>
        <w:rPr>
          <w:rFonts w:hint="eastAsia" w:eastAsiaTheme="minorEastAsia"/>
          <w:color w:val="auto"/>
          <w:szCs w:val="32"/>
          <w:lang w:eastAsia="zh-CN"/>
        </w:rPr>
        <w:t xml:space="preserve">  </w:t>
      </w:r>
      <w:r>
        <w:rPr>
          <w:rFonts w:hint="eastAsia" w:eastAsiaTheme="minorEastAsia"/>
          <w:color w:val="auto"/>
          <w:szCs w:val="32"/>
        </w:rPr>
        <w:t>初步设计阶段的模型宜建立在</w:t>
      </w:r>
      <w:r>
        <w:rPr>
          <w:rFonts w:hint="eastAsia"/>
          <w:color w:val="auto"/>
        </w:rPr>
        <w:t>方案信息模型</w:t>
      </w:r>
      <w:r>
        <w:rPr>
          <w:rFonts w:hint="eastAsia" w:eastAsiaTheme="minorEastAsia"/>
          <w:color w:val="auto"/>
          <w:szCs w:val="32"/>
        </w:rPr>
        <w:t>基础上，技术设计阶段模型应建立在初步设计模型基础上，而施工图设计阶段模型也应建立在前一设计阶段模型成果基础之上</w:t>
      </w:r>
      <w:r>
        <w:rPr>
          <w:rFonts w:eastAsiaTheme="minorEastAsia"/>
          <w:color w:val="auto"/>
          <w:szCs w:val="32"/>
        </w:rPr>
        <w:t>，并应给出针对上一阶段批复的执行情况说明。</w:t>
      </w:r>
    </w:p>
    <w:p>
      <w:pPr>
        <w:ind w:firstLine="0" w:firstLineChars="0"/>
        <w:rPr>
          <w:rFonts w:eastAsiaTheme="minorEastAsia"/>
          <w:color w:val="auto"/>
          <w:szCs w:val="32"/>
        </w:rPr>
      </w:pPr>
      <w:r>
        <w:rPr>
          <w:rFonts w:eastAsiaTheme="minorEastAsia"/>
          <w:color w:val="auto"/>
          <w:szCs w:val="32"/>
        </w:rPr>
        <w:t xml:space="preserve">6.3.3 </w:t>
      </w:r>
      <w:r>
        <w:rPr>
          <w:rFonts w:hint="eastAsia" w:eastAsiaTheme="minorEastAsia"/>
          <w:color w:val="auto"/>
          <w:szCs w:val="32"/>
          <w:lang w:eastAsia="zh-CN"/>
        </w:rPr>
        <w:t xml:space="preserve">  </w:t>
      </w:r>
      <w:r>
        <w:rPr>
          <w:rFonts w:hint="eastAsia" w:eastAsiaTheme="minorEastAsia"/>
          <w:color w:val="auto"/>
          <w:szCs w:val="32"/>
        </w:rPr>
        <w:t xml:space="preserve"> </w:t>
      </w:r>
      <w:r>
        <w:rPr>
          <w:rFonts w:eastAsiaTheme="minorEastAsia"/>
          <w:color w:val="auto"/>
          <w:szCs w:val="32"/>
        </w:rPr>
        <w:t>初步设计阶段模型宜</w:t>
      </w:r>
      <w:r>
        <w:rPr>
          <w:rFonts w:hint="eastAsia" w:eastAsiaTheme="minorEastAsia"/>
          <w:color w:val="auto"/>
          <w:szCs w:val="32"/>
        </w:rPr>
        <w:t>补充与</w:t>
      </w:r>
      <w:r>
        <w:rPr>
          <w:rFonts w:eastAsiaTheme="minorEastAsia"/>
          <w:color w:val="auto"/>
          <w:szCs w:val="32"/>
        </w:rPr>
        <w:t>完善且但不限于如下基础信息：</w:t>
      </w:r>
    </w:p>
    <w:p>
      <w:pPr>
        <w:ind w:firstLine="480" w:firstLineChars="200"/>
        <w:rPr>
          <w:rFonts w:eastAsiaTheme="minorEastAsia"/>
          <w:color w:val="auto"/>
          <w:szCs w:val="32"/>
        </w:rPr>
      </w:pPr>
      <w:r>
        <w:rPr>
          <w:rFonts w:eastAsiaTheme="minorEastAsia"/>
          <w:color w:val="auto"/>
          <w:szCs w:val="32"/>
        </w:rPr>
        <w:t>1</w:t>
      </w:r>
      <w:r>
        <w:rPr>
          <w:rFonts w:hint="eastAsia" w:eastAsiaTheme="minorEastAsia"/>
          <w:color w:val="auto"/>
          <w:szCs w:val="32"/>
          <w:lang w:val="en-US" w:eastAsia="zh-CN"/>
        </w:rPr>
        <w:t xml:space="preserve">  </w:t>
      </w:r>
      <w:r>
        <w:rPr>
          <w:rFonts w:eastAsiaTheme="minorEastAsia"/>
          <w:color w:val="auto"/>
          <w:szCs w:val="32"/>
        </w:rPr>
        <w:t>批复类文件：工程可行性研究报告批复以及其它批复类文件等。</w:t>
      </w:r>
    </w:p>
    <w:p>
      <w:pPr>
        <w:ind w:firstLine="480" w:firstLineChars="200"/>
        <w:rPr>
          <w:rFonts w:eastAsiaTheme="minorEastAsia"/>
          <w:color w:val="auto"/>
          <w:szCs w:val="32"/>
        </w:rPr>
      </w:pPr>
      <w:r>
        <w:rPr>
          <w:rFonts w:eastAsiaTheme="minorEastAsia"/>
          <w:color w:val="auto"/>
          <w:szCs w:val="32"/>
        </w:rPr>
        <w:t>2</w:t>
      </w:r>
      <w:r>
        <w:rPr>
          <w:rFonts w:hint="eastAsia" w:eastAsiaTheme="minorEastAsia"/>
          <w:color w:val="auto"/>
          <w:szCs w:val="32"/>
          <w:lang w:val="en-US" w:eastAsia="zh-CN"/>
        </w:rPr>
        <w:t xml:space="preserve">  </w:t>
      </w:r>
      <w:r>
        <w:rPr>
          <w:rFonts w:eastAsiaTheme="minorEastAsia"/>
          <w:color w:val="auto"/>
          <w:szCs w:val="32"/>
        </w:rPr>
        <w:t>设计基础资料：项目功能定位、交通量预测、建设条件、初勘资料、物探资料、自然地理、生态环境、环境敏感区分布及其影响等模型信息，并应对项目控制点等位置的勘察信息进行现场核查。对于改扩建项目，应查明现场构筑物的技术现状。</w:t>
      </w:r>
    </w:p>
    <w:p>
      <w:pPr>
        <w:ind w:firstLine="480" w:firstLineChars="200"/>
        <w:rPr>
          <w:rFonts w:eastAsiaTheme="minorEastAsia"/>
          <w:color w:val="auto"/>
          <w:szCs w:val="32"/>
        </w:rPr>
      </w:pPr>
      <w:r>
        <w:rPr>
          <w:rFonts w:eastAsiaTheme="minorEastAsia"/>
          <w:color w:val="auto"/>
          <w:szCs w:val="32"/>
        </w:rPr>
        <w:t>3</w:t>
      </w:r>
      <w:r>
        <w:rPr>
          <w:rFonts w:hint="eastAsia" w:eastAsiaTheme="minorEastAsia"/>
          <w:color w:val="auto"/>
          <w:szCs w:val="32"/>
          <w:lang w:val="en-US" w:eastAsia="zh-CN"/>
        </w:rPr>
        <w:t xml:space="preserve">  </w:t>
      </w:r>
      <w:r>
        <w:rPr>
          <w:rFonts w:eastAsiaTheme="minorEastAsia"/>
          <w:color w:val="auto"/>
          <w:szCs w:val="32"/>
        </w:rPr>
        <w:t>设计依据类资料：设计委托书、技术标准、设计规范等，各项专题报告及评价报告结论（地质、地震、水文、环评、洪评、水保、工程安全、社会影响评价等）对项目的影响以及项目实施过程中对现状交通的影响等资料信息。</w:t>
      </w:r>
    </w:p>
    <w:p>
      <w:pPr>
        <w:ind w:firstLine="480" w:firstLineChars="200"/>
        <w:rPr>
          <w:rFonts w:eastAsiaTheme="minorEastAsia"/>
          <w:color w:val="auto"/>
          <w:szCs w:val="32"/>
        </w:rPr>
      </w:pPr>
      <w:r>
        <w:rPr>
          <w:rFonts w:eastAsiaTheme="minorEastAsia"/>
          <w:color w:val="auto"/>
          <w:szCs w:val="32"/>
        </w:rPr>
        <w:t>4</w:t>
      </w:r>
      <w:r>
        <w:rPr>
          <w:rFonts w:hint="eastAsia" w:eastAsiaTheme="minorEastAsia"/>
          <w:color w:val="auto"/>
          <w:szCs w:val="32"/>
          <w:lang w:val="en-US" w:eastAsia="zh-CN"/>
        </w:rPr>
        <w:t xml:space="preserve">  </w:t>
      </w:r>
      <w:r>
        <w:rPr>
          <w:rFonts w:eastAsiaTheme="minorEastAsia"/>
          <w:color w:val="auto"/>
          <w:szCs w:val="32"/>
        </w:rPr>
        <w:t>其它资料：会议纪要或资料、相关文件等。</w:t>
      </w:r>
    </w:p>
    <w:p>
      <w:pPr>
        <w:ind w:firstLine="480" w:firstLineChars="200"/>
        <w:rPr>
          <w:rFonts w:eastAsiaTheme="minorEastAsia"/>
          <w:color w:val="auto"/>
          <w:szCs w:val="32"/>
        </w:rPr>
      </w:pPr>
      <w:r>
        <w:rPr>
          <w:rFonts w:eastAsiaTheme="minorEastAsia"/>
          <w:color w:val="auto"/>
          <w:szCs w:val="32"/>
        </w:rPr>
        <w:t>同时初步设计阶段模型应包含项目设计标准、设计参数、智慧交通需求、主要控制因素、结构选型、安全及耐久性要求、美学要求、各专业之间的协调要求、注意事项等。同时还应逐条说明对各类评估报告结论的执行情况以及采取的工程措施。</w:t>
      </w:r>
    </w:p>
    <w:p>
      <w:pPr>
        <w:ind w:firstLine="0" w:firstLineChars="0"/>
        <w:rPr>
          <w:rFonts w:eastAsiaTheme="minorEastAsia"/>
          <w:color w:val="auto"/>
          <w:szCs w:val="32"/>
        </w:rPr>
      </w:pPr>
      <w:r>
        <w:rPr>
          <w:rFonts w:eastAsiaTheme="minorEastAsia"/>
          <w:color w:val="auto"/>
          <w:szCs w:val="32"/>
        </w:rPr>
        <w:t xml:space="preserve">6.3.5 </w:t>
      </w:r>
      <w:r>
        <w:rPr>
          <w:rFonts w:hint="eastAsia" w:eastAsiaTheme="minorEastAsia"/>
          <w:color w:val="auto"/>
          <w:szCs w:val="32"/>
          <w:lang w:eastAsia="zh-CN"/>
        </w:rPr>
        <w:t xml:space="preserve">  </w:t>
      </w:r>
      <w:r>
        <w:rPr>
          <w:rFonts w:eastAsiaTheme="minorEastAsia"/>
          <w:color w:val="auto"/>
          <w:szCs w:val="32"/>
        </w:rPr>
        <w:t>对初步设计阶段尚未解决的重大、复杂技术问题通过科学试验、专题研究，加深勘探调查及分析比较加以解决，并落实到具体解决方案的说明，以及对初步设计模型进行深化与修正的过程说明等，并对重大、复杂技术难点问题的解决方案给予说明，并给出相应的风险预案信息，为施工图深化提供依据。</w:t>
      </w:r>
    </w:p>
    <w:p>
      <w:pPr>
        <w:ind w:firstLine="0" w:firstLineChars="0"/>
        <w:rPr>
          <w:rFonts w:eastAsiaTheme="minorEastAsia"/>
          <w:color w:val="auto"/>
          <w:szCs w:val="32"/>
        </w:rPr>
      </w:pPr>
      <w:r>
        <w:rPr>
          <w:rFonts w:eastAsiaTheme="minorEastAsia"/>
          <w:color w:val="auto"/>
          <w:szCs w:val="32"/>
        </w:rPr>
        <w:t xml:space="preserve">6.3.7 </w:t>
      </w:r>
      <w:r>
        <w:rPr>
          <w:rFonts w:hint="eastAsia" w:eastAsiaTheme="minorEastAsia"/>
          <w:color w:val="auto"/>
          <w:szCs w:val="32"/>
          <w:lang w:eastAsia="zh-CN"/>
        </w:rPr>
        <w:t xml:space="preserve">  </w:t>
      </w:r>
      <w:r>
        <w:rPr>
          <w:rFonts w:eastAsiaTheme="minorEastAsia"/>
          <w:color w:val="auto"/>
          <w:szCs w:val="32"/>
        </w:rPr>
        <w:t>施工图设计阶段模型宜完善且但不限于如下基础信息：</w:t>
      </w:r>
    </w:p>
    <w:p>
      <w:pPr>
        <w:ind w:firstLine="480" w:firstLineChars="200"/>
        <w:rPr>
          <w:rFonts w:eastAsiaTheme="minorEastAsia"/>
          <w:color w:val="auto"/>
          <w:szCs w:val="32"/>
        </w:rPr>
      </w:pPr>
      <w:r>
        <w:rPr>
          <w:rFonts w:eastAsiaTheme="minorEastAsia"/>
          <w:color w:val="auto"/>
          <w:szCs w:val="32"/>
        </w:rPr>
        <w:t>1</w:t>
      </w:r>
      <w:r>
        <w:rPr>
          <w:rFonts w:hint="eastAsia" w:eastAsiaTheme="minorEastAsia"/>
          <w:color w:val="auto"/>
          <w:szCs w:val="32"/>
          <w:lang w:val="en-US" w:eastAsia="zh-CN"/>
        </w:rPr>
        <w:t xml:space="preserve">  </w:t>
      </w:r>
      <w:r>
        <w:rPr>
          <w:rFonts w:eastAsiaTheme="minorEastAsia"/>
          <w:color w:val="auto"/>
          <w:szCs w:val="32"/>
        </w:rPr>
        <w:t>批复类文件：上一设计阶段的批复文件以及其它批复类文件等。</w:t>
      </w:r>
    </w:p>
    <w:p>
      <w:pPr>
        <w:ind w:firstLine="480" w:firstLineChars="200"/>
        <w:rPr>
          <w:rFonts w:eastAsiaTheme="minorEastAsia"/>
          <w:color w:val="auto"/>
          <w:szCs w:val="32"/>
        </w:rPr>
      </w:pPr>
      <w:r>
        <w:rPr>
          <w:rFonts w:eastAsiaTheme="minorEastAsia"/>
          <w:color w:val="auto"/>
          <w:szCs w:val="32"/>
        </w:rPr>
        <w:t>2</w:t>
      </w:r>
      <w:r>
        <w:rPr>
          <w:rFonts w:hint="eastAsia" w:eastAsiaTheme="minorEastAsia"/>
          <w:color w:val="auto"/>
          <w:szCs w:val="32"/>
          <w:lang w:val="en-US" w:eastAsia="zh-CN"/>
        </w:rPr>
        <w:t xml:space="preserve">  </w:t>
      </w:r>
      <w:r>
        <w:rPr>
          <w:rFonts w:eastAsiaTheme="minorEastAsia"/>
          <w:color w:val="auto"/>
          <w:szCs w:val="32"/>
        </w:rPr>
        <w:t>设计基础资料：详勘资料、物探资料等地质深化模型信息，专题研究成果资料等。对于改扩建项目，应包含现场构筑物的检测报告等资料。</w:t>
      </w:r>
    </w:p>
    <w:p>
      <w:pPr>
        <w:ind w:firstLine="480" w:firstLineChars="200"/>
        <w:rPr>
          <w:rFonts w:eastAsiaTheme="minorEastAsia"/>
          <w:color w:val="auto"/>
          <w:szCs w:val="32"/>
        </w:rPr>
      </w:pPr>
      <w:r>
        <w:rPr>
          <w:rFonts w:eastAsiaTheme="minorEastAsia"/>
          <w:color w:val="auto"/>
          <w:szCs w:val="32"/>
        </w:rPr>
        <w:t>3</w:t>
      </w:r>
      <w:r>
        <w:rPr>
          <w:rFonts w:hint="eastAsia" w:eastAsiaTheme="minorEastAsia"/>
          <w:color w:val="auto"/>
          <w:szCs w:val="32"/>
          <w:lang w:val="en-US" w:eastAsia="zh-CN"/>
        </w:rPr>
        <w:t xml:space="preserve">  </w:t>
      </w:r>
      <w:r>
        <w:rPr>
          <w:rFonts w:eastAsiaTheme="minorEastAsia"/>
          <w:color w:val="auto"/>
          <w:szCs w:val="32"/>
        </w:rPr>
        <w:t>设计依据类资料：设计规范、技术标准等。</w:t>
      </w:r>
    </w:p>
    <w:p>
      <w:pPr>
        <w:ind w:firstLine="480" w:firstLineChars="200"/>
        <w:rPr>
          <w:rFonts w:eastAsiaTheme="minorEastAsia"/>
          <w:color w:val="auto"/>
          <w:szCs w:val="32"/>
        </w:rPr>
      </w:pPr>
      <w:r>
        <w:rPr>
          <w:rFonts w:eastAsiaTheme="minorEastAsia"/>
          <w:color w:val="auto"/>
          <w:szCs w:val="32"/>
        </w:rPr>
        <w:t>4</w:t>
      </w:r>
      <w:r>
        <w:rPr>
          <w:rFonts w:hint="eastAsia" w:eastAsiaTheme="minorEastAsia"/>
          <w:color w:val="auto"/>
          <w:szCs w:val="32"/>
          <w:lang w:val="en-US" w:eastAsia="zh-CN"/>
        </w:rPr>
        <w:t xml:space="preserve">  </w:t>
      </w:r>
      <w:r>
        <w:rPr>
          <w:rFonts w:eastAsiaTheme="minorEastAsia"/>
          <w:color w:val="auto"/>
          <w:szCs w:val="32"/>
        </w:rPr>
        <w:t>其它资料：会议纪要或资料、相关文件等。</w:t>
      </w:r>
    </w:p>
    <w:p>
      <w:pPr>
        <w:ind w:firstLine="480" w:firstLineChars="200"/>
        <w:rPr>
          <w:rFonts w:eastAsiaTheme="minorEastAsia"/>
          <w:color w:val="auto"/>
          <w:szCs w:val="32"/>
        </w:rPr>
      </w:pPr>
      <w:r>
        <w:rPr>
          <w:rFonts w:eastAsiaTheme="minorEastAsia"/>
          <w:color w:val="auto"/>
          <w:szCs w:val="32"/>
        </w:rPr>
        <w:t>同时应对专题专项评估报告的具体落实细节以及采取的主要工程措施给予说明，并宜包含工程主要技术经济指标表、主要施工步序说明、交通组织设计以及相应的工程详细统计表单与全部工程量明细表等。</w:t>
      </w:r>
    </w:p>
    <w:p>
      <w:pPr>
        <w:ind w:firstLine="0" w:firstLineChars="0"/>
        <w:rPr>
          <w:rFonts w:eastAsiaTheme="minorEastAsia"/>
          <w:color w:val="auto"/>
          <w:szCs w:val="32"/>
        </w:rPr>
      </w:pPr>
      <w:r>
        <w:rPr>
          <w:rFonts w:eastAsiaTheme="minorEastAsia"/>
          <w:color w:val="auto"/>
          <w:szCs w:val="32"/>
        </w:rPr>
        <w:t xml:space="preserve">6.3.8 </w:t>
      </w:r>
      <w:r>
        <w:rPr>
          <w:rFonts w:hint="eastAsia" w:eastAsiaTheme="minorEastAsia"/>
          <w:color w:val="auto"/>
          <w:szCs w:val="32"/>
          <w:lang w:eastAsia="zh-CN"/>
        </w:rPr>
        <w:t xml:space="preserve">  </w:t>
      </w:r>
      <w:r>
        <w:rPr>
          <w:rFonts w:eastAsiaTheme="minorEastAsia"/>
          <w:color w:val="auto"/>
          <w:szCs w:val="32"/>
        </w:rPr>
        <w:t>结合项目实施要点，给出危大工程注意事项以及可能存在的风险源分析，并给出相应防范风险的措施要求以及施工组织设计建议、运维养护管理注意事项等信息。</w:t>
      </w:r>
      <w:r>
        <w:rPr>
          <w:rFonts w:hint="eastAsia" w:eastAsiaTheme="minorEastAsia"/>
          <w:color w:val="auto"/>
          <w:szCs w:val="32"/>
        </w:rPr>
        <w:t>结合项目特点</w:t>
      </w:r>
      <w:r>
        <w:rPr>
          <w:rFonts w:eastAsiaTheme="minorEastAsia"/>
          <w:color w:val="auto"/>
          <w:szCs w:val="32"/>
        </w:rPr>
        <w:t>给出设计创新以及品质工程价值体现的说明，包括精细化设计、标准化设计、参数化设计、耐久性设计、智慧交通设计、人性化设计、工程美学设计、文化底蕴体现、数字建造下的设计施工一体化、建养一体化等信息。</w:t>
      </w:r>
    </w:p>
    <w:p>
      <w:pPr>
        <w:pStyle w:val="3"/>
        <w:jc w:val="center"/>
        <w:rPr>
          <w:color w:val="auto"/>
        </w:rPr>
      </w:pPr>
      <w:r>
        <w:rPr>
          <w:color w:val="auto"/>
        </w:rPr>
        <w:t>6.</w:t>
      </w:r>
      <w:r>
        <w:rPr>
          <w:rFonts w:hint="eastAsia"/>
          <w:color w:val="auto"/>
        </w:rPr>
        <w:t>4 协同应用</w:t>
      </w:r>
    </w:p>
    <w:p>
      <w:pPr>
        <w:ind w:firstLine="0" w:firstLineChars="0"/>
        <w:rPr>
          <w:rFonts w:eastAsiaTheme="minorEastAsia"/>
          <w:color w:val="auto"/>
          <w:szCs w:val="32"/>
        </w:rPr>
      </w:pPr>
      <w:r>
        <w:rPr>
          <w:rFonts w:eastAsiaTheme="minorEastAsia"/>
          <w:color w:val="auto"/>
          <w:szCs w:val="32"/>
        </w:rPr>
        <w:t xml:space="preserve">6.4.1 </w:t>
      </w:r>
      <w:r>
        <w:rPr>
          <w:rFonts w:hint="eastAsia" w:eastAsiaTheme="minorEastAsia"/>
          <w:color w:val="auto"/>
          <w:szCs w:val="32"/>
          <w:lang w:eastAsia="zh-CN"/>
        </w:rPr>
        <w:t xml:space="preserve">  </w:t>
      </w:r>
      <w:r>
        <w:rPr>
          <w:rFonts w:eastAsiaTheme="minorEastAsia"/>
          <w:color w:val="auto"/>
          <w:szCs w:val="32"/>
        </w:rPr>
        <w:t>勘察信息模型与设计信息模型的有效协同宜通过平台的协同方式完成，当不具备平台协同能力时，也可通过数据格式转换完成。当采用数据格式转换完成模型的集成应用时，应在实施前根据项目特点及具体应用条件与水平明确数据格式要求。</w:t>
      </w:r>
    </w:p>
    <w:p>
      <w:pPr>
        <w:ind w:firstLine="0" w:firstLineChars="0"/>
        <w:rPr>
          <w:rFonts w:eastAsiaTheme="minorEastAsia"/>
          <w:color w:val="auto"/>
          <w:szCs w:val="32"/>
        </w:rPr>
      </w:pPr>
      <w:r>
        <w:rPr>
          <w:rFonts w:eastAsiaTheme="minorEastAsia"/>
          <w:color w:val="auto"/>
          <w:szCs w:val="32"/>
        </w:rPr>
        <w:t xml:space="preserve">6.4.2 </w:t>
      </w:r>
      <w:r>
        <w:rPr>
          <w:rFonts w:hint="eastAsia" w:eastAsiaTheme="minorEastAsia"/>
          <w:color w:val="auto"/>
          <w:szCs w:val="32"/>
          <w:lang w:eastAsia="zh-CN"/>
        </w:rPr>
        <w:t xml:space="preserve">  </w:t>
      </w:r>
      <w:r>
        <w:rPr>
          <w:rFonts w:hint="eastAsia" w:eastAsiaTheme="minorEastAsia"/>
          <w:color w:val="auto"/>
          <w:szCs w:val="32"/>
        </w:rPr>
        <w:t>项目级模型协同设计应用标准可以规范模型协同应用过程，提升设计单位对已有资源的利用效率，改善协同应用环境，提升模型协同应用能力</w:t>
      </w:r>
      <w:r>
        <w:rPr>
          <w:rFonts w:eastAsiaTheme="minorEastAsia"/>
          <w:color w:val="auto"/>
          <w:szCs w:val="32"/>
        </w:rPr>
        <w:t>。</w:t>
      </w:r>
    </w:p>
    <w:p>
      <w:pPr>
        <w:ind w:firstLine="0" w:firstLineChars="0"/>
        <w:rPr>
          <w:rFonts w:eastAsiaTheme="minorEastAsia"/>
          <w:color w:val="auto"/>
          <w:szCs w:val="32"/>
        </w:rPr>
      </w:pPr>
      <w:r>
        <w:rPr>
          <w:rFonts w:eastAsiaTheme="minorEastAsia"/>
          <w:color w:val="auto"/>
          <w:szCs w:val="32"/>
        </w:rPr>
        <w:t xml:space="preserve">6.4.3 </w:t>
      </w:r>
      <w:r>
        <w:rPr>
          <w:rFonts w:hint="eastAsia" w:eastAsiaTheme="minorEastAsia"/>
          <w:color w:val="auto"/>
          <w:szCs w:val="32"/>
          <w:lang w:eastAsia="zh-CN"/>
        </w:rPr>
        <w:t xml:space="preserve">  </w:t>
      </w:r>
      <w:r>
        <w:rPr>
          <w:rFonts w:eastAsiaTheme="minorEastAsia"/>
          <w:color w:val="auto"/>
          <w:szCs w:val="32"/>
        </w:rPr>
        <w:t>设计阶段针对项目级的模型协同设计应用标准制定时</w:t>
      </w:r>
      <w:r>
        <w:rPr>
          <w:rFonts w:hint="eastAsia" w:eastAsiaTheme="minorEastAsia"/>
          <w:color w:val="auto"/>
          <w:szCs w:val="32"/>
        </w:rPr>
        <w:t>宜涵盖</w:t>
      </w:r>
      <w:r>
        <w:rPr>
          <w:rFonts w:eastAsiaTheme="minorEastAsia"/>
          <w:color w:val="auto"/>
          <w:szCs w:val="32"/>
        </w:rPr>
        <w:t>单位内部协同与外部协同两部分</w:t>
      </w:r>
      <w:r>
        <w:rPr>
          <w:rFonts w:hint="eastAsia" w:eastAsiaTheme="minorEastAsia"/>
          <w:color w:val="auto"/>
          <w:szCs w:val="32"/>
        </w:rPr>
        <w:t>。异地协同</w:t>
      </w:r>
      <w:r>
        <w:rPr>
          <w:rFonts w:eastAsiaTheme="minorEastAsia"/>
          <w:color w:val="auto"/>
          <w:szCs w:val="32"/>
        </w:rPr>
        <w:t>可以较好地满足多</w:t>
      </w:r>
      <w:r>
        <w:rPr>
          <w:rFonts w:hint="eastAsia" w:eastAsiaTheme="minorEastAsia"/>
          <w:color w:val="auto"/>
          <w:szCs w:val="32"/>
        </w:rPr>
        <w:t>地</w:t>
      </w:r>
      <w:r>
        <w:rPr>
          <w:rFonts w:eastAsiaTheme="minorEastAsia"/>
          <w:color w:val="auto"/>
          <w:szCs w:val="32"/>
        </w:rPr>
        <w:t>多参与方进行</w:t>
      </w:r>
      <w:r>
        <w:rPr>
          <w:rFonts w:hint="eastAsia" w:eastAsiaTheme="minorEastAsia"/>
          <w:color w:val="auto"/>
          <w:szCs w:val="32"/>
        </w:rPr>
        <w:t>协同</w:t>
      </w:r>
      <w:r>
        <w:rPr>
          <w:rFonts w:eastAsiaTheme="minorEastAsia"/>
          <w:color w:val="auto"/>
          <w:szCs w:val="32"/>
        </w:rPr>
        <w:t>操作，</w:t>
      </w:r>
      <w:r>
        <w:rPr>
          <w:rFonts w:hint="eastAsia" w:eastAsiaTheme="minorEastAsia"/>
          <w:color w:val="auto"/>
          <w:szCs w:val="32"/>
        </w:rPr>
        <w:t>采用</w:t>
      </w:r>
      <w:r>
        <w:rPr>
          <w:rFonts w:eastAsiaTheme="minorEastAsia"/>
          <w:color w:val="auto"/>
          <w:szCs w:val="32"/>
        </w:rPr>
        <w:t>单一数据源或中央文件控制时，可以较好地保障模型数据的唯一性与一致性等要求。</w:t>
      </w:r>
    </w:p>
    <w:p>
      <w:pPr>
        <w:ind w:firstLine="0" w:firstLineChars="0"/>
        <w:rPr>
          <w:rFonts w:eastAsiaTheme="minorEastAsia"/>
          <w:color w:val="auto"/>
          <w:szCs w:val="32"/>
        </w:rPr>
      </w:pPr>
      <w:r>
        <w:rPr>
          <w:rFonts w:eastAsiaTheme="minorEastAsia"/>
          <w:color w:val="auto"/>
          <w:szCs w:val="32"/>
        </w:rPr>
        <w:t xml:space="preserve">6.4.4 </w:t>
      </w:r>
      <w:r>
        <w:rPr>
          <w:rFonts w:hint="eastAsia" w:eastAsiaTheme="minorEastAsia"/>
          <w:color w:val="auto"/>
          <w:szCs w:val="32"/>
          <w:lang w:eastAsia="zh-CN"/>
        </w:rPr>
        <w:t xml:space="preserve">  </w:t>
      </w:r>
      <w:r>
        <w:rPr>
          <w:rFonts w:eastAsiaTheme="minorEastAsia"/>
          <w:color w:val="auto"/>
          <w:szCs w:val="32"/>
        </w:rPr>
        <w:t>设计阶段</w:t>
      </w:r>
      <w:r>
        <w:rPr>
          <w:rFonts w:hint="eastAsia" w:eastAsiaTheme="minorEastAsia"/>
          <w:color w:val="auto"/>
          <w:szCs w:val="32"/>
        </w:rPr>
        <w:t>的</w:t>
      </w:r>
      <w:r>
        <w:rPr>
          <w:rFonts w:eastAsiaTheme="minorEastAsia"/>
          <w:color w:val="auto"/>
          <w:szCs w:val="32"/>
        </w:rPr>
        <w:t>协同应用标准主要包含设计流程过程中可能出现的活动以及活动之间的协调。</w:t>
      </w:r>
    </w:p>
    <w:p>
      <w:pPr>
        <w:ind w:firstLine="0" w:firstLineChars="0"/>
        <w:rPr>
          <w:rFonts w:eastAsiaTheme="minorEastAsia"/>
          <w:color w:val="auto"/>
          <w:szCs w:val="32"/>
        </w:rPr>
      </w:pPr>
      <w:r>
        <w:rPr>
          <w:rFonts w:eastAsiaTheme="minorEastAsia"/>
          <w:color w:val="auto"/>
          <w:szCs w:val="32"/>
        </w:rPr>
        <w:t>6.4.</w:t>
      </w:r>
      <w:r>
        <w:rPr>
          <w:rFonts w:hint="eastAsia" w:eastAsiaTheme="minorEastAsia"/>
          <w:color w:val="auto"/>
          <w:szCs w:val="32"/>
        </w:rPr>
        <w:t>5</w:t>
      </w:r>
      <w:r>
        <w:rPr>
          <w:rFonts w:eastAsiaTheme="minorEastAsia"/>
          <w:color w:val="auto"/>
          <w:szCs w:val="32"/>
        </w:rPr>
        <w:t xml:space="preserve"> </w:t>
      </w:r>
      <w:r>
        <w:rPr>
          <w:rFonts w:hint="eastAsia" w:eastAsiaTheme="minorEastAsia"/>
          <w:color w:val="auto"/>
          <w:szCs w:val="32"/>
          <w:lang w:eastAsia="zh-CN"/>
        </w:rPr>
        <w:t xml:space="preserve">  </w:t>
      </w:r>
      <w:r>
        <w:rPr>
          <w:rFonts w:hint="eastAsia" w:eastAsiaTheme="minorEastAsia"/>
          <w:color w:val="auto"/>
          <w:szCs w:val="32"/>
        </w:rPr>
        <w:t>基于设计信息模型的三维设计校审能有效保障设计校审的质量，提升设计校审效率，同时通过信息的可追溯性，为审计追踪提供更多可能与支撑</w:t>
      </w:r>
      <w:r>
        <w:rPr>
          <w:rFonts w:eastAsiaTheme="minorEastAsia"/>
          <w:color w:val="auto"/>
          <w:szCs w:val="32"/>
        </w:rPr>
        <w:t>。</w:t>
      </w:r>
    </w:p>
    <w:p>
      <w:pPr>
        <w:ind w:firstLine="0" w:firstLineChars="0"/>
        <w:rPr>
          <w:color w:val="auto"/>
        </w:rPr>
      </w:pPr>
    </w:p>
    <w:p>
      <w:pPr>
        <w:pStyle w:val="3"/>
        <w:jc w:val="center"/>
        <w:rPr>
          <w:color w:val="auto"/>
        </w:rPr>
      </w:pPr>
      <w:r>
        <w:rPr>
          <w:color w:val="auto"/>
        </w:rPr>
        <w:t xml:space="preserve">6.5 </w:t>
      </w:r>
      <w:r>
        <w:rPr>
          <w:rFonts w:hint="eastAsia"/>
          <w:color w:val="auto"/>
        </w:rPr>
        <w:t>交付准备</w:t>
      </w:r>
    </w:p>
    <w:p>
      <w:pPr>
        <w:ind w:firstLine="0" w:firstLineChars="0"/>
        <w:rPr>
          <w:rFonts w:eastAsiaTheme="minorEastAsia"/>
          <w:color w:val="auto"/>
          <w:szCs w:val="32"/>
        </w:rPr>
      </w:pPr>
      <w:r>
        <w:rPr>
          <w:rFonts w:eastAsiaTheme="minorEastAsia"/>
          <w:color w:val="auto"/>
          <w:szCs w:val="32"/>
        </w:rPr>
        <w:t xml:space="preserve">6.5.1 </w:t>
      </w:r>
      <w:r>
        <w:rPr>
          <w:rFonts w:hint="eastAsia" w:eastAsiaTheme="minorEastAsia"/>
          <w:color w:val="auto"/>
          <w:szCs w:val="32"/>
          <w:lang w:eastAsia="zh-CN"/>
        </w:rPr>
        <w:t xml:space="preserve">  </w:t>
      </w:r>
      <w:r>
        <w:rPr>
          <w:rFonts w:eastAsiaTheme="minorEastAsia"/>
          <w:color w:val="auto"/>
          <w:szCs w:val="32"/>
        </w:rPr>
        <w:t>模型是模型元素的集合，良好</w:t>
      </w:r>
      <w:r>
        <w:rPr>
          <w:rFonts w:hint="eastAsia" w:eastAsiaTheme="minorEastAsia"/>
          <w:color w:val="auto"/>
          <w:szCs w:val="32"/>
        </w:rPr>
        <w:t>统一</w:t>
      </w:r>
      <w:r>
        <w:rPr>
          <w:rFonts w:eastAsiaTheme="minorEastAsia"/>
          <w:color w:val="auto"/>
          <w:szCs w:val="32"/>
        </w:rPr>
        <w:t>的模型构架是对模型元素的合理化组织，能提升模型协同交付能力。</w:t>
      </w:r>
    </w:p>
    <w:p>
      <w:pPr>
        <w:ind w:firstLine="0" w:firstLineChars="0"/>
        <w:rPr>
          <w:rFonts w:eastAsiaTheme="minorEastAsia"/>
          <w:color w:val="auto"/>
          <w:szCs w:val="32"/>
        </w:rPr>
      </w:pPr>
      <w:r>
        <w:rPr>
          <w:rFonts w:eastAsiaTheme="minorEastAsia"/>
          <w:color w:val="auto"/>
          <w:szCs w:val="32"/>
        </w:rPr>
        <w:t xml:space="preserve">6.5.2 </w:t>
      </w:r>
      <w:r>
        <w:rPr>
          <w:rFonts w:hint="eastAsia" w:eastAsiaTheme="minorEastAsia"/>
          <w:color w:val="auto"/>
          <w:szCs w:val="32"/>
          <w:lang w:eastAsia="zh-CN"/>
        </w:rPr>
        <w:t xml:space="preserve">  </w:t>
      </w:r>
      <w:r>
        <w:rPr>
          <w:rFonts w:eastAsiaTheme="minorEastAsia"/>
          <w:color w:val="auto"/>
          <w:szCs w:val="32"/>
        </w:rPr>
        <w:t>当三维信息模型不足以完整地表述设计对象信息时，可辅助采用其它方式进行补充和进一步说明。</w:t>
      </w:r>
    </w:p>
    <w:p>
      <w:pPr>
        <w:ind w:firstLine="0" w:firstLineChars="0"/>
        <w:rPr>
          <w:rFonts w:eastAsiaTheme="minorEastAsia"/>
          <w:color w:val="auto"/>
          <w:szCs w:val="32"/>
        </w:rPr>
      </w:pPr>
      <w:r>
        <w:rPr>
          <w:rFonts w:eastAsiaTheme="minorEastAsia"/>
          <w:color w:val="auto"/>
          <w:szCs w:val="32"/>
        </w:rPr>
        <w:t xml:space="preserve">6.5.3 </w:t>
      </w:r>
      <w:r>
        <w:rPr>
          <w:rFonts w:hint="eastAsia" w:eastAsiaTheme="minorEastAsia"/>
          <w:color w:val="auto"/>
          <w:szCs w:val="32"/>
          <w:lang w:eastAsia="zh-CN"/>
        </w:rPr>
        <w:t xml:space="preserve">  </w:t>
      </w:r>
      <w:r>
        <w:rPr>
          <w:rFonts w:hint="eastAsia" w:eastAsiaTheme="minorEastAsia"/>
          <w:color w:val="auto"/>
          <w:szCs w:val="32"/>
        </w:rPr>
        <w:t>为</w:t>
      </w:r>
      <w:r>
        <w:rPr>
          <w:rFonts w:eastAsiaTheme="minorEastAsia"/>
          <w:color w:val="auto"/>
          <w:szCs w:val="32"/>
        </w:rPr>
        <w:t>保障信息有序</w:t>
      </w:r>
      <w:r>
        <w:rPr>
          <w:rFonts w:hint="eastAsia" w:eastAsiaTheme="minorEastAsia"/>
          <w:color w:val="auto"/>
          <w:szCs w:val="32"/>
        </w:rPr>
        <w:t>且</w:t>
      </w:r>
      <w:r>
        <w:rPr>
          <w:rFonts w:eastAsiaTheme="minorEastAsia"/>
          <w:color w:val="auto"/>
          <w:szCs w:val="32"/>
        </w:rPr>
        <w:t>规范地传递，模型单元的描述方式关系到数据应用时能否进行数据定位。因此有必要制定共同规则，既约束模型单元的输入，也提供数据定位的方法。模型单元分为实体和属性两个维度，在模型单元创建时应考虑其系统分类、关联性、几何及非几何信息属性、数据信息来源等内容。</w:t>
      </w:r>
    </w:p>
    <w:p>
      <w:pPr>
        <w:pStyle w:val="3"/>
        <w:jc w:val="center"/>
        <w:rPr>
          <w:color w:val="auto"/>
        </w:rPr>
      </w:pPr>
      <w:r>
        <w:rPr>
          <w:color w:val="auto"/>
        </w:rPr>
        <w:t>6.</w:t>
      </w:r>
      <w:r>
        <w:rPr>
          <w:rFonts w:hint="eastAsia"/>
          <w:color w:val="auto"/>
        </w:rPr>
        <w:t>6</w:t>
      </w:r>
      <w:r>
        <w:rPr>
          <w:color w:val="auto"/>
        </w:rPr>
        <w:t xml:space="preserve"> </w:t>
      </w:r>
      <w:r>
        <w:rPr>
          <w:rFonts w:hint="eastAsia"/>
          <w:color w:val="auto"/>
        </w:rPr>
        <w:t>设计交付与归档</w:t>
      </w:r>
    </w:p>
    <w:p>
      <w:pPr>
        <w:ind w:firstLine="0" w:firstLineChars="0"/>
        <w:rPr>
          <w:rFonts w:eastAsiaTheme="minorEastAsia"/>
          <w:color w:val="auto"/>
          <w:szCs w:val="32"/>
        </w:rPr>
      </w:pPr>
      <w:r>
        <w:rPr>
          <w:rFonts w:eastAsiaTheme="minorEastAsia"/>
          <w:color w:val="auto"/>
          <w:szCs w:val="32"/>
        </w:rPr>
        <w:t>6.</w:t>
      </w:r>
      <w:r>
        <w:rPr>
          <w:rFonts w:hint="eastAsia" w:eastAsiaTheme="minorEastAsia"/>
          <w:color w:val="auto"/>
          <w:szCs w:val="32"/>
        </w:rPr>
        <w:t>6</w:t>
      </w:r>
      <w:r>
        <w:rPr>
          <w:rFonts w:eastAsiaTheme="minorEastAsia"/>
          <w:color w:val="auto"/>
          <w:szCs w:val="32"/>
        </w:rPr>
        <w:t xml:space="preserve">.1 </w:t>
      </w:r>
      <w:r>
        <w:rPr>
          <w:rFonts w:hint="eastAsia" w:eastAsiaTheme="minorEastAsia"/>
          <w:color w:val="auto"/>
          <w:szCs w:val="32"/>
          <w:lang w:eastAsia="zh-CN"/>
        </w:rPr>
        <w:t xml:space="preserve">  </w:t>
      </w:r>
      <w:r>
        <w:rPr>
          <w:rFonts w:hint="eastAsia" w:eastAsiaTheme="minorEastAsia"/>
          <w:color w:val="auto"/>
          <w:szCs w:val="32"/>
        </w:rPr>
        <w:t>对有专项设计情况，专项设计单位成果应首先移交给设计单位，并由设计单位完成模型及文件的整合</w:t>
      </w:r>
      <w:r>
        <w:rPr>
          <w:rFonts w:eastAsiaTheme="minorEastAsia"/>
          <w:color w:val="auto"/>
          <w:szCs w:val="32"/>
        </w:rPr>
        <w:t>。</w:t>
      </w:r>
      <w:r>
        <w:rPr>
          <w:rFonts w:hint="eastAsia" w:eastAsiaTheme="minorEastAsia"/>
          <w:color w:val="auto"/>
          <w:szCs w:val="32"/>
        </w:rPr>
        <w:t>设计单位将整合后的设计成果按建设单位要求完成外部移交和归档工作，归档单位包括建设单位以及政府有关档案接收部门，同时按设计单位自身要求完成内部的归档工作。</w:t>
      </w:r>
    </w:p>
    <w:p>
      <w:pPr>
        <w:ind w:firstLine="0" w:firstLineChars="0"/>
        <w:rPr>
          <w:rFonts w:eastAsiaTheme="minorEastAsia"/>
          <w:color w:val="auto"/>
          <w:szCs w:val="32"/>
        </w:rPr>
      </w:pPr>
      <w:r>
        <w:rPr>
          <w:rFonts w:eastAsiaTheme="minorEastAsia"/>
          <w:color w:val="auto"/>
          <w:szCs w:val="32"/>
        </w:rPr>
        <w:t>6.</w:t>
      </w:r>
      <w:r>
        <w:rPr>
          <w:rFonts w:hint="eastAsia" w:eastAsiaTheme="minorEastAsia"/>
          <w:color w:val="auto"/>
          <w:szCs w:val="32"/>
        </w:rPr>
        <w:t>6</w:t>
      </w:r>
      <w:r>
        <w:rPr>
          <w:rFonts w:eastAsiaTheme="minorEastAsia"/>
          <w:color w:val="auto"/>
          <w:szCs w:val="32"/>
        </w:rPr>
        <w:t>.</w:t>
      </w:r>
      <w:r>
        <w:rPr>
          <w:rFonts w:hint="eastAsia" w:eastAsiaTheme="minorEastAsia"/>
          <w:color w:val="auto"/>
          <w:szCs w:val="32"/>
        </w:rPr>
        <w:t>2</w:t>
      </w:r>
      <w:r>
        <w:rPr>
          <w:rFonts w:eastAsiaTheme="minorEastAsia"/>
          <w:color w:val="auto"/>
          <w:szCs w:val="32"/>
        </w:rPr>
        <w:t xml:space="preserve"> </w:t>
      </w:r>
      <w:r>
        <w:rPr>
          <w:rFonts w:hint="eastAsia" w:eastAsiaTheme="minorEastAsia"/>
          <w:color w:val="auto"/>
          <w:szCs w:val="32"/>
          <w:lang w:eastAsia="zh-CN"/>
        </w:rPr>
        <w:t xml:space="preserve">  </w:t>
      </w:r>
      <w:r>
        <w:rPr>
          <w:rFonts w:hint="eastAsia" w:eastAsiaTheme="minorEastAsia"/>
          <w:color w:val="auto"/>
          <w:szCs w:val="32"/>
        </w:rPr>
        <w:t>模型交付物的本质是数据载体，其中交付物清单需列出所有设计交付物名称，项目需求书主要描述工程建设项目数字技术应用的主要需求信息，关键指标表包含主要技术指标以及关键的经济指标等，分析报告主要包含模型应用过程中的主要分析内容及结论等，模型说明书主要包含模型使用说明以及注意事项等内容。</w:t>
      </w:r>
    </w:p>
    <w:p>
      <w:pPr>
        <w:ind w:firstLine="0" w:firstLineChars="0"/>
        <w:rPr>
          <w:rFonts w:eastAsiaTheme="minorEastAsia"/>
          <w:color w:val="auto"/>
        </w:rPr>
      </w:pPr>
      <w:r>
        <w:rPr>
          <w:rFonts w:eastAsiaTheme="minorEastAsia"/>
          <w:color w:val="auto"/>
          <w:szCs w:val="32"/>
        </w:rPr>
        <w:t>6.</w:t>
      </w:r>
      <w:r>
        <w:rPr>
          <w:rFonts w:hint="eastAsia" w:eastAsiaTheme="minorEastAsia"/>
          <w:color w:val="auto"/>
          <w:szCs w:val="32"/>
        </w:rPr>
        <w:t>6</w:t>
      </w:r>
      <w:r>
        <w:rPr>
          <w:rFonts w:eastAsiaTheme="minorEastAsia"/>
          <w:color w:val="auto"/>
          <w:szCs w:val="32"/>
        </w:rPr>
        <w:t>.</w:t>
      </w:r>
      <w:r>
        <w:rPr>
          <w:rFonts w:hint="eastAsia" w:eastAsiaTheme="minorEastAsia"/>
          <w:color w:val="auto"/>
          <w:szCs w:val="32"/>
        </w:rPr>
        <w:t>3</w:t>
      </w:r>
      <w:r>
        <w:rPr>
          <w:rFonts w:eastAsiaTheme="minorEastAsia"/>
          <w:color w:val="auto"/>
          <w:szCs w:val="32"/>
        </w:rPr>
        <w:t xml:space="preserve"> </w:t>
      </w:r>
      <w:r>
        <w:rPr>
          <w:rFonts w:hint="eastAsia" w:eastAsiaTheme="minorEastAsia"/>
          <w:color w:val="auto"/>
          <w:szCs w:val="32"/>
          <w:lang w:eastAsia="zh-CN"/>
        </w:rPr>
        <w:t xml:space="preserve">  </w:t>
      </w:r>
      <w:r>
        <w:rPr>
          <w:rFonts w:hint="eastAsia" w:eastAsiaTheme="minorEastAsia"/>
          <w:color w:val="auto"/>
          <w:szCs w:val="32"/>
        </w:rPr>
        <w:t>对交付物进行审核时，主要依靠计算机辅助自动完成，对特殊情况也可进行人工审核。</w:t>
      </w:r>
    </w:p>
    <w:p>
      <w:pPr>
        <w:ind w:firstLine="0" w:firstLineChars="0"/>
        <w:rPr>
          <w:rFonts w:eastAsiaTheme="minorEastAsia"/>
          <w:color w:val="auto"/>
        </w:rPr>
      </w:pPr>
      <w:r>
        <w:rPr>
          <w:rFonts w:eastAsiaTheme="minorEastAsia"/>
          <w:color w:val="auto"/>
          <w:szCs w:val="32"/>
        </w:rPr>
        <w:t>6.</w:t>
      </w:r>
      <w:r>
        <w:rPr>
          <w:rFonts w:hint="eastAsia" w:eastAsiaTheme="minorEastAsia"/>
          <w:color w:val="auto"/>
          <w:szCs w:val="32"/>
        </w:rPr>
        <w:t>6</w:t>
      </w:r>
      <w:r>
        <w:rPr>
          <w:rFonts w:eastAsiaTheme="minorEastAsia"/>
          <w:color w:val="auto"/>
          <w:szCs w:val="32"/>
        </w:rPr>
        <w:t>.</w:t>
      </w:r>
      <w:r>
        <w:rPr>
          <w:rFonts w:hint="eastAsia" w:eastAsiaTheme="minorEastAsia"/>
          <w:color w:val="auto"/>
          <w:szCs w:val="32"/>
        </w:rPr>
        <w:t>3</w:t>
      </w:r>
      <w:r>
        <w:rPr>
          <w:rFonts w:eastAsiaTheme="minorEastAsia"/>
          <w:color w:val="auto"/>
          <w:szCs w:val="32"/>
        </w:rPr>
        <w:t xml:space="preserve"> </w:t>
      </w:r>
      <w:r>
        <w:rPr>
          <w:rFonts w:hint="eastAsia" w:eastAsiaTheme="minorEastAsia"/>
          <w:color w:val="auto"/>
          <w:szCs w:val="32"/>
          <w:lang w:val="en-US" w:eastAsia="zh-CN"/>
        </w:rPr>
        <w:t xml:space="preserve"> </w:t>
      </w:r>
      <w:r>
        <w:rPr>
          <w:rFonts w:hint="eastAsia" w:eastAsiaTheme="minorEastAsia"/>
          <w:color w:val="auto"/>
          <w:szCs w:val="32"/>
        </w:rPr>
        <w:t>对交付物进行审核时，主要依靠计算机辅助自动完成，对特殊情况也可进行人工审核。</w:t>
      </w:r>
    </w:p>
    <w:p>
      <w:pPr>
        <w:ind w:firstLine="480"/>
        <w:rPr>
          <w:color w:val="auto"/>
        </w:rPr>
        <w:sectPr>
          <w:pgSz w:w="11906" w:h="16838"/>
          <w:pgMar w:top="1440" w:right="1797" w:bottom="1440" w:left="1797" w:header="851" w:footer="992" w:gutter="0"/>
          <w:cols w:space="425" w:num="1"/>
          <w:docGrid w:type="linesAndChars" w:linePitch="326" w:charSpace="0"/>
        </w:sectPr>
      </w:pPr>
    </w:p>
    <w:p>
      <w:pPr>
        <w:pStyle w:val="2"/>
        <w:numPr>
          <w:ilvl w:val="0"/>
          <w:numId w:val="13"/>
        </w:numPr>
        <w:spacing w:before="312" w:after="312"/>
        <w:jc w:val="center"/>
        <w:rPr>
          <w:rFonts w:hint="default"/>
          <w:color w:val="auto"/>
          <w:lang w:val="en-US" w:eastAsia="zh-CN"/>
        </w:rPr>
      </w:pPr>
      <w:r>
        <w:rPr>
          <w:rFonts w:hint="eastAsia"/>
          <w:color w:val="auto"/>
          <w:lang w:val="en-US" w:eastAsia="zh-CN"/>
        </w:rPr>
        <w:t xml:space="preserve">   施工阶段</w:t>
      </w:r>
    </w:p>
    <w:p>
      <w:pPr>
        <w:pStyle w:val="3"/>
        <w:jc w:val="center"/>
        <w:rPr>
          <w:color w:val="auto"/>
        </w:rPr>
      </w:pPr>
      <w:r>
        <w:rPr>
          <w:color w:val="auto"/>
        </w:rPr>
        <w:t>7.1 一般规定</w:t>
      </w:r>
    </w:p>
    <w:p>
      <w:pPr>
        <w:ind w:firstLine="0" w:firstLineChars="0"/>
        <w:rPr>
          <w:rFonts w:eastAsiaTheme="minorEastAsia"/>
          <w:color w:val="auto"/>
          <w:szCs w:val="32"/>
        </w:rPr>
      </w:pPr>
      <w:r>
        <w:rPr>
          <w:rFonts w:eastAsiaTheme="minorEastAsia"/>
          <w:color w:val="auto"/>
          <w:szCs w:val="32"/>
        </w:rPr>
        <w:t xml:space="preserve">7.1.1 </w:t>
      </w:r>
      <w:r>
        <w:rPr>
          <w:rFonts w:hint="eastAsia" w:eastAsiaTheme="minorEastAsia"/>
          <w:color w:val="auto"/>
          <w:szCs w:val="32"/>
          <w:lang w:eastAsia="zh-CN"/>
        </w:rPr>
        <w:t xml:space="preserve">  </w:t>
      </w:r>
      <w:r>
        <w:rPr>
          <w:rFonts w:hint="eastAsia" w:eastAsiaTheme="minorEastAsia"/>
          <w:color w:val="auto"/>
          <w:szCs w:val="32"/>
        </w:rPr>
        <w:t>施工阶段</w:t>
      </w:r>
      <w:r>
        <w:rPr>
          <w:rFonts w:eastAsiaTheme="minorEastAsia"/>
          <w:color w:val="auto"/>
          <w:szCs w:val="32"/>
        </w:rPr>
        <w:t>模型应用根据</w:t>
      </w:r>
      <w:r>
        <w:rPr>
          <w:rFonts w:hint="eastAsia" w:eastAsiaTheme="minorEastAsia"/>
          <w:color w:val="auto"/>
          <w:szCs w:val="32"/>
        </w:rPr>
        <w:t>工程建设项目特点、</w:t>
      </w:r>
      <w:r>
        <w:rPr>
          <w:rFonts w:eastAsiaTheme="minorEastAsia"/>
          <w:color w:val="auto"/>
          <w:szCs w:val="32"/>
        </w:rPr>
        <w:t>实施目标</w:t>
      </w:r>
      <w:r>
        <w:rPr>
          <w:rFonts w:hint="eastAsia" w:eastAsiaTheme="minorEastAsia"/>
          <w:color w:val="auto"/>
          <w:szCs w:val="32"/>
        </w:rPr>
        <w:t>、总体实施策划以及</w:t>
      </w:r>
      <w:r>
        <w:rPr>
          <w:rFonts w:eastAsiaTheme="minorEastAsia"/>
          <w:color w:val="auto"/>
          <w:szCs w:val="32"/>
        </w:rPr>
        <w:t>应用需求</w:t>
      </w:r>
      <w:r>
        <w:rPr>
          <w:rFonts w:hint="eastAsia" w:eastAsiaTheme="minorEastAsia"/>
          <w:color w:val="auto"/>
          <w:szCs w:val="32"/>
        </w:rPr>
        <w:t>等</w:t>
      </w:r>
      <w:r>
        <w:rPr>
          <w:rFonts w:eastAsiaTheme="minorEastAsia"/>
          <w:color w:val="auto"/>
          <w:szCs w:val="32"/>
        </w:rPr>
        <w:t>制定相应的执行计划</w:t>
      </w:r>
      <w:r>
        <w:rPr>
          <w:rFonts w:hint="eastAsia" w:eastAsiaTheme="minorEastAsia"/>
          <w:color w:val="auto"/>
          <w:szCs w:val="32"/>
        </w:rPr>
        <w:t>，涉及</w:t>
      </w:r>
      <w:r>
        <w:rPr>
          <w:rFonts w:eastAsiaTheme="minorEastAsia"/>
          <w:color w:val="auto"/>
          <w:szCs w:val="32"/>
        </w:rPr>
        <w:t>施工全过程</w:t>
      </w:r>
      <w:r>
        <w:rPr>
          <w:rFonts w:hint="eastAsia" w:eastAsiaTheme="minorEastAsia"/>
          <w:color w:val="auto"/>
          <w:szCs w:val="32"/>
        </w:rPr>
        <w:t>和</w:t>
      </w:r>
      <w:r>
        <w:rPr>
          <w:rFonts w:eastAsiaTheme="minorEastAsia"/>
          <w:color w:val="auto"/>
          <w:szCs w:val="32"/>
        </w:rPr>
        <w:t>全参与方，服务于</w:t>
      </w:r>
      <w:r>
        <w:rPr>
          <w:rFonts w:hint="eastAsia" w:eastAsiaTheme="minorEastAsia"/>
          <w:color w:val="auto"/>
          <w:szCs w:val="32"/>
        </w:rPr>
        <w:t>施工建造全过程的</w:t>
      </w:r>
      <w:r>
        <w:rPr>
          <w:rFonts w:eastAsiaTheme="minorEastAsia"/>
          <w:color w:val="auto"/>
          <w:szCs w:val="32"/>
        </w:rPr>
        <w:t>项目管理，</w:t>
      </w:r>
      <w:r>
        <w:rPr>
          <w:rFonts w:hint="eastAsia" w:eastAsiaTheme="minorEastAsia"/>
          <w:color w:val="auto"/>
          <w:szCs w:val="32"/>
        </w:rPr>
        <w:t>辅助工程建设项目数字化施工建造与管理</w:t>
      </w:r>
      <w:r>
        <w:rPr>
          <w:rFonts w:eastAsiaTheme="minorEastAsia"/>
          <w:color w:val="auto"/>
          <w:szCs w:val="32"/>
        </w:rPr>
        <w:t>。</w:t>
      </w:r>
    </w:p>
    <w:p>
      <w:pPr>
        <w:ind w:firstLine="0" w:firstLineChars="0"/>
        <w:rPr>
          <w:rFonts w:eastAsiaTheme="minorEastAsia"/>
          <w:color w:val="auto"/>
          <w:szCs w:val="32"/>
        </w:rPr>
      </w:pPr>
      <w:r>
        <w:rPr>
          <w:rFonts w:eastAsiaTheme="minorEastAsia"/>
          <w:color w:val="auto"/>
          <w:szCs w:val="32"/>
        </w:rPr>
        <w:t xml:space="preserve">7.1.2 </w:t>
      </w:r>
      <w:r>
        <w:rPr>
          <w:rFonts w:hint="eastAsia" w:eastAsiaTheme="minorEastAsia"/>
          <w:color w:val="auto"/>
          <w:szCs w:val="32"/>
          <w:lang w:eastAsia="zh-CN"/>
        </w:rPr>
        <w:t xml:space="preserve">  </w:t>
      </w:r>
      <w:r>
        <w:rPr>
          <w:rFonts w:hint="eastAsia" w:eastAsiaTheme="minorEastAsia"/>
          <w:color w:val="auto"/>
          <w:szCs w:val="32"/>
        </w:rPr>
        <w:t>施工信息模型宜在设计信息模型的基础上深化完成，并应针对建设工程建设项目施工实施特点及其应用需求进行深化设计，宜能满足辅助进行数字化建造与项目管理的需求</w:t>
      </w:r>
      <w:r>
        <w:rPr>
          <w:rFonts w:eastAsiaTheme="minorEastAsia"/>
          <w:color w:val="auto"/>
          <w:szCs w:val="32"/>
        </w:rPr>
        <w:t>。</w:t>
      </w:r>
    </w:p>
    <w:p>
      <w:pPr>
        <w:ind w:firstLine="0" w:firstLineChars="0"/>
        <w:rPr>
          <w:rFonts w:eastAsiaTheme="minorEastAsia"/>
          <w:color w:val="auto"/>
          <w:szCs w:val="32"/>
        </w:rPr>
      </w:pPr>
      <w:r>
        <w:rPr>
          <w:rFonts w:eastAsiaTheme="minorEastAsia"/>
          <w:color w:val="auto"/>
          <w:szCs w:val="32"/>
        </w:rPr>
        <w:t xml:space="preserve">7.1.3 </w:t>
      </w:r>
      <w:r>
        <w:rPr>
          <w:rFonts w:hint="eastAsia" w:eastAsiaTheme="minorEastAsia"/>
          <w:color w:val="auto"/>
          <w:szCs w:val="32"/>
          <w:lang w:eastAsia="zh-CN"/>
        </w:rPr>
        <w:t xml:space="preserve">  </w:t>
      </w:r>
      <w:r>
        <w:rPr>
          <w:rFonts w:eastAsiaTheme="minorEastAsia"/>
          <w:color w:val="auto"/>
          <w:szCs w:val="32"/>
        </w:rPr>
        <w:t>深化设计是施工过程中对施工信息模型的不断深化，从而满足施工过程中的不同应用需求</w:t>
      </w:r>
      <w:r>
        <w:rPr>
          <w:rFonts w:hint="eastAsia" w:eastAsiaTheme="minorEastAsia"/>
          <w:color w:val="auto"/>
          <w:szCs w:val="32"/>
        </w:rPr>
        <w:t xml:space="preserve"> </w:t>
      </w:r>
      <w:r>
        <w:rPr>
          <w:rFonts w:eastAsiaTheme="minorEastAsia"/>
          <w:color w:val="auto"/>
          <w:szCs w:val="32"/>
        </w:rPr>
        <w:t>。</w:t>
      </w:r>
    </w:p>
    <w:p>
      <w:pPr>
        <w:ind w:firstLine="0" w:firstLineChars="0"/>
        <w:rPr>
          <w:rFonts w:eastAsiaTheme="minorEastAsia"/>
          <w:color w:val="auto"/>
          <w:szCs w:val="32"/>
        </w:rPr>
      </w:pPr>
      <w:r>
        <w:rPr>
          <w:rFonts w:eastAsiaTheme="minorEastAsia"/>
          <w:color w:val="auto"/>
          <w:szCs w:val="32"/>
        </w:rPr>
        <w:t xml:space="preserve">7.1.4 </w:t>
      </w:r>
      <w:r>
        <w:rPr>
          <w:rFonts w:hint="eastAsia" w:eastAsiaTheme="minorEastAsia"/>
          <w:color w:val="auto"/>
          <w:szCs w:val="32"/>
          <w:lang w:eastAsia="zh-CN"/>
        </w:rPr>
        <w:t xml:space="preserve">  </w:t>
      </w:r>
      <w:r>
        <w:rPr>
          <w:rFonts w:hint="eastAsia" w:eastAsiaTheme="minorEastAsia"/>
          <w:color w:val="auto"/>
          <w:szCs w:val="32"/>
        </w:rPr>
        <w:t>施工过程</w:t>
      </w:r>
      <w:r>
        <w:rPr>
          <w:rFonts w:eastAsiaTheme="minorEastAsia"/>
          <w:color w:val="auto"/>
          <w:szCs w:val="32"/>
        </w:rPr>
        <w:t>中的变更可能会涉及到建设工程现场情况变化、施工过程方法变化以及其它相关需求的变化等因素，需要结合现场情况综合处理。施工信息模型在进行变更时，宜与设计信息模型进行协同，对变更质量、变更流程以及变更结果进行版本及有效性控制。</w:t>
      </w:r>
    </w:p>
    <w:p>
      <w:pPr>
        <w:ind w:firstLine="0" w:firstLineChars="0"/>
        <w:rPr>
          <w:rFonts w:eastAsiaTheme="minorEastAsia"/>
          <w:color w:val="auto"/>
          <w:szCs w:val="32"/>
        </w:rPr>
      </w:pPr>
      <w:r>
        <w:rPr>
          <w:rFonts w:eastAsiaTheme="minorEastAsia"/>
          <w:color w:val="auto"/>
          <w:szCs w:val="32"/>
        </w:rPr>
        <w:t xml:space="preserve">7.1.5 </w:t>
      </w:r>
      <w:r>
        <w:rPr>
          <w:rFonts w:hint="eastAsia" w:eastAsiaTheme="minorEastAsia"/>
          <w:color w:val="auto"/>
          <w:szCs w:val="32"/>
          <w:lang w:eastAsia="zh-CN"/>
        </w:rPr>
        <w:t xml:space="preserve">  </w:t>
      </w:r>
      <w:r>
        <w:rPr>
          <w:rFonts w:hint="eastAsia" w:eastAsiaTheme="minorEastAsia"/>
          <w:color w:val="auto"/>
          <w:szCs w:val="32"/>
        </w:rPr>
        <w:t>物联网、大数据、AI、云计算等技术能够有效提升数据的采集、整理以及分析的能力，增强施工单位对施工现场建造过程中的质量、进度、安全、成本的管控能力，降低实施过程中的风险</w:t>
      </w:r>
      <w:r>
        <w:rPr>
          <w:rFonts w:eastAsiaTheme="minorEastAsia"/>
          <w:color w:val="auto"/>
          <w:szCs w:val="32"/>
        </w:rPr>
        <w:t>。</w:t>
      </w:r>
    </w:p>
    <w:p>
      <w:pPr>
        <w:ind w:firstLine="0" w:firstLineChars="0"/>
        <w:rPr>
          <w:rFonts w:eastAsiaTheme="minorEastAsia"/>
          <w:color w:val="auto"/>
          <w:szCs w:val="32"/>
        </w:rPr>
      </w:pPr>
      <w:r>
        <w:rPr>
          <w:rFonts w:eastAsiaTheme="minorEastAsia"/>
          <w:color w:val="auto"/>
          <w:szCs w:val="32"/>
        </w:rPr>
        <w:t xml:space="preserve">7.1.6 </w:t>
      </w:r>
      <w:r>
        <w:rPr>
          <w:rFonts w:hint="eastAsia" w:eastAsiaTheme="minorEastAsia"/>
          <w:color w:val="auto"/>
          <w:szCs w:val="32"/>
          <w:lang w:eastAsia="zh-CN"/>
        </w:rPr>
        <w:t xml:space="preserve">  </w:t>
      </w:r>
      <w:r>
        <w:rPr>
          <w:rFonts w:hint="eastAsia" w:eastAsiaTheme="minorEastAsia"/>
          <w:color w:val="auto"/>
          <w:szCs w:val="32"/>
        </w:rPr>
        <w:t>在建设工程建设项目竣工验收有C</w:t>
      </w:r>
      <w:r>
        <w:rPr>
          <w:rFonts w:eastAsiaTheme="minorEastAsia"/>
          <w:color w:val="auto"/>
          <w:szCs w:val="32"/>
        </w:rPr>
        <w:t>IM平台管理要求时，需要提前考虑</w:t>
      </w:r>
      <w:r>
        <w:rPr>
          <w:rFonts w:hint="eastAsia" w:eastAsiaTheme="minorEastAsia"/>
          <w:color w:val="auto"/>
          <w:szCs w:val="32"/>
        </w:rPr>
        <w:t>C</w:t>
      </w:r>
      <w:r>
        <w:rPr>
          <w:rFonts w:eastAsiaTheme="minorEastAsia"/>
          <w:color w:val="auto"/>
          <w:szCs w:val="32"/>
        </w:rPr>
        <w:t>IM平台的使用与解析要求，应针对该需求</w:t>
      </w:r>
      <w:r>
        <w:rPr>
          <w:rFonts w:hint="eastAsia" w:eastAsiaTheme="minorEastAsia"/>
          <w:color w:val="auto"/>
          <w:szCs w:val="32"/>
        </w:rPr>
        <w:t xml:space="preserve"> </w:t>
      </w:r>
      <w:r>
        <w:rPr>
          <w:rFonts w:eastAsiaTheme="minorEastAsia"/>
          <w:color w:val="auto"/>
          <w:szCs w:val="32"/>
        </w:rPr>
        <w:t>对模型创建规则及信息深度等进行提前策划。</w:t>
      </w:r>
    </w:p>
    <w:p>
      <w:pPr>
        <w:ind w:firstLine="0" w:firstLineChars="0"/>
        <w:rPr>
          <w:rFonts w:eastAsiaTheme="minorEastAsia"/>
          <w:color w:val="auto"/>
          <w:szCs w:val="32"/>
        </w:rPr>
      </w:pPr>
      <w:r>
        <w:rPr>
          <w:rFonts w:hint="eastAsia" w:eastAsiaTheme="minorEastAsia"/>
          <w:color w:val="auto"/>
          <w:szCs w:val="32"/>
        </w:rPr>
        <w:t>7</w:t>
      </w:r>
      <w:r>
        <w:rPr>
          <w:rFonts w:eastAsiaTheme="minorEastAsia"/>
          <w:color w:val="auto"/>
          <w:szCs w:val="32"/>
        </w:rPr>
        <w:t>.1.</w:t>
      </w:r>
      <w:r>
        <w:rPr>
          <w:rFonts w:hint="eastAsia" w:eastAsiaTheme="minorEastAsia"/>
          <w:color w:val="auto"/>
          <w:szCs w:val="32"/>
        </w:rPr>
        <w:t>7</w:t>
      </w:r>
      <w:r>
        <w:rPr>
          <w:rFonts w:eastAsiaTheme="minorEastAsia"/>
          <w:color w:val="auto"/>
          <w:szCs w:val="32"/>
        </w:rPr>
        <w:t xml:space="preserve"> </w:t>
      </w:r>
      <w:r>
        <w:rPr>
          <w:rFonts w:hint="eastAsia" w:eastAsiaTheme="minorEastAsia"/>
          <w:color w:val="auto"/>
          <w:szCs w:val="32"/>
          <w:lang w:eastAsia="zh-CN"/>
        </w:rPr>
        <w:t xml:space="preserve">  </w:t>
      </w:r>
      <w:r>
        <w:rPr>
          <w:rFonts w:hint="eastAsia" w:eastAsiaTheme="minorEastAsia"/>
          <w:color w:val="auto"/>
          <w:szCs w:val="32"/>
        </w:rPr>
        <w:t>进行数字化施工投标时，应依据施工招标文件中的数字技术应用要求，进行数字技术施工应用实施策划，包括对招标文件要求的响应以及对项目实施应用的优化建议，并形成完整的施工阶段数字技术应用解决方案和后期应用的指导文件等。</w:t>
      </w:r>
    </w:p>
    <w:p>
      <w:pPr>
        <w:pStyle w:val="3"/>
        <w:jc w:val="center"/>
        <w:rPr>
          <w:color w:val="auto"/>
        </w:rPr>
      </w:pPr>
      <w:r>
        <w:rPr>
          <w:color w:val="auto"/>
        </w:rPr>
        <w:t>7.2 深化设计</w:t>
      </w:r>
    </w:p>
    <w:p>
      <w:pPr>
        <w:ind w:firstLine="0" w:firstLineChars="0"/>
        <w:rPr>
          <w:rFonts w:eastAsiaTheme="minorEastAsia"/>
          <w:color w:val="auto"/>
          <w:szCs w:val="32"/>
        </w:rPr>
      </w:pPr>
      <w:r>
        <w:rPr>
          <w:rFonts w:eastAsiaTheme="minorEastAsia"/>
          <w:color w:val="auto"/>
          <w:szCs w:val="32"/>
        </w:rPr>
        <w:t xml:space="preserve">7.2.1 </w:t>
      </w:r>
      <w:r>
        <w:rPr>
          <w:rFonts w:hint="eastAsia" w:eastAsiaTheme="minorEastAsia"/>
          <w:color w:val="auto"/>
          <w:szCs w:val="32"/>
          <w:lang w:eastAsia="zh-CN"/>
        </w:rPr>
        <w:t xml:space="preserve">  </w:t>
      </w:r>
      <w:r>
        <w:rPr>
          <w:rFonts w:eastAsiaTheme="minorEastAsia"/>
          <w:color w:val="auto"/>
          <w:szCs w:val="32"/>
        </w:rPr>
        <w:t>施工深化设计前由设计单位进行三维设计交底，并形成设计交底记录。</w:t>
      </w:r>
      <w:r>
        <w:rPr>
          <w:rFonts w:hint="eastAsia" w:eastAsiaTheme="minorEastAsia"/>
          <w:color w:val="auto"/>
          <w:szCs w:val="32"/>
        </w:rPr>
        <w:t>施工单位在设计信息模型的基础上进行施工深化设计，补充完善相关的施工应用细节，并结合临时工程信息模型进行施工模拟与应用，辅助进行工程项目管理。</w:t>
      </w:r>
    </w:p>
    <w:p>
      <w:pPr>
        <w:ind w:firstLine="0" w:firstLineChars="0"/>
        <w:rPr>
          <w:rFonts w:eastAsiaTheme="minorEastAsia"/>
          <w:color w:val="auto"/>
          <w:szCs w:val="32"/>
        </w:rPr>
      </w:pPr>
      <w:r>
        <w:rPr>
          <w:rFonts w:eastAsiaTheme="minorEastAsia"/>
          <w:color w:val="auto"/>
          <w:szCs w:val="32"/>
        </w:rPr>
        <w:t xml:space="preserve">7.2.2 </w:t>
      </w:r>
      <w:r>
        <w:rPr>
          <w:rFonts w:hint="eastAsia" w:eastAsiaTheme="minorEastAsia"/>
          <w:color w:val="auto"/>
          <w:szCs w:val="32"/>
          <w:lang w:eastAsia="zh-CN"/>
        </w:rPr>
        <w:t xml:space="preserve">  </w:t>
      </w:r>
      <w:r>
        <w:rPr>
          <w:rFonts w:eastAsiaTheme="minorEastAsia"/>
          <w:color w:val="auto"/>
          <w:szCs w:val="32"/>
        </w:rPr>
        <w:t>其它道路工程构筑物包括路基、路面、边坡防护以及排水构筑物等，深化设计内容应根据</w:t>
      </w:r>
      <w:r>
        <w:rPr>
          <w:rFonts w:hint="eastAsia" w:eastAsiaTheme="minorEastAsia"/>
          <w:color w:val="auto"/>
          <w:szCs w:val="32"/>
        </w:rPr>
        <w:t>工程建设项目</w:t>
      </w:r>
      <w:r>
        <w:rPr>
          <w:rFonts w:eastAsiaTheme="minorEastAsia"/>
          <w:color w:val="auto"/>
          <w:szCs w:val="32"/>
        </w:rPr>
        <w:t>实施目标及特点等需求综合确定。</w:t>
      </w:r>
    </w:p>
    <w:p>
      <w:pPr>
        <w:ind w:firstLine="0" w:firstLineChars="0"/>
        <w:rPr>
          <w:rFonts w:eastAsiaTheme="minorEastAsia"/>
          <w:color w:val="auto"/>
          <w:szCs w:val="32"/>
        </w:rPr>
      </w:pPr>
      <w:r>
        <w:rPr>
          <w:rFonts w:eastAsiaTheme="minorEastAsia"/>
          <w:color w:val="auto"/>
          <w:szCs w:val="32"/>
        </w:rPr>
        <w:t xml:space="preserve">7.2.3 </w:t>
      </w:r>
      <w:r>
        <w:rPr>
          <w:rFonts w:hint="eastAsia" w:eastAsiaTheme="minorEastAsia"/>
          <w:color w:val="auto"/>
          <w:szCs w:val="32"/>
          <w:lang w:eastAsia="zh-CN"/>
        </w:rPr>
        <w:t xml:space="preserve">  </w:t>
      </w:r>
      <w:r>
        <w:rPr>
          <w:rFonts w:eastAsiaTheme="minorEastAsia"/>
          <w:color w:val="auto"/>
          <w:szCs w:val="32"/>
        </w:rPr>
        <w:t>深化设计软件应根据施工信息模型应用目标及其特点选择， 并宜兼顾施工应用</w:t>
      </w:r>
      <w:r>
        <w:rPr>
          <w:rFonts w:hint="eastAsia" w:eastAsiaTheme="minorEastAsia"/>
          <w:color w:val="auto"/>
          <w:szCs w:val="32"/>
        </w:rPr>
        <w:t>以及</w:t>
      </w:r>
      <w:r>
        <w:rPr>
          <w:rFonts w:eastAsiaTheme="minorEastAsia"/>
          <w:color w:val="auto"/>
          <w:szCs w:val="32"/>
        </w:rPr>
        <w:t>竣工验收等需求。</w:t>
      </w:r>
    </w:p>
    <w:p>
      <w:pPr>
        <w:ind w:firstLine="0" w:firstLineChars="0"/>
        <w:rPr>
          <w:rFonts w:eastAsiaTheme="minorEastAsia"/>
          <w:color w:val="auto"/>
          <w:szCs w:val="32"/>
        </w:rPr>
      </w:pPr>
      <w:r>
        <w:rPr>
          <w:rFonts w:eastAsiaTheme="minorEastAsia"/>
          <w:color w:val="auto"/>
          <w:szCs w:val="32"/>
        </w:rPr>
        <w:t xml:space="preserve">7.2.4 </w:t>
      </w:r>
      <w:r>
        <w:rPr>
          <w:rFonts w:hint="eastAsia" w:eastAsiaTheme="minorEastAsia"/>
          <w:color w:val="auto"/>
          <w:szCs w:val="32"/>
          <w:lang w:eastAsia="zh-CN"/>
        </w:rPr>
        <w:t xml:space="preserve">  </w:t>
      </w:r>
      <w:r>
        <w:rPr>
          <w:rFonts w:eastAsiaTheme="minorEastAsia"/>
          <w:color w:val="auto"/>
          <w:szCs w:val="32"/>
        </w:rPr>
        <w:t>深化设计一般是在施工图设计信息模型的基础上，根据</w:t>
      </w:r>
      <w:r>
        <w:rPr>
          <w:rFonts w:hint="eastAsia" w:eastAsiaTheme="minorEastAsia"/>
          <w:color w:val="auto"/>
          <w:szCs w:val="32"/>
        </w:rPr>
        <w:t>项目工作分解结构W</w:t>
      </w:r>
      <w:r>
        <w:rPr>
          <w:rFonts w:eastAsiaTheme="minorEastAsia"/>
          <w:color w:val="auto"/>
          <w:szCs w:val="32"/>
        </w:rPr>
        <w:t>BS</w:t>
      </w:r>
      <w:r>
        <w:rPr>
          <w:rFonts w:hint="eastAsia" w:eastAsiaTheme="minorEastAsia"/>
          <w:color w:val="auto"/>
          <w:szCs w:val="32"/>
        </w:rPr>
        <w:t>、</w:t>
      </w:r>
      <w:r>
        <w:rPr>
          <w:rFonts w:eastAsiaTheme="minorEastAsia"/>
          <w:color w:val="auto"/>
          <w:szCs w:val="32"/>
        </w:rPr>
        <w:t>施工组织设计以及</w:t>
      </w:r>
      <w:r>
        <w:rPr>
          <w:rFonts w:hint="eastAsia" w:eastAsiaTheme="minorEastAsia"/>
          <w:color w:val="auto"/>
          <w:szCs w:val="32"/>
        </w:rPr>
        <w:t>竣工验收</w:t>
      </w:r>
      <w:r>
        <w:rPr>
          <w:rFonts w:eastAsiaTheme="minorEastAsia"/>
          <w:color w:val="auto"/>
          <w:szCs w:val="32"/>
        </w:rPr>
        <w:t>等内容</w:t>
      </w:r>
      <w:r>
        <w:rPr>
          <w:rFonts w:hint="eastAsia" w:eastAsiaTheme="minorEastAsia"/>
          <w:color w:val="auto"/>
          <w:szCs w:val="32"/>
        </w:rPr>
        <w:t>要求</w:t>
      </w:r>
      <w:r>
        <w:rPr>
          <w:rFonts w:eastAsiaTheme="minorEastAsia"/>
          <w:color w:val="auto"/>
          <w:szCs w:val="32"/>
        </w:rPr>
        <w:t>，并结合施工应用</w:t>
      </w:r>
      <w:r>
        <w:rPr>
          <w:rFonts w:hint="eastAsia" w:eastAsiaTheme="minorEastAsia"/>
          <w:color w:val="auto"/>
          <w:szCs w:val="32"/>
        </w:rPr>
        <w:t>等</w:t>
      </w:r>
      <w:r>
        <w:rPr>
          <w:rFonts w:eastAsiaTheme="minorEastAsia"/>
          <w:color w:val="auto"/>
          <w:szCs w:val="32"/>
        </w:rPr>
        <w:t>需求进行构筑物深化设计的活动，满足施工过程中的各项应用，同时</w:t>
      </w:r>
      <w:r>
        <w:rPr>
          <w:rFonts w:hint="eastAsia" w:eastAsiaTheme="minorEastAsia"/>
          <w:color w:val="auto"/>
          <w:szCs w:val="32"/>
        </w:rPr>
        <w:t>辅助进行</w:t>
      </w:r>
      <w:r>
        <w:rPr>
          <w:rFonts w:eastAsiaTheme="minorEastAsia"/>
          <w:color w:val="auto"/>
          <w:szCs w:val="32"/>
        </w:rPr>
        <w:t>项目管理以及竣工验收等</w:t>
      </w:r>
      <w:r>
        <w:rPr>
          <w:rFonts w:hint="eastAsia" w:eastAsiaTheme="minorEastAsia"/>
          <w:color w:val="auto"/>
          <w:szCs w:val="32"/>
        </w:rPr>
        <w:t>应用</w:t>
      </w:r>
      <w:r>
        <w:rPr>
          <w:rFonts w:eastAsiaTheme="minorEastAsia"/>
          <w:color w:val="auto"/>
          <w:szCs w:val="32"/>
        </w:rPr>
        <w:t>。</w:t>
      </w:r>
    </w:p>
    <w:p>
      <w:pPr>
        <w:ind w:firstLine="0" w:firstLineChars="0"/>
        <w:rPr>
          <w:rFonts w:eastAsiaTheme="minorEastAsia"/>
          <w:color w:val="auto"/>
          <w:szCs w:val="32"/>
        </w:rPr>
      </w:pPr>
      <w:r>
        <w:rPr>
          <w:rFonts w:eastAsiaTheme="minorEastAsia"/>
          <w:color w:val="auto"/>
          <w:szCs w:val="32"/>
        </w:rPr>
        <w:t xml:space="preserve">7.2.5 </w:t>
      </w:r>
      <w:r>
        <w:rPr>
          <w:rFonts w:hint="eastAsia" w:eastAsiaTheme="minorEastAsia"/>
          <w:color w:val="auto"/>
          <w:szCs w:val="32"/>
          <w:lang w:eastAsia="zh-CN"/>
        </w:rPr>
        <w:t xml:space="preserve">  </w:t>
      </w:r>
      <w:r>
        <w:rPr>
          <w:rFonts w:eastAsiaTheme="minorEastAsia"/>
          <w:color w:val="auto"/>
          <w:szCs w:val="32"/>
        </w:rPr>
        <w:t>深化设计</w:t>
      </w:r>
      <w:r>
        <w:rPr>
          <w:rFonts w:hint="eastAsia" w:eastAsiaTheme="minorEastAsia"/>
          <w:color w:val="auto"/>
          <w:szCs w:val="32"/>
        </w:rPr>
        <w:t>以</w:t>
      </w:r>
      <w:r>
        <w:rPr>
          <w:rFonts w:eastAsiaTheme="minorEastAsia"/>
          <w:color w:val="auto"/>
          <w:szCs w:val="32"/>
        </w:rPr>
        <w:t>满足施工应用</w:t>
      </w:r>
      <w:r>
        <w:rPr>
          <w:rFonts w:hint="eastAsia" w:eastAsiaTheme="minorEastAsia"/>
          <w:color w:val="auto"/>
          <w:szCs w:val="32"/>
        </w:rPr>
        <w:t>、控制和管理为宜</w:t>
      </w:r>
      <w:r>
        <w:rPr>
          <w:rFonts w:eastAsiaTheme="minorEastAsia"/>
          <w:color w:val="auto"/>
          <w:szCs w:val="32"/>
        </w:rPr>
        <w:t>，</w:t>
      </w:r>
      <w:r>
        <w:rPr>
          <w:rFonts w:hint="eastAsia" w:eastAsiaTheme="minorEastAsia"/>
          <w:color w:val="auto"/>
          <w:szCs w:val="32"/>
        </w:rPr>
        <w:t>通过</w:t>
      </w:r>
      <w:r>
        <w:rPr>
          <w:rFonts w:eastAsiaTheme="minorEastAsia"/>
          <w:color w:val="auto"/>
          <w:szCs w:val="32"/>
        </w:rPr>
        <w:t>代价</w:t>
      </w:r>
      <w:r>
        <w:rPr>
          <w:rFonts w:hint="eastAsia" w:eastAsiaTheme="minorEastAsia"/>
          <w:color w:val="auto"/>
          <w:szCs w:val="32"/>
        </w:rPr>
        <w:t>最小化实现应用需求</w:t>
      </w:r>
      <w:r>
        <w:rPr>
          <w:rFonts w:eastAsiaTheme="minorEastAsia"/>
          <w:color w:val="auto"/>
          <w:szCs w:val="32"/>
        </w:rPr>
        <w:t>，节省</w:t>
      </w:r>
      <w:r>
        <w:rPr>
          <w:rFonts w:hint="eastAsia" w:eastAsiaTheme="minorEastAsia"/>
          <w:color w:val="auto"/>
          <w:szCs w:val="32"/>
        </w:rPr>
        <w:t>投资，避免造成</w:t>
      </w:r>
      <w:r>
        <w:rPr>
          <w:rFonts w:eastAsiaTheme="minorEastAsia"/>
          <w:color w:val="auto"/>
          <w:szCs w:val="32"/>
        </w:rPr>
        <w:t>项目资源</w:t>
      </w:r>
      <w:r>
        <w:rPr>
          <w:rFonts w:hint="eastAsia" w:eastAsiaTheme="minorEastAsia"/>
          <w:color w:val="auto"/>
          <w:szCs w:val="32"/>
        </w:rPr>
        <w:t>浪费</w:t>
      </w:r>
      <w:r>
        <w:rPr>
          <w:rFonts w:eastAsiaTheme="minorEastAsia"/>
          <w:color w:val="auto"/>
          <w:szCs w:val="32"/>
        </w:rPr>
        <w:t>。</w:t>
      </w:r>
    </w:p>
    <w:p>
      <w:pPr>
        <w:ind w:firstLine="0" w:firstLineChars="0"/>
        <w:rPr>
          <w:rFonts w:eastAsiaTheme="minorEastAsia"/>
          <w:color w:val="auto"/>
          <w:szCs w:val="32"/>
        </w:rPr>
      </w:pPr>
      <w:r>
        <w:rPr>
          <w:rFonts w:eastAsiaTheme="minorEastAsia"/>
          <w:color w:val="auto"/>
          <w:szCs w:val="32"/>
        </w:rPr>
        <w:t xml:space="preserve">7.2.6 </w:t>
      </w:r>
      <w:r>
        <w:rPr>
          <w:rFonts w:hint="eastAsia" w:eastAsiaTheme="minorEastAsia"/>
          <w:color w:val="auto"/>
          <w:szCs w:val="32"/>
          <w:lang w:eastAsia="zh-CN"/>
        </w:rPr>
        <w:t xml:space="preserve">  </w:t>
      </w:r>
      <w:r>
        <w:rPr>
          <w:rFonts w:hint="eastAsia" w:eastAsiaTheme="minorEastAsia"/>
          <w:color w:val="auto"/>
          <w:szCs w:val="32"/>
        </w:rPr>
        <w:t>复杂结构或</w:t>
      </w:r>
      <w:r>
        <w:rPr>
          <w:rFonts w:eastAsiaTheme="minorEastAsia"/>
          <w:color w:val="auto"/>
          <w:szCs w:val="32"/>
        </w:rPr>
        <w:t>节点</w:t>
      </w:r>
      <w:r>
        <w:rPr>
          <w:rFonts w:hint="eastAsia" w:eastAsiaTheme="minorEastAsia"/>
          <w:color w:val="auto"/>
          <w:szCs w:val="32"/>
        </w:rPr>
        <w:t>构造</w:t>
      </w:r>
      <w:r>
        <w:rPr>
          <w:rFonts w:eastAsiaTheme="minorEastAsia"/>
          <w:color w:val="auto"/>
          <w:szCs w:val="32"/>
        </w:rPr>
        <w:t>的</w:t>
      </w:r>
      <w:r>
        <w:rPr>
          <w:rFonts w:hint="eastAsia" w:eastAsiaTheme="minorEastAsia"/>
          <w:color w:val="auto"/>
          <w:szCs w:val="32"/>
        </w:rPr>
        <w:t>钢筋一般都比较多且关系繁杂，应通过模型进行钢筋碰撞以及施工顺序检查等，确保可实施性，减少施工过程中的干扰与变更</w:t>
      </w:r>
      <w:r>
        <w:rPr>
          <w:rFonts w:eastAsiaTheme="minorEastAsia"/>
          <w:color w:val="auto"/>
          <w:szCs w:val="32"/>
        </w:rPr>
        <w:t>。对于标准化构件，特别是标准化的预制构件，可针对部分构件创建钢筋，说明施工步骤及其注意事项等，其余的标准化构件可在属性中对钢筋进行定义，保证工程数量的准确性。</w:t>
      </w:r>
    </w:p>
    <w:p>
      <w:pPr>
        <w:ind w:firstLine="0" w:firstLineChars="0"/>
        <w:rPr>
          <w:rFonts w:eastAsiaTheme="minorEastAsia"/>
          <w:color w:val="auto"/>
          <w:szCs w:val="32"/>
        </w:rPr>
      </w:pPr>
      <w:r>
        <w:rPr>
          <w:rFonts w:eastAsiaTheme="minorEastAsia"/>
          <w:color w:val="auto"/>
          <w:szCs w:val="32"/>
        </w:rPr>
        <w:t xml:space="preserve">7.2.7 </w:t>
      </w:r>
      <w:r>
        <w:rPr>
          <w:rFonts w:hint="eastAsia" w:eastAsiaTheme="minorEastAsia"/>
          <w:color w:val="auto"/>
          <w:szCs w:val="32"/>
          <w:lang w:eastAsia="zh-CN"/>
        </w:rPr>
        <w:t xml:space="preserve">  </w:t>
      </w:r>
      <w:r>
        <w:rPr>
          <w:rFonts w:eastAsiaTheme="minorEastAsia"/>
          <w:color w:val="auto"/>
          <w:szCs w:val="32"/>
        </w:rPr>
        <w:t>施工场地在施工过程中不断变化时，应注意反映出对施工过程有影响的场地变化情况，特别是对于部分关键施工步序，场地有明显影响时，应保证场地模型的精细度。</w:t>
      </w:r>
    </w:p>
    <w:p>
      <w:pPr>
        <w:pStyle w:val="3"/>
        <w:jc w:val="center"/>
        <w:rPr>
          <w:color w:val="auto"/>
        </w:rPr>
      </w:pPr>
      <w:r>
        <w:rPr>
          <w:color w:val="auto"/>
        </w:rPr>
        <w:t>7.</w:t>
      </w:r>
      <w:r>
        <w:rPr>
          <w:rFonts w:hint="eastAsia"/>
          <w:color w:val="auto"/>
        </w:rPr>
        <w:t>3</w:t>
      </w:r>
      <w:r>
        <w:rPr>
          <w:color w:val="auto"/>
        </w:rPr>
        <w:t xml:space="preserve"> 施工</w:t>
      </w:r>
      <w:r>
        <w:rPr>
          <w:rFonts w:hint="eastAsia"/>
          <w:color w:val="auto"/>
        </w:rPr>
        <w:t>应用</w:t>
      </w:r>
    </w:p>
    <w:p>
      <w:pPr>
        <w:ind w:firstLine="0" w:firstLineChars="0"/>
        <w:rPr>
          <w:rFonts w:eastAsiaTheme="minorEastAsia"/>
          <w:color w:val="auto"/>
          <w:szCs w:val="32"/>
        </w:rPr>
      </w:pPr>
      <w:r>
        <w:rPr>
          <w:rFonts w:eastAsiaTheme="minorEastAsia"/>
          <w:color w:val="auto"/>
          <w:szCs w:val="32"/>
        </w:rPr>
        <w:t xml:space="preserve">7.3.1 </w:t>
      </w:r>
      <w:r>
        <w:rPr>
          <w:rFonts w:hint="eastAsia" w:eastAsiaTheme="minorEastAsia"/>
          <w:color w:val="auto"/>
          <w:szCs w:val="32"/>
          <w:lang w:eastAsia="zh-CN"/>
        </w:rPr>
        <w:t xml:space="preserve">  </w:t>
      </w:r>
      <w:r>
        <w:rPr>
          <w:rFonts w:eastAsiaTheme="minorEastAsia"/>
          <w:color w:val="auto"/>
          <w:szCs w:val="32"/>
        </w:rPr>
        <w:t>针对项目</w:t>
      </w:r>
      <w:r>
        <w:rPr>
          <w:rFonts w:hint="eastAsia" w:eastAsiaTheme="minorEastAsia"/>
          <w:color w:val="auto"/>
          <w:szCs w:val="32"/>
        </w:rPr>
        <w:t>实施过程中</w:t>
      </w:r>
      <w:r>
        <w:rPr>
          <w:rFonts w:eastAsiaTheme="minorEastAsia"/>
          <w:color w:val="auto"/>
          <w:szCs w:val="32"/>
        </w:rPr>
        <w:t>的</w:t>
      </w:r>
      <w:r>
        <w:rPr>
          <w:rFonts w:hint="eastAsia" w:eastAsiaTheme="minorEastAsia"/>
          <w:color w:val="auto"/>
          <w:szCs w:val="32"/>
        </w:rPr>
        <w:t>重点</w:t>
      </w:r>
      <w:r>
        <w:rPr>
          <w:rFonts w:eastAsiaTheme="minorEastAsia"/>
          <w:color w:val="auto"/>
          <w:szCs w:val="32"/>
        </w:rPr>
        <w:t>及难点</w:t>
      </w:r>
      <w:r>
        <w:rPr>
          <w:rFonts w:hint="eastAsia" w:eastAsiaTheme="minorEastAsia"/>
          <w:color w:val="auto"/>
          <w:szCs w:val="32"/>
        </w:rPr>
        <w:t>问题</w:t>
      </w:r>
      <w:r>
        <w:rPr>
          <w:rFonts w:eastAsiaTheme="minorEastAsia"/>
          <w:color w:val="auto"/>
          <w:szCs w:val="32"/>
        </w:rPr>
        <w:t>进行</w:t>
      </w:r>
      <w:r>
        <w:rPr>
          <w:rFonts w:hint="eastAsia" w:eastAsiaTheme="minorEastAsia"/>
          <w:color w:val="auto"/>
          <w:szCs w:val="32"/>
        </w:rPr>
        <w:t>施工模拟</w:t>
      </w:r>
      <w:r>
        <w:rPr>
          <w:rFonts w:eastAsiaTheme="minorEastAsia"/>
          <w:color w:val="auto"/>
          <w:szCs w:val="32"/>
        </w:rPr>
        <w:t>，并以解决与降低项目的实施难度、降低实施风险为原则，提升模型的应用价值。</w:t>
      </w:r>
    </w:p>
    <w:p>
      <w:pPr>
        <w:ind w:firstLine="0" w:firstLineChars="0"/>
        <w:rPr>
          <w:rFonts w:eastAsiaTheme="minorEastAsia"/>
          <w:color w:val="auto"/>
          <w:szCs w:val="32"/>
        </w:rPr>
      </w:pPr>
      <w:r>
        <w:rPr>
          <w:rFonts w:eastAsiaTheme="minorEastAsia"/>
          <w:color w:val="auto"/>
          <w:szCs w:val="32"/>
        </w:rPr>
        <w:t xml:space="preserve">7.3.2 </w:t>
      </w:r>
      <w:r>
        <w:rPr>
          <w:rFonts w:hint="eastAsia" w:eastAsiaTheme="minorEastAsia"/>
          <w:color w:val="auto"/>
          <w:szCs w:val="32"/>
          <w:lang w:eastAsia="zh-CN"/>
        </w:rPr>
        <w:t xml:space="preserve">  </w:t>
      </w:r>
      <w:r>
        <w:rPr>
          <w:rFonts w:eastAsiaTheme="minorEastAsia"/>
          <w:color w:val="auto"/>
          <w:szCs w:val="32"/>
        </w:rPr>
        <w:t>施工组织模拟</w:t>
      </w:r>
      <w:r>
        <w:rPr>
          <w:rFonts w:hint="eastAsia" w:eastAsiaTheme="minorEastAsia"/>
          <w:color w:val="auto"/>
          <w:szCs w:val="32"/>
        </w:rPr>
        <w:t>是在综合考虑场地布置、施工方案、工序安排、资源配置、进度计划、施工作业空间、交通组织方案、管线拆改及保护方案、大型设备及构件的运输方案等影响建设工程项目实施质量、安全、进度、成本等内容的基础上进行，并</w:t>
      </w:r>
      <w:r>
        <w:rPr>
          <w:rFonts w:eastAsiaTheme="minorEastAsia"/>
          <w:color w:val="auto"/>
          <w:szCs w:val="32"/>
        </w:rPr>
        <w:t>对实施过程中的关键工序及</w:t>
      </w:r>
      <w:r>
        <w:rPr>
          <w:rFonts w:hint="eastAsia" w:eastAsiaTheme="minorEastAsia"/>
          <w:color w:val="auto"/>
          <w:szCs w:val="32"/>
        </w:rPr>
        <w:t>工艺</w:t>
      </w:r>
      <w:r>
        <w:rPr>
          <w:rFonts w:eastAsiaTheme="minorEastAsia"/>
          <w:color w:val="auto"/>
          <w:szCs w:val="32"/>
        </w:rPr>
        <w:t>等进行准确模拟，复核方案的可实施性</w:t>
      </w:r>
      <w:r>
        <w:rPr>
          <w:rFonts w:hint="eastAsia" w:eastAsiaTheme="minorEastAsia"/>
          <w:color w:val="auto"/>
          <w:szCs w:val="32"/>
        </w:rPr>
        <w:t>，降低实施过程中的风险</w:t>
      </w:r>
      <w:r>
        <w:rPr>
          <w:rFonts w:eastAsiaTheme="minorEastAsia"/>
          <w:color w:val="auto"/>
          <w:szCs w:val="32"/>
        </w:rPr>
        <w:t>。</w:t>
      </w:r>
    </w:p>
    <w:p>
      <w:pPr>
        <w:ind w:firstLine="0" w:firstLineChars="0"/>
        <w:rPr>
          <w:rFonts w:eastAsiaTheme="minorEastAsia"/>
          <w:color w:val="auto"/>
          <w:szCs w:val="32"/>
        </w:rPr>
      </w:pPr>
      <w:r>
        <w:rPr>
          <w:rFonts w:eastAsiaTheme="minorEastAsia"/>
          <w:color w:val="auto"/>
          <w:szCs w:val="32"/>
        </w:rPr>
        <w:t xml:space="preserve">7.3.3 </w:t>
      </w:r>
      <w:r>
        <w:rPr>
          <w:rFonts w:hint="eastAsia" w:eastAsiaTheme="minorEastAsia"/>
          <w:color w:val="auto"/>
          <w:szCs w:val="32"/>
          <w:lang w:eastAsia="zh-CN"/>
        </w:rPr>
        <w:t xml:space="preserve">  </w:t>
      </w:r>
      <w:r>
        <w:rPr>
          <w:rFonts w:hint="eastAsia" w:eastAsiaTheme="minorEastAsia"/>
          <w:color w:val="auto"/>
          <w:szCs w:val="32"/>
        </w:rPr>
        <w:t>在</w:t>
      </w:r>
      <w:r>
        <w:rPr>
          <w:rFonts w:eastAsiaTheme="minorEastAsia"/>
          <w:color w:val="auto"/>
          <w:szCs w:val="32"/>
        </w:rPr>
        <w:t>资源配置模拟中，人力资源配置模拟通过结合施工进度计划综合分析优化项目实施过程的人力资源需求，优化人力资源配置计划；资金配置模拟可结合进度计划及合同要求，明确资金收支节点，协调优化资金配置计划；机械材料配置模拟可优化确定施工阶段对施工机械、支架、模板等资源的需求，优化资源配置计划。</w:t>
      </w:r>
    </w:p>
    <w:p>
      <w:pPr>
        <w:ind w:firstLine="0" w:firstLineChars="0"/>
        <w:rPr>
          <w:rFonts w:eastAsiaTheme="minorEastAsia"/>
          <w:color w:val="auto"/>
          <w:szCs w:val="32"/>
        </w:rPr>
      </w:pPr>
      <w:r>
        <w:rPr>
          <w:rFonts w:eastAsiaTheme="minorEastAsia"/>
          <w:color w:val="auto"/>
          <w:szCs w:val="32"/>
        </w:rPr>
        <w:t xml:space="preserve">7.3.4 </w:t>
      </w:r>
      <w:r>
        <w:rPr>
          <w:rFonts w:hint="eastAsia" w:eastAsiaTheme="minorEastAsia"/>
          <w:color w:val="auto"/>
          <w:szCs w:val="32"/>
          <w:lang w:eastAsia="zh-CN"/>
        </w:rPr>
        <w:t xml:space="preserve">  </w:t>
      </w:r>
      <w:r>
        <w:rPr>
          <w:rFonts w:hint="eastAsia" w:eastAsiaTheme="minorEastAsia"/>
          <w:color w:val="auto"/>
          <w:szCs w:val="32"/>
        </w:rPr>
        <w:t>通过</w:t>
      </w:r>
      <w:r>
        <w:rPr>
          <w:rFonts w:eastAsiaTheme="minorEastAsia"/>
          <w:color w:val="auto"/>
          <w:szCs w:val="32"/>
        </w:rPr>
        <w:t>初步的施工组织模拟，</w:t>
      </w:r>
      <w:r>
        <w:rPr>
          <w:rFonts w:hint="eastAsia" w:eastAsiaTheme="minorEastAsia"/>
          <w:color w:val="auto"/>
          <w:szCs w:val="32"/>
        </w:rPr>
        <w:t>暴露</w:t>
      </w:r>
      <w:r>
        <w:rPr>
          <w:rFonts w:eastAsiaTheme="minorEastAsia"/>
          <w:color w:val="auto"/>
          <w:szCs w:val="32"/>
        </w:rPr>
        <w:t>施工过程中可能出现的问题及风险，对资源配置、施工作业面冲突情况、施工步序等进行优化调整，</w:t>
      </w:r>
      <w:r>
        <w:rPr>
          <w:rFonts w:hint="eastAsia" w:eastAsiaTheme="minorEastAsia"/>
          <w:color w:val="auto"/>
          <w:szCs w:val="32"/>
        </w:rPr>
        <w:t>确保</w:t>
      </w:r>
      <w:r>
        <w:rPr>
          <w:rFonts w:eastAsiaTheme="minorEastAsia"/>
          <w:color w:val="auto"/>
          <w:szCs w:val="32"/>
        </w:rPr>
        <w:t>施工方案的可实施性，降低实施过程中的风险。</w:t>
      </w:r>
    </w:p>
    <w:p>
      <w:pPr>
        <w:ind w:firstLine="0" w:firstLineChars="0"/>
        <w:rPr>
          <w:rFonts w:eastAsiaTheme="minorEastAsia"/>
          <w:color w:val="auto"/>
          <w:szCs w:val="32"/>
        </w:rPr>
      </w:pPr>
      <w:r>
        <w:rPr>
          <w:rFonts w:eastAsiaTheme="minorEastAsia"/>
          <w:color w:val="auto"/>
          <w:szCs w:val="32"/>
        </w:rPr>
        <w:t xml:space="preserve">7.3.5 </w:t>
      </w:r>
      <w:r>
        <w:rPr>
          <w:rFonts w:hint="eastAsia" w:eastAsiaTheme="minorEastAsia"/>
          <w:color w:val="auto"/>
          <w:szCs w:val="32"/>
          <w:lang w:eastAsia="zh-CN"/>
        </w:rPr>
        <w:t xml:space="preserve">  </w:t>
      </w:r>
      <w:r>
        <w:rPr>
          <w:rFonts w:eastAsiaTheme="minorEastAsia"/>
          <w:color w:val="auto"/>
          <w:szCs w:val="32"/>
        </w:rPr>
        <w:t>与实际实施进度</w:t>
      </w:r>
      <w:r>
        <w:rPr>
          <w:rFonts w:hint="eastAsia" w:eastAsiaTheme="minorEastAsia"/>
          <w:color w:val="auto"/>
          <w:szCs w:val="32"/>
        </w:rPr>
        <w:t>进行</w:t>
      </w:r>
      <w:r>
        <w:rPr>
          <w:rFonts w:eastAsiaTheme="minorEastAsia"/>
          <w:color w:val="auto"/>
          <w:szCs w:val="32"/>
        </w:rPr>
        <w:t>关联，可以迅速对原施工组织方案进行评估，结合施工进度里程碑，判断建设</w:t>
      </w:r>
      <w:r>
        <w:rPr>
          <w:rFonts w:hint="eastAsia" w:eastAsiaTheme="minorEastAsia"/>
          <w:color w:val="auto"/>
          <w:szCs w:val="32"/>
        </w:rPr>
        <w:t>工程建设项目</w:t>
      </w:r>
      <w:r>
        <w:rPr>
          <w:rFonts w:eastAsiaTheme="minorEastAsia"/>
          <w:color w:val="auto"/>
          <w:szCs w:val="32"/>
        </w:rPr>
        <w:t>的实施情况，为项目资源优化与调整提供科学依据。</w:t>
      </w:r>
    </w:p>
    <w:p>
      <w:pPr>
        <w:ind w:firstLine="0" w:firstLineChars="0"/>
        <w:rPr>
          <w:rFonts w:eastAsiaTheme="minorEastAsia"/>
          <w:color w:val="auto"/>
          <w:szCs w:val="32"/>
        </w:rPr>
      </w:pPr>
      <w:r>
        <w:rPr>
          <w:rFonts w:eastAsiaTheme="minorEastAsia"/>
          <w:color w:val="auto"/>
          <w:szCs w:val="32"/>
        </w:rPr>
        <w:t xml:space="preserve">7.3.6 </w:t>
      </w:r>
      <w:r>
        <w:rPr>
          <w:rFonts w:hint="eastAsia" w:eastAsiaTheme="minorEastAsia"/>
          <w:color w:val="auto"/>
          <w:szCs w:val="32"/>
          <w:lang w:eastAsia="zh-CN"/>
        </w:rPr>
        <w:t xml:space="preserve">  </w:t>
      </w:r>
      <w:r>
        <w:rPr>
          <w:rFonts w:hint="eastAsia" w:eastAsiaTheme="minorEastAsia"/>
          <w:color w:val="auto"/>
          <w:szCs w:val="32"/>
        </w:rPr>
        <w:t>宜基于施工深化信息模型以及施工工艺方案等，结合工艺技术要求，对施工工艺进行模拟，分析工艺流程、工序时间、资源需求以及操作空间等，评估并优化原施工工艺技术方案</w:t>
      </w:r>
      <w:r>
        <w:rPr>
          <w:rFonts w:eastAsiaTheme="minorEastAsia"/>
          <w:color w:val="auto"/>
          <w:szCs w:val="32"/>
        </w:rPr>
        <w:t>。</w:t>
      </w:r>
    </w:p>
    <w:p>
      <w:pPr>
        <w:ind w:firstLine="0" w:firstLineChars="0"/>
        <w:rPr>
          <w:rFonts w:eastAsiaTheme="minorEastAsia"/>
          <w:color w:val="auto"/>
          <w:szCs w:val="32"/>
        </w:rPr>
      </w:pPr>
      <w:r>
        <w:rPr>
          <w:rFonts w:eastAsiaTheme="minorEastAsia"/>
          <w:color w:val="auto"/>
          <w:szCs w:val="32"/>
        </w:rPr>
        <w:t xml:space="preserve">7.3.7 </w:t>
      </w:r>
      <w:r>
        <w:rPr>
          <w:rFonts w:hint="eastAsia" w:eastAsiaTheme="minorEastAsia"/>
          <w:color w:val="auto"/>
          <w:szCs w:val="32"/>
          <w:lang w:eastAsia="zh-CN"/>
        </w:rPr>
        <w:t xml:space="preserve">  </w:t>
      </w:r>
      <w:r>
        <w:rPr>
          <w:rFonts w:hint="eastAsia" w:eastAsiaTheme="minorEastAsia"/>
          <w:color w:val="auto"/>
          <w:szCs w:val="32"/>
        </w:rPr>
        <w:t>工程建设项目实施前进行复杂节点的施工工艺模拟，可以最大限度地降低实施过程风险，确保工艺实施的可行性与合理性</w:t>
      </w:r>
      <w:r>
        <w:rPr>
          <w:rFonts w:eastAsiaTheme="minorEastAsia"/>
          <w:color w:val="auto"/>
          <w:szCs w:val="32"/>
        </w:rPr>
        <w:t>。</w:t>
      </w:r>
    </w:p>
    <w:p>
      <w:pPr>
        <w:ind w:firstLine="0" w:firstLineChars="0"/>
        <w:rPr>
          <w:rFonts w:eastAsiaTheme="minorEastAsia"/>
          <w:color w:val="auto"/>
          <w:szCs w:val="32"/>
        </w:rPr>
      </w:pPr>
      <w:r>
        <w:rPr>
          <w:rFonts w:eastAsiaTheme="minorEastAsia"/>
          <w:color w:val="auto"/>
          <w:szCs w:val="32"/>
        </w:rPr>
        <w:t xml:space="preserve">7.3.8 </w:t>
      </w:r>
      <w:r>
        <w:rPr>
          <w:rFonts w:hint="eastAsia" w:eastAsiaTheme="minorEastAsia"/>
          <w:color w:val="auto"/>
          <w:szCs w:val="32"/>
          <w:lang w:eastAsia="zh-CN"/>
        </w:rPr>
        <w:t xml:space="preserve">  </w:t>
      </w:r>
      <w:r>
        <w:rPr>
          <w:rFonts w:hint="eastAsia" w:eastAsiaTheme="minorEastAsia"/>
          <w:color w:val="auto"/>
          <w:szCs w:val="32"/>
        </w:rPr>
        <w:t>大件运输主要包括施工现场需要使用的大型设备以及工厂预制或焊接好的大型构件的运输问题，主要涉及运输过程中的通行空间以及途经构筑物的承载力等问题，需要加强实地调研，对关键路径节点进行模拟并优化方案</w:t>
      </w:r>
      <w:r>
        <w:rPr>
          <w:rFonts w:eastAsiaTheme="minorEastAsia"/>
          <w:color w:val="auto"/>
          <w:szCs w:val="32"/>
        </w:rPr>
        <w:t>。</w:t>
      </w:r>
    </w:p>
    <w:p>
      <w:pPr>
        <w:ind w:firstLine="0" w:firstLineChars="0"/>
        <w:rPr>
          <w:rFonts w:eastAsiaTheme="minorEastAsia"/>
          <w:color w:val="auto"/>
          <w:szCs w:val="32"/>
        </w:rPr>
      </w:pPr>
      <w:r>
        <w:rPr>
          <w:rFonts w:eastAsiaTheme="minorEastAsia"/>
          <w:color w:val="auto"/>
          <w:szCs w:val="32"/>
        </w:rPr>
        <w:t xml:space="preserve">7.3.9 </w:t>
      </w:r>
      <w:r>
        <w:rPr>
          <w:rFonts w:hint="eastAsia" w:eastAsiaTheme="minorEastAsia"/>
          <w:color w:val="auto"/>
          <w:szCs w:val="32"/>
          <w:lang w:eastAsia="zh-CN"/>
        </w:rPr>
        <w:t xml:space="preserve">  </w:t>
      </w:r>
      <w:r>
        <w:rPr>
          <w:rFonts w:hint="eastAsia" w:eastAsiaTheme="minorEastAsia"/>
          <w:color w:val="auto"/>
          <w:szCs w:val="32"/>
        </w:rPr>
        <w:t>模拟分析报告及可视化资源等文件，可以为资源配置计划优化等提供决策依据，并为实施过程提供技术指导</w:t>
      </w:r>
      <w:r>
        <w:rPr>
          <w:rFonts w:eastAsiaTheme="minorEastAsia"/>
          <w:color w:val="auto"/>
          <w:szCs w:val="32"/>
        </w:rPr>
        <w:t>。</w:t>
      </w:r>
    </w:p>
    <w:p>
      <w:pPr>
        <w:pStyle w:val="3"/>
        <w:jc w:val="center"/>
        <w:rPr>
          <w:color w:val="auto"/>
        </w:rPr>
      </w:pPr>
      <w:r>
        <w:rPr>
          <w:color w:val="auto"/>
        </w:rPr>
        <w:t xml:space="preserve">7.4 </w:t>
      </w:r>
      <w:r>
        <w:rPr>
          <w:rFonts w:hint="eastAsia"/>
          <w:color w:val="auto"/>
        </w:rPr>
        <w:t>工程建设项目</w:t>
      </w:r>
      <w:r>
        <w:rPr>
          <w:color w:val="auto"/>
        </w:rPr>
        <w:t>管理</w:t>
      </w:r>
    </w:p>
    <w:p>
      <w:pPr>
        <w:ind w:firstLine="0" w:firstLineChars="0"/>
        <w:rPr>
          <w:rFonts w:eastAsiaTheme="minorEastAsia"/>
          <w:color w:val="auto"/>
          <w:szCs w:val="32"/>
        </w:rPr>
      </w:pPr>
      <w:r>
        <w:rPr>
          <w:rFonts w:eastAsiaTheme="minorEastAsia"/>
          <w:color w:val="auto"/>
          <w:szCs w:val="32"/>
        </w:rPr>
        <w:t xml:space="preserve">7.4.2 </w:t>
      </w:r>
      <w:r>
        <w:rPr>
          <w:rFonts w:hint="eastAsia" w:eastAsiaTheme="minorEastAsia"/>
          <w:color w:val="auto"/>
          <w:szCs w:val="32"/>
          <w:lang w:eastAsia="zh-CN"/>
        </w:rPr>
        <w:t xml:space="preserve">  </w:t>
      </w:r>
      <w:r>
        <w:rPr>
          <w:rFonts w:hint="eastAsia" w:eastAsiaTheme="minorEastAsia"/>
          <w:color w:val="auto"/>
          <w:szCs w:val="32"/>
        </w:rPr>
        <w:t>基于</w:t>
      </w:r>
      <w:r>
        <w:rPr>
          <w:rFonts w:eastAsiaTheme="minorEastAsia"/>
          <w:color w:val="auto"/>
          <w:szCs w:val="32"/>
        </w:rPr>
        <w:t>模型进行</w:t>
      </w:r>
      <w:r>
        <w:rPr>
          <w:rFonts w:hint="eastAsia" w:eastAsiaTheme="minorEastAsia"/>
          <w:color w:val="auto"/>
          <w:szCs w:val="32"/>
        </w:rPr>
        <w:t>工程建设项目</w:t>
      </w:r>
      <w:r>
        <w:rPr>
          <w:rFonts w:eastAsiaTheme="minorEastAsia"/>
          <w:color w:val="auto"/>
          <w:szCs w:val="32"/>
        </w:rPr>
        <w:t>管理，建立模型协同应用机制，可以使模型应用与</w:t>
      </w:r>
      <w:r>
        <w:rPr>
          <w:rFonts w:hint="eastAsia" w:eastAsiaTheme="minorEastAsia"/>
          <w:color w:val="auto"/>
          <w:szCs w:val="32"/>
        </w:rPr>
        <w:t>工程建设项目</w:t>
      </w:r>
      <w:r>
        <w:rPr>
          <w:rFonts w:eastAsiaTheme="minorEastAsia"/>
          <w:color w:val="auto"/>
          <w:szCs w:val="32"/>
        </w:rPr>
        <w:t>管理充分融合，提升</w:t>
      </w:r>
      <w:r>
        <w:rPr>
          <w:rFonts w:hint="eastAsia" w:eastAsiaTheme="minorEastAsia"/>
          <w:color w:val="auto"/>
          <w:szCs w:val="32"/>
        </w:rPr>
        <w:t>工程建设项目</w:t>
      </w:r>
      <w:r>
        <w:rPr>
          <w:rFonts w:eastAsiaTheme="minorEastAsia"/>
          <w:color w:val="auto"/>
          <w:szCs w:val="32"/>
        </w:rPr>
        <w:t>管理绩效，</w:t>
      </w:r>
      <w:r>
        <w:rPr>
          <w:rFonts w:hint="eastAsia" w:eastAsiaTheme="minorEastAsia"/>
          <w:color w:val="auto"/>
          <w:szCs w:val="32"/>
        </w:rPr>
        <w:t>有利于推动建设工程</w:t>
      </w:r>
      <w:r>
        <w:rPr>
          <w:rFonts w:eastAsiaTheme="minorEastAsia"/>
          <w:color w:val="auto"/>
          <w:szCs w:val="32"/>
        </w:rPr>
        <w:t>数字化建造的落地。</w:t>
      </w:r>
    </w:p>
    <w:p>
      <w:pPr>
        <w:ind w:firstLine="0" w:firstLineChars="0"/>
        <w:rPr>
          <w:rFonts w:eastAsiaTheme="minorEastAsia"/>
          <w:color w:val="auto"/>
          <w:szCs w:val="32"/>
        </w:rPr>
      </w:pPr>
      <w:r>
        <w:rPr>
          <w:rFonts w:eastAsiaTheme="minorEastAsia"/>
          <w:color w:val="auto"/>
          <w:szCs w:val="32"/>
        </w:rPr>
        <w:t xml:space="preserve">7.4.3 </w:t>
      </w:r>
      <w:r>
        <w:rPr>
          <w:rFonts w:hint="eastAsia" w:eastAsiaTheme="minorEastAsia"/>
          <w:color w:val="auto"/>
          <w:szCs w:val="32"/>
          <w:lang w:eastAsia="zh-CN"/>
        </w:rPr>
        <w:t xml:space="preserve">  </w:t>
      </w:r>
      <w:r>
        <w:rPr>
          <w:rFonts w:hint="eastAsia" w:eastAsiaTheme="minorEastAsia"/>
          <w:color w:val="auto"/>
          <w:szCs w:val="32"/>
        </w:rPr>
        <w:t>宜</w:t>
      </w:r>
      <w:r>
        <w:rPr>
          <w:rFonts w:eastAsiaTheme="minorEastAsia"/>
          <w:color w:val="auto"/>
          <w:szCs w:val="32"/>
        </w:rPr>
        <w:t>基于</w:t>
      </w:r>
      <w:r>
        <w:rPr>
          <w:rFonts w:hint="eastAsia" w:eastAsiaTheme="minorEastAsia"/>
          <w:color w:val="auto"/>
          <w:szCs w:val="32"/>
        </w:rPr>
        <w:t>工程建设项目</w:t>
      </w:r>
      <w:r>
        <w:rPr>
          <w:rFonts w:eastAsiaTheme="minorEastAsia"/>
          <w:color w:val="auto"/>
          <w:szCs w:val="32"/>
        </w:rPr>
        <w:t>管理平台进行现场资源管理，并宜与政府相关监督管理系统建立数据连接。</w:t>
      </w:r>
    </w:p>
    <w:p>
      <w:pPr>
        <w:ind w:firstLine="0" w:firstLineChars="0"/>
        <w:rPr>
          <w:rFonts w:eastAsiaTheme="minorEastAsia"/>
          <w:color w:val="auto"/>
          <w:szCs w:val="32"/>
        </w:rPr>
      </w:pPr>
      <w:r>
        <w:rPr>
          <w:rFonts w:eastAsiaTheme="minorEastAsia"/>
          <w:color w:val="auto"/>
          <w:szCs w:val="32"/>
        </w:rPr>
        <w:t xml:space="preserve">7.4.4 </w:t>
      </w:r>
      <w:r>
        <w:rPr>
          <w:rFonts w:hint="eastAsia" w:eastAsiaTheme="minorEastAsia"/>
          <w:color w:val="auto"/>
          <w:szCs w:val="32"/>
          <w:lang w:eastAsia="zh-CN"/>
        </w:rPr>
        <w:t xml:space="preserve">  </w:t>
      </w:r>
      <w:r>
        <w:rPr>
          <w:rFonts w:hint="eastAsia" w:eastAsiaTheme="minorEastAsia"/>
          <w:color w:val="auto"/>
          <w:szCs w:val="32"/>
        </w:rPr>
        <w:t>基于深化设计模型进行预制加工管理，结合预制加工方案、工艺、模具等深化预制加工模型，并建立预制构件编码管理体系、生成管理编码体系以及工作管理流程等</w:t>
      </w:r>
      <w:r>
        <w:rPr>
          <w:rFonts w:eastAsiaTheme="minorEastAsia"/>
          <w:color w:val="auto"/>
          <w:szCs w:val="32"/>
        </w:rPr>
        <w:t>。预制加工产品的物流运输以及安装等信息应与模型进行关联。</w:t>
      </w:r>
    </w:p>
    <w:p>
      <w:pPr>
        <w:ind w:firstLine="0" w:firstLineChars="0"/>
        <w:rPr>
          <w:rFonts w:eastAsiaTheme="minorEastAsia"/>
          <w:color w:val="auto"/>
          <w:szCs w:val="32"/>
        </w:rPr>
      </w:pPr>
      <w:r>
        <w:rPr>
          <w:rFonts w:eastAsiaTheme="minorEastAsia"/>
          <w:color w:val="auto"/>
          <w:szCs w:val="32"/>
        </w:rPr>
        <w:t xml:space="preserve">7.4.5 </w:t>
      </w:r>
      <w:r>
        <w:rPr>
          <w:rFonts w:hint="eastAsia" w:eastAsiaTheme="minorEastAsia"/>
          <w:color w:val="auto"/>
          <w:szCs w:val="32"/>
          <w:lang w:eastAsia="zh-CN"/>
        </w:rPr>
        <w:t xml:space="preserve">  </w:t>
      </w:r>
      <w:r>
        <w:rPr>
          <w:rFonts w:hint="eastAsia" w:eastAsiaTheme="minorEastAsia"/>
          <w:color w:val="auto"/>
          <w:szCs w:val="32"/>
        </w:rPr>
        <w:t>基于工程建设项目</w:t>
      </w:r>
      <w:r>
        <w:rPr>
          <w:rFonts w:eastAsiaTheme="minorEastAsia"/>
          <w:color w:val="auto"/>
          <w:szCs w:val="32"/>
        </w:rPr>
        <w:t>管理平台进行进度</w:t>
      </w:r>
      <w:r>
        <w:rPr>
          <w:rFonts w:hint="eastAsia" w:eastAsiaTheme="minorEastAsia"/>
          <w:color w:val="auto"/>
          <w:szCs w:val="32"/>
        </w:rPr>
        <w:t>管控时，需要创建施工进度管理模型，根据W</w:t>
      </w:r>
      <w:r>
        <w:rPr>
          <w:rFonts w:eastAsiaTheme="minorEastAsia"/>
          <w:color w:val="auto"/>
          <w:szCs w:val="32"/>
        </w:rPr>
        <w:t>BS编制</w:t>
      </w:r>
      <w:r>
        <w:rPr>
          <w:rFonts w:hint="eastAsia" w:eastAsiaTheme="minorEastAsia"/>
          <w:color w:val="auto"/>
          <w:szCs w:val="32"/>
        </w:rPr>
        <w:t>的</w:t>
      </w:r>
      <w:r>
        <w:rPr>
          <w:rFonts w:eastAsiaTheme="minorEastAsia"/>
          <w:color w:val="auto"/>
          <w:szCs w:val="32"/>
        </w:rPr>
        <w:t>施工进度计划，</w:t>
      </w:r>
      <w:r>
        <w:rPr>
          <w:rFonts w:hint="eastAsia" w:eastAsiaTheme="minorEastAsia"/>
          <w:color w:val="auto"/>
          <w:szCs w:val="32"/>
        </w:rPr>
        <w:t>并对</w:t>
      </w:r>
      <w:r>
        <w:rPr>
          <w:rFonts w:eastAsiaTheme="minorEastAsia"/>
          <w:color w:val="auto"/>
          <w:szCs w:val="32"/>
        </w:rPr>
        <w:t>实际进度的原始数据进行收集、整理、统计和分析，将实际进度信息关联至平台进度管理系统，与原计划形成对比分析，</w:t>
      </w:r>
      <w:r>
        <w:rPr>
          <w:rFonts w:hint="eastAsia" w:eastAsiaTheme="minorEastAsia"/>
          <w:color w:val="auto"/>
          <w:szCs w:val="32"/>
        </w:rPr>
        <w:t>了解施工进度，</w:t>
      </w:r>
      <w:r>
        <w:rPr>
          <w:rFonts w:eastAsiaTheme="minorEastAsia"/>
          <w:color w:val="auto"/>
          <w:szCs w:val="32"/>
        </w:rPr>
        <w:t>辅助工程决策。</w:t>
      </w:r>
    </w:p>
    <w:p>
      <w:pPr>
        <w:ind w:firstLine="0" w:firstLineChars="0"/>
        <w:rPr>
          <w:rFonts w:eastAsiaTheme="minorEastAsia"/>
          <w:color w:val="auto"/>
          <w:szCs w:val="32"/>
        </w:rPr>
      </w:pPr>
      <w:r>
        <w:rPr>
          <w:rFonts w:eastAsiaTheme="minorEastAsia"/>
          <w:color w:val="auto"/>
          <w:szCs w:val="32"/>
        </w:rPr>
        <w:t xml:space="preserve">7.4.6 </w:t>
      </w:r>
      <w:r>
        <w:rPr>
          <w:rFonts w:hint="eastAsia" w:eastAsiaTheme="minorEastAsia"/>
          <w:color w:val="auto"/>
          <w:szCs w:val="32"/>
          <w:lang w:eastAsia="zh-CN"/>
        </w:rPr>
        <w:t xml:space="preserve">  </w:t>
      </w:r>
      <w:r>
        <w:rPr>
          <w:rFonts w:hint="eastAsia" w:eastAsiaTheme="minorEastAsia"/>
          <w:color w:val="auto"/>
          <w:szCs w:val="32"/>
        </w:rPr>
        <w:t>工程项目W</w:t>
      </w:r>
      <w:r>
        <w:rPr>
          <w:rFonts w:eastAsiaTheme="minorEastAsia"/>
          <w:color w:val="auto"/>
          <w:szCs w:val="32"/>
        </w:rPr>
        <w:t>BS应达到支撑制定项目施工进度计划编制的详细程度，并包含任务间的关联关系。在</w:t>
      </w:r>
      <w:r>
        <w:rPr>
          <w:rFonts w:hint="eastAsia" w:eastAsiaTheme="minorEastAsia"/>
          <w:color w:val="auto"/>
          <w:szCs w:val="32"/>
        </w:rPr>
        <w:t>W</w:t>
      </w:r>
      <w:r>
        <w:rPr>
          <w:rFonts w:eastAsiaTheme="minorEastAsia"/>
          <w:color w:val="auto"/>
          <w:szCs w:val="32"/>
        </w:rPr>
        <w:t>BS基础上创建的施工进度模型应与工程施工区域划分以及施工流程等对应。</w:t>
      </w:r>
    </w:p>
    <w:p>
      <w:pPr>
        <w:ind w:firstLine="0" w:firstLineChars="0"/>
        <w:rPr>
          <w:rFonts w:eastAsiaTheme="minorEastAsia"/>
          <w:color w:val="auto"/>
          <w:szCs w:val="32"/>
        </w:rPr>
      </w:pPr>
      <w:r>
        <w:rPr>
          <w:rFonts w:eastAsiaTheme="minorEastAsia"/>
          <w:color w:val="auto"/>
          <w:szCs w:val="32"/>
        </w:rPr>
        <w:t xml:space="preserve">7.4.7 </w:t>
      </w:r>
      <w:r>
        <w:rPr>
          <w:rFonts w:hint="eastAsia" w:eastAsiaTheme="minorEastAsia"/>
          <w:color w:val="auto"/>
          <w:szCs w:val="32"/>
          <w:lang w:eastAsia="zh-CN"/>
        </w:rPr>
        <w:t xml:space="preserve">  </w:t>
      </w:r>
      <w:r>
        <w:rPr>
          <w:rFonts w:hint="eastAsia" w:eastAsiaTheme="minorEastAsia"/>
          <w:color w:val="auto"/>
          <w:szCs w:val="32"/>
        </w:rPr>
        <w:t>进度计划控制是对工程建设项目在施工阶段的作业程序和作业时间进行规划、实施、检查、分析等一系列活动的总称，即在工程建设项目施工实施过程中，按照已经核准的工程进度计划，采用科学的方法定期追踪和检验项目的实际进度情况，并参照项目先期编制的进度计划，在找出两者之间的偏差后，对产生偏差的各种因素及影响工期的程度进行分析与评估，进而及时采取有效措施调整项目进度，使工期在计划执行中不断循环往复，直至该项目按合同约定的工期如期完工，或在保证工程质量和不增加原先预算成本的条件下，使该项目提前完工并最终交付使用。</w:t>
      </w:r>
    </w:p>
    <w:p>
      <w:pPr>
        <w:ind w:firstLine="480" w:firstLineChars="200"/>
        <w:rPr>
          <w:rFonts w:eastAsiaTheme="minorEastAsia"/>
          <w:color w:val="auto"/>
          <w:szCs w:val="32"/>
        </w:rPr>
      </w:pPr>
      <w:r>
        <w:rPr>
          <w:rFonts w:hint="eastAsia" w:eastAsiaTheme="minorEastAsia"/>
          <w:color w:val="auto"/>
          <w:szCs w:val="32"/>
        </w:rPr>
        <w:t>进度管理模型是进度控制BIM 应用的基础。通过 BIM 软件将实际进度信息添加或连接到进度管理模型，进行比对分析。一旦发生延误，可根据事先设定的阈值进行预警。</w:t>
      </w:r>
    </w:p>
    <w:p>
      <w:pPr>
        <w:ind w:firstLine="0" w:firstLineChars="0"/>
        <w:rPr>
          <w:rFonts w:eastAsiaTheme="minorEastAsia"/>
          <w:color w:val="auto"/>
          <w:szCs w:val="32"/>
        </w:rPr>
      </w:pPr>
      <w:r>
        <w:rPr>
          <w:rFonts w:hint="eastAsia" w:eastAsiaTheme="minorEastAsia"/>
          <w:color w:val="auto"/>
          <w:szCs w:val="32"/>
        </w:rPr>
        <w:t>在施工进度管控过程中，基于进度管理模型和实际进度信息完成进度对比分析，并基于偏差分析结果更新进度管理模型</w:t>
      </w:r>
      <w:r>
        <w:rPr>
          <w:rFonts w:eastAsiaTheme="minorEastAsia"/>
          <w:color w:val="auto"/>
          <w:szCs w:val="32"/>
        </w:rPr>
        <w:t>。</w:t>
      </w:r>
    </w:p>
    <w:p>
      <w:pPr>
        <w:ind w:firstLine="0" w:firstLineChars="0"/>
        <w:rPr>
          <w:rFonts w:eastAsiaTheme="minorEastAsia"/>
          <w:color w:val="auto"/>
          <w:szCs w:val="32"/>
        </w:rPr>
      </w:pPr>
      <w:r>
        <w:rPr>
          <w:rFonts w:eastAsiaTheme="minorEastAsia"/>
          <w:color w:val="auto"/>
          <w:szCs w:val="32"/>
        </w:rPr>
        <w:t xml:space="preserve">7.4.8 </w:t>
      </w:r>
      <w:r>
        <w:rPr>
          <w:rFonts w:hint="eastAsia" w:eastAsiaTheme="minorEastAsia"/>
          <w:color w:val="auto"/>
          <w:szCs w:val="32"/>
          <w:lang w:eastAsia="zh-CN"/>
        </w:rPr>
        <w:t xml:space="preserve">  </w:t>
      </w:r>
      <w:r>
        <w:rPr>
          <w:rFonts w:eastAsiaTheme="minorEastAsia"/>
          <w:color w:val="auto"/>
          <w:szCs w:val="32"/>
        </w:rPr>
        <w:t>成本管理计划的不同层次是指整体工程、单位工程、单项工程、分部分项工程等。</w:t>
      </w:r>
    </w:p>
    <w:p>
      <w:pPr>
        <w:ind w:firstLine="0" w:firstLineChars="0"/>
        <w:rPr>
          <w:rFonts w:eastAsiaTheme="minorEastAsia"/>
          <w:color w:val="auto"/>
          <w:szCs w:val="32"/>
        </w:rPr>
      </w:pPr>
      <w:r>
        <w:rPr>
          <w:rFonts w:eastAsiaTheme="minorEastAsia"/>
          <w:color w:val="auto"/>
          <w:szCs w:val="32"/>
        </w:rPr>
        <w:t xml:space="preserve">7.4.10 </w:t>
      </w:r>
      <w:r>
        <w:rPr>
          <w:rFonts w:hint="eastAsia" w:eastAsiaTheme="minorEastAsia"/>
          <w:color w:val="auto"/>
          <w:szCs w:val="32"/>
          <w:lang w:eastAsia="zh-CN"/>
        </w:rPr>
        <w:t xml:space="preserve">  </w:t>
      </w:r>
      <w:r>
        <w:rPr>
          <w:rFonts w:hint="eastAsia" w:eastAsiaTheme="minorEastAsia"/>
          <w:color w:val="auto"/>
          <w:szCs w:val="32"/>
        </w:rPr>
        <w:t>施工图预算模型应用一般用于建设工程施工预算的招标控制价编制、招标预算工程量清单编制、投标预算工程量清单与报价单编制、工程成本测算等工作。帮助提高建设工程工程量计算、计价的效率与准确率，降低管理成本与预算风险。</w:t>
      </w:r>
    </w:p>
    <w:p>
      <w:pPr>
        <w:ind w:firstLine="480" w:firstLineChars="200"/>
        <w:rPr>
          <w:rFonts w:eastAsiaTheme="minorEastAsia"/>
          <w:color w:val="auto"/>
          <w:szCs w:val="32"/>
        </w:rPr>
      </w:pPr>
      <w:r>
        <w:rPr>
          <w:rFonts w:hint="eastAsia" w:eastAsiaTheme="minorEastAsia"/>
          <w:color w:val="auto"/>
          <w:szCs w:val="32"/>
        </w:rPr>
        <w:t>施工图预算模型应用的目标是通过模型元素信息自动化生成、统计出工程量清单项目、措施费用项目，依据清单项目特征、施工组织方案等信息自动套取定额进行组价，按照国家与地方规定记取规费和税金等，形成预算工程量清单或报价单。</w:t>
      </w:r>
    </w:p>
    <w:p>
      <w:pPr>
        <w:ind w:firstLine="480" w:firstLineChars="200"/>
        <w:rPr>
          <w:rFonts w:eastAsiaTheme="minorEastAsia"/>
          <w:color w:val="auto"/>
          <w:szCs w:val="32"/>
        </w:rPr>
      </w:pPr>
      <w:r>
        <w:rPr>
          <w:rFonts w:hint="eastAsia" w:eastAsiaTheme="minorEastAsia"/>
          <w:color w:val="auto"/>
          <w:szCs w:val="32"/>
        </w:rPr>
        <w:t>在施工图预算中，模型不能自动生成工程量清单编码，无法做到工程量清单项目统计。措施费项目与施工图预算模型不发生直接关系，更无法统计，需借助其他软件或插件，在模型元素实体量的基础上进行系数运算等计量</w:t>
      </w:r>
      <w:r>
        <w:rPr>
          <w:rFonts w:eastAsiaTheme="minorEastAsia"/>
          <w:color w:val="auto"/>
          <w:szCs w:val="32"/>
        </w:rPr>
        <w:t>。</w:t>
      </w:r>
    </w:p>
    <w:p>
      <w:pPr>
        <w:ind w:firstLine="0" w:firstLineChars="0"/>
        <w:rPr>
          <w:rFonts w:eastAsiaTheme="minorEastAsia"/>
          <w:color w:val="auto"/>
          <w:szCs w:val="32"/>
        </w:rPr>
      </w:pPr>
      <w:r>
        <w:rPr>
          <w:rFonts w:eastAsiaTheme="minorEastAsia"/>
          <w:color w:val="auto"/>
          <w:szCs w:val="32"/>
        </w:rPr>
        <w:t xml:space="preserve">7.4.11 </w:t>
      </w:r>
      <w:r>
        <w:rPr>
          <w:rFonts w:hint="eastAsia" w:eastAsiaTheme="minorEastAsia"/>
          <w:color w:val="auto"/>
          <w:szCs w:val="32"/>
          <w:lang w:eastAsia="zh-CN"/>
        </w:rPr>
        <w:t xml:space="preserve">  </w:t>
      </w:r>
      <w:r>
        <w:rPr>
          <w:rFonts w:eastAsiaTheme="minorEastAsia"/>
          <w:color w:val="auto"/>
          <w:szCs w:val="32"/>
        </w:rPr>
        <w:t>三算对比是指施工过程中定期将预算成本、目标成本（计划成本）、实际成本进行计算和对比。</w:t>
      </w:r>
    </w:p>
    <w:p>
      <w:pPr>
        <w:ind w:firstLine="0" w:firstLineChars="0"/>
        <w:rPr>
          <w:rFonts w:eastAsiaTheme="minorEastAsia"/>
          <w:color w:val="auto"/>
          <w:szCs w:val="32"/>
        </w:rPr>
      </w:pPr>
      <w:r>
        <w:rPr>
          <w:rFonts w:eastAsiaTheme="minorEastAsia"/>
          <w:color w:val="auto"/>
          <w:szCs w:val="32"/>
        </w:rPr>
        <w:t>7.4.12</w:t>
      </w:r>
      <w:r>
        <w:rPr>
          <w:rFonts w:hint="eastAsia" w:eastAsiaTheme="minorEastAsia"/>
          <w:color w:val="auto"/>
          <w:szCs w:val="32"/>
          <w:lang w:eastAsia="zh-CN"/>
        </w:rPr>
        <w:t xml:space="preserve">  </w:t>
      </w:r>
      <w:r>
        <w:rPr>
          <w:rFonts w:eastAsiaTheme="minorEastAsia"/>
          <w:color w:val="auto"/>
          <w:szCs w:val="32"/>
        </w:rPr>
        <w:t>宜基于成本管理模型，结合深化设计、预制加工、施工组织模拟等应用输出的工程量、进度计划和定额等信息，编制目标成本预算；结合施工组织设计、进度计划、实际工程进度、分部分项工程进度计划、施工工艺的资源需求等信息，辅助编制、优化各阶段资源配置和材料采购计划；结合项目合同规划、人材机合同和支付计划等信息，辅助进行项目合同管理以及财务管理工作。</w:t>
      </w:r>
    </w:p>
    <w:p>
      <w:pPr>
        <w:ind w:firstLine="0" w:firstLineChars="0"/>
        <w:rPr>
          <w:rFonts w:eastAsiaTheme="minorEastAsia"/>
          <w:color w:val="auto"/>
          <w:szCs w:val="32"/>
        </w:rPr>
      </w:pPr>
      <w:r>
        <w:rPr>
          <w:rFonts w:eastAsiaTheme="minorEastAsia"/>
          <w:color w:val="auto"/>
          <w:szCs w:val="32"/>
        </w:rPr>
        <w:t xml:space="preserve">7.4.13 </w:t>
      </w:r>
      <w:r>
        <w:rPr>
          <w:rFonts w:hint="eastAsia" w:eastAsiaTheme="minorEastAsia"/>
          <w:color w:val="auto"/>
          <w:szCs w:val="32"/>
          <w:lang w:eastAsia="zh-CN"/>
        </w:rPr>
        <w:t xml:space="preserve">  </w:t>
      </w:r>
      <w:r>
        <w:rPr>
          <w:rFonts w:hint="eastAsia" w:eastAsiaTheme="minorEastAsia"/>
          <w:color w:val="auto"/>
          <w:szCs w:val="32"/>
        </w:rPr>
        <w:t>基于</w:t>
      </w:r>
      <w:r>
        <w:rPr>
          <w:rFonts w:eastAsiaTheme="minorEastAsia"/>
          <w:color w:val="auto"/>
          <w:szCs w:val="32"/>
        </w:rPr>
        <w:t>模型的质量和安全管理应用，对施工现场重要生成要素的状态进行监测与反馈，有助于实现危险源的识别和动态管理</w:t>
      </w:r>
      <w:r>
        <w:rPr>
          <w:rFonts w:hint="eastAsia" w:eastAsiaTheme="minorEastAsia"/>
          <w:color w:val="auto"/>
          <w:szCs w:val="32"/>
        </w:rPr>
        <w:t>以及</w:t>
      </w:r>
      <w:r>
        <w:rPr>
          <w:rFonts w:eastAsiaTheme="minorEastAsia"/>
          <w:color w:val="auto"/>
          <w:szCs w:val="32"/>
        </w:rPr>
        <w:t>加强安全策划，降低建设</w:t>
      </w:r>
      <w:r>
        <w:rPr>
          <w:rFonts w:hint="eastAsia" w:eastAsiaTheme="minorEastAsia"/>
          <w:color w:val="auto"/>
          <w:szCs w:val="32"/>
        </w:rPr>
        <w:t>工程建设项目</w:t>
      </w:r>
      <w:r>
        <w:rPr>
          <w:rFonts w:eastAsiaTheme="minorEastAsia"/>
          <w:color w:val="auto"/>
          <w:szCs w:val="32"/>
        </w:rPr>
        <w:t>的实施风险，确保施工质量。</w:t>
      </w:r>
    </w:p>
    <w:p>
      <w:pPr>
        <w:ind w:firstLine="0" w:firstLineChars="0"/>
        <w:rPr>
          <w:rFonts w:eastAsiaTheme="minorEastAsia"/>
          <w:color w:val="auto"/>
          <w:szCs w:val="32"/>
        </w:rPr>
      </w:pPr>
      <w:r>
        <w:rPr>
          <w:rFonts w:eastAsiaTheme="minorEastAsia"/>
          <w:color w:val="auto"/>
          <w:szCs w:val="32"/>
        </w:rPr>
        <w:t xml:space="preserve">7.4.14 </w:t>
      </w:r>
      <w:r>
        <w:rPr>
          <w:rFonts w:hint="eastAsia" w:eastAsiaTheme="minorEastAsia"/>
          <w:color w:val="auto"/>
          <w:szCs w:val="32"/>
          <w:lang w:eastAsia="zh-CN"/>
        </w:rPr>
        <w:t xml:space="preserve">  </w:t>
      </w:r>
      <w:r>
        <w:rPr>
          <w:rFonts w:eastAsiaTheme="minorEastAsia"/>
          <w:color w:val="auto"/>
          <w:szCs w:val="32"/>
        </w:rPr>
        <w:t>基于模型的施工质量管理应用应遵循现行国家标准《质量管理体系》</w:t>
      </w:r>
      <w:r>
        <w:rPr>
          <w:rFonts w:hint="eastAsia" w:eastAsiaTheme="minorEastAsia"/>
          <w:color w:val="auto"/>
          <w:szCs w:val="32"/>
        </w:rPr>
        <w:t>G</w:t>
      </w:r>
      <w:r>
        <w:rPr>
          <w:rFonts w:eastAsiaTheme="minorEastAsia"/>
          <w:color w:val="auto"/>
          <w:szCs w:val="32"/>
        </w:rPr>
        <w:t>B/T 19001的原则，通过</w:t>
      </w:r>
      <w:r>
        <w:rPr>
          <w:rFonts w:hint="eastAsia" w:eastAsiaTheme="minorEastAsia"/>
          <w:color w:val="auto"/>
          <w:szCs w:val="32"/>
        </w:rPr>
        <w:t>P</w:t>
      </w:r>
      <w:r>
        <w:rPr>
          <w:rFonts w:eastAsiaTheme="minorEastAsia"/>
          <w:color w:val="auto"/>
          <w:szCs w:val="32"/>
        </w:rPr>
        <w:t>DCA循环持续改进质量管理水平。</w:t>
      </w:r>
    </w:p>
    <w:p>
      <w:pPr>
        <w:ind w:firstLine="0" w:firstLineChars="0"/>
        <w:rPr>
          <w:rFonts w:eastAsiaTheme="minorEastAsia"/>
          <w:color w:val="auto"/>
          <w:szCs w:val="32"/>
        </w:rPr>
      </w:pPr>
      <w:r>
        <w:rPr>
          <w:rFonts w:eastAsiaTheme="minorEastAsia"/>
          <w:color w:val="auto"/>
          <w:szCs w:val="32"/>
        </w:rPr>
        <w:t xml:space="preserve">7.4.15 </w:t>
      </w:r>
      <w:r>
        <w:rPr>
          <w:rFonts w:hint="eastAsia" w:eastAsiaTheme="minorEastAsia"/>
          <w:color w:val="auto"/>
          <w:szCs w:val="32"/>
          <w:lang w:eastAsia="zh-CN"/>
        </w:rPr>
        <w:t xml:space="preserve">  </w:t>
      </w:r>
      <w:r>
        <w:rPr>
          <w:rFonts w:eastAsiaTheme="minorEastAsia"/>
          <w:color w:val="auto"/>
          <w:szCs w:val="32"/>
        </w:rPr>
        <w:t>基于模型的施工</w:t>
      </w:r>
      <w:r>
        <w:rPr>
          <w:rFonts w:hint="eastAsia" w:eastAsiaTheme="minorEastAsia"/>
          <w:color w:val="auto"/>
          <w:szCs w:val="32"/>
        </w:rPr>
        <w:t>安全</w:t>
      </w:r>
      <w:r>
        <w:rPr>
          <w:rFonts w:eastAsiaTheme="minorEastAsia"/>
          <w:color w:val="auto"/>
          <w:szCs w:val="32"/>
        </w:rPr>
        <w:t>管理应用应遵循现行国家标准《</w:t>
      </w:r>
      <w:r>
        <w:rPr>
          <w:rFonts w:hint="eastAsia" w:eastAsiaTheme="minorEastAsia"/>
          <w:color w:val="auto"/>
          <w:szCs w:val="32"/>
        </w:rPr>
        <w:t>职业健康</w:t>
      </w:r>
      <w:r>
        <w:rPr>
          <w:rFonts w:eastAsiaTheme="minorEastAsia"/>
          <w:color w:val="auto"/>
          <w:szCs w:val="32"/>
        </w:rPr>
        <w:t>安全管理体系</w:t>
      </w:r>
      <w:r>
        <w:rPr>
          <w:rFonts w:hint="eastAsia" w:eastAsiaTheme="minorEastAsia"/>
          <w:color w:val="auto"/>
          <w:szCs w:val="32"/>
        </w:rPr>
        <w:t xml:space="preserve"> </w:t>
      </w:r>
      <w:r>
        <w:rPr>
          <w:rFonts w:eastAsiaTheme="minorEastAsia"/>
          <w:color w:val="auto"/>
          <w:szCs w:val="32"/>
        </w:rPr>
        <w:t xml:space="preserve"> 要求》</w:t>
      </w:r>
      <w:r>
        <w:rPr>
          <w:rFonts w:hint="eastAsia" w:eastAsiaTheme="minorEastAsia"/>
          <w:color w:val="auto"/>
          <w:szCs w:val="32"/>
        </w:rPr>
        <w:t>G</w:t>
      </w:r>
      <w:r>
        <w:rPr>
          <w:rFonts w:eastAsiaTheme="minorEastAsia"/>
          <w:color w:val="auto"/>
          <w:szCs w:val="32"/>
        </w:rPr>
        <w:t>B/T 28001的原则，通过</w:t>
      </w:r>
      <w:r>
        <w:rPr>
          <w:rFonts w:hint="eastAsia" w:eastAsiaTheme="minorEastAsia"/>
          <w:color w:val="auto"/>
          <w:szCs w:val="32"/>
        </w:rPr>
        <w:t>P</w:t>
      </w:r>
      <w:r>
        <w:rPr>
          <w:rFonts w:eastAsiaTheme="minorEastAsia"/>
          <w:color w:val="auto"/>
          <w:szCs w:val="32"/>
        </w:rPr>
        <w:t>DCA循环持续改进</w:t>
      </w:r>
      <w:r>
        <w:rPr>
          <w:rFonts w:hint="eastAsia" w:eastAsiaTheme="minorEastAsia"/>
          <w:color w:val="auto"/>
          <w:szCs w:val="32"/>
        </w:rPr>
        <w:t>职业健康安全</w:t>
      </w:r>
      <w:r>
        <w:rPr>
          <w:rFonts w:eastAsiaTheme="minorEastAsia"/>
          <w:color w:val="auto"/>
          <w:szCs w:val="32"/>
        </w:rPr>
        <w:t>管理水平。</w:t>
      </w:r>
    </w:p>
    <w:p>
      <w:pPr>
        <w:ind w:firstLine="0" w:firstLineChars="0"/>
        <w:rPr>
          <w:rFonts w:eastAsiaTheme="minorEastAsia"/>
          <w:color w:val="auto"/>
          <w:szCs w:val="32"/>
        </w:rPr>
      </w:pPr>
      <w:r>
        <w:rPr>
          <w:rFonts w:eastAsiaTheme="minorEastAsia"/>
          <w:color w:val="auto"/>
          <w:szCs w:val="32"/>
        </w:rPr>
        <w:t xml:space="preserve">7.4.16 </w:t>
      </w:r>
      <w:r>
        <w:rPr>
          <w:rFonts w:hint="eastAsia" w:eastAsiaTheme="minorEastAsia"/>
          <w:color w:val="auto"/>
          <w:szCs w:val="32"/>
          <w:lang w:eastAsia="zh-CN"/>
        </w:rPr>
        <w:t xml:space="preserve">  </w:t>
      </w:r>
      <w:r>
        <w:rPr>
          <w:rFonts w:eastAsiaTheme="minorEastAsia"/>
          <w:color w:val="auto"/>
          <w:szCs w:val="32"/>
        </w:rPr>
        <w:t>基于质量验收标准和施工资源标准确定质量验收计划，宜将质量验收相关信息等附加或关联到质量管理模型中</w:t>
      </w:r>
      <w:r>
        <w:rPr>
          <w:rFonts w:hint="eastAsia" w:eastAsiaTheme="minorEastAsia"/>
          <w:color w:val="auto"/>
          <w:szCs w:val="32"/>
        </w:rPr>
        <w:t>。</w:t>
      </w:r>
      <w:r>
        <w:rPr>
          <w:rFonts w:eastAsiaTheme="minorEastAsia"/>
          <w:color w:val="auto"/>
          <w:szCs w:val="32"/>
        </w:rPr>
        <w:t>基于安全管理标准确定安全技术措施计划，宜使用安全管理模型辅助相关人员进行风险源识别。</w:t>
      </w:r>
    </w:p>
    <w:p>
      <w:pPr>
        <w:ind w:firstLine="0" w:firstLineChars="0"/>
        <w:rPr>
          <w:rFonts w:eastAsiaTheme="minorEastAsia"/>
          <w:color w:val="auto"/>
          <w:szCs w:val="32"/>
        </w:rPr>
      </w:pPr>
      <w:r>
        <w:rPr>
          <w:rFonts w:eastAsiaTheme="minorEastAsia"/>
          <w:color w:val="auto"/>
          <w:szCs w:val="32"/>
        </w:rPr>
        <w:t xml:space="preserve">7.4.17 </w:t>
      </w:r>
      <w:r>
        <w:rPr>
          <w:rFonts w:hint="eastAsia" w:eastAsiaTheme="minorEastAsia"/>
          <w:color w:val="auto"/>
          <w:szCs w:val="32"/>
          <w:lang w:eastAsia="zh-CN"/>
        </w:rPr>
        <w:t xml:space="preserve">  </w:t>
      </w:r>
      <w:r>
        <w:rPr>
          <w:rFonts w:eastAsiaTheme="minorEastAsia"/>
          <w:color w:val="auto"/>
          <w:szCs w:val="32"/>
        </w:rPr>
        <w:t>基于质量管理模型</w:t>
      </w:r>
      <w:r>
        <w:rPr>
          <w:rFonts w:hint="eastAsia"/>
          <w:color w:val="auto"/>
        </w:rPr>
        <w:t>数据</w:t>
      </w:r>
      <w:r>
        <w:rPr>
          <w:rFonts w:eastAsiaTheme="minorEastAsia"/>
          <w:color w:val="auto"/>
          <w:szCs w:val="32"/>
        </w:rPr>
        <w:t>，按照质量问题类型、发生部位、严重程度、发生时间、施工单位、作业班组、处理措施及结果等对质量问题进行分类统计、分析与展示。</w:t>
      </w:r>
    </w:p>
    <w:p>
      <w:pPr>
        <w:ind w:firstLine="0" w:firstLineChars="0"/>
        <w:rPr>
          <w:rFonts w:eastAsiaTheme="minorEastAsia"/>
          <w:color w:val="auto"/>
          <w:szCs w:val="32"/>
        </w:rPr>
      </w:pPr>
      <w:r>
        <w:rPr>
          <w:rFonts w:eastAsiaTheme="minorEastAsia"/>
          <w:color w:val="auto"/>
          <w:szCs w:val="32"/>
        </w:rPr>
        <w:t xml:space="preserve">7.4.18 </w:t>
      </w:r>
      <w:r>
        <w:rPr>
          <w:rFonts w:hint="eastAsia" w:eastAsiaTheme="minorEastAsia"/>
          <w:color w:val="auto"/>
          <w:szCs w:val="32"/>
          <w:lang w:eastAsia="zh-CN"/>
        </w:rPr>
        <w:t xml:space="preserve">  </w:t>
      </w:r>
      <w:r>
        <w:rPr>
          <w:rFonts w:eastAsiaTheme="minorEastAsia"/>
          <w:color w:val="auto"/>
          <w:szCs w:val="32"/>
        </w:rPr>
        <w:t>基于质量管理模型</w:t>
      </w:r>
      <w:r>
        <w:rPr>
          <w:rFonts w:hint="eastAsia"/>
          <w:color w:val="auto"/>
        </w:rPr>
        <w:t>数据信息</w:t>
      </w:r>
      <w:r>
        <w:rPr>
          <w:rFonts w:hint="eastAsia" w:eastAsiaTheme="minorEastAsia"/>
          <w:color w:val="auto"/>
          <w:szCs w:val="32"/>
        </w:rPr>
        <w:t>开展</w:t>
      </w:r>
      <w:r>
        <w:rPr>
          <w:rFonts w:eastAsiaTheme="minorEastAsia"/>
          <w:color w:val="auto"/>
          <w:szCs w:val="32"/>
        </w:rPr>
        <w:t>工程质量验收评定时，宜根据质量过程控制数据、质量验收检测数据、技术规范及评定计算规则，通过检验批、分部分项工程、单位工程、项目的关联关系依次汇总评定，辅助工程质量验收。</w:t>
      </w:r>
    </w:p>
    <w:p>
      <w:pPr>
        <w:ind w:firstLine="0" w:firstLineChars="0"/>
        <w:rPr>
          <w:rFonts w:eastAsiaTheme="minorEastAsia"/>
          <w:color w:val="auto"/>
          <w:szCs w:val="32"/>
        </w:rPr>
      </w:pPr>
      <w:r>
        <w:rPr>
          <w:rFonts w:eastAsiaTheme="minorEastAsia"/>
          <w:color w:val="auto"/>
          <w:szCs w:val="32"/>
        </w:rPr>
        <w:t xml:space="preserve">7.4.19 </w:t>
      </w:r>
      <w:r>
        <w:rPr>
          <w:rFonts w:hint="eastAsia" w:eastAsiaTheme="minorEastAsia"/>
          <w:color w:val="auto"/>
          <w:szCs w:val="32"/>
          <w:lang w:eastAsia="zh-CN"/>
        </w:rPr>
        <w:t xml:space="preserve">  </w:t>
      </w:r>
      <w:r>
        <w:rPr>
          <w:rFonts w:eastAsiaTheme="minorEastAsia"/>
          <w:color w:val="auto"/>
          <w:szCs w:val="32"/>
        </w:rPr>
        <w:t>基于</w:t>
      </w:r>
      <w:r>
        <w:rPr>
          <w:rFonts w:hint="eastAsia" w:eastAsiaTheme="minorEastAsia"/>
          <w:color w:val="auto"/>
          <w:szCs w:val="32"/>
        </w:rPr>
        <w:t>安全</w:t>
      </w:r>
      <w:r>
        <w:rPr>
          <w:rFonts w:eastAsiaTheme="minorEastAsia"/>
          <w:color w:val="auto"/>
          <w:szCs w:val="32"/>
        </w:rPr>
        <w:t>管理模型</w:t>
      </w:r>
      <w:r>
        <w:rPr>
          <w:rFonts w:hint="eastAsia"/>
          <w:color w:val="auto"/>
        </w:rPr>
        <w:t>数据</w:t>
      </w:r>
      <w:r>
        <w:rPr>
          <w:rFonts w:eastAsiaTheme="minorEastAsia"/>
          <w:color w:val="auto"/>
          <w:szCs w:val="32"/>
        </w:rPr>
        <w:t>，按照</w:t>
      </w:r>
      <w:r>
        <w:rPr>
          <w:rFonts w:hint="eastAsia" w:eastAsiaTheme="minorEastAsia"/>
          <w:color w:val="auto"/>
          <w:szCs w:val="32"/>
        </w:rPr>
        <w:t>安全</w:t>
      </w:r>
      <w:r>
        <w:rPr>
          <w:rFonts w:eastAsiaTheme="minorEastAsia"/>
          <w:color w:val="auto"/>
          <w:szCs w:val="32"/>
        </w:rPr>
        <w:t>问题类型、发生部位、严重程度、发生时间、施工单位、作业班组、安全处理措施及结果等对质量问题进行分类统计、分析与展示。</w:t>
      </w:r>
    </w:p>
    <w:p>
      <w:pPr>
        <w:pStyle w:val="3"/>
        <w:jc w:val="center"/>
        <w:rPr>
          <w:color w:val="auto"/>
        </w:rPr>
      </w:pPr>
      <w:r>
        <w:rPr>
          <w:color w:val="auto"/>
        </w:rPr>
        <w:t xml:space="preserve">7.5 </w:t>
      </w:r>
      <w:r>
        <w:rPr>
          <w:rFonts w:hint="eastAsia"/>
          <w:color w:val="auto"/>
        </w:rPr>
        <w:t>施工监理</w:t>
      </w:r>
    </w:p>
    <w:p>
      <w:pPr>
        <w:ind w:firstLine="0" w:firstLineChars="0"/>
        <w:rPr>
          <w:rFonts w:eastAsiaTheme="minorEastAsia"/>
          <w:color w:val="auto"/>
          <w:szCs w:val="32"/>
        </w:rPr>
      </w:pPr>
      <w:r>
        <w:rPr>
          <w:rFonts w:eastAsiaTheme="minorEastAsia"/>
          <w:color w:val="auto"/>
          <w:szCs w:val="32"/>
        </w:rPr>
        <w:t xml:space="preserve">7.5.1 </w:t>
      </w:r>
      <w:r>
        <w:rPr>
          <w:rFonts w:hint="eastAsia" w:eastAsiaTheme="minorEastAsia"/>
          <w:color w:val="auto"/>
          <w:szCs w:val="32"/>
          <w:lang w:eastAsia="zh-CN"/>
        </w:rPr>
        <w:t xml:space="preserve">  </w:t>
      </w:r>
      <w:r>
        <w:rPr>
          <w:rFonts w:hint="eastAsia" w:eastAsiaTheme="minorEastAsia"/>
          <w:color w:val="auto"/>
          <w:szCs w:val="32"/>
        </w:rPr>
        <w:t>施工准备阶段及施工阶段的监理工作内容，在现行《公路工程施工监理规范》J</w:t>
      </w:r>
      <w:r>
        <w:rPr>
          <w:rFonts w:eastAsiaTheme="minorEastAsia"/>
          <w:color w:val="auto"/>
          <w:szCs w:val="32"/>
        </w:rPr>
        <w:t>TG G10</w:t>
      </w:r>
      <w:r>
        <w:rPr>
          <w:rFonts w:hint="eastAsia" w:eastAsiaTheme="minorEastAsia"/>
          <w:color w:val="auto"/>
          <w:szCs w:val="32"/>
        </w:rPr>
        <w:t>中有明确要求，各地方也颁发了有关监理的法律法规。本条文提出的监理工作主要以现行《公路工程施工监理规范》J</w:t>
      </w:r>
      <w:r>
        <w:rPr>
          <w:rFonts w:eastAsiaTheme="minorEastAsia"/>
          <w:color w:val="auto"/>
          <w:szCs w:val="32"/>
        </w:rPr>
        <w:t>TG G10</w:t>
      </w:r>
      <w:r>
        <w:rPr>
          <w:rFonts w:hint="eastAsia" w:eastAsiaTheme="minorEastAsia"/>
          <w:color w:val="auto"/>
          <w:szCs w:val="32"/>
        </w:rPr>
        <w:t>中的内容为依据，主要包括基于模型应用的监理控制和监理管理。</w:t>
      </w:r>
    </w:p>
    <w:p>
      <w:pPr>
        <w:ind w:firstLine="480"/>
        <w:rPr>
          <w:rFonts w:eastAsiaTheme="minorEastAsia"/>
          <w:color w:val="auto"/>
          <w:szCs w:val="32"/>
        </w:rPr>
      </w:pPr>
      <w:r>
        <w:rPr>
          <w:rFonts w:hint="eastAsia" w:eastAsiaTheme="minorEastAsia"/>
          <w:color w:val="auto"/>
          <w:szCs w:val="32"/>
        </w:rPr>
        <w:t>监理控制的模型应用如下：</w:t>
      </w:r>
    </w:p>
    <w:p>
      <w:pPr>
        <w:ind w:firstLine="480"/>
        <w:rPr>
          <w:rFonts w:eastAsiaTheme="minorEastAsia"/>
          <w:color w:val="auto"/>
          <w:szCs w:val="32"/>
        </w:rPr>
      </w:pPr>
      <w:r>
        <w:rPr>
          <w:rFonts w:hint="eastAsia" w:eastAsiaTheme="minorEastAsia"/>
          <w:color w:val="auto"/>
          <w:szCs w:val="32"/>
        </w:rPr>
        <w:t>1</w:t>
      </w:r>
      <w:r>
        <w:rPr>
          <w:rFonts w:eastAsiaTheme="minorEastAsia"/>
          <w:color w:val="auto"/>
          <w:szCs w:val="32"/>
        </w:rPr>
        <w:t xml:space="preserve"> 在施工准备阶段，协助建设单位基于模型</w:t>
      </w:r>
      <w:r>
        <w:rPr>
          <w:rFonts w:hint="eastAsia" w:eastAsiaTheme="minorEastAsia"/>
          <w:color w:val="auto"/>
          <w:szCs w:val="32"/>
        </w:rPr>
        <w:t>组织开展模型会审和设计交底，输出模型会审和设计交底记录。</w:t>
      </w:r>
    </w:p>
    <w:p>
      <w:pPr>
        <w:ind w:firstLine="480"/>
        <w:rPr>
          <w:rFonts w:eastAsiaTheme="minorEastAsia"/>
          <w:color w:val="auto"/>
          <w:szCs w:val="32"/>
        </w:rPr>
      </w:pPr>
      <w:r>
        <w:rPr>
          <w:rFonts w:hint="eastAsia" w:eastAsiaTheme="minorEastAsia"/>
          <w:color w:val="auto"/>
          <w:szCs w:val="32"/>
        </w:rPr>
        <w:t>2在施工阶段，将监理控制的具体工作开展过程中产生的过程记录数据附加或关联到模型中。过程记录数据包括两类：一类是对施工单位录入内容的审核确认信息，另一类是监理工作的过程记录信息。</w:t>
      </w:r>
    </w:p>
    <w:p>
      <w:pPr>
        <w:ind w:firstLine="480"/>
        <w:rPr>
          <w:rFonts w:eastAsiaTheme="minorEastAsia"/>
          <w:color w:val="auto"/>
          <w:szCs w:val="32"/>
        </w:rPr>
      </w:pPr>
      <w:r>
        <w:rPr>
          <w:rFonts w:hint="eastAsia" w:eastAsiaTheme="minorEastAsia"/>
          <w:color w:val="auto"/>
          <w:szCs w:val="32"/>
        </w:rPr>
        <w:t>监理管理的模型应用如下：</w:t>
      </w:r>
    </w:p>
    <w:p>
      <w:pPr>
        <w:ind w:firstLine="480"/>
        <w:rPr>
          <w:rFonts w:eastAsiaTheme="minorEastAsia"/>
          <w:color w:val="auto"/>
          <w:szCs w:val="32"/>
        </w:rPr>
      </w:pPr>
      <w:r>
        <w:rPr>
          <w:rFonts w:hint="eastAsia" w:eastAsiaTheme="minorEastAsia"/>
          <w:color w:val="auto"/>
          <w:szCs w:val="32"/>
        </w:rPr>
        <w:t>1 将合同管理的控制要点进行识别，附加或关联至模型中，完成合同分析、合同跟踪、索赔与反索赔等工作内容。</w:t>
      </w:r>
    </w:p>
    <w:p>
      <w:pPr>
        <w:ind w:firstLine="480"/>
        <w:rPr>
          <w:rFonts w:eastAsiaTheme="minorEastAsia"/>
          <w:color w:val="auto"/>
          <w:szCs w:val="32"/>
        </w:rPr>
      </w:pPr>
      <w:r>
        <w:rPr>
          <w:rFonts w:hint="eastAsia" w:eastAsiaTheme="minorEastAsia"/>
          <w:color w:val="auto"/>
          <w:szCs w:val="32"/>
        </w:rPr>
        <w:t>2对监理控制的模型信息进行过程动态管理，最终整理生成符合要求的竣工模型和验收记录</w:t>
      </w:r>
      <w:r>
        <w:rPr>
          <w:rFonts w:eastAsiaTheme="minorEastAsia"/>
          <w:color w:val="auto"/>
          <w:szCs w:val="32"/>
        </w:rPr>
        <w:t>。</w:t>
      </w:r>
    </w:p>
    <w:p>
      <w:pPr>
        <w:ind w:firstLine="0" w:firstLineChars="0"/>
        <w:rPr>
          <w:rFonts w:eastAsiaTheme="minorEastAsia"/>
          <w:color w:val="auto"/>
          <w:szCs w:val="32"/>
        </w:rPr>
      </w:pPr>
      <w:r>
        <w:rPr>
          <w:rFonts w:eastAsiaTheme="minorEastAsia"/>
          <w:color w:val="auto"/>
          <w:szCs w:val="32"/>
        </w:rPr>
        <w:t xml:space="preserve">7.5.2 </w:t>
      </w:r>
      <w:r>
        <w:rPr>
          <w:rFonts w:hint="eastAsia" w:eastAsiaTheme="minorEastAsia"/>
          <w:color w:val="auto"/>
          <w:szCs w:val="32"/>
          <w:lang w:eastAsia="zh-CN"/>
        </w:rPr>
        <w:t xml:space="preserve">  </w:t>
      </w:r>
      <w:r>
        <w:rPr>
          <w:rFonts w:hint="eastAsia" w:eastAsiaTheme="minorEastAsia"/>
          <w:color w:val="auto"/>
          <w:szCs w:val="32"/>
        </w:rPr>
        <w:t>基于模型的会审与设计交底程序要求如下:</w:t>
      </w:r>
    </w:p>
    <w:p>
      <w:pPr>
        <w:ind w:firstLine="480"/>
        <w:rPr>
          <w:rFonts w:eastAsiaTheme="minorEastAsia"/>
          <w:color w:val="auto"/>
          <w:szCs w:val="32"/>
        </w:rPr>
      </w:pPr>
      <w:r>
        <w:rPr>
          <w:rFonts w:hint="eastAsia" w:eastAsiaTheme="minorEastAsia"/>
          <w:color w:val="auto"/>
          <w:szCs w:val="32"/>
        </w:rPr>
        <w:t>1监理单位应协助建设单位，对设计单位提供的设计信息模型进行模型会审和设计交底，并经参建各方共同签认；</w:t>
      </w:r>
    </w:p>
    <w:p>
      <w:pPr>
        <w:ind w:firstLine="480"/>
        <w:rPr>
          <w:rFonts w:eastAsiaTheme="minorEastAsia"/>
          <w:color w:val="auto"/>
          <w:szCs w:val="32"/>
        </w:rPr>
      </w:pPr>
      <w:r>
        <w:rPr>
          <w:rFonts w:hint="eastAsia" w:eastAsiaTheme="minorEastAsia"/>
          <w:color w:val="auto"/>
          <w:szCs w:val="32"/>
        </w:rPr>
        <w:t>2若设计单位提供的设计信息模型在施工或加工前需深化，则应由各专业分包单位对设计信息模型进行深化后再进行模型会审；</w:t>
      </w:r>
    </w:p>
    <w:p>
      <w:pPr>
        <w:ind w:firstLine="480"/>
        <w:rPr>
          <w:rFonts w:eastAsiaTheme="minorEastAsia"/>
          <w:color w:val="auto"/>
          <w:szCs w:val="32"/>
        </w:rPr>
      </w:pPr>
      <w:r>
        <w:rPr>
          <w:rFonts w:hint="eastAsia" w:eastAsiaTheme="minorEastAsia"/>
          <w:color w:val="auto"/>
          <w:szCs w:val="32"/>
        </w:rPr>
        <w:t>3 施工图设计信息模型、深化设计模型、预制加工模型的会审和设计交底，均需由原设计单位参加并确认</w:t>
      </w:r>
      <w:r>
        <w:rPr>
          <w:rFonts w:eastAsiaTheme="minorEastAsia"/>
          <w:color w:val="auto"/>
          <w:szCs w:val="32"/>
        </w:rPr>
        <w:t>。</w:t>
      </w:r>
    </w:p>
    <w:p>
      <w:pPr>
        <w:ind w:firstLine="0" w:firstLineChars="0"/>
        <w:rPr>
          <w:rFonts w:eastAsiaTheme="minorEastAsia"/>
          <w:color w:val="auto"/>
          <w:szCs w:val="32"/>
        </w:rPr>
      </w:pPr>
      <w:r>
        <w:rPr>
          <w:rFonts w:eastAsiaTheme="minorEastAsia"/>
          <w:color w:val="auto"/>
          <w:szCs w:val="32"/>
        </w:rPr>
        <w:t xml:space="preserve">7.5.3 </w:t>
      </w:r>
      <w:r>
        <w:rPr>
          <w:rFonts w:hint="eastAsia" w:eastAsiaTheme="minorEastAsia"/>
          <w:color w:val="auto"/>
          <w:szCs w:val="32"/>
          <w:lang w:eastAsia="zh-CN"/>
        </w:rPr>
        <w:t xml:space="preserve">  </w:t>
      </w:r>
      <w:r>
        <w:rPr>
          <w:rFonts w:eastAsiaTheme="minorEastAsia"/>
          <w:color w:val="auto"/>
          <w:szCs w:val="32"/>
        </w:rPr>
        <w:t>施工过程管理模型包括涉及质量控制、造价控制、进度控制、安全管理、合同管理、信息管理等内容的模型。施工监理宜基于施工过程管理模型进行质量、进度、造价以及工程变更等监理控制与管理</w:t>
      </w:r>
      <w:r>
        <w:rPr>
          <w:rFonts w:hint="eastAsia" w:eastAsiaTheme="minorEastAsia"/>
          <w:color w:val="auto"/>
          <w:szCs w:val="32"/>
        </w:rPr>
        <w:t>工作</w:t>
      </w:r>
      <w:r>
        <w:rPr>
          <w:rFonts w:eastAsiaTheme="minorEastAsia"/>
          <w:color w:val="auto"/>
          <w:szCs w:val="32"/>
        </w:rPr>
        <w:t>。</w:t>
      </w:r>
    </w:p>
    <w:p>
      <w:pPr>
        <w:ind w:firstLine="0" w:firstLineChars="0"/>
        <w:rPr>
          <w:rFonts w:eastAsiaTheme="minorEastAsia"/>
          <w:color w:val="auto"/>
          <w:szCs w:val="32"/>
        </w:rPr>
      </w:pPr>
      <w:r>
        <w:rPr>
          <w:rFonts w:eastAsiaTheme="minorEastAsia"/>
          <w:color w:val="auto"/>
          <w:szCs w:val="32"/>
        </w:rPr>
        <w:t xml:space="preserve">7.5.4 </w:t>
      </w:r>
      <w:r>
        <w:rPr>
          <w:rFonts w:hint="eastAsia" w:eastAsiaTheme="minorEastAsia"/>
          <w:color w:val="auto"/>
          <w:szCs w:val="32"/>
          <w:lang w:eastAsia="zh-CN"/>
        </w:rPr>
        <w:t xml:space="preserve">  </w:t>
      </w:r>
      <w:r>
        <w:rPr>
          <w:rFonts w:eastAsiaTheme="minorEastAsia"/>
          <w:color w:val="auto"/>
          <w:szCs w:val="32"/>
        </w:rPr>
        <w:t>施工监理</w:t>
      </w:r>
      <w:r>
        <w:rPr>
          <w:rFonts w:hint="eastAsia" w:eastAsiaTheme="minorEastAsia"/>
          <w:color w:val="auto"/>
          <w:szCs w:val="32"/>
        </w:rPr>
        <w:t>控制</w:t>
      </w:r>
      <w:r>
        <w:rPr>
          <w:rFonts w:eastAsiaTheme="minorEastAsia"/>
          <w:color w:val="auto"/>
          <w:szCs w:val="32"/>
        </w:rPr>
        <w:t>的模型应用成果交付，应与施工过程中其它监理文件的交付同步进行，其交付验收标准，应能够满足规范和相关规定，并能够与模型实现有效关联。</w:t>
      </w:r>
    </w:p>
    <w:p>
      <w:pPr>
        <w:ind w:firstLine="0" w:firstLineChars="0"/>
        <w:rPr>
          <w:rFonts w:eastAsiaTheme="minorEastAsia"/>
          <w:color w:val="auto"/>
          <w:szCs w:val="32"/>
        </w:rPr>
      </w:pPr>
      <w:r>
        <w:rPr>
          <w:rFonts w:eastAsiaTheme="minorEastAsia"/>
          <w:color w:val="auto"/>
          <w:szCs w:val="32"/>
        </w:rPr>
        <w:t xml:space="preserve">7.5.5 </w:t>
      </w:r>
      <w:r>
        <w:rPr>
          <w:rFonts w:hint="eastAsia" w:eastAsiaTheme="minorEastAsia"/>
          <w:color w:val="auto"/>
          <w:szCs w:val="32"/>
          <w:lang w:eastAsia="zh-CN"/>
        </w:rPr>
        <w:t xml:space="preserve">  </w:t>
      </w:r>
      <w:r>
        <w:rPr>
          <w:rFonts w:eastAsiaTheme="minorEastAsia"/>
          <w:color w:val="auto"/>
          <w:szCs w:val="32"/>
        </w:rPr>
        <w:t>监理管理文件包括监理合同</w:t>
      </w:r>
      <w:r>
        <w:rPr>
          <w:rFonts w:hint="eastAsia" w:eastAsiaTheme="minorEastAsia"/>
          <w:color w:val="auto"/>
          <w:szCs w:val="32"/>
        </w:rPr>
        <w:t>，</w:t>
      </w:r>
      <w:r>
        <w:rPr>
          <w:rFonts w:eastAsiaTheme="minorEastAsia"/>
          <w:color w:val="auto"/>
          <w:szCs w:val="32"/>
        </w:rPr>
        <w:t>监理计划、监理细则，会议记录、会议纪要，综合性往来文件等。</w:t>
      </w:r>
    </w:p>
    <w:p>
      <w:pPr>
        <w:ind w:firstLine="0" w:firstLineChars="0"/>
        <w:rPr>
          <w:rFonts w:eastAsiaTheme="minorEastAsia"/>
          <w:color w:val="auto"/>
          <w:szCs w:val="32"/>
        </w:rPr>
      </w:pPr>
      <w:r>
        <w:rPr>
          <w:rFonts w:eastAsiaTheme="minorEastAsia"/>
          <w:color w:val="auto"/>
          <w:szCs w:val="32"/>
        </w:rPr>
        <w:t xml:space="preserve">7.5.6 </w:t>
      </w:r>
      <w:r>
        <w:rPr>
          <w:rFonts w:hint="eastAsia" w:eastAsiaTheme="minorEastAsia"/>
          <w:color w:val="auto"/>
          <w:szCs w:val="32"/>
          <w:lang w:eastAsia="zh-CN"/>
        </w:rPr>
        <w:t xml:space="preserve">  </w:t>
      </w:r>
      <w:r>
        <w:rPr>
          <w:rFonts w:hint="eastAsia" w:eastAsiaTheme="minorEastAsia"/>
          <w:color w:val="auto"/>
          <w:szCs w:val="32"/>
        </w:rPr>
        <w:t>监理合同管理的模型应用基础，是提前对合同的关键内容进行分析，识别合同中需要重点跟踪的控制内容。主要包括：合同中的进度数据、成本数据、质量技术数据等，并与模型中的相关信息进行关联。</w:t>
      </w:r>
    </w:p>
    <w:p>
      <w:pPr>
        <w:ind w:firstLine="480" w:firstLineChars="200"/>
        <w:rPr>
          <w:rFonts w:eastAsiaTheme="minorEastAsia"/>
          <w:color w:val="auto"/>
          <w:szCs w:val="32"/>
        </w:rPr>
      </w:pPr>
      <w:r>
        <w:rPr>
          <w:rFonts w:hint="eastAsia" w:eastAsiaTheme="minorEastAsia"/>
          <w:color w:val="auto"/>
          <w:szCs w:val="32"/>
        </w:rPr>
        <w:t>施工过程中，监理单位对合同管理的关键数据进行定期的动态跟踪比对，将各项关键数据的实际数据录入模型（或对施工单位录入模型中的相关数据进行确认），分析合同实施状态与合同目标的偏离程度，并以此作为合同跟踪、索赔与反索赔的依据</w:t>
      </w:r>
      <w:r>
        <w:rPr>
          <w:rFonts w:eastAsiaTheme="minorEastAsia"/>
          <w:color w:val="auto"/>
          <w:szCs w:val="32"/>
        </w:rPr>
        <w:t>。</w:t>
      </w:r>
    </w:p>
    <w:p>
      <w:pPr>
        <w:ind w:firstLine="0" w:firstLineChars="0"/>
        <w:rPr>
          <w:rFonts w:eastAsiaTheme="minorEastAsia"/>
          <w:color w:val="auto"/>
          <w:szCs w:val="32"/>
        </w:rPr>
      </w:pPr>
      <w:r>
        <w:rPr>
          <w:rFonts w:eastAsiaTheme="minorEastAsia"/>
          <w:color w:val="auto"/>
          <w:szCs w:val="32"/>
        </w:rPr>
        <w:t xml:space="preserve">7.5.7 </w:t>
      </w:r>
      <w:r>
        <w:rPr>
          <w:rFonts w:hint="eastAsia" w:eastAsiaTheme="minorEastAsia"/>
          <w:color w:val="auto"/>
          <w:szCs w:val="32"/>
          <w:lang w:eastAsia="zh-CN"/>
        </w:rPr>
        <w:t xml:space="preserve">  </w:t>
      </w:r>
      <w:r>
        <w:rPr>
          <w:rFonts w:eastAsiaTheme="minorEastAsia"/>
          <w:color w:val="auto"/>
          <w:szCs w:val="32"/>
        </w:rPr>
        <w:t>施工监理管理的模型应用成果交付，应与施工过程中其它监理文件的交付同步进行，其交付验收标准，能够满足规范和相关规定，并能够与模型有效关联。</w:t>
      </w:r>
    </w:p>
    <w:p>
      <w:pPr>
        <w:pStyle w:val="3"/>
        <w:jc w:val="center"/>
        <w:rPr>
          <w:color w:val="auto"/>
        </w:rPr>
      </w:pPr>
      <w:r>
        <w:rPr>
          <w:color w:val="auto"/>
        </w:rPr>
        <w:t xml:space="preserve">7.6 </w:t>
      </w:r>
      <w:r>
        <w:rPr>
          <w:rFonts w:hint="eastAsia"/>
          <w:color w:val="auto"/>
        </w:rPr>
        <w:t>施工监控</w:t>
      </w:r>
    </w:p>
    <w:p>
      <w:pPr>
        <w:ind w:firstLine="0" w:firstLineChars="0"/>
        <w:rPr>
          <w:rFonts w:eastAsiaTheme="minorEastAsia"/>
          <w:color w:val="auto"/>
          <w:szCs w:val="32"/>
        </w:rPr>
      </w:pPr>
      <w:r>
        <w:rPr>
          <w:rFonts w:eastAsiaTheme="minorEastAsia"/>
          <w:color w:val="auto"/>
          <w:szCs w:val="32"/>
        </w:rPr>
        <w:t xml:space="preserve">7.6.1 </w:t>
      </w:r>
      <w:r>
        <w:rPr>
          <w:rFonts w:hint="eastAsia" w:eastAsiaTheme="minorEastAsia"/>
          <w:color w:val="auto"/>
          <w:szCs w:val="32"/>
          <w:lang w:eastAsia="zh-CN"/>
        </w:rPr>
        <w:t xml:space="preserve">  </w:t>
      </w:r>
      <w:r>
        <w:rPr>
          <w:rFonts w:hint="eastAsia" w:eastAsiaTheme="minorEastAsia"/>
          <w:color w:val="auto"/>
          <w:szCs w:val="32"/>
        </w:rPr>
        <w:t>如斜拉桥和悬索桥，因其结构复杂、跨径普遍较大，且施工过程复杂、技术难度较大，一般情况下需要进行施工监控。</w:t>
      </w:r>
    </w:p>
    <w:p>
      <w:pPr>
        <w:ind w:firstLine="480" w:firstLineChars="200"/>
        <w:rPr>
          <w:rFonts w:eastAsiaTheme="minorEastAsia"/>
          <w:color w:val="auto"/>
          <w:szCs w:val="32"/>
        </w:rPr>
      </w:pPr>
      <w:r>
        <w:rPr>
          <w:rFonts w:hint="eastAsia" w:eastAsiaTheme="minorEastAsia"/>
          <w:color w:val="auto"/>
          <w:szCs w:val="32"/>
        </w:rPr>
        <w:t>对组合体系桥梁、采用转体施工、顶推施工及节段预拼施工的桥梁或复杂构筑物，因其结构复杂或施工工艺复杂，施工过程中结构受力体系不断变化，施工难度较大，也需要进行施工监控。</w:t>
      </w:r>
    </w:p>
    <w:p>
      <w:pPr>
        <w:ind w:firstLine="480" w:firstLineChars="200"/>
        <w:rPr>
          <w:rFonts w:eastAsiaTheme="minorEastAsia"/>
          <w:color w:val="auto"/>
          <w:szCs w:val="32"/>
        </w:rPr>
      </w:pPr>
      <w:r>
        <w:rPr>
          <w:rFonts w:hint="eastAsia" w:eastAsiaTheme="minorEastAsia"/>
          <w:color w:val="auto"/>
          <w:szCs w:val="32"/>
        </w:rPr>
        <w:t>对梁桥（连续刚构桥、连续梁桥）和拱桥，如果设计文件要求，或者由于跨径大技术复杂、施工风险高等原因，建设单位或相关管理部门要求进行施工监控的，也需要进行施工监控。</w:t>
      </w:r>
    </w:p>
    <w:p>
      <w:pPr>
        <w:ind w:firstLine="0" w:firstLineChars="0"/>
        <w:rPr>
          <w:rFonts w:eastAsiaTheme="minorEastAsia"/>
          <w:color w:val="auto"/>
          <w:szCs w:val="32"/>
        </w:rPr>
      </w:pPr>
      <w:r>
        <w:rPr>
          <w:rFonts w:eastAsiaTheme="minorEastAsia"/>
          <w:color w:val="auto"/>
          <w:szCs w:val="32"/>
        </w:rPr>
        <w:t xml:space="preserve">7.6.2 </w:t>
      </w:r>
      <w:r>
        <w:rPr>
          <w:rFonts w:hint="eastAsia" w:eastAsiaTheme="minorEastAsia"/>
          <w:color w:val="auto"/>
          <w:szCs w:val="32"/>
          <w:lang w:eastAsia="zh-CN"/>
        </w:rPr>
        <w:t xml:space="preserve">  </w:t>
      </w:r>
      <w:r>
        <w:rPr>
          <w:rFonts w:hint="eastAsia" w:eastAsiaTheme="minorEastAsia"/>
          <w:color w:val="auto"/>
          <w:szCs w:val="32"/>
        </w:rPr>
        <w:t>桥梁施工监控宜按资料收集、监控方案编制、设计符合性计算、施工模拟计算、现场施工监测、施工跟踪计算、数据分析、反馈控制及提交监控成果的流程进行。</w:t>
      </w:r>
    </w:p>
    <w:p>
      <w:pPr>
        <w:ind w:firstLine="480" w:firstLineChars="200"/>
        <w:rPr>
          <w:rFonts w:eastAsiaTheme="minorEastAsia"/>
          <w:color w:val="auto"/>
          <w:szCs w:val="32"/>
        </w:rPr>
      </w:pPr>
      <w:r>
        <w:rPr>
          <w:rFonts w:eastAsiaTheme="minorEastAsia"/>
          <w:color w:val="auto"/>
          <w:szCs w:val="32"/>
        </w:rPr>
        <w:t>施工监控工作内容主要参考《公路桥梁施工监控技术规程》JTG/T 3650-01中的要求进行规定。</w:t>
      </w:r>
      <w:r>
        <w:rPr>
          <w:rFonts w:hint="eastAsia" w:eastAsiaTheme="minorEastAsia"/>
          <w:color w:val="auto"/>
          <w:szCs w:val="32"/>
        </w:rPr>
        <w:t xml:space="preserve">  </w:t>
      </w:r>
    </w:p>
    <w:p>
      <w:pPr>
        <w:ind w:firstLine="0" w:firstLineChars="0"/>
        <w:rPr>
          <w:rFonts w:eastAsiaTheme="minorEastAsia"/>
          <w:color w:val="auto"/>
          <w:szCs w:val="32"/>
        </w:rPr>
      </w:pPr>
      <w:r>
        <w:rPr>
          <w:rFonts w:eastAsiaTheme="minorEastAsia"/>
          <w:color w:val="auto"/>
          <w:szCs w:val="32"/>
        </w:rPr>
        <w:t>7.6.</w:t>
      </w:r>
      <w:r>
        <w:rPr>
          <w:rFonts w:hint="eastAsia" w:eastAsiaTheme="minorEastAsia"/>
          <w:color w:val="auto"/>
          <w:szCs w:val="32"/>
        </w:rPr>
        <w:t>4</w:t>
      </w:r>
      <w:r>
        <w:rPr>
          <w:rFonts w:eastAsiaTheme="minorEastAsia"/>
          <w:color w:val="auto"/>
          <w:szCs w:val="32"/>
        </w:rPr>
        <w:t xml:space="preserve"> </w:t>
      </w:r>
      <w:r>
        <w:rPr>
          <w:rFonts w:hint="eastAsia" w:eastAsiaTheme="minorEastAsia"/>
          <w:color w:val="auto"/>
          <w:szCs w:val="32"/>
          <w:lang w:eastAsia="zh-CN"/>
        </w:rPr>
        <w:t xml:space="preserve">  </w:t>
      </w:r>
      <w:r>
        <w:rPr>
          <w:rFonts w:eastAsiaTheme="minorEastAsia"/>
          <w:color w:val="auto"/>
          <w:szCs w:val="32"/>
        </w:rPr>
        <w:t>充分利用现有信息模型进行施工监控的控制性计算分析，</w:t>
      </w:r>
      <w:r>
        <w:rPr>
          <w:rFonts w:hint="eastAsia" w:eastAsiaTheme="minorEastAsia"/>
          <w:color w:val="auto"/>
          <w:szCs w:val="32"/>
        </w:rPr>
        <w:t>可有效减</w:t>
      </w:r>
      <w:r>
        <w:rPr>
          <w:rFonts w:eastAsiaTheme="minorEastAsia"/>
          <w:color w:val="auto"/>
          <w:szCs w:val="32"/>
        </w:rPr>
        <w:t>少重复模型创建的工作量</w:t>
      </w:r>
      <w:r>
        <w:rPr>
          <w:rFonts w:hint="eastAsia" w:eastAsiaTheme="minorEastAsia"/>
          <w:color w:val="auto"/>
          <w:szCs w:val="32"/>
        </w:rPr>
        <w:t>，并提升模型分析精度</w:t>
      </w:r>
      <w:r>
        <w:rPr>
          <w:rFonts w:eastAsiaTheme="minorEastAsia"/>
          <w:color w:val="auto"/>
          <w:szCs w:val="32"/>
        </w:rPr>
        <w:t>。</w:t>
      </w:r>
    </w:p>
    <w:p>
      <w:pPr>
        <w:ind w:firstLine="0" w:firstLineChars="0"/>
        <w:rPr>
          <w:rFonts w:eastAsiaTheme="minorEastAsia"/>
          <w:color w:val="auto"/>
          <w:szCs w:val="32"/>
        </w:rPr>
      </w:pPr>
      <w:r>
        <w:rPr>
          <w:rFonts w:eastAsiaTheme="minorEastAsia"/>
          <w:color w:val="auto"/>
          <w:szCs w:val="32"/>
        </w:rPr>
        <w:t>7.6.</w:t>
      </w:r>
      <w:r>
        <w:rPr>
          <w:rFonts w:hint="eastAsia" w:eastAsiaTheme="minorEastAsia"/>
          <w:color w:val="auto"/>
          <w:szCs w:val="32"/>
        </w:rPr>
        <w:t>5</w:t>
      </w:r>
      <w:r>
        <w:rPr>
          <w:rFonts w:eastAsiaTheme="minorEastAsia"/>
          <w:color w:val="auto"/>
          <w:szCs w:val="32"/>
        </w:rPr>
        <w:t xml:space="preserve"> </w:t>
      </w:r>
      <w:r>
        <w:rPr>
          <w:rFonts w:hint="eastAsia" w:eastAsiaTheme="minorEastAsia"/>
          <w:color w:val="auto"/>
          <w:szCs w:val="32"/>
          <w:lang w:eastAsia="zh-CN"/>
        </w:rPr>
        <w:t xml:space="preserve">  </w:t>
      </w:r>
      <w:r>
        <w:rPr>
          <w:rFonts w:hint="eastAsia" w:eastAsiaTheme="minorEastAsia"/>
          <w:color w:val="auto"/>
          <w:szCs w:val="32"/>
        </w:rPr>
        <w:t>施工监控</w:t>
      </w:r>
      <w:r>
        <w:rPr>
          <w:rFonts w:eastAsiaTheme="minorEastAsia"/>
          <w:color w:val="auto"/>
          <w:szCs w:val="32"/>
        </w:rPr>
        <w:t>的几何状态参数主要包括基础沉降、主体结构</w:t>
      </w:r>
      <w:r>
        <w:rPr>
          <w:rFonts w:hint="eastAsia" w:eastAsiaTheme="minorEastAsia"/>
          <w:color w:val="auto"/>
          <w:szCs w:val="32"/>
        </w:rPr>
        <w:t>的</w:t>
      </w:r>
      <w:r>
        <w:rPr>
          <w:rFonts w:eastAsiaTheme="minorEastAsia"/>
          <w:color w:val="auto"/>
          <w:szCs w:val="32"/>
        </w:rPr>
        <w:t>线形及其偏位等，内力状态参数主体结构控制截面的应力，以及控制性构件的内力等，如主缆、斜拉索、吊杆、系杆等构件的内力。</w:t>
      </w:r>
    </w:p>
    <w:p>
      <w:pPr>
        <w:ind w:firstLine="0" w:firstLineChars="0"/>
        <w:rPr>
          <w:rFonts w:eastAsiaTheme="minorEastAsia"/>
          <w:color w:val="auto"/>
          <w:szCs w:val="32"/>
        </w:rPr>
      </w:pPr>
      <w:r>
        <w:rPr>
          <w:rFonts w:eastAsiaTheme="minorEastAsia"/>
          <w:color w:val="auto"/>
          <w:szCs w:val="32"/>
        </w:rPr>
        <w:t>7.6.</w:t>
      </w:r>
      <w:r>
        <w:rPr>
          <w:rFonts w:hint="eastAsia" w:eastAsiaTheme="minorEastAsia"/>
          <w:color w:val="auto"/>
          <w:szCs w:val="32"/>
        </w:rPr>
        <w:t>6</w:t>
      </w:r>
      <w:r>
        <w:rPr>
          <w:rFonts w:eastAsiaTheme="minorEastAsia"/>
          <w:color w:val="auto"/>
          <w:szCs w:val="32"/>
        </w:rPr>
        <w:t xml:space="preserve"> </w:t>
      </w:r>
      <w:r>
        <w:rPr>
          <w:rFonts w:hint="eastAsia" w:eastAsiaTheme="minorEastAsia"/>
          <w:color w:val="auto"/>
          <w:szCs w:val="32"/>
          <w:lang w:eastAsia="zh-CN"/>
        </w:rPr>
        <w:t xml:space="preserve">  </w:t>
      </w:r>
      <w:r>
        <w:rPr>
          <w:rFonts w:eastAsiaTheme="minorEastAsia"/>
          <w:color w:val="auto"/>
          <w:szCs w:val="32"/>
        </w:rPr>
        <w:t>通过数据分析与反馈控制，识别当前构筑物的几何及内力状态，判别是否处于预测状态</w:t>
      </w:r>
      <w:r>
        <w:rPr>
          <w:rFonts w:hint="eastAsia" w:eastAsiaTheme="minorEastAsia"/>
          <w:color w:val="auto"/>
          <w:szCs w:val="32"/>
        </w:rPr>
        <w:t>；</w:t>
      </w:r>
      <w:r>
        <w:rPr>
          <w:rFonts w:eastAsiaTheme="minorEastAsia"/>
          <w:color w:val="auto"/>
          <w:szCs w:val="32"/>
        </w:rPr>
        <w:t>预测构筑物施工误差对后续施工过程的影响</w:t>
      </w:r>
      <w:r>
        <w:rPr>
          <w:rFonts w:hint="eastAsia" w:eastAsiaTheme="minorEastAsia"/>
          <w:color w:val="auto"/>
          <w:szCs w:val="32"/>
        </w:rPr>
        <w:t>；</w:t>
      </w:r>
      <w:r>
        <w:rPr>
          <w:rFonts w:eastAsiaTheme="minorEastAsia"/>
          <w:color w:val="auto"/>
          <w:szCs w:val="32"/>
        </w:rPr>
        <w:t>确定是否对施工过程预测数据、施工方案实施调整。</w:t>
      </w:r>
    </w:p>
    <w:p>
      <w:pPr>
        <w:pStyle w:val="3"/>
        <w:jc w:val="center"/>
        <w:rPr>
          <w:color w:val="auto"/>
        </w:rPr>
      </w:pPr>
      <w:r>
        <w:rPr>
          <w:color w:val="auto"/>
        </w:rPr>
        <w:t xml:space="preserve">7.7 </w:t>
      </w:r>
      <w:r>
        <w:rPr>
          <w:rFonts w:hint="eastAsia"/>
          <w:color w:val="auto"/>
        </w:rPr>
        <w:t>竣工验收与交付</w:t>
      </w:r>
    </w:p>
    <w:p>
      <w:pPr>
        <w:ind w:firstLine="0" w:firstLineChars="0"/>
        <w:rPr>
          <w:rFonts w:eastAsiaTheme="minorEastAsia"/>
          <w:color w:val="auto"/>
          <w:szCs w:val="32"/>
        </w:rPr>
      </w:pPr>
      <w:r>
        <w:rPr>
          <w:rFonts w:eastAsiaTheme="minorEastAsia"/>
          <w:color w:val="auto"/>
          <w:szCs w:val="32"/>
        </w:rPr>
        <w:t xml:space="preserve">7.7.1 </w:t>
      </w:r>
      <w:r>
        <w:rPr>
          <w:rFonts w:hint="eastAsia" w:eastAsiaTheme="minorEastAsia"/>
          <w:color w:val="auto"/>
          <w:szCs w:val="32"/>
          <w:lang w:eastAsia="zh-CN"/>
        </w:rPr>
        <w:t xml:space="preserve">  </w:t>
      </w:r>
      <w:r>
        <w:rPr>
          <w:rFonts w:hint="eastAsia" w:eastAsiaTheme="minorEastAsia"/>
          <w:color w:val="auto"/>
          <w:szCs w:val="32"/>
        </w:rPr>
        <w:t>基于</w:t>
      </w:r>
      <w:r>
        <w:rPr>
          <w:rFonts w:eastAsiaTheme="minorEastAsia"/>
          <w:color w:val="auto"/>
          <w:szCs w:val="32"/>
        </w:rPr>
        <w:t>模型开展竣工预验收与竣工验收工作</w:t>
      </w:r>
      <w:r>
        <w:rPr>
          <w:rFonts w:hint="eastAsia" w:eastAsiaTheme="minorEastAsia"/>
          <w:color w:val="auto"/>
          <w:szCs w:val="32"/>
        </w:rPr>
        <w:t>，可先期对施工过程控制的模型应用报告进行预验收，对施工过程质量控制文件以及变更或整改成果文件进行预审查，为实体工程竣工验收提供参考</w:t>
      </w:r>
      <w:r>
        <w:rPr>
          <w:rFonts w:eastAsiaTheme="minorEastAsia"/>
          <w:color w:val="auto"/>
          <w:szCs w:val="32"/>
        </w:rPr>
        <w:t>。</w:t>
      </w:r>
      <w:r>
        <w:rPr>
          <w:rFonts w:hint="eastAsia" w:eastAsiaTheme="minorEastAsia"/>
          <w:color w:val="auto"/>
          <w:szCs w:val="32"/>
        </w:rPr>
        <w:t>同时验收过程文件及结论应同步关联到模型中。</w:t>
      </w:r>
    </w:p>
    <w:p>
      <w:pPr>
        <w:ind w:firstLine="0" w:firstLineChars="0"/>
        <w:rPr>
          <w:rFonts w:eastAsiaTheme="minorEastAsia"/>
          <w:color w:val="auto"/>
          <w:szCs w:val="32"/>
        </w:rPr>
      </w:pPr>
      <w:r>
        <w:rPr>
          <w:rFonts w:eastAsiaTheme="minorEastAsia"/>
          <w:color w:val="auto"/>
          <w:szCs w:val="32"/>
        </w:rPr>
        <w:t xml:space="preserve">7.7.2 </w:t>
      </w:r>
      <w:r>
        <w:rPr>
          <w:rFonts w:hint="eastAsia" w:eastAsiaTheme="minorEastAsia"/>
          <w:color w:val="auto"/>
          <w:szCs w:val="32"/>
          <w:lang w:eastAsia="zh-CN"/>
        </w:rPr>
        <w:t xml:space="preserve">  </w:t>
      </w:r>
      <w:r>
        <w:rPr>
          <w:rFonts w:hint="eastAsia" w:eastAsiaTheme="minorEastAsia"/>
          <w:color w:val="auto"/>
          <w:szCs w:val="32"/>
        </w:rPr>
        <w:t>竣工验收模型应由分部工程质量验收模型组成，分部工程质量验收模型应由该分部工程的施工单位完成，并确保接收方获得准确、完整的信息。竣工验收资料宜与具体模型元素相关联，方便快速检索，如无法与具体的模型元素相关联，可采用虚拟模型元素的方式设置链接。</w:t>
      </w:r>
    </w:p>
    <w:p>
      <w:pPr>
        <w:ind w:firstLine="0" w:firstLineChars="0"/>
        <w:rPr>
          <w:rFonts w:eastAsiaTheme="minorEastAsia"/>
          <w:color w:val="auto"/>
          <w:szCs w:val="32"/>
        </w:rPr>
      </w:pPr>
      <w:r>
        <w:rPr>
          <w:rFonts w:eastAsiaTheme="minorEastAsia"/>
          <w:color w:val="auto"/>
          <w:szCs w:val="32"/>
        </w:rPr>
        <w:t xml:space="preserve">7.7.3 </w:t>
      </w:r>
      <w:r>
        <w:rPr>
          <w:rFonts w:hint="eastAsia" w:eastAsiaTheme="minorEastAsia"/>
          <w:color w:val="auto"/>
          <w:szCs w:val="32"/>
          <w:lang w:eastAsia="zh-CN"/>
        </w:rPr>
        <w:t xml:space="preserve">  </w:t>
      </w:r>
      <w:r>
        <w:rPr>
          <w:rFonts w:eastAsiaTheme="minorEastAsia"/>
          <w:color w:val="auto"/>
          <w:szCs w:val="32"/>
        </w:rPr>
        <w:t>模型、图纸以及相应的属性信息表同步交付。</w:t>
      </w:r>
    </w:p>
    <w:p>
      <w:pPr>
        <w:ind w:firstLine="0" w:firstLineChars="0"/>
        <w:rPr>
          <w:rFonts w:eastAsiaTheme="minorEastAsia"/>
          <w:color w:val="auto"/>
          <w:szCs w:val="32"/>
        </w:rPr>
      </w:pPr>
      <w:r>
        <w:rPr>
          <w:rFonts w:eastAsiaTheme="minorEastAsia"/>
          <w:color w:val="auto"/>
          <w:szCs w:val="32"/>
        </w:rPr>
        <w:t>7.7.</w:t>
      </w:r>
      <w:r>
        <w:rPr>
          <w:rFonts w:hint="eastAsia" w:eastAsiaTheme="minorEastAsia"/>
          <w:color w:val="auto"/>
          <w:szCs w:val="32"/>
        </w:rPr>
        <w:t>4</w:t>
      </w:r>
      <w:r>
        <w:rPr>
          <w:rFonts w:eastAsiaTheme="minorEastAsia"/>
          <w:color w:val="auto"/>
          <w:szCs w:val="32"/>
        </w:rPr>
        <w:t xml:space="preserve"> </w:t>
      </w:r>
      <w:r>
        <w:rPr>
          <w:rFonts w:hint="eastAsia" w:eastAsiaTheme="minorEastAsia"/>
          <w:color w:val="auto"/>
          <w:szCs w:val="32"/>
          <w:lang w:eastAsia="zh-CN"/>
        </w:rPr>
        <w:t xml:space="preserve">  </w:t>
      </w:r>
      <w:r>
        <w:rPr>
          <w:rFonts w:hint="eastAsia" w:eastAsiaTheme="minorEastAsia"/>
          <w:color w:val="auto"/>
          <w:szCs w:val="32"/>
        </w:rPr>
        <w:t>通过</w:t>
      </w:r>
      <w:r>
        <w:rPr>
          <w:rFonts w:eastAsiaTheme="minorEastAsia"/>
          <w:color w:val="auto"/>
          <w:szCs w:val="32"/>
        </w:rPr>
        <w:t>竣工验收模型</w:t>
      </w:r>
      <w:r>
        <w:rPr>
          <w:rFonts w:hint="eastAsia" w:eastAsiaTheme="minorEastAsia"/>
          <w:color w:val="auto"/>
          <w:szCs w:val="32"/>
        </w:rPr>
        <w:t>形成工程竣工决算清单，方便与设计概算形成比对和财务审计等。</w:t>
      </w:r>
    </w:p>
    <w:p>
      <w:pPr>
        <w:ind w:firstLine="0" w:firstLineChars="0"/>
        <w:rPr>
          <w:rFonts w:eastAsiaTheme="minorEastAsia"/>
          <w:color w:val="auto"/>
          <w:szCs w:val="32"/>
        </w:rPr>
      </w:pPr>
      <w:r>
        <w:rPr>
          <w:rFonts w:eastAsiaTheme="minorEastAsia"/>
          <w:color w:val="auto"/>
          <w:szCs w:val="32"/>
        </w:rPr>
        <w:t>7.7.</w:t>
      </w:r>
      <w:r>
        <w:rPr>
          <w:rFonts w:hint="eastAsia" w:eastAsiaTheme="minorEastAsia"/>
          <w:color w:val="auto"/>
          <w:szCs w:val="32"/>
        </w:rPr>
        <w:t>6</w:t>
      </w:r>
      <w:r>
        <w:rPr>
          <w:rFonts w:eastAsiaTheme="minorEastAsia"/>
          <w:color w:val="auto"/>
          <w:szCs w:val="32"/>
        </w:rPr>
        <w:t xml:space="preserve"> </w:t>
      </w:r>
      <w:r>
        <w:rPr>
          <w:rFonts w:hint="eastAsia" w:eastAsiaTheme="minorEastAsia"/>
          <w:color w:val="auto"/>
          <w:szCs w:val="32"/>
          <w:lang w:eastAsia="zh-CN"/>
        </w:rPr>
        <w:t xml:space="preserve">  </w:t>
      </w:r>
      <w:r>
        <w:rPr>
          <w:rFonts w:eastAsiaTheme="minorEastAsia"/>
          <w:color w:val="auto"/>
          <w:szCs w:val="32"/>
        </w:rPr>
        <w:t>审核报告应包括交付成果的基本描述、审核依据、交付单位、审核单位、审核人员、审核日期、审核过程、审核意见以及审核结果等内容。</w:t>
      </w:r>
    </w:p>
    <w:p>
      <w:pPr>
        <w:pStyle w:val="3"/>
        <w:jc w:val="center"/>
        <w:rPr>
          <w:color w:val="auto"/>
        </w:rPr>
      </w:pPr>
      <w:r>
        <w:rPr>
          <w:rFonts w:hint="eastAsia"/>
          <w:color w:val="auto"/>
        </w:rPr>
        <w:t>7</w:t>
      </w:r>
      <w:r>
        <w:rPr>
          <w:color w:val="auto"/>
        </w:rPr>
        <w:t>.</w:t>
      </w:r>
      <w:r>
        <w:rPr>
          <w:rFonts w:hint="eastAsia"/>
          <w:color w:val="auto"/>
        </w:rPr>
        <w:t>8</w:t>
      </w:r>
      <w:r>
        <w:rPr>
          <w:color w:val="auto"/>
        </w:rPr>
        <w:t xml:space="preserve"> </w:t>
      </w:r>
      <w:r>
        <w:rPr>
          <w:rFonts w:hint="eastAsia"/>
          <w:color w:val="auto"/>
        </w:rPr>
        <w:t xml:space="preserve"> 竣工资料归档</w:t>
      </w:r>
    </w:p>
    <w:p>
      <w:pPr>
        <w:ind w:firstLine="0" w:firstLineChars="0"/>
        <w:rPr>
          <w:rFonts w:eastAsiaTheme="minorEastAsia"/>
          <w:color w:val="auto"/>
          <w:szCs w:val="32"/>
        </w:rPr>
      </w:pPr>
      <w:r>
        <w:rPr>
          <w:rFonts w:hint="eastAsia" w:eastAsiaTheme="minorEastAsia"/>
          <w:color w:val="auto"/>
          <w:szCs w:val="32"/>
        </w:rPr>
        <w:t>7</w:t>
      </w:r>
      <w:r>
        <w:rPr>
          <w:rFonts w:eastAsiaTheme="minorEastAsia"/>
          <w:color w:val="auto"/>
          <w:szCs w:val="32"/>
        </w:rPr>
        <w:t>.</w:t>
      </w:r>
      <w:r>
        <w:rPr>
          <w:rFonts w:hint="eastAsia" w:eastAsiaTheme="minorEastAsia"/>
          <w:color w:val="auto"/>
          <w:szCs w:val="32"/>
        </w:rPr>
        <w:t>8</w:t>
      </w:r>
      <w:r>
        <w:rPr>
          <w:rFonts w:eastAsiaTheme="minorEastAsia"/>
          <w:color w:val="auto"/>
          <w:szCs w:val="32"/>
        </w:rPr>
        <w:t xml:space="preserve">.1 </w:t>
      </w:r>
      <w:r>
        <w:rPr>
          <w:rFonts w:hint="eastAsia" w:eastAsiaTheme="minorEastAsia"/>
          <w:color w:val="auto"/>
          <w:szCs w:val="32"/>
          <w:lang w:eastAsia="zh-CN"/>
        </w:rPr>
        <w:t xml:space="preserve">  </w:t>
      </w:r>
      <w:r>
        <w:rPr>
          <w:rFonts w:hint="eastAsia" w:eastAsiaTheme="minorEastAsia"/>
          <w:color w:val="auto"/>
          <w:szCs w:val="32"/>
        </w:rPr>
        <w:t>对有施工分包情况，施工分包单位数字技术应用成果应首先移交给施工总包单位，并由施工总包完成模型及文件的整合</w:t>
      </w:r>
      <w:r>
        <w:rPr>
          <w:rFonts w:eastAsiaTheme="minorEastAsia"/>
          <w:color w:val="auto"/>
          <w:szCs w:val="32"/>
        </w:rPr>
        <w:t>。</w:t>
      </w:r>
      <w:r>
        <w:rPr>
          <w:rFonts w:hint="eastAsia" w:eastAsiaTheme="minorEastAsia"/>
          <w:color w:val="auto"/>
          <w:szCs w:val="32"/>
        </w:rPr>
        <w:t>施工总包将整合后的竣工交付成果按建设单位要求完成外部移交和归档工作，归档单位包括建设单位以及政府有关档案接收部门，同时按施工总包单位自身要求完成内部的归档工作。</w:t>
      </w:r>
    </w:p>
    <w:p>
      <w:pPr>
        <w:ind w:firstLine="0" w:firstLineChars="0"/>
        <w:rPr>
          <w:rFonts w:eastAsiaTheme="minorEastAsia"/>
          <w:color w:val="auto"/>
          <w:szCs w:val="32"/>
        </w:rPr>
      </w:pPr>
      <w:r>
        <w:rPr>
          <w:rFonts w:hint="eastAsia" w:eastAsiaTheme="minorEastAsia"/>
          <w:color w:val="auto"/>
          <w:szCs w:val="32"/>
        </w:rPr>
        <w:t>7</w:t>
      </w:r>
      <w:r>
        <w:rPr>
          <w:rFonts w:eastAsiaTheme="minorEastAsia"/>
          <w:color w:val="auto"/>
          <w:szCs w:val="32"/>
        </w:rPr>
        <w:t>.</w:t>
      </w:r>
      <w:r>
        <w:rPr>
          <w:rFonts w:hint="eastAsia" w:eastAsiaTheme="minorEastAsia"/>
          <w:color w:val="auto"/>
          <w:szCs w:val="32"/>
        </w:rPr>
        <w:t>8</w:t>
      </w:r>
      <w:r>
        <w:rPr>
          <w:rFonts w:eastAsiaTheme="minorEastAsia"/>
          <w:color w:val="auto"/>
          <w:szCs w:val="32"/>
        </w:rPr>
        <w:t>.</w:t>
      </w:r>
      <w:r>
        <w:rPr>
          <w:rFonts w:hint="eastAsia" w:eastAsiaTheme="minorEastAsia"/>
          <w:color w:val="auto"/>
          <w:szCs w:val="32"/>
        </w:rPr>
        <w:t>2</w:t>
      </w:r>
      <w:r>
        <w:rPr>
          <w:rFonts w:eastAsiaTheme="minorEastAsia"/>
          <w:color w:val="auto"/>
          <w:szCs w:val="32"/>
        </w:rPr>
        <w:t xml:space="preserve"> </w:t>
      </w:r>
      <w:r>
        <w:rPr>
          <w:rFonts w:hint="eastAsia" w:eastAsiaTheme="minorEastAsia"/>
          <w:color w:val="auto"/>
          <w:szCs w:val="32"/>
          <w:lang w:eastAsia="zh-CN"/>
        </w:rPr>
        <w:t xml:space="preserve">  </w:t>
      </w:r>
      <w:r>
        <w:rPr>
          <w:rFonts w:hint="eastAsia" w:eastAsiaTheme="minorEastAsia"/>
          <w:color w:val="auto"/>
          <w:szCs w:val="32"/>
        </w:rPr>
        <w:t>模型交付物的本质是数据载体，其中交付物清单需列出所有竣工交付物名称，项目需求书主要描述工程建设项目施工阶段数字技术应用的主要需求信息，分析报告主要包含施工阶段模型主要应用点的分析内容及结论等。</w:t>
      </w:r>
    </w:p>
    <w:p>
      <w:pPr>
        <w:ind w:firstLine="0" w:firstLineChars="0"/>
        <w:rPr>
          <w:rFonts w:eastAsiaTheme="minorEastAsia"/>
          <w:color w:val="auto"/>
        </w:rPr>
      </w:pPr>
      <w:r>
        <w:rPr>
          <w:rFonts w:hint="eastAsia" w:eastAsiaTheme="minorEastAsia"/>
          <w:color w:val="auto"/>
          <w:szCs w:val="32"/>
        </w:rPr>
        <w:t>7</w:t>
      </w:r>
      <w:r>
        <w:rPr>
          <w:rFonts w:eastAsiaTheme="minorEastAsia"/>
          <w:color w:val="auto"/>
          <w:szCs w:val="32"/>
        </w:rPr>
        <w:t>.</w:t>
      </w:r>
      <w:r>
        <w:rPr>
          <w:rFonts w:hint="eastAsia" w:eastAsiaTheme="minorEastAsia"/>
          <w:color w:val="auto"/>
          <w:szCs w:val="32"/>
        </w:rPr>
        <w:t>8</w:t>
      </w:r>
      <w:r>
        <w:rPr>
          <w:rFonts w:eastAsiaTheme="minorEastAsia"/>
          <w:color w:val="auto"/>
          <w:szCs w:val="32"/>
        </w:rPr>
        <w:t>.</w:t>
      </w:r>
      <w:r>
        <w:rPr>
          <w:rFonts w:hint="eastAsia" w:eastAsiaTheme="minorEastAsia"/>
          <w:color w:val="auto"/>
          <w:szCs w:val="32"/>
        </w:rPr>
        <w:t>3</w:t>
      </w:r>
      <w:r>
        <w:rPr>
          <w:rFonts w:eastAsiaTheme="minorEastAsia"/>
          <w:color w:val="auto"/>
          <w:szCs w:val="32"/>
        </w:rPr>
        <w:t xml:space="preserve"> </w:t>
      </w:r>
      <w:r>
        <w:rPr>
          <w:rFonts w:hint="eastAsia" w:eastAsiaTheme="minorEastAsia"/>
          <w:color w:val="auto"/>
          <w:szCs w:val="32"/>
          <w:lang w:val="en-US" w:eastAsia="zh-CN"/>
        </w:rPr>
        <w:t xml:space="preserve"> </w:t>
      </w:r>
      <w:r>
        <w:rPr>
          <w:rFonts w:hint="eastAsia" w:eastAsiaTheme="minorEastAsia"/>
          <w:color w:val="auto"/>
          <w:szCs w:val="32"/>
        </w:rPr>
        <w:t>对交付物进行审核时，主要依靠计算机辅助自动完成，对特殊情况也可进行人工审核。</w:t>
      </w:r>
    </w:p>
    <w:p>
      <w:pPr>
        <w:ind w:firstLine="0" w:firstLineChars="0"/>
        <w:rPr>
          <w:color w:val="auto"/>
        </w:rPr>
      </w:pPr>
    </w:p>
    <w:p>
      <w:pPr>
        <w:ind w:firstLine="0" w:firstLineChars="0"/>
        <w:rPr>
          <w:color w:val="auto"/>
        </w:rPr>
      </w:pPr>
    </w:p>
    <w:p>
      <w:pPr>
        <w:rPr>
          <w:color w:val="auto"/>
        </w:rPr>
      </w:pPr>
      <w:r>
        <w:rPr>
          <w:color w:val="auto"/>
        </w:rPr>
        <w:br w:type="page"/>
      </w:r>
    </w:p>
    <w:p>
      <w:pPr>
        <w:pStyle w:val="2"/>
        <w:numPr>
          <w:ilvl w:val="0"/>
          <w:numId w:val="13"/>
        </w:numPr>
        <w:spacing w:before="312" w:after="312"/>
        <w:jc w:val="center"/>
        <w:rPr>
          <w:rFonts w:hint="default"/>
          <w:color w:val="auto"/>
          <w:lang w:val="en-US" w:eastAsia="zh-CN"/>
        </w:rPr>
      </w:pPr>
      <w:r>
        <w:rPr>
          <w:rFonts w:hint="eastAsia"/>
          <w:color w:val="auto"/>
          <w:lang w:val="en-US" w:eastAsia="zh-CN"/>
        </w:rPr>
        <w:t xml:space="preserve">   运维阶段</w:t>
      </w:r>
    </w:p>
    <w:p>
      <w:pPr>
        <w:pStyle w:val="3"/>
        <w:jc w:val="center"/>
        <w:rPr>
          <w:color w:val="auto"/>
        </w:rPr>
      </w:pPr>
      <w:r>
        <w:rPr>
          <w:color w:val="auto"/>
        </w:rPr>
        <w:t>8.1 一般规定</w:t>
      </w:r>
    </w:p>
    <w:p>
      <w:pPr>
        <w:ind w:firstLine="0" w:firstLineChars="0"/>
        <w:rPr>
          <w:rFonts w:eastAsiaTheme="minorEastAsia"/>
          <w:color w:val="auto"/>
          <w:szCs w:val="32"/>
        </w:rPr>
      </w:pPr>
      <w:r>
        <w:rPr>
          <w:rFonts w:eastAsiaTheme="minorEastAsia"/>
          <w:color w:val="auto"/>
          <w:szCs w:val="32"/>
        </w:rPr>
        <w:t>8.1.</w:t>
      </w:r>
      <w:r>
        <w:rPr>
          <w:rFonts w:hint="eastAsia" w:eastAsiaTheme="minorEastAsia"/>
          <w:color w:val="auto"/>
          <w:szCs w:val="32"/>
        </w:rPr>
        <w:t>2</w:t>
      </w:r>
      <w:r>
        <w:rPr>
          <w:rFonts w:eastAsiaTheme="minorEastAsia"/>
          <w:color w:val="auto"/>
          <w:szCs w:val="32"/>
        </w:rPr>
        <w:t xml:space="preserve"> </w:t>
      </w:r>
      <w:r>
        <w:rPr>
          <w:rFonts w:hint="eastAsia" w:eastAsiaTheme="minorEastAsia"/>
          <w:color w:val="auto"/>
          <w:szCs w:val="32"/>
          <w:lang w:eastAsia="zh-CN"/>
        </w:rPr>
        <w:t xml:space="preserve">  </w:t>
      </w:r>
      <w:r>
        <w:rPr>
          <w:rFonts w:eastAsiaTheme="minorEastAsia"/>
          <w:color w:val="auto"/>
          <w:szCs w:val="32"/>
        </w:rPr>
        <w:t>当无竣工</w:t>
      </w:r>
      <w:r>
        <w:rPr>
          <w:rFonts w:hint="eastAsia" w:eastAsiaTheme="minorEastAsia"/>
          <w:color w:val="auto"/>
          <w:szCs w:val="32"/>
        </w:rPr>
        <w:t>信息</w:t>
      </w:r>
      <w:r>
        <w:rPr>
          <w:rFonts w:eastAsiaTheme="minorEastAsia"/>
          <w:color w:val="auto"/>
          <w:szCs w:val="32"/>
        </w:rPr>
        <w:t>模型时</w:t>
      </w:r>
      <w:r>
        <w:rPr>
          <w:rFonts w:hint="eastAsia" w:eastAsiaTheme="minorEastAsia"/>
          <w:color w:val="auto"/>
          <w:szCs w:val="32"/>
        </w:rPr>
        <w:t>，也可根据竣工验收图纸及资料等进行创建运维信息模型</w:t>
      </w:r>
      <w:r>
        <w:rPr>
          <w:rFonts w:eastAsiaTheme="minorEastAsia"/>
          <w:color w:val="auto"/>
          <w:szCs w:val="32"/>
        </w:rPr>
        <w:t>。</w:t>
      </w:r>
    </w:p>
    <w:p>
      <w:pPr>
        <w:ind w:firstLine="0" w:firstLineChars="0"/>
        <w:rPr>
          <w:rFonts w:eastAsiaTheme="minorEastAsia"/>
          <w:color w:val="auto"/>
          <w:szCs w:val="32"/>
        </w:rPr>
      </w:pPr>
      <w:r>
        <w:rPr>
          <w:rFonts w:eastAsiaTheme="minorEastAsia"/>
          <w:color w:val="auto"/>
          <w:szCs w:val="32"/>
        </w:rPr>
        <w:t>8.1.</w:t>
      </w:r>
      <w:r>
        <w:rPr>
          <w:rFonts w:hint="eastAsia" w:eastAsiaTheme="minorEastAsia"/>
          <w:color w:val="auto"/>
          <w:szCs w:val="32"/>
        </w:rPr>
        <w:t>3</w:t>
      </w:r>
      <w:r>
        <w:rPr>
          <w:rFonts w:eastAsiaTheme="minorEastAsia"/>
          <w:color w:val="auto"/>
          <w:szCs w:val="32"/>
        </w:rPr>
        <w:t xml:space="preserve"> </w:t>
      </w:r>
      <w:r>
        <w:rPr>
          <w:rFonts w:hint="eastAsia" w:eastAsiaTheme="minorEastAsia"/>
          <w:color w:val="auto"/>
          <w:szCs w:val="32"/>
          <w:lang w:eastAsia="zh-CN"/>
        </w:rPr>
        <w:t xml:space="preserve">  </w:t>
      </w:r>
      <w:r>
        <w:rPr>
          <w:rFonts w:hint="eastAsia" w:eastAsiaTheme="minorEastAsia"/>
          <w:color w:val="auto"/>
          <w:szCs w:val="32"/>
        </w:rPr>
        <w:t>运维信息模型应用宜贯穿运维阶段全过程，也可根据实际需求及情况应用于某些环节或任务</w:t>
      </w:r>
      <w:r>
        <w:rPr>
          <w:rFonts w:eastAsiaTheme="minorEastAsia"/>
          <w:color w:val="auto"/>
          <w:szCs w:val="32"/>
        </w:rPr>
        <w:t>。</w:t>
      </w:r>
    </w:p>
    <w:p>
      <w:pPr>
        <w:ind w:firstLine="0" w:firstLineChars="0"/>
        <w:rPr>
          <w:rFonts w:eastAsiaTheme="minorEastAsia"/>
          <w:color w:val="auto"/>
          <w:szCs w:val="32"/>
        </w:rPr>
      </w:pPr>
      <w:r>
        <w:rPr>
          <w:rFonts w:eastAsiaTheme="minorEastAsia"/>
          <w:color w:val="auto"/>
          <w:szCs w:val="32"/>
        </w:rPr>
        <w:t>8.1.</w:t>
      </w:r>
      <w:r>
        <w:rPr>
          <w:rFonts w:hint="eastAsia" w:eastAsiaTheme="minorEastAsia"/>
          <w:color w:val="auto"/>
          <w:szCs w:val="32"/>
        </w:rPr>
        <w:t>4</w:t>
      </w:r>
      <w:r>
        <w:rPr>
          <w:rFonts w:eastAsiaTheme="minorEastAsia"/>
          <w:color w:val="auto"/>
          <w:szCs w:val="32"/>
        </w:rPr>
        <w:t xml:space="preserve"> </w:t>
      </w:r>
      <w:r>
        <w:rPr>
          <w:rFonts w:hint="eastAsia" w:eastAsiaTheme="minorEastAsia"/>
          <w:color w:val="auto"/>
          <w:szCs w:val="32"/>
          <w:lang w:eastAsia="zh-CN"/>
        </w:rPr>
        <w:t xml:space="preserve">  </w:t>
      </w:r>
      <w:r>
        <w:rPr>
          <w:rFonts w:hint="eastAsia" w:eastAsiaTheme="minorEastAsia"/>
          <w:color w:val="auto"/>
          <w:szCs w:val="32"/>
        </w:rPr>
        <w:t>运维</w:t>
      </w:r>
      <w:r>
        <w:rPr>
          <w:rFonts w:eastAsiaTheme="minorEastAsia"/>
          <w:color w:val="auto"/>
          <w:szCs w:val="32"/>
        </w:rPr>
        <w:t>信息模型应用应按照运维阶段的模型应用策划进行管理与协同，并</w:t>
      </w:r>
      <w:r>
        <w:rPr>
          <w:rFonts w:hint="eastAsia" w:eastAsiaTheme="minorEastAsia"/>
          <w:color w:val="auto"/>
          <w:szCs w:val="32"/>
        </w:rPr>
        <w:t>宜</w:t>
      </w:r>
      <w:r>
        <w:rPr>
          <w:rFonts w:eastAsiaTheme="minorEastAsia"/>
          <w:color w:val="auto"/>
          <w:szCs w:val="32"/>
        </w:rPr>
        <w:t>在统一的运维管理平台上进行。</w:t>
      </w:r>
    </w:p>
    <w:p>
      <w:pPr>
        <w:ind w:firstLine="0" w:firstLineChars="0"/>
        <w:rPr>
          <w:rFonts w:eastAsiaTheme="minorEastAsia"/>
          <w:color w:val="auto"/>
          <w:szCs w:val="32"/>
        </w:rPr>
      </w:pPr>
      <w:r>
        <w:rPr>
          <w:rFonts w:eastAsiaTheme="minorEastAsia"/>
          <w:color w:val="auto"/>
          <w:szCs w:val="32"/>
        </w:rPr>
        <w:t>8.1.</w:t>
      </w:r>
      <w:r>
        <w:rPr>
          <w:rFonts w:hint="eastAsia" w:eastAsiaTheme="minorEastAsia"/>
          <w:color w:val="auto"/>
          <w:szCs w:val="32"/>
        </w:rPr>
        <w:t>5</w:t>
      </w:r>
      <w:r>
        <w:rPr>
          <w:rFonts w:eastAsiaTheme="minorEastAsia"/>
          <w:color w:val="auto"/>
          <w:szCs w:val="32"/>
        </w:rPr>
        <w:t xml:space="preserve"> </w:t>
      </w:r>
      <w:r>
        <w:rPr>
          <w:rFonts w:hint="eastAsia" w:eastAsiaTheme="minorEastAsia"/>
          <w:color w:val="auto"/>
          <w:szCs w:val="32"/>
          <w:lang w:eastAsia="zh-CN"/>
        </w:rPr>
        <w:t xml:space="preserve">  </w:t>
      </w:r>
      <w:r>
        <w:rPr>
          <w:rFonts w:eastAsiaTheme="minorEastAsia"/>
          <w:color w:val="auto"/>
          <w:szCs w:val="32"/>
        </w:rPr>
        <w:t>基于</w:t>
      </w:r>
      <w:r>
        <w:rPr>
          <w:rFonts w:hint="eastAsia" w:eastAsiaTheme="minorEastAsia"/>
          <w:color w:val="auto"/>
          <w:szCs w:val="32"/>
        </w:rPr>
        <w:t>运维</w:t>
      </w:r>
      <w:r>
        <w:rPr>
          <w:rFonts w:eastAsiaTheme="minorEastAsia"/>
          <w:color w:val="auto"/>
          <w:szCs w:val="32"/>
        </w:rPr>
        <w:t>信息模型应用</w:t>
      </w:r>
      <w:r>
        <w:rPr>
          <w:rFonts w:hint="eastAsia" w:eastAsiaTheme="minorEastAsia"/>
          <w:color w:val="auto"/>
          <w:szCs w:val="32"/>
        </w:rPr>
        <w:t>，</w:t>
      </w:r>
      <w:r>
        <w:rPr>
          <w:rFonts w:eastAsiaTheme="minorEastAsia"/>
          <w:color w:val="auto"/>
          <w:szCs w:val="32"/>
        </w:rPr>
        <w:t>并结合</w:t>
      </w:r>
      <w:r>
        <w:rPr>
          <w:rFonts w:hint="eastAsia" w:eastAsiaTheme="minorEastAsia"/>
          <w:color w:val="auto"/>
          <w:szCs w:val="32"/>
        </w:rPr>
        <w:t>G</w:t>
      </w:r>
      <w:r>
        <w:rPr>
          <w:rFonts w:eastAsiaTheme="minorEastAsia"/>
          <w:color w:val="auto"/>
          <w:szCs w:val="32"/>
        </w:rPr>
        <w:t>IS、大数据、物联网、</w:t>
      </w:r>
      <w:r>
        <w:rPr>
          <w:rFonts w:hint="eastAsia" w:eastAsiaTheme="minorEastAsia"/>
          <w:color w:val="auto"/>
          <w:szCs w:val="32"/>
        </w:rPr>
        <w:t>A</w:t>
      </w:r>
      <w:r>
        <w:rPr>
          <w:rFonts w:eastAsiaTheme="minorEastAsia"/>
          <w:color w:val="auto"/>
          <w:szCs w:val="32"/>
        </w:rPr>
        <w:t>I等技术手段，形成</w:t>
      </w:r>
      <w:r>
        <w:rPr>
          <w:rFonts w:hint="eastAsia" w:eastAsiaTheme="minorEastAsia"/>
          <w:color w:val="auto"/>
          <w:szCs w:val="32"/>
        </w:rPr>
        <w:t>城市交通基础设施</w:t>
      </w:r>
      <w:r>
        <w:rPr>
          <w:rFonts w:eastAsiaTheme="minorEastAsia"/>
          <w:color w:val="auto"/>
          <w:szCs w:val="32"/>
        </w:rPr>
        <w:t>数字孪生资产，</w:t>
      </w:r>
      <w:r>
        <w:rPr>
          <w:rFonts w:hint="eastAsia" w:eastAsiaTheme="minorEastAsia"/>
          <w:color w:val="auto"/>
          <w:szCs w:val="32"/>
        </w:rPr>
        <w:t>辅助智慧交通运营与</w:t>
      </w:r>
      <w:r>
        <w:rPr>
          <w:rFonts w:eastAsiaTheme="minorEastAsia"/>
          <w:color w:val="auto"/>
          <w:szCs w:val="32"/>
        </w:rPr>
        <w:t>智慧化运维管养。</w:t>
      </w:r>
    </w:p>
    <w:p>
      <w:pPr>
        <w:pStyle w:val="3"/>
        <w:jc w:val="center"/>
        <w:rPr>
          <w:color w:val="auto"/>
        </w:rPr>
      </w:pPr>
      <w:r>
        <w:rPr>
          <w:color w:val="auto"/>
        </w:rPr>
        <w:t>8.</w:t>
      </w:r>
      <w:r>
        <w:rPr>
          <w:rFonts w:hint="eastAsia"/>
          <w:color w:val="auto"/>
        </w:rPr>
        <w:t>2</w:t>
      </w:r>
      <w:r>
        <w:rPr>
          <w:color w:val="auto"/>
        </w:rPr>
        <w:t xml:space="preserve"> </w:t>
      </w:r>
      <w:r>
        <w:rPr>
          <w:rFonts w:hint="eastAsia"/>
          <w:color w:val="auto"/>
        </w:rPr>
        <w:t>智慧交通与运营管理</w:t>
      </w:r>
    </w:p>
    <w:p>
      <w:pPr>
        <w:ind w:firstLine="0" w:firstLineChars="0"/>
        <w:rPr>
          <w:rFonts w:eastAsiaTheme="minorEastAsia"/>
          <w:color w:val="auto"/>
          <w:szCs w:val="32"/>
        </w:rPr>
      </w:pPr>
      <w:r>
        <w:rPr>
          <w:rFonts w:eastAsiaTheme="minorEastAsia"/>
          <w:color w:val="auto"/>
          <w:szCs w:val="32"/>
        </w:rPr>
        <w:t>8.2.</w:t>
      </w:r>
      <w:r>
        <w:rPr>
          <w:rFonts w:hint="eastAsia" w:eastAsiaTheme="minorEastAsia"/>
          <w:color w:val="auto"/>
          <w:szCs w:val="32"/>
        </w:rPr>
        <w:t>3</w:t>
      </w:r>
      <w:r>
        <w:rPr>
          <w:rFonts w:eastAsiaTheme="minorEastAsia"/>
          <w:color w:val="auto"/>
          <w:szCs w:val="32"/>
        </w:rPr>
        <w:t xml:space="preserve"> </w:t>
      </w:r>
      <w:r>
        <w:rPr>
          <w:rFonts w:hint="eastAsia" w:eastAsiaTheme="minorEastAsia"/>
          <w:color w:val="auto"/>
          <w:szCs w:val="32"/>
          <w:lang w:eastAsia="zh-CN"/>
        </w:rPr>
        <w:t xml:space="preserve">  </w:t>
      </w:r>
      <w:r>
        <w:rPr>
          <w:rFonts w:eastAsiaTheme="minorEastAsia"/>
          <w:color w:val="auto"/>
          <w:szCs w:val="32"/>
        </w:rPr>
        <w:t>基于运维信息模型通过运维管理平台进行运营协调管理工作时，</w:t>
      </w:r>
      <w:r>
        <w:rPr>
          <w:rFonts w:hint="eastAsia" w:eastAsiaTheme="minorEastAsia"/>
          <w:color w:val="auto"/>
          <w:szCs w:val="32"/>
        </w:rPr>
        <w:t>可以</w:t>
      </w:r>
      <w:r>
        <w:rPr>
          <w:rFonts w:eastAsiaTheme="minorEastAsia"/>
          <w:color w:val="auto"/>
          <w:szCs w:val="32"/>
        </w:rPr>
        <w:t>借助现场视频监测以及大数据分析等技术，对道路运营状态进行实时监控、分析以及预警等工作，也能通过实时监控，对道路可能发生的事故进行预警以及对已发生事故做出快速响应。结合现场实时数据，可以对超限车辆进行跟踪，并对其可能产生的问题进行提前分析与预警处置。</w:t>
      </w:r>
    </w:p>
    <w:p>
      <w:pPr>
        <w:ind w:firstLine="0" w:firstLineChars="0"/>
        <w:rPr>
          <w:rFonts w:eastAsiaTheme="minorEastAsia"/>
          <w:color w:val="auto"/>
          <w:szCs w:val="32"/>
        </w:rPr>
      </w:pPr>
      <w:r>
        <w:rPr>
          <w:rFonts w:eastAsiaTheme="minorEastAsia"/>
          <w:color w:val="auto"/>
          <w:szCs w:val="32"/>
        </w:rPr>
        <w:t>8.2.</w:t>
      </w:r>
      <w:r>
        <w:rPr>
          <w:rFonts w:hint="eastAsia" w:eastAsiaTheme="minorEastAsia"/>
          <w:color w:val="auto"/>
          <w:szCs w:val="32"/>
        </w:rPr>
        <w:t>4</w:t>
      </w:r>
      <w:r>
        <w:rPr>
          <w:rFonts w:eastAsiaTheme="minorEastAsia"/>
          <w:color w:val="auto"/>
          <w:szCs w:val="32"/>
        </w:rPr>
        <w:t xml:space="preserve"> </w:t>
      </w:r>
      <w:r>
        <w:rPr>
          <w:rFonts w:hint="eastAsia" w:eastAsiaTheme="minorEastAsia"/>
          <w:color w:val="auto"/>
          <w:szCs w:val="32"/>
          <w:lang w:eastAsia="zh-CN"/>
        </w:rPr>
        <w:t xml:space="preserve">  </w:t>
      </w:r>
      <w:r>
        <w:rPr>
          <w:rFonts w:hint="eastAsia" w:eastAsiaTheme="minorEastAsia"/>
          <w:color w:val="auto"/>
          <w:szCs w:val="32"/>
        </w:rPr>
        <w:t>区域路网运维管理平台宜接入交通量监测、车辆运行状态、环境信息等数据，通过平台进行数据协同与分析，统筹数据信息应用，优化区域路网交通运营管理</w:t>
      </w:r>
      <w:r>
        <w:rPr>
          <w:rFonts w:eastAsiaTheme="minorEastAsia"/>
          <w:color w:val="auto"/>
          <w:szCs w:val="32"/>
        </w:rPr>
        <w:t>。</w:t>
      </w:r>
    </w:p>
    <w:p>
      <w:pPr>
        <w:ind w:firstLine="0" w:firstLineChars="0"/>
        <w:rPr>
          <w:rFonts w:eastAsiaTheme="minorEastAsia"/>
          <w:color w:val="auto"/>
          <w:szCs w:val="32"/>
        </w:rPr>
      </w:pPr>
      <w:r>
        <w:rPr>
          <w:rFonts w:eastAsiaTheme="minorEastAsia"/>
          <w:color w:val="auto"/>
          <w:szCs w:val="32"/>
        </w:rPr>
        <w:t>8.2.</w:t>
      </w:r>
      <w:r>
        <w:rPr>
          <w:rFonts w:hint="eastAsia" w:eastAsiaTheme="minorEastAsia"/>
          <w:color w:val="auto"/>
          <w:szCs w:val="32"/>
        </w:rPr>
        <w:t>5</w:t>
      </w:r>
      <w:r>
        <w:rPr>
          <w:rFonts w:eastAsiaTheme="minorEastAsia"/>
          <w:color w:val="auto"/>
          <w:szCs w:val="32"/>
        </w:rPr>
        <w:t xml:space="preserve"> </w:t>
      </w:r>
      <w:r>
        <w:rPr>
          <w:rFonts w:hint="eastAsia" w:eastAsiaTheme="minorEastAsia"/>
          <w:color w:val="auto"/>
          <w:szCs w:val="32"/>
          <w:lang w:eastAsia="zh-CN"/>
        </w:rPr>
        <w:t xml:space="preserve">  </w:t>
      </w:r>
      <w:r>
        <w:rPr>
          <w:rFonts w:eastAsiaTheme="minorEastAsia"/>
          <w:color w:val="auto"/>
          <w:szCs w:val="32"/>
        </w:rPr>
        <w:t>超重车辆过桥管理</w:t>
      </w:r>
      <w:r>
        <w:rPr>
          <w:rFonts w:hint="eastAsia" w:eastAsiaTheme="minorEastAsia"/>
          <w:color w:val="auto"/>
          <w:szCs w:val="32"/>
        </w:rPr>
        <w:t>应对</w:t>
      </w:r>
      <w:r>
        <w:rPr>
          <w:rFonts w:eastAsiaTheme="minorEastAsia"/>
          <w:color w:val="auto"/>
          <w:szCs w:val="32"/>
        </w:rPr>
        <w:t>桥梁运行状态进行监测，包括过程监测及事后检测等。</w:t>
      </w:r>
    </w:p>
    <w:p>
      <w:pPr>
        <w:pStyle w:val="3"/>
        <w:jc w:val="center"/>
        <w:rPr>
          <w:color w:val="auto"/>
        </w:rPr>
      </w:pPr>
      <w:r>
        <w:rPr>
          <w:color w:val="auto"/>
        </w:rPr>
        <w:t>8.</w:t>
      </w:r>
      <w:r>
        <w:rPr>
          <w:rFonts w:hint="eastAsia"/>
          <w:color w:val="auto"/>
        </w:rPr>
        <w:t>3</w:t>
      </w:r>
      <w:r>
        <w:rPr>
          <w:color w:val="auto"/>
        </w:rPr>
        <w:t xml:space="preserve"> </w:t>
      </w:r>
      <w:r>
        <w:rPr>
          <w:rFonts w:hint="eastAsia"/>
          <w:color w:val="auto"/>
        </w:rPr>
        <w:t>养护管理</w:t>
      </w:r>
    </w:p>
    <w:p>
      <w:pPr>
        <w:ind w:firstLine="0" w:firstLineChars="0"/>
        <w:rPr>
          <w:rFonts w:eastAsiaTheme="minorEastAsia"/>
          <w:color w:val="auto"/>
          <w:szCs w:val="32"/>
        </w:rPr>
      </w:pPr>
      <w:r>
        <w:rPr>
          <w:rFonts w:eastAsiaTheme="minorEastAsia"/>
          <w:color w:val="auto"/>
          <w:szCs w:val="32"/>
        </w:rPr>
        <w:t xml:space="preserve">8.3.1 </w:t>
      </w:r>
      <w:r>
        <w:rPr>
          <w:rFonts w:hint="eastAsia" w:eastAsiaTheme="minorEastAsia"/>
          <w:color w:val="auto"/>
          <w:szCs w:val="32"/>
          <w:lang w:eastAsia="zh-CN"/>
        </w:rPr>
        <w:t xml:space="preserve">  </w:t>
      </w:r>
      <w:r>
        <w:rPr>
          <w:rFonts w:eastAsiaTheme="minorEastAsia"/>
          <w:color w:val="auto"/>
          <w:szCs w:val="32"/>
        </w:rPr>
        <w:t>基于运维信息模型，通过运维管养平台进行城市道路工程的养护规划、检测评定、养护工程设计和养护工程施工管理等养护工作。</w:t>
      </w:r>
    </w:p>
    <w:p>
      <w:pPr>
        <w:ind w:firstLine="0" w:firstLineChars="0"/>
        <w:rPr>
          <w:rFonts w:eastAsiaTheme="minorEastAsia"/>
          <w:color w:val="auto"/>
          <w:szCs w:val="32"/>
        </w:rPr>
      </w:pPr>
      <w:r>
        <w:rPr>
          <w:rFonts w:eastAsiaTheme="minorEastAsia"/>
          <w:color w:val="auto"/>
          <w:szCs w:val="32"/>
        </w:rPr>
        <w:t xml:space="preserve">8.3.2 </w:t>
      </w:r>
      <w:r>
        <w:rPr>
          <w:rFonts w:hint="eastAsia" w:eastAsiaTheme="minorEastAsia"/>
          <w:color w:val="auto"/>
          <w:szCs w:val="32"/>
          <w:lang w:eastAsia="zh-CN"/>
        </w:rPr>
        <w:t xml:space="preserve">  </w:t>
      </w:r>
      <w:r>
        <w:rPr>
          <w:rFonts w:hint="eastAsia" w:eastAsiaTheme="minorEastAsia"/>
          <w:color w:val="auto"/>
          <w:szCs w:val="32"/>
        </w:rPr>
        <w:t>城市</w:t>
      </w:r>
      <w:r>
        <w:rPr>
          <w:rFonts w:eastAsiaTheme="minorEastAsia"/>
          <w:color w:val="auto"/>
          <w:szCs w:val="32"/>
        </w:rPr>
        <w:t>道路养护过程中，应基于运维管理平台结合运维信息模型进行相应的养护工作，如工单指派、检查路径、检查需求、问题反馈等，并宜将检查、检测和评价内容及病害库、对策库、造价库与相关模型元素关联。</w:t>
      </w:r>
    </w:p>
    <w:p>
      <w:pPr>
        <w:ind w:firstLine="0" w:firstLineChars="0"/>
        <w:rPr>
          <w:rFonts w:eastAsiaTheme="minorEastAsia"/>
          <w:color w:val="auto"/>
          <w:szCs w:val="32"/>
        </w:rPr>
      </w:pPr>
      <w:r>
        <w:rPr>
          <w:rFonts w:eastAsiaTheme="minorEastAsia"/>
          <w:color w:val="auto"/>
          <w:szCs w:val="32"/>
        </w:rPr>
        <w:t xml:space="preserve">8.3.3 </w:t>
      </w:r>
      <w:r>
        <w:rPr>
          <w:rFonts w:hint="eastAsia" w:eastAsiaTheme="minorEastAsia"/>
          <w:color w:val="auto"/>
          <w:szCs w:val="32"/>
          <w:lang w:eastAsia="zh-CN"/>
        </w:rPr>
        <w:t xml:space="preserve">  </w:t>
      </w:r>
      <w:r>
        <w:rPr>
          <w:rFonts w:eastAsiaTheme="minorEastAsia"/>
          <w:color w:val="auto"/>
          <w:szCs w:val="32"/>
        </w:rPr>
        <w:t>城市道路工程检测与评定工作</w:t>
      </w:r>
      <w:r>
        <w:rPr>
          <w:rFonts w:hint="eastAsia" w:eastAsiaTheme="minorEastAsia"/>
          <w:color w:val="auto"/>
          <w:szCs w:val="32"/>
        </w:rPr>
        <w:t>应</w:t>
      </w:r>
      <w:r>
        <w:rPr>
          <w:rFonts w:eastAsiaTheme="minorEastAsia"/>
          <w:color w:val="auto"/>
          <w:szCs w:val="32"/>
        </w:rPr>
        <w:t>按《城镇道路养护技术规范》</w:t>
      </w:r>
      <w:r>
        <w:rPr>
          <w:rFonts w:hint="eastAsia" w:eastAsiaTheme="minorEastAsia"/>
          <w:color w:val="auto"/>
          <w:szCs w:val="32"/>
        </w:rPr>
        <w:t xml:space="preserve">CJJ </w:t>
      </w:r>
      <w:r>
        <w:rPr>
          <w:rFonts w:eastAsiaTheme="minorEastAsia"/>
          <w:color w:val="auto"/>
          <w:szCs w:val="32"/>
        </w:rPr>
        <w:t>36</w:t>
      </w:r>
      <w:r>
        <w:rPr>
          <w:rFonts w:hint="eastAsia" w:eastAsiaTheme="minorEastAsia"/>
          <w:color w:val="auto"/>
          <w:szCs w:val="32"/>
        </w:rPr>
        <w:t>与</w:t>
      </w:r>
      <w:r>
        <w:rPr>
          <w:rFonts w:eastAsiaTheme="minorEastAsia"/>
          <w:color w:val="auto"/>
          <w:szCs w:val="32"/>
        </w:rPr>
        <w:t>《</w:t>
      </w:r>
      <w:r>
        <w:rPr>
          <w:rFonts w:hint="eastAsia" w:eastAsiaTheme="minorEastAsia"/>
          <w:color w:val="auto"/>
          <w:szCs w:val="32"/>
        </w:rPr>
        <w:t>城市桥梁养护技术标准</w:t>
      </w:r>
      <w:r>
        <w:rPr>
          <w:rFonts w:eastAsiaTheme="minorEastAsia"/>
          <w:color w:val="auto"/>
          <w:szCs w:val="32"/>
        </w:rPr>
        <w:t>》</w:t>
      </w:r>
      <w:r>
        <w:rPr>
          <w:rFonts w:hint="eastAsia" w:eastAsiaTheme="minorEastAsia"/>
          <w:color w:val="auto"/>
          <w:szCs w:val="32"/>
        </w:rPr>
        <w:t>CJJ 99</w:t>
      </w:r>
      <w:r>
        <w:rPr>
          <w:rFonts w:eastAsiaTheme="minorEastAsia"/>
          <w:color w:val="auto"/>
          <w:szCs w:val="32"/>
        </w:rPr>
        <w:t>等现行标准及规范的要求执行。</w:t>
      </w:r>
    </w:p>
    <w:p>
      <w:pPr>
        <w:pStyle w:val="3"/>
        <w:jc w:val="center"/>
        <w:rPr>
          <w:color w:val="auto"/>
        </w:rPr>
      </w:pPr>
      <w:r>
        <w:rPr>
          <w:color w:val="auto"/>
        </w:rPr>
        <w:t>8.</w:t>
      </w:r>
      <w:r>
        <w:rPr>
          <w:rFonts w:hint="eastAsia"/>
          <w:color w:val="auto"/>
        </w:rPr>
        <w:t>4</w:t>
      </w:r>
      <w:r>
        <w:rPr>
          <w:color w:val="auto"/>
        </w:rPr>
        <w:t xml:space="preserve"> </w:t>
      </w:r>
      <w:r>
        <w:rPr>
          <w:rFonts w:hint="eastAsia"/>
          <w:color w:val="auto"/>
        </w:rPr>
        <w:t>资产管理</w:t>
      </w:r>
    </w:p>
    <w:p>
      <w:pPr>
        <w:ind w:firstLine="0" w:firstLineChars="0"/>
        <w:rPr>
          <w:rFonts w:eastAsiaTheme="minorEastAsia"/>
          <w:color w:val="auto"/>
          <w:szCs w:val="32"/>
        </w:rPr>
      </w:pPr>
      <w:r>
        <w:rPr>
          <w:rFonts w:eastAsiaTheme="minorEastAsia"/>
          <w:color w:val="auto"/>
          <w:szCs w:val="32"/>
        </w:rPr>
        <w:t xml:space="preserve">8.4.1 </w:t>
      </w:r>
      <w:r>
        <w:rPr>
          <w:rFonts w:hint="eastAsia" w:eastAsiaTheme="minorEastAsia"/>
          <w:color w:val="auto"/>
          <w:szCs w:val="32"/>
          <w:lang w:eastAsia="zh-CN"/>
        </w:rPr>
        <w:t xml:space="preserve">  </w:t>
      </w:r>
      <w:r>
        <w:rPr>
          <w:rFonts w:eastAsiaTheme="minorEastAsia"/>
          <w:color w:val="auto"/>
          <w:szCs w:val="32"/>
        </w:rPr>
        <w:t>实物资产管理主要包括已经建成的道路、桥梁、隧道、公交场站、交通安全设施、机电设备等实物资产</w:t>
      </w:r>
      <w:r>
        <w:rPr>
          <w:rFonts w:hint="eastAsia" w:eastAsiaTheme="minorEastAsia"/>
          <w:color w:val="auto"/>
          <w:szCs w:val="32"/>
        </w:rPr>
        <w:t>。</w:t>
      </w:r>
      <w:r>
        <w:rPr>
          <w:rFonts w:eastAsiaTheme="minorEastAsia"/>
          <w:color w:val="auto"/>
          <w:szCs w:val="32"/>
        </w:rPr>
        <w:t>空间资源主要包括在城市道路工程范围内的主体功能空间及附属功能空间等，包括城市道路工程红线范围内地上、地下空间、安全保护空间、主要功能空间、养护作业空间等。数字资产主要包括模型在内的与实物资产及空间资源对应的具有价值属性的可进行管理的数字化对象。</w:t>
      </w:r>
    </w:p>
    <w:p>
      <w:pPr>
        <w:ind w:firstLine="0" w:firstLineChars="0"/>
        <w:rPr>
          <w:rFonts w:eastAsiaTheme="minorEastAsia"/>
          <w:color w:val="auto"/>
          <w:szCs w:val="32"/>
        </w:rPr>
      </w:pPr>
      <w:r>
        <w:rPr>
          <w:rFonts w:eastAsiaTheme="minorEastAsia"/>
          <w:color w:val="auto"/>
          <w:szCs w:val="32"/>
        </w:rPr>
        <w:t xml:space="preserve">8.4.3 </w:t>
      </w:r>
      <w:r>
        <w:rPr>
          <w:rFonts w:hint="eastAsia" w:eastAsiaTheme="minorEastAsia"/>
          <w:color w:val="auto"/>
          <w:szCs w:val="32"/>
          <w:lang w:eastAsia="zh-CN"/>
        </w:rPr>
        <w:t xml:space="preserve">  </w:t>
      </w:r>
      <w:r>
        <w:rPr>
          <w:rFonts w:hint="eastAsia"/>
          <w:color w:val="auto"/>
        </w:rPr>
        <w:t>城市道路工程</w:t>
      </w:r>
      <w:r>
        <w:rPr>
          <w:rFonts w:eastAsiaTheme="minorEastAsia"/>
          <w:color w:val="auto"/>
          <w:szCs w:val="32"/>
        </w:rPr>
        <w:t>资产运营管理方应</w:t>
      </w:r>
      <w:r>
        <w:rPr>
          <w:rFonts w:hint="eastAsia" w:eastAsiaTheme="minorEastAsia"/>
          <w:color w:val="auto"/>
          <w:szCs w:val="32"/>
        </w:rPr>
        <w:t>通过制定</w:t>
      </w:r>
      <w:r>
        <w:rPr>
          <w:rFonts w:hint="eastAsia"/>
          <w:color w:val="auto"/>
        </w:rPr>
        <w:t>运维管理</w:t>
      </w:r>
      <w:r>
        <w:rPr>
          <w:rFonts w:eastAsiaTheme="minorEastAsia"/>
          <w:color w:val="auto"/>
          <w:szCs w:val="32"/>
        </w:rPr>
        <w:t>资产信息标准</w:t>
      </w:r>
      <w:r>
        <w:rPr>
          <w:rFonts w:hint="eastAsia" w:eastAsiaTheme="minorEastAsia"/>
          <w:color w:val="auto"/>
          <w:szCs w:val="32"/>
        </w:rPr>
        <w:t>，并</w:t>
      </w:r>
      <w:r>
        <w:rPr>
          <w:rFonts w:hint="eastAsia"/>
          <w:color w:val="auto"/>
        </w:rPr>
        <w:t>结合</w:t>
      </w:r>
      <w:r>
        <w:rPr>
          <w:rFonts w:eastAsiaTheme="minorEastAsia"/>
          <w:color w:val="auto"/>
          <w:szCs w:val="32"/>
        </w:rPr>
        <w:t>资产信息的结构及分类，确立信息需求级别的分配方法等</w:t>
      </w:r>
      <w:r>
        <w:rPr>
          <w:rFonts w:hint="eastAsia" w:eastAsiaTheme="minorEastAsia"/>
          <w:color w:val="auto"/>
          <w:szCs w:val="32"/>
        </w:rPr>
        <w:t>来</w:t>
      </w:r>
      <w:r>
        <w:rPr>
          <w:rFonts w:eastAsiaTheme="minorEastAsia"/>
          <w:color w:val="auto"/>
          <w:szCs w:val="32"/>
        </w:rPr>
        <w:t>创建资产</w:t>
      </w:r>
      <w:r>
        <w:rPr>
          <w:color w:val="auto"/>
        </w:rPr>
        <w:t>管理信息</w:t>
      </w:r>
      <w:r>
        <w:rPr>
          <w:rFonts w:eastAsiaTheme="minorEastAsia"/>
          <w:color w:val="auto"/>
          <w:szCs w:val="32"/>
        </w:rPr>
        <w:t>模型。在进行资产信息管理时，注意建立相应的参考信息与共享资源，</w:t>
      </w:r>
      <w:r>
        <w:rPr>
          <w:rFonts w:hint="eastAsia"/>
          <w:color w:val="auto"/>
        </w:rPr>
        <w:t>辅助城市道路工程相关的</w:t>
      </w:r>
      <w:r>
        <w:rPr>
          <w:rFonts w:eastAsiaTheme="minorEastAsia"/>
          <w:color w:val="auto"/>
          <w:szCs w:val="32"/>
        </w:rPr>
        <w:t>资产信息管理流程来维护资产信息模型（</w:t>
      </w:r>
      <w:r>
        <w:rPr>
          <w:rFonts w:hint="eastAsia" w:eastAsiaTheme="minorEastAsia"/>
          <w:color w:val="auto"/>
          <w:szCs w:val="32"/>
        </w:rPr>
        <w:t>A</w:t>
      </w:r>
      <w:r>
        <w:rPr>
          <w:rFonts w:eastAsiaTheme="minorEastAsia"/>
          <w:color w:val="auto"/>
          <w:szCs w:val="32"/>
        </w:rPr>
        <w:t>IM）。</w:t>
      </w:r>
    </w:p>
    <w:p>
      <w:pPr>
        <w:ind w:firstLine="0" w:firstLineChars="0"/>
        <w:rPr>
          <w:rFonts w:eastAsiaTheme="minorEastAsia"/>
          <w:color w:val="auto"/>
          <w:szCs w:val="32"/>
        </w:rPr>
      </w:pPr>
      <w:r>
        <w:rPr>
          <w:rFonts w:eastAsiaTheme="minorEastAsia"/>
          <w:color w:val="auto"/>
          <w:szCs w:val="32"/>
        </w:rPr>
        <w:t xml:space="preserve">8.4.4 </w:t>
      </w:r>
      <w:r>
        <w:rPr>
          <w:rFonts w:hint="eastAsia" w:eastAsiaTheme="minorEastAsia"/>
          <w:color w:val="auto"/>
          <w:szCs w:val="32"/>
          <w:lang w:eastAsia="zh-CN"/>
        </w:rPr>
        <w:t xml:space="preserve">  </w:t>
      </w:r>
      <w:r>
        <w:rPr>
          <w:rFonts w:eastAsiaTheme="minorEastAsia"/>
          <w:color w:val="auto"/>
          <w:szCs w:val="32"/>
        </w:rPr>
        <w:t>根据资产信息生成方法与流程以及资产信息标准，开展质量</w:t>
      </w:r>
      <w:r>
        <w:rPr>
          <w:rFonts w:hint="eastAsia" w:eastAsiaTheme="minorEastAsia"/>
          <w:color w:val="auto"/>
          <w:szCs w:val="32"/>
        </w:rPr>
        <w:t>保证</w:t>
      </w:r>
      <w:r>
        <w:rPr>
          <w:rFonts w:eastAsiaTheme="minorEastAsia"/>
          <w:color w:val="auto"/>
          <w:szCs w:val="32"/>
        </w:rPr>
        <w:t>检查，对检查的信息容器进行标识，对于未通过检查的信息容器应通知相关责任人结果以及所需的纠正措施</w:t>
      </w:r>
      <w:r>
        <w:rPr>
          <w:rFonts w:hint="eastAsia" w:eastAsiaTheme="minorEastAsia"/>
          <w:color w:val="auto"/>
          <w:szCs w:val="32"/>
        </w:rPr>
        <w:t>，</w:t>
      </w:r>
      <w:r>
        <w:rPr>
          <w:rFonts w:eastAsiaTheme="minorEastAsia"/>
          <w:color w:val="auto"/>
          <w:szCs w:val="32"/>
        </w:rPr>
        <w:t>对于某些</w:t>
      </w:r>
      <w:r>
        <w:rPr>
          <w:rFonts w:hint="eastAsia" w:eastAsiaTheme="minorEastAsia"/>
          <w:color w:val="auto"/>
          <w:szCs w:val="32"/>
        </w:rPr>
        <w:t>基础</w:t>
      </w:r>
      <w:r>
        <w:rPr>
          <w:rFonts w:eastAsiaTheme="minorEastAsia"/>
          <w:color w:val="auto"/>
          <w:szCs w:val="32"/>
        </w:rPr>
        <w:t>性的检查可以</w:t>
      </w:r>
      <w:r>
        <w:rPr>
          <w:rFonts w:hint="eastAsia" w:eastAsiaTheme="minorEastAsia"/>
          <w:color w:val="auto"/>
          <w:szCs w:val="32"/>
        </w:rPr>
        <w:t>在C</w:t>
      </w:r>
      <w:r>
        <w:rPr>
          <w:rFonts w:eastAsiaTheme="minorEastAsia"/>
          <w:color w:val="auto"/>
          <w:szCs w:val="32"/>
        </w:rPr>
        <w:t>DE环境中自动完成</w:t>
      </w:r>
      <w:r>
        <w:rPr>
          <w:rFonts w:hint="eastAsia" w:eastAsiaTheme="minorEastAsia"/>
          <w:color w:val="auto"/>
          <w:szCs w:val="32"/>
        </w:rPr>
        <w:t>。</w:t>
      </w:r>
      <w:r>
        <w:rPr>
          <w:rFonts w:eastAsiaTheme="minorEastAsia"/>
          <w:color w:val="auto"/>
          <w:szCs w:val="32"/>
        </w:rPr>
        <w:t>同时质量保证检查时，不检查信息容器内信息的准确性</w:t>
      </w:r>
      <w:r>
        <w:rPr>
          <w:rFonts w:hint="eastAsia" w:eastAsiaTheme="minorEastAsia"/>
          <w:color w:val="auto"/>
          <w:szCs w:val="32"/>
        </w:rPr>
        <w:t>或</w:t>
      </w:r>
      <w:r>
        <w:rPr>
          <w:rFonts w:eastAsiaTheme="minorEastAsia"/>
          <w:color w:val="auto"/>
          <w:szCs w:val="32"/>
        </w:rPr>
        <w:t>适当性，不能代替资产信息管理流程中的</w:t>
      </w:r>
      <w:r>
        <w:rPr>
          <w:rFonts w:hint="eastAsia" w:eastAsiaTheme="minorEastAsia"/>
          <w:color w:val="auto"/>
          <w:szCs w:val="32"/>
        </w:rPr>
        <w:t>审核</w:t>
      </w:r>
      <w:r>
        <w:rPr>
          <w:rFonts w:eastAsiaTheme="minorEastAsia"/>
          <w:color w:val="auto"/>
          <w:szCs w:val="32"/>
        </w:rPr>
        <w:t>与批准。</w:t>
      </w:r>
    </w:p>
    <w:p>
      <w:pPr>
        <w:pStyle w:val="3"/>
        <w:jc w:val="center"/>
        <w:rPr>
          <w:color w:val="auto"/>
        </w:rPr>
      </w:pPr>
      <w:r>
        <w:rPr>
          <w:color w:val="auto"/>
        </w:rPr>
        <w:t>8.</w:t>
      </w:r>
      <w:r>
        <w:rPr>
          <w:rFonts w:hint="eastAsia"/>
          <w:color w:val="auto"/>
        </w:rPr>
        <w:t>5</w:t>
      </w:r>
      <w:r>
        <w:rPr>
          <w:color w:val="auto"/>
        </w:rPr>
        <w:t xml:space="preserve"> </w:t>
      </w:r>
      <w:r>
        <w:rPr>
          <w:rFonts w:hint="eastAsia"/>
          <w:color w:val="auto"/>
        </w:rPr>
        <w:t>健康监测</w:t>
      </w:r>
    </w:p>
    <w:p>
      <w:pPr>
        <w:ind w:firstLine="480"/>
        <w:rPr>
          <w:rFonts w:hint="eastAsia"/>
          <w:color w:val="auto"/>
        </w:rPr>
      </w:pPr>
      <w:r>
        <w:rPr>
          <w:rFonts w:eastAsiaTheme="minorEastAsia"/>
          <w:color w:val="auto"/>
          <w:szCs w:val="32"/>
        </w:rPr>
        <w:t xml:space="preserve">8.5.5 </w:t>
      </w:r>
      <w:r>
        <w:rPr>
          <w:rFonts w:hint="eastAsia" w:eastAsiaTheme="minorEastAsia"/>
          <w:color w:val="auto"/>
          <w:szCs w:val="32"/>
          <w:lang w:val="en-US" w:eastAsia="zh-CN"/>
        </w:rPr>
        <w:t xml:space="preserve">  </w:t>
      </w:r>
      <w:r>
        <w:rPr>
          <w:rFonts w:eastAsiaTheme="minorEastAsia"/>
          <w:color w:val="auto"/>
          <w:szCs w:val="32"/>
        </w:rPr>
        <w:t>作用监测包括车辆荷载、风荷载、温度</w:t>
      </w:r>
      <w:r>
        <w:rPr>
          <w:rFonts w:hint="eastAsia" w:eastAsiaTheme="minorEastAsia"/>
          <w:color w:val="auto"/>
          <w:szCs w:val="32"/>
        </w:rPr>
        <w:t>、</w:t>
      </w:r>
      <w:r>
        <w:rPr>
          <w:rFonts w:eastAsiaTheme="minorEastAsia"/>
          <w:color w:val="auto"/>
          <w:szCs w:val="32"/>
        </w:rPr>
        <w:t>地震作用等，结构响应监测包括结构应力与变位、支反力、结构振动等。</w:t>
      </w:r>
    </w:p>
    <w:p>
      <w:pPr>
        <w:ind w:firstLine="480"/>
        <w:rPr>
          <w:rFonts w:hint="eastAsia"/>
          <w:color w:val="auto"/>
        </w:rPr>
      </w:pPr>
    </w:p>
    <w:p>
      <w:pPr>
        <w:ind w:firstLine="480"/>
        <w:rPr>
          <w:rFonts w:hint="eastAsia"/>
          <w:color w:val="auto"/>
        </w:rPr>
      </w:pPr>
    </w:p>
    <w:p>
      <w:pPr>
        <w:ind w:firstLine="480"/>
        <w:rPr>
          <w:rFonts w:hint="eastAsia"/>
          <w:color w:val="auto"/>
        </w:rPr>
      </w:pPr>
    </w:p>
    <w:p>
      <w:pPr>
        <w:ind w:firstLine="480"/>
        <w:rPr>
          <w:rFonts w:hint="eastAsia"/>
          <w:color w:val="auto"/>
        </w:rPr>
      </w:pPr>
    </w:p>
    <w:p>
      <w:pPr>
        <w:ind w:firstLine="480"/>
        <w:rPr>
          <w:rFonts w:hint="eastAsia"/>
          <w:color w:val="auto"/>
        </w:rPr>
      </w:pPr>
    </w:p>
    <w:sectPr>
      <w:pgSz w:w="11906" w:h="16838"/>
      <w:pgMar w:top="1440" w:right="1077" w:bottom="1440" w:left="1077" w:header="851" w:footer="992" w:gutter="567"/>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lotter">
    <w:altName w:val="Times New Roman"/>
    <w:panose1 w:val="00000000000000000000"/>
    <w:charset w:val="00"/>
    <w:family w:val="roman"/>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PMingLiU">
    <w:altName w:val="Microsoft JhengHei UI"/>
    <w:panose1 w:val="02010601000101010101"/>
    <w:charset w:val="88"/>
    <w:family w:val="roman"/>
    <w:pitch w:val="default"/>
    <w:sig w:usb0="00000000" w:usb1="00000000" w:usb2="00000016" w:usb3="00000000" w:csb0="00100001" w:csb1="00000000"/>
  </w:font>
  <w:font w:name="仿宋_GB2312">
    <w:altName w:val="仿宋"/>
    <w:panose1 w:val="00000000000000000000"/>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Microsoft JhengHei UI">
    <w:panose1 w:val="020B0604030504040204"/>
    <w:charset w:val="88"/>
    <w:family w:val="auto"/>
    <w:pitch w:val="default"/>
    <w:sig w:usb0="000002A7" w:usb1="28CF4400" w:usb2="00000016" w:usb3="00000000" w:csb0="00100009"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3988915"/>
    </w:sdtPr>
    <w:sdtContent>
      <w:p>
        <w:pPr>
          <w:pStyle w:val="46"/>
          <w:ind w:firstLine="360"/>
          <w:jc w:val="center"/>
        </w:pPr>
        <w:r>
          <w:fldChar w:fldCharType="begin"/>
        </w:r>
        <w:r>
          <w:instrText xml:space="preserve">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01486738"/>
    </w:sdtPr>
    <w:sdtContent>
      <w:p>
        <w:pPr>
          <w:pStyle w:val="46"/>
          <w:ind w:firstLine="360"/>
          <w:jc w:val="center"/>
        </w:pPr>
        <w:r>
          <w:fldChar w:fldCharType="begin"/>
        </w:r>
        <w:r>
          <w:instrText xml:space="preserve">PAGE   \* MERGEFORMAT</w:instrText>
        </w:r>
        <w:r>
          <w:fldChar w:fldCharType="separate"/>
        </w:r>
        <w:r>
          <w:rPr>
            <w:lang w:val="zh-CN"/>
          </w:rPr>
          <w:t>28</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firstLine="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0E2CD75"/>
    <w:multiLevelType w:val="multilevel"/>
    <w:tmpl w:val="E0E2CD75"/>
    <w:lvl w:ilvl="0" w:tentative="0">
      <w:start w:val="1"/>
      <w:numFmt w:val="decimal"/>
      <w:lvlText w:val="%1"/>
      <w:lvlJc w:val="left"/>
      <w:pPr>
        <w:ind w:left="360" w:hanging="360"/>
      </w:pPr>
      <w:rPr>
        <w:rFonts w:hint="eastAsia"/>
      </w:rPr>
    </w:lvl>
    <w:lvl w:ilvl="1" w:tentative="0">
      <w:start w:val="2"/>
      <w:numFmt w:val="decimal"/>
      <w:isLgl/>
      <w:lvlText w:val="%1.%2"/>
      <w:lvlJc w:val="left"/>
      <w:pPr>
        <w:ind w:left="420" w:hanging="4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FFFFFF7C"/>
    <w:multiLevelType w:val="singleLevel"/>
    <w:tmpl w:val="FFFFFF7C"/>
    <w:lvl w:ilvl="0" w:tentative="0">
      <w:start w:val="1"/>
      <w:numFmt w:val="decimal"/>
      <w:pStyle w:val="54"/>
      <w:lvlText w:val="%1."/>
      <w:lvlJc w:val="left"/>
      <w:pPr>
        <w:tabs>
          <w:tab w:val="left" w:pos="2040"/>
        </w:tabs>
        <w:ind w:left="2040" w:leftChars="800" w:hanging="360" w:hangingChars="200"/>
      </w:pPr>
    </w:lvl>
  </w:abstractNum>
  <w:abstractNum w:abstractNumId="2">
    <w:nsid w:val="FFFFFF7D"/>
    <w:multiLevelType w:val="singleLevel"/>
    <w:tmpl w:val="FFFFFF7D"/>
    <w:lvl w:ilvl="0" w:tentative="0">
      <w:start w:val="1"/>
      <w:numFmt w:val="decimal"/>
      <w:pStyle w:val="40"/>
      <w:lvlText w:val="%1."/>
      <w:lvlJc w:val="left"/>
      <w:pPr>
        <w:tabs>
          <w:tab w:val="left" w:pos="1620"/>
        </w:tabs>
        <w:ind w:left="1620" w:leftChars="600" w:hanging="360" w:hangingChars="200"/>
      </w:pPr>
    </w:lvl>
  </w:abstractNum>
  <w:abstractNum w:abstractNumId="3">
    <w:nsid w:val="FFFFFF7F"/>
    <w:multiLevelType w:val="singleLevel"/>
    <w:tmpl w:val="FFFFFF7F"/>
    <w:lvl w:ilvl="0" w:tentative="0">
      <w:start w:val="1"/>
      <w:numFmt w:val="decimal"/>
      <w:pStyle w:val="13"/>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39"/>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15"/>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27"/>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34"/>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17"/>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20"/>
      <w:lvlText w:val=""/>
      <w:lvlJc w:val="left"/>
      <w:pPr>
        <w:tabs>
          <w:tab w:val="left" w:pos="360"/>
        </w:tabs>
        <w:ind w:left="360" w:hanging="360" w:hangingChars="200"/>
      </w:pPr>
      <w:rPr>
        <w:rFonts w:hint="default" w:ascii="Wingdings" w:hAnsi="Wingdings"/>
      </w:rPr>
    </w:lvl>
  </w:abstractNum>
  <w:abstractNum w:abstractNumId="10">
    <w:nsid w:val="3E3A6DFD"/>
    <w:multiLevelType w:val="multilevel"/>
    <w:tmpl w:val="3E3A6DFD"/>
    <w:lvl w:ilvl="0" w:tentative="0">
      <w:start w:val="1"/>
      <w:numFmt w:val="decimal"/>
      <w:pStyle w:val="648"/>
      <w:lvlText w:val="%1"/>
      <w:lvlJc w:val="left"/>
      <w:pPr>
        <w:ind w:left="420" w:hanging="420"/>
      </w:pPr>
      <w:rPr>
        <w:rFonts w:hint="default"/>
      </w:rPr>
    </w:lvl>
    <w:lvl w:ilvl="1" w:tentative="0">
      <w:start w:val="1"/>
      <w:numFmt w:val="decimal"/>
      <w:lvlText w:val="%1.%2"/>
      <w:lvlJc w:val="left"/>
      <w:pPr>
        <w:ind w:left="840" w:hanging="420"/>
      </w:pPr>
      <w:rPr>
        <w:rFonts w:hint="default"/>
        <w:sz w:val="30"/>
        <w:szCs w:val="30"/>
      </w:rPr>
    </w:lvl>
    <w:lvl w:ilvl="2" w:tentative="0">
      <w:start w:val="1"/>
      <w:numFmt w:val="decimal"/>
      <w:pStyle w:val="650"/>
      <w:lvlText w:val="%1.%2.%3"/>
      <w:lvlJc w:val="left"/>
      <w:pPr>
        <w:ind w:left="142" w:firstLine="284"/>
      </w:pPr>
      <w:rPr>
        <w:rFonts w:hint="default" w:ascii="Times New Roman" w:hAnsi="Times New Roman" w:cs="Times New Roman"/>
        <w:b/>
        <w:sz w:val="28"/>
        <w:szCs w:val="28"/>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539672AC"/>
    <w:multiLevelType w:val="multilevel"/>
    <w:tmpl w:val="539672AC"/>
    <w:lvl w:ilvl="0" w:tentative="0">
      <w:start w:val="1"/>
      <w:numFmt w:val="decimal"/>
      <w:pStyle w:val="174"/>
      <w:isLgl/>
      <w:suff w:val="space"/>
      <w:lvlText w:val="图2.%1"/>
      <w:lvlJc w:val="left"/>
      <w:pPr>
        <w:ind w:left="420"/>
      </w:pPr>
      <w:rPr>
        <w:rFonts w:hint="eastAsia" w:cs="Times New Roman"/>
      </w:rPr>
    </w:lvl>
    <w:lvl w:ilvl="1" w:tentative="0">
      <w:start w:val="1"/>
      <w:numFmt w:val="none"/>
      <w:suff w:val="nothing"/>
      <w:lvlText w:val=""/>
      <w:lvlJc w:val="left"/>
      <w:pPr>
        <w:ind w:left="420"/>
      </w:pPr>
      <w:rPr>
        <w:rFonts w:hint="eastAsia" w:cs="Times New Roman"/>
      </w:rPr>
    </w:lvl>
    <w:lvl w:ilvl="2" w:tentative="0">
      <w:start w:val="1"/>
      <w:numFmt w:val="none"/>
      <w:suff w:val="nothing"/>
      <w:lvlText w:val=""/>
      <w:lvlJc w:val="left"/>
      <w:pPr>
        <w:ind w:left="420"/>
      </w:pPr>
      <w:rPr>
        <w:rFonts w:hint="eastAsia" w:cs="Times New Roman"/>
      </w:rPr>
    </w:lvl>
    <w:lvl w:ilvl="3" w:tentative="0">
      <w:start w:val="1"/>
      <w:numFmt w:val="none"/>
      <w:suff w:val="nothing"/>
      <w:lvlText w:val=""/>
      <w:lvlJc w:val="left"/>
      <w:pPr>
        <w:ind w:left="420"/>
      </w:pPr>
      <w:rPr>
        <w:rFonts w:hint="eastAsia" w:cs="Times New Roman"/>
      </w:rPr>
    </w:lvl>
    <w:lvl w:ilvl="4" w:tentative="0">
      <w:start w:val="1"/>
      <w:numFmt w:val="none"/>
      <w:suff w:val="nothing"/>
      <w:lvlText w:val=""/>
      <w:lvlJc w:val="left"/>
      <w:pPr>
        <w:ind w:left="420"/>
      </w:pPr>
      <w:rPr>
        <w:rFonts w:hint="eastAsia" w:cs="Times New Roman"/>
      </w:rPr>
    </w:lvl>
    <w:lvl w:ilvl="5" w:tentative="0">
      <w:start w:val="1"/>
      <w:numFmt w:val="none"/>
      <w:suff w:val="nothing"/>
      <w:lvlText w:val=""/>
      <w:lvlJc w:val="left"/>
      <w:pPr>
        <w:ind w:left="420"/>
      </w:pPr>
      <w:rPr>
        <w:rFonts w:hint="eastAsia" w:cs="Times New Roman"/>
      </w:rPr>
    </w:lvl>
    <w:lvl w:ilvl="6" w:tentative="0">
      <w:start w:val="1"/>
      <w:numFmt w:val="none"/>
      <w:suff w:val="nothing"/>
      <w:lvlText w:val=""/>
      <w:lvlJc w:val="left"/>
      <w:pPr>
        <w:ind w:left="420"/>
      </w:pPr>
      <w:rPr>
        <w:rFonts w:hint="eastAsia" w:cs="Times New Roman"/>
      </w:rPr>
    </w:lvl>
    <w:lvl w:ilvl="7" w:tentative="0">
      <w:start w:val="1"/>
      <w:numFmt w:val="none"/>
      <w:suff w:val="nothing"/>
      <w:lvlText w:val=""/>
      <w:lvlJc w:val="left"/>
      <w:pPr>
        <w:ind w:left="420"/>
      </w:pPr>
      <w:rPr>
        <w:rFonts w:hint="eastAsia" w:cs="Times New Roman"/>
      </w:rPr>
    </w:lvl>
    <w:lvl w:ilvl="8" w:tentative="0">
      <w:start w:val="1"/>
      <w:numFmt w:val="none"/>
      <w:suff w:val="nothing"/>
      <w:lvlText w:val=""/>
      <w:lvlJc w:val="left"/>
      <w:pPr>
        <w:ind w:left="420"/>
      </w:pPr>
      <w:rPr>
        <w:rFonts w:hint="eastAsia" w:cs="Times New Roman"/>
      </w:rPr>
    </w:lvl>
  </w:abstractNum>
  <w:abstractNum w:abstractNumId="12">
    <w:nsid w:val="6A272E53"/>
    <w:multiLevelType w:val="multilevel"/>
    <w:tmpl w:val="6A272E53"/>
    <w:lvl w:ilvl="0" w:tentative="0">
      <w:start w:val="1"/>
      <w:numFmt w:val="decimal"/>
      <w:lvlText w:val="%1"/>
      <w:lvlJc w:val="left"/>
      <w:pPr>
        <w:ind w:left="360" w:hanging="360"/>
      </w:pPr>
      <w:rPr>
        <w:rFonts w:hint="eastAsia"/>
      </w:rPr>
    </w:lvl>
    <w:lvl w:ilvl="1" w:tentative="0">
      <w:start w:val="2"/>
      <w:numFmt w:val="decimal"/>
      <w:isLgl/>
      <w:lvlText w:val="%1.%2"/>
      <w:lvlJc w:val="left"/>
      <w:pPr>
        <w:ind w:left="420" w:hanging="4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num w:numId="1">
    <w:abstractNumId w:val="3"/>
  </w:num>
  <w:num w:numId="2">
    <w:abstractNumId w:val="5"/>
  </w:num>
  <w:num w:numId="3">
    <w:abstractNumId w:val="8"/>
  </w:num>
  <w:num w:numId="4">
    <w:abstractNumId w:val="9"/>
  </w:num>
  <w:num w:numId="5">
    <w:abstractNumId w:val="6"/>
  </w:num>
  <w:num w:numId="6">
    <w:abstractNumId w:val="7"/>
  </w:num>
  <w:num w:numId="7">
    <w:abstractNumId w:val="4"/>
  </w:num>
  <w:num w:numId="8">
    <w:abstractNumId w:val="2"/>
  </w:num>
  <w:num w:numId="9">
    <w:abstractNumId w:val="1"/>
  </w:num>
  <w:num w:numId="10">
    <w:abstractNumId w:val="11"/>
  </w:num>
  <w:num w:numId="11">
    <w:abstractNumId w:val="10"/>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20"/>
  <w:drawingGridVerticalSpacing w:val="163"/>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Ref{000C26FD-25FE-44DB-B3FA-8968A1D9424F}" w:val=" ADDIN NE.Ref.{000C26FD-25FE-44DB-B3FA-8968A1D9424F}&lt;Citation&gt;&lt;Group&gt;&lt;References&gt;&lt;Item&gt;&lt;ID&gt;1271&lt;/ID&gt;&lt;UID&gt;{31A9272B-96B6-4886-B6C3-41E729CD2CA4}&lt;/UID&gt;&lt;Title&gt;A new strategy for analysis of erection stages including an efficient method for creep analysis&lt;/Title&gt;&lt;Template&gt;Journal Article&lt;/Template&gt;&lt;Star&gt;1&lt;/Star&gt;&lt;Tag&gt;5&lt;/Tag&gt;&lt;Author&gt;Somja, H; de Ville De Goyet, V&lt;/Author&gt;&lt;Year&gt;2008&lt;/Year&gt;&lt;Details&gt;&lt;_alternate_title&gt;Engineering Structures&lt;/_alternate_title&gt;&lt;_created&gt;59166841&lt;/_created&gt;&lt;_date_display&gt;2008/10//&lt;/_date_display&gt;&lt;_db_updated&gt;ScienceDirect&lt;/_db_updated&gt;&lt;_isbn&gt;0141-0296&lt;/_isbn&gt;&lt;_issue&gt;10&lt;/_issue&gt;&lt;_journal&gt;Engineering Structures&lt;/_journal&gt;&lt;_keywords&gt;Construction phases; Time effects in concrete; Nonlinear finite element; Computational strategy; Bridges&lt;/_keywords&gt;&lt;_modified&gt;59166841&lt;/_modified&gt;&lt;_pages&gt;2871-2883&lt;/_pages&gt;&lt;_url&gt;http://www.sciencedirect.com/science/article/pii/S0141029608001193 _x000a_http://pdn.sciencedirect.com/science?_ob=MiamiImageURL&amp;amp;_cid=271087&amp;amp;_user=1002983&amp;amp;_pii=S0141029608001193&amp;amp;_check=y&amp;amp;_origin=article&amp;amp;_zone=toolbar&amp;amp;_coverDate=31-Oct-2008&amp;amp;view=c&amp;amp;originContentFamily=serial&amp;amp;wchp=dGLzVlk-zSkzS&amp;amp;md5=83e48ef208212082232900a6bea72706&amp;amp;pid=1-s2.0-S0141029608001193-main.pdf 全文链接_x000a_&lt;/_url&gt;&lt;_volume&gt;30&lt;/_volume&gt;&lt;/Details&gt;&lt;Extra&gt;&lt;DBUID&gt;{C833C268-2DD2-4BFD-9E86-C36B63EFE0FA}&lt;/DBUID&gt;&lt;/Extra&gt;&lt;/Item&gt;&lt;/References&gt;&lt;/Group&gt;&lt;/Citation&gt;_x000a_"/>
    <w:docVar w:name="NE.Ref{016EBE43-5E9A-46CB-BCBF-0608A11E67BF}" w:val=" ADDIN NE.Ref.{016EBE43-5E9A-46CB-BCBF-0608A11E67BF}&lt;Citation&gt;&lt;Group&gt;&lt;References&gt;&lt;Item&gt;&lt;ID&gt;1314&lt;/ID&gt;&lt;UID&gt;{299863D0-5432-4EBB-A5A7-0EAE25CACAD8}&lt;/UID&gt;&lt;Title&gt;Sophisticated Non-Linear 4D Structural Analysis for Cable Stayed Bridges&lt;/Title&gt;&lt;Template&gt;Conference Paper&lt;/Template&gt;&lt;Star&gt;0&lt;/Star&gt;&lt;Tag&gt;5&lt;/Tag&gt;&lt;Author&gt;Janjic, Dorian; Bokan, Heinz; Sorsky, Harald&lt;/Author&gt;&lt;Year&gt;2008&lt;/Year&gt;&lt;Details&gt;&lt;_accessed&gt;59185161&lt;/_accessed&gt;&lt;_created&gt;59185149&lt;/_created&gt;&lt;_modified&gt;59185157&lt;/_modified&gt;&lt;_place_published&gt;Vancouver, BC, Canada&lt;/_place_published&gt;&lt;_publisher&gt;the Structural Engineering Institute (SEI) of the American Society of Civil Engineers&lt;/_publisher&gt;&lt;_secondary_title&gt;Structures 2008: Crossing Borders&lt;/_secondary_title&gt;&lt;/Details&gt;&lt;Extra&gt;&lt;DBUID&gt;{C833C268-2DD2-4BFD-9E86-C36B63EFE0FA}&lt;/DBUID&gt;&lt;/Extra&gt;&lt;/Item&gt;&lt;/References&gt;&lt;/Group&gt;&lt;/Citation&gt;_x000a_"/>
    <w:docVar w:name="NE.Ref{024CCC8A-06C9-4900-BA2C-C693B7BADA44}" w:val=" ADDIN NE.Ref.{024CCC8A-06C9-4900-BA2C-C693B7BADA44}&lt;Citation&gt;&lt;Group&gt;&lt;References&gt;&lt;Item&gt;&lt;ID&gt;1229&lt;/ID&gt;&lt;UID&gt;{A6259BF4-FF80-42A9-A9F0-B6277200F60C}&lt;/UID&gt;&lt;Title&gt;State-of-the-art of long-span bridge engineering in China&lt;/Title&gt;&lt;Template&gt;Journal Article&lt;/Template&gt;&lt;Star&gt;0&lt;/Star&gt;&lt;Tag&gt;5&lt;/Tag&gt;&lt;Author&gt;XIANG, Haifan; GE, Yaojun&lt;/Author&gt;&lt;Year&gt;2007&lt;/Year&gt;&lt;Details&gt;&lt;_accessed&gt;59113416&lt;/_accessed&gt;&lt;_author_adr&gt;College of Civil Engineering, Tongji University, Shanghai 200092, China&lt;/_author_adr&gt;&lt;_author_aff&gt;College of Civil Engineering, Tongji University, Shanghai 200092, China&lt;/_author_aff&gt;&lt;_created&gt;59095915&lt;/_created&gt;&lt;_db_provider&gt;北京万方数据股份有限公司&lt;/_db_provider&gt;&lt;_db_updated&gt;Wanfang - Journal&lt;/_db_updated&gt;&lt;_doi&gt;10.1007/s11709-007-0051-x&lt;/_doi&gt;&lt;_isbn&gt;1673-7407&lt;/_isbn&gt;&lt;_issue&gt;4&lt;/_issue&gt;&lt;_journal&gt;Frontiers of Architecture and Civil Engineering in China&lt;/_journal&gt;&lt;_keywords&gt;long-span bridge; construction project; deck configuration; design codes; aerodynamic performance&lt;/_keywords&gt;&lt;_modified&gt;59113416&lt;/_modified&gt;&lt;_pages&gt;379–388&lt;/_pages&gt;&lt;_tertiary_title&gt;Frontiers of Architecture and Civil Engineering in China&lt;/_tertiary_title&gt;&lt;_translated_title&gt;State-of-the-art of long-span bridge engineering in China&lt;/_translated_title&gt;&lt;_url&gt;http://d.wanfangdata.com.cn/Periodical_11709200704011599.aspx&lt;/_url&gt;&lt;_volume&gt;1&lt;/_volume&gt;&lt;/Details&gt;&lt;Extra&gt;&lt;DBUID&gt;{C833C268-2DD2-4BFD-9E86-C36B63EFE0FA}&lt;/DBUID&gt;&lt;/Extra&gt;&lt;/Item&gt;&lt;/References&gt;&lt;/Group&gt;&lt;/Citation&gt;_x000a_"/>
    <w:docVar w:name="NE.Ref{02D916FE-F742-4306-AF6D-743BF816D776}" w:val=" ADDIN NE.Ref.{02D916FE-F742-4306-AF6D-743BF816D776}&lt;Citation&gt;&lt;Group&gt;&lt;References&gt;&lt;Item&gt;&lt;ID&gt;19&lt;/ID&gt;&lt;UID&gt;{FC21E353-ECC3-4E45-B088-71D33EA743D8}&lt;/UID&gt;&lt;Title&gt;东海大桥主跨420m钢-混凝土箱形结合梁斜拉桥新技术&lt;/Title&gt;&lt;Template&gt;Journal Article&lt;/Template&gt;&lt;Star&gt;1&lt;/Star&gt;&lt;Tag&gt;5&lt;/Tag&gt;&lt;Author&gt;邵长宇; 颜爱华; 邓青儿&lt;/Author&gt;&lt;Year&gt;2004&lt;/Year&gt;&lt;Details&gt;&lt;_accessed&gt;59359608&lt;/_accessed&gt;&lt;_created&gt;58462457&lt;/_created&gt;&lt;_journal&gt;桥梁建设&lt;/_journal&gt;&lt;_keywords&gt;斜拉桥; 结合梁; 桥式布置; 结构设计; 施工方法&lt;/_keywords&gt;&lt;_modified&gt;58462482&lt;/_modified&gt;&lt;/Details&gt;&lt;Extra&gt;&lt;DBUID&gt;{C833C268-2DD2-4BFD-9E86-C36B63EFE0FA}&lt;/DBUID&gt;&lt;/Extra&gt;&lt;/Item&gt;&lt;/References&gt;&lt;/Group&gt;&lt;Group&gt;&lt;References&gt;&lt;Item&gt;&lt;ID&gt;225&lt;/ID&gt;&lt;UID&gt;{512EB6F7-7D84-4DB9-8A82-CCFA9588D078}&lt;/UID&gt;&lt;Title&gt;青洲闽江大桥正桥结合梁斜拉桥设计&lt;/Title&gt;&lt;Template&gt;Journal Article&lt;/Template&gt;&lt;Star&gt;1&lt;/Star&gt;&lt;Tag&gt;5&lt;/Tag&gt;&lt;Author&gt;高宗余; 张强; 等&lt;/Author&gt;&lt;Year&gt;2001&lt;/Year&gt;&lt;Details&gt;&lt;_accessed&gt;58846196&lt;/_accessed&gt;&lt;_author_adr&gt;大桥局设计院，武汉430050&lt;/_author_adr&gt;&lt;_created&gt;58464511&lt;/_created&gt;&lt;_db_provider&gt;重庆维普&lt;/_db_provider&gt;&lt;_db_updated&gt;CQ_VIP&lt;/_db_updated&gt;&lt;_isbn&gt;1000-4750&lt;/_isbn&gt;&lt;_issue&gt;A01&lt;/_issue&gt;&lt;_journal&gt;工程力学&lt;/_journal&gt;&lt;_keywords&gt;福州; 闽江大桥; 结合梁; 斜拉桥; 设计; 计算&lt;/_keywords&gt;&lt;_language&gt;Chinese&lt;/_language&gt;&lt;_modified&gt;58465213&lt;/_modified&gt;&lt;_pages&gt;862-870&lt;/_pages&gt;&lt;_url&gt;http://www.cqvip.com/qk/95324X/2001A01/5595175.html&lt;/_url&gt;&lt;/Details&gt;&lt;Extra&gt;&lt;DBUID&gt;{C833C268-2DD2-4BFD-9E86-C36B63EFE0FA}&lt;/DBUID&gt;&lt;/Extra&gt;&lt;/Item&gt;&lt;/References&gt;&lt;/Group&gt;&lt;/Citation&gt;_x000a_"/>
    <w:docVar w:name="NE.Ref{0343ECE2-0F02-448C-96B6-0A6AB091A333}" w:val=" ADDIN NE.Ref.{0343ECE2-0F02-448C-96B6-0A6AB091A333}&lt;Citation&gt;&lt;Group&gt;&lt;References&gt;&lt;Item&gt;&lt;ID&gt;1136&lt;/ID&gt;&lt;UID&gt;{E4D78815-0A1D-49B4-BA45-A2645223EFAA}&lt;/UID&gt;&lt;Title&gt;Approximate method for estimation of collapse loads of steel cable-stayed bridges&lt;/Title&gt;&lt;Template&gt;Journal Article&lt;/Template&gt;&lt;Star&gt;0&lt;/Star&gt;&lt;Tag&gt;5&lt;/Tag&gt;&lt;Author&gt;Yoo, Hoon; Na, Ho-Sung; Choi, Dong-Ho&lt;/Author&gt;&lt;Year&gt;2012&lt;/Year&gt;&lt;Details&gt;&lt;_accessed&gt;59066516&lt;/_accessed&gt;&lt;_alternate_title&gt;Journal of Constructional Steel Research&lt;/_alternate_title&gt;&lt;_created&gt;59066503&lt;/_created&gt;&lt;_date_display&gt;2012/5//&lt;/_date_display&gt;&lt;_db_updated&gt;ScienceDirect&lt;/_db_updated&gt;&lt;_isbn&gt;0143-974X&lt;/_isbn&gt;&lt;_journal&gt;Journal of Constructional Steel Research&lt;/_journal&gt;&lt;_keywords&gt;Cable-stayed bridge; Structural stability; Collapse loads; Buckling; Inelastic buckling analysis&lt;/_keywords&gt;&lt;_modified&gt;59066505&lt;/_modified&gt;&lt;_pages&gt;143-154&lt;/_pages&gt;&lt;_url&gt;http://www.sciencedirect.com/science/article/pii/S0143974X11003130&lt;/_url&gt;&lt;_volume&gt;72&lt;/_volume&gt;&lt;/Details&gt;&lt;Extra&gt;&lt;DBUID&gt;{C833C268-2DD2-4BFD-9E86-C36B63EFE0FA}&lt;/DBUID&gt;&lt;/Extra&gt;&lt;/Item&gt;&lt;/References&gt;&lt;/Group&gt;&lt;Group&gt;&lt;References&gt;&lt;Item&gt;&lt;ID&gt;1135&lt;/ID&gt;&lt;UID&gt;{9AF11686-7974-4E02-B7A2-2CB1A59BBBE0}&lt;/UID&gt;&lt;Title&gt;Analysis of the overall collapse mechanism of cable-stayed bridges with different cable layouts&lt;/Title&gt;&lt;Template&gt;Journal Article&lt;/Template&gt;&lt;Star&gt;1&lt;/Star&gt;&lt;Tag&gt;5&lt;/Tag&gt;&lt;Author&gt;Song, Weon-Keun; Kim, Seung-Eock&lt;/Author&gt;&lt;Year&gt;2007&lt;/Year&gt;&lt;Details&gt;&lt;_accessed&gt;59176698&lt;/_accessed&gt;&lt;_alternate_title&gt;Engineering Structures&lt;/_alternate_title&gt;&lt;_created&gt;59066503&lt;/_created&gt;&lt;_date_display&gt;2007/9//&lt;/_date_display&gt;&lt;_db_updated&gt;ScienceDirect&lt;/_db_updated&gt;&lt;_isbn&gt;0141-0296&lt;/_isbn&gt;&lt;_issue&gt;9&lt;/_issue&gt;&lt;_journal&gt;Engineering Structures&lt;/_journal&gt;&lt;_keywords&gt;Steel cable-stayed bridge; Softening plastic-hinge model; Fiber element model; Nonlinear inelastic buckling model; Overall collapse mechanism; Ultimate load-carrying capacity&lt;/_keywords&gt;&lt;_modified&gt;59066505&lt;/_modified&gt;&lt;_pages&gt;2133-2142&lt;/_pages&gt;&lt;_url&gt;http://www.sciencedirect.com/science/article/pii/S0141029606004718&lt;/_url&gt;&lt;_volume&gt;29&lt;/_volume&gt;&lt;/Details&gt;&lt;Extra&gt;&lt;DBUID&gt;{C833C268-2DD2-4BFD-9E86-C36B63EFE0FA}&lt;/DBUID&gt;&lt;/Extra&gt;&lt;/Item&gt;&lt;/References&gt;&lt;/Group&gt;&lt;/Citation&gt;_x000a_"/>
    <w:docVar w:name="NE.Ref{03E13C17-E5F1-4DBF-92CC-EC135463C4EA}" w:val=" ADDIN NE.Ref.{03E13C17-E5F1-4DBF-92CC-EC135463C4EA}&lt;Citation&gt;&lt;Group&gt;&lt;References&gt;&lt;Item&gt;&lt;ID&gt;1258&lt;/ID&gt;&lt;UID&gt;{A0FB86D7-19CC-4F50-8632-BCAA86999176}&lt;/UID&gt;&lt;Title&gt;Eurocode 3 Design of steel structures-Part 1-5:Plated structural elements&lt;/Title&gt;&lt;Template&gt;Standard&lt;/Template&gt;&lt;Star&gt;0&lt;/Star&gt;&lt;Tag&gt;0&lt;/Tag&gt;&lt;Author/&gt;&lt;Year&gt;2006&lt;/Year&gt;&lt;Details&gt;&lt;_accessed&gt;59129048&lt;/_accessed&gt;&lt;_created&gt;59129046&lt;/_created&gt;&lt;_modified&gt;59129048&lt;/_modified&gt;&lt;/Details&gt;&lt;Extra&gt;&lt;DBUID&gt;{C833C268-2DD2-4BFD-9E86-C36B63EFE0FA}&lt;/DBUID&gt;&lt;/Extra&gt;&lt;/Item&gt;&lt;/References&gt;&lt;/Group&gt;&lt;Group&gt;&lt;References&gt;&lt;Item&gt;&lt;ID&gt;1257&lt;/ID&gt;&lt;UID&gt;{9EF6587C-427B-441F-8B5B-7CB622462BB7}&lt;/UID&gt;&lt;Title&gt;Eurocode 3 Design of steel structures-Part 1-1:General rules and rules for buildings&lt;/Title&gt;&lt;Template&gt;Standard&lt;/Template&gt;&lt;Star&gt;0&lt;/Star&gt;&lt;Tag&gt;0&lt;/Tag&gt;&lt;Author/&gt;&lt;Year&gt;2005&lt;/Year&gt;&lt;Details&gt;&lt;_accessed&gt;59129047&lt;/_accessed&gt;&lt;_created&gt;59129046&lt;/_created&gt;&lt;_modified&gt;59129048&lt;/_modified&gt;&lt;/Details&gt;&lt;Extra&gt;&lt;DBUID&gt;{C833C268-2DD2-4BFD-9E86-C36B63EFE0FA}&lt;/DBUID&gt;&lt;/Extra&gt;&lt;/Item&gt;&lt;/References&gt;&lt;/Group&gt;&lt;/Citation&gt;_x000a_"/>
    <w:docVar w:name="NE.Ref{05BE94FB-7C4F-4059-A21E-6433C6A67E26}" w:val=" ADDIN NE.Ref.{05BE94FB-7C4F-4059-A21E-6433C6A67E26}&lt;Citation&gt;&lt;Group&gt;&lt;References&gt;&lt;Item&gt;&lt;ID&gt;1220&lt;/ID&gt;&lt;UID&gt;{44299563-78DB-4C7A-B816-C6C78526168D}&lt;/UID&gt;&lt;Title&gt;桥梁概念设计&lt;/Title&gt;&lt;Template&gt;Book&lt;/Template&gt;&lt;Star&gt;0&lt;/Star&gt;&lt;Tag&gt;5&lt;/Tag&gt;&lt;Author&gt;项海帆等&lt;/Author&gt;&lt;Year&gt;2011&lt;/Year&gt;&lt;Details&gt;&lt;_accessed&gt;59118998&lt;/_accessed&gt;&lt;_created&gt;59093005&lt;/_created&gt;&lt;_modified&gt;59108700&lt;/_modified&gt;&lt;_publisher&gt;人民交通出版社&lt;/_publisher&gt;&lt;/Details&gt;&lt;Extra&gt;&lt;DBUID&gt;{C833C268-2DD2-4BFD-9E86-C36B63EFE0FA}&lt;/DBUID&gt;&lt;/Extra&gt;&lt;/Item&gt;&lt;/References&gt;&lt;/Group&gt;&lt;Group&gt;&lt;References&gt;&lt;Item&gt;&lt;ID&gt;1237&lt;/ID&gt;&lt;UID&gt;{00F268BF-1CA6-49C3-93D9-581041B134E8}&lt;/UID&gt;&lt;Title&gt;半封闭钢箱组合梁斜拉桥关键技术研究&lt;/Title&gt;&lt;Template&gt;Report&lt;/Template&gt;&lt;Star&gt;0&lt;/Star&gt;&lt;Tag&gt;5&lt;/Tag&gt;&lt;Author&gt;同济大学桥梁工程系&lt;/Author&gt;&lt;Year&gt;2009&lt;/Year&gt;&lt;Details&gt;&lt;_accessed&gt;59107671&lt;/_accessed&gt;&lt;_created&gt;59107671&lt;/_created&gt;&lt;_modified&gt;59107671&lt;/_modified&gt;&lt;_place_published&gt;上海&lt;/_place_published&gt;&lt;/Details&gt;&lt;Extra&gt;&lt;DBUID&gt;{C833C268-2DD2-4BFD-9E86-C36B63EFE0FA}&lt;/DBUID&gt;&lt;/Extra&gt;&lt;/Item&gt;&lt;/References&gt;&lt;/Group&gt;&lt;/Citation&gt;_x000a_"/>
    <w:docVar w:name="NE.Ref{0676BE81-205E-4C11-B88C-E6C4CFFDFFA6}" w:val=" ADDIN NE.Ref.{0676BE81-205E-4C11-B88C-E6C4CFFDFFA6}&lt;Citation&gt;&lt;Group&gt;&lt;References&gt;&lt;Item&gt;&lt;ID&gt;1419&lt;/ID&gt;&lt;UID&gt;{6C79E4B6-1D20-4456-9693-ABE68FA3D669}&lt;/UID&gt;&lt;Title&gt;基于全寿命设计理念的某长江通道桥概念设计&lt;/Title&gt;&lt;Template&gt;Journal Article&lt;/Template&gt;&lt;Star&gt;1&lt;/Star&gt;&lt;Tag&gt;5&lt;/Tag&gt;&lt;Author&gt;吴培峰; 陈艾荣&lt;/Author&gt;&lt;Year&gt;2007&lt;/Year&gt;&lt;Details&gt;&lt;_author_adr&gt;同济大学桥梁工程系,上海,200092&lt;/_author_adr&gt;&lt;_author_aff&gt;同济大学桥梁工程系,上海,200092&lt;/_author_aff&gt;&lt;_created&gt;59294682&lt;/_created&gt;&lt;_db_provider&gt;北京万方数据股份有限公司&lt;/_db_provider&gt;&lt;_db_updated&gt;Wanfang - Journal&lt;/_db_updated&gt;&lt;_isbn&gt;1003-4722&lt;/_isbn&gt;&lt;_issue&gt;6&lt;/_issue&gt;&lt;_journal&gt;桥梁建设&lt;/_journal&gt;&lt;_keywords&gt;组合结构; 斜拉桥; 连续刚构; 桥梁设计; 全寿命设计&lt;/_keywords&gt;&lt;_language&gt;chi&lt;/_language&gt;&lt;_modified&gt;59294682&lt;/_modified&gt;&lt;_pages&gt;42-45&lt;/_pages&gt;&lt;_tertiary_title&gt;BRIDGE CONSTRUCTION&lt;/_tertiary_title&gt;&lt;_translated_author&gt;Pei-feng, W U; Ai-rong, CHEN&lt;/_translated_author&gt;&lt;_translated_title&gt;Conceptual Design of a Changjiang River Crossing Based on Life Cycle Design Conception&lt;/_translated_title&gt;&lt;_url&gt;http://d.wanfangdata.com.cn/Periodical_qljs200706012.aspx _x000a_http://f.g.wanfangdata.com.cn/Fulltext.ashx?fileId=Periodical_qljs200706012&amp;amp;type=download&amp;amp;transaction=%7b%22ExtraData%22%3a%5b%5d%2c%22Transaction%22%3a%7b%22DateTime%22%3a%22%5c%2fDate(1348663297477%2b0800)%5c%2f%22%2c%22Id%22%3a%22ecc7a7bd-acf3-42c9-b257-a0d8015505bd%22%2c%22ProductDetail%22%3a%22Periodical_qljs200706012%22%2c%22SessionId%22%3a%22fa410f5a-6ca4-477f-b8b5-b8624c1374b7%22%2c%22Signature%22%3a%22nFeMi%2b9adtqciSYhrUT2Q9xNOM20U5fovoWDC6L51rGzuxM8SledmpS0clzl1nT2%22%2c%22TransferIn%22%3a%7b%22AccountType%22%3a%22Income%22%2c%22Key%22%3a%22PeriodicalFulltext%22%7d%2c%22TransferOut%22%3a%7b%22AccountType%22%3a%22GTimeLimit%22%2c%22Key%22%3a%22tjdxtsg%22%7d%2c%22Turnover%22%3a3.00000%2c%22User%22%3anull%7d%2c%22TransferOutAccountsStatus%22%3a%5b%5d%7d 全文链接_x000a_&lt;/_url&gt;&lt;/Details&gt;&lt;Extra&gt;&lt;DBUID&gt;{C833C268-2DD2-4BFD-9E86-C36B63EFE0FA}&lt;/DBUID&gt;&lt;/Extra&gt;&lt;/Item&gt;&lt;/References&gt;&lt;/Group&gt;&lt;/Citation&gt;_x000a_"/>
    <w:docVar w:name="NE.Ref{06E7A307-835A-4856-B675-870B62D0A46B}" w:val=" ADDIN NE.Ref.{06E7A307-835A-4856-B675-870B62D0A46B}&lt;Citation&gt;&lt;Group&gt;&lt;References&gt;&lt;Item&gt;&lt;ID&gt;1241&lt;/ID&gt;&lt;UID&gt;{5C733A40-A6F6-4BCF-9640-1DA8FA79C8FB}&lt;/UID&gt;&lt;Title&gt;Composite Girder Design of Cable-stayed Bridges&lt;/Title&gt;&lt;Template&gt;Journal Article&lt;/Template&gt;&lt;Star&gt;1&lt;/Star&gt;&lt;Tag&gt;5&lt;/Tag&gt;&lt;Author&gt;Cai, Chun S; Zhang, Yin; Nie, Jianguo&lt;/Author&gt;&lt;Year&gt;1998&lt;/Year&gt;&lt;Details&gt;&lt;_accessed&gt;59274116&lt;/_accessed&gt;&lt;_created&gt;59110482&lt;/_created&gt;&lt;_journal&gt;Practice Periodical on Structural Design and Construction&lt;/_journal&gt;&lt;_modified&gt;59111791&lt;/_modified&gt;&lt;/Details&gt;&lt;Extra&gt;&lt;DBUID&gt;{C833C268-2DD2-4BFD-9E86-C36B63EFE0FA}&lt;/DBUID&gt;&lt;/Extra&gt;&lt;/Item&gt;&lt;/References&gt;&lt;/Group&gt;&lt;/Citation&gt;_x000a_"/>
    <w:docVar w:name="NE.Ref{070FDDB2-16CD-42A7-A0F0-0A4AD55923B3}" w:val=" ADDIN NE.Ref.{070FDDB2-16CD-42A7-A0F0-0A4AD55923B3}&lt;Citation&gt;&lt;Group&gt;&lt;References&gt;&lt;Item&gt;&lt;ID&gt;1239&lt;/ID&gt;&lt;UID&gt;{B9FCA38E-D3A7-4449-AB2B-D94047174388}&lt;/UID&gt;&lt;Title&gt;公路钢结构桥梁设计规范（征求意见稿）&lt;/Title&gt;&lt;Template&gt;Standard&lt;/Template&gt;&lt;Star&gt;0&lt;/Star&gt;&lt;Tag&gt;5&lt;/Tag&gt;&lt;Author&gt;中华人民共和国行业标准&lt;/Author&gt;&lt;Year&gt;0&lt;/Year&gt;&lt;Details&gt;&lt;_accessed&gt;59108708&lt;/_accessed&gt;&lt;_created&gt;59108705&lt;/_created&gt;&lt;_modified&gt;59108705&lt;/_modified&gt;&lt;/Details&gt;&lt;Extra&gt;&lt;DBUID&gt;{C833C268-2DD2-4BFD-9E86-C36B63EFE0FA}&lt;/DBUID&gt;&lt;/Extra&gt;&lt;/Item&gt;&lt;/References&gt;&lt;/Group&gt;&lt;/Citation&gt;_x000a_"/>
    <w:docVar w:name="NE.Ref{08897E9C-153B-4A93-B48F-4820380059C4}" w:val=" ADDIN NE.Ref.{08897E9C-153B-4A93-B48F-4820380059C4}&lt;Citation&gt;&lt;Group&gt;&lt;References&gt;&lt;Item&gt;&lt;ID&gt;1264&lt;/ID&gt;&lt;UID&gt;{59CE6E75-E057-45EF-ADF3-E99F87500F2D}&lt;/UID&gt;&lt;Title&gt;The future european code for composite bridges and its relation to british research and practice&lt;/Title&gt;&lt;Template&gt;Conference Paper&lt;/Template&gt;&lt;Star&gt;0&lt;/Star&gt;&lt;Tag&gt;5&lt;/Tag&gt;&lt;Author&gt;JOHNSON, ROGER P&lt;/Author&gt;&lt;Year&gt;2001&lt;/Year&gt;&lt;Details&gt;&lt;_accessed&gt;59157408&lt;/_accessed&gt;&lt;_created&gt;59153387&lt;/_created&gt;&lt;_modified&gt;59153390&lt;/_modified&gt;&lt;_place_published&gt;Madrid，Spain&lt;/_place_published&gt;&lt;_publisher&gt;the Third International Meeting on Composite Bridges sponsored by the Madrid Association of Civil Engineers&lt;/_publisher&gt;&lt;_translated_author&gt;JOHNSON, ROGER P&lt;/_translated_author&gt;&lt;/Details&gt;&lt;Extra&gt;&lt;DBUID&gt;{C833C268-2DD2-4BFD-9E86-C36B63EFE0FA}&lt;/DBUID&gt;&lt;/Extra&gt;&lt;/Item&gt;&lt;/References&gt;&lt;/Group&gt;&lt;/Citation&gt;_x000a_"/>
    <w:docVar w:name="NE.Ref{099C924A-79BA-4FA0-9C6B-E9B930345B87}" w:val=" ADDIN NE.Ref.{099C924A-79BA-4FA0-9C6B-E9B930345B87}&lt;Citation&gt;&lt;Group&gt;&lt;References&gt;&lt;Item&gt;&lt;ID&gt;1267&lt;/ID&gt;&lt;UID&gt;{56308F9B-1E01-4BE1-88BE-47E929308123}&lt;/UID&gt;&lt;Title&gt;Recent evolution of cable-stayed bridges&lt;/Title&gt;&lt;Template&gt;Journal Article&lt;/Template&gt;&lt;Star&gt;0&lt;/Star&gt;&lt;Tag&gt;5&lt;/Tag&gt;&lt;Author&gt;Virlogeux, Michel&lt;/Author&gt;&lt;Year&gt;1999&lt;/Year&gt;&lt;Details&gt;&lt;_alternate_title&gt;Engineering Structures&lt;/_alternate_title&gt;&lt;_created&gt;59166822&lt;/_created&gt;&lt;_date_display&gt;1999/8//&lt;/_date_display&gt;&lt;_db_updated&gt;ScienceDirect&lt;/_db_updated&gt;&lt;_isbn&gt;0141-0296&lt;/_isbn&gt;&lt;_issue&gt;8&lt;/_issue&gt;&lt;_journal&gt;Engineering Structures&lt;/_journal&gt;&lt;_keywords&gt;Cable-stayed bridges; very long spans; aerodynamic stability; dynamic response to turbulent wind; cable vibration; flexible decks; extradossed bridges; multispan cable-stayed bridges&lt;/_keywords&gt;&lt;_modified&gt;59166822&lt;/_modified&gt;&lt;_pages&gt;737-755&lt;/_pages&gt;&lt;_url&gt;http://www.sciencedirect.com/science/article/pii/S0141029698000285 _x000a_http://pdn.sciencedirect.com/science?_ob=MiamiImageURL&amp;amp;_cid=271087&amp;amp;_user=1002983&amp;amp;_pii=S0141029698000285&amp;amp;_check=y&amp;amp;_origin=article&amp;amp;_zone=toolbar&amp;amp;_coverDate=31-Aug-1999&amp;amp;view=c&amp;amp;originContentFamily=serial&amp;amp;wchp=dGLbVlt-zSkzS&amp;amp;md5=385cd70768d860086b7d2254049f1ffe&amp;amp;pid=1-s2.0-S0141029698000285-main.pdf 全文链接_x000a_&lt;/_url&gt;&lt;_volume&gt;21&lt;/_volume&gt;&lt;/Details&gt;&lt;Extra&gt;&lt;DBUID&gt;{C833C268-2DD2-4BFD-9E86-C36B63EFE0FA}&lt;/DBUID&gt;&lt;/Extra&gt;&lt;/Item&gt;&lt;/References&gt;&lt;/Group&gt;&lt;/Citation&gt;_x000a_"/>
    <w:docVar w:name="NE.Ref{0A3A19E4-B9B4-4421-BF3A-4382AB957AA2}" w:val=" ADDIN NE.Ref.{0A3A19E4-B9B4-4421-BF3A-4382AB957AA2}&lt;Citation&gt;&lt;Group&gt;&lt;References&gt;&lt;Item&gt;&lt;ID&gt;1264&lt;/ID&gt;&lt;UID&gt;{59CE6E75-E057-45EF-ADF3-E99F87500F2D}&lt;/UID&gt;&lt;Title&gt;The future european code for composite bridges and its relation to british research and practice&lt;/Title&gt;&lt;Template&gt;Conference Paper&lt;/Template&gt;&lt;Star&gt;0&lt;/Star&gt;&lt;Tag&gt;5&lt;/Tag&gt;&lt;Author&gt;JOHNSON, ROGER P&lt;/Author&gt;&lt;Year&gt;2001&lt;/Year&gt;&lt;Details&gt;&lt;_accessed&gt;59157408&lt;/_accessed&gt;&lt;_created&gt;59153387&lt;/_created&gt;&lt;_modified&gt;59153390&lt;/_modified&gt;&lt;_place_published&gt;Madrid，Spain&lt;/_place_published&gt;&lt;_publisher&gt;the Third International Meeting on Composite Bridges sponsored by the Madrid Association of Civil Engineers&lt;/_publisher&gt;&lt;_translated_author&gt;JOHNSON, ROGER P&lt;/_translated_author&gt;&lt;/Details&gt;&lt;Extra&gt;&lt;DBUID&gt;{C833C268-2DD2-4BFD-9E86-C36B63EFE0FA}&lt;/DBUID&gt;&lt;/Extra&gt;&lt;/Item&gt;&lt;/References&gt;&lt;/Group&gt;&lt;/Citation&gt;_x000a_"/>
    <w:docVar w:name="NE.Ref{0AD04FFA-DF15-4B05-902C-B59F87C3463F}" w:val=" ADDIN NE.Ref.{0AD04FFA-DF15-4B05-902C-B59F87C3463F}&lt;Citation&gt;&lt;Group&gt;&lt;References&gt;&lt;Item&gt;&lt;ID&gt;2633&lt;/ID&gt;&lt;UID&gt;{6A233B86-EAE9-4BCA-9847-D8873552141E}&lt;/UID&gt;&lt;Title&gt;外白渡桥船移大修保护工程设计(上)&lt;/Title&gt;&lt;Template&gt;Journal Article&lt;/Template&gt;&lt;Star&gt;0&lt;/Star&gt;&lt;Tag&gt;0&lt;/Tag&gt;&lt;Author&gt;岳贵平; 黄慷; 张春雷; 陈诚&lt;/Author&gt;&lt;Year&gt;2009&lt;/Year&gt;&lt;Details&gt;&lt;_accessed&gt;62191782&lt;/_accessed&gt;&lt;_author_aff&gt;上海市政工程设计研究总院大桥设计研究院;&lt;/_author_aff&gt;&lt;_created&gt;62191781&lt;/_created&gt;&lt;_date&gt;57751200&lt;/_date&gt;&lt;_db_provider&gt;CNKI: 期刊&lt;/_db_provider&gt;&lt;_db_updated&gt;CNKI - Reference&lt;/_db_updated&gt;&lt;_issue&gt;05&lt;/_issue&gt;&lt;_journal&gt;上海建设科技&lt;/_journal&gt;&lt;_keywords&gt;外白渡桥;外滩;船移大修;修旧如旧;钢桁架;墩台&lt;/_keywords&gt;&lt;_language&gt;Chinese&lt;/_language&gt;&lt;_modified&gt;62191782&lt;/_modified&gt;&lt;_pages&gt;1-5+15&lt;/_pages&gt;&lt;_url&gt;http://kns.cnki.net/KCMS/detail/detail.aspx?FileName=SJSK200905001&amp;amp;DbName=CJFQ2009&lt;/_url&gt;&lt;_translated_author&gt;Yue, Guiping;Huang, Kang;Zhang, Chunlei;Chen, Cheng&lt;/_translated_author&gt;&lt;/Details&gt;&lt;Extra&gt;&lt;DBUID&gt;{25139A1D-CF45-40E3-9EDD-33E25C1C489A}&lt;/DBUID&gt;&lt;/Extra&gt;&lt;/Item&gt;&lt;/References&gt;&lt;/Group&gt;&lt;/Citation&gt;_x000a_"/>
    <w:docVar w:name="NE.Ref{0CA41EC3-0252-46A7-9CE2-CADFA23E290E}" w:val=" ADDIN NE.Ref.{0CA41EC3-0252-46A7-9CE2-CADFA23E290E}&lt;Citation&gt;&lt;Group&gt;&lt;References&gt;&lt;Item&gt;&lt;ID&gt;1138&lt;/ID&gt;&lt;UID&gt;{1A1F102F-282D-443D-A2E7-1AC448D8592B}&lt;/UID&gt;&lt;Title&gt;Cable-supported steel bridges: Design problems and solutions&lt;/Title&gt;&lt;Template&gt;Journal Article&lt;/Template&gt;&lt;Star&gt;1&lt;/Star&gt;&lt;Tag&gt;4&lt;/Tag&gt;&lt;Author&gt;Ito, Manabu&lt;/Author&gt;&lt;Year&gt;1996&lt;/Year&gt;&lt;Details&gt;&lt;_accessed&gt;59066516&lt;/_accessed&gt;&lt;_alternate_title&gt;Journal of Constructional Steel Research_x000a_Special Issue on Tension Structures&lt;/_alternate_title&gt;&lt;_created&gt;59066503&lt;/_created&gt;&lt;_date_display&gt;1996/8//&lt;/_date_display&gt;&lt;_db_updated&gt;ScienceDirect&lt;/_db_updated&gt;&lt;_isbn&gt;0143-974X&lt;/_isbn&gt;&lt;_issue&gt;1&lt;/_issue&gt;&lt;_journal&gt;Journal of Constructional Steel Research&lt;/_journal&gt;&lt;_modified&gt;59066506&lt;/_modified&gt;&lt;_pages&gt;69-84&lt;/_pages&gt;&lt;_url&gt;http://www.sciencedirect.com/science/article/pii/0143974X96000260&lt;/_url&gt;&lt;_volume&gt;39&lt;/_volume&gt;&lt;/Details&gt;&lt;Extra&gt;&lt;DBUID&gt;{C833C268-2DD2-4BFD-9E86-C36B63EFE0FA}&lt;/DBUID&gt;&lt;/Extra&gt;&lt;/Item&gt;&lt;/References&gt;&lt;/Group&gt;&lt;/Citation&gt;_x000a_"/>
    <w:docVar w:name="NE.Ref{0D11AFA7-9D9D-4624-B939-58139536A3EB}" w:val=" ADDIN NE.Ref.{0D11AFA7-9D9D-4624-B939-58139536A3EB}&lt;Citation&gt;&lt;Group&gt;&lt;References&gt;&lt;Item&gt;&lt;ID&gt;2629&lt;/ID&gt;&lt;UID&gt;{D02E61F0-5144-4528-ADBC-1CB506DB196F}&lt;/UID&gt;&lt;Title&gt;文物铆接钢桥——海珠桥维修加固关键施工技术&lt;/Title&gt;&lt;Template&gt;Journal Article&lt;/Template&gt;&lt;Star&gt;0&lt;/Star&gt;&lt;Tag&gt;0&lt;/Tag&gt;&lt;Author&gt;方新跃&lt;/Author&gt;&lt;Year&gt;2016&lt;/Year&gt;&lt;Details&gt;&lt;_accessed&gt;62191681&lt;/_accessed&gt;&lt;_author_aff&gt;中铁大桥局武汉桥梁特种技术有限公司;桥梁结构健康与安全国家重点实验室;&lt;/_author_aff&gt;&lt;_collection_scope&gt;中国科技核心期刊;中文核心期刊;CSCD;EI;&lt;/_collection_scope&gt;&lt;_created&gt;62191681&lt;/_created&gt;&lt;_date&gt;61443360&lt;/_date&gt;&lt;_db_provider&gt;CNKI: 期刊&lt;/_db_provider&gt;&lt;_db_updated&gt;CNKI - Reference&lt;/_db_updated&gt;&lt;_issue&gt;05&lt;/_issue&gt;&lt;_journal&gt;桥梁建设&lt;/_journal&gt;&lt;_keywords&gt;文物桥;钢桥;索桁混合结构;铆接;病害;加固方案;顶推法;桥梁维修加固&lt;/_keywords&gt;&lt;_language&gt;Chinese&lt;/_language&gt;&lt;_modified&gt;62191683&lt;/_modified&gt;&lt;_pages&gt;110-115&lt;/_pages&gt;&lt;_url&gt;http://kns.cnki.net/KCMS/detail/detail.aspx?FileName=QLJS201605022&amp;amp;DbName=CJFQ2016&lt;/_url&gt;&lt;_translated_author&gt;Fang, Xinyue&lt;/_translated_author&gt;&lt;/Details&gt;&lt;Extra&gt;&lt;DBUID&gt;{25139A1D-CF45-40E3-9EDD-33E25C1C489A}&lt;/DBUID&gt;&lt;/Extra&gt;&lt;/Item&gt;&lt;/References&gt;&lt;/Group&gt;&lt;/Citation&gt;_x000a_"/>
    <w:docVar w:name="NE.Ref{0D3626DD-263E-4363-9770-7C9DAC98F455}" w:val=" ADDIN NE.Ref.{0D3626DD-263E-4363-9770-7C9DAC98F455}&lt;Citation&gt;&lt;Group&gt;&lt;References&gt;&lt;Item&gt;&lt;ID&gt;1402&lt;/ID&gt;&lt;UID&gt;{0E7D0FF6-09BD-4796-AE36-B169BDD7A5F0}&lt;/UID&gt;&lt;Title&gt;Conceptual Design and Analysis of Steel-Concrete Composite Bridges State of the Art&lt;/Title&gt;&lt;Template&gt;Journal Article&lt;/Template&gt;&lt;Star&gt;0&lt;/Star&gt;&lt;Tag&gt;5&lt;/Tag&gt;&lt;Author&gt;Al-Darzi, Suhaib Yahya Kasim; Chen, Airong&lt;/Author&gt;&lt;Year&gt;2006&lt;/Year&gt;&lt;Details&gt;&lt;_accessed&gt;59279116&lt;/_accessed&gt;&lt;_created&gt;59279116&lt;/_created&gt;&lt;_journal&gt;Steel Structures&lt;/_journal&gt;&lt;_modified&gt;59279118&lt;/_modified&gt;&lt;_pages&gt;393-407&lt;/_pages&gt;&lt;_volume&gt;6&lt;/_volume&gt;&lt;/Details&gt;&lt;Extra&gt;&lt;DBUID&gt;{C833C268-2DD2-4BFD-9E86-C36B63EFE0FA}&lt;/DBUID&gt;&lt;/Extra&gt;&lt;/Item&gt;&lt;/References&gt;&lt;/Group&gt;&lt;Group&gt;&lt;References&gt;&lt;Item&gt;&lt;ID&gt;1246&lt;/ID&gt;&lt;UID&gt;{6AEE728E-A188-4CD2-B959-9F08ECB079D7}&lt;/UID&gt;&lt;Title&gt;欧洲规范4 钢-混凝土组合梁设计方法（2）──组合梁的受力性能和计算理论&lt;/Title&gt;&lt;Template&gt;Journal Article&lt;/Template&gt;&lt;Star&gt;1&lt;/Star&gt;&lt;Tag&gt;5&lt;/Tag&gt;&lt;Author&gt;胡夏闵&lt;/Author&gt;&lt;Year&gt;1995&lt;/Year&gt;&lt;Details&gt;&lt;_accessed&gt;59128790&lt;/_accessed&gt;&lt;_created&gt;59128750&lt;/_created&gt;&lt;_issue&gt;10&lt;/_issue&gt;&lt;_journal&gt;工业建筑&lt;/_journal&gt;&lt;_modified&gt;59128790&lt;/_modified&gt;&lt;_tertiary_title&gt;Industrial Construction&lt;/_tertiary_title&gt;&lt;_translated_author&gt;Xiamin, Hu&lt;/_translated_author&gt;&lt;_translated_title&gt;DESIGN METHOD OF EUROCODE 4 FOR STEEL-CONCRETE COMPOSITE BEAMS(2)-LOAD CARRING BEHAVIOUR AND CALCULATING THEORY OF COMPOSITE BEAMS&lt;/_translated_title&gt;&lt;_volume&gt;25&lt;/_volume&gt;&lt;/Details&gt;&lt;Extra&gt;&lt;DBUID&gt;{C833C268-2DD2-4BFD-9E86-C36B63EFE0FA}&lt;/DBUID&gt;&lt;/Extra&gt;&lt;/Item&gt;&lt;/References&gt;&lt;/Group&gt;&lt;/Citation&gt;_x000a_"/>
    <w:docVar w:name="NE.Ref{0E19CCA5-EC8D-4EE4-860C-A1B9C9F4DA70}" w:val=" ADDIN NE.Ref.{0E19CCA5-EC8D-4EE4-860C-A1B9C9F4DA70}&lt;Citation&gt;&lt;Group&gt;&lt;References&gt;&lt;Item&gt;&lt;ID&gt;1346&lt;/ID&gt;&lt;UID&gt;{45F9E957-869E-476E-8B9B-C794C6BD1EAA}&lt;/UID&gt;&lt;Title&gt;Analysis of Composite Cable Stayed Bridge using Program SES&lt;/Title&gt;&lt;Template&gt;Conference Paper&lt;/Template&gt;&lt;Star&gt;0&lt;/Star&gt;&lt;Tag&gt;5&lt;/Tag&gt;&lt;Author&gt;Cho, KS; Kim, WJ&lt;/Author&gt;&lt;Year&gt;2001&lt;/Year&gt;&lt;Details&gt;&lt;_accessed&gt;59242831&lt;/_accessed&gt;&lt;_created&gt;59242830&lt;/_created&gt;&lt;_modified&gt;59242834&lt;/_modified&gt;&lt;_place_published&gt;Seoul&lt;/_place_published&gt;&lt;_secondary_title&gt;IABSE Conference:Cable-Supported Bridges - Challenging Technical Limits&lt;/_secondary_title&gt;&lt;_tertiary_title&gt;IABSE Symposium Report&lt;/_tertiary_title&gt;&lt;/Details&gt;&lt;Extra&gt;&lt;DBUID&gt;{C833C268-2DD2-4BFD-9E86-C36B63EFE0FA}&lt;/DBUID&gt;&lt;/Extra&gt;&lt;/Item&gt;&lt;/References&gt;&lt;/Group&gt;&lt;/Citation&gt;_x000a_"/>
    <w:docVar w:name="NE.Ref{0F4E8EFF-898F-4F11-BE0A-740125756E5E}" w:val=" ADDIN NE.Ref.{0F4E8EFF-898F-4F11-BE0A-740125756E5E}&lt;Citation&gt;&lt;Group&gt;&lt;References&gt;&lt;Item&gt;&lt;ID&gt;1404&lt;/ID&gt;&lt;UID&gt;{BDB64B16-2D09-4534-9F7B-B6A46EC954A0}&lt;/UID&gt;&lt;Title&gt;Initial Thoughts on the Design of a Cable-stayed Bridge&lt;/Title&gt;&lt;Template&gt;Conference Proceedings&lt;/Template&gt;&lt;Star&gt;0&lt;/Star&gt;&lt;Tag&gt;5&lt;/Tag&gt;&lt;Author&gt;Hunt, I&lt;/Author&gt;&lt;Year&gt;1997&lt;/Year&gt;&lt;Details&gt;&lt;_accessed&gt;59280053&lt;/_accessed&gt;&lt;_created&gt;59280034&lt;/_created&gt;&lt;_journal&gt;Proc. Instn. Civ. Engrs. Structs &amp;amp; Bldgs&lt;/_journal&gt;&lt;_modified&gt;59280052&lt;/_modified&gt;&lt;_pages&gt;218-226&lt;/_pages&gt;&lt;_secondary_title&gt;Proc. Instn. Civ. Engrs. Structs &amp;amp; Bldgs&lt;/_secondary_title&gt;&lt;/Details&gt;&lt;Extra&gt;&lt;DBUID&gt;{C833C268-2DD2-4BFD-9E86-C36B63EFE0FA}&lt;/DBUID&gt;&lt;/Extra&gt;&lt;/Item&gt;&lt;/References&gt;&lt;/Group&gt;&lt;/Citation&gt;_x000a_"/>
    <w:docVar w:name="NE.Ref{0F641B36-1F07-434B-B2FD-B97E3B06273C}" w:val=" ADDIN NE.Ref.{0F641B36-1F07-434B-B2FD-B97E3B06273C}&lt;Citation&gt;&lt;Group&gt;&lt;References&gt;&lt;Item&gt;&lt;ID&gt;1259&lt;/ID&gt;&lt;UID&gt;{F3ED9ECE-B52C-4416-BE1C-56A13B5F985F}&lt;/UID&gt;&lt;Title&gt;Eurocode 4 Design of Composite Steel and Concrete Structures-Part 1-1: General rules and rules for buildings&lt;/Title&gt;&lt;Template&gt;Standard&lt;/Template&gt;&lt;Star&gt;0&lt;/Star&gt;&lt;Tag&gt;0&lt;/Tag&gt;&lt;Author/&gt;&lt;Year&gt;2004&lt;/Year&gt;&lt;Details&gt;&lt;_accessed&gt;59228109&lt;/_accessed&gt;&lt;_created&gt;59129086&lt;/_created&gt;&lt;_modified&gt;59228110&lt;/_modified&gt;&lt;/Details&gt;&lt;Extra&gt;&lt;DBUID&gt;{C833C268-2DD2-4BFD-9E86-C36B63EFE0FA}&lt;/DBUID&gt;&lt;/Extra&gt;&lt;/Item&gt;&lt;/References&gt;&lt;/Group&gt;&lt;/Citation&gt;_x000a_"/>
    <w:docVar w:name="NE.Ref{0FE49CA5-3FAA-4290-A02E-A5B839075FC0}" w:val=" ADDIN NE.Ref.{0FE49CA5-3FAA-4290-A02E-A5B839075FC0}&lt;Citation&gt;&lt;Group&gt;&lt;References&gt;&lt;Item&gt;&lt;ID&gt;1433&lt;/ID&gt;&lt;UID&gt;{E3E39177-1D0E-4112-9B79-2B2D94BFDF45}&lt;/UID&gt;&lt;Title&gt;Stability Analysis of Box-girder Cable-stayed Bridges&lt;/Title&gt;&lt;Template&gt;Journal Article&lt;/Template&gt;&lt;Star&gt;1&lt;/Star&gt;&lt;Tag&gt;3&lt;/Tag&gt;&lt;Author&gt;Shu, Hung-Shan; Wang, Yang-Cheng&lt;/Author&gt;&lt;Year&gt;2001&lt;/Year&gt;&lt;Details&gt;&lt;_accessed&gt;59356170&lt;/_accessed&gt;&lt;_created&gt;59356165&lt;/_created&gt;&lt;_journal&gt;Journal of Bridge Engineering&lt;/_journal&gt;&lt;_modified&gt;59356170&lt;/_modified&gt;&lt;_pages&gt;63-68&lt;/_pages&gt;&lt;_volume&gt;6&lt;/_volume&gt;&lt;/Details&gt;&lt;Extra&gt;&lt;DBUID&gt;{C833C268-2DD2-4BFD-9E86-C36B63EFE0FA}&lt;/DBUID&gt;&lt;/Extra&gt;&lt;/Item&gt;&lt;/References&gt;&lt;/Group&gt;&lt;/Citation&gt;_x000a_"/>
    <w:docVar w:name="NE.Ref{10CE1B1D-E452-4B8F-867D-307CE6048FD1}" w:val=" ADDIN NE.Ref.{10CE1B1D-E452-4B8F-867D-307CE6048FD1}&lt;Citation&gt;&lt;Group&gt;&lt;References&gt;&lt;Item&gt;&lt;ID&gt;1232&lt;/ID&gt;&lt;UID&gt;{EDE566AA-2848-4A64-B824-5F8861F11984}&lt;/UID&gt;&lt;Title&gt;斜拉桥&lt;/Title&gt;&lt;Template&gt;Book&lt;/Template&gt;&lt;Star&gt;0&lt;/Star&gt;&lt;Tag&gt;5&lt;/Tag&gt;&lt;Author&gt;林元培&lt;/Author&gt;&lt;Year&gt;2004&lt;/Year&gt;&lt;Details&gt;&lt;_accessed&gt;59099573&lt;/_accessed&gt;&lt;_created&gt;59098685&lt;/_created&gt;&lt;_modified&gt;59098685&lt;/_modified&gt;&lt;_place_published&gt;北京&lt;/_place_published&gt;&lt;_publisher&gt;人民交通出版社&lt;/_publisher&gt;&lt;/Details&gt;&lt;Extra&gt;&lt;DBUID&gt;{C833C268-2DD2-4BFD-9E86-C36B63EFE0FA}&lt;/DBUID&gt;&lt;/Extra&gt;&lt;/Item&gt;&lt;/References&gt;&lt;/Group&gt;&lt;/Citation&gt;_x000a_"/>
    <w:docVar w:name="NE.Ref{110BDD7C-1196-42B6-A008-5841DA4445E3}" w:val=" ADDIN NE.Ref.{110BDD7C-1196-42B6-A008-5841DA4445E3}&lt;Citation&gt;&lt;Group&gt;&lt;References&gt;&lt;Item&gt;&lt;ID&gt;1326&lt;/ID&gt;&lt;UID&gt;{7599E4B0-BB10-41D0-8ECE-D60413FBC5F2}&lt;/UID&gt;&lt;Title&gt;Displacement‐based Formulations for Composite Beams with Longitudinal Slip and Vertical Uplift&lt;/Title&gt;&lt;Template&gt;Journal Article&lt;/Template&gt;&lt;Star&gt;0&lt;/Star&gt;&lt;Tag&gt;5&lt;/Tag&gt;&lt;Author&gt;Gara, F; Ranzi, G; Leoni, G&lt;/Author&gt;&lt;Year&gt;2006&lt;/Year&gt;&lt;Details&gt;&lt;_accessed&gt;59207923&lt;/_accessed&gt;&lt;_created&gt;59205559&lt;/_created&gt;&lt;_db_provider&gt;CNKI&lt;/_db_provider&gt;&lt;_db_updated&gt;CNKI&lt;/_db_updated&gt;&lt;_issue&gt;8&lt;/_issue&gt;&lt;_journal&gt;International Journal for Numerical Methods in Engineering&lt;/_journal&gt;&lt;_keywords&gt;composite beams;finite element method;partial interaction;slip;uplift&lt;/_keywords&gt;&lt;_modified&gt;59207925&lt;/_modified&gt;&lt;_url&gt;http://guest.cnki.net/grid2008/brief/detailj.aspx?filename=SJWD00000880139&amp;amp;dbname=SJWD _x000a_http://www.cnki.net/kcms 全文链接_x000a_&lt;/_url&gt;&lt;/Details&gt;&lt;Extra&gt;&lt;DBUID&gt;{C833C268-2DD2-4BFD-9E86-C36B63EFE0FA}&lt;/DBUID&gt;&lt;/Extra&gt;&lt;/Item&gt;&lt;/References&gt;&lt;/Group&gt;&lt;/Citation&gt;_x000a_"/>
    <w:docVar w:name="NE.Ref{12770B12-0229-4020-B847-DDD5E9CD3B07}" w:val=" ADDIN NE.Ref.{12770B12-0229-4020-B847-DDD5E9CD3B07}&lt;Citation&gt;&lt;Group&gt;&lt;References&gt;&lt;Item&gt;&lt;ID&gt;1232&lt;/ID&gt;&lt;UID&gt;{EDE566AA-2848-4A64-B824-5F8861F11984}&lt;/UID&gt;&lt;Title&gt;斜拉桥&lt;/Title&gt;&lt;Template&gt;Book&lt;/Template&gt;&lt;Star&gt;0&lt;/Star&gt;&lt;Tag&gt;5&lt;/Tag&gt;&lt;Author&gt;林元培&lt;/Author&gt;&lt;Year&gt;2004&lt;/Year&gt;&lt;Details&gt;&lt;_accessed&gt;59099573&lt;/_accessed&gt;&lt;_created&gt;59098685&lt;/_created&gt;&lt;_modified&gt;59098685&lt;/_modified&gt;&lt;_place_published&gt;北京&lt;/_place_published&gt;&lt;_publisher&gt;人民交通出版社&lt;/_publisher&gt;&lt;/Details&gt;&lt;Extra&gt;&lt;DBUID&gt;{C833C268-2DD2-4BFD-9E86-C36B63EFE0FA}&lt;/DBUID&gt;&lt;/Extra&gt;&lt;/Item&gt;&lt;/References&gt;&lt;/Group&gt;&lt;/Citation&gt;_x000a_"/>
    <w:docVar w:name="NE.Ref{1282E132-A2AE-4E60-9FAE-044293CA95B7}" w:val=" ADDIN NE.Ref.{1282E132-A2AE-4E60-9FAE-044293CA95B7}&lt;Citation&gt;&lt;Group&gt;&lt;References&gt;&lt;Item&gt;&lt;ID&gt;1323&lt;/ID&gt;&lt;UID&gt;{ECFCB215-A7B8-4C29-AF0F-C4F88EAB53F5}&lt;/UID&gt;&lt;Title&gt;Analysis of Composite Beams with Partial Shear Interaction Using Available Modelling Techniques:A Comparative Study&lt;/Title&gt;&lt;Template&gt;Journal Article&lt;/Template&gt;&lt;Star&gt;1&lt;/Star&gt;&lt;Tag&gt;5&lt;/Tag&gt;&lt;Author&gt;Ranzi, Gianluca; Gara, Fabrizio; Leoni, Graziano; Bradford, Mark A&lt;/Author&gt;&lt;Year&gt;2006&lt;/Year&gt;&lt;Details&gt;&lt;_accessed&gt;59198345&lt;/_accessed&gt;&lt;_created&gt;59198345&lt;/_created&gt;&lt;_journal&gt;Computers and Structures&lt;/_journal&gt;&lt;_modified&gt;59198348&lt;/_modified&gt;&lt;_pages&gt;930-941&lt;/_pages&gt;&lt;_volume&gt;84&lt;/_volume&gt;&lt;/Details&gt;&lt;Extra&gt;&lt;DBUID&gt;{C833C268-2DD2-4BFD-9E86-C36B63EFE0FA}&lt;/DBUID&gt;&lt;/Extra&gt;&lt;/Item&gt;&lt;/References&gt;&lt;/Group&gt;&lt;/Citation&gt;_x000a_"/>
    <w:docVar w:name="NE.Ref{12E5B994-BEE4-4084-8C2C-1D010A9B36E9}" w:val=" ADDIN NE.Ref.{12E5B994-BEE4-4084-8C2C-1D010A9B36E9}&lt;Citation&gt;&lt;Group&gt;&lt;References&gt;&lt;Item&gt;&lt;ID&gt;1299&lt;/ID&gt;&lt;UID&gt;{DC74E34D-3E56-45F0-B873-41B4EE92911D}&lt;/UID&gt;&lt;Title&gt;Nolinear Analysis of Steel-Concrete composite structures:State of the Art&lt;/Title&gt;&lt;Template&gt;Journal Article&lt;/Template&gt;&lt;Star&gt;1&lt;/Star&gt;&lt;Tag&gt;5&lt;/Tag&gt;&lt;Author&gt;Spacone, Enrico; El-Tawil, Sherif&lt;/Author&gt;&lt;Year&gt;2004&lt;/Year&gt;&lt;Details&gt;&lt;_accessed&gt;59252854&lt;/_accessed&gt;&lt;_created&gt;59168673&lt;/_created&gt;&lt;_issue&gt;2&lt;/_issue&gt;&lt;_journal&gt;Journal of Structural Engineering&lt;/_journal&gt;&lt;_modified&gt;59168725&lt;/_modified&gt;&lt;_pages&gt;159-168&lt;/_pages&gt;&lt;_tertiary_title&gt;Journal of Structural Engineering&lt;/_tertiary_title&gt;&lt;_translated_author&gt;Spacone, Enrico; El-Tawil, Sherif&lt;/_translated_author&gt;&lt;_volume&gt;130&lt;/_volume&gt;&lt;/Details&gt;&lt;Extra&gt;&lt;DBUID&gt;{C833C268-2DD2-4BFD-9E86-C36B63EFE0FA}&lt;/DBUID&gt;&lt;/Extra&gt;&lt;/Item&gt;&lt;/References&gt;&lt;/Group&gt;&lt;/Citation&gt;_x000a_"/>
    <w:docVar w:name="NE.Ref{143DDD29-D609-4F42-83FB-D6BC891A5298}" w:val=" ADDIN NE.Ref.{143DDD29-D609-4F42-83FB-D6BC891A5298}&lt;Citation&gt;&lt;Group&gt;&lt;References&gt;&lt;Item&gt;&lt;ID&gt;1335&lt;/ID&gt;&lt;UID&gt;{831E2068-4D50-4690-8D11-504A41FE830B}&lt;/UID&gt;&lt;Title&gt;Feasibility of a 1,400 m Span Steel Cable-Stayed Bridge&lt;/Title&gt;&lt;Template&gt;Journal Article&lt;/Template&gt;&lt;Star&gt;1&lt;/Star&gt;&lt;Tag&gt;5&lt;/Tag&gt;&lt;Author&gt;Nagai, Masatsugu; Fujino, Yozo; Yamaguchi, Hiroki; Iwasaki, Eiji&lt;/Author&gt;&lt;Year&gt;2004&lt;/Year&gt;&lt;Details&gt;&lt;_accessed&gt;59227031&lt;/_accessed&gt;&lt;_created&gt;59211364&lt;/_created&gt;&lt;_journal&gt;Journal of Bridge Engineering&lt;/_journal&gt;&lt;_modified&gt;59211367&lt;/_modified&gt;&lt;_pages&gt;444-452&lt;/_pages&gt;&lt;_volume&gt;9&lt;/_volume&gt;&lt;/Details&gt;&lt;Extra&gt;&lt;DBUID&gt;{C833C268-2DD2-4BFD-9E86-C36B63EFE0FA}&lt;/DBUID&gt;&lt;/Extra&gt;&lt;/Item&gt;&lt;/References&gt;&lt;/Group&gt;&lt;Group&gt;&lt;References&gt;&lt;Item&gt;&lt;ID&gt;1336&lt;/ID&gt;&lt;UID&gt;{E3BEDE2D-7476-4DF0-93FE-D2EC5D020659}&lt;/UID&gt;&lt;Title&gt;跨径1400m钢斜拉桥的可行性&lt;/Title&gt;&lt;Template&gt;Journal Article&lt;/Template&gt;&lt;Star&gt;1&lt;/Star&gt;&lt;Tag&gt;5&lt;/Tag&gt;&lt;Author&gt;王政兵; 龚志刚&lt;/Author&gt;&lt;Year&gt;2005&lt;/Year&gt;&lt;Details&gt;&lt;_accessed&gt;59211380&lt;/_accessed&gt;&lt;_created&gt;59211380&lt;/_created&gt;&lt;_issue&gt;1&lt;/_issue&gt;&lt;_journal&gt;世界桥梁&lt;/_journal&gt;&lt;_modified&gt;59211384&lt;/_modified&gt;&lt;_pages&gt;5-10&lt;/_pages&gt;&lt;/Details&gt;&lt;Extra&gt;&lt;DBUID&gt;{C833C268-2DD2-4BFD-9E86-C36B63EFE0FA}&lt;/DBUID&gt;&lt;/Extra&gt;&lt;/Item&gt;&lt;/References&gt;&lt;/Group&gt;&lt;Group&gt;&lt;References&gt;&lt;Item&gt;&lt;ID&gt;1341&lt;/ID&gt;&lt;UID&gt;{0A37C5F6-B618-4F94-9B9E-46C880E66D51}&lt;/UID&gt;&lt;Title&gt;Study on Limit Span of Self-anchored Cable-stayed Bridges&lt;/Title&gt;&lt;Template&gt;Journal Article&lt;/Template&gt;&lt;Star&gt;1&lt;/Star&gt;&lt;Tag&gt;5&lt;/Tag&gt;&lt;Author&gt;NAGAI, MASATSUGU&lt;/Author&gt;&lt;Year&gt;0&lt;/Year&gt;&lt;Details&gt;&lt;_accessed&gt;59271528&lt;/_accessed&gt;&lt;_created&gt;59227118&lt;/_created&gt;&lt;_modified&gt;59227121&lt;/_modified&gt;&lt;/Details&gt;&lt;Extra&gt;&lt;DBUID&gt;{C833C268-2DD2-4BFD-9E86-C36B63EFE0FA}&lt;/DBUID&gt;&lt;/Extra&gt;&lt;/Item&gt;&lt;/References&gt;&lt;/Group&gt;&lt;/Citation&gt;_x000a_"/>
    <w:docVar w:name="NE.Ref{14E3C0A2-7112-413B-9EB5-6FF2135858C6}" w:val=" ADDIN NE.Ref.{14E3C0A2-7112-413B-9EB5-6FF2135858C6}&lt;Citation&gt;&lt;Group&gt;&lt;References&gt;&lt;Item&gt;&lt;ID&gt;1006&lt;/ID&gt;&lt;UID&gt;{C7A4427D-0792-42A6-8AFD-1597D3EE5DB1}&lt;/UID&gt;&lt;Title&gt;苏通大桥斜拉桥静力稳定分析的综合比较研究&lt;/Title&gt;&lt;Template&gt;Journal Article&lt;/Template&gt;&lt;Star&gt;1&lt;/Star&gt;&lt;Tag&gt;5&lt;/Tag&gt;&lt;Author&gt;苗家武; 肖汝诚; 裴岷山; 张喜刚&lt;/Author&gt;&lt;Year&gt;2006&lt;/Year&gt;&lt;Details&gt;&lt;_author_adr&gt;同济大学,桥梁工程系,上海,200092; 中交公路规划设计院,北京,100010&lt;/_author_adr&gt;&lt;_author_aff&gt;同济大学,桥梁工程系,上海,200092; 中交公路规划设计院,北京,100010&lt;/_author_aff&gt;&lt;_created&gt;59057859&lt;/_created&gt;&lt;_db_provider&gt;北京万方数据股份有限公司&lt;/_db_provider&gt;&lt;_db_updated&gt;Wanfang - Journal&lt;/_db_updated&gt;&lt;_isbn&gt;0253-374X&lt;/_isbn&gt;&lt;_issue&gt;7&lt;/_issue&gt;&lt;_journal&gt;同济大学学报（自然科学版）&lt;/_journal&gt;&lt;_keywords&gt;斜拉桥; 静力稳定性; 几何非线性; 材料非线性; 超大跨度&lt;/_keywords&gt;&lt;_language&gt;chi&lt;/_language&gt;&lt;_modified&gt;59057859&lt;/_modified&gt;&lt;_pages&gt;869-873&lt;/_pages&gt;&lt;_tertiary_title&gt;JOURNAL OF TONGJI UNIVERSITY(NATURAL SCIENCE)&lt;/_tertiary_title&gt;&lt;_translated_author&gt;Jiawu, MIAO; Rucheng, XIAO; Minshan, PEI; Xigang, ZHANG&lt;/_translated_author&gt;&lt;_translated_title&gt;Summarized Comparison Study on Global Static Stability of the Su-Tong Cable-Stayed Bridge&lt;/_translated_title&gt;&lt;_url&gt;http://d.wanfangdata.com.cn/Periodical_tjdxxb200607004.aspx _x000a_http://f.g.wanfangdata.com.cn/Fulltext.ashx?fileId=Periodical_tjdxxb200607004&amp;amp;type=download&amp;amp;transaction=%7b%22ExtraData%22%3a%5b%5d%2c%22Transaction%22%3a%7b%22DateTime%22%3a%22%5c%2fDate(1334453914513%2b0800)%5c%2f%22%2c%22Id%22%3a%227cbad009-adc3-4ced-a14b-a034009ee913%22%2c%22ProductDetail%22%3a%22Periodical_tjdxxb200607004%22%2c%22SessionId%22%3a%22b7ebde5e-b658-44d5-80eb-ea8b9d1c1397%22%2c%22Signature%22%3a%22uEOFncA0V8mNrcfJ3JVCagTPAZKQExOSVWDtTQ%2bVtoqX1w6ml3K7RuEgqdbgt2%5c%2f0%22%2c%22TransferIn%22%3a%7b%22AccountType%22%3a%22Income%22%2c%22Key%22%3a%22PeriodicalFulltext%22%7d%2c%22TransferOut%22%3a%7b%22AccountType%22%3a%22GTimeLimit%22%2c%22Key%22%3a%22tjdxtsg%22%7d%2c%22Turnover%22%3a3.00000%2c%22User%22%3anull%7d%2c%22TransferOutAccountsStatus%22%3a%5b%5d%7d 全文链接_x000a_&lt;/_url&gt;&lt;_volume&gt;34&lt;/_volume&gt;&lt;/Details&gt;&lt;Extra&gt;&lt;DBUID&gt;{C833C268-2DD2-4BFD-9E86-C36B63EFE0FA}&lt;/DBUID&gt;&lt;/Extra&gt;&lt;/Item&gt;&lt;/References&gt;&lt;/Group&gt;&lt;/Citation&gt;_x000a_"/>
    <w:docVar w:name="NE.Ref{1598C08F-3F1C-46B3-A394-9E2016AB9776}" w:val=" ADDIN NE.Ref.{1598C08F-3F1C-46B3-A394-9E2016AB9776}&lt;Citation&gt;&lt;Group&gt;&lt;References&gt;&lt;Item&gt;&lt;ID&gt;1256&lt;/ID&gt;&lt;UID&gt;{7A8A0AB9-7C2E-4873-8568-4C0502ED6AE8}&lt;/UID&gt;&lt;Title&gt;Eurocode 2 Design of concrete structures-Part 1-1:General rules and rules for buildings&lt;/Title&gt;&lt;Template&gt;Standard&lt;/Template&gt;&lt;Star&gt;0&lt;/Star&gt;&lt;Tag&gt;0&lt;/Tag&gt;&lt;Author/&gt;&lt;Year&gt;2004&lt;/Year&gt;&lt;Details&gt;&lt;_accessed&gt;59128929&lt;/_accessed&gt;&lt;_created&gt;59128917&lt;/_created&gt;&lt;_modified&gt;59128929&lt;/_modified&gt;&lt;/Details&gt;&lt;Extra&gt;&lt;DBUID&gt;{C833C268-2DD2-4BFD-9E86-C36B63EFE0FA}&lt;/DBUID&gt;&lt;/Extra&gt;&lt;/Item&gt;&lt;/References&gt;&lt;/Group&gt;&lt;/Citation&gt;_x000a_"/>
    <w:docVar w:name="NE.Ref{168FA719-1F49-4BCC-BED2-0206A11AF636}" w:val=" ADDIN NE.Ref.{168FA719-1F49-4BCC-BED2-0206A11AF636}&lt;Citation&gt;&lt;Group&gt;&lt;References&gt;&lt;Item&gt;&lt;ID&gt;1135&lt;/ID&gt;&lt;UID&gt;{9AF11686-7974-4E02-B7A2-2CB1A59BBBE0}&lt;/UID&gt;&lt;Title&gt;Analysis of the overall collapse mechanism of cable-stayed bridges with different cable layouts&lt;/Title&gt;&lt;Template&gt;Journal Article&lt;/Template&gt;&lt;Star&gt;1&lt;/Star&gt;&lt;Tag&gt;5&lt;/Tag&gt;&lt;Author&gt;Song, Weon-Keun; Kim, Seung-Eock&lt;/Author&gt;&lt;Year&gt;2007&lt;/Year&gt;&lt;Details&gt;&lt;_accessed&gt;59176698&lt;/_accessed&gt;&lt;_alternate_title&gt;Engineering Structures&lt;/_alternate_title&gt;&lt;_created&gt;59066503&lt;/_created&gt;&lt;_date_display&gt;2007/9//&lt;/_date_display&gt;&lt;_db_updated&gt;ScienceDirect&lt;/_db_updated&gt;&lt;_isbn&gt;0141-0296&lt;/_isbn&gt;&lt;_issue&gt;9&lt;/_issue&gt;&lt;_journal&gt;Engineering Structures&lt;/_journal&gt;&lt;_keywords&gt;Steel cable-stayed bridge; Softening plastic-hinge model; Fiber element model; Nonlinear inelastic buckling model; Overall collapse mechanism; Ultimate load-carrying capacity&lt;/_keywords&gt;&lt;_modified&gt;59066505&lt;/_modified&gt;&lt;_pages&gt;2133-2142&lt;/_pages&gt;&lt;_url&gt;http://www.sciencedirect.com/science/article/pii/S0141029606004718&lt;/_url&gt;&lt;_volume&gt;29&lt;/_volume&gt;&lt;/Details&gt;&lt;Extra&gt;&lt;DBUID&gt;{C833C268-2DD2-4BFD-9E86-C36B63EFE0FA}&lt;/DBUID&gt;&lt;/Extra&gt;&lt;/Item&gt;&lt;/References&gt;&lt;/Group&gt;&lt;/Citation&gt;_x000a_"/>
    <w:docVar w:name="NE.Ref{16A12DE5-A832-49AE-AD5C-AFB595AA1738}" w:val=" ADDIN NE.Ref.{16A12DE5-A832-49AE-AD5C-AFB595AA1738}&lt;Citation&gt;&lt;Group&gt;&lt;References&gt;&lt;Item&gt;&lt;ID&gt;1230&lt;/ID&gt;&lt;UID&gt;{AF69320F-3A57-4974-91C4-69C86B006184}&lt;/UID&gt;&lt;Title&gt;现代斜拉桥&lt;/Title&gt;&lt;Template&gt;Book&lt;/Template&gt;&lt;Star&gt;0&lt;/Star&gt;&lt;Tag&gt;5&lt;/Tag&gt;&lt;Author&gt;严国敏&lt;/Author&gt;&lt;Year&gt;1996&lt;/Year&gt;&lt;Details&gt;&lt;_accessed&gt;59096627&lt;/_accessed&gt;&lt;_created&gt;59096627&lt;/_created&gt;&lt;_modified&gt;59096627&lt;/_modified&gt;&lt;_place_published&gt;成都&lt;/_place_published&gt;&lt;_publisher&gt;西南交通大学出版社&lt;/_publisher&gt;&lt;/Details&gt;&lt;Extra&gt;&lt;DBUID&gt;{C833C268-2DD2-4BFD-9E86-C36B63EFE0FA}&lt;/DBUID&gt;&lt;/Extra&gt;&lt;/Item&gt;&lt;/References&gt;&lt;/Group&gt;&lt;Group&gt;&lt;References&gt;&lt;Item&gt;&lt;ID&gt;1226&lt;/ID&gt;&lt;UID&gt;{60952F44-4104-49E1-8A4B-6FC9BBC31C7A}&lt;/UID&gt;&lt;Title&gt;Erection of Cable-stayed Bridges Having Composite Decks with Precast Concrete Slabs&lt;/Title&gt;&lt;Template&gt;Journal Article&lt;/Template&gt;&lt;Star&gt;1&lt;/Star&gt;&lt;Tag&gt;5&lt;/Tag&gt;&lt;Author&gt;Schlaich, M&lt;/Author&gt;&lt;Year&gt;2001&lt;/Year&gt;&lt;Details&gt;&lt;_accessed&gt;59178183&lt;/_accessed&gt;&lt;_created&gt;59095915&lt;/_created&gt;&lt;_journal&gt;Journal of Bridge Engineering&lt;/_journal&gt;&lt;_modified&gt;59172201&lt;/_modified&gt;&lt;/Details&gt;&lt;Extra&gt;&lt;DBUID&gt;{C833C268-2DD2-4BFD-9E86-C36B63EFE0FA}&lt;/DBUID&gt;&lt;/Extra&gt;&lt;/Item&gt;&lt;/References&gt;&lt;/Group&gt;&lt;/Citation&gt;_x000a_"/>
    <w:docVar w:name="NE.Ref{18492496-585B-4BA8-921D-1BB669F864B5}" w:val=" ADDIN NE.Ref.{18492496-585B-4BA8-921D-1BB669F864B5}&lt;Citation&gt;&lt;Group&gt;&lt;References&gt;&lt;Item&gt;&lt;ID&gt;947&lt;/ID&gt;&lt;UID&gt;{3C3CE024-921E-4D0D-AC82-1FE382B7B19F}&lt;/UID&gt;&lt;Title&gt;结合梁斜拉桥桥面板滑移及有效宽度研究&lt;/Title&gt;&lt;Template&gt;Thesis&lt;/Template&gt;&lt;Star&gt;0&lt;/Star&gt;&lt;Tag&gt;5&lt;/Tag&gt;&lt;Author&gt;刘洋&lt;/Author&gt;&lt;Year&gt;2010&lt;/Year&gt;&lt;Details&gt;&lt;_accessed&gt;59055929&lt;/_accessed&gt;&lt;_created&gt;59055921&lt;/_created&gt;&lt;_date&gt;58027680&lt;/_date&gt;&lt;_db_provider&gt;北京万方数据股份有限公司&lt;/_db_provider&gt;&lt;_db_updated&gt;Wanfang - Thesis&lt;/_db_updated&gt;&lt;_keywords&gt;结合梁斜拉桥; 抗剪连接件; 剪力滞; 有效宽度; 面板滑移; 结构承载力&lt;/_keywords&gt;&lt;_language&gt;chi&lt;/_language&gt;&lt;_modified&gt;59055926&lt;/_modified&gt;&lt;_publisher&gt;武汉理工大学&lt;/_publisher&gt;&lt;_section&gt;桥梁与隧道工程&lt;/_section&gt;&lt;_tertiary_author&gt;刘沐宇&lt;/_tertiary_author&gt;&lt;_url&gt;http://d.wanfangdata.com.cn/Thesis_Y1680383.aspx&lt;/_url&gt;&lt;_volume&gt;硕士&lt;/_volume&gt;&lt;/Details&gt;&lt;Extra&gt;&lt;DBUID&gt;{C833C268-2DD2-4BFD-9E86-C36B63EFE0FA}&lt;/DBUID&gt;&lt;/Extra&gt;&lt;/Item&gt;&lt;/References&gt;&lt;/Group&gt;&lt;/Citation&gt;_x000a_"/>
    <w:docVar w:name="NE.Ref{1C8EB2E1-0404-455D-ACD8-BDAD6420718D}" w:val=" ADDIN NE.Ref.{1C8EB2E1-0404-455D-ACD8-BDAD6420718D}&lt;Citation&gt;&lt;Group&gt;&lt;References&gt;&lt;Item&gt;&lt;ID&gt;1301&lt;/ID&gt;&lt;UID&gt;{3E82ACD6-1939-4DF1-A297-181533110399}&lt;/UID&gt;&lt;Title&gt;Cable-stayed Bridges-Parametric Study&lt;/Title&gt;&lt;Template&gt;Journal Article&lt;/Template&gt;&lt;Star&gt;0&lt;/Star&gt;&lt;Tag&gt;5&lt;/Tag&gt;&lt;Author&gt;Agrawal, T P&lt;/Author&gt;&lt;Year&gt;1998&lt;/Year&gt;&lt;Details&gt;&lt;_accessed&gt;59356170&lt;/_accessed&gt;&lt;_created&gt;59174833&lt;/_created&gt;&lt;_journal&gt;Journal of Bridge Engineering&lt;/_journal&gt;&lt;_modified&gt;59174837&lt;/_modified&gt;&lt;_pages&gt;148-150&lt;/_pages&gt;&lt;_volume&gt;3&lt;/_volume&gt;&lt;/Details&gt;&lt;Extra&gt;&lt;DBUID&gt;{C833C268-2DD2-4BFD-9E86-C36B63EFE0FA}&lt;/DBUID&gt;&lt;/Extra&gt;&lt;/Item&gt;&lt;/References&gt;&lt;/Group&gt;&lt;/Citation&gt;_x000a_"/>
    <w:docVar w:name="NE.Ref{1E2A449E-C563-470A-B4BB-D36903BE8A5B}" w:val=" ADDIN NE.Ref.{1E2A449E-C563-470A-B4BB-D36903BE8A5B}&lt;Citation&gt;&lt;Group&gt;&lt;References&gt;&lt;Item&gt;&lt;ID&gt;1220&lt;/ID&gt;&lt;UID&gt;{44299563-78DB-4C7A-B816-C6C78526168D}&lt;/UID&gt;&lt;Title&gt;桥梁概念设计&lt;/Title&gt;&lt;Template&gt;Book&lt;/Template&gt;&lt;Star&gt;0&lt;/Star&gt;&lt;Tag&gt;5&lt;/Tag&gt;&lt;Author&gt;项海帆等&lt;/Author&gt;&lt;Year&gt;2011&lt;/Year&gt;&lt;Details&gt;&lt;_accessed&gt;59118998&lt;/_accessed&gt;&lt;_created&gt;59093005&lt;/_created&gt;&lt;_modified&gt;59108700&lt;/_modified&gt;&lt;_publisher&gt;人民交通出版社&lt;/_publisher&gt;&lt;/Details&gt;&lt;Extra&gt;&lt;DBUID&gt;{C833C268-2DD2-4BFD-9E86-C36B63EFE0FA}&lt;/DBUID&gt;&lt;/Extra&gt;&lt;/Item&gt;&lt;/References&gt;&lt;/Group&gt;&lt;Group&gt;&lt;References&gt;&lt;Item&gt;&lt;ID&gt;1347&lt;/ID&gt;&lt;UID&gt;{816F4C3B-5D6A-4096-BA5B-ADD6C601D407}&lt;/UID&gt;&lt;Title&gt;希腊里翁-安蒂里翁大桥的设计与施工&lt;/Title&gt;&lt;Template&gt;Journal Article&lt;/Template&gt;&lt;Star&gt;1&lt;/Star&gt;&lt;Tag&gt;5&lt;/Tag&gt;&lt;Author&gt;董学武; 周世忠&lt;/Author&gt;&lt;Year&gt;2004&lt;/Year&gt;&lt;Details&gt;&lt;_author_adr&gt;苏通大桥指挥部,江苏,南通,226009; 江苏省交通厅,江苏,南京,210001&lt;/_author_adr&gt;&lt;_author_aff&gt;苏通大桥指挥部,江苏,南通,226009; 江苏省交通厅,江苏,南京,210001&lt;/_author_aff&gt;&lt;_created&gt;59244231&lt;/_created&gt;&lt;_db_provider&gt;北京万方数据股份有限公司&lt;/_db_provider&gt;&lt;_db_updated&gt;Wanfang - Journal&lt;/_db_updated&gt;&lt;_isbn&gt;1671-7767&lt;/_isbn&gt;&lt;_issue&gt;4&lt;/_issue&gt;&lt;_journal&gt;世界桥梁&lt;/_journal&gt;&lt;_keywords&gt;斜拉桥; 主梁; 桥塔; 基础; 抗震设计; 海上施工&lt;/_keywords&gt;&lt;_language&gt;chi&lt;/_language&gt;&lt;_modified&gt;59244231&lt;/_modified&gt;&lt;_pages&gt;1-4&lt;/_pages&gt;&lt;_tertiary_title&gt;WORLD BRIDGES&lt;/_tertiary_title&gt;&lt;_translated_title&gt;Design and Construction of Rion-Antirion Bridge in Greece&lt;/_translated_title&gt;&lt;_url&gt;http://d.wanfangdata.com.cn/Periodical_gwql200404001.aspx _x000a_http://f.g.wanfangdata.com.cn/Fulltext.ashx?fileId=Periodical_gwql200404001&amp;amp;type=download&amp;amp;transaction=%7b%22ExtraData%22%3a%5b%5d%2c%22Transaction%22%3a%7b%22DateTime%22%3a%22%5c%2fDate(1345635858369%2b0800)%5c%2f%22%2c%22Id%22%3a%22ed809770-ad1e-43aa-ae54-a0b501454788%22%2c%22ProductDetail%22%3a%22Periodical_gwql200404001%22%2c%22SessionId%22%3a%2281fd51dc-4e1e-42bb-96d9-f4da0231b8df%22%2c%22Signature%22%3a%22rnJ%5c%2fUsHN9iM8bUTIcy7vEtXKoPEIUhKGTOMGXauas41r0D2f1bABJBVYPddFyc6q%22%2c%22TransferIn%22%3a%7b%22AccountType%22%3a%22Income%22%2c%22Key%22%3a%22PeriodicalFulltext%22%7d%2c%22TransferOut%22%3a%7b%22AccountType%22%3a%22GTimeLimit%22%2c%22Key%22%3a%22tjdxtsg%22%7d%2c%22Turnover%22%3a3.00000%2c%22User%22%3anull%7d%2c%22TransferOutAccountsStatus%22%3a%5b%5d%7d 全文链接_x000a_&lt;/_url&gt;&lt;/Details&gt;&lt;Extra&gt;&lt;DBUID&gt;{C833C268-2DD2-4BFD-9E86-C36B63EFE0FA}&lt;/DBUID&gt;&lt;/Extra&gt;&lt;/Item&gt;&lt;/References&gt;&lt;/Group&gt;&lt;Group&gt;&lt;References&gt;&lt;Item&gt;&lt;ID&gt;1418&lt;/ID&gt;&lt;UID&gt;{F6E686ED-C291-4F51-BFD2-A9AF8920EF4A}&lt;/UID&gt;&lt;Title&gt;The Rion-Antirion Bridge Concept, Design and Construction&lt;/Title&gt;&lt;Template&gt;Conference Paper&lt;/Template&gt;&lt;Star&gt;0&lt;/Star&gt;&lt;Tag&gt;5&lt;/Tag&gt;&lt;Author&gt;Combault, J; Teyssandier, J P&lt;/Author&gt;&lt;Year&gt;2005&lt;/Year&gt;&lt;Details&gt;&lt;_accessed&gt;59290115&lt;/_accessed&gt;&lt;_created&gt;59290115&lt;/_created&gt;&lt;_modified&gt;59290115&lt;/_modified&gt;&lt;_secondary_title&gt;Structures Congress 2005&lt;/_secondary_title&gt;&lt;/Details&gt;&lt;Extra&gt;&lt;DBUID&gt;{C833C268-2DD2-4BFD-9E86-C36B63EFE0FA}&lt;/DBUID&gt;&lt;/Extra&gt;&lt;/Item&gt;&lt;/References&gt;&lt;/Group&gt;&lt;/Citation&gt;_x000a_"/>
    <w:docVar w:name="NE.Ref{1ED36031-59C0-4DE3-8641-7BF292CD2CF3}" w:val=" ADDIN NE.Ref.{1ED36031-59C0-4DE3-8641-7BF292CD2CF3}&lt;Citation&gt;&lt;Group&gt;&lt;References&gt;&lt;Item&gt;&lt;ID&gt;1344&lt;/ID&gt;&lt;UID&gt;{2F3A99F8-7E42-47D0-909D-86E8F349B391}&lt;/UID&gt;&lt;Title&gt;Construction Stage Analysis of Cable-Stayed Bridges&lt;/Title&gt;&lt;Template&gt;Thesis&lt;/Template&gt;&lt;Star&gt;0&lt;/Star&gt;&lt;Tag&gt;5&lt;/Tag&gt;&lt;Author&gt;Grabow, Marko Justus&lt;/Author&gt;&lt;Year&gt;2004&lt;/Year&gt;&lt;Details&gt;&lt;_accessed&gt;59243885&lt;/_accessed&gt;&lt;_created&gt;59228614&lt;/_created&gt;&lt;_modified&gt;59228615&lt;/_modified&gt;&lt;/Details&gt;&lt;Extra&gt;&lt;DBUID&gt;{C833C268-2DD2-4BFD-9E86-C36B63EFE0FA}&lt;/DBUID&gt;&lt;/Extra&gt;&lt;/Item&gt;&lt;/References&gt;&lt;/Group&gt;&lt;/Citation&gt;_x000a_"/>
    <w:docVar w:name="NE.Ref{1EF08A4C-F333-4619-8BFB-0C71B7297E35}" w:val=" ADDIN NE.Ref.{1EF08A4C-F333-4619-8BFB-0C71B7297E35}&lt;Citation&gt;&lt;Group&gt;&lt;References&gt;&lt;Item&gt;&lt;ID&gt;1302&lt;/ID&gt;&lt;UID&gt;{BC69469C-44CE-405B-AB51-2D7D574F6CE2}&lt;/UID&gt;&lt;Title&gt;BS 5400-5:Code of practice for design of composite bridges&lt;/Title&gt;&lt;Template&gt;Standard&lt;/Template&gt;&lt;Star&gt;0&lt;/Star&gt;&lt;Tag&gt;0&lt;/Tag&gt;&lt;Author/&gt;&lt;Year&gt;1979&lt;/Year&gt;&lt;Details&gt;&lt;_accessed&gt;59249491&lt;/_accessed&gt;&lt;_created&gt;59175150&lt;/_created&gt;&lt;_modified&gt;59249492&lt;/_modified&gt;&lt;_place_published&gt;London&lt;/_place_published&gt;&lt;_secondary_author&gt;Institute, British Standard&lt;/_secondary_author&gt;&lt;/Details&gt;&lt;Extra&gt;&lt;DBUID&gt;{C833C268-2DD2-4BFD-9E86-C36B63EFE0FA}&lt;/DBUID&gt;&lt;/Extra&gt;&lt;/Item&gt;&lt;/References&gt;&lt;/Group&gt;&lt;/Citation&gt;_x000a_"/>
    <w:docVar w:name="NE.Ref{1F676AE1-6F47-4E9A-A598-49B59B0F6290}" w:val=" ADDIN NE.Ref.{1F676AE1-6F47-4E9A-A598-49B59B0F6290}&lt;Citation&gt;&lt;Group&gt;&lt;References&gt;&lt;Item&gt;&lt;ID&gt;2629&lt;/ID&gt;&lt;UID&gt;{D02E61F0-5144-4528-ADBC-1CB506DB196F}&lt;/UID&gt;&lt;Title&gt;文物铆接钢桥——海珠桥维修加固关键施工技术&lt;/Title&gt;&lt;Template&gt;Journal Article&lt;/Template&gt;&lt;Star&gt;0&lt;/Star&gt;&lt;Tag&gt;0&lt;/Tag&gt;&lt;Author&gt;方新跃&lt;/Author&gt;&lt;Year&gt;2016&lt;/Year&gt;&lt;Details&gt;&lt;_accessed&gt;62191681&lt;/_accessed&gt;&lt;_author_aff&gt;中铁大桥局武汉桥梁特种技术有限公司;桥梁结构健康与安全国家重点实验室;&lt;/_author_aff&gt;&lt;_collection_scope&gt;中国科技核心期刊;中文核心期刊;CSCD;EI;&lt;/_collection_scope&gt;&lt;_created&gt;62191681&lt;/_created&gt;&lt;_date&gt;61443360&lt;/_date&gt;&lt;_db_provider&gt;CNKI: 期刊&lt;/_db_provider&gt;&lt;_db_updated&gt;CNKI - Reference&lt;/_db_updated&gt;&lt;_issue&gt;05&lt;/_issue&gt;&lt;_journal&gt;桥梁建设&lt;/_journal&gt;&lt;_keywords&gt;文物桥;钢桥;索桁混合结构;铆接;病害;加固方案;顶推法;桥梁维修加固&lt;/_keywords&gt;&lt;_language&gt;Chinese&lt;/_language&gt;&lt;_modified&gt;62191683&lt;/_modified&gt;&lt;_pages&gt;110-115&lt;/_pages&gt;&lt;_url&gt;http://kns.cnki.net/KCMS/detail/detail.aspx?FileName=QLJS201605022&amp;amp;DbName=CJFQ2016&lt;/_url&gt;&lt;_translated_author&gt;Fang, Xinyue&lt;/_translated_author&gt;&lt;/Details&gt;&lt;Extra&gt;&lt;DBUID&gt;{25139A1D-CF45-40E3-9EDD-33E25C1C489A}&lt;/DBUID&gt;&lt;/Extra&gt;&lt;/Item&gt;&lt;/References&gt;&lt;/Group&gt;&lt;/Citation&gt;_x000a_"/>
    <w:docVar w:name="NE.Ref{1F7A50E8-8C6B-4634-966E-7D73A1C96F1A}" w:val=" ADDIN NE.Ref.{1F7A50E8-8C6B-4634-966E-7D73A1C96F1A}&lt;Citation&gt;&lt;Group&gt;&lt;References&gt;&lt;Item&gt;&lt;ID&gt;1249&lt;/ID&gt;&lt;UID&gt;{1F531CAC-F93E-482F-8FF8-C73871B3349E}&lt;/UID&gt;&lt;Title&gt;欧洲规范4 钢-混凝土组合梁设计方法（3）──组合梁的内力分析&lt;/Title&gt;&lt;Template&gt;Journal Article&lt;/Template&gt;&lt;Star&gt;1&lt;/Star&gt;&lt;Tag&gt;5&lt;/Tag&gt;&lt;Author&gt;胡夏闵&lt;/Author&gt;&lt;Year&gt;1995&lt;/Year&gt;&lt;Details&gt;&lt;_accessed&gt;59128788&lt;/_accessed&gt;&lt;_created&gt;59128750&lt;/_created&gt;&lt;_issue&gt;11&lt;/_issue&gt;&lt;_journal&gt;工业建筑&lt;/_journal&gt;&lt;_modified&gt;59128789&lt;/_modified&gt;&lt;_tertiary_title&gt;Industrial Construction&lt;/_tertiary_title&gt;&lt;_translated_author&gt;Xiamin, Hu&lt;/_translated_author&gt;&lt;_translated_title&gt;DESIGN METHOD OF EUROCODE 4 FOR STEEL-CONCRETE COMPOSITE BEAMS(3)-INTERNAL FORCE ANALYSIS OF COMPOSITE BEAM&lt;/_translated_title&gt;&lt;_volume&gt;25&lt;/_volume&gt;&lt;/Details&gt;&lt;Extra&gt;&lt;DBUID&gt;{C833C268-2DD2-4BFD-9E86-C36B63EFE0FA}&lt;/DBUID&gt;&lt;/Extra&gt;&lt;/Item&gt;&lt;/References&gt;&lt;/Group&gt;&lt;Group&gt;&lt;References&gt;&lt;Item&gt;&lt;ID&gt;1233&lt;/ID&gt;&lt;UID&gt;{BDC38191-7B46-4CD9-85CB-5DD121038AB9}&lt;/UID&gt;&lt;Title&gt;组合结构桥梁&lt;/Title&gt;&lt;Template&gt;Book&lt;/Template&gt;&lt;Star&gt;0&lt;/Star&gt;&lt;Tag&gt;5&lt;/Tag&gt;&lt;Author&gt;刘玉擎&lt;/Author&gt;&lt;Year&gt;2005&lt;/Year&gt;&lt;Details&gt;&lt;_accessed&gt;59108587&lt;/_accessed&gt;&lt;_created&gt;59099573&lt;/_created&gt;&lt;_modified&gt;59099573&lt;/_modified&gt;&lt;_place_published&gt;北京&lt;/_place_published&gt;&lt;_publisher&gt;人民交通出版社&lt;/_publisher&gt;&lt;/Details&gt;&lt;Extra&gt;&lt;DBUID&gt;{C833C268-2DD2-4BFD-9E86-C36B63EFE0FA}&lt;/DBUID&gt;&lt;/Extra&gt;&lt;/Item&gt;&lt;/References&gt;&lt;/Group&gt;&lt;/Citation&gt;_x000a_"/>
    <w:docVar w:name="NE.Ref{1FDA348C-3E2D-4765-8B0E-A39D9B5D8160}" w:val=" ADDIN NE.Ref.{1FDA348C-3E2D-4765-8B0E-A39D9B5D8160}&lt;Citation&gt;&lt;Group&gt;&lt;References&gt;&lt;Item&gt;&lt;ID&gt;1246&lt;/ID&gt;&lt;UID&gt;{6AEE728E-A188-4CD2-B959-9F08ECB079D7}&lt;/UID&gt;&lt;Title&gt;欧洲规范4 钢-混凝土组合梁设计方法（2）──组合梁的受力性能和计算理论&lt;/Title&gt;&lt;Template&gt;Journal Article&lt;/Template&gt;&lt;Star&gt;1&lt;/Star&gt;&lt;Tag&gt;5&lt;/Tag&gt;&lt;Author&gt;胡夏闵&lt;/Author&gt;&lt;Year&gt;1995&lt;/Year&gt;&lt;Details&gt;&lt;_accessed&gt;59128790&lt;/_accessed&gt;&lt;_created&gt;59128750&lt;/_created&gt;&lt;_issue&gt;10&lt;/_issue&gt;&lt;_journal&gt;工业建筑&lt;/_journal&gt;&lt;_modified&gt;59128790&lt;/_modified&gt;&lt;_tertiary_title&gt;Industrial Construction&lt;/_tertiary_title&gt;&lt;_translated_author&gt;Xiamin, Hu&lt;/_translated_author&gt;&lt;_translated_title&gt;DESIGN METHOD OF EUROCODE 4 FOR STEEL-CONCRETE COMPOSITE BEAMS(2)-LOAD CARRING BEHAVIOUR AND CALCULATING THEORY OF COMPOSITE BEAMS&lt;/_translated_title&gt;&lt;_volume&gt;25&lt;/_volume&gt;&lt;/Details&gt;&lt;Extra&gt;&lt;DBUID&gt;{C833C268-2DD2-4BFD-9E86-C36B63EFE0FA}&lt;/DBUID&gt;&lt;/Extra&gt;&lt;/Item&gt;&lt;/References&gt;&lt;/Group&gt;&lt;/Citation&gt;_x000a_"/>
    <w:docVar w:name="NE.Ref{20C5F79F-3EA7-4002-AEAB-D93D5FEB30DC}" w:val=" ADDIN NE.Ref.{20C5F79F-3EA7-4002-AEAB-D93D5FEB30DC}&lt;Citation&gt;&lt;Group&gt;&lt;References&gt;&lt;Item&gt;&lt;ID&gt;1132&lt;/ID&gt;&lt;UID&gt;{79201D34-2AE2-456E-ABCD-1BB83F921A78}&lt;/UID&gt;&lt;Title&gt;Analysis of Cable-stayed Bridges during Construction by Cantilever Methods&lt;/Title&gt;&lt;Template&gt;Journal Article&lt;/Template&gt;&lt;Star&gt;1&lt;/Star&gt;&lt;Tag&gt;5&lt;/Tag&gt;&lt;Author&gt;Wang, Pao-Hsii; Tang, Tzu-Yang; Zheng, Hou-Nong&lt;/Author&gt;&lt;Year&gt;2004&lt;/Year&gt;&lt;Details&gt;&lt;_accessed&gt;59189509&lt;/_accessed&gt;&lt;_alternate_title&gt;Computers &amp;amp;amp; Structures&lt;/_alternate_title&gt;&lt;_created&gt;59066503&lt;/_created&gt;&lt;_date_display&gt;2004/2//&lt;/_date_display&gt;&lt;_db_updated&gt;ScienceDirect&lt;/_db_updated&gt;&lt;_isbn&gt;0045-7949&lt;/_isbn&gt;&lt;_issue&gt;4–5&lt;/_issue&gt;&lt;_journal&gt;Computers &amp;amp;amp; Structures&lt;/_journal&gt;&lt;_keywords&gt;Cable-stayed bridge; Initial shape; Forward process analysis; Backward process analysis&lt;/_keywords&gt;&lt;_modified&gt;59189510&lt;/_modified&gt;&lt;_pages&gt;329-346&lt;/_pages&gt;&lt;_url&gt;http://www.sciencedirect.com/science/article/pii/S004579490300467X&lt;/_url&gt;&lt;_volume&gt;82&lt;/_volume&gt;&lt;/Details&gt;&lt;Extra&gt;&lt;DBUID&gt;{C833C268-2DD2-4BFD-9E86-C36B63EFE0FA}&lt;/DBUID&gt;&lt;/Extra&gt;&lt;/Item&gt;&lt;/References&gt;&lt;/Group&gt;&lt;Group&gt;&lt;References&gt;&lt;Item&gt;&lt;ID&gt;1172&lt;/ID&gt;&lt;UID&gt;{D77456F1-1F83-4302-92E0-05F0BCC9DE61}&lt;/UID&gt;&lt;Title&gt;Study on Nonlinear Analysis of a Highly Redundant Cable-stayed Bridge&lt;/Title&gt;&lt;Template&gt;Journal Article&lt;/Template&gt;&lt;Star&gt;1&lt;/Star&gt;&lt;Tag&gt;5&lt;/Tag&gt;&lt;Author&gt;Wang, Pao-Hsii; Lin, Hung-Ta; Tang, Tzu-Yang&lt;/Author&gt;&lt;Year&gt;2002&lt;/Year&gt;&lt;Details&gt;&lt;_accessed&gt;59189509&lt;/_accessed&gt;&lt;_alternate_title&gt;Computers &amp;amp;amp; Structures&lt;/_alternate_title&gt;&lt;_created&gt;59066503&lt;/_created&gt;&lt;_date_display&gt;2002/1//&lt;/_date_display&gt;&lt;_db_updated&gt;ScienceDirect&lt;/_db_updated&gt;&lt;_isbn&gt;0045-7949&lt;/_isbn&gt;&lt;_issue&gt;2&lt;/_issue&gt;&lt;_journal&gt;Computers &amp;amp;amp; Structures&lt;/_journal&gt;&lt;_keywords&gt;Cable-stayed bridge; Nonlinear analysis; Shape finding&lt;/_keywords&gt;&lt;_modified&gt;59189509&lt;/_modified&gt;&lt;_pages&gt;165-182&lt;/_pages&gt;&lt;_url&gt;http://www.sciencedirect.com/science/article/pii/S0045794901001663&lt;/_url&gt;&lt;_volume&gt;80&lt;/_volume&gt;&lt;/Details&gt;&lt;Extra&gt;&lt;DBUID&gt;{C833C268-2DD2-4BFD-9E86-C36B63EFE0FA}&lt;/DBUID&gt;&lt;/Extra&gt;&lt;/Item&gt;&lt;/References&gt;&lt;/Group&gt;&lt;Group&gt;&lt;References&gt;&lt;Item&gt;&lt;ID&gt;1134&lt;/ID&gt;&lt;UID&gt;{4F81A546-E8C5-4631-91BE-EE2148456758}&lt;/UID&gt;&lt;Title&gt;Analysis of target configurations under dead loads for cable-supported bridges&lt;/Title&gt;&lt;Template&gt;Journal Article&lt;/Template&gt;&lt;Star&gt;1&lt;/Star&gt;&lt;Tag&gt;5&lt;/Tag&gt;&lt;Author&gt;Kim, Ki-Seok; Lee, Hae Sung&lt;/Author&gt;&lt;Year&gt;2001&lt;/Year&gt;&lt;Details&gt;&lt;_accessed&gt;59146462&lt;/_accessed&gt;&lt;_alternate_title&gt;Computers &amp;amp;amp; Structures&lt;/_alternate_title&gt;&lt;_created&gt;59066503&lt;/_created&gt;&lt;_date_display&gt;2001/11//&lt;/_date_display&gt;&lt;_db_updated&gt;ScienceDirect&lt;/_db_updated&gt;&lt;_isbn&gt;0045-7949&lt;/_isbn&gt;&lt;_issue&gt;29–30&lt;/_issue&gt;&lt;_journal&gt;Computers &amp;amp;amp; Structures&lt;/_journal&gt;&lt;_keywords&gt;Target configuration under dead loads; Cable-supported structures; Elastic catenary cable; Newton–Raphson method; Suspension bridge; Cable-stayed bridge&lt;/_keywords&gt;&lt;_modified&gt;59066505&lt;/_modified&gt;&lt;_pages&gt;2681-2692&lt;/_pages&gt;&lt;_url&gt;http://www.sciencedirect.com/science/article/pii/S0045794901001201&lt;/_url&gt;&lt;_volume&gt;79&lt;/_volume&gt;&lt;/Details&gt;&lt;Extra&gt;&lt;DBUID&gt;{C833C268-2DD2-4BFD-9E86-C36B63EFE0FA}&lt;/DBUID&gt;&lt;/Extra&gt;&lt;/Item&gt;&lt;/References&gt;&lt;/Group&gt;&lt;/Citation&gt;_x000a_"/>
    <w:docVar w:name="NE.Ref{20D1FDC2-C433-42B2-A751-5D5291316253}" w:val=" ADDIN NE.Ref.{20D1FDC2-C433-42B2-A751-5D5291316253}&lt;Citation&gt;&lt;Group&gt;&lt;References&gt;&lt;Item&gt;&lt;ID&gt;911&lt;/ID&gt;&lt;UID&gt;{CFF3D19F-52E5-49CB-BD9D-389B214A0770}&lt;/UID&gt;&lt;Title&gt;不同龄期混凝土收缩徐变对三塔结合梁斜拉桥的影响&lt;/Title&gt;&lt;Template&gt;Journal Article&lt;/Template&gt;&lt;Star&gt;1&lt;/Star&gt;&lt;Tag&gt;5&lt;/Tag&gt;&lt;Author&gt;刘沐宇; 程涛&lt;/Author&gt;&lt;Year&gt;2010&lt;/Year&gt;&lt;Details&gt;&lt;_accessed&gt;59055899&lt;/_accessed&gt;&lt;_author_adr&gt;武汉理工大学,道路桥梁与结构工程湖北省重点实验室,湖北,武汉,430070&lt;/_author_adr&gt;&lt;_author_aff&gt;武汉理工大学,道路桥梁与结构工程湖北省重点实验室,湖北,武汉,430070&lt;/_author_aff&gt;&lt;_created&gt;59055868&lt;/_created&gt;&lt;_db_provider&gt;北京万方数据股份有限公司&lt;/_db_provider&gt;&lt;_db_updated&gt;Wanfang - Journal&lt;/_db_updated&gt;&lt;_isbn&gt;1672-7037&lt;/_isbn&gt;&lt;_issue&gt;3&lt;/_issue&gt;&lt;_journal&gt;华中科技大学学报（城市科学版）&lt;/_journal&gt;&lt;_keywords&gt;钢-混凝土结合梁; 收缩徐变; 不同加载龄期; 挠度; 应力&lt;/_keywords&gt;&lt;_language&gt;chi&lt;/_language&gt;&lt;_modified&gt;59055892&lt;/_modified&gt;&lt;_pages&gt;6-10&lt;/_pages&gt;&lt;_tertiary_title&gt;JOURNAL OF HUAZHONG UNIVERSITY OF SCIENCE AND TECHNOLOGY·URBAN SCIENCE&lt;/_tertiary_title&gt;&lt;_translated_author&gt;Mu-yu, LIU; Tao, CHENG&lt;/_translated_author&gt;&lt;_translated_title&gt;Performance of Composite Girder Cable-stayed Bridge with Three-tower Under the Influence of Shrinkage and Creep of Concrete at Different Ages&lt;/_translated_title&gt;&lt;_url&gt;http://d.wanfangdata.com.cn/Periodical_whcsjsxyxb201003002.aspx&lt;/_url&gt;&lt;_volume&gt;27&lt;/_volume&gt;&lt;/Details&gt;&lt;Extra&gt;&lt;DBUID&gt;{C833C268-2DD2-4BFD-9E86-C36B63EFE0FA}&lt;/DBUID&gt;&lt;/Extra&gt;&lt;/Item&gt;&lt;/References&gt;&lt;/Group&gt;&lt;/Citation&gt;_x000a_"/>
    <w:docVar w:name="NE.Ref{21949B78-DEDD-4440-8296-740344527C10}" w:val=" ADDIN NE.Ref.{21949B78-DEDD-4440-8296-740344527C10}&lt;Citation&gt;&lt;Group&gt;&lt;References&gt;&lt;Item&gt;&lt;ID&gt;143&lt;/ID&gt;&lt;UID&gt;{9E3212E8-D9DB-4DAA-959A-51A849B209DE}&lt;/UID&gt;&lt;Title&gt;主跨105m连续组合箱梁桥的技术特色与创新&lt;/Title&gt;&lt;Template&gt;Journal Article&lt;/Template&gt;&lt;Star&gt;1&lt;/Star&gt;&lt;Tag&gt;0&lt;/Tag&gt;&lt;Author&gt;邵长宇&lt;/Author&gt;&lt;Year&gt;2008&lt;/Year&gt;&lt;Details&gt;&lt;_accessed&gt;58462465&lt;/_accessed&gt;&lt;_author_adr&gt;上海市政工程设计研究总院,上海200092&lt;/_author_adr&gt;&lt;_created&gt;58462457&lt;/_created&gt;&lt;_db_provider&gt;重庆维普&lt;/_db_provider&gt;&lt;_db_updated&gt;CQ_VIP&lt;/_db_updated&gt;&lt;_isbn&gt;1003-4722&lt;/_isbn&gt;&lt;_issue&gt;3&lt;/_issue&gt;&lt;_journal&gt;桥梁建设&lt;/_journal&gt;&lt;_keywords&gt;连续梁; 组合箱梁; 桥梁设计; continuous girder; composite box girder; bridge design&lt;/_keywords&gt;&lt;_language&gt;Chinese&lt;/_language&gt;&lt;_modified&gt;58462463&lt;/_modified&gt;&lt;_pages&gt;33-36&lt;/_pages&gt;&lt;_translated_author&gt;SHAO, Chang-yu&lt;/_translated_author&gt;&lt;_translated_title&gt;Technical Characteristics and Innovation of a Continuous Composite Box Girder Bridge with Main Spans 105 m&lt;/_translated_title&gt;&lt;_url&gt;http://www.cqvip.com/qk/92467X/200803/27522058.html&lt;/_url&gt;&lt;/Details&gt;&lt;Extra&gt;&lt;DBUID&gt;{C833C268-2DD2-4BFD-9E86-C36B63EFE0FA}&lt;/DBUID&gt;&lt;/Extra&gt;&lt;/Item&gt;&lt;/References&gt;&lt;/Group&gt;&lt;Group&gt;&lt;References&gt;&lt;Item&gt;&lt;ID&gt;13&lt;/ID&gt;&lt;UID&gt;{D1FE9825-4535-45EE-AD41-F478E41AF725}&lt;/UID&gt;&lt;Title&gt;城市高架组合结构桥梁国际发展概况&lt;/Title&gt;&lt;Template&gt;Journal Article&lt;/Template&gt;&lt;Star&gt;1&lt;/Star&gt;&lt;Tag&gt;0&lt;/Tag&gt;&lt;Author&gt;邵长宇&lt;/Author&gt;&lt;Year&gt;2008&lt;/Year&gt;&lt;Details&gt;&lt;_accessed&gt;59009169&lt;/_accessed&gt;&lt;_author_adr&gt;上海市政工程设计研究总院&lt;/_author_adr&gt;&lt;_created&gt;58462457&lt;/_created&gt;&lt;_db_provider&gt;重庆维普&lt;/_db_provider&gt;&lt;_db_updated&gt;CQ_VIP&lt;/_db_updated&gt;&lt;_isbn&gt;1007-0109&lt;/_isbn&gt;&lt;_issue&gt;1&lt;/_issue&gt;&lt;_journal&gt;上海公路&lt;/_journal&gt;&lt;_keywords&gt;城市高架; 组合结构; 国际发展&lt;/_keywords&gt;&lt;_language&gt;Chinese&lt;/_language&gt;&lt;_modified&gt;58462459&lt;/_modified&gt;&lt;_pages&gt;28-30&lt;/_pages&gt;&lt;_url&gt;http://www.cqvip.com/qk/84496X/200801/26967978.html&lt;/_url&gt;&lt;/Details&gt;&lt;Extra&gt;&lt;DBUID&gt;{C833C268-2DD2-4BFD-9E86-C36B63EFE0FA}&lt;/DBUID&gt;&lt;/Extra&gt;&lt;/Item&gt;&lt;/References&gt;&lt;/Group&gt;&lt;Group&gt;&lt;References&gt;&lt;Item&gt;&lt;ID&gt;62&lt;/ID&gt;&lt;UID&gt;{E19F74F2-178A-468C-A3AD-881AE8501BB5}&lt;/UID&gt;&lt;Title&gt;九堡大桥组合结构桥梁的技术构思与特色&lt;/Title&gt;&lt;Template&gt;Journal Article&lt;/Template&gt;&lt;Star&gt;1&lt;/Star&gt;&lt;Tag&gt;0&lt;/Tag&gt;&lt;Author&gt;邵长宇&lt;/Author&gt;&lt;Year&gt;2009&lt;/Year&gt;&lt;Details&gt;&lt;_accessed&gt;58462465&lt;/_accessed&gt;&lt;_author_adr&gt;上海市政工程设计研究总院,上海200092&lt;/_author_adr&gt;&lt;_created&gt;58462457&lt;/_created&gt;&lt;_db_provider&gt;重庆维普&lt;/_db_provider&gt;&lt;_db_updated&gt;CQ_VIP&lt;/_db_updated&gt;&lt;_isbn&gt;1003-4722&lt;/_isbn&gt;&lt;_issue&gt;6&lt;/_issue&gt;&lt;_journal&gt;桥梁建设&lt;/_journal&gt;&lt;_keywords&gt;组合拱桥; 组合箱梁; 技术构思; 顶推施工; 设计原则; 双层组合; 体外索; 桥梁设计; composite arch bridge; composite box girder; technical consideration; incremen- tal launching construction; design principle; double-layer compositing; external prestressing strand; bridge design&lt;/_keywords&gt;&lt;_language&gt;Chinese&lt;/_language&gt;&lt;_modified&gt;58462460&lt;/_modified&gt;&lt;_pages&gt;42-45&lt;/_pages&gt;&lt;_translated_author&gt;SHAO, Chang-yu&lt;/_translated_author&gt;&lt;_translated_title&gt;Technical Consideration and Features of Composite Structure Bridges of Jiubao Bridge in Hangzhou&lt;/_translated_title&gt;&lt;_url&gt;http://www.cqvip.com/qk/92467X/200906/32502970.html&lt;/_url&gt;&lt;/Details&gt;&lt;Extra&gt;&lt;DBUID&gt;{C833C268-2DD2-4BFD-9E86-C36B63EFE0FA}&lt;/DBUID&gt;&lt;/Extra&gt;&lt;/Item&gt;&lt;/References&gt;&lt;/Group&gt;&lt;Group&gt;&lt;References&gt;&lt;Item&gt;&lt;ID&gt;723&lt;/ID&gt;&lt;UID&gt;{339B7134-215E-4078-83BE-11C726CDF5C4}&lt;/UID&gt;&lt;Title&gt;大跨度钢-混凝土连续组合箱梁桥关键技术研究&lt;/Title&gt;&lt;Template&gt;Thesis&lt;/Template&gt;&lt;Star&gt;1&lt;/Star&gt;&lt;Tag&gt;0&lt;/Tag&gt;&lt;Author&gt;邵长宇&lt;/Author&gt;&lt;Year&gt;2006&lt;/Year&gt;&lt;Details&gt;&lt;_accessed&gt;58806499&lt;/_accessed&gt;&lt;_created&gt;58806498&lt;/_created&gt;&lt;_date&gt;56188800&lt;/_date&gt;&lt;_db_provider&gt;北京万方数据股份有限公司&lt;/_db_provider&gt;&lt;_db_updated&gt;Wanfang - Paper(general)&lt;/_db_updated&gt;&lt;_language&gt;chi&lt;/_language&gt;&lt;_modified&gt;58806498&lt;/_modified&gt;&lt;_publisher&gt;同济大学土木工程学院 同济大学&lt;/_publisher&gt;&lt;_section&gt;桥梁与隧道工程&lt;/_section&gt;&lt;_tertiary_author&gt;项海帆&lt;/_tertiary_author&gt;&lt;_url&gt;http://d.wanfangdata.com.cn/Thesis_W1657736.aspx&lt;/_url&gt;&lt;_volume&gt;博士&lt;/_volume&gt;&lt;/Details&gt;&lt;Extra&gt;&lt;DBUID&gt;{C833C268-2DD2-4BFD-9E86-C36B63EFE0FA}&lt;/DBUID&gt;&lt;/Extra&gt;&lt;/Item&gt;&lt;/References&gt;&lt;/Group&gt;&lt;/Citation&gt;_x000a_"/>
    <w:docVar w:name="NE.Ref{21E9E710-B2CC-414C-9611-452F02F36573}" w:val=" ADDIN NE.Ref.{21E9E710-B2CC-414C-9611-452F02F36573}&lt;Citation&gt;&lt;Group&gt;&lt;References&gt;&lt;Item&gt;&lt;ID&gt;1392&lt;/ID&gt;&lt;UID&gt;{15E53126-2835-486C-8312-3A8E3CA777AF}&lt;/UID&gt;&lt;Title&gt;确定PC斜拉桥合理恒载索力方法的探讨&lt;/Title&gt;&lt;Template&gt;Journal Article&lt;/Template&gt;&lt;Star&gt;1&lt;/Star&gt;&lt;Tag&gt;5&lt;/Tag&gt;&lt;Author&gt;王勋文; 辛学忠; 潘家英; 程庆国&lt;/Author&gt;&lt;Year&gt;1996&lt;/Year&gt;&lt;Details&gt;&lt;_accessed&gt;59248714&lt;/_accessed&gt;&lt;_cate&gt;U448.27&lt;/_cate&gt;&lt;_created&gt;59248368&lt;/_created&gt;&lt;_db_provider&gt;CNKI&lt;/_db_provider&gt;&lt;_db_updated&gt;CNKI&lt;/_db_updated&gt;&lt;_issue&gt;4&lt;/_issue&gt;&lt;_journal&gt;桥梁建设&lt;/_journal&gt;&lt;_keywords&gt;PC斜拉桥;徐变;稳定张拉力;合理索力;&lt;/_keywords&gt;&lt;_modified&gt;59248368&lt;/_modified&gt;&lt;_pages&gt;3-7&lt;/_pages&gt;&lt;_tertiary_title&gt;BRIDGE CONSTRUCTION&lt;/_tertiary_title&gt;&lt;_url&gt;http://epub.cnki.net/grid2008/brief/detailj.aspx?filename=QLJS604.000&amp;amp;dbname=CJFQ1996 _x000a_http://pdf.d.cnki.net/cjfdsearch/pdfdownloadnew.asp?encode=gb&amp;amp;nettype=cnet&amp;amp;zt=C034&amp;amp;filename=HlETXRzMoV2ZOpGOPhFT3YDW65mWrUUWF9ySwNHUTVUaxM2Mt50MGVlergjdwU3L2NjWwoGMLx2dYJXO1FXZ3FHcotmbmZlSEJEV1UFSRJzcF5UYMFUU4BTT1RWQkhjVvwWexBjemxGSC9mVwJkQ2NFdYtkdERmWFl1Z1lndXdmSuBHcEd3SrFVbqNVe==QN380Kv92UWRGeVlXQGBTYmR0cxdjM2NlUCVmSEBzViFlSwhje1l0UPlWOrFUWrUTSqhna0NFdhtSR0FFbz8mYEFjduVzY3dESxpGSx9Ec4g3LqFWeCF2M5pXbMtybV10NsNHavMFR2BzYBhjRZRnUnhnTvMDWBRFToVENkdkTwtCe2Ika2smdBV3Y&amp;amp;doi=CNKI:SUN:QLJS.0.1996-04-000&amp;amp;m=X90RZJneDVjRsZ2UtVHeLp1chlnZytGcCljeORGSCtWO5lUeBxWbo9ER9Qje2FlUQhla3pGRoJnapxGW3tSOldHOTFTNr9ie3ZTVSNEMiJmRQhEe&amp;amp;filetitle=%c8%b7%b6%a8PC%d0%b1%c0%ad%c7%c5%ba%cf%c0%ed%ba%e3%d4%d8%cb%f7%c1%a6%b7%bd%b7%a8%b5%c4%cc%bd%cc%d6&amp;amp;p=CJFQ&amp;amp;cflag=&amp;amp;pager=3-7 全文链接_x000a_&lt;/_url&gt;&lt;/Details&gt;&lt;Extra&gt;&lt;DBUID&gt;{C833C268-2DD2-4BFD-9E86-C36B63EFE0FA}&lt;/DBUID&gt;&lt;/Extra&gt;&lt;/Item&gt;&lt;/References&gt;&lt;/Group&gt;&lt;/Citation&gt;_x000a_"/>
    <w:docVar w:name="NE.Ref{22C04830-8E4F-4B51-B834-2DD0F209128B}" w:val=" ADDIN NE.Ref.{22C04830-8E4F-4B51-B834-2DD0F209128B}&lt;Citation&gt;&lt;Group&gt;&lt;References&gt;&lt;Item&gt;&lt;ID&gt;1135&lt;/ID&gt;&lt;UID&gt;{9AF11686-7974-4E02-B7A2-2CB1A59BBBE0}&lt;/UID&gt;&lt;Title&gt;Analysis of the overall collapse mechanism of cable-stayed bridges with different cable layouts&lt;/Title&gt;&lt;Template&gt;Journal Article&lt;/Template&gt;&lt;Star&gt;0&lt;/Star&gt;&lt;Tag&gt;5&lt;/Tag&gt;&lt;Author&gt;Song, Weon-Keun; Kim, Seung-Eock&lt;/Author&gt;&lt;Year&gt;2007&lt;/Year&gt;&lt;Details&gt;&lt;_accessed&gt;59078035&lt;/_accessed&gt;&lt;_alternate_title&gt;Engineering Structures&lt;/_alternate_title&gt;&lt;_created&gt;59066503&lt;/_created&gt;&lt;_date_display&gt;2007/9//&lt;/_date_display&gt;&lt;_db_updated&gt;ScienceDirect&lt;/_db_updated&gt;&lt;_isbn&gt;0141-0296&lt;/_isbn&gt;&lt;_issue&gt;9&lt;/_issue&gt;&lt;_journal&gt;Engineering Structures&lt;/_journal&gt;&lt;_keywords&gt;Steel cable-stayed bridge; Softening plastic-hinge model; Fiber element model; Nonlinear inelastic buckling model; Overall collapse mechanism; Ultimate load-carrying capacity&lt;/_keywords&gt;&lt;_modified&gt;59066505&lt;/_modified&gt;&lt;_pages&gt;2133-2142&lt;/_pages&gt;&lt;_url&gt;http://www.sciencedirect.com/science/article/pii/S0141029606004718&lt;/_url&gt;&lt;_volume&gt;29&lt;/_volume&gt;&lt;/Details&gt;&lt;Extra&gt;&lt;DBUID&gt;{C833C268-2DD2-4BFD-9E86-C36B63EFE0FA}&lt;/DBUID&gt;&lt;/Extra&gt;&lt;/Item&gt;&lt;/References&gt;&lt;/Group&gt;&lt;Group&gt;&lt;References&gt;&lt;Item&gt;&lt;ID&gt;1163&lt;/ID&gt;&lt;UID&gt;{2D5F387A-A094-4B6D-BE0C-08201A7EB66F}&lt;/UID&gt;&lt;Title&gt;Second-order inelastic analysis of cable-stayed bridges&lt;/Title&gt;&lt;Template&gt;Journal Article&lt;/Template&gt;&lt;Star&gt;1&lt;/Star&gt;&lt;Tag&gt;3&lt;/Tag&gt;&lt;Author&gt;Huu-Tai Thai, Seung-EockKim&lt;/Author&gt;&lt;Year&gt;2011&lt;/Year&gt;&lt;Details&gt;&lt;_accessed&gt;59151574&lt;/_accessed&gt;&lt;_created&gt;59066503&lt;/_created&gt;&lt;_issue&gt;2012&lt;/_issue&gt;&lt;_journal&gt;Finite Elements in Analysis and Design&lt;/_journal&gt;&lt;_modified&gt;59151574&lt;/_modified&gt;&lt;_pages&gt;48–55&lt;/_pages&gt;&lt;_tertiary_title&gt;Finite Elements in Analysis and Design&lt;/_tertiary_title&gt;&lt;_translated_author&gt;Huu-Tai Thai, Seung-EockKim&lt;/_translated_author&gt;&lt;_volume&gt;53&lt;/_volume&gt;&lt;/Details&gt;&lt;Extra&gt;&lt;DBUID&gt;{C833C268-2DD2-4BFD-9E86-C36B63EFE0FA}&lt;/DBUID&gt;&lt;/Extra&gt;&lt;/Item&gt;&lt;/References&gt;&lt;/Group&gt;&lt;/Citation&gt;_x000a_"/>
    <w:docVar w:name="NE.Ref{22DEBB72-9840-45BC-B38B-2AFF4F7F03C4}" w:val=" ADDIN NE.Ref.{22DEBB72-9840-45BC-B38B-2AFF4F7F03C4}&lt;Citation&gt;&lt;Group&gt;&lt;References&gt;&lt;Item&gt;&lt;ID&gt;1394&lt;/ID&gt;&lt;UID&gt;{310E0CDF-EDF2-4064-9CA3-A3FC708B751C}&lt;/UID&gt;&lt;Title&gt;Cable-stayed Bridge Concept for Longer Spans&lt;/Title&gt;&lt;Template&gt;Journal Article&lt;/Template&gt;&lt;Star&gt;0&lt;/Star&gt;&lt;Tag&gt;5&lt;/Tag&gt;&lt;Author&gt;Starossek, Uwe&lt;/Author&gt;&lt;Year&gt;1996&lt;/Year&gt;&lt;Details&gt;&lt;_accessed&gt;59252852&lt;/_accessed&gt;&lt;_created&gt;59252846&lt;/_created&gt;&lt;_journal&gt;Journal of Bridge Engineering&lt;/_journal&gt;&lt;_modified&gt;59252853&lt;/_modified&gt;&lt;_pages&gt;99-103&lt;/_pages&gt;&lt;_volume&gt;1&lt;/_volume&gt;&lt;/Details&gt;&lt;Extra&gt;&lt;DBUID&gt;{C833C268-2DD2-4BFD-9E86-C36B63EFE0FA}&lt;/DBUID&gt;&lt;/Extra&gt;&lt;/Item&gt;&lt;/References&gt;&lt;/Group&gt;&lt;/Citation&gt;_x000a_"/>
    <w:docVar w:name="NE.Ref{2318339B-B445-4E91-87E4-4D16BC63356F}" w:val=" ADDIN NE.Ref.{2318339B-B445-4E91-87E4-4D16BC63356F}&lt;Citation&gt;&lt;Group&gt;&lt;References&gt;&lt;Item&gt;&lt;ID&gt;1172&lt;/ID&gt;&lt;UID&gt;{D77456F1-1F83-4302-92E0-05F0BCC9DE61}&lt;/UID&gt;&lt;Title&gt;Study on Nonlinear Analysis of a Highly Redundant Cable-stayed Bridge&lt;/Title&gt;&lt;Template&gt;Journal Article&lt;/Template&gt;&lt;Star&gt;1&lt;/Star&gt;&lt;Tag&gt;5&lt;/Tag&gt;&lt;Author&gt;Wang, Pao-Hsii; Lin, Hung-Ta; Tang, Tzu-Yang&lt;/Author&gt;&lt;Year&gt;2002&lt;/Year&gt;&lt;Details&gt;&lt;_accessed&gt;59189509&lt;/_accessed&gt;&lt;_alternate_title&gt;Computers &amp;amp;amp; Structures&lt;/_alternate_title&gt;&lt;_created&gt;59066503&lt;/_created&gt;&lt;_date_display&gt;2002/1//&lt;/_date_display&gt;&lt;_db_updated&gt;ScienceDirect&lt;/_db_updated&gt;&lt;_isbn&gt;0045-7949&lt;/_isbn&gt;&lt;_issue&gt;2&lt;/_issue&gt;&lt;_journal&gt;Computers &amp;amp;amp; Structures&lt;/_journal&gt;&lt;_keywords&gt;Cable-stayed bridge; Nonlinear analysis; Shape finding&lt;/_keywords&gt;&lt;_modified&gt;59189509&lt;/_modified&gt;&lt;_pages&gt;165-182&lt;/_pages&gt;&lt;_url&gt;http://www.sciencedirect.com/science/article/pii/S0045794901001663&lt;/_url&gt;&lt;_volume&gt;80&lt;/_volume&gt;&lt;/Details&gt;&lt;Extra&gt;&lt;DBUID&gt;{C833C268-2DD2-4BFD-9E86-C36B63EFE0FA}&lt;/DBUID&gt;&lt;/Extra&gt;&lt;/Item&gt;&lt;/References&gt;&lt;/Group&gt;&lt;Group&gt;&lt;References&gt;&lt;Item&gt;&lt;ID&gt;1144&lt;/ID&gt;&lt;UID&gt;{840CCE08-3CFC-4BF2-AB2E-EE94CB464102}&lt;/UID&gt;&lt;Title&gt;Experimental and Analytical Studies on Dynamic Characteristics of a Large Span Cable-stayed Bridge&lt;/Title&gt;&lt;Template&gt;Journal Article&lt;/Template&gt;&lt;Star&gt;0&lt;/Star&gt;&lt;Tag&gt;5&lt;/Tag&gt;&lt;Author&gt;Ren, Wei-Xin; Peng, Xue-Lin; Lin, You-Qin&lt;/Author&gt;&lt;Year&gt;2005&lt;/Year&gt;&lt;Details&gt;&lt;_accessed&gt;59189512&lt;/_accessed&gt;&lt;_alternate_title&gt;Engineering Structures&lt;/_alternate_title&gt;&lt;_created&gt;59066503&lt;/_created&gt;&lt;_date_display&gt;2005/3//&lt;/_date_display&gt;&lt;_db_updated&gt;ScienceDirect&lt;/_db_updated&gt;&lt;_isbn&gt;0141-0296&lt;/_isbn&gt;&lt;_issue&gt;4&lt;/_issue&gt;&lt;_journal&gt;Engineering Structures&lt;/_journal&gt;&lt;_keywords&gt;Cable-stayed bridge; Modal analysis; Parameter identification; Ambient vibration test; Spectra; Frequency; Finite element method&lt;/_keywords&gt;&lt;_modified&gt;59189512&lt;/_modified&gt;&lt;_pages&gt;535-548&lt;/_pages&gt;&lt;_url&gt;http://www.sciencedirect.com/science/article/pii/S0141029605000027&lt;/_url&gt;&lt;_volume&gt;27&lt;/_volume&gt;&lt;/Details&gt;&lt;Extra&gt;&lt;DBUID&gt;{C833C268-2DD2-4BFD-9E86-C36B63EFE0FA}&lt;/DBUID&gt;&lt;/Extra&gt;&lt;/Item&gt;&lt;/References&gt;&lt;/Group&gt;&lt;/Citation&gt;_x000a_"/>
    <w:docVar w:name="NE.Ref{23AA3C11-8AE6-40B2-ACF4-C1E215CA9C51}" w:val=" ADDIN NE.Ref.{23AA3C11-8AE6-40B2-ACF4-C1E215CA9C51}&lt;Citation&gt;&lt;Group&gt;&lt;References&gt;&lt;Item&gt;&lt;ID&gt;1069&lt;/ID&gt;&lt;UID&gt;{25063C60-47F0-4FF7-9B6E-E0AD0A8D1A1C}&lt;/UID&gt;&lt;Title&gt;钢-混凝土组合梁双层梁有限元分析方法&lt;/Title&gt;&lt;Template&gt;Journal Article&lt;/Template&gt;&lt;Star&gt;1&lt;/Star&gt;&lt;Tag&gt;5&lt;/Tag&gt;&lt;Author&gt;邱文亮; 张哲; 黄才良&lt;/Author&gt;&lt;Year&gt;2003&lt;/Year&gt;&lt;Details&gt;&lt;_accessed&gt;59089789&lt;/_accessed&gt;&lt;_author_adr&gt;大连理工大学,土木工程系,辽宁,大连,116024&lt;/_author_adr&gt;&lt;_author_aff&gt;大连理工大学,土木工程系,辽宁,大连,116024&lt;/_author_aff&gt;&lt;_created&gt;59058378&lt;/_created&gt;&lt;_db_provider&gt;北京万方数据股份有限公司&lt;/_db_provider&gt;&lt;_db_updated&gt;Wanfang - Journal&lt;/_db_updated&gt;&lt;_isbn&gt;1000-8608&lt;/_isbn&gt;&lt;_issue&gt;1&lt;/_issue&gt;&lt;_journal&gt;大连理工大学学报&lt;/_journal&gt;&lt;_keywords&gt;组合梁; 有限元法; 滑移/剪力连接件; 双层梁模型&lt;/_keywords&gt;&lt;_language&gt;chi&lt;/_language&gt;&lt;_modified&gt;59058378&lt;/_modified&gt;&lt;_pages&gt;101-103&lt;/_pages&gt;&lt;_tertiary_title&gt;JOURNAL OF DALIAN UNIVERSITY OF TECHNOLOGY&lt;/_tertiary_title&gt;&lt;_translated_title&gt;Finite-element method of double-layer beam model for analysis of composite steel-concrete beams&lt;/_translated_title&gt;&lt;_url&gt;http://d.wanfangdata.com.cn/Periodical_dllgdxxb200301021.aspx _x000a_http://f.g.wanfangdata.com.cn/Fulltext.ashx?fileId=Periodical_dllgdxxb200301021&amp;amp;type=download&amp;amp;transaction=%7b%22ExtraData%22%3a%5b%5d%2c%22Transaction%22%3a%7b%22DateTime%22%3a%22%5c%2fDate(1334490426358%2b0800)%5c%2f%22%2c%22Id%22%3a%220af8d048-1886-42e7-bb96-a03401460c65%22%2c%22ProductDetail%22%3a%22Periodical_dllgdxxb200301021%22%2c%22SessionId%22%3a%22f3ac357b-7510-481c-9de4-f3c6a4ba80fb%22%2c%22Signature%22%3a%22MQbY0Vqu3GAVuUqTaW9dgBVxnfETxspvFazippR7iijLLjWChL%2bLSaW76rKhcCoR%22%2c%22TransferIn%22%3a%7b%22AccountType%22%3a%22Income%22%2c%22Key%22%3a%22PeriodicalFulltext%22%7d%2c%22TransferOut%22%3a%7b%22AccountType%22%3a%22GTimeLimit%22%2c%22Key%22%3a%22tjdxtsg%22%7d%2c%22Turnover%22%3a3.00000%2c%22User%22%3anull%7d%2c%22TransferOutAccountsStatus%22%3a%5b%5d%7d 全文链接_x000a_&lt;/_url&gt;&lt;_volume&gt;43&lt;/_volume&gt;&lt;/Details&gt;&lt;Extra&gt;&lt;DBUID&gt;{C833C268-2DD2-4BFD-9E86-C36B63EFE0FA}&lt;/DBUID&gt;&lt;/Extra&gt;&lt;/Item&gt;&lt;/References&gt;&lt;/Group&gt;&lt;/Citation&gt;_x000a_"/>
    <w:docVar w:name="NE.Ref{24909497-ED0E-48B2-B0F3-4041DD862D38}" w:val=" ADDIN NE.Ref.{24909497-ED0E-48B2-B0F3-4041DD862D38}&lt;Citation&gt;&lt;Group&gt;&lt;References&gt;&lt;Item&gt;&lt;ID&gt;1321&lt;/ID&gt;&lt;UID&gt;{3A763852-58ED-4EA8-BA02-1F404AAAB91F}&lt;/UID&gt;&lt;Title&gt;Exact Static Analysis of Partially Composite Beams and Beam-columns&lt;/Title&gt;&lt;Template&gt;Journal Article&lt;/Template&gt;&lt;Star&gt;1&lt;/Star&gt;&lt;Tag&gt;5&lt;/Tag&gt;&lt;Author&gt;Girhammar, Ulf Arne; Pan, Dan H&lt;/Author&gt;&lt;Year&gt;2007&lt;/Year&gt;&lt;Details&gt;&lt;_accessed&gt;59196780&lt;/_accessed&gt;&lt;_created&gt;59196768&lt;/_created&gt;&lt;_journal&gt;International Journal of Mechanical Sciences&lt;/_journal&gt;&lt;_modified&gt;59196780&lt;/_modified&gt;&lt;_pages&gt;239-255&lt;/_pages&gt;&lt;_volume&gt;49&lt;/_volume&gt;&lt;/Details&gt;&lt;Extra&gt;&lt;DBUID&gt;{C833C268-2DD2-4BFD-9E86-C36B63EFE0FA}&lt;/DBUID&gt;&lt;/Extra&gt;&lt;/Item&gt;&lt;/References&gt;&lt;/Group&gt;&lt;Group&gt;&lt;References&gt;&lt;Item&gt;&lt;ID&gt;1129&lt;/ID&gt;&lt;UID&gt;{12904739-91E8-45C9-A352-364D23D97749}&lt;/UID&gt;&lt;Title&gt;A Simplified Analysis Method for Composite Beams with Interlayer Slip&lt;/Title&gt;&lt;Template&gt;Journal Article&lt;/Template&gt;&lt;Star&gt;1&lt;/Star&gt;&lt;Tag&gt;5&lt;/Tag&gt;&lt;Author&gt;Girhammar, Ulf Arne&lt;/Author&gt;&lt;Year&gt;2009&lt;/Year&gt;&lt;Details&gt;&lt;_accessed&gt;59274114&lt;/_accessed&gt;&lt;_alternate_title&gt;International Journal of Mechanical Sciences&lt;/_alternate_title&gt;&lt;_created&gt;59066503&lt;/_created&gt;&lt;_date_display&gt;2009/7//&lt;/_date_display&gt;&lt;_db_updated&gt;ScienceDirect&lt;/_db_updated&gt;&lt;_isbn&gt;0020-7403&lt;/_isbn&gt;&lt;_issue&gt;7&lt;/_issue&gt;&lt;_journal&gt;International Journal of Mechanical Sciences&lt;/_journal&gt;&lt;_keywords&gt;Composite beams; Partial interaction; Interlayer slip; Approximate analysis; Simplified analysis; Effective bending stiffness&lt;/_keywords&gt;&lt;_modified&gt;59196780&lt;/_modified&gt;&lt;_pages&gt;515-530&lt;/_pages&gt;&lt;_url&gt;http://www.sciencedirect.com/science/article/pii/S0020740309000903&lt;/_url&gt;&lt;_volume&gt;51&lt;/_volume&gt;&lt;/Details&gt;&lt;Extra&gt;&lt;DBUID&gt;{C833C268-2DD2-4BFD-9E86-C36B63EFE0FA}&lt;/DBUID&gt;&lt;/Extra&gt;&lt;/Item&gt;&lt;/References&gt;&lt;/Group&gt;&lt;Group&gt;&lt;References&gt;&lt;Item&gt;&lt;ID&gt;1140&lt;/ID&gt;&lt;UID&gt;{A483EB46-4EEA-4204-95DB-12B902301401}&lt;/UID&gt;&lt;Title&gt;Composite Beam–columns with Interlayer Slip—Approximate Analysis&lt;/Title&gt;&lt;Template&gt;Journal Article&lt;/Template&gt;&lt;Star&gt;1&lt;/Star&gt;&lt;Tag&gt;5&lt;/Tag&gt;&lt;Author&gt;Girhammar, Ulf Arne&lt;/Author&gt;&lt;Year&gt;2008&lt;/Year&gt;&lt;Details&gt;&lt;_accessed&gt;59196957&lt;/_accessed&gt;&lt;_alternate_title&gt;International Journal of Mechanical Sciences&lt;/_alternate_title&gt;&lt;_created&gt;59066503&lt;/_created&gt;&lt;_date_display&gt;2008/12//&lt;/_date_display&gt;&lt;_db_updated&gt;ScienceDirect&lt;/_db_updated&gt;&lt;_isbn&gt;0020-7403&lt;/_isbn&gt;&lt;_issue&gt;12&lt;/_issue&gt;&lt;_journal&gt;International Journal of Mechanical Sciences&lt;/_journal&gt;&lt;_keywords&gt;Composite beam–columns; Partial interaction; Interlayer slip; Approximate analysis; Effective bending stiffness; Magnification factors&lt;/_keywords&gt;&lt;_modified&gt;59196958&lt;/_modified&gt;&lt;_pages&gt;1636-1649&lt;/_pages&gt;&lt;_url&gt;http://www.sciencedirect.com/science/article/pii/S0020740308001392&lt;/_url&gt;&lt;_volume&gt;50&lt;/_volume&gt;&lt;/Details&gt;&lt;Extra&gt;&lt;DBUID&gt;{C833C268-2DD2-4BFD-9E86-C36B63EFE0FA}&lt;/DBUID&gt;&lt;/Extra&gt;&lt;/Item&gt;&lt;/References&gt;&lt;/Group&gt;&lt;/Citation&gt;_x000a_"/>
    <w:docVar w:name="NE.Ref{2617C280-A884-471B-8A52-AA5DEC945002}" w:val=" ADDIN NE.Ref.{2617C280-A884-471B-8A52-AA5DEC945002}&lt;Citation&gt;&lt;Group&gt;&lt;References&gt;&lt;Item&gt;&lt;ID&gt;1230&lt;/ID&gt;&lt;UID&gt;{AF69320F-3A57-4974-91C4-69C86B006184}&lt;/UID&gt;&lt;Title&gt;现代斜拉桥&lt;/Title&gt;&lt;Template&gt;Book&lt;/Template&gt;&lt;Star&gt;0&lt;/Star&gt;&lt;Tag&gt;0&lt;/Tag&gt;&lt;Author&gt;严国敏&lt;/Author&gt;&lt;Year&gt;1996&lt;/Year&gt;&lt;Details&gt;&lt;_publisher&gt;西南交通大学出版社&lt;/_publisher&gt;&lt;_place_published&gt;成都&lt;/_place_published&gt;&lt;_modified&gt;59096627&lt;/_modified&gt;&lt;_created&gt;59096627&lt;/_created&gt;&lt;_accessed&gt;59096627&lt;/_accessed&gt;&lt;/Details&gt;&lt;Extra&gt;&lt;DBUID&gt;{C833C268-2DD2-4BFD-9E86-C36B63EFE0FA}&lt;/DBUID&gt;&lt;/Extra&gt;&lt;/Item&gt;&lt;/References&gt;&lt;/Group&gt;&lt;/Citation&gt;_x000a_"/>
    <w:docVar w:name="NE.Ref{275D4AF4-1BF4-44D4-9EF3-830DD4E8C33D}" w:val=" ADDIN NE.Ref.{275D4AF4-1BF4-44D4-9EF3-830DD4E8C33D}&lt;Citation&gt;&lt;Group&gt;&lt;References&gt;&lt;Item&gt;&lt;ID&gt;1009&lt;/ID&gt;&lt;UID&gt;{8BF4237F-34E7-4F56-8FCD-CD203D764A5A}&lt;/UID&gt;&lt;Title&gt;苏通大桥主航道桥总体静力分析&lt;/Title&gt;&lt;Template&gt;Journal Article&lt;/Template&gt;&lt;Star&gt;0&lt;/Star&gt;&lt;Tag&gt;5&lt;/Tag&gt;&lt;Author&gt;苗家武; 裴岷山; 肖汝诚; 张喜刚&lt;/Author&gt;&lt;Year&gt;2006&lt;/Year&gt;&lt;Details&gt;&lt;_author_adr&gt;同济大学,桥梁工程系,上海,200092; 中交公路规划设计院,北京,100010&lt;/_author_adr&gt;&lt;_author_aff&gt;同济大学,桥梁工程系,上海,200092; 中交公路规划设计院,北京,100010&lt;/_author_aff&gt;&lt;_created&gt;59057863&lt;/_created&gt;&lt;_db_provider&gt;北京万方数据股份有限公司&lt;/_db_provider&gt;&lt;_db_updated&gt;Wanfang - Journal&lt;/_db_updated&gt;&lt;_isbn&gt;1002-0268&lt;/_isbn&gt;&lt;_issue&gt;2&lt;/_issue&gt;&lt;_journal&gt;公路交通科技&lt;/_journal&gt;&lt;_keywords&gt;斜拉桥; 索力优化; 结构体系; 几何非线性; 结构分析&lt;/_keywords&gt;&lt;_language&gt;chi&lt;/_language&gt;&lt;_modified&gt;59057863&lt;/_modified&gt;&lt;_pages&gt;64-67&lt;/_pages&gt;&lt;_tertiary_title&gt;JOURNAL OF HIGHWAY AND TRANSPORTATION RESEARCH AND DEVELOPMENT&lt;/_tertiary_title&gt;&lt;_translated_author&gt;Jia-wu, MIAO; Min-shan, PEI; Ruc-heng, XIAO; Xi-gang, ZHANG&lt;/_translated_author&gt;&lt;_translated_title&gt;Global Static Analysis of the SuTong Cable-Stayed Bridge&lt;/_translated_title&gt;&lt;_url&gt;http://d.wanfangdata.com.cn/Periodical_gljtkj200602016.aspx _x000a_http://f.g.wanfangdata.com.cn/Fulltext.ashx?fileId=Periodical_gljtkj200602016&amp;amp;type=download&amp;amp;transaction=%7b%22ExtraData%22%3a%5b%5d%2c%22Transaction%22%3a%7b%22DateTime%22%3a%22%5c%2fDate(1334454325833%2b0800)%5c%2f%22%2c%22Id%22%3a%2216bdabe7-be5d-4aad-87e2-a03400a0cb17%22%2c%22ProductDetail%22%3a%22Periodical_gljtkj200602016%22%2c%22SessionId%22%3a%22b7ebde5e-b658-44d5-80eb-ea8b9d1c1397%22%2c%22Signature%22%3a%22mCOaiBEAoSiKDOnU5Vo8VlhQJiUUNH0eHnaIPNgboTptJBdOuS37fAfQGllAVLXa%22%2c%22TransferIn%22%3a%7b%22AccountType%22%3a%22Income%22%2c%22Key%22%3a%22PeriodicalFulltext%22%7d%2c%22TransferOut%22%3a%7b%22AccountType%22%3a%22GTimeLimit%22%2c%22Key%22%3a%22tjdxtsg%22%7d%2c%22Turnover%22%3a3.00000%2c%22User%22%3anull%7d%2c%22TransferOutAccountsStatus%22%3a%5b%5d%7d 全文链接_x000a_&lt;/_url&gt;&lt;_volume&gt;23&lt;/_volume&gt;&lt;/Details&gt;&lt;Extra&gt;&lt;DBUID&gt;{C833C268-2DD2-4BFD-9E86-C36B63EFE0FA}&lt;/DBUID&gt;&lt;/Extra&gt;&lt;/Item&gt;&lt;/References&gt;&lt;/Group&gt;&lt;/Citation&gt;_x000a_"/>
    <w:docVar w:name="NE.Ref{29E7D652-E599-4C60-8F52-2F49F1D4A586}" w:val=" ADDIN NE.Ref.{29E7D652-E599-4C60-8F52-2F49F1D4A586}&lt;Citation&gt;&lt;Group&gt;&lt;References&gt;&lt;Item&gt;&lt;ID&gt;882&lt;/ID&gt;&lt;UID&gt;{CA125D84-A952-4543-BE15-4FDA5D708496}&lt;/UID&gt;&lt;Title&gt;滑移效应对组合梁弹性受弯承载力的影响分析&lt;/Title&gt;&lt;Template&gt;Journal Article&lt;/Template&gt;&lt;Star&gt;1&lt;/Star&gt;&lt;Tag&gt;5&lt;/Tag&gt;&lt;Author&gt;沈小冬; 胡夏闽; 于天泓; 张琪&lt;/Author&gt;&lt;Year&gt;2008&lt;/Year&gt;&lt;Details&gt;&lt;_accessed&gt;58954907&lt;/_accessed&gt;&lt;_author_adr&gt;南京工业大学,土木工程学院,江苏,南京,210009&lt;/_author_adr&gt;&lt;_author_aff&gt;南京工业大学,土木工程学院,江苏,南京,210009&lt;/_author_aff&gt;&lt;_created&gt;58954904&lt;/_created&gt;&lt;_db_provider&gt;北京万方数据股份有限公司&lt;/_db_provider&gt;&lt;_db_updated&gt;Wanfang - Journal&lt;/_db_updated&gt;&lt;_isbn&gt;1671-7627&lt;/_isbn&gt;&lt;_issue&gt;5&lt;/_issue&gt;&lt;_journal&gt;南京工业大学学报（自然科学版）&lt;/_journal&gt;&lt;_keywords&gt;钢一混凝土组合梁; 滑移; 弹性受弯承载力&lt;/_keywords&gt;&lt;_language&gt;chi&lt;/_language&gt;&lt;_modified&gt;58954905&lt;/_modified&gt;&lt;_pages&gt;68-72&lt;/_pages&gt;&lt;_tertiary_title&gt;JOURNAL OF NANJING UNIVERSITY OF TECHNOLOGY(NATURAL SCIENCE EDITION)&lt;/_tertiary_title&gt;&lt;_translated_author&gt;Xiao-dong, SHEN; Xia-min, H U; Tian-hong, Y U; Qi, ZHANG&lt;/_translated_author&gt;&lt;_translated_title&gt;Slip effect on elastic bearing capacity of steel-concrete composite beams under bending&lt;/_translated_title&gt;&lt;_url&gt;http://d.wanfangdata.com.cn/Periodical_njhgdxxb200805015.aspx&lt;/_url&gt;&lt;_volume&gt;30&lt;/_volume&gt;&lt;/Details&gt;&lt;Extra&gt;&lt;DBUID&gt;{C833C268-2DD2-4BFD-9E86-C36B63EFE0FA}&lt;/DBUID&gt;&lt;/Extra&gt;&lt;/Item&gt;&lt;/References&gt;&lt;/Group&gt;&lt;/Citation&gt;_x000a_"/>
    <w:docVar w:name="NE.Ref{2A451FC4-A2A4-47CB-B38B-CDE916314ED6}" w:val=" ADDIN NE.Ref.{2A451FC4-A2A4-47CB-B38B-CDE916314ED6}&lt;Citation&gt;&lt;Group&gt;&lt;References&gt;&lt;Item&gt;&lt;ID&gt;1219&lt;/ID&gt;&lt;UID&gt;{74C90ECD-6669-4F36-9F89-17615E370D9A}&lt;/UID&gt;&lt;Title&gt;面向创新的中国现代桥梁&lt;/Title&gt;&lt;Template&gt;Book&lt;/Template&gt;&lt;Star&gt;0&lt;/Star&gt;&lt;Tag&gt;5&lt;/Tag&gt;&lt;Author&gt;中国公路学会桥梁和结构工程分会&lt;/Author&gt;&lt;Year&gt;2009&lt;/Year&gt;&lt;Details&gt;&lt;_accessed&gt;59118998&lt;/_accessed&gt;&lt;_created&gt;59092979&lt;/_created&gt;&lt;_modified&gt;59118998&lt;/_modified&gt;&lt;_ori_publication&gt;人民交通出版社&lt;/_ori_publication&gt;&lt;_publisher&gt;人民交通出版社&lt;/_publisher&gt;&lt;/Details&gt;&lt;Extra&gt;&lt;DBUID&gt;{C833C268-2DD2-4BFD-9E86-C36B63EFE0FA}&lt;/DBUID&gt;&lt;/Extra&gt;&lt;/Item&gt;&lt;/References&gt;&lt;/Group&gt;&lt;/Citation&gt;_x000a_"/>
    <w:docVar w:name="NE.Ref{2B49FA73-9767-4AE4-BB1D-23A196C7AFE7}" w:val=" ADDIN NE.Ref.{2B49FA73-9767-4AE4-BB1D-23A196C7AFE7}&lt;Citation&gt;&lt;Group&gt;&lt;References&gt;&lt;Item&gt;&lt;ID&gt;106&lt;/ID&gt;&lt;UID&gt;{E7E166A0-8807-4075-AA89-CF12B42830FF}&lt;/UID&gt;&lt;Title&gt;斜拉桥索力优化的影响矩阵法&lt;/Title&gt;&lt;Template&gt;Journal Article&lt;/Template&gt;&lt;Star&gt;1&lt;/Star&gt;&lt;Tag&gt;5&lt;/Tag&gt;&lt;Author&gt;肖汝诚; 项海帆&lt;/Author&gt;&lt;Year&gt;1998&lt;/Year&gt;&lt;Details&gt;&lt;_accessed&gt;59082926&lt;/_accessed&gt;&lt;_author_adr&gt;同济大学桥梁工程系&lt;/_author_adr&gt;&lt;_created&gt;58462457&lt;/_created&gt;&lt;_db_provider&gt;重庆维普&lt;/_db_provider&gt;&lt;_db_updated&gt;CQ_VIP&lt;/_db_updated&gt;&lt;_isbn&gt;0253-374X&lt;/_isbn&gt;&lt;_issue&gt;3&lt;/_issue&gt;&lt;_journal&gt;同济大学学报：自然科学版&lt;/_journal&gt;&lt;_keywords&gt;斜拉桥; 索力优化; 影响矩阵法; 纠偏&lt;/_keywords&gt;&lt;_language&gt;Chinese&lt;/_language&gt;&lt;_modified&gt;58462462&lt;/_modified&gt;&lt;_pages&gt;235-240&lt;/_pages&gt;&lt;_url&gt;http://www.cqvip.com/qk/90798X/199803/3087901.html&lt;/_url&gt;&lt;_volume&gt;26&lt;/_volume&gt;&lt;/Details&gt;&lt;Extra&gt;&lt;DBUID&gt;{C833C268-2DD2-4BFD-9E86-C36B63EFE0FA}&lt;/DBUID&gt;&lt;/Extra&gt;&lt;/Item&gt;&lt;/References&gt;&lt;/Group&gt;&lt;Group&gt;&lt;References&gt;&lt;Item&gt;&lt;ID&gt;107&lt;/ID&gt;&lt;UID&gt;{4CEB657C-7D9E-4725-B4D9-B66430304547}&lt;/UID&gt;&lt;Title&gt;斜拉桥索力优化及其工程应用&lt;/Title&gt;&lt;Template&gt;Journal Article&lt;/Template&gt;&lt;Star&gt;1&lt;/Star&gt;&lt;Tag&gt;5&lt;/Tag&gt;&lt;Author&gt;肖汝诚; 项海帆&lt;/Author&gt;&lt;Year&gt;1998&lt;/Year&gt;&lt;Details&gt;&lt;_accessed&gt;58462465&lt;/_accessed&gt;&lt;_author_adr&gt;上海同济大学桥梁系&lt;/_author_adr&gt;&lt;_created&gt;58462457&lt;/_created&gt;&lt;_db_provider&gt;重庆维普&lt;/_db_provider&gt;&lt;_db_updated&gt;CQ_VIP&lt;/_db_updated&gt;&lt;_isbn&gt;1007-4708&lt;/_isbn&gt;&lt;_issue&gt;1&lt;/_issue&gt;&lt;_journal&gt;计算力学学报&lt;/_journal&gt;&lt;_keywords&gt;斜拉桥; 索力优化; 影响矩阵&lt;/_keywords&gt;&lt;_language&gt;Chinese&lt;/_language&gt;&lt;_modified&gt;58462462&lt;/_modified&gt;&lt;_pages&gt;118-126&lt;/_pages&gt;&lt;_url&gt;http://www.cqvip.com/qk/94820A/199801/2952388.html&lt;/_url&gt;&lt;_volume&gt;15&lt;/_volume&gt;&lt;/Details&gt;&lt;Extra&gt;&lt;DBUID&gt;{C833C268-2DD2-4BFD-9E86-C36B63EFE0FA}&lt;/DBUID&gt;&lt;/Extra&gt;&lt;/Item&gt;&lt;/References&gt;&lt;/Group&gt;&lt;/Citation&gt;_x000a_"/>
    <w:docVar w:name="NE.Ref{2D58A814-DBA8-4DE9-A650-384E20C306AC}" w:val=" ADDIN NE.Ref.{2D58A814-DBA8-4DE9-A650-384E20C306AC}&lt;Citation&gt;&lt;Group&gt;&lt;References&gt;&lt;Item&gt;&lt;ID&gt;1151&lt;/ID&gt;&lt;UID&gt;{DE6F09B1-07FA-44FF-957A-4FB94EF6BDEB}&lt;/UID&gt;&lt;Title&gt;Improved system buckling analysis of effective lengths of girder and tower members in steel cable-stayed bridges&lt;/Title&gt;&lt;Template&gt;Journal Article&lt;/Template&gt;&lt;Star&gt;1&lt;/Star&gt;&lt;Tag&gt;5&lt;/Tag&gt;&lt;Author&gt;Yoo, Hoon; Choi, Dong-Ho&lt;/Author&gt;&lt;Year&gt;2009&lt;/Year&gt;&lt;Details&gt;&lt;_accessed&gt;59066516&lt;/_accessed&gt;&lt;_alternate_title&gt;Computers &amp;amp;amp; Structures&lt;/_alternate_title&gt;&lt;_created&gt;59066503&lt;/_created&gt;&lt;_date_display&gt;2009/7//&lt;/_date_display&gt;&lt;_db_updated&gt;ScienceDirect&lt;/_db_updated&gt;&lt;_isbn&gt;0045-7949&lt;/_isbn&gt;&lt;_issue&gt;13–14&lt;/_issue&gt;&lt;_journal&gt;Computers &amp;amp;amp; Structures&lt;/_journal&gt;&lt;_keywords&gt;Effective length; Cable-stayed bridge; System buckling analysis; Fictitious axial force&lt;/_keywords&gt;&lt;_modified&gt;59066509&lt;/_modified&gt;&lt;_pages&gt;847-860&lt;/_pages&gt;&lt;_url&gt;http://www.sciencedirect.com/science/article/pii/S0045794909000303&lt;/_url&gt;&lt;_volume&gt;87&lt;/_volume&gt;&lt;/Details&gt;&lt;Extra&gt;&lt;DBUID&gt;{C833C268-2DD2-4BFD-9E86-C36B63EFE0FA}&lt;/DBUID&gt;&lt;/Extra&gt;&lt;/Item&gt;&lt;/References&gt;&lt;/Group&gt;&lt;/Citation&gt;_x000a_"/>
    <w:docVar w:name="NE.Ref{2DB0B0AB-C700-4FF9-BFA9-B93977C6785C}" w:val=" ADDIN NE.Ref.{2DB0B0AB-C700-4FF9-BFA9-B93977C6785C}&lt;Citation&gt;&lt;Group&gt;&lt;References&gt;&lt;Item&gt;&lt;ID&gt;1237&lt;/ID&gt;&lt;UID&gt;{00F268BF-1CA6-49C3-93D9-581041B134E8}&lt;/UID&gt;&lt;Title&gt;半封闭钢箱组合梁斜拉桥关键技术研究&lt;/Title&gt;&lt;Template&gt;Report&lt;/Template&gt;&lt;Star&gt;0&lt;/Star&gt;&lt;Tag&gt;5&lt;/Tag&gt;&lt;Author&gt;同济大学桥梁工程系&lt;/Author&gt;&lt;Year&gt;2009&lt;/Year&gt;&lt;Details&gt;&lt;_accessed&gt;59107671&lt;/_accessed&gt;&lt;_created&gt;59107671&lt;/_created&gt;&lt;_modified&gt;59107671&lt;/_modified&gt;&lt;_place_published&gt;上海&lt;/_place_published&gt;&lt;/Details&gt;&lt;Extra&gt;&lt;DBUID&gt;{C833C268-2DD2-4BFD-9E86-C36B63EFE0FA}&lt;/DBUID&gt;&lt;/Extra&gt;&lt;/Item&gt;&lt;/References&gt;&lt;/Group&gt;&lt;/Citation&gt;_x000a_"/>
    <w:docVar w:name="NE.Ref{2E108361-ABE1-49B1-945B-C0DC854A8F9D}" w:val=" ADDIN NE.Ref.{2E108361-ABE1-49B1-945B-C0DC854A8F9D}&lt;Citation&gt;&lt;Group&gt;&lt;References&gt;&lt;Item&gt;&lt;ID&gt;218&lt;/ID&gt;&lt;UID&gt;{929C69DF-79D4-496F-A90B-FDCB2F36F239}&lt;/UID&gt;&lt;Title&gt;大跨度组合箱梁斜拉桥混凝土收缩与徐变应力分析&lt;/Title&gt;&lt;Template&gt;Journal Article&lt;/Template&gt;&lt;Star&gt;1&lt;/Star&gt;&lt;Tag&gt;5&lt;/Tag&gt;&lt;Author&gt;吴冲; 曾明根; 邵长宇; 刘小方&lt;/Author&gt;&lt;Year&gt;2004&lt;/Year&gt;&lt;Details&gt;&lt;_accessed&gt;58846225&lt;/_accessed&gt;&lt;_author_adr&gt;同济大学桥梁工程系,上海,200092; 上海市政工程设计研究院,上海,200092; 上海市深水港工程建设指挥部大桥分指挥部,上海,201306&lt;/_author_adr&gt;&lt;_author_aff&gt;同济大学桥梁工程系,上海,200092; 上海市政工程设计研究院,上海,200092; 上海市深水港工程建设指挥部大桥分指挥部,上海,201306&lt;/_author_aff&gt;&lt;_created&gt;58464511&lt;/_created&gt;&lt;_db_provider&gt;北京万方数据股份有限公司&lt;/_db_provider&gt;&lt;_db_updated&gt;Wanfang - Journal&lt;/_db_updated&gt;&lt;_isbn&gt;1671-7767&lt;/_isbn&gt;&lt;_issue&gt;z1&lt;/_issue&gt;&lt;_journal&gt;世界桥梁&lt;/_journal&gt;&lt;_keywords&gt;组合桥梁; 斜拉桥; 组合箱梁; 徐变; 混凝土收缩&lt;/_keywords&gt;&lt;_language&gt;chi&lt;/_language&gt;&lt;_modified&gt;58799886&lt;/_modified&gt;&lt;_pages&gt;37-41&lt;/_pages&gt;&lt;_tertiary_title&gt;WORLD BRIDGES&lt;/_tertiary_title&gt;&lt;_translated_title&gt;Analysis of Concrete Shrinkage and Creep Stresses of Long-Span Composite Box Girder Cable-Stayed Bridges&lt;/_translated_title&gt;&lt;_url&gt;http://d.wanfangdata.com.cn/Periodical_gwql2004z1010.aspx&lt;/_url&gt;&lt;/Details&gt;&lt;Extra&gt;&lt;DBUID&gt;{C833C268-2DD2-4BFD-9E86-C36B63EFE0FA}&lt;/DBUID&gt;&lt;/Extra&gt;&lt;/Item&gt;&lt;/References&gt;&lt;/Group&gt;&lt;Group&gt;&lt;References&gt;&lt;Item&gt;&lt;ID&gt;1243&lt;/ID&gt;&lt;UID&gt;{EDC3F919-770A-45B5-9D79-A0BE1D6DF225}&lt;/UID&gt;&lt;Title&gt;桥梁结构分析&lt;/Title&gt;&lt;Template&gt;Book Section&lt;/Template&gt;&lt;Star&gt;0&lt;/Star&gt;&lt;Tag&gt;5&lt;/Tag&gt;&lt;Author&gt;杜国华; 毛昌时; 司徒妙龄&lt;/Author&gt;&lt;Year&gt;1994&lt;/Year&gt;&lt;Details&gt;&lt;_accessed&gt;59117599&lt;/_accessed&gt;&lt;_created&gt;59117595&lt;/_created&gt;&lt;_modified&gt;59117599&lt;/_modified&gt;&lt;_publisher&gt;同济大学出版社&lt;/_publisher&gt;&lt;_secondary_title&gt;桥梁结构分析&lt;/_secondary_title&gt;&lt;/Details&gt;&lt;Extra&gt;&lt;DBUID&gt;{C833C268-2DD2-4BFD-9E86-C36B63EFE0FA}&lt;/DBUID&gt;&lt;/Extra&gt;&lt;/Item&gt;&lt;/References&gt;&lt;/Group&gt;&lt;Group&gt;&lt;References&gt;&lt;Item&gt;&lt;ID&gt;1242&lt;/ID&gt;&lt;UID&gt;{BA30FA62-7B58-4BBA-9A9C-0CBBE24A4006}&lt;/UID&gt;&lt;Title&gt;钢-混凝土组合梁斜拉桥结构的混凝土徐变效应分析&lt;/Title&gt;&lt;Template&gt;Thesis&lt;/Template&gt;&lt;Star&gt;0&lt;/Star&gt;&lt;Tag&gt;5&lt;/Tag&gt;&lt;Author&gt;胡欣&lt;/Author&gt;&lt;Year&gt;2004&lt;/Year&gt;&lt;Details&gt;&lt;_accessed&gt;59117304&lt;/_accessed&gt;&lt;_created&gt;59117303&lt;/_created&gt;&lt;_date&gt;54829440&lt;/_date&gt;&lt;_db_provider&gt;北京万方数据股份有限公司&lt;/_db_provider&gt;&lt;_db_updated&gt;Wanfang - Thesis&lt;/_db_updated&gt;&lt;_keywords&gt;组合梁; 斜拉桥; 徐变; 前进分析; ANSYS&lt;/_keywords&gt;&lt;_language&gt;chi&lt;/_language&gt;&lt;_modified&gt;59117304&lt;/_modified&gt;&lt;_publisher&gt;同济大学&lt;/_publisher&gt;&lt;_section&gt;桥梁与隧道工程&lt;/_section&gt;&lt;_tertiary_author&gt;吴冲石志源&lt;/_tertiary_author&gt;&lt;_url&gt;http://d.wanfangdata.com.cn/Thesis_Y675304.aspx&lt;/_url&gt;&lt;_volume&gt;硕士&lt;/_volume&gt;&lt;/Details&gt;&lt;Extra&gt;&lt;DBUID&gt;{C833C268-2DD2-4BFD-9E86-C36B63EFE0FA}&lt;/DBUID&gt;&lt;/Extra&gt;&lt;/Item&gt;&lt;/References&gt;&lt;/Group&gt;&lt;/Citation&gt;_x000a_"/>
    <w:docVar w:name="NE.Ref{2E454DD1-9353-4A27-A803-27F12FE105CA}" w:val=" ADDIN NE.Ref.{2E454DD1-9353-4A27-A803-27F12FE105CA}&lt;Citation&gt;&lt;Group&gt;&lt;References&gt;&lt;Item&gt;&lt;ID&gt;2634&lt;/ID&gt;&lt;UID&gt;{3F9D6C9F-F575-4163-800D-6A7B6D197C9F}&lt;/UID&gt;&lt;Title&gt;外白渡桥船移大修保护工程设计(下)&lt;/Title&gt;&lt;Template&gt;Journal Article&lt;/Template&gt;&lt;Star&gt;0&lt;/Star&gt;&lt;Tag&gt;0&lt;/Tag&gt;&lt;Author&gt;岳贵平; 黄慷; 张春雷; 陈诚&lt;/Author&gt;&lt;Year&gt;2009&lt;/Year&gt;&lt;Details&gt;&lt;_language&gt;Chinese&lt;/_language&gt;&lt;_created&gt;62191781&lt;/_created&gt;&lt;_modified&gt;62191782&lt;/_modified&gt;&lt;_accessed&gt;62191782&lt;/_accessed&gt;&lt;_url&gt;http://kns.cnki.net/KCMS/detail/detail.aspx?FileName=SJSK200906013&amp;amp;DbName=CJFQ2009&lt;/_url&gt;&lt;_journal&gt;上海建设科技&lt;/_journal&gt;&lt;_issue&gt;06&lt;/_issue&gt;&lt;_pages&gt;36-40&lt;/_pages&gt;&lt;_date&gt;57839040&lt;/_date&gt;&lt;_keywords&gt;水中承台;墩台;立面;桥墩;结构布置;外白渡桥;中墩;盾构推进;桥台;人行道板;隧道中心;地层损失率;桩基础;桩基;基础(工程);&lt;/_keywords&gt;&lt;_author_aff&gt;上海市政工程设计研究总院大桥设计研究院;&lt;/_author_aff&gt;&lt;_db_provider&gt;CNKI: 期刊&lt;/_db_provider&gt;&lt;_db_updated&gt;CNKI - Reference&lt;/_db_updated&gt;&lt;_translated_author&gt;Yue, Guiping;Huang, Kang;Zhang, Chunlei;Chen, Cheng&lt;/_translated_author&gt;&lt;/Details&gt;&lt;Extra&gt;&lt;DBUID&gt;{25139A1D-CF45-40E3-9EDD-33E25C1C489A}&lt;/DBUID&gt;&lt;/Extra&gt;&lt;/Item&gt;&lt;/References&gt;&lt;/Group&gt;&lt;/Citation&gt;_x000a_"/>
    <w:docVar w:name="NE.Ref{2EC85832-4C2C-4C09-BCF5-4BD3BA35C4C4}" w:val=" ADDIN NE.Ref.{2EC85832-4C2C-4C09-BCF5-4BD3BA35C4C4}&lt;Citation&gt;&lt;Group&gt;&lt;References&gt;&lt;Item&gt;&lt;ID&gt;1264&lt;/ID&gt;&lt;UID&gt;{59CE6E75-E057-45EF-ADF3-E99F87500F2D}&lt;/UID&gt;&lt;Title&gt;The future european code for composite bridges and its relation to british research and practice&lt;/Title&gt;&lt;Template&gt;Conference Paper&lt;/Template&gt;&lt;Star&gt;0&lt;/Star&gt;&lt;Tag&gt;5&lt;/Tag&gt;&lt;Author&gt;JOHNSON, ROGER P&lt;/Author&gt;&lt;Year&gt;2001&lt;/Year&gt;&lt;Details&gt;&lt;_accessed&gt;59157408&lt;/_accessed&gt;&lt;_created&gt;59153387&lt;/_created&gt;&lt;_modified&gt;59153390&lt;/_modified&gt;&lt;_place_published&gt;Madrid，Spain&lt;/_place_published&gt;&lt;_publisher&gt;the Third International Meeting on Composite Bridges sponsored by the Madrid Association of Civil Engineers&lt;/_publisher&gt;&lt;_translated_author&gt;JOHNSON, ROGER P&lt;/_translated_author&gt;&lt;/Details&gt;&lt;Extra&gt;&lt;DBUID&gt;{C833C268-2DD2-4BFD-9E86-C36B63EFE0FA}&lt;/DBUID&gt;&lt;/Extra&gt;&lt;/Item&gt;&lt;/References&gt;&lt;/Group&gt;&lt;/Citation&gt;_x000a_"/>
    <w:docVar w:name="NE.Ref{315D86D7-F696-4277-A7E0-ACC05557E15B}" w:val=" ADDIN NE.Ref.{315D86D7-F696-4277-A7E0-ACC05557E15B}&lt;Citation&gt;&lt;Group&gt;&lt;References&gt;&lt;Item&gt;&lt;ID&gt;1165&lt;/ID&gt;&lt;UID&gt;{1E4F8378-45F8-4D7B-9906-F9E8788BBC65}&lt;/UID&gt;&lt;Title&gt;Some modeling aspects in the nonlinear finite element analysis of cable supported bridges&lt;/Title&gt;&lt;Template&gt;Journal Article&lt;/Template&gt;&lt;Star&gt;1&lt;/Star&gt;&lt;Tag&gt;5&lt;/Tag&gt;&lt;Author&gt;Karoumi, Raid&lt;/Author&gt;&lt;Year&gt;1999&lt;/Year&gt;&lt;Details&gt;&lt;_accessed&gt;59074235&lt;/_accessed&gt;&lt;_alternate_title&gt;Computers &amp;amp;amp; Structures&lt;/_alternate_title&gt;&lt;_created&gt;59066503&lt;/_created&gt;&lt;_date_display&gt;1999/5//&lt;/_date_display&gt;&lt;_db_updated&gt;ScienceDirect&lt;/_db_updated&gt;&lt;_isbn&gt;0045-7949&lt;/_isbn&gt;&lt;_issue&gt;4&lt;/_issue&gt;&lt;_journal&gt;Computers &amp;amp;amp; Structures&lt;/_journal&gt;&lt;_keywords&gt;Cable element; Beam element; Finite element method; Nonlinear analysis; Cable-stayed bridges; Suspension bridges; Great Belt suspension bridge&lt;/_keywords&gt;&lt;_modified&gt;59066512&lt;/_modified&gt;&lt;_pages&gt;397-412&lt;/_pages&gt;&lt;_url&gt;http://www.sciencedirect.com/science/article/pii/S0045794998002442&lt;/_url&gt;&lt;_volume&gt;71&lt;/_volume&gt;&lt;/Details&gt;&lt;Extra&gt;&lt;DBUID&gt;{C833C268-2DD2-4BFD-9E86-C36B63EFE0FA}&lt;/DBUID&gt;&lt;/Extra&gt;&lt;/Item&gt;&lt;/References&gt;&lt;/Group&gt;&lt;/Citation&gt;_x000a_"/>
    <w:docVar w:name="NE.Ref{3256459D-7300-408C-B446-38DC31A34A47}" w:val=" ADDIN NE.Ref.{3256459D-7300-408C-B446-38DC31A34A47}&lt;Citation&gt;&lt;Group&gt;&lt;References&gt;&lt;Item&gt;&lt;ID&gt;1172&lt;/ID&gt;&lt;UID&gt;{D77456F1-1F83-4302-92E0-05F0BCC9DE61}&lt;/UID&gt;&lt;Title&gt;Study on Nonlinear Analysis of a Highly Redundant Cable-stayed Bridge&lt;/Title&gt;&lt;Template&gt;Journal Article&lt;/Template&gt;&lt;Star&gt;1&lt;/Star&gt;&lt;Tag&gt;5&lt;/Tag&gt;&lt;Author&gt;Wang, Pao-Hsii; Lin, Hung-Ta; Tang, Tzu-Yang&lt;/Author&gt;&lt;Year&gt;2002&lt;/Year&gt;&lt;Details&gt;&lt;_accessed&gt;59189509&lt;/_accessed&gt;&lt;_alternate_title&gt;Computers &amp;amp;amp; Structures&lt;/_alternate_title&gt;&lt;_created&gt;59066503&lt;/_created&gt;&lt;_date_display&gt;2002/1//&lt;/_date_display&gt;&lt;_db_updated&gt;ScienceDirect&lt;/_db_updated&gt;&lt;_isbn&gt;0045-7949&lt;/_isbn&gt;&lt;_issue&gt;2&lt;/_issue&gt;&lt;_journal&gt;Computers &amp;amp;amp; Structures&lt;/_journal&gt;&lt;_keywords&gt;Cable-stayed bridge; Nonlinear analysis; Shape finding&lt;/_keywords&gt;&lt;_modified&gt;59189509&lt;/_modified&gt;&lt;_pages&gt;165-182&lt;/_pages&gt;&lt;_url&gt;http://www.sciencedirect.com/science/article/pii/S0045794901001663&lt;/_url&gt;&lt;_volume&gt;80&lt;/_volume&gt;&lt;/Details&gt;&lt;Extra&gt;&lt;DBUID&gt;{C833C268-2DD2-4BFD-9E86-C36B63EFE0FA}&lt;/DBUID&gt;&lt;/Extra&gt;&lt;/Item&gt;&lt;/References&gt;&lt;/Group&gt;&lt;/Citation&gt;_x000a_"/>
    <w:docVar w:name="NE.Ref{329FA118-44C0-43FF-92A3-19F66D0803E3}" w:val=" ADDIN NE.Ref.{329FA118-44C0-43FF-92A3-19F66D0803E3}&lt;Citation&gt;&lt;Group&gt;&lt;References&gt;&lt;Item&gt;&lt;ID&gt;1220&lt;/ID&gt;&lt;UID&gt;{44299563-78DB-4C7A-B816-C6C78526168D}&lt;/UID&gt;&lt;Title&gt;桥梁概念设计&lt;/Title&gt;&lt;Template&gt;Book&lt;/Template&gt;&lt;Star&gt;0&lt;/Star&gt;&lt;Tag&gt;5&lt;/Tag&gt;&lt;Author&gt;项海帆等&lt;/Author&gt;&lt;Year&gt;2011&lt;/Year&gt;&lt;Details&gt;&lt;_accessed&gt;59118998&lt;/_accessed&gt;&lt;_created&gt;59093005&lt;/_created&gt;&lt;_modified&gt;59108700&lt;/_modified&gt;&lt;_publisher&gt;人民交通出版社&lt;/_publisher&gt;&lt;/Details&gt;&lt;Extra&gt;&lt;DBUID&gt;{C833C268-2DD2-4BFD-9E86-C36B63EFE0FA}&lt;/DBUID&gt;&lt;/Extra&gt;&lt;/Item&gt;&lt;/References&gt;&lt;/Group&gt;&lt;/Citation&gt;_x000a_"/>
    <w:docVar w:name="NE.Ref{32B4D083-A518-498D-A128-FA85E5487B4B}" w:val=" ADDIN NE.Ref.{32B4D083-A518-498D-A128-FA85E5487B4B}&lt;Citation&gt;&lt;Group&gt;&lt;References&gt;&lt;Item&gt;&lt;ID&gt;1236&lt;/ID&gt;&lt;UID&gt;{668FD882-381A-436E-9F72-7DB4F9F8AFF2}&lt;/UID&gt;&lt;Title&gt;Design of Composite Steel and Concrete Structures,Part2:Bridges&lt;/Title&gt;&lt;Template&gt;Standard&lt;/Template&gt;&lt;Star&gt;0&lt;/Star&gt;&lt;Tag&gt;0&lt;/Tag&gt;&lt;Author/&gt;&lt;Year&gt;1996&lt;/Year&gt;&lt;Details&gt;&lt;_secondary_title&gt;Eurocode 4&lt;/_secondary_title&gt;&lt;_modified&gt;59101286&lt;/_modified&gt;&lt;_created&gt;59101286&lt;/_created&gt;&lt;_accessed&gt;59101286&lt;/_accessed&gt;&lt;/Details&gt;&lt;Extra&gt;&lt;DBUID&gt;{C833C268-2DD2-4BFD-9E86-C36B63EFE0FA}&lt;/DBUID&gt;&lt;/Extra&gt;&lt;/Item&gt;&lt;/References&gt;&lt;/Group&gt;&lt;/Citation&gt;_x000a_"/>
    <w:docVar w:name="NE.Ref{35D22009-C453-4F1E-8F07-43DD664892B7}" w:val=" ADDIN NE.Ref.{35D22009-C453-4F1E-8F07-43DD664892B7}&lt;Citation&gt;&lt;Group&gt;&lt;References&gt;&lt;Item&gt;&lt;ID&gt;1219&lt;/ID&gt;&lt;UID&gt;{74C90ECD-6669-4F36-9F89-17615E370D9A}&lt;/UID&gt;&lt;Title&gt;面向创新的中国现代桥梁&lt;/Title&gt;&lt;Template&gt;Book&lt;/Template&gt;&lt;Star&gt;0&lt;/Star&gt;&lt;Tag&gt;5&lt;/Tag&gt;&lt;Author&gt;中国公路学会桥梁和结构工程分会&lt;/Author&gt;&lt;Year&gt;2009&lt;/Year&gt;&lt;Details&gt;&lt;_accessed&gt;59118998&lt;/_accessed&gt;&lt;_created&gt;59092979&lt;/_created&gt;&lt;_modified&gt;59118998&lt;/_modified&gt;&lt;_ori_publication&gt;人民交通出版社&lt;/_ori_publication&gt;&lt;_publisher&gt;人民交通出版社&lt;/_publisher&gt;&lt;/Details&gt;&lt;Extra&gt;&lt;DBUID&gt;{C833C268-2DD2-4BFD-9E86-C36B63EFE0FA}&lt;/DBUID&gt;&lt;/Extra&gt;&lt;/Item&gt;&lt;/References&gt;&lt;/Group&gt;&lt;/Citation&gt;_x000a_"/>
    <w:docVar w:name="NE.Ref{35D31572-F479-45C3-A564-A688529F3E70}" w:val=" ADDIN NE.Ref.{35D31572-F479-45C3-A564-A688529F3E70}&lt;Citation&gt;&lt;Group&gt;&lt;References&gt;&lt;Item&gt;&lt;ID&gt;1136&lt;/ID&gt;&lt;UID&gt;{E4D78815-0A1D-49B4-BA45-A2645223EFAA}&lt;/UID&gt;&lt;Title&gt;Approximate method for estimation of collapse loads of steel cable-stayed bridges&lt;/Title&gt;&lt;Template&gt;Journal Article&lt;/Template&gt;&lt;Star&gt;0&lt;/Star&gt;&lt;Tag&gt;5&lt;/Tag&gt;&lt;Author&gt;Yoo, Hoon; Na, Ho-Sung; Choi, Dong-Ho&lt;/Author&gt;&lt;Year&gt;2012&lt;/Year&gt;&lt;Details&gt;&lt;_accessed&gt;59066516&lt;/_accessed&gt;&lt;_alternate_title&gt;Journal of Constructional Steel Research&lt;/_alternate_title&gt;&lt;_created&gt;59066503&lt;/_created&gt;&lt;_date_display&gt;2012/5//&lt;/_date_display&gt;&lt;_db_updated&gt;ScienceDirect&lt;/_db_updated&gt;&lt;_isbn&gt;0143-974X&lt;/_isbn&gt;&lt;_journal&gt;Journal of Constructional Steel Research&lt;/_journal&gt;&lt;_keywords&gt;Cable-stayed bridge; Structural stability; Collapse loads; Buckling; Inelastic buckling analysis&lt;/_keywords&gt;&lt;_modified&gt;59066505&lt;/_modified&gt;&lt;_pages&gt;143-154&lt;/_pages&gt;&lt;_url&gt;http://www.sciencedirect.com/science/article/pii/S0143974X11003130&lt;/_url&gt;&lt;_volume&gt;72&lt;/_volume&gt;&lt;/Details&gt;&lt;Extra&gt;&lt;DBUID&gt;{C833C268-2DD2-4BFD-9E86-C36B63EFE0FA}&lt;/DBUID&gt;&lt;/Extra&gt;&lt;/Item&gt;&lt;/References&gt;&lt;/Group&gt;&lt;/Citation&gt;_x000a_"/>
    <w:docVar w:name="NE.Ref{36B71ED3-4B33-4C44-B93B-38A7A5707952}" w:val=" ADDIN NE.Ref.{36B71ED3-4B33-4C44-B93B-38A7A5707952}&lt;Citation&gt;&lt;Group&gt;&lt;References&gt;&lt;Item&gt;&lt;ID&gt;1236&lt;/ID&gt;&lt;UID&gt;{668FD882-381A-436E-9F72-7DB4F9F8AFF2}&lt;/UID&gt;&lt;Title&gt;Eurocode 4 Design of Composite Steel and Concrete Structures-Part2: General Rules and Rules for Bridges&lt;/Title&gt;&lt;Template&gt;Standard&lt;/Template&gt;&lt;Star&gt;0&lt;/Star&gt;&lt;Tag&gt;4&lt;/Tag&gt;&lt;Author/&gt;&lt;Year&gt;2005&lt;/Year&gt;&lt;Details&gt;&lt;_accessed&gt;59129088&lt;/_accessed&gt;&lt;_created&gt;59101286&lt;/_created&gt;&lt;_modified&gt;59128929&lt;/_modified&gt;&lt;/Details&gt;&lt;Extra&gt;&lt;DBUID&gt;{C833C268-2DD2-4BFD-9E86-C36B63EFE0FA}&lt;/DBUID&gt;&lt;/Extra&gt;&lt;/Item&gt;&lt;/References&gt;&lt;/Group&gt;&lt;/Citation&gt;_x000a_"/>
    <w:docVar w:name="NE.Ref{36F10FE0-6049-4A5C-A37F-59835A7C9052}" w:val=" ADDIN NE.Ref.{36F10FE0-6049-4A5C-A37F-59835A7C9052}&lt;Citation&gt;&lt;Group&gt;&lt;References&gt;&lt;Item&gt;&lt;ID&gt;1132&lt;/ID&gt;&lt;UID&gt;{79201D34-2AE2-456E-ABCD-1BB83F921A78}&lt;/UID&gt;&lt;Title&gt;Analysis of Cable-stayed Bridges during Construction by Cantilever Methods&lt;/Title&gt;&lt;Template&gt;Journal Article&lt;/Template&gt;&lt;Star&gt;1&lt;/Star&gt;&lt;Tag&gt;5&lt;/Tag&gt;&lt;Author&gt;Wang, Pao-Hsii; Tang, Tzu-Yang; Zheng, Hou-Nong&lt;/Author&gt;&lt;Year&gt;2004&lt;/Year&gt;&lt;Details&gt;&lt;_accessed&gt;59189509&lt;/_accessed&gt;&lt;_alternate_title&gt;Computers &amp;amp;amp; Structures&lt;/_alternate_title&gt;&lt;_created&gt;59066503&lt;/_created&gt;&lt;_date_display&gt;2004/2//&lt;/_date_display&gt;&lt;_db_updated&gt;ScienceDirect&lt;/_db_updated&gt;&lt;_isbn&gt;0045-7949&lt;/_isbn&gt;&lt;_issue&gt;4–5&lt;/_issue&gt;&lt;_journal&gt;Computers &amp;amp;amp; Structures&lt;/_journal&gt;&lt;_keywords&gt;Cable-stayed bridge; Initial shape; Forward process analysis; Backward process analysis&lt;/_keywords&gt;&lt;_modified&gt;59189510&lt;/_modified&gt;&lt;_pages&gt;329-346&lt;/_pages&gt;&lt;_url&gt;http://www.sciencedirect.com/science/article/pii/S004579490300467X&lt;/_url&gt;&lt;_volume&gt;82&lt;/_volume&gt;&lt;/Details&gt;&lt;Extra&gt;&lt;DBUID&gt;{C833C268-2DD2-4BFD-9E86-C36B63EFE0FA}&lt;/DBUID&gt;&lt;/Extra&gt;&lt;/Item&gt;&lt;/References&gt;&lt;/Group&gt;&lt;/Citation&gt;_x000a_"/>
    <w:docVar w:name="NE.Ref{3715E8DB-444F-4C03-850F-838E3BDB5313}" w:val=" ADDIN NE.Ref.{3715E8DB-444F-4C03-850F-838E3BDB5313}&lt;Citation&gt;&lt;Group&gt;&lt;References&gt;&lt;Item&gt;&lt;ID&gt;1241&lt;/ID&gt;&lt;UID&gt;{5C733A40-A6F6-4BCF-9640-1DA8FA79C8FB}&lt;/UID&gt;&lt;Title&gt;Composite Girder Design of Cable-stayed Bridges&lt;/Title&gt;&lt;Template&gt;Journal Article&lt;/Template&gt;&lt;Star&gt;1&lt;/Star&gt;&lt;Tag&gt;5&lt;/Tag&gt;&lt;Author&gt;Cai, Chun S; Zhang, Yin; Nie, Jianguo&lt;/Author&gt;&lt;Year&gt;1998&lt;/Year&gt;&lt;Details&gt;&lt;_accessed&gt;59111789&lt;/_accessed&gt;&lt;_created&gt;59110482&lt;/_created&gt;&lt;_journal&gt;Practice Periodical on Structural Design and Construction&lt;/_journal&gt;&lt;_modified&gt;59111791&lt;/_modified&gt;&lt;/Details&gt;&lt;Extra&gt;&lt;DBUID&gt;{C833C268-2DD2-4BFD-9E86-C36B63EFE0FA}&lt;/DBUID&gt;&lt;/Extra&gt;&lt;/Item&gt;&lt;/References&gt;&lt;/Group&gt;&lt;/Citation&gt;_x000a_"/>
    <w:docVar w:name="NE.Ref{379738BF-3AD4-4238-BACB-670865FFF445}" w:val=" ADDIN NE.Ref.{379738BF-3AD4-4238-BACB-670865FFF445}&lt;Citation&gt;&lt;Group&gt;&lt;References&gt;&lt;Item&gt;&lt;ID&gt;1136&lt;/ID&gt;&lt;UID&gt;{E4D78815-0A1D-49B4-BA45-A2645223EFAA}&lt;/UID&gt;&lt;Title&gt;Approximate method for estimation of collapse loads of steel cable-stayed bridges&lt;/Title&gt;&lt;Template&gt;Journal Article&lt;/Template&gt;&lt;Star&gt;1&lt;/Star&gt;&lt;Tag&gt;5&lt;/Tag&gt;&lt;Author&gt;Yoo, Hoon; Na, Ho-Sung; Choi, Dong-Ho&lt;/Author&gt;&lt;Year&gt;2012&lt;/Year&gt;&lt;Details&gt;&lt;_accessed&gt;59066516&lt;/_accessed&gt;&lt;_alternate_title&gt;Journal of Constructional Steel Research&lt;/_alternate_title&gt;&lt;_created&gt;59066503&lt;/_created&gt;&lt;_date_display&gt;2012/5//&lt;/_date_display&gt;&lt;_db_updated&gt;ScienceDirect&lt;/_db_updated&gt;&lt;_isbn&gt;0143-974X&lt;/_isbn&gt;&lt;_journal&gt;Journal of Constructional Steel Research&lt;/_journal&gt;&lt;_keywords&gt;Cable-stayed bridge; Structural stability; Collapse loads; Buckling; Inelastic buckling analysis&lt;/_keywords&gt;&lt;_modified&gt;59066505&lt;/_modified&gt;&lt;_pages&gt;143-154&lt;/_pages&gt;&lt;_url&gt;http://www.sciencedirect.com/science/article/pii/S0143974X11003130&lt;/_url&gt;&lt;_volume&gt;72&lt;/_volume&gt;&lt;/Details&gt;&lt;Extra&gt;&lt;DBUID&gt;{C833C268-2DD2-4BFD-9E86-C36B63EFE0FA}&lt;/DBUID&gt;&lt;/Extra&gt;&lt;/Item&gt;&lt;/References&gt;&lt;/Group&gt;&lt;Group&gt;&lt;References&gt;&lt;Item&gt;&lt;ID&gt;1135&lt;/ID&gt;&lt;UID&gt;{9AF11686-7974-4E02-B7A2-2CB1A59BBBE0}&lt;/UID&gt;&lt;Title&gt;Analysis of the overall collapse mechanism of cable-stayed bridges with different cable layouts&lt;/Title&gt;&lt;Template&gt;Journal Article&lt;/Template&gt;&lt;Star&gt;0&lt;/Star&gt;&lt;Tag&gt;2&lt;/Tag&gt;&lt;Author&gt;Song, Weon-Keun; Kim, Seung-Eock&lt;/Author&gt;&lt;Year&gt;2007&lt;/Year&gt;&lt;Details&gt;&lt;_accessed&gt;59078035&lt;/_accessed&gt;&lt;_alternate_title&gt;Engineering Structures&lt;/_alternate_title&gt;&lt;_created&gt;59066503&lt;/_created&gt;&lt;_date_display&gt;2007/9//&lt;/_date_display&gt;&lt;_db_updated&gt;ScienceDirect&lt;/_db_updated&gt;&lt;_isbn&gt;0141-0296&lt;/_isbn&gt;&lt;_issue&gt;9&lt;/_issue&gt;&lt;_journal&gt;Engineering Structures&lt;/_journal&gt;&lt;_keywords&gt;Steel cable-stayed bridge; Softening plastic-hinge model; Fiber element model; Nonlinear inelastic buckling model; Overall collapse mechanism; Ultimate load-carrying capacity&lt;/_keywords&gt;&lt;_modified&gt;59066505&lt;/_modified&gt;&lt;_pages&gt;2133-2142&lt;/_pages&gt;&lt;_url&gt;http://www.sciencedirect.com/science/article/pii/S0141029606004718&lt;/_url&gt;&lt;_volume&gt;29&lt;/_volume&gt;&lt;/Details&gt;&lt;Extra&gt;&lt;DBUID&gt;{C833C268-2DD2-4BFD-9E86-C36B63EFE0FA}&lt;/DBUID&gt;&lt;/Extra&gt;&lt;/Item&gt;&lt;/References&gt;&lt;/Group&gt;&lt;/Citation&gt;_x000a_"/>
    <w:docVar w:name="NE.Ref{38BD6879-B7C1-495B-AC15-482F61C64262}" w:val=" ADDIN NE.Ref.{38BD6879-B7C1-495B-AC15-482F61C64262}&lt;Citation&gt;&lt;Group&gt;&lt;References&gt;&lt;Item&gt;&lt;ID&gt;1009&lt;/ID&gt;&lt;UID&gt;{8BF4237F-34E7-4F56-8FCD-CD203D764A5A}&lt;/UID&gt;&lt;Title&gt;苏通大桥主航道桥总体静力分析&lt;/Title&gt;&lt;Template&gt;Journal Article&lt;/Template&gt;&lt;Star&gt;0&lt;/Star&gt;&lt;Tag&gt;5&lt;/Tag&gt;&lt;Author&gt;苗家武; 裴岷山; 肖汝诚; 张喜刚&lt;/Author&gt;&lt;Year&gt;2006&lt;/Year&gt;&lt;Details&gt;&lt;_author_adr&gt;同济大学,桥梁工程系,上海,200092; 中交公路规划设计院,北京,100010&lt;/_author_adr&gt;&lt;_author_aff&gt;同济大学,桥梁工程系,上海,200092; 中交公路规划设计院,北京,100010&lt;/_author_aff&gt;&lt;_created&gt;59057863&lt;/_created&gt;&lt;_db_provider&gt;北京万方数据股份有限公司&lt;/_db_provider&gt;&lt;_db_updated&gt;Wanfang - Journal&lt;/_db_updated&gt;&lt;_isbn&gt;1002-0268&lt;/_isbn&gt;&lt;_issue&gt;2&lt;/_issue&gt;&lt;_journal&gt;公路交通科技&lt;/_journal&gt;&lt;_keywords&gt;斜拉桥; 索力优化; 结构体系; 几何非线性; 结构分析&lt;/_keywords&gt;&lt;_language&gt;chi&lt;/_language&gt;&lt;_modified&gt;59057863&lt;/_modified&gt;&lt;_pages&gt;64-67&lt;/_pages&gt;&lt;_tertiary_title&gt;JOURNAL OF HIGHWAY AND TRANSPORTATION RESEARCH AND DEVELOPMENT&lt;/_tertiary_title&gt;&lt;_translated_author&gt;Jia-wu, MIAO; Min-shan, PEI; Ruc-heng, XIAO; Xi-gang, ZHANG&lt;/_translated_author&gt;&lt;_translated_title&gt;Global Static Analysis of the SuTong Cable-Stayed Bridge&lt;/_translated_title&gt;&lt;_url&gt;http://d.wanfangdata.com.cn/Periodical_gljtkj200602016.aspx _x000a_http://f.g.wanfangdata.com.cn/Fulltext.ashx?fileId=Periodical_gljtkj200602016&amp;amp;type=download&amp;amp;transaction=%7b%22ExtraData%22%3a%5b%5d%2c%22Transaction%22%3a%7b%22DateTime%22%3a%22%5c%2fDate(1334454325833%2b0800)%5c%2f%22%2c%22Id%22%3a%2216bdabe7-be5d-4aad-87e2-a03400a0cb17%22%2c%22ProductDetail%22%3a%22Periodical_gljtkj200602016%22%2c%22SessionId%22%3a%22b7ebde5e-b658-44d5-80eb-ea8b9d1c1397%22%2c%22Signature%22%3a%22mCOaiBEAoSiKDOnU5Vo8VlhQJiUUNH0eHnaIPNgboTptJBdOuS37fAfQGllAVLXa%22%2c%22TransferIn%22%3a%7b%22AccountType%22%3a%22Income%22%2c%22Key%22%3a%22PeriodicalFulltext%22%7d%2c%22TransferOut%22%3a%7b%22AccountType%22%3a%22GTimeLimit%22%2c%22Key%22%3a%22tjdxtsg%22%7d%2c%22Turnover%22%3a3.00000%2c%22User%22%3anull%7d%2c%22TransferOutAccountsStatus%22%3a%5b%5d%7d 全文链接_x000a_&lt;/_url&gt;&lt;_volume&gt;23&lt;/_volume&gt;&lt;/Details&gt;&lt;Extra&gt;&lt;DBUID&gt;{C833C268-2DD2-4BFD-9E86-C36B63EFE0FA}&lt;/DBUID&gt;&lt;/Extra&gt;&lt;/Item&gt;&lt;/References&gt;&lt;/Group&gt;&lt;/Citation&gt;_x000a_"/>
    <w:docVar w:name="NE.Ref{3A3BCECE-9BA6-4C3E-8C17-E7FB46A4364C}" w:val=" ADDIN NE.Ref.{3A3BCECE-9BA6-4C3E-8C17-E7FB46A4364C}&lt;Citation&gt;&lt;Group&gt;&lt;References&gt;&lt;Item&gt;&lt;ID&gt;1240&lt;/ID&gt;&lt;UID&gt;{6AC95F08-0F56-495F-AFCF-4390B4366D0F}&lt;/UID&gt;&lt;Title&gt;钢-混凝土组合桥梁设计与施工细则（征求意见稿）&lt;/Title&gt;&lt;Template&gt;Standard&lt;/Template&gt;&lt;Star&gt;0&lt;/Star&gt;&lt;Tag&gt;5&lt;/Tag&gt;&lt;Author&gt;中华人民共和国行业标准&lt;/Author&gt;&lt;Year&gt;0&lt;/Year&gt;&lt;Details&gt;&lt;_accessed&gt;59108706&lt;/_accessed&gt;&lt;_created&gt;59108706&lt;/_created&gt;&lt;_modified&gt;59108706&lt;/_modified&gt;&lt;/Details&gt;&lt;Extra&gt;&lt;DBUID&gt;{C833C268-2DD2-4BFD-9E86-C36B63EFE0FA}&lt;/DBUID&gt;&lt;/Extra&gt;&lt;/Item&gt;&lt;/References&gt;&lt;/Group&gt;&lt;/Citation&gt;_x000a_"/>
    <w:docVar w:name="NE.Ref{3A450C2B-50DF-4674-BD79-8796957BA5B4}" w:val=" ADDIN NE.Ref.{3A450C2B-50DF-4674-BD79-8796957BA5B4}&lt;Citation&gt;&lt;Group&gt;&lt;References&gt;&lt;Item&gt;&lt;ID&gt;1220&lt;/ID&gt;&lt;UID&gt;{44299563-78DB-4C7A-B816-C6C78526168D}&lt;/UID&gt;&lt;Title&gt;桥梁概念设计&lt;/Title&gt;&lt;Template&gt;Book&lt;/Template&gt;&lt;Star&gt;0&lt;/Star&gt;&lt;Tag&gt;5&lt;/Tag&gt;&lt;Author&gt;项海帆等&lt;/Author&gt;&lt;Year&gt;2011&lt;/Year&gt;&lt;Details&gt;&lt;_accessed&gt;59118998&lt;/_accessed&gt;&lt;_created&gt;59093005&lt;/_created&gt;&lt;_modified&gt;59108700&lt;/_modified&gt;&lt;_publisher&gt;人民交通出版社&lt;/_publisher&gt;&lt;/Details&gt;&lt;Extra&gt;&lt;DBUID&gt;{C833C268-2DD2-4BFD-9E86-C36B63EFE0FA}&lt;/DBUID&gt;&lt;/Extra&gt;&lt;/Item&gt;&lt;/References&gt;&lt;/Group&gt;&lt;Group&gt;&lt;References&gt;&lt;Item&gt;&lt;ID&gt;1301&lt;/ID&gt;&lt;UID&gt;{3E82ACD6-1939-4DF1-A297-181533110399}&lt;/UID&gt;&lt;Title&gt;Cable-stayed Bridges-Parametric Study&lt;/Title&gt;&lt;Template&gt;Journal Article&lt;/Template&gt;&lt;Star&gt;0&lt;/Star&gt;&lt;Tag&gt;5&lt;/Tag&gt;&lt;Author&gt;Agrawal, T P&lt;/Author&gt;&lt;Year&gt;1998&lt;/Year&gt;&lt;Details&gt;&lt;_accessed&gt;59356170&lt;/_accessed&gt;&lt;_created&gt;59174833&lt;/_created&gt;&lt;_journal&gt;Journal of Bridge Engineering&lt;/_journal&gt;&lt;_modified&gt;59174837&lt;/_modified&gt;&lt;_pages&gt;148-150&lt;/_pages&gt;&lt;_volume&gt;3&lt;/_volume&gt;&lt;/Details&gt;&lt;Extra&gt;&lt;DBUID&gt;{C833C268-2DD2-4BFD-9E86-C36B63EFE0FA}&lt;/DBUID&gt;&lt;/Extra&gt;&lt;/Item&gt;&lt;/References&gt;&lt;/Group&gt;&lt;/Citation&gt;_x000a_"/>
    <w:docVar w:name="NE.Ref{3AA35F60-6AF3-49E1-B37F-29C98C06DAD3}" w:val=" ADDIN NE.Ref.{3AA35F60-6AF3-49E1-B37F-29C98C06DAD3}&lt;Citation&gt;&lt;Group&gt;&lt;References&gt;&lt;Item&gt;&lt;ID&gt;1007&lt;/ID&gt;&lt;UID&gt;{454BE47B-BCE4-41AA-88CD-12EB46F8271B}&lt;/UID&gt;&lt;Title&gt;斜拉桥索力优化实用方法&lt;/Title&gt;&lt;Template&gt;Journal Article&lt;/Template&gt;&lt;Star&gt;1&lt;/Star&gt;&lt;Tag&gt;5&lt;/Tag&gt;&lt;Author&gt;梁鹏; 肖汝诚; 张雪松&lt;/Author&gt;&lt;Year&gt;2003&lt;/Year&gt;&lt;Details&gt;&lt;_author_adr&gt;同济大学,桥梁工程系,上海,200092&lt;/_author_adr&gt;&lt;_author_aff&gt;同济大学,桥梁工程系,上海,200092&lt;/_author_aff&gt;&lt;_created&gt;59057859&lt;/_created&gt;&lt;_db_provider&gt;北京万方数据股份有限公司&lt;/_db_provider&gt;&lt;_db_updated&gt;Wanfang - Journal&lt;/_db_updated&gt;&lt;_isbn&gt;0253-374X&lt;/_isbn&gt;&lt;_issue&gt;11&lt;/_issue&gt;&lt;_journal&gt;同济大学学报(自然科学版)&lt;/_journal&gt;&lt;_keywords&gt;斜拉桥; 成桥合理状态; 索力优化; 影响矩阵法&lt;/_keywords&gt;&lt;_language&gt;chi&lt;/_language&gt;&lt;_modified&gt;59057859&lt;/_modified&gt;&lt;_pages&gt;1270-1274&lt;/_pages&gt;&lt;_tertiary_title&gt;JOURNAL OF TONGJI UNIVERSITY(NATURAL SCIENCE)&lt;/_tertiary_title&gt;&lt;_translated_title&gt;Practical Method of Optimization of Cable Tensions for Cable-stayed Bridges&lt;/_translated_title&gt;&lt;_url&gt;http://d.wanfangdata.com.cn/Periodical_tjdxxb200311003.aspx _x000a_http://f.g.wanfangdata.com.cn/Fulltext.ashx?fileId=Periodical_tjdxxb200311003&amp;amp;type=download&amp;amp;transaction=%7b%22ExtraData%22%3a%5b%5d%2c%22Transaction%22%3a%7b%22DateTime%22%3a%22%5c%2fDate(1334453925341%2b0800)%5c%2f%22%2c%22Id%22%3a%22fc3b4195-9342-49b5-be03-a034009ef5c3%22%2c%22ProductDetail%22%3a%22Periodical_tjdxxb200311003%22%2c%22SessionId%22%3a%22b7ebde5e-b658-44d5-80eb-ea8b9d1c1397%22%2c%22Signature%22%3a%22ERNvgka0lK8OlpumWMNWyscEDVOcnH%5c%2ffGZVq7n6XiwVcgiYboL88Vw1xxYfN0cYy%22%2c%22TransferIn%22%3a%7b%22AccountType%22%3a%22Income%22%2c%22Key%22%3a%22PeriodicalFulltext%22%7d%2c%22TransferOut%22%3a%7b%22AccountType%22%3a%22GTimeLimit%22%2c%22Key%22%3a%22tjdxtsg%22%7d%2c%22Turnover%22%3a3.00000%2c%22User%22%3anull%7d%2c%22TransferOutAccountsStatus%22%3a%5b%5d%7d 全文链接_x000a_&lt;/_url&gt;&lt;_volume&gt;31&lt;/_volume&gt;&lt;/Details&gt;&lt;Extra&gt;&lt;DBUID&gt;{C833C268-2DD2-4BFD-9E86-C36B63EFE0FA}&lt;/DBUID&gt;&lt;/Extra&gt;&lt;/Item&gt;&lt;/References&gt;&lt;/Group&gt;&lt;/Citation&gt;_x000a_"/>
    <w:docVar w:name="NE.Ref{3C36E2DC-A188-4D4F-9B10-71C9BE7ABB25}" w:val=" ADDIN NE.Ref.{3C36E2DC-A188-4D4F-9B10-71C9BE7ABB25}&lt;Citation&gt;&lt;Group&gt;&lt;References&gt;&lt;Item&gt;&lt;ID&gt;1314&lt;/ID&gt;&lt;UID&gt;{299863D0-5432-4EBB-A5A7-0EAE25CACAD8}&lt;/UID&gt;&lt;Title&gt;Sophisticated Non-Linear 4D Structural Analysis for Cable Stayed Bridges&lt;/Title&gt;&lt;Template&gt;Conference Paper&lt;/Template&gt;&lt;Star&gt;0&lt;/Star&gt;&lt;Tag&gt;5&lt;/Tag&gt;&lt;Author&gt;Janjic, Dorian; Bokan, Heinz; Sorsky, Harald&lt;/Author&gt;&lt;Year&gt;2008&lt;/Year&gt;&lt;Details&gt;&lt;_accessed&gt;59185161&lt;/_accessed&gt;&lt;_created&gt;59185149&lt;/_created&gt;&lt;_modified&gt;59185157&lt;/_modified&gt;&lt;_place_published&gt;Vancouver, BC, Canada&lt;/_place_published&gt;&lt;_publisher&gt;the Structural Engineering Institute (SEI) of the American Society of Civil Engineers&lt;/_publisher&gt;&lt;_secondary_title&gt;Structures 2008: Crossing Borders&lt;/_secondary_title&gt;&lt;/Details&gt;&lt;Extra&gt;&lt;DBUID&gt;{C833C268-2DD2-4BFD-9E86-C36B63EFE0FA}&lt;/DBUID&gt;&lt;/Extra&gt;&lt;/Item&gt;&lt;/References&gt;&lt;/Group&gt;&lt;/Citation&gt;_x000a_"/>
    <w:docVar w:name="NE.Ref{3C4E5853-E198-431E-ACC0-CDCC6BCA6814}" w:val=" ADDIN NE.Ref.{3C4E5853-E198-431E-ACC0-CDCC6BCA6814}&lt;Citation&gt;&lt;Group&gt;&lt;References&gt;&lt;Item&gt;&lt;ID&gt;1157&lt;/ID&gt;&lt;UID&gt;{4D9C709B-5A89-43BC-B670-DB4A646435D7}&lt;/UID&gt;&lt;Title&gt;Nonlinear analysis of composite steel–concrete cable-stayed bridges&lt;/Title&gt;&lt;Template&gt;Journal Article&lt;/Template&gt;&lt;Star&gt;1&lt;/Star&gt;&lt;Tag&gt;5&lt;/Tag&gt;&lt;Author&gt;Oliveira Pedro, José J; Reis, António J&lt;/Author&gt;&lt;Year&gt;2010&lt;/Year&gt;&lt;Details&gt;&lt;_accessed&gt;59280103&lt;/_accessed&gt;&lt;_alternate_title&gt;Engineering Structures&lt;/_alternate_title&gt;&lt;_created&gt;59066503&lt;/_created&gt;&lt;_date_display&gt;2010/9//&lt;/_date_display&gt;&lt;_db_updated&gt;ScienceDirect&lt;/_db_updated&gt;&lt;_isbn&gt;0141-0296&lt;/_isbn&gt;&lt;_issue&gt;9&lt;/_issue&gt;&lt;_journal&gt;Engineering Structures&lt;/_journal&gt;&lt;_keywords&gt;Cable-stayed bridge; Composite steel–concrete deck; Nonlinear analysis; Time dependent effects; Flexible connection&lt;/_keywords&gt;&lt;_modified&gt;59066511&lt;/_modified&gt;&lt;_pages&gt;2702-2716&lt;/_pages&gt;&lt;_url&gt;http://www.sciencedirect.com/science/article/pii/S0141029610001859&lt;/_url&gt;&lt;_volume&gt;32&lt;/_volume&gt;&lt;/Details&gt;&lt;Extra&gt;&lt;DBUID&gt;{C833C268-2DD2-4BFD-9E86-C36B63EFE0FA}&lt;/DBUID&gt;&lt;/Extra&gt;&lt;/Item&gt;&lt;/References&gt;&lt;/Group&gt;&lt;/Citation&gt;_x000a_"/>
    <w:docVar w:name="NE.Ref{3C9766CD-B506-4E73-A23F-54D586C1831F}" w:val=" ADDIN NE.Ref.{3C9766CD-B506-4E73-A23F-54D586C1831F}&lt;Citation&gt;&lt;Group&gt;&lt;References&gt;&lt;Item&gt;&lt;ID&gt;1409&lt;/ID&gt;&lt;UID&gt;{A54EFA0B-0914-429D-AFAC-84D6C513E254}&lt;/UID&gt;&lt;Title&gt;Feasibility Design on Cable-stayed Bridges with H-shaped Main Girders&lt;/Title&gt;&lt;Template&gt;Conference Paper&lt;/Template&gt;&lt;Star&gt;0&lt;/Star&gt;&lt;Tag&gt;5&lt;/Tag&gt;&lt;Author&gt;Noguchi, Jiro; Kitada, Toshiyuki; Yoshida, Masahiko; Tsukamoto, Ryoji; Endo, Seiji; Shinmyo, Hiroshi&lt;/Author&gt;&lt;Year&gt;2001&lt;/Year&gt;&lt;Details&gt;&lt;_accessed&gt;59281823&lt;/_accessed&gt;&lt;_created&gt;59281794&lt;/_created&gt;&lt;_modified&gt;59281800&lt;/_modified&gt;&lt;_pages&gt;65-72&lt;/_pages&gt;&lt;_place_published&gt;Seoul&lt;/_place_published&gt;&lt;_secondary_title&gt;IABSE Conference:Cable-Supported Bridges - Challenging Technical Limits&lt;/_secondary_title&gt;&lt;_tertiary_title&gt;IABSE Symposium Report&lt;/_tertiary_title&gt;&lt;/Details&gt;&lt;Extra&gt;&lt;DBUID&gt;{C833C268-2DD2-4BFD-9E86-C36B63EFE0FA}&lt;/DBUID&gt;&lt;/Extra&gt;&lt;/Item&gt;&lt;/References&gt;&lt;/Group&gt;&lt;/Citation&gt;_x000a_"/>
    <w:docVar w:name="NE.Ref{3DE70966-8960-4732-837E-0C2FB9B71BAD}" w:val=" ADDIN NE.Ref.{3DE70966-8960-4732-837E-0C2FB9B71BAD}&lt;Citation&gt;&lt;Group&gt;&lt;References&gt;&lt;Item&gt;&lt;ID&gt;1312&lt;/ID&gt;&lt;UID&gt;{53E9F9A2-1679-4EC6-9FFA-2316CBB30164}&lt;/UID&gt;&lt;Title&gt;Computer Aided Design of Prestressed Concrete and Composite Bridges using Novel TDV Software&lt;/Title&gt;&lt;Template&gt;Conference Paper&lt;/Template&gt;&lt;Star&gt;0&lt;/Star&gt;&lt;Tag&gt;5&lt;/Tag&gt;&lt;Author&gt;Stampler, Johann; Bokan, Heinz; Janjic, Dorian; Heiden, Marko&lt;/Author&gt;&lt;Year&gt;2006&lt;/Year&gt;&lt;Details&gt;&lt;_accessed&gt;59183791&lt;/_accessed&gt;&lt;_created&gt;59182354&lt;/_created&gt;&lt;_modified&gt;59183792&lt;/_modified&gt;&lt;_place_published&gt;PERTH&lt;/_place_published&gt;&lt;_secondary_title&gt;AUSTROADS BRIDGE CONFERENCE&lt;/_secondary_title&gt;&lt;/Details&gt;&lt;Extra&gt;&lt;DBUID&gt;{C833C268-2DD2-4BFD-9E86-C36B63EFE0FA}&lt;/DBUID&gt;&lt;/Extra&gt;&lt;/Item&gt;&lt;/References&gt;&lt;/Group&gt;&lt;/Citation&gt;_x000a_"/>
    <w:docVar w:name="NE.Ref{3DF78380-C382-496C-9300-DC811C6A1D88}" w:val=" ADDIN NE.Ref.{3DF78380-C382-496C-9300-DC811C6A1D88}&lt;Citation&gt;&lt;Group&gt;&lt;References&gt;&lt;Item&gt;&lt;ID&gt;1163&lt;/ID&gt;&lt;UID&gt;{2D5F387A-A094-4B6D-BE0C-08201A7EB66F}&lt;/UID&gt;&lt;Title&gt;Second-order inelastic analysis of cable-stayed bridges&lt;/Title&gt;&lt;Template&gt;Journal Article&lt;/Template&gt;&lt;Star&gt;0&lt;/Star&gt;&lt;Tag&gt;5&lt;/Tag&gt;&lt;Author&gt;Huu-Tai Thai, Seung-EockKim&lt;/Author&gt;&lt;Year&gt;2011&lt;/Year&gt;&lt;Details&gt;&lt;_accessed&gt;59151574&lt;/_accessed&gt;&lt;_created&gt;59066503&lt;/_created&gt;&lt;_issue&gt;2012&lt;/_issue&gt;&lt;_journal&gt;Finite Elements in Analysis and Design&lt;/_journal&gt;&lt;_modified&gt;59151574&lt;/_modified&gt;&lt;_pages&gt;48–55&lt;/_pages&gt;&lt;_tertiary_title&gt;Finite Elements in Analysis and Design&lt;/_tertiary_title&gt;&lt;_translated_author&gt;Huu-Tai Thai, Seung-EockKim&lt;/_translated_author&gt;&lt;_volume&gt;53&lt;/_volume&gt;&lt;/Details&gt;&lt;Extra&gt;&lt;DBUID&gt;{C833C268-2DD2-4BFD-9E86-C36B63EFE0FA}&lt;/DBUID&gt;&lt;/Extra&gt;&lt;/Item&gt;&lt;/References&gt;&lt;/Group&gt;&lt;/Citation&gt;_x000a_"/>
    <w:docVar w:name="NE.Ref{3E05DC66-F246-4A90-BF2E-9A73432E6B24}" w:val=" ADDIN NE.Ref.{3E05DC66-F246-4A90-BF2E-9A73432E6B24}&lt;Citation&gt;&lt;Group&gt;&lt;References&gt;&lt;Item&gt;&lt;ID&gt;1231&lt;/ID&gt;&lt;UID&gt;{1FE5ECA4-EBB2-4537-888C-29D82C06E36C}&lt;/UID&gt;&lt;Title&gt;曹妃甸工业区1号桥斜拉桥设计&lt;/Title&gt;&lt;Template&gt;Journal Article&lt;/Template&gt;&lt;Star&gt;1&lt;/Star&gt;&lt;Tag&gt;5&lt;/Tag&gt;&lt;Author&gt;陈亮; 卢永成; 周伟翔; 邵长宇&lt;/Author&gt;&lt;Year&gt;2011&lt;/Year&gt;&lt;Details&gt;&lt;_author_adr&gt;上海市政工程设计研究总院,上海,200092&lt;/_author_adr&gt;&lt;_author_aff&gt;上海市政工程设计研究总院,上海,200092&lt;/_author_aff&gt;&lt;_created&gt;59098401&lt;/_created&gt;&lt;_db_provider&gt;北京万方数据股份有限公司&lt;/_db_provider&gt;&lt;_db_updated&gt;Wanfang - Journal&lt;/_db_updated&gt;&lt;_isbn&gt;1003-4722&lt;/_isbn&gt;&lt;_issue&gt;4&lt;/_issue&gt;&lt;_journal&gt;桥梁建设&lt;/_journal&gt;&lt;_keywords&gt;斜拉桥; 结合梁; 桥塔; 钢锚箱; 抗震; 桥梁设计&lt;/_keywords&gt;&lt;_language&gt;chi&lt;/_language&gt;&lt;_modified&gt;59098401&lt;/_modified&gt;&lt;_pages&gt;62-65&lt;/_pages&gt;&lt;_tertiary_title&gt;Bridge Construction&lt;/_tertiary_title&gt;&lt;_translated_author&gt;Liang, CHEN; Yong-cheng, L U; Wei-xiang, ZHOU; Chang-yu, SHAO&lt;/_translated_author&gt;&lt;_translated_title&gt;Design of Cable-Stayed Bridge of Caofeidian Industry Zone Bridge No.1&lt;/_translated_title&gt;&lt;_url&gt;http://d.wanfangdata.com.cn/Periodical_qljs201104015.aspx _x000a_http://f.g.wanfangdata.com.cn/Fulltext.ashx?fileId=Periodical_qljs201104015&amp;amp;type=download&amp;amp;transaction=%7b%22ExtraData%22%3a%5b%5d%2c%22Transaction%22%3a%7b%22DateTime%22%3a%22%5c%2fDate(1336886348208%2b0800)%5c%2f%22%2c%22Id%22%3a%22d192de7d-a69f-4473-a006-a05000db7d4f%22%2c%22ProductDetail%22%3a%22Periodical_qljs201104015%22%2c%22SessionId%22%3a%225e7897d5-37d6-4708-a349-ece07fbc14c7%22%2c%22Signature%22%3a%22MAlb8uZfHEwvpOJh5iRFEBPd9GVpKGfIIKeXhKrHKRzervZF081%5c%2fQv4JbhQsi%5c%2f04%22%2c%22TransferIn%22%3a%7b%22AccountType%22%3a%22Income%22%2c%22Key%22%3a%22PeriodicalFulltext%22%7d%2c%22TransferOut%22%3a%7b%22AccountType%22%3a%22GTimeLimit%22%2c%22Key%22%3a%22tjdxtsg%22%7d%2c%22Turnover%22%3a3.00000%2c%22User%22%3anull%7d%2c%22TransferOutAccountsStatus%22%3a%5b%5d%7d 全文链接_x000a_&lt;/_url&gt;&lt;/Details&gt;&lt;Extra&gt;&lt;DBUID&gt;{C833C268-2DD2-4BFD-9E86-C36B63EFE0FA}&lt;/DBUID&gt;&lt;/Extra&gt;&lt;/Item&gt;&lt;/References&gt;&lt;/Group&gt;&lt;/Citation&gt;_x000a_"/>
    <w:docVar w:name="NE.Ref{3E93BA55-B6D4-458E-A2FC-D74F1F3C030C}" w:val=" ADDIN NE.Ref.{3E93BA55-B6D4-458E-A2FC-D74F1F3C030C}&lt;Citation&gt;&lt;Group&gt;&lt;References&gt;&lt;Item&gt;&lt;ID&gt;1007&lt;/ID&gt;&lt;UID&gt;{454BE47B-BCE4-41AA-88CD-12EB46F8271B}&lt;/UID&gt;&lt;Title&gt;斜拉桥索力优化实用方法&lt;/Title&gt;&lt;Template&gt;Journal Article&lt;/Template&gt;&lt;Star&gt;1&lt;/Star&gt;&lt;Tag&gt;5&lt;/Tag&gt;&lt;Author&gt;梁鹏; 肖汝诚; 张雪松&lt;/Author&gt;&lt;Year&gt;2003&lt;/Year&gt;&lt;Details&gt;&lt;_author_adr&gt;同济大学,桥梁工程系,上海,200092&lt;/_author_adr&gt;&lt;_author_aff&gt;同济大学,桥梁工程系,上海,200092&lt;/_author_aff&gt;&lt;_created&gt;59057859&lt;/_created&gt;&lt;_db_provider&gt;北京万方数据股份有限公司&lt;/_db_provider&gt;&lt;_db_updated&gt;Wanfang - Journal&lt;/_db_updated&gt;&lt;_isbn&gt;0253-374X&lt;/_isbn&gt;&lt;_issue&gt;11&lt;/_issue&gt;&lt;_journal&gt;同济大学学报(自然科学版)&lt;/_journal&gt;&lt;_keywords&gt;斜拉桥; 成桥合理状态; 索力优化; 影响矩阵法&lt;/_keywords&gt;&lt;_language&gt;chi&lt;/_language&gt;&lt;_modified&gt;59057859&lt;/_modified&gt;&lt;_pages&gt;1270-1274&lt;/_pages&gt;&lt;_tertiary_title&gt;JOURNAL OF TONGJI UNIVERSITY(NATURAL SCIENCE)&lt;/_tertiary_title&gt;&lt;_translated_title&gt;Practical Method of Optimization of Cable Tensions for Cable-stayed Bridges&lt;/_translated_title&gt;&lt;_url&gt;http://d.wanfangdata.com.cn/Periodical_tjdxxb200311003.aspx _x000a_http://f.g.wanfangdata.com.cn/Fulltext.ashx?fileId=Periodical_tjdxxb200311003&amp;amp;type=download&amp;amp;transaction=%7b%22ExtraData%22%3a%5b%5d%2c%22Transaction%22%3a%7b%22DateTime%22%3a%22%5c%2fDate(1334453925341%2b0800)%5c%2f%22%2c%22Id%22%3a%22fc3b4195-9342-49b5-be03-a034009ef5c3%22%2c%22ProductDetail%22%3a%22Periodical_tjdxxb200311003%22%2c%22SessionId%22%3a%22b7ebde5e-b658-44d5-80eb-ea8b9d1c1397%22%2c%22Signature%22%3a%22ERNvgka0lK8OlpumWMNWyscEDVOcnH%5c%2ffGZVq7n6XiwVcgiYboL88Vw1xxYfN0cYy%22%2c%22TransferIn%22%3a%7b%22AccountType%22%3a%22Income%22%2c%22Key%22%3a%22PeriodicalFulltext%22%7d%2c%22TransferOut%22%3a%7b%22AccountType%22%3a%22GTimeLimit%22%2c%22Key%22%3a%22tjdxtsg%22%7d%2c%22Turnover%22%3a3.00000%2c%22User%22%3anull%7d%2c%22TransferOutAccountsStatus%22%3a%5b%5d%7d 全文链接_x000a_&lt;/_url&gt;&lt;_volume&gt;31&lt;/_volume&gt;&lt;/Details&gt;&lt;Extra&gt;&lt;DBUID&gt;{C833C268-2DD2-4BFD-9E86-C36B63EFE0FA}&lt;/DBUID&gt;&lt;/Extra&gt;&lt;/Item&gt;&lt;/References&gt;&lt;/Group&gt;&lt;/Citation&gt;_x000a_"/>
    <w:docVar w:name="NE.Ref{3EDB6A85-F52A-4D75-B482-44694A8EDCC5}" w:val=" ADDIN NE.Ref.{3EDB6A85-F52A-4D75-B482-44694A8EDCC5}&lt;Citation&gt;&lt;Group&gt;&lt;References&gt;&lt;Item&gt;&lt;ID&gt;1320&lt;/ID&gt;&lt;UID&gt;{19BA01B9-AA1C-4703-9D75-1F0B7DC47117}&lt;/UID&gt;&lt;Title&gt;Field Load Tests and Numerical Analysis of Qingzhou Cable-Stayed Bridge&lt;/Title&gt;&lt;Template&gt;Journal Article&lt;/Template&gt;&lt;Star&gt;0&lt;/Star&gt;&lt;Tag&gt;5&lt;/Tag&gt;&lt;Author&gt;Ren, Wei-Xin; Lin, You-Qin; Peng, Xue-Lin&lt;/Author&gt;&lt;Year&gt;2007&lt;/Year&gt;&lt;Details&gt;&lt;_accessed&gt;59189400&lt;/_accessed&gt;&lt;_created&gt;59189398&lt;/_created&gt;&lt;_journal&gt;Journal of Bridge Engineering&lt;/_journal&gt;&lt;_modified&gt;59189400&lt;/_modified&gt;&lt;_pages&gt;261-270&lt;/_pages&gt;&lt;_volume&gt;12&lt;/_volume&gt;&lt;/Details&gt;&lt;Extra&gt;&lt;DBUID&gt;{C833C268-2DD2-4BFD-9E86-C36B63EFE0FA}&lt;/DBUID&gt;&lt;/Extra&gt;&lt;/Item&gt;&lt;/References&gt;&lt;/Group&gt;&lt;/Citation&gt;_x000a_"/>
    <w:docVar w:name="NE.Ref{4255FCBF-4BA2-4631-B5D3-F2BE428E1C99}" w:val=" ADDIN NE.Ref.{4255FCBF-4BA2-4631-B5D3-F2BE428E1C99}&lt;Citation&gt;&lt;Group&gt;&lt;References&gt;&lt;Item&gt;&lt;ID&gt;1403&lt;/ID&gt;&lt;UID&gt;{8ECA4DF3-EE7C-4A2D-A01A-301F42E8B2C1}&lt;/UID&gt;&lt;Title&gt;Second Severn crossing-cable-stayed bridge&lt;/Title&gt;&lt;Template&gt;Conference Paper&lt;/Template&gt;&lt;Star&gt;0&lt;/Star&gt;&lt;Tag&gt;5&lt;/Tag&gt;&lt;Author&gt;Mizon, David; Smith, Neil; Yeoward, Andrew&lt;/Author&gt;&lt;Year&gt;1997&lt;/Year&gt;&lt;Details&gt;&lt;_accessed&gt;59279650&lt;/_accessed&gt;&lt;_created&gt;59279650&lt;/_created&gt;&lt;_modified&gt;59279655&lt;/_modified&gt;&lt;_tertiary_title&gt;Proceedings of the ICE - Civil Engineering&lt;/_tertiary_title&gt;&lt;/Details&gt;&lt;Extra&gt;&lt;DBUID&gt;{C833C268-2DD2-4BFD-9E86-C36B63EFE0FA}&lt;/DBUID&gt;&lt;/Extra&gt;&lt;/Item&gt;&lt;/References&gt;&lt;/Group&gt;&lt;/Citation&gt;_x000a_"/>
    <w:docVar w:name="NE.Ref{42A951AF-2CDA-42C6-9649-9DF0AA5B8739}" w:val=" ADDIN NE.Ref.{42A951AF-2CDA-42C6-9649-9DF0AA5B8739}&lt;Citation&gt;&lt;Group&gt;&lt;References&gt;&lt;Item&gt;&lt;ID&gt;1303&lt;/ID&gt;&lt;UID&gt;{02DFE142-AAF1-4DCB-968E-3408D375F31F}&lt;/UID&gt;&lt;Title&gt;公路桥涵钢结构及木结构设计规范&lt;/Title&gt;&lt;Template&gt;Standard&lt;/Template&gt;&lt;Star&gt;0&lt;/Star&gt;&lt;Tag&gt;0&lt;/Tag&gt;&lt;Author/&gt;&lt;Year&gt;1986&lt;/Year&gt;&lt;Details&gt;&lt;_accessed&gt;59175157&lt;/_accessed&gt;&lt;_created&gt;59175155&lt;/_created&gt;&lt;_modified&gt;59175155&lt;/_modified&gt;&lt;_place_published&gt;北京&lt;/_place_published&gt;&lt;_publisher&gt;人民交通出版社&lt;/_publisher&gt;&lt;_secondary_title&gt;JTJ025-86&lt;/_secondary_title&gt;&lt;/Details&gt;&lt;Extra&gt;&lt;DBUID&gt;{C833C268-2DD2-4BFD-9E86-C36B63EFE0FA}&lt;/DBUID&gt;&lt;/Extra&gt;&lt;/Item&gt;&lt;/References&gt;&lt;/Group&gt;&lt;/Citation&gt;_x000a_"/>
    <w:docVar w:name="NE.Ref{4328B529-CF93-4933-B317-0DCA88DB179E}" w:val=" ADDIN NE.Ref.{4328B529-CF93-4933-B317-0DCA88DB179E}&lt;Citation&gt;&lt;Group&gt;&lt;References&gt;&lt;Item&gt;&lt;ID&gt;1299&lt;/ID&gt;&lt;UID&gt;{DC74E34D-3E56-45F0-B873-41B4EE92911D}&lt;/UID&gt;&lt;Title&gt;Nolinear Analysis of Steel-Concrete composite structures:State of the Art&lt;/Title&gt;&lt;Template&gt;Journal Article&lt;/Template&gt;&lt;Star&gt;1&lt;/Star&gt;&lt;Tag&gt;5&lt;/Tag&gt;&lt;Author&gt;Spacone, Enrico; El-Tawil, Sherif&lt;/Author&gt;&lt;Year&gt;2004&lt;/Year&gt;&lt;Details&gt;&lt;_accessed&gt;59252854&lt;/_accessed&gt;&lt;_created&gt;59168673&lt;/_created&gt;&lt;_issue&gt;2&lt;/_issue&gt;&lt;_journal&gt;Journal of Structural Engineering&lt;/_journal&gt;&lt;_modified&gt;59168725&lt;/_modified&gt;&lt;_pages&gt;159-168&lt;/_pages&gt;&lt;_tertiary_title&gt;Journal of Structural Engineering&lt;/_tertiary_title&gt;&lt;_translated_author&gt;Spacone, Enrico; El-Tawil, Sherif&lt;/_translated_author&gt;&lt;_volume&gt;130&lt;/_volume&gt;&lt;/Details&gt;&lt;Extra&gt;&lt;DBUID&gt;{C833C268-2DD2-4BFD-9E86-C36B63EFE0FA}&lt;/DBUID&gt;&lt;/Extra&gt;&lt;/Item&gt;&lt;/References&gt;&lt;/Group&gt;&lt;/Citation&gt;_x000a_"/>
    <w:docVar w:name="NE.Ref{44A2844B-D9AE-4272-AD37-ED58A97F5F88}" w:val=" ADDIN NE.Ref.{44A2844B-D9AE-4272-AD37-ED58A97F5F88}&lt;Citation&gt;&lt;Group&gt;&lt;References&gt;&lt;Item&gt;&lt;ID&gt;1432&lt;/ID&gt;&lt;UID&gt;{67E1203B-4FED-4D66-A078-D64B2953F676}&lt;/UID&gt;&lt;Title&gt;Determining the Rational Completion Cable Forces Based on Influence Matrix Method United Minimum Bending Energy Method&lt;/Title&gt;&lt;Template&gt;Conference Paper&lt;/Template&gt;&lt;Star&gt;0&lt;/Star&gt;&lt;Tag&gt;3&lt;/Tag&gt;&lt;Author&gt;Yang, Jun&lt;/Author&gt;&lt;Year&gt;2010&lt;/Year&gt;&lt;Details&gt;&lt;_accessed&gt;59354843&lt;/_accessed&gt;&lt;_created&gt;59354843&lt;/_created&gt;&lt;_modified&gt;59354845&lt;/_modified&gt;&lt;_secondary_title&gt;Traffic and Transportation Studies 2010 ASCE&lt;/_secondary_title&gt;&lt;/Details&gt;&lt;Extra&gt;&lt;DBUID&gt;{C833C268-2DD2-4BFD-9E86-C36B63EFE0FA}&lt;/DBUID&gt;&lt;/Extra&gt;&lt;/Item&gt;&lt;/References&gt;&lt;/Group&gt;&lt;/Citation&gt;_x000a_"/>
    <w:docVar w:name="NE.Ref{460F1CEF-DE81-40D1-BCD1-8380C314074E}" w:val=" ADDIN NE.Ref.{460F1CEF-DE81-40D1-BCD1-8380C314074E}&lt;Citation&gt;&lt;Group&gt;&lt;References&gt;&lt;Item&gt;&lt;ID&gt;1220&lt;/ID&gt;&lt;UID&gt;{44299563-78DB-4C7A-B816-C6C78526168D}&lt;/UID&gt;&lt;Title&gt;桥梁概念设计&lt;/Title&gt;&lt;Template&gt;Book&lt;/Template&gt;&lt;Star&gt;0&lt;/Star&gt;&lt;Tag&gt;5&lt;/Tag&gt;&lt;Author&gt;项海帆等&lt;/Author&gt;&lt;Year&gt;2011&lt;/Year&gt;&lt;Details&gt;&lt;_accessed&gt;59118998&lt;/_accessed&gt;&lt;_created&gt;59093005&lt;/_created&gt;&lt;_modified&gt;59108700&lt;/_modified&gt;&lt;_publisher&gt;人民交通出版社&lt;/_publisher&gt;&lt;/Details&gt;&lt;Extra&gt;&lt;DBUID&gt;{C833C268-2DD2-4BFD-9E86-C36B63EFE0FA}&lt;/DBUID&gt;&lt;/Extra&gt;&lt;/Item&gt;&lt;/References&gt;&lt;/Group&gt;&lt;/Citation&gt;_x000a_"/>
    <w:docVar w:name="NE.Ref{471454CF-0EB7-48D6-8910-1DFEA28A58A9}" w:val=" ADDIN NE.Ref.{471454CF-0EB7-48D6-8910-1DFEA28A58A9}&lt;Citation&gt;&lt;Group&gt;&lt;References&gt;&lt;Item&gt;&lt;ID&gt;1308&lt;/ID&gt;&lt;UID&gt;{88E40293-FB70-4E7C-973A-ACF0FA8C71F1}&lt;/UID&gt;&lt;Title&gt;RM分析用户指南&lt;/Title&gt;&lt;Template&gt;Book&lt;/Template&gt;&lt;Star&gt;0&lt;/Star&gt;&lt;Tag&gt;5&lt;/Tag&gt;&lt;Author&gt;Bentley Systems, Incorporated&lt;/Author&gt;&lt;Year&gt;2009&lt;/Year&gt;&lt;Details&gt;&lt;_accessed&gt;59186134&lt;/_accessed&gt;&lt;_created&gt;59179092&lt;/_created&gt;&lt;_modified&gt;59179101&lt;/_modified&gt;&lt;/Details&gt;&lt;Extra&gt;&lt;DBUID&gt;{C833C268-2DD2-4BFD-9E86-C36B63EFE0FA}&lt;/DBUID&gt;&lt;/Extra&gt;&lt;/Item&gt;&lt;/References&gt;&lt;/Group&gt;&lt;/Citation&gt;_x000a_"/>
    <w:docVar w:name="NE.Ref{47364CC3-8641-4412-AFA6-B08A9FA1B27F}" w:val=" ADDIN NE.Ref.{47364CC3-8641-4412-AFA6-B08A9FA1B27F}&lt;Citation&gt;&lt;Group&gt;&lt;References&gt;&lt;Item&gt;&lt;ID&gt;1162&lt;/ID&gt;&lt;UID&gt;{87C7AACE-E5FD-4876-9524-1CE408D8210C}&lt;/UID&gt;&lt;Title&gt;Quantification of Force Re-distribution During Deck Replacement in a Cable-stayed Bridge&lt;/Title&gt;&lt;Template&gt;Journal Article&lt;/Template&gt;&lt;Star&gt;0&lt;/Star&gt;&lt;Tag&gt;5&lt;/Tag&gt;&lt;Author&gt;Chandra, Dipankar&lt;/Author&gt;&lt;Year&gt;2003&lt;/Year&gt;&lt;Details&gt;&lt;_accessed&gt;59361741&lt;/_accessed&gt;&lt;_alternate_title&gt;Computers &amp;amp;amp; Structures&lt;/_alternate_title&gt;&lt;_created&gt;59066503&lt;/_created&gt;&lt;_date_display&gt;2003/9//&lt;/_date_display&gt;&lt;_db_updated&gt;ScienceDirect&lt;/_db_updated&gt;&lt;_isbn&gt;0045-7949&lt;/_isbn&gt;&lt;_issue&gt;21&lt;/_issue&gt;&lt;_journal&gt;Computers &amp;amp;amp; Structures&lt;/_journal&gt;&lt;_keywords&gt;Cables; Cable-stayed bridge; Deck panels; Deck replacement; Edge girder; Floor beam; Optimum replacement length; Stringer; Temporary compression strut; Unsymmetrical distortion; Vertical deflection&lt;/_keywords&gt;&lt;_modified&gt;59361742&lt;/_modified&gt;&lt;_pages&gt;2067-2078&lt;/_pages&gt;&lt;_url&gt;http://www.sciencedirect.com/science/article/pii/S0045794903002578&lt;/_url&gt;&lt;_volume&gt;81&lt;/_volume&gt;&lt;/Details&gt;&lt;Extra&gt;&lt;DBUID&gt;{C833C268-2DD2-4BFD-9E86-C36B63EFE0FA}&lt;/DBUID&gt;&lt;/Extra&gt;&lt;/Item&gt;&lt;/References&gt;&lt;/Group&gt;&lt;/Citation&gt;_x000a_"/>
    <w:docVar w:name="NE.Ref{49B880EF-5D21-4993-9F29-46EEF31B0991}" w:val=" ADDIN NE.Ref.{49B880EF-5D21-4993-9F29-46EEF31B0991}&lt;Citation&gt;&lt;Group&gt;&lt;References&gt;&lt;Item&gt;&lt;ID&gt;218&lt;/ID&gt;&lt;UID&gt;{929C69DF-79D4-496F-A90B-FDCB2F36F239}&lt;/UID&gt;&lt;Title&gt;大跨度组合箱梁斜拉桥混凝土收缩与徐变应力分析&lt;/Title&gt;&lt;Template&gt;Journal Article&lt;/Template&gt;&lt;Star&gt;1&lt;/Star&gt;&lt;Tag&gt;5&lt;/Tag&gt;&lt;Author&gt;吴冲; 曾明根; 邵长宇; 刘小方&lt;/Author&gt;&lt;Year&gt;2004&lt;/Year&gt;&lt;Details&gt;&lt;_accessed&gt;58846225&lt;/_accessed&gt;&lt;_author_adr&gt;同济大学桥梁工程系,上海,200092; 上海市政工程设计研究院,上海,200092; 上海市深水港工程建设指挥部大桥分指挥部,上海,201306&lt;/_author_adr&gt;&lt;_author_aff&gt;同济大学桥梁工程系,上海,200092; 上海市政工程设计研究院,上海,200092; 上海市深水港工程建设指挥部大桥分指挥部,上海,201306&lt;/_author_aff&gt;&lt;_created&gt;58464511&lt;/_created&gt;&lt;_db_provider&gt;北京万方数据股份有限公司&lt;/_db_provider&gt;&lt;_db_updated&gt;Wanfang - Journal&lt;/_db_updated&gt;&lt;_isbn&gt;1671-7767&lt;/_isbn&gt;&lt;_issue&gt;z1&lt;/_issue&gt;&lt;_journal&gt;世界桥梁&lt;/_journal&gt;&lt;_keywords&gt;组合桥梁; 斜拉桥; 组合箱梁; 徐变; 混凝土收缩&lt;/_keywords&gt;&lt;_language&gt;chi&lt;/_language&gt;&lt;_modified&gt;58799886&lt;/_modified&gt;&lt;_pages&gt;37-41&lt;/_pages&gt;&lt;_tertiary_title&gt;WORLD BRIDGES&lt;/_tertiary_title&gt;&lt;_translated_title&gt;Analysis of Concrete Shrinkage and Creep Stresses of Long-Span Composite Box Girder Cable-Stayed Bridges&lt;/_translated_title&gt;&lt;_url&gt;http://d.wanfangdata.com.cn/Periodical_gwql2004z1010.aspx&lt;/_url&gt;&lt;/Details&gt;&lt;Extra&gt;&lt;DBUID&gt;{C833C268-2DD2-4BFD-9E86-C36B63EFE0FA}&lt;/DBUID&gt;&lt;/Extra&gt;&lt;/Item&gt;&lt;/References&gt;&lt;/Group&gt;&lt;Group&gt;&lt;References&gt;&lt;Item&gt;&lt;ID&gt;1249&lt;/ID&gt;&lt;UID&gt;{1F531CAC-F93E-482F-8FF8-C73871B3349E}&lt;/UID&gt;&lt;Title&gt;欧洲规范4 钢-混凝土组合梁设计方法（3）──组合梁的内力分析&lt;/Title&gt;&lt;Template&gt;Journal Article&lt;/Template&gt;&lt;Star&gt;1&lt;/Star&gt;&lt;Tag&gt;5&lt;/Tag&gt;&lt;Author&gt;胡夏闵&lt;/Author&gt;&lt;Year&gt;1995&lt;/Year&gt;&lt;Details&gt;&lt;_accessed&gt;59128788&lt;/_accessed&gt;&lt;_created&gt;59128750&lt;/_created&gt;&lt;_issue&gt;11&lt;/_issue&gt;&lt;_journal&gt;工业建筑&lt;/_journal&gt;&lt;_modified&gt;59128789&lt;/_modified&gt;&lt;_tertiary_title&gt;Industrial Construction&lt;/_tertiary_title&gt;&lt;_translated_author&gt;Xiamin, Hu&lt;/_translated_author&gt;&lt;_translated_title&gt;DESIGN METHOD OF EUROCODE 4 FOR STEEL-CONCRETE COMPOSITE BEAMS(3)-INTERNAL FORCE ANALYSIS OF COMPOSITE BEAM&lt;/_translated_title&gt;&lt;_volume&gt;25&lt;/_volume&gt;&lt;/Details&gt;&lt;Extra&gt;&lt;DBUID&gt;{C833C268-2DD2-4BFD-9E86-C36B63EFE0FA}&lt;/DBUID&gt;&lt;/Extra&gt;&lt;/Item&gt;&lt;/References&gt;&lt;/Group&gt;&lt;Group&gt;&lt;References&gt;&lt;Item&gt;&lt;ID&gt;1236&lt;/ID&gt;&lt;UID&gt;{668FD882-381A-436E-9F72-7DB4F9F8AFF2}&lt;/UID&gt;&lt;Title&gt;Eurocode 4 Design of Composite Steel and Concrete Structures-Part2: General Rules and Rules for Bridges&lt;/Title&gt;&lt;Template&gt;Standard&lt;/Template&gt;&lt;Star&gt;0&lt;/Star&gt;&lt;Tag&gt;4&lt;/Tag&gt;&lt;Author/&gt;&lt;Year&gt;2005&lt;/Year&gt;&lt;Details&gt;&lt;_accessed&gt;59129088&lt;/_accessed&gt;&lt;_created&gt;59101286&lt;/_created&gt;&lt;_modified&gt;59128929&lt;/_modified&gt;&lt;/Details&gt;&lt;Extra&gt;&lt;DBUID&gt;{C833C268-2DD2-4BFD-9E86-C36B63EFE0FA}&lt;/DBUID&gt;&lt;/Extra&gt;&lt;/Item&gt;&lt;/References&gt;&lt;/Group&gt;&lt;/Citation&gt;_x000a_"/>
    <w:docVar w:name="NE.Ref{49D7B226-B4B0-4252-A943-5519E0684F77}" w:val=" ADDIN NE.Ref.{49D7B226-B4B0-4252-A943-5519E0684F77}&lt;Citation&gt;&lt;Group&gt;&lt;References&gt;&lt;Item&gt;&lt;ID&gt;1314&lt;/ID&gt;&lt;UID&gt;{299863D0-5432-4EBB-A5A7-0EAE25CACAD8}&lt;/UID&gt;&lt;Title&gt;Sophisticated Non-Linear 4D Structural Analysis for Cable Stayed Bridges&lt;/Title&gt;&lt;Template&gt;Conference Paper&lt;/Template&gt;&lt;Star&gt;0&lt;/Star&gt;&lt;Tag&gt;5&lt;/Tag&gt;&lt;Author&gt;Janjic, Dorian; Bokan, Heinz; Sorsky, Harald&lt;/Author&gt;&lt;Year&gt;2008&lt;/Year&gt;&lt;Details&gt;&lt;_accessed&gt;59185161&lt;/_accessed&gt;&lt;_created&gt;59185149&lt;/_created&gt;&lt;_modified&gt;59185157&lt;/_modified&gt;&lt;_place_published&gt;Vancouver, BC, Canada&lt;/_place_published&gt;&lt;_publisher&gt;the Structural Engineering Institute (SEI) of the American Society of Civil Engineers&lt;/_publisher&gt;&lt;_secondary_title&gt;Structures 2008: Crossing Borders&lt;/_secondary_title&gt;&lt;/Details&gt;&lt;Extra&gt;&lt;DBUID&gt;{C833C268-2DD2-4BFD-9E86-C36B63EFE0FA}&lt;/DBUID&gt;&lt;/Extra&gt;&lt;/Item&gt;&lt;/References&gt;&lt;/Group&gt;&lt;Group&gt;&lt;References&gt;&lt;Item&gt;&lt;ID&gt;1407&lt;/ID&gt;&lt;UID&gt;{556623A7-190C-4C5A-8A59-0D725AAA6939}&lt;/UID&gt;&lt;Title&gt;Long Term Effects &amp;amp; Specific Problem in Concrete &amp;amp; Composite Bridges&lt;/Title&gt;&lt;Template&gt;Conference Paper&lt;/Template&gt;&lt;Star&gt;0&lt;/Star&gt;&lt;Tag&gt;5&lt;/Tag&gt;&lt;Author&gt;Janjic, Dorian; Pircher, Martin&lt;/Author&gt;&lt;Year&gt;2004&lt;/Year&gt;&lt;Details&gt;&lt;_accessed&gt;59280254&lt;/_accessed&gt;&lt;_created&gt;59280160&lt;/_created&gt;&lt;_modified&gt;59280255&lt;/_modified&gt;&lt;/Details&gt;&lt;Extra&gt;&lt;DBUID&gt;{C833C268-2DD2-4BFD-9E86-C36B63EFE0FA}&lt;/DBUID&gt;&lt;/Extra&gt;&lt;/Item&gt;&lt;/References&gt;&lt;/Group&gt;&lt;/Citation&gt;_x000a_"/>
    <w:docVar w:name="NE.Ref{4C6CB052-295D-4B35-AE8B-6A0C89B84B06}" w:val=" ADDIN NE.Ref.{4C6CB052-295D-4B35-AE8B-6A0C89B84B06}&lt;Citation&gt;&lt;Group&gt;&lt;References&gt;&lt;Item&gt;&lt;ID&gt;1228&lt;/ID&gt;&lt;UID&gt;{5C434799-ACE8-46E6-A635-4C93EBC7A73F}&lt;/UID&gt;&lt;Title&gt;Influence of Deck Material on Response of Cable-stayed Bridges to Live Loads&lt;/Title&gt;&lt;Template&gt;Journal Article&lt;/Template&gt;&lt;Star&gt;1&lt;/Star&gt;&lt;Tag&gt;5&lt;/Tag&gt;&lt;Author&gt;George, Hany W&lt;/Author&gt;&lt;Year&gt;1999&lt;/Year&gt;&lt;Details&gt;&lt;_accessed&gt;59174805&lt;/_accessed&gt;&lt;_created&gt;59095915&lt;/_created&gt;&lt;_journal&gt;Journal of Bridge Engineering&lt;/_journal&gt;&lt;_modified&gt;59172199&lt;/_modified&gt;&lt;/Details&gt;&lt;Extra&gt;&lt;DBUID&gt;{C833C268-2DD2-4BFD-9E86-C36B63EFE0FA}&lt;/DBUID&gt;&lt;/Extra&gt;&lt;/Item&gt;&lt;/References&gt;&lt;/Group&gt;&lt;/Citation&gt;_x000a_"/>
    <w:docVar w:name="NE.Ref{4D3008A2-14D4-4D9D-8682-459EE63FF172}" w:val=" ADDIN NE.Ref.{4D3008A2-14D4-4D9D-8682-459EE63FF172}&lt;Citation&gt;&lt;Group&gt;&lt;References&gt;&lt;Item&gt;&lt;ID&gt;1396&lt;/ID&gt;&lt;UID&gt;{71EC5049-155A-40C6-BA92-9B63413DAF08}&lt;/UID&gt;&lt;Title&gt;Parametric Studies on Cable-stayed Bridges&lt;/Title&gt;&lt;Template&gt;Journal Article&lt;/Template&gt;&lt;Star&gt;0&lt;/Star&gt;&lt;Tag&gt;5&lt;/Tag&gt;&lt;Author&gt;Wang, Pao-Hsii; Yang, Chiung-Guei&lt;/Author&gt;&lt;Year&gt;1996&lt;/Year&gt;&lt;Details&gt;&lt;_accessed&gt;59294855&lt;/_accessed&gt;&lt;_created&gt;59252846&lt;/_created&gt;&lt;_issue&gt;2&lt;/_issue&gt;&lt;_journal&gt;Computers and Structures&lt;/_journal&gt;&lt;_modified&gt;59294856&lt;/_modified&gt;&lt;_pages&gt;243-260&lt;/_pages&gt;&lt;_volume&gt;60&lt;/_volume&gt;&lt;/Details&gt;&lt;Extra&gt;&lt;DBUID&gt;{C833C268-2DD2-4BFD-9E86-C36B63EFE0FA}&lt;/DBUID&gt;&lt;/Extra&gt;&lt;/Item&gt;&lt;/References&gt;&lt;/Group&gt;&lt;/Citation&gt;_x000a_"/>
    <w:docVar w:name="NE.Ref{4E9C5F8C-220F-492E-95C2-390E18C0C3B7}" w:val=" ADDIN NE.Ref.{4E9C5F8C-220F-492E-95C2-390E18C0C3B7}&lt;Citation&gt;&lt;Group&gt;&lt;References&gt;&lt;Item&gt;&lt;ID&gt;1245&lt;/ID&gt;&lt;UID&gt;{ADC73DA7-2D75-416A-8B98-27FEF4A66E03}&lt;/UID&gt;&lt;Title&gt;欧洲规范4 钢-混凝土组合梁设计方法（7）──梁中剪力连接设计&lt;/Title&gt;&lt;Template&gt;Journal Article&lt;/Template&gt;&lt;Star&gt;1&lt;/Star&gt;&lt;Tag&gt;5&lt;/Tag&gt;&lt;Author&gt;胡夏闵&lt;/Author&gt;&lt;Year&gt;1996&lt;/Year&gt;&lt;Details&gt;&lt;_accessed&gt;59128789&lt;/_accessed&gt;&lt;_created&gt;59128750&lt;/_created&gt;&lt;_issue&gt;3&lt;/_issue&gt;&lt;_journal&gt;工业建筑&lt;/_journal&gt;&lt;_modified&gt;59128788&lt;/_modified&gt;&lt;_tertiary_title&gt;Industrial Construction&lt;/_tertiary_title&gt;&lt;_translated_author&gt;Xiamin, Hu&lt;/_translated_author&gt;&lt;_translated_title&gt;DESIGN METHOD OF EUROCODE 4 FOR STEEL-CONCRETE COMPOSITE BEAMS(7)-SHEAR CONNECTION DESIGN IN BEAMS&lt;/_translated_title&gt;&lt;_volume&gt;26&lt;/_volume&gt;&lt;/Details&gt;&lt;Extra&gt;&lt;DBUID&gt;{C833C268-2DD2-4BFD-9E86-C36B63EFE0FA}&lt;/DBUID&gt;&lt;/Extra&gt;&lt;/Item&gt;&lt;/References&gt;&lt;/Group&gt;&lt;Group&gt;&lt;References&gt;&lt;Item&gt;&lt;ID&gt;1236&lt;/ID&gt;&lt;UID&gt;{668FD882-381A-436E-9F72-7DB4F9F8AFF2}&lt;/UID&gt;&lt;Title&gt;Eurocode 4 Design of Composite Steel and Concrete Structures-Part2: General Rules and Rules for Bridges&lt;/Title&gt;&lt;Template&gt;Standard&lt;/Template&gt;&lt;Star&gt;0&lt;/Star&gt;&lt;Tag&gt;4&lt;/Tag&gt;&lt;Author/&gt;&lt;Year&gt;2005&lt;/Year&gt;&lt;Details&gt;&lt;_accessed&gt;59129088&lt;/_accessed&gt;&lt;_created&gt;59101286&lt;/_created&gt;&lt;_modified&gt;59128929&lt;/_modified&gt;&lt;/Details&gt;&lt;Extra&gt;&lt;DBUID&gt;{C833C268-2DD2-4BFD-9E86-C36B63EFE0FA}&lt;/DBUID&gt;&lt;/Extra&gt;&lt;/Item&gt;&lt;/References&gt;&lt;/Group&gt;&lt;/Citation&gt;_x000a_"/>
    <w:docVar w:name="NE.Ref{4EA71C3A-DA9E-4821-8CA2-C67C5FF9FCB2}" w:val=" ADDIN NE.Ref.{4EA71C3A-DA9E-4821-8CA2-C67C5FF9FCB2}&lt;Citation&gt;&lt;Group&gt;&lt;References&gt;&lt;Item&gt;&lt;ID&gt;1408&lt;/ID&gt;&lt;UID&gt;{70A1DB30-E48F-4AEC-8BC8-D90E81FCC17E}&lt;/UID&gt;&lt;Title&gt;Static Analysis of Cable-stayed Bridges&lt;/Title&gt;&lt;Template&gt;Conference Proceedings&lt;/Template&gt;&lt;Star&gt;1&lt;/Star&gt;&lt;Tag&gt;5&lt;/Tag&gt;&lt;Author&gt;HEGAB, H I A&lt;/Author&gt;&lt;Year&gt;1986&lt;/Year&gt;&lt;Details&gt;&lt;_accessed&gt;59283131&lt;/_accessed&gt;&lt;_created&gt;59281657&lt;/_created&gt;&lt;_modified&gt;59281661&lt;/_modified&gt;&lt;_pages&gt;497-510&lt;/_pages&gt;&lt;_tertiary_title&gt;Proc. Instn Ciu. Engrs, Part 2&lt;/_tertiary_title&gt;&lt;/Details&gt;&lt;Extra&gt;&lt;DBUID&gt;{C833C268-2DD2-4BFD-9E86-C36B63EFE0FA}&lt;/DBUID&gt;&lt;/Extra&gt;&lt;/Item&gt;&lt;/References&gt;&lt;/Group&gt;&lt;/Citation&gt;_x000a_"/>
    <w:docVar w:name="NE.Ref{5153D3BC-3744-4BDF-B1BD-1A47B78F4C94}" w:val=" ADDIN NE.Ref.{5153D3BC-3744-4BDF-B1BD-1A47B78F4C94}&lt;Citation&gt;&lt;Group&gt;&lt;References&gt;&lt;Item&gt;&lt;ID&gt;1414&lt;/ID&gt;&lt;UID&gt;{07E9DCD0-40C0-4136-8167-80AB02C0F9B4}&lt;/UID&gt;&lt;Title&gt;Control of Cracking in Composite Bridge Decks in Regions in Biaxial Tension&lt;/Title&gt;&lt;Template&gt;Conference Proceedings&lt;/Template&gt;&lt;Star&gt;0&lt;/Star&gt;&lt;Tag&gt;5&lt;/Tag&gt;&lt;Author&gt;Johnson, Roger P&lt;/Author&gt;&lt;Year&gt;2011&lt;/Year&gt;&lt;Details&gt;&lt;_accessed&gt;59286080&lt;/_accessed&gt;&lt;_created&gt;59286080&lt;/_created&gt;&lt;_modified&gt;59286082&lt;/_modified&gt;&lt;/Details&gt;&lt;Extra&gt;&lt;DBUID&gt;{C833C268-2DD2-4BFD-9E86-C36B63EFE0FA}&lt;/DBUID&gt;&lt;/Extra&gt;&lt;/Item&gt;&lt;/References&gt;&lt;/Group&gt;&lt;/Citation&gt;_x000a_"/>
    <w:docVar w:name="NE.Ref{53982716-A765-4B06-985D-4652C5D25C1C}" w:val=" ADDIN NE.Ref.{53982716-A765-4B06-985D-4652C5D25C1C}&lt;Citation&gt;&lt;Group&gt;&lt;References&gt;&lt;Item&gt;&lt;ID&gt;1229&lt;/ID&gt;&lt;UID&gt;{A6259BF4-FF80-42A9-A9F0-B6277200F60C}&lt;/UID&gt;&lt;Title&gt;State-of-the-art of long-span bridge engineering in China&lt;/Title&gt;&lt;Template&gt;Journal Article&lt;/Template&gt;&lt;Star&gt;0&lt;/Star&gt;&lt;Tag&gt;5&lt;/Tag&gt;&lt;Author&gt;XIANG, Haifan; GE, Yaojun&lt;/Author&gt;&lt;Year&gt;2007&lt;/Year&gt;&lt;Details&gt;&lt;_accessed&gt;59113416&lt;/_accessed&gt;&lt;_author_adr&gt;College of Civil Engineering, Tongji University, Shanghai 200092, China&lt;/_author_adr&gt;&lt;_author_aff&gt;College of Civil Engineering, Tongji University, Shanghai 200092, China&lt;/_author_aff&gt;&lt;_created&gt;59095915&lt;/_created&gt;&lt;_db_provider&gt;北京万方数据股份有限公司&lt;/_db_provider&gt;&lt;_db_updated&gt;Wanfang - Journal&lt;/_db_updated&gt;&lt;_doi&gt;10.1007/s11709-007-0051-x&lt;/_doi&gt;&lt;_isbn&gt;1673-7407&lt;/_isbn&gt;&lt;_issue&gt;4&lt;/_issue&gt;&lt;_journal&gt;Frontiers of Architecture and Civil Engineering in China&lt;/_journal&gt;&lt;_keywords&gt;long-span bridge; construction project; deck configuration; design codes; aerodynamic performance&lt;/_keywords&gt;&lt;_modified&gt;59113416&lt;/_modified&gt;&lt;_pages&gt;379–388&lt;/_pages&gt;&lt;_tertiary_title&gt;Frontiers of Architecture and Civil Engineering in China&lt;/_tertiary_title&gt;&lt;_translated_title&gt;State-of-the-art of long-span bridge engineering in China&lt;/_translated_title&gt;&lt;_url&gt;http://d.wanfangdata.com.cn/Periodical_11709200704011599.aspx&lt;/_url&gt;&lt;_volume&gt;1&lt;/_volume&gt;&lt;/Details&gt;&lt;Extra&gt;&lt;DBUID&gt;{C833C268-2DD2-4BFD-9E86-C36B63EFE0FA}&lt;/DBUID&gt;&lt;/Extra&gt;&lt;/Item&gt;&lt;/References&gt;&lt;/Group&gt;&lt;Group&gt;&lt;References&gt;&lt;Item&gt;&lt;ID&gt;1228&lt;/ID&gt;&lt;UID&gt;{5C434799-ACE8-46E6-A635-4C93EBC7A73F}&lt;/UID&gt;&lt;Title&gt;Influence of Deck Material on Response of Cable-stayed Bridges to Live Loads&lt;/Title&gt;&lt;Template&gt;Journal Article&lt;/Template&gt;&lt;Star&gt;1&lt;/Star&gt;&lt;Tag&gt;5&lt;/Tag&gt;&lt;Author&gt;George, Hany W&lt;/Author&gt;&lt;Year&gt;1999&lt;/Year&gt;&lt;Details&gt;&lt;_accessed&gt;59174805&lt;/_accessed&gt;&lt;_created&gt;59095915&lt;/_created&gt;&lt;_journal&gt;Journal of Bridge Engineering&lt;/_journal&gt;&lt;_modified&gt;59172199&lt;/_modified&gt;&lt;/Details&gt;&lt;Extra&gt;&lt;DBUID&gt;{C833C268-2DD2-4BFD-9E86-C36B63EFE0FA}&lt;/DBUID&gt;&lt;/Extra&gt;&lt;/Item&gt;&lt;/References&gt;&lt;/Group&gt;&lt;/Citation&gt;_x000a_"/>
    <w:docVar w:name="NE.Ref{53C430D8-1093-4E3B-9DD9-BC4F0438278A}" w:val=" ADDIN NE.Ref.{53C430D8-1093-4E3B-9DD9-BC4F0438278A}&lt;Citation&gt;&lt;Group&gt;&lt;References&gt;&lt;Item&gt;&lt;ID&gt;1311&lt;/ID&gt;&lt;UID&gt;{402E5EDA-54AF-493C-BFF4-3337215DF535}&lt;/UID&gt;&lt;Title&gt;Experience from the Global Analysis of  Stonecutter&amp;apos;s Bridge and Sutong Bridge&lt;/Title&gt;&lt;Template&gt;Conference Paper&lt;/Template&gt;&lt;Star&gt;0&lt;/Star&gt;&lt;Tag&gt;5&lt;/Tag&gt;&lt;Author&gt;Janjic, Dorian&lt;/Author&gt;&lt;Year&gt;2005&lt;/Year&gt;&lt;Details&gt;&lt;_accessed&gt;59187862&lt;/_accessed&gt;&lt;_created&gt;59182354&lt;/_created&gt;&lt;_modified&gt;59187862&lt;/_modified&gt;&lt;_place_published&gt;Lisbon&lt;/_place_published&gt;&lt;_tertiary_title&gt;IABSE Symposium Report&lt;/_tertiary_title&gt;&lt;/Details&gt;&lt;Extra&gt;&lt;DBUID&gt;{C833C268-2DD2-4BFD-9E86-C36B63EFE0FA}&lt;/DBUID&gt;&lt;/Extra&gt;&lt;/Item&gt;&lt;/References&gt;&lt;/Group&gt;&lt;/Citation&gt;_x000a_"/>
    <w:docVar w:name="NE.Ref{5509FFDD-9495-47EE-8BDB-FBA91F016573}" w:val=" ADDIN NE.Ref.{5509FFDD-9495-47EE-8BDB-FBA91F016573}&lt;Citation&gt;&lt;Group&gt;&lt;References&gt;&lt;Item&gt;&lt;ID&gt;1136&lt;/ID&gt;&lt;UID&gt;{E4D78815-0A1D-49B4-BA45-A2645223EFAA}&lt;/UID&gt;&lt;Title&gt;Approximate method for estimation of collapse loads of steel cable-stayed bridges&lt;/Title&gt;&lt;Template&gt;Journal Article&lt;/Template&gt;&lt;Star&gt;1&lt;/Star&gt;&lt;Tag&gt;5&lt;/Tag&gt;&lt;Author&gt;Yoo, Hoon; Na, Ho-Sung; Choi, Dong-Ho&lt;/Author&gt;&lt;Year&gt;2012&lt;/Year&gt;&lt;Details&gt;&lt;_accessed&gt;59066516&lt;/_accessed&gt;&lt;_alternate_title&gt;Journal of Constructional Steel Research&lt;/_alternate_title&gt;&lt;_created&gt;59066503&lt;/_created&gt;&lt;_date_display&gt;2012/5//&lt;/_date_display&gt;&lt;_db_updated&gt;ScienceDirect&lt;/_db_updated&gt;&lt;_isbn&gt;0143-974X&lt;/_isbn&gt;&lt;_journal&gt;Journal of Constructional Steel Research&lt;/_journal&gt;&lt;_keywords&gt;Cable-stayed bridge; Structural stability; Collapse loads; Buckling; Inelastic buckling analysis&lt;/_keywords&gt;&lt;_modified&gt;59066505&lt;/_modified&gt;&lt;_pages&gt;143-154&lt;/_pages&gt;&lt;_url&gt;http://www.sciencedirect.com/science/article/pii/S0143974X11003130&lt;/_url&gt;&lt;_volume&gt;72&lt;/_volume&gt;&lt;/Details&gt;&lt;Extra&gt;&lt;DBUID&gt;{C833C268-2DD2-4BFD-9E86-C36B63EFE0FA}&lt;/DBUID&gt;&lt;/Extra&gt;&lt;/Item&gt;&lt;/References&gt;&lt;/Group&gt;&lt;/Citation&gt;_x000a_"/>
    <w:docVar w:name="NE.Ref{5516B14C-60EA-4D85-B08C-61B04B35D637}" w:val=" ADDIN NE.Ref.{5516B14C-60EA-4D85-B08C-61B04B35D637}&lt;Citation&gt;&lt;Group&gt;&lt;References&gt;&lt;Item&gt;&lt;ID&gt;1212&lt;/ID&gt;&lt;UID&gt;{74E16F83-7EB9-4F17-84CE-1E35D3A82BF3}&lt;/UID&gt;&lt;Title&gt;中国斜拉桥的发展前景&lt;/Title&gt;&lt;Template&gt;Conference Paper&lt;/Template&gt;&lt;Star&gt;1&lt;/Star&gt;&lt;Tag&gt;5&lt;/Tag&gt;&lt;Author&gt;项海帆&lt;/Author&gt;&lt;Year&gt;1998&lt;/Year&gt;&lt;Details&gt;&lt;_accessed&gt;59098398&lt;/_accessed&gt;&lt;_created&gt;59091688&lt;/_created&gt;&lt;_date&gt;1998-01-01&lt;/_date&gt;&lt;_db_provider&gt;北京万方数据股份有限公司&lt;/_db_provider&gt;&lt;_db_updated&gt;Wanfang - Conference&lt;/_db_updated&gt;&lt;_keywords&gt;斜拉桥; 中国; 协作体系; 拉索系统; 施工控制&lt;/_keywords&gt;&lt;_language&gt;chi&lt;/_language&gt;&lt;_modified&gt;59091688&lt;/_modified&gt;&lt;_place_published&gt;上海&lt;/_place_published&gt;&lt;_secondary_title&gt;中国土木工程学会桥梁及结构工程学会第十三届年会&lt;/_secondary_title&gt;&lt;_tertiary_author&gt;中国土木工程学会&lt;/_tertiary_author&gt;&lt;_tertiary_title&gt;中国土木工程学会桥梁及结构工程学会第十三届年会论文集&lt;/_tertiary_title&gt;&lt;_url&gt;http://d.wanfangdata.com.cn/Conference_323619.aspx _x000a_http://f.g.wanfangdata.com.cn/Fulltext.ashx?fileId=Conference_323619&amp;amp;type=download&amp;amp;transaction=%7b%22ExtraData%22%3a%5b%5d%2c%22Transaction%22%3a%7b%22DateTime%22%3a%22%5c%2fDate(1336483820709%2b0800)%5c%2f%22%2c%22Id%22%3a%224905c904-e8f9-4d46-a700-a04b01626767%22%2c%22ProductDetail%22%3a%22Conference_323619%22%2c%22SessionId%22%3a%22e60aa227-5085-4abf-8407-e774905809bc%22%2c%22Signature%22%3a%22l9td7rPfWIwNw1%5c%2fEhYF6BYsqiZueMIeJV5HECeCQCPt6aNNoCtSe2P6B7A94XDFH%22%2c%22TransferIn%22%3a%7b%22AccountType%22%3a%22Income%22%2c%22Key%22%3a%22ConferenceFulltext%22%7d%2c%22TransferOut%22%3a%7b%22AccountType%22%3a%22GTimeLimit%22%2c%22Key%22%3a%22tjdxtsg%22%7d%2c%22Turnover%22%3a10.00000%2c%22User%22%3anull%7d%2c%22TransferOutAccountsStatus%22%3a%5b%5d%7d 全文链接_x000a_&lt;/_url&gt;&lt;/Details&gt;&lt;Extra&gt;&lt;DBUID&gt;{C833C268-2DD2-4BFD-9E86-C36B63EFE0FA}&lt;/DBUID&gt;&lt;/Extra&gt;&lt;/Item&gt;&lt;/References&gt;&lt;/Group&gt;&lt;Group&gt;&lt;References&gt;&lt;Item&gt;&lt;ID&gt;1218&lt;/ID&gt;&lt;UID&gt;{5EA4D2F6-FFFA-4D71-8FDC-5CDB44D5926E}&lt;/UID&gt;&lt;Title&gt;大跨度桥梁概念设计中的若干问题&lt;/Title&gt;&lt;Template&gt;Conference Paper&lt;/Template&gt;&lt;Star&gt;1&lt;/Star&gt;&lt;Tag&gt;5&lt;/Tag&gt;&lt;Author&gt;项海帆&lt;/Author&gt;&lt;Year&gt;2004&lt;/Year&gt;&lt;Details&gt;&lt;_created&gt;59091688&lt;/_created&gt;&lt;_date&gt;2004-01-01&lt;/_date&gt;&lt;_db_provider&gt;北京万方数据股份有限公司&lt;/_db_provider&gt;&lt;_db_updated&gt;Wanfang - Conference&lt;/_db_updated&gt;&lt;_keywords&gt;大跨度桥梁; 概念设计; 桥梁设计; 总体布置; 结构构造&lt;/_keywords&gt;&lt;_language&gt;chi&lt;/_language&gt;&lt;_modified&gt;59091688&lt;/_modified&gt;&lt;_place_published&gt;长沙&lt;/_place_published&gt;&lt;_secondary_title&gt;第十六届全国桥梁学术会议&lt;/_secondary_title&gt;&lt;_tertiary_author&gt;中国土木工程学会&lt;/_tertiary_author&gt;&lt;_tertiary_title&gt;第十六届全国桥梁学术会议论文集&lt;/_tertiary_title&gt;&lt;_url&gt;http://d.wanfangdata.com.cn/Conference_5602371.aspx _x000a_http://f.g.wanfangdata.com.cn/Fulltext.ashx?fileId=Conference_5602371&amp;amp;type=download&amp;amp;transaction=%7b%22ExtraData%22%3a%5b%5d%2c%22Transaction%22%3a%7b%22DateTime%22%3a%22%5c%2fDate(1336483862236%2b0800)%5c%2f%22%2c%22Id%22%3a%22472b2035-5e8a-4808-a4d5-a04b01629811%22%2c%22ProductDetail%22%3a%22Conference_5602371%22%2c%22SessionId%22%3a%22e60aa227-5085-4abf-8407-e774905809bc%22%2c%22Signature%22%3a%22OCDuAyg4i9%5c%2fn1DjvvCEmob0iD%2bY17Yy%5c%2fNz6Hp7G4z8gekRxUA290W8iPnQTkgPNU%22%2c%22TransferIn%22%3a%7b%22AccountType%22%3a%22Income%22%2c%22Key%22%3a%22ConferenceFulltext%22%7d%2c%22TransferOut%22%3a%7b%22AccountType%22%3a%22GTimeLimit%22%2c%22Key%22%3a%22tjdxtsg%22%7d%2c%22Turnover%22%3a10.00000%2c%22User%22%3anull%7d%2c%22TransferOutAccountsStatus%22%3a%5b%5d%7d 全文链接_x000a_&lt;/_url&gt;&lt;/Details&gt;&lt;Extra&gt;&lt;DBUID&gt;{C833C268-2DD2-4BFD-9E86-C36B63EFE0FA}&lt;/DBUID&gt;&lt;/Extra&gt;&lt;/Item&gt;&lt;/References&gt;&lt;/Group&gt;&lt;/Citation&gt;_x000a_"/>
    <w:docVar w:name="NE.Ref{55249518-0F52-485E-9B66-B7F3748F1AC3}" w:val=" ADDIN NE.Ref.{55249518-0F52-485E-9B66-B7F3748F1AC3}&lt;Citation&gt;&lt;Group&gt;&lt;References&gt;&lt;Item&gt;&lt;ID&gt;1246&lt;/ID&gt;&lt;UID&gt;{6AEE728E-A188-4CD2-B959-9F08ECB079D7}&lt;/UID&gt;&lt;Title&gt;欧洲规范4 钢-混凝土组合梁设计方法（2）──组合梁的受力性能和计算理论&lt;/Title&gt;&lt;Template&gt;Journal Article&lt;/Template&gt;&lt;Star&gt;0&lt;/Star&gt;&lt;Tag&gt;0&lt;/Tag&gt;&lt;Author&gt;胡夏闵&lt;/Author&gt;&lt;Year&gt;1995&lt;/Year&gt;&lt;Details&gt;&lt;_accessed&gt;59128790&lt;/_accessed&gt;&lt;_created&gt;59128750&lt;/_created&gt;&lt;_issue&gt;10&lt;/_issue&gt;&lt;_journal&gt;工业建筑&lt;/_journal&gt;&lt;_modified&gt;59128790&lt;/_modified&gt;&lt;_tertiary_title&gt;Industrial Construction&lt;/_tertiary_title&gt;&lt;_translated_author&gt;Xiamin, Hu&lt;/_translated_author&gt;&lt;_translated_title&gt;DESIGN METHOD OF EUROCODE 4 FOR STEEL-CONCRETE COMPOSITE BEAMS(2)-LOAD CARRING BEHAVIOUR AND CALCULATING THEORY OF COMPOSITE BEAMS&lt;/_translated_title&gt;&lt;_volume&gt;25&lt;/_volume&gt;&lt;/Details&gt;&lt;Extra&gt;&lt;DBUID&gt;{C833C268-2DD2-4BFD-9E86-C36B63EFE0FA}&lt;/DBUID&gt;&lt;/Extra&gt;&lt;/Item&gt;&lt;/References&gt;&lt;/Group&gt;&lt;/Citation&gt;_x000a_"/>
    <w:docVar w:name="NE.Ref{55F6BE61-F93B-4F3D-98A6-2C12FF8DD45B}" w:val=" ADDIN NE.Ref.{55F6BE61-F93B-4F3D-98A6-2C12FF8DD45B}&lt;Citation&gt;&lt;Group&gt;&lt;References&gt;&lt;Item&gt;&lt;ID&gt;1267&lt;/ID&gt;&lt;UID&gt;{56308F9B-1E01-4BE1-88BE-47E929308123}&lt;/UID&gt;&lt;Title&gt;Recent evolution of cable-stayed bridges&lt;/Title&gt;&lt;Template&gt;Journal Article&lt;/Template&gt;&lt;Star&gt;0&lt;/Star&gt;&lt;Tag&gt;5&lt;/Tag&gt;&lt;Author&gt;Virlogeux, Michel&lt;/Author&gt;&lt;Year&gt;1999&lt;/Year&gt;&lt;Details&gt;&lt;_alternate_title&gt;Engineering Structures&lt;/_alternate_title&gt;&lt;_created&gt;59166822&lt;/_created&gt;&lt;_date_display&gt;1999/8//&lt;/_date_display&gt;&lt;_db_updated&gt;ScienceDirect&lt;/_db_updated&gt;&lt;_isbn&gt;0141-0296&lt;/_isbn&gt;&lt;_issue&gt;8&lt;/_issue&gt;&lt;_journal&gt;Engineering Structures&lt;/_journal&gt;&lt;_keywords&gt;Cable-stayed bridges; very long spans; aerodynamic stability; dynamic response to turbulent wind; cable vibration; flexible decks; extradossed bridges; multispan cable-stayed bridges&lt;/_keywords&gt;&lt;_modified&gt;59166822&lt;/_modified&gt;&lt;_pages&gt;737-755&lt;/_pages&gt;&lt;_url&gt;http://www.sciencedirect.com/science/article/pii/S0141029698000285 _x000a_http://pdn.sciencedirect.com/science?_ob=MiamiImageURL&amp;amp;_cid=271087&amp;amp;_user=1002983&amp;amp;_pii=S0141029698000285&amp;amp;_check=y&amp;amp;_origin=article&amp;amp;_zone=toolbar&amp;amp;_coverDate=31-Aug-1999&amp;amp;view=c&amp;amp;originContentFamily=serial&amp;amp;wchp=dGLbVlt-zSkzS&amp;amp;md5=385cd70768d860086b7d2254049f1ffe&amp;amp;pid=1-s2.0-S0141029698000285-main.pdf 全文链接_x000a_&lt;/_url&gt;&lt;_volume&gt;21&lt;/_volume&gt;&lt;/Details&gt;&lt;Extra&gt;&lt;DBUID&gt;{C833C268-2DD2-4BFD-9E86-C36B63EFE0FA}&lt;/DBUID&gt;&lt;/Extra&gt;&lt;/Item&gt;&lt;/References&gt;&lt;/Group&gt;&lt;/Citation&gt;_x000a_"/>
    <w:docVar w:name="NE.Ref{591FC725-9AEB-4100-BFDB-DC44257419A0}" w:val=" ADDIN NE.Ref.{591FC725-9AEB-4100-BFDB-DC44257419A0}&lt;Citation&gt;&lt;Group&gt;&lt;References&gt;&lt;Item&gt;&lt;ID&gt;1299&lt;/ID&gt;&lt;UID&gt;{DC74E34D-3E56-45F0-B873-41B4EE92911D}&lt;/UID&gt;&lt;Title&gt;Nolinear Analysis of Steel-Concrete composite structures:State of the Art&lt;/Title&gt;&lt;Template&gt;Journal Article&lt;/Template&gt;&lt;Star&gt;1&lt;/Star&gt;&lt;Tag&gt;5&lt;/Tag&gt;&lt;Author&gt;Spacone, Enrico; El-Tawil, Sherif&lt;/Author&gt;&lt;Year&gt;2004&lt;/Year&gt;&lt;Details&gt;&lt;_accessed&gt;59252854&lt;/_accessed&gt;&lt;_created&gt;59168673&lt;/_created&gt;&lt;_issue&gt;2&lt;/_issue&gt;&lt;_journal&gt;Journal of Structural Engineering&lt;/_journal&gt;&lt;_modified&gt;59168725&lt;/_modified&gt;&lt;_pages&gt;159-168&lt;/_pages&gt;&lt;_tertiary_title&gt;Journal of Structural Engineering&lt;/_tertiary_title&gt;&lt;_translated_author&gt;Spacone, Enrico; El-Tawil, Sherif&lt;/_translated_author&gt;&lt;_volume&gt;130&lt;/_volume&gt;&lt;/Details&gt;&lt;Extra&gt;&lt;DBUID&gt;{C833C268-2DD2-4BFD-9E86-C36B63EFE0FA}&lt;/DBUID&gt;&lt;/Extra&gt;&lt;/Item&gt;&lt;/References&gt;&lt;/Group&gt;&lt;/Citation&gt;_x000a_"/>
    <w:docVar w:name="NE.Ref{5956898B-8D4D-4F0A-8E18-566670D9FEFF}" w:val=" ADDIN NE.Ref.{5956898B-8D4D-4F0A-8E18-566670D9FEFF}&lt;Citation&gt;&lt;Group&gt;&lt;References&gt;&lt;Item&gt;&lt;ID&gt;1334&lt;/ID&gt;&lt;UID&gt;{7E4127CF-1445-4787-882B-31C12FCF593D}&lt;/UID&gt;&lt;Title&gt;Slip Locking in Finite Elements for Composite Beams with Deformable Shear Connection&lt;/Title&gt;&lt;Template&gt;Journal Article&lt;/Template&gt;&lt;Star&gt;1&lt;/Star&gt;&lt;Tag&gt;5&lt;/Tag&gt;&lt;Author&gt;Asta, Andrea Dall; Zona, Alessandro&lt;/Author&gt;&lt;Year&gt;2004&lt;/Year&gt;&lt;Details&gt;&lt;_accessed&gt;59209694&lt;/_accessed&gt;&lt;_created&gt;59209694&lt;/_created&gt;&lt;_journal&gt;Finite Elements in Analysis and Design&lt;/_journal&gt;&lt;_modified&gt;59209697&lt;/_modified&gt;&lt;_pages&gt;1907–1930&lt;/_pages&gt;&lt;_volume&gt;40&lt;/_volume&gt;&lt;/Details&gt;&lt;Extra&gt;&lt;DBUID&gt;{C833C268-2DD2-4BFD-9E86-C36B63EFE0FA}&lt;/DBUID&gt;&lt;/Extra&gt;&lt;/Item&gt;&lt;/References&gt;&lt;/Group&gt;&lt;/Citation&gt;_x000a_"/>
    <w:docVar w:name="NE.Ref{5A09C267-8074-414A-B108-59D7F97494B9}" w:val=" ADDIN NE.Ref.{5A09C267-8074-414A-B108-59D7F97494B9}&lt;Citation&gt;&lt;Group&gt;&lt;References&gt;&lt;Item&gt;&lt;ID&gt;1009&lt;/ID&gt;&lt;UID&gt;{8BF4237F-34E7-4F56-8FCD-CD203D764A5A}&lt;/UID&gt;&lt;Title&gt;苏通大桥主航道桥总体静力分析&lt;/Title&gt;&lt;Template&gt;Journal Article&lt;/Template&gt;&lt;Star&gt;0&lt;/Star&gt;&lt;Tag&gt;5&lt;/Tag&gt;&lt;Author&gt;苗家武; 裴岷山; 肖汝诚; 张喜刚&lt;/Author&gt;&lt;Year&gt;2006&lt;/Year&gt;&lt;Details&gt;&lt;_author_adr&gt;同济大学,桥梁工程系,上海,200092; 中交公路规划设计院,北京,100010&lt;/_author_adr&gt;&lt;_author_aff&gt;同济大学,桥梁工程系,上海,200092; 中交公路规划设计院,北京,100010&lt;/_author_aff&gt;&lt;_created&gt;59057863&lt;/_created&gt;&lt;_db_provider&gt;北京万方数据股份有限公司&lt;/_db_provider&gt;&lt;_db_updated&gt;Wanfang - Journal&lt;/_db_updated&gt;&lt;_isbn&gt;1002-0268&lt;/_isbn&gt;&lt;_issue&gt;2&lt;/_issue&gt;&lt;_journal&gt;公路交通科技&lt;/_journal&gt;&lt;_keywords&gt;斜拉桥; 索力优化; 结构体系; 几何非线性; 结构分析&lt;/_keywords&gt;&lt;_language&gt;chi&lt;/_language&gt;&lt;_modified&gt;59057863&lt;/_modified&gt;&lt;_pages&gt;64-67&lt;/_pages&gt;&lt;_tertiary_title&gt;JOURNAL OF HIGHWAY AND TRANSPORTATION RESEARCH AND DEVELOPMENT&lt;/_tertiary_title&gt;&lt;_translated_author&gt;Jia-wu, MIAO; Min-shan, PEI; Ruc-heng, XIAO; Xi-gang, ZHANG&lt;/_translated_author&gt;&lt;_translated_title&gt;Global Static Analysis of the SuTong Cable-Stayed Bridge&lt;/_translated_title&gt;&lt;_url&gt;http://d.wanfangdata.com.cn/Periodical_gljtkj200602016.aspx _x000a_http://f.g.wanfangdata.com.cn/Fulltext.ashx?fileId=Periodical_gljtkj200602016&amp;amp;type=download&amp;amp;transaction=%7b%22ExtraData%22%3a%5b%5d%2c%22Transaction%22%3a%7b%22DateTime%22%3a%22%5c%2fDate(1334454325833%2b0800)%5c%2f%22%2c%22Id%22%3a%2216bdabe7-be5d-4aad-87e2-a03400a0cb17%22%2c%22ProductDetail%22%3a%22Periodical_gljtkj200602016%22%2c%22SessionId%22%3a%22b7ebde5e-b658-44d5-80eb-ea8b9d1c1397%22%2c%22Signature%22%3a%22mCOaiBEAoSiKDOnU5Vo8VlhQJiUUNH0eHnaIPNgboTptJBdOuS37fAfQGllAVLXa%22%2c%22TransferIn%22%3a%7b%22AccountType%22%3a%22Income%22%2c%22Key%22%3a%22PeriodicalFulltext%22%7d%2c%22TransferOut%22%3a%7b%22AccountType%22%3a%22GTimeLimit%22%2c%22Key%22%3a%22tjdxtsg%22%7d%2c%22Turnover%22%3a3.00000%2c%22User%22%3anull%7d%2c%22TransferOutAccountsStatus%22%3a%5b%5d%7d 全文链接_x000a_&lt;/_url&gt;&lt;_volume&gt;23&lt;/_volume&gt;&lt;/Details&gt;&lt;Extra&gt;&lt;DBUID&gt;{C833C268-2DD2-4BFD-9E86-C36B63EFE0FA}&lt;/DBUID&gt;&lt;/Extra&gt;&lt;/Item&gt;&lt;/References&gt;&lt;/Group&gt;&lt;/Citation&gt;_x000a_"/>
    <w:docVar w:name="NE.Ref{5B070983-E126-45B5-84B6-BF3917987773}" w:val=" ADDIN NE.Ref.{5B070983-E126-45B5-84B6-BF3917987773}&lt;Citation&gt;&lt;Group&gt;&lt;References&gt;&lt;Item&gt;&lt;ID&gt;1267&lt;/ID&gt;&lt;UID&gt;{56308F9B-1E01-4BE1-88BE-47E929308123}&lt;/UID&gt;&lt;Title&gt;Recent evolution of cable-stayed bridges&lt;/Title&gt;&lt;Template&gt;Journal Article&lt;/Template&gt;&lt;Star&gt;0&lt;/Star&gt;&lt;Tag&gt;3&lt;/Tag&gt;&lt;Author&gt;Virlogeux, Michel&lt;/Author&gt;&lt;Year&gt;1999&lt;/Year&gt;&lt;Details&gt;&lt;_alternate_title&gt;Engineering Structures&lt;/_alternate_title&gt;&lt;_created&gt;59166822&lt;/_created&gt;&lt;_date_display&gt;1999/8//&lt;/_date_display&gt;&lt;_db_updated&gt;ScienceDirect&lt;/_db_updated&gt;&lt;_isbn&gt;0141-0296&lt;/_isbn&gt;&lt;_issue&gt;8&lt;/_issue&gt;&lt;_journal&gt;Engineering Structures&lt;/_journal&gt;&lt;_keywords&gt;Cable-stayed bridges; very long spans; aerodynamic stability; dynamic response to turbulent wind; cable vibration; flexible decks; extradossed bridges; multispan cable-stayed bridges&lt;/_keywords&gt;&lt;_modified&gt;59166822&lt;/_modified&gt;&lt;_pages&gt;737-755&lt;/_pages&gt;&lt;_url&gt;http://www.sciencedirect.com/science/article/pii/S0141029698000285 _x000a_http://pdn.sciencedirect.com/science?_ob=MiamiImageURL&amp;amp;_cid=271087&amp;amp;_user=1002983&amp;amp;_pii=S0141029698000285&amp;amp;_check=y&amp;amp;_origin=article&amp;amp;_zone=toolbar&amp;amp;_coverDate=31-Aug-1999&amp;amp;view=c&amp;amp;originContentFamily=serial&amp;amp;wchp=dGLbVlt-zSkzS&amp;amp;md5=385cd70768d860086b7d2254049f1ffe&amp;amp;pid=1-s2.0-S0141029698000285-main.pdf 全文链接_x000a_&lt;/_url&gt;&lt;_volume&gt;21&lt;/_volume&gt;&lt;/Details&gt;&lt;Extra&gt;&lt;DBUID&gt;{C833C268-2DD2-4BFD-9E86-C36B63EFE0FA}&lt;/DBUID&gt;&lt;/Extra&gt;&lt;/Item&gt;&lt;/References&gt;&lt;/Group&gt;&lt;/Citation&gt;_x000a_"/>
    <w:docVar w:name="NE.Ref{5BB84339-32DC-4368-8E7F-BD75CC651679}" w:val=" ADDIN NE.Ref.{5BB84339-32DC-4368-8E7F-BD75CC651679}&lt;Citation&gt;&lt;Group&gt;&lt;References&gt;&lt;Item&gt;&lt;ID&gt;1342&lt;/ID&gt;&lt;UID&gt;{37B823E2-50F3-4182-9C7F-ED7F4AB440D4}&lt;/UID&gt;&lt;Title&gt;Design and Construction of Precast Panels for the Composite Cable-Stayed Bridge&lt;/Title&gt;&lt;Template&gt;Conference Paper&lt;/Template&gt;&lt;Star&gt;1&lt;/Star&gt;&lt;Tag&gt;5&lt;/Tag&gt;&lt;Author&gt;Kim, Woo-Jong; Park, Chan-Min&lt;/Author&gt;&lt;Year&gt;2001&lt;/Year&gt;&lt;Details&gt;&lt;_accessed&gt;59228091&lt;/_accessed&gt;&lt;_created&gt;59228091&lt;/_created&gt;&lt;_modified&gt;59228096&lt;/_modified&gt;&lt;_place_published&gt;Seoul&lt;/_place_published&gt;&lt;_secondary_title&gt;IABSE Conference:Cable-Supported Bridges - Challenging Technical Limits&lt;/_secondary_title&gt;&lt;_tertiary_title&gt;IABSE Symposium Report&lt;/_tertiary_title&gt;&lt;_translated_publisher&gt;International Association for Bridge and Structural Engineering&lt;/_translated_publisher&gt;&lt;/Details&gt;&lt;Extra&gt;&lt;DBUID&gt;{C833C268-2DD2-4BFD-9E86-C36B63EFE0FA}&lt;/DBUID&gt;&lt;/Extra&gt;&lt;/Item&gt;&lt;/References&gt;&lt;/Group&gt;&lt;/Citation&gt;_x000a_"/>
    <w:docVar w:name="NE.Ref{5C4DA1E4-E2ED-4A1C-8DE3-E4B70FB0F3D8}" w:val=" ADDIN NE.Ref.{5C4DA1E4-E2ED-4A1C-8DE3-E4B70FB0F3D8}&lt;Citation&gt;&lt;Group&gt;&lt;References&gt;&lt;Item&gt;&lt;ID&gt;1225&lt;/ID&gt;&lt;UID&gt;{5DF7F551-B778-47AD-B3AD-13730E9194B6}&lt;/UID&gt;&lt;Title&gt;Dynamic Analysis of a Composite Cable-Stayed Bridge Escaleritas Viaduct&lt;/Title&gt;&lt;Template&gt;Journal Article&lt;/Template&gt;&lt;Star&gt;0&lt;/Star&gt;&lt;Tag&gt;5&lt;/Tag&gt;&lt;Author&gt;Pantaleón, Marcos J; Ramos, Óscar Ramón; Ortega, Guillermo; Martínez, José Manuel; Schanack, Frank&lt;/Author&gt;&lt;Year&gt;2010&lt;/Year&gt;&lt;Details&gt;&lt;_accessed&gt;59174837&lt;/_accessed&gt;&lt;_created&gt;59095915&lt;/_created&gt;&lt;_journal&gt;Journal of Bridge Engineering&lt;/_journal&gt;&lt;_modified&gt;59173299&lt;/_modified&gt;&lt;/Details&gt;&lt;Extra&gt;&lt;DBUID&gt;{C833C268-2DD2-4BFD-9E86-C36B63EFE0FA}&lt;/DBUID&gt;&lt;/Extra&gt;&lt;/Item&gt;&lt;/References&gt;&lt;/Group&gt;&lt;/Citation&gt;_x000a_"/>
    <w:docVar w:name="NE.Ref{60432E36-E7F0-4793-A6AE-E0A8C67E8D91}" w:val=" ADDIN NE.Ref.{60432E36-E7F0-4793-A6AE-E0A8C67E8D91}&lt;Citation&gt;&lt;Group&gt;&lt;References&gt;&lt;Item&gt;&lt;ID&gt;2635&lt;/ID&gt;&lt;UID&gt;{77440C41-6966-4593-81F4-DBFF35826B55}&lt;/UID&gt;&lt;Title&gt;中国铁路桥梁钢结构设计及市场机遇&lt;/Title&gt;&lt;Template&gt;Journal Article&lt;/Template&gt;&lt;Star&gt;0&lt;/Star&gt;&lt;Tag&gt;0&lt;/Tag&gt;&lt;Author&gt;杨建东&lt;/Author&gt;&lt;Year&gt;1998&lt;/Year&gt;&lt;Details&gt;&lt;_accessed&gt;62191888&lt;/_accessed&gt;&lt;_author_aff&gt;中国铁道科学研究院!100081&lt;/_author_aff&gt;&lt;_created&gt;62191888&lt;/_created&gt;&lt;_date&gt;51868800&lt;/_date&gt;&lt;_db_provider&gt;CNKI: 期刊&lt;/_db_provider&gt;&lt;_db_updated&gt;CNKI - Reference&lt;/_db_updated&gt;&lt;_issue&gt;03&lt;/_issue&gt;&lt;_journal&gt;钢结构&lt;/_journal&gt;&lt;_keywords&gt;铁路桥梁;钢结构;设计;市场&lt;/_keywords&gt;&lt;_language&gt;Chinese&lt;/_language&gt;&lt;_modified&gt;62191888&lt;/_modified&gt;&lt;_pages&gt;8-10&lt;/_pages&gt;&lt;_url&gt;http://kns.cnki.net/KCMS/detail/detail.aspx?FileName=GJIG199803001&amp;amp;DbName=CJFQ1998&lt;/_url&gt;&lt;_translated_author&gt;Yang, Jiandong&lt;/_translated_author&gt;&lt;/Details&gt;&lt;Extra&gt;&lt;DBUID&gt;{25139A1D-CF45-40E3-9EDD-33E25C1C489A}&lt;/DBUID&gt;&lt;/Extra&gt;&lt;/Item&gt;&lt;/References&gt;&lt;/Group&gt;&lt;/Citation&gt;_x000a_"/>
    <w:docVar w:name="NE.Ref{60597106-5259-4578-AFE1-EB00EE76A7F0}" w:val=" ADDIN NE.Ref.{60597106-5259-4578-AFE1-EB00EE76A7F0}&lt;Citation&gt;&lt;Group&gt;&lt;References&gt;&lt;Item&gt;&lt;ID&gt;2634&lt;/ID&gt;&lt;UID&gt;{3F9D6C9F-F575-4163-800D-6A7B6D197C9F}&lt;/UID&gt;&lt;Title&gt;外白渡桥船移大修保护工程设计(下)&lt;/Title&gt;&lt;Template&gt;Journal Article&lt;/Template&gt;&lt;Star&gt;0&lt;/Star&gt;&lt;Tag&gt;0&lt;/Tag&gt;&lt;Author&gt;岳贵平; 黄慷; 张春雷; 陈诚&lt;/Author&gt;&lt;Year&gt;2009&lt;/Year&gt;&lt;Details&gt;&lt;_accessed&gt;62274799&lt;/_accessed&gt;&lt;_author_aff&gt;上海市政工程设计研究总院大桥设计研究院;&lt;/_author_aff&gt;&lt;_created&gt;62191781&lt;/_created&gt;&lt;_date&gt;57839040&lt;/_date&gt;&lt;_db_provider&gt;CNKI: 期刊&lt;/_db_provider&gt;&lt;_db_updated&gt;CNKI - Reference&lt;/_db_updated&gt;&lt;_issue&gt;06&lt;/_issue&gt;&lt;_journal&gt;上海建设科技&lt;/_journal&gt;&lt;_keywords&gt;水中承台;墩台;立面;桥墩;结构布置;外白渡桥;中墩;盾构推进;桥台;人行道板;隧道中心;地层损失率;桩基础;桩基;基础(工程);&lt;/_keywords&gt;&lt;_language&gt;Chinese&lt;/_language&gt;&lt;_modified&gt;62191782&lt;/_modified&gt;&lt;_pages&gt;36-40&lt;/_pages&gt;&lt;_url&gt;http://kns.cnki.net/KCMS/detail/detail.aspx?FileName=SJSK200906013&amp;amp;DbName=CJFQ2009&lt;/_url&gt;&lt;_translated_author&gt;Yue, Guiping;Huang, Kang;Zhang, Chunlei;Chen, Cheng&lt;/_translated_author&gt;&lt;/Details&gt;&lt;Extra&gt;&lt;DBUID&gt;{25139A1D-CF45-40E3-9EDD-33E25C1C489A}&lt;/DBUID&gt;&lt;/Extra&gt;&lt;/Item&gt;&lt;/References&gt;&lt;/Group&gt;&lt;/Citation&gt;_x000a_"/>
    <w:docVar w:name="NE.Ref{607C42F2-18FB-4744-AE29-F0DDA31043DA}" w:val=" ADDIN NE.Ref.{607C42F2-18FB-4744-AE29-F0DDA31043DA}&lt;Citation&gt;&lt;Group&gt;&lt;References&gt;&lt;Item&gt;&lt;ID&gt;1220&lt;/ID&gt;&lt;UID&gt;{44299563-78DB-4C7A-B816-C6C78526168D}&lt;/UID&gt;&lt;Title&gt;桥梁概念设计&lt;/Title&gt;&lt;Template&gt;Book&lt;/Template&gt;&lt;Star&gt;0&lt;/Star&gt;&lt;Tag&gt;5&lt;/Tag&gt;&lt;Author&gt;项海帆等&lt;/Author&gt;&lt;Year&gt;2011&lt;/Year&gt;&lt;Details&gt;&lt;_accessed&gt;59118998&lt;/_accessed&gt;&lt;_created&gt;59093005&lt;/_created&gt;&lt;_modified&gt;59108700&lt;/_modified&gt;&lt;_publisher&gt;人民交通出版社&lt;/_publisher&gt;&lt;/Details&gt;&lt;Extra&gt;&lt;DBUID&gt;{C833C268-2DD2-4BFD-9E86-C36B63EFE0FA}&lt;/DBUID&gt;&lt;/Extra&gt;&lt;/Item&gt;&lt;/References&gt;&lt;/Group&gt;&lt;/Citation&gt;_x000a_"/>
    <w:docVar w:name="NE.Ref{610F9A8B-8E27-43EF-AF76-CF1969D2925B}" w:val=" ADDIN NE.Ref.{610F9A8B-8E27-43EF-AF76-CF1969D2925B}&lt;Citation&gt;&lt;Group&gt;&lt;References&gt;&lt;Item&gt;&lt;ID&gt;1157&lt;/ID&gt;&lt;UID&gt;{4D9C709B-5A89-43BC-B670-DB4A646435D7}&lt;/UID&gt;&lt;Title&gt;Nonlinear analysis of composite steel–concrete cable-stayed bridges&lt;/Title&gt;&lt;Template&gt;Journal Article&lt;/Template&gt;&lt;Star&gt;1&lt;/Star&gt;&lt;Tag&gt;5&lt;/Tag&gt;&lt;Author&gt;Oliveira Pedro, José J; Reis, António J&lt;/Author&gt;&lt;Year&gt;2010&lt;/Year&gt;&lt;Details&gt;&lt;_accessed&gt;59280103&lt;/_accessed&gt;&lt;_alternate_title&gt;Engineering Structures&lt;/_alternate_title&gt;&lt;_created&gt;59066503&lt;/_created&gt;&lt;_date_display&gt;2010/9//&lt;/_date_display&gt;&lt;_db_updated&gt;ScienceDirect&lt;/_db_updated&gt;&lt;_isbn&gt;0141-0296&lt;/_isbn&gt;&lt;_issue&gt;9&lt;/_issue&gt;&lt;_journal&gt;Engineering Structures&lt;/_journal&gt;&lt;_keywords&gt;Cable-stayed bridge; Composite steel–concrete deck; Nonlinear analysis; Time dependent effects; Flexible connection&lt;/_keywords&gt;&lt;_modified&gt;59066511&lt;/_modified&gt;&lt;_pages&gt;2702-2716&lt;/_pages&gt;&lt;_url&gt;http://www.sciencedirect.com/science/article/pii/S0141029610001859&lt;/_url&gt;&lt;_volume&gt;32&lt;/_volume&gt;&lt;/Details&gt;&lt;Extra&gt;&lt;DBUID&gt;{C833C268-2DD2-4BFD-9E86-C36B63EFE0FA}&lt;/DBUID&gt;&lt;/Extra&gt;&lt;/Item&gt;&lt;/References&gt;&lt;/Group&gt;&lt;/Citation&gt;_x000a_"/>
    <w:docVar w:name="NE.Ref{638818C7-DC0B-4BD4-A65C-942951D5DA6F}" w:val=" ADDIN NE.Ref.{638818C7-DC0B-4BD4-A65C-942951D5DA6F}&lt;Citation&gt;&lt;Group&gt;&lt;References&gt;&lt;Item&gt;&lt;ID&gt;1434&lt;/ID&gt;&lt;UID&gt;{71F5696E-0942-41AC-BAA0-7A74A4C291A4}&lt;/UID&gt;&lt;Title&gt;Simplified Method of Analysis Accounting for Shear-lag Effects in Composite Bridge Decks&lt;/Title&gt;&lt;Template&gt;Journal Article&lt;/Template&gt;&lt;Star&gt;0&lt;/Star&gt;&lt;Tag&gt;5&lt;/Tag&gt;&lt;Author&gt;Gara, F; Ranzi, G; Leoni, G&lt;/Author&gt;&lt;Year&gt;2011&lt;/Year&gt;&lt;Details&gt;&lt;_accessed&gt;59356589&lt;/_accessed&gt;&lt;_created&gt;59356588&lt;/_created&gt;&lt;_journal&gt;Journal of Constructional Steel Research&lt;/_journal&gt;&lt;_modified&gt;59356590&lt;/_modified&gt;&lt;_pages&gt;1684-1697&lt;/_pages&gt;&lt;_volume&gt;67&lt;/_volume&gt;&lt;/Details&gt;&lt;Extra&gt;&lt;DBUID&gt;{C833C268-2DD2-4BFD-9E86-C36B63EFE0FA}&lt;/DBUID&gt;&lt;/Extra&gt;&lt;/Item&gt;&lt;/References&gt;&lt;/Group&gt;&lt;/Citation&gt;_x000a_"/>
    <w:docVar w:name="NE.Ref{6573B275-6E12-4992-AFB4-925BEDA89242}" w:val=" ADDIN NE.Ref.{6573B275-6E12-4992-AFB4-925BEDA89242}&lt;Citation&gt;&lt;Group&gt;&lt;References&gt;&lt;Item&gt;&lt;ID&gt;726&lt;/ID&gt;&lt;UID&gt;{EB427ED3-5C4A-4EB0-8399-8E6C5238A420}&lt;/UID&gt;&lt;Title&gt;钢箱-混凝土组合梁结构行为试验研究与分析&lt;/Title&gt;&lt;Template&gt;Thesis&lt;/Template&gt;&lt;Star&gt;0&lt;/Star&gt;&lt;Tag&gt;5&lt;/Tag&gt;&lt;Author&gt;莫时旭&lt;/Author&gt;&lt;Year&gt;2006&lt;/Year&gt;&lt;Details&gt;&lt;_accessed&gt;58806499&lt;/_accessed&gt;&lt;_created&gt;58806498&lt;/_created&gt;&lt;_date&gt;56232000&lt;/_date&gt;&lt;_db_provider&gt;北京万方数据股份有限公司&lt;/_db_provider&gt;&lt;_db_updated&gt;Wanfang - Paper(general)&lt;/_db_updated&gt;&lt;_keywords&gt;桥梁工程; 钢箱梁桥; 连续梁桥; 局部屈曲; 桥梁承载&lt;/_keywords&gt;&lt;_language&gt;chi&lt;/_language&gt;&lt;_modified&gt;58806499&lt;/_modified&gt;&lt;_publisher&gt;西南交通大学 西南交通大学&lt;/_publisher&gt;&lt;_section&gt;桥梁与隧道工程&lt;/_section&gt;&lt;_tertiary_author&gt;钟新谷赵人达&lt;/_tertiary_author&gt;&lt;_url&gt;http://d.wanfangdata.com.cn/Thesis_Y1237407.aspx&lt;/_url&gt;&lt;_volume&gt;博士&lt;/_volume&gt;&lt;/Details&gt;&lt;Extra&gt;&lt;DBUID&gt;{C833C268-2DD2-4BFD-9E86-C36B63EFE0FA}&lt;/DBUID&gt;&lt;/Extra&gt;&lt;/Item&gt;&lt;/References&gt;&lt;/Group&gt;&lt;/Citation&gt;_x000a_"/>
    <w:docVar w:name="NE.Ref{68564BD1-E58C-4203-9942-D9036B9E6139}" w:val=" ADDIN NE.Ref.{68564BD1-E58C-4203-9942-D9036B9E6139}&lt;Citation&gt;&lt;Group&gt;&lt;References&gt;&lt;Item&gt;&lt;ID&gt;1065&lt;/ID&gt;&lt;UID&gt;{90914686-E4FB-4E20-9E31-81A631B4F3CD}&lt;/UID&gt;&lt;Title&gt;考虑剪力连接件刚度的钢-混凝土组合梁有限元分析&lt;/Title&gt;&lt;Template&gt;Journal Article&lt;/Template&gt;&lt;Star&gt;1&lt;/Star&gt;&lt;Tag&gt;5&lt;/Tag&gt;&lt;Author&gt;方恺; 陈世鸣&lt;/Author&gt;&lt;Year&gt;2003&lt;/Year&gt;&lt;Details&gt;&lt;_author_adr&gt;同济大学,结构工程与防灾研究所,上海,200092&lt;/_author_adr&gt;&lt;_author_aff&gt;同济大学,结构工程与防灾研究所,上海,200092&lt;/_author_aff&gt;&lt;_created&gt;59058383&lt;/_created&gt;&lt;_db_provider&gt;北京万方数据股份有限公司&lt;/_db_provider&gt;&lt;_db_updated&gt;Wanfang - Journal&lt;/_db_updated&gt;&lt;_isbn&gt;1000-8993&lt;/_isbn&gt;&lt;_issue&gt;9&lt;/_issue&gt;&lt;_journal&gt;工业建筑&lt;/_journal&gt;&lt;_keywords&gt;组合梁; 刚度; 剪力连接; 有效翼缘宽度&lt;/_keywords&gt;&lt;_language&gt;chi&lt;/_language&gt;&lt;_modified&gt;59058383&lt;/_modified&gt;&lt;_pages&gt;75-77&lt;/_pages&gt;&lt;_tertiary_title&gt;INDUSTRIAL CONSTRUCTION&lt;/_tertiary_title&gt;&lt;_translated_title&gt;FINITE ELEMENT ANALYSIS OF STEEL-CONCRETE COMPOSITE BEAMS WITH INFLUENCE OF THE SHEAR CONNECTOR STIFFNESS&lt;/_translated_title&gt;&lt;_url&gt;http://d.wanfangdata.com.cn/Periodical_gyjz200309024.aspx _x000a_http://f.g.wanfangdata.com.cn/Fulltext.ashx?fileId=Periodical_gyjz200309024&amp;amp;type=download&amp;amp;transaction=%7b%22ExtraData%22%3a%5b%5d%2c%22Transaction%22%3a%7b%22DateTime%22%3a%22%5c%2fDate(1334490607898%2b0800)%5c%2f%22%2c%22Id%22%3a%223d79966c-d563-4fa0-9e98-a0340146e123%22%2c%22ProductDetail%22%3a%22Periodical_gyjz200309024%22%2c%22SessionId%22%3a%22f3ac357b-7510-481c-9de4-f3c6a4ba80fb%22%2c%22Signature%22%3a%22TJHAlUMRxnC7q4M%5c%2f7v7sqA4oSo%2bXi%2bJLuUimM%5c%2fObAOzonAtl2%2bpdzniRR359YZXl%22%2c%22TransferIn%22%3a%7b%22AccountType%22%3a%22Income%22%2c%22Key%22%3a%22PeriodicalFulltext%22%7d%2c%22TransferOut%22%3a%7b%22AccountType%22%3a%22GTimeLimit%22%2c%22Key%22%3a%22tjdxtsg%22%7d%2c%22Turnover%22%3a3.00000%2c%22User%22%3anull%7d%2c%22TransferOutAccountsStatus%22%3a%5b%5d%7d 全文链接_x000a_&lt;/_url&gt;&lt;_volume&gt;33&lt;/_volume&gt;&lt;/Details&gt;&lt;Extra&gt;&lt;DBUID&gt;{C833C268-2DD2-4BFD-9E86-C36B63EFE0FA}&lt;/DBUID&gt;&lt;/Extra&gt;&lt;/Item&gt;&lt;/References&gt;&lt;/Group&gt;&lt;/Citation&gt;_x000a_"/>
    <w:docVar w:name="NE.Ref{68CF0374-83A4-4B41-81B0-F0E743FB73AE}" w:val=" ADDIN NE.Ref.{68CF0374-83A4-4B41-81B0-F0E743FB73AE}&lt;Citation&gt;&lt;Group&gt;&lt;References&gt;&lt;Item&gt;&lt;ID&gt;1246&lt;/ID&gt;&lt;UID&gt;{6AEE728E-A188-4CD2-B959-9F08ECB079D7}&lt;/UID&gt;&lt;Title&gt;欧洲规范4 钢-混凝土组合梁设计方法（2）──组合梁的受力性能和计算理论&lt;/Title&gt;&lt;Template&gt;Journal Article&lt;/Template&gt;&lt;Star&gt;1&lt;/Star&gt;&lt;Tag&gt;5&lt;/Tag&gt;&lt;Author&gt;胡夏闵&lt;/Author&gt;&lt;Year&gt;1995&lt;/Year&gt;&lt;Details&gt;&lt;_accessed&gt;59128790&lt;/_accessed&gt;&lt;_created&gt;59128750&lt;/_created&gt;&lt;_issue&gt;10&lt;/_issue&gt;&lt;_journal&gt;工业建筑&lt;/_journal&gt;&lt;_modified&gt;59128790&lt;/_modified&gt;&lt;_tertiary_title&gt;Industrial Construction&lt;/_tertiary_title&gt;&lt;_translated_author&gt;Xiamin, Hu&lt;/_translated_author&gt;&lt;_translated_title&gt;DESIGN METHOD OF EUROCODE 4 FOR STEEL-CONCRETE COMPOSITE BEAMS(2)-LOAD CARRING BEHAVIOUR AND CALCULATING THEORY OF COMPOSITE BEAMS&lt;/_translated_title&gt;&lt;_volume&gt;25&lt;/_volume&gt;&lt;/Details&gt;&lt;Extra&gt;&lt;DBUID&gt;{C833C268-2DD2-4BFD-9E86-C36B63EFE0FA}&lt;/DBUID&gt;&lt;/Extra&gt;&lt;/Item&gt;&lt;/References&gt;&lt;/Group&gt;&lt;/Citation&gt;_x000a_"/>
    <w:docVar w:name="NE.Ref{69B798AD-88E4-4DDF-830C-7706ACB6F8FE}" w:val=" ADDIN NE.Ref.{69B798AD-88E4-4DDF-830C-7706ACB6F8FE}&lt;Citation&gt;&lt;Group&gt;&lt;References&gt;&lt;Item&gt;&lt;ID&gt;1415&lt;/ID&gt;&lt;UID&gt;{CF23A61A-9414-40DA-8161-A45BA30BA631}&lt;/UID&gt;&lt;Title&gt;Time-dependent Analysis of PC Cable-stayed Bridges&lt;/Title&gt;&lt;Template&gt;Journal Article&lt;/Template&gt;&lt;Star&gt;1&lt;/Star&gt;&lt;Tag&gt;5&lt;/Tag&gt;&lt;Author&gt;Khalil, M S; Dilger, W H; Ghali, A&lt;/Author&gt;&lt;Year&gt;1983&lt;/Year&gt;&lt;Details&gt;&lt;_accessed&gt;59288267&lt;/_accessed&gt;&lt;_created&gt;59288264&lt;/_created&gt;&lt;_journal&gt;Journal of Structural Engineering&lt;/_journal&gt;&lt;_modified&gt;59288268&lt;/_modified&gt;&lt;_pages&gt;1980-1996&lt;/_pages&gt;&lt;_volume&gt;109&lt;/_volume&gt;&lt;/Details&gt;&lt;Extra&gt;&lt;DBUID&gt;{C833C268-2DD2-4BFD-9E86-C36B63EFE0FA}&lt;/DBUID&gt;&lt;/Extra&gt;&lt;/Item&gt;&lt;/References&gt;&lt;/Group&gt;&lt;/Citation&gt;_x000a_"/>
    <w:docVar w:name="NE.Ref{6AF5D98C-F098-4766-8F61-1652AF2F30D3}" w:val=" ADDIN NE.Ref.{6AF5D98C-F098-4766-8F61-1652AF2F30D3}&lt;Citation&gt;&lt;Group&gt;&lt;References&gt;&lt;Item&gt;&lt;ID&gt;1157&lt;/ID&gt;&lt;UID&gt;{4D9C709B-5A89-43BC-B670-DB4A646435D7}&lt;/UID&gt;&lt;Title&gt;Nonlinear analysis of composite steel–concrete cable-stayed bridges&lt;/Title&gt;&lt;Template&gt;Journal Article&lt;/Template&gt;&lt;Star&gt;1&lt;/Star&gt;&lt;Tag&gt;5&lt;/Tag&gt;&lt;Author&gt;Oliveira Pedro, José J; Reis, António J&lt;/Author&gt;&lt;Year&gt;2010&lt;/Year&gt;&lt;Details&gt;&lt;_accessed&gt;59280103&lt;/_accessed&gt;&lt;_alternate_title&gt;Engineering Structures&lt;/_alternate_title&gt;&lt;_created&gt;59066503&lt;/_created&gt;&lt;_date_display&gt;2010/9//&lt;/_date_display&gt;&lt;_db_updated&gt;ScienceDirect&lt;/_db_updated&gt;&lt;_isbn&gt;0141-0296&lt;/_isbn&gt;&lt;_issue&gt;9&lt;/_issue&gt;&lt;_journal&gt;Engineering Structures&lt;/_journal&gt;&lt;_keywords&gt;Cable-stayed bridge; Composite steel–concrete deck; Nonlinear analysis; Time dependent effects; Flexible connection&lt;/_keywords&gt;&lt;_modified&gt;59066511&lt;/_modified&gt;&lt;_pages&gt;2702-2716&lt;/_pages&gt;&lt;_url&gt;http://www.sciencedirect.com/science/article/pii/S0141029610001859&lt;/_url&gt;&lt;_volume&gt;32&lt;/_volume&gt;&lt;/Details&gt;&lt;Extra&gt;&lt;DBUID&gt;{C833C268-2DD2-4BFD-9E86-C36B63EFE0FA}&lt;/DBUID&gt;&lt;/Extra&gt;&lt;/Item&gt;&lt;/References&gt;&lt;/Group&gt;&lt;/Citation&gt;_x000a_"/>
    <w:docVar w:name="NE.Ref{6C18DE5A-A3F9-40FB-9EC8-15196C7FC2FE}" w:val=" ADDIN NE.Ref.{6C18DE5A-A3F9-40FB-9EC8-15196C7FC2FE}&lt;Citation&gt;&lt;Group&gt;&lt;References&gt;&lt;Item&gt;&lt;ID&gt;1300&lt;/ID&gt;&lt;UID&gt;{12378CC7-73A5-45D6-8AD4-7F8B4AED80B3}&lt;/UID&gt;&lt;Title&gt;组合梁斜拉桥桥面有效宽度分析&lt;/Title&gt;&lt;Template&gt;Journal Article&lt;/Template&gt;&lt;Star&gt;1&lt;/Star&gt;&lt;Tag&gt;3&lt;/Tag&gt;&lt;Author&gt;聂建国; 李法雄; 樊健生&lt;/Author&gt;&lt;Year&gt;2007&lt;/Year&gt;&lt;Details&gt;&lt;_accessed&gt;59174568&lt;/_accessed&gt;&lt;_created&gt;59174562&lt;/_created&gt;&lt;_issue&gt;增刊2&lt;/_issue&gt;&lt;_journal&gt;哈尔滨工业大学学报&lt;/_journal&gt;&lt;_modified&gt;59174566&lt;/_modified&gt;&lt;_pages&gt;718-724&lt;/_pages&gt;&lt;_volume&gt;39&lt;/_volume&gt;&lt;/Details&gt;&lt;Extra&gt;&lt;DBUID&gt;{C833C268-2DD2-4BFD-9E86-C36B63EFE0FA}&lt;/DBUID&gt;&lt;/Extra&gt;&lt;/Item&gt;&lt;/References&gt;&lt;/Group&gt;&lt;/Citation&gt;_x000a_"/>
    <w:docVar w:name="NE.Ref{6CBAE510-9769-4E96-AAB6-6D9D95424755}" w:val=" ADDIN NE.Ref.{6CBAE510-9769-4E96-AAB6-6D9D95424755}&lt;Citation&gt;&lt;Group&gt;&lt;References&gt;&lt;Item&gt;&lt;ID&gt;1132&lt;/ID&gt;&lt;UID&gt;{79201D34-2AE2-456E-ABCD-1BB83F921A78}&lt;/UID&gt;&lt;Title&gt;Analysis of Cable-stayed Bridges during Construction by Cantilever Methods&lt;/Title&gt;&lt;Template&gt;Journal Article&lt;/Template&gt;&lt;Star&gt;1&lt;/Star&gt;&lt;Tag&gt;5&lt;/Tag&gt;&lt;Author&gt;Wang, Pao-Hsii; Tang, Tzu-Yang; Zheng, Hou-Nong&lt;/Author&gt;&lt;Year&gt;2004&lt;/Year&gt;&lt;Details&gt;&lt;_accessed&gt;59189509&lt;/_accessed&gt;&lt;_alternate_title&gt;Computers &amp;amp;amp; Structures&lt;/_alternate_title&gt;&lt;_created&gt;59066503&lt;/_created&gt;&lt;_date_display&gt;2004/2//&lt;/_date_display&gt;&lt;_db_updated&gt;ScienceDirect&lt;/_db_updated&gt;&lt;_isbn&gt;0045-7949&lt;/_isbn&gt;&lt;_issue&gt;4–5&lt;/_issue&gt;&lt;_journal&gt;Computers &amp;amp;amp; Structures&lt;/_journal&gt;&lt;_keywords&gt;Cable-stayed bridge; Initial shape; Forward process analysis; Backward process analysis&lt;/_keywords&gt;&lt;_modified&gt;59189510&lt;/_modified&gt;&lt;_pages&gt;329-346&lt;/_pages&gt;&lt;_url&gt;http://www.sciencedirect.com/science/article/pii/S004579490300467X&lt;/_url&gt;&lt;_volume&gt;82&lt;/_volume&gt;&lt;/Details&gt;&lt;Extra&gt;&lt;DBUID&gt;{C833C268-2DD2-4BFD-9E86-C36B63EFE0FA}&lt;/DBUID&gt;&lt;/Extra&gt;&lt;/Item&gt;&lt;/References&gt;&lt;/Group&gt;&lt;/Citation&gt;_x000a_"/>
    <w:docVar w:name="NE.Ref{6CD82B5F-F78B-4AE8-9D59-5D0F7392A400}" w:val=" ADDIN NE.Ref.{6CD82B5F-F78B-4AE8-9D59-5D0F7392A400}&lt;Citation&gt;&lt;Group&gt;&lt;References&gt;&lt;Item&gt;&lt;ID&gt;1345&lt;/ID&gt;&lt;UID&gt;{F3F7355C-31AF-42DB-A24F-466A8697BE15}&lt;/UID&gt;&lt;Title&gt;Erection Geometry and Stress Control of Composite Decked Cable-Stayed Bridges&lt;/Title&gt;&lt;Template&gt;Conference Paper&lt;/Template&gt;&lt;Star&gt;1&lt;/Star&gt;&lt;Tag&gt;5&lt;/Tag&gt;&lt;Author&gt;Felber, A; Taylor, P; Griezic, A; Bergman, D; Torrejon, J&lt;/Author&gt;&lt;Year&gt;2001&lt;/Year&gt;&lt;Details&gt;&lt;_accessed&gt;59238813&lt;/_accessed&gt;&lt;_created&gt;59238812&lt;/_created&gt;&lt;_modified&gt;59238815&lt;/_modified&gt;&lt;_place_published&gt;Seoul, Korea&lt;/_place_published&gt;&lt;_secondary_title&gt;IABSE Conference on cable-supported Bridges&lt;/_secondary_title&gt;&lt;/Details&gt;&lt;Extra&gt;&lt;DBUID&gt;{C833C268-2DD2-4BFD-9E86-C36B63EFE0FA}&lt;/DBUID&gt;&lt;/Extra&gt;&lt;/Item&gt;&lt;/References&gt;&lt;/Group&gt;&lt;/Citation&gt;_x000a_"/>
    <w:docVar w:name="NE.Ref{6E1FE0CF-C255-48A2-ADEE-0FBDE2E4C832}" w:val=" ADDIN NE.Ref.{6E1FE0CF-C255-48A2-ADEE-0FBDE2E4C832}&lt;Citation&gt;&lt;Group&gt;&lt;References&gt;&lt;Item&gt;&lt;ID&gt;1398&lt;/ID&gt;&lt;UID&gt;{217E2D1B-5DDC-430F-A0AA-D6368233F998}&lt;/UID&gt;&lt;Title&gt;大跨度斜拉桥非线性静风稳定分析&lt;/Title&gt;&lt;Template&gt;Journal Article&lt;/Template&gt;&lt;Star&gt;0&lt;/Star&gt;&lt;Tag&gt;5&lt;/Tag&gt;&lt;Author&gt;韩大建; 邹小江&lt;/Author&gt;&lt;Year&gt;2005&lt;/Year&gt;&lt;Details&gt;&lt;_accessed&gt;59277385&lt;/_accessed&gt;&lt;_created&gt;59277107&lt;/_created&gt;&lt;_issue&gt;1&lt;/_issue&gt;&lt;_journal&gt;工程力学&lt;/_journal&gt;&lt;_modified&gt;59277108&lt;/_modified&gt;&lt;_volume&gt;22&lt;/_volume&gt;&lt;/Details&gt;&lt;Extra&gt;&lt;DBUID&gt;{C833C268-2DD2-4BFD-9E86-C36B63EFE0FA}&lt;/DBUID&gt;&lt;/Extra&gt;&lt;/Item&gt;&lt;/References&gt;&lt;/Group&gt;&lt;Group&gt;&lt;References&gt;&lt;Item&gt;&lt;ID&gt;1217&lt;/ID&gt;&lt;UID&gt;{B0CAFAE3-BCA8-452F-B81F-E3195AFD282C}&lt;/UID&gt;&lt;Title&gt;静风荷载引起的超大跨度桥梁关键问题研究&lt;/Title&gt;&lt;Template&gt;Conference Paper&lt;/Template&gt;&lt;Star&gt;1&lt;/Star&gt;&lt;Tag&gt;5&lt;/Tag&gt;&lt;Author&gt;肖汝诚; 贾丽君; 程进; 宋馨; 孙斌; 项海帆&lt;/Author&gt;&lt;Year&gt;2000&lt;/Year&gt;&lt;Details&gt;&lt;_accessed&gt;59203962&lt;/_accessed&gt;&lt;_created&gt;59091689&lt;/_created&gt;&lt;_date&gt;2000-01-01&lt;/_date&gt;&lt;_db_provider&gt;北京万方数据股份有限公司&lt;/_db_provider&gt;&lt;_db_updated&gt;Wanfang - Conference&lt;/_db_updated&gt;&lt;_keywords&gt;超大跨径桥梁; 静风荷载; 非线性; 结构力学&lt;/_keywords&gt;&lt;_language&gt;chi&lt;/_language&gt;&lt;_modified&gt;59091689&lt;/_modified&gt;&lt;_place_published&gt;南京&lt;/_place_published&gt;&lt;_secondary_title&gt;中国土木工程学会桥梁及结构工程学会第十四届年会&lt;/_secondary_title&gt;&lt;_tertiary_author&gt;中国土木工程学会&lt;/_tertiary_author&gt;&lt;_tertiary_title&gt;中国土木工程学会桥梁及结构工程学会第十四届年会论文集&lt;/_tertiary_title&gt;&lt;_url&gt;http://d.wanfangdata.com.cn/Conference_31182.aspx _x000a_http://f.g.wanfangdata.com.cn/Fulltext.ashx?fileId=Conference_31182&amp;amp;type=download&amp;amp;transaction=%7b%22ExtraData%22%3a%5b%5d%2c%22Transaction%22%3a%7b%22DateTime%22%3a%22%5c%2fDate(1336483860314%2b0800)%5c%2f%22%2c%22Id%22%3a%22922081d8-7cd0-41fd-bc15-a04b016295d0%22%2c%22ProductDetail%22%3a%22Conference_31182%22%2c%22SessionId%22%3a%22e60aa227-5085-4abf-8407-e774905809bc%22%2c%22Signature%22%3a%22J8SZ01yDnL7q0dQcXUeokUOw8gVOJtX1iT8jSJ%5c%2fQpuKgwfS4PDFTBSCyQkITKXh3%22%2c%22TransferIn%22%3a%7b%22AccountType%22%3a%22Income%22%2c%22Key%22%3a%22ConferenceFulltext%22%7d%2c%22TransferOut%22%3a%7b%22AccountType%22%3a%22GTimeLimit%22%2c%22Key%22%3a%22tjdxtsg%22%7d%2c%22Turnover%22%3a10.00000%2c%22User%22%3anull%7d%2c%22TransferOutAccountsStatus%22%3a%5b%5d%7d 全文链接_x000a_&lt;/_url&gt;&lt;/Details&gt;&lt;Extra&gt;&lt;DBUID&gt;{C833C268-2DD2-4BFD-9E86-C36B63EFE0FA}&lt;/DBUID&gt;&lt;/Extra&gt;&lt;/Item&gt;&lt;/References&gt;&lt;/Group&gt;&lt;/Citation&gt;_x000a_"/>
    <w:docVar w:name="NE.Ref{6E439F09-2F98-4241-B199-A12E2D8C49BA}" w:val=" ADDIN NE.Ref.{6E439F09-2F98-4241-B199-A12E2D8C49BA}&lt;Citation&gt;&lt;Group&gt;&lt;References&gt;&lt;Item&gt;&lt;ID&gt;1309&lt;/ID&gt;&lt;UID&gt;{B95B09C2-8759-45F0-B34F-7769117B17BF}&lt;/UID&gt;&lt;Title&gt;Ultimate Behavior of Long-span Ccble-stayed Bridges&lt;/Title&gt;&lt;Template&gt;Journal Article&lt;/Template&gt;&lt;Star&gt;1&lt;/Star&gt;&lt;Tag&gt;5&lt;/Tag&gt;&lt;Author&gt;Ren, Wei-Xin&lt;/Author&gt;&lt;Year&gt;1999&lt;/Year&gt;&lt;Details&gt;&lt;_accessed&gt;59191070&lt;/_accessed&gt;&lt;_created&gt;59179377&lt;/_created&gt;&lt;_journal&gt;Journal of Bridge Engineering&lt;/_journal&gt;&lt;_modified&gt;59179380&lt;/_modified&gt;&lt;_pages&gt;30-37&lt;/_pages&gt;&lt;_volume&gt;4&lt;/_volume&gt;&lt;/Details&gt;&lt;Extra&gt;&lt;DBUID&gt;{C833C268-2DD2-4BFD-9E86-C36B63EFE0FA}&lt;/DBUID&gt;&lt;/Extra&gt;&lt;/Item&gt;&lt;/References&gt;&lt;/Group&gt;&lt;/Citation&gt;_x000a_"/>
    <w:docVar w:name="NE.Ref{6E6A83D3-F96B-4D0F-93D0-CB109C9A0A92}" w:val=" ADDIN NE.Ref.{6E6A83D3-F96B-4D0F-93D0-CB109C9A0A92}&lt;Citation&gt;&lt;Group&gt;&lt;References&gt;&lt;Item&gt;&lt;ID&gt;1318&lt;/ID&gt;&lt;UID&gt;{D9131E35-418A-4C2E-9784-D9CD2316E820}&lt;/UID&gt;&lt;Title&gt;Simulation of Construction of Cable-stayed Bridges&lt;/Title&gt;&lt;Template&gt;Journal Article&lt;/Template&gt;&lt;Star&gt;1&lt;/Star&gt;&lt;Tag&gt;5&lt;/Tag&gt;&lt;Author&gt;Reddy, Praveen; Ghaboussi, Jamshid; Hawkins, Neil M&lt;/Author&gt;&lt;Year&gt;1999&lt;/Year&gt;&lt;Details&gt;&lt;_accessed&gt;59211366&lt;/_accessed&gt;&lt;_created&gt;59187847&lt;/_created&gt;&lt;_journal&gt;Journal of Bridge Engineering&lt;/_journal&gt;&lt;_modified&gt;59187851&lt;/_modified&gt;&lt;_pages&gt;249-257&lt;/_pages&gt;&lt;_volume&gt;4&lt;/_volume&gt;&lt;/Details&gt;&lt;Extra&gt;&lt;DBUID&gt;{C833C268-2DD2-4BFD-9E86-C36B63EFE0FA}&lt;/DBUID&gt;&lt;/Extra&gt;&lt;/Item&gt;&lt;/References&gt;&lt;/Group&gt;&lt;/Citation&gt;_x000a_"/>
    <w:docVar w:name="NE.Ref{6F0734A9-6F57-4B35-9C0F-335DB61BEC0B}" w:val=" ADDIN NE.Ref.{6F0734A9-6F57-4B35-9C0F-335DB61BEC0B}&lt;Citation&gt;&lt;Group&gt;&lt;References&gt;&lt;Item&gt;&lt;ID&gt;723&lt;/ID&gt;&lt;UID&gt;{339B7134-215E-4078-83BE-11C726CDF5C4}&lt;/UID&gt;&lt;Title&gt;大跨度钢-混凝土连续组合箱梁桥关键技术研究&lt;/Title&gt;&lt;Template&gt;Thesis&lt;/Template&gt;&lt;Star&gt;0&lt;/Star&gt;&lt;Tag&gt;5&lt;/Tag&gt;&lt;Author&gt;邵长宇&lt;/Author&gt;&lt;Year&gt;2006&lt;/Year&gt;&lt;Details&gt;&lt;_accessed&gt;58806499&lt;/_accessed&gt;&lt;_created&gt;58806498&lt;/_created&gt;&lt;_date&gt;56188800&lt;/_date&gt;&lt;_db_provider&gt;北京万方数据股份有限公司&lt;/_db_provider&gt;&lt;_db_updated&gt;Wanfang - Paper(general)&lt;/_db_updated&gt;&lt;_language&gt;chi&lt;/_language&gt;&lt;_modified&gt;58806498&lt;/_modified&gt;&lt;_publisher&gt;同济大学土木工程学院 同济大学&lt;/_publisher&gt;&lt;_section&gt;桥梁与隧道工程&lt;/_section&gt;&lt;_tertiary_author&gt;项海帆&lt;/_tertiary_author&gt;&lt;_url&gt;http://d.wanfangdata.com.cn/Thesis_W1657736.aspx&lt;/_url&gt;&lt;_volume&gt;博士&lt;/_volume&gt;&lt;/Details&gt;&lt;Extra&gt;&lt;DBUID&gt;{C833C268-2DD2-4BFD-9E86-C36B63EFE0FA}&lt;/DBUID&gt;&lt;/Extra&gt;&lt;/Item&gt;&lt;/References&gt;&lt;/Group&gt;&lt;Group&gt;&lt;References&gt;&lt;Item&gt;&lt;ID&gt;16&lt;/ID&gt;&lt;UID&gt;{C9B9C0CF-F567-467A-9766-8B0CE3AB6534}&lt;/UID&gt;&lt;Title&gt;大跨连续组合箱梁桥的概念设计&lt;/Title&gt;&lt;Template&gt;Journal Article&lt;/Template&gt;&lt;Star&gt;1&lt;/Star&gt;&lt;Tag&gt;5&lt;/Tag&gt;&lt;Author&gt;邵长宇&lt;/Author&gt;&lt;Year&gt;2008&lt;/Year&gt;&lt;Details&gt;&lt;_accessed&gt;58462465&lt;/_accessed&gt;&lt;_author_adr&gt;上海市政工程设计研究总院,上海200092&lt;/_author_adr&gt;&lt;_created&gt;58462457&lt;/_created&gt;&lt;_db_provider&gt;重庆维普&lt;/_db_provider&gt;&lt;_db_updated&gt;CQ_VIP&lt;/_db_updated&gt;&lt;_isbn&gt;1003-4722&lt;/_isbn&gt;&lt;_issue&gt;1&lt;/_issue&gt;&lt;_journal&gt;桥梁建设&lt;/_journal&gt;&lt;_keywords&gt;连续梁; 箱形粱; 组合梁; 概念设计; continuous girder; box girder; composite girder; conceptual design&lt;/_keywords&gt;&lt;_language&gt;Chinese&lt;/_language&gt;&lt;_modified&gt;58462459&lt;/_modified&gt;&lt;_pages&gt;41-43&lt;/_pages&gt;&lt;_translated_author&gt;SHAO, Chang-yu&lt;/_translated_author&gt;&lt;_translated_title&gt;Conceptual Design of Long Span Continuous Composite Box Girder Bridge&lt;/_translated_title&gt;&lt;_url&gt;http://www.cqvip.com/qk/92467X/200801/26564780.html&lt;/_url&gt;&lt;/Details&gt;&lt;Extra&gt;&lt;DBUID&gt;{C833C268-2DD2-4BFD-9E86-C36B63EFE0FA}&lt;/DBUID&gt;&lt;/Extra&gt;&lt;/Item&gt;&lt;/References&gt;&lt;/Group&gt;&lt;Group&gt;&lt;References&gt;&lt;Item&gt;&lt;ID&gt;62&lt;/ID&gt;&lt;UID&gt;{E19F74F2-178A-468C-A3AD-881AE8501BB5}&lt;/UID&gt;&lt;Title&gt;九堡大桥组合结构桥梁的技术构思与特色&lt;/Title&gt;&lt;Template&gt;Journal Article&lt;/Template&gt;&lt;Star&gt;1&lt;/Star&gt;&lt;Tag&gt;5&lt;/Tag&gt;&lt;Author&gt;邵长宇&lt;/Author&gt;&lt;Year&gt;2009&lt;/Year&gt;&lt;Details&gt;&lt;_accessed&gt;58462465&lt;/_accessed&gt;&lt;_author_adr&gt;上海市政工程设计研究总院,上海200092&lt;/_author_adr&gt;&lt;_created&gt;58462457&lt;/_created&gt;&lt;_db_provider&gt;重庆维普&lt;/_db_provider&gt;&lt;_db_updated&gt;CQ_VIP&lt;/_db_updated&gt;&lt;_isbn&gt;1003-4722&lt;/_isbn&gt;&lt;_issue&gt;6&lt;/_issue&gt;&lt;_journal&gt;桥梁建设&lt;/_journal&gt;&lt;_keywords&gt;组合拱桥; 组合箱梁; 技术构思; 顶推施工; 设计原则; 双层组合; 体外索; 桥梁设计; composite arch bridge; composite box girder; technical consideration; incremen- tal launching construction; design principle; double-layer compositing; external prestressing strand; bridge design&lt;/_keywords&gt;&lt;_language&gt;Chinese&lt;/_language&gt;&lt;_modified&gt;58462460&lt;/_modified&gt;&lt;_pages&gt;42-45&lt;/_pages&gt;&lt;_translated_author&gt;SHAO, Chang-yu&lt;/_translated_author&gt;&lt;_translated_title&gt;Technical Consideration and Features of Composite Structure Bridges of Jiubao Bridge in Hangzhou&lt;/_translated_title&gt;&lt;_url&gt;http://www.cqvip.com/qk/92467X/200906/32502970.html&lt;/_url&gt;&lt;/Details&gt;&lt;Extra&gt;&lt;DBUID&gt;{C833C268-2DD2-4BFD-9E86-C36B63EFE0FA}&lt;/DBUID&gt;&lt;/Extra&gt;&lt;/Item&gt;&lt;/References&gt;&lt;/Group&gt;&lt;Group&gt;&lt;References&gt;&lt;Item&gt;&lt;ID&gt;143&lt;/ID&gt;&lt;UID&gt;{9E3212E8-D9DB-4DAA-959A-51A849B209DE}&lt;/UID&gt;&lt;Title&gt;主跨105m连续组合箱梁桥的技术特色与创新&lt;/Title&gt;&lt;Template&gt;Journal Article&lt;/Template&gt;&lt;Star&gt;1&lt;/Star&gt;&lt;Tag&gt;5&lt;/Tag&gt;&lt;Author&gt;邵长宇&lt;/Author&gt;&lt;Year&gt;2008&lt;/Year&gt;&lt;Details&gt;&lt;_accessed&gt;58462465&lt;/_accessed&gt;&lt;_author_adr&gt;上海市政工程设计研究总院,上海200092&lt;/_author_adr&gt;&lt;_created&gt;58462457&lt;/_created&gt;&lt;_db_provider&gt;重庆维普&lt;/_db_provider&gt;&lt;_db_updated&gt;CQ_VIP&lt;/_db_updated&gt;&lt;_isbn&gt;1003-4722&lt;/_isbn&gt;&lt;_issue&gt;3&lt;/_issue&gt;&lt;_journal&gt;桥梁建设&lt;/_journal&gt;&lt;_keywords&gt;连续梁; 组合箱梁; 桥梁设计; continuous girder; composite box girder; bridge design&lt;/_keywords&gt;&lt;_language&gt;Chinese&lt;/_language&gt;&lt;_modified&gt;58462463&lt;/_modified&gt;&lt;_pages&gt;33-36&lt;/_pages&gt;&lt;_translated_author&gt;SHAO, Chang-yu&lt;/_translated_author&gt;&lt;_translated_title&gt;Technical Characteristics and Innovation of a Continuous Composite Box Girder Bridge with Main Spans 105 m&lt;/_translated_title&gt;&lt;_url&gt;http://www.cqvip.com/qk/92467X/200803/27522058.html&lt;/_url&gt;&lt;/Details&gt;&lt;Extra&gt;&lt;DBUID&gt;{C833C268-2DD2-4BFD-9E86-C36B63EFE0FA}&lt;/DBUID&gt;&lt;/Extra&gt;&lt;/Item&gt;&lt;/References&gt;&lt;/Group&gt;&lt;/Citation&gt;_x000a_"/>
    <w:docVar w:name="NE.Ref{721A2CC7-4983-4FCE-A680-BD9A1CFA96C5}" w:val=" ADDIN NE.Ref.{721A2CC7-4983-4FCE-A680-BD9A1CFA96C5}&lt;Citation&gt;&lt;Group&gt;&lt;References&gt;&lt;Item&gt;&lt;ID&gt;1319&lt;/ID&gt;&lt;UID&gt;{5EBEEA1C-A1D9-420A-8EFE-37BDB3D166EE}&lt;/UID&gt;&lt;Title&gt;Control of Creep and Shrinkage Effects in Steel Concrete Composite Bridges with Precast Decks&lt;/Title&gt;&lt;Template&gt;Journal Article&lt;/Template&gt;&lt;Star&gt;1&lt;/Star&gt;&lt;Tag&gt;5&lt;/Tag&gt;&lt;Author&gt;Chaudhary, Sandeep; Pendharkar, Umesh; Nagpal, Ashok Kumar&lt;/Author&gt;&lt;Year&gt;2009&lt;/Year&gt;&lt;Details&gt;&lt;_accessed&gt;59252851&lt;/_accessed&gt;&lt;_created&gt;59188903&lt;/_created&gt;&lt;_journal&gt;Journal of Bridge Engineering&lt;/_journal&gt;&lt;_modified&gt;59188906&lt;/_modified&gt;&lt;_pages&gt;336-345&lt;/_pages&gt;&lt;_volume&gt;14&lt;/_volume&gt;&lt;/Details&gt;&lt;Extra&gt;&lt;DBUID&gt;{C833C268-2DD2-4BFD-9E86-C36B63EFE0FA}&lt;/DBUID&gt;&lt;/Extra&gt;&lt;/Item&gt;&lt;/References&gt;&lt;/Group&gt;&lt;/Citation&gt;_x000a_"/>
    <w:docVar w:name="NE.Ref{72A0C927-DF6B-4A44-92C6-A5D604D19BB2}" w:val=" ADDIN NE.Ref.{72A0C927-DF6B-4A44-92C6-A5D604D19BB2}&lt;Citation&gt;&lt;Group&gt;&lt;References&gt;&lt;Item&gt;&lt;ID&gt;2481&lt;/ID&gt;&lt;UID&gt;{F2DA3ED3-FE1C-4EC9-8365-570C1D552AD4}&lt;/UID&gt;&lt;Title&gt;上海苏州河外白渡轿的维修涂装&lt;/Title&gt;&lt;Template&gt;Journal Article&lt;/Template&gt;&lt;Star&gt;0&lt;/Star&gt;&lt;Tag&gt;0&lt;/Tag&gt;&lt;Author&gt;刘新&lt;/Author&gt;&lt;Year&gt;2009&lt;/Year&gt;&lt;Details&gt;&lt;_accessed&gt;62212108&lt;/_accessed&gt;&lt;_created&gt;61439733&lt;/_created&gt;&lt;_issue&gt;8&lt;/_issue&gt;&lt;_journal&gt;上海涂料&lt;/_journal&gt;&lt;_language&gt;Chinese&lt;/_language&gt;&lt;_modified&gt;62212108&lt;/_modified&gt;&lt;_volume&gt;47&lt;/_volume&gt;&lt;_translated_author&gt;Liu, Xin&lt;/_translated_author&gt;&lt;/Details&gt;&lt;Extra&gt;&lt;DBUID&gt;{25139A1D-CF45-40E3-9EDD-33E25C1C489A}&lt;/DBUID&gt;&lt;/Extra&gt;&lt;/Item&gt;&lt;/References&gt;&lt;/Group&gt;&lt;/Citation&gt;_x000a_"/>
    <w:docVar w:name="NE.Ref{72F7B350-AAFC-4C0F-B239-F028AEF7D88F}" w:val=" ADDIN NE.Ref.{72F7B350-AAFC-4C0F-B239-F028AEF7D88F}&lt;Citation&gt;&lt;Group&gt;&lt;References&gt;&lt;Item&gt;&lt;ID&gt;1344&lt;/ID&gt;&lt;UID&gt;{2F3A99F8-7E42-47D0-909D-86E8F349B391}&lt;/UID&gt;&lt;Title&gt;Construction Stage Analysis of Cable-Stayed Bridges&lt;/Title&gt;&lt;Template&gt;Thesis&lt;/Template&gt;&lt;Star&gt;0&lt;/Star&gt;&lt;Tag&gt;5&lt;/Tag&gt;&lt;Author&gt;Grabow, Marko Justus&lt;/Author&gt;&lt;Year&gt;2004&lt;/Year&gt;&lt;Details&gt;&lt;_accessed&gt;59243885&lt;/_accessed&gt;&lt;_created&gt;59228614&lt;/_created&gt;&lt;_modified&gt;59228615&lt;/_modified&gt;&lt;/Details&gt;&lt;Extra&gt;&lt;DBUID&gt;{C833C268-2DD2-4BFD-9E86-C36B63EFE0FA}&lt;/DBUID&gt;&lt;/Extra&gt;&lt;/Item&gt;&lt;/References&gt;&lt;/Group&gt;&lt;/Citation&gt;_x000a_"/>
    <w:docVar w:name="NE.Ref{741DE5FC-68EE-40CE-B7EF-B1A423052C31}" w:val=" ADDIN NE.Ref.{741DE5FC-68EE-40CE-B7EF-B1A423052C31}&lt;Citation&gt;&lt;Group&gt;&lt;References&gt;&lt;Item&gt;&lt;ID&gt;1249&lt;/ID&gt;&lt;UID&gt;{1F531CAC-F93E-482F-8FF8-C73871B3349E}&lt;/UID&gt;&lt;Title&gt;欧洲规范4 钢-混凝土组合梁设计方法（3）──组合梁的内力分析&lt;/Title&gt;&lt;Template&gt;Journal Article&lt;/Template&gt;&lt;Star&gt;0&lt;/Star&gt;&lt;Tag&gt;5&lt;/Tag&gt;&lt;Author&gt;胡夏闵&lt;/Author&gt;&lt;Year&gt;1995&lt;/Year&gt;&lt;Details&gt;&lt;_accessed&gt;59128788&lt;/_accessed&gt;&lt;_created&gt;59128750&lt;/_created&gt;&lt;_issue&gt;11&lt;/_issue&gt;&lt;_journal&gt;工业建筑&lt;/_journal&gt;&lt;_modified&gt;59128789&lt;/_modified&gt;&lt;_tertiary_title&gt;Industrial Construction&lt;/_tertiary_title&gt;&lt;_translated_author&gt;Xiamin, Hu&lt;/_translated_author&gt;&lt;_translated_title&gt;DESIGN METHOD OF EUROCODE 4 FOR STEEL-CONCRETE COMPOSITE BEAMS(3)-INTERNAL FORCE ANALYSIS OF COMPOSITE BEAM&lt;/_translated_title&gt;&lt;_volume&gt;25&lt;/_volume&gt;&lt;/Details&gt;&lt;Extra&gt;&lt;DBUID&gt;{C833C268-2DD2-4BFD-9E86-C36B63EFE0FA}&lt;/DBUID&gt;&lt;/Extra&gt;&lt;/Item&gt;&lt;/References&gt;&lt;/Group&gt;&lt;/Citation&gt;_x000a_"/>
    <w:docVar w:name="NE.Ref{755F7D0B-7676-49A3-B5D5-84BA67C7B542}" w:val=" ADDIN NE.Ref.{755F7D0B-7676-49A3-B5D5-84BA67C7B542}&lt;Citation&gt;&lt;Group&gt;&lt;References&gt;&lt;Item&gt;&lt;ID&gt;1219&lt;/ID&gt;&lt;UID&gt;{74C90ECD-6669-4F36-9F89-17615E370D9A}&lt;/UID&gt;&lt;Title&gt;面向创新的中国现代桥梁&lt;/Title&gt;&lt;Template&gt;Book&lt;/Template&gt;&lt;Star&gt;0&lt;/Star&gt;&lt;Tag&gt;5&lt;/Tag&gt;&lt;Author&gt;中国公路学会桥梁和结构工程分会&lt;/Author&gt;&lt;Year&gt;2009&lt;/Year&gt;&lt;Details&gt;&lt;_accessed&gt;59118998&lt;/_accessed&gt;&lt;_created&gt;59092979&lt;/_created&gt;&lt;_modified&gt;59118998&lt;/_modified&gt;&lt;_ori_publication&gt;人民交通出版社&lt;/_ori_publication&gt;&lt;_publisher&gt;人民交通出版社&lt;/_publisher&gt;&lt;/Details&gt;&lt;Extra&gt;&lt;DBUID&gt;{C833C268-2DD2-4BFD-9E86-C36B63EFE0FA}&lt;/DBUID&gt;&lt;/Extra&gt;&lt;/Item&gt;&lt;/References&gt;&lt;/Group&gt;&lt;/Citation&gt;_x000a_"/>
    <w:docVar w:name="NE.Ref{75A5B5DC-E31F-4974-A9F6-D7AABF849DFE}" w:val=" ADDIN NE.Ref.{75A5B5DC-E31F-4974-A9F6-D7AABF849DFE}&lt;Citation&gt;&lt;Group&gt;&lt;References&gt;&lt;Item&gt;&lt;ID&gt;1135&lt;/ID&gt;&lt;UID&gt;{9AF11686-7974-4E02-B7A2-2CB1A59BBBE0}&lt;/UID&gt;&lt;Title&gt;Analysis of the overall collapse mechanism of cable-stayed bridges with different cable layouts&lt;/Title&gt;&lt;Template&gt;Journal Article&lt;/Template&gt;&lt;Star&gt;1&lt;/Star&gt;&lt;Tag&gt;5&lt;/Tag&gt;&lt;Author&gt;Song, Weon-Keun; Kim, Seung-Eock&lt;/Author&gt;&lt;Year&gt;2007&lt;/Year&gt;&lt;Details&gt;&lt;_accessed&gt;59176698&lt;/_accessed&gt;&lt;_alternate_title&gt;Engineering Structures&lt;/_alternate_title&gt;&lt;_created&gt;59066503&lt;/_created&gt;&lt;_date_display&gt;2007/9//&lt;/_date_display&gt;&lt;_db_updated&gt;ScienceDirect&lt;/_db_updated&gt;&lt;_isbn&gt;0141-0296&lt;/_isbn&gt;&lt;_issue&gt;9&lt;/_issue&gt;&lt;_journal&gt;Engineering Structures&lt;/_journal&gt;&lt;_keywords&gt;Steel cable-stayed bridge; Softening plastic-hinge model; Fiber element model; Nonlinear inelastic buckling model; Overall collapse mechanism; Ultimate load-carrying capacity&lt;/_keywords&gt;&lt;_modified&gt;59066505&lt;/_modified&gt;&lt;_pages&gt;2133-2142&lt;/_pages&gt;&lt;_url&gt;http://www.sciencedirect.com/science/article/pii/S0141029606004718&lt;/_url&gt;&lt;_volume&gt;29&lt;/_volume&gt;&lt;/Details&gt;&lt;Extra&gt;&lt;DBUID&gt;{C833C268-2DD2-4BFD-9E86-C36B63EFE0FA}&lt;/DBUID&gt;&lt;/Extra&gt;&lt;/Item&gt;&lt;/References&gt;&lt;/Group&gt;&lt;/Citation&gt;_x000a_"/>
    <w:docVar w:name="NE.Ref{760A4DD3-8DEB-4584-9893-582FC884B305}" w:val=" ADDIN NE.Ref.{760A4DD3-8DEB-4584-9893-582FC884B305}&lt;Citation&gt;&lt;Group&gt;&lt;References&gt;&lt;Item&gt;&lt;ID&gt;909&lt;/ID&gt;&lt;UID&gt;{A01AF6F2-0B92-4B2B-923C-3CFD31800EF2}&lt;/UID&gt;&lt;Title&gt;斜拉桥钢-混组合箱梁焊钉连接件剪力分布研究&lt;/Title&gt;&lt;Template&gt;Journal Article&lt;/Template&gt;&lt;Star&gt;1&lt;/Star&gt;&lt;Tag&gt;5&lt;/Tag&gt;&lt;Author&gt;王正阳; 吴冲; 陆春阳&lt;/Author&gt;&lt;Year&gt;2010&lt;/Year&gt;&lt;Details&gt;&lt;_accessed&gt;59055899&lt;/_accessed&gt;&lt;_author_adr&gt;同济大学,桥梁工程系,上海,200092&lt;/_author_adr&gt;&lt;_author_aff&gt;同济大学,桥梁工程系,上海,200092&lt;/_author_aff&gt;&lt;_created&gt;59055868&lt;/_created&gt;&lt;_db_provider&gt;北京万方数据股份有限公司&lt;/_db_provider&gt;&lt;_db_updated&gt;Wanfang - Journal&lt;/_db_updated&gt;&lt;_isbn&gt;1006-7973&lt;/_isbn&gt;&lt;_issue&gt;1&lt;/_issue&gt;&lt;_journal&gt;中国水运（下半月）&lt;/_journal&gt;&lt;_keywords&gt;斜拉桥; 钢-混组合箱梁; 焊钉连接件; 有限元&lt;/_keywords&gt;&lt;_language&gt;chi&lt;/_language&gt;&lt;_modified&gt;59055892&lt;/_modified&gt;&lt;_pages&gt;150-152&lt;/_pages&gt;&lt;_tertiary_title&gt;CHINA WATER TRANSPORT&lt;/_tertiary_title&gt;&lt;_url&gt;http://d.wanfangdata.com.cn/Periodical_zgsy-xby201001073.aspx&lt;/_url&gt;&lt;_volume&gt;10&lt;/_volume&gt;&lt;/Details&gt;&lt;Extra&gt;&lt;DBUID&gt;{C833C268-2DD2-4BFD-9E86-C36B63EFE0FA}&lt;/DBUID&gt;&lt;/Extra&gt;&lt;/Item&gt;&lt;/References&gt;&lt;/Group&gt;&lt;/Citation&gt;_x000a_"/>
    <w:docVar w:name="NE.Ref{763E3539-6335-471D-B835-6C7B07A2753C}" w:val=" ADDIN NE.Ref.{763E3539-6335-471D-B835-6C7B07A2753C}&lt;Citation&gt;&lt;Group&gt;&lt;References&gt;&lt;Item&gt;&lt;ID&gt;2647&lt;/ID&gt;&lt;UID&gt;{03C1C523-C5EC-4C7A-BC4C-2C95DE23720B}&lt;/UID&gt;&lt;Title&gt;黄河老桥启示录——黄河上三座老铁桥的纵横观&lt;/Title&gt;&lt;Template&gt;Journal Article&lt;/Template&gt;&lt;Star&gt;0&lt;/Star&gt;&lt;Tag&gt;0&lt;/Tag&gt;&lt;Author&gt;赵学勐&lt;/Author&gt;&lt;Year&gt;2018&lt;/Year&gt;&lt;Details&gt;&lt;_accessed&gt;62200475&lt;/_accessed&gt;&lt;_created&gt;62200475&lt;/_created&gt;&lt;_journal&gt;桥梁杂志&lt;/_journal&gt;&lt;_modified&gt;62200476&lt;/_modified&gt;&lt;_translated_author&gt;Zhao, Xuemeng&lt;/_translated_author&gt;&lt;/Details&gt;&lt;Extra&gt;&lt;DBUID&gt;{25139A1D-CF45-40E3-9EDD-33E25C1C489A}&lt;/DBUID&gt;&lt;/Extra&gt;&lt;/Item&gt;&lt;/References&gt;&lt;/Group&gt;&lt;/Citation&gt;_x000a_"/>
    <w:docVar w:name="NE.Ref{7653049A-8446-4EA7-BC72-7791CEB5E002}" w:val=" ADDIN NE.Ref.{7653049A-8446-4EA7-BC72-7791CEB5E002}&lt;Citation&gt;&lt;Group&gt;&lt;References&gt;&lt;Item&gt;&lt;ID&gt;1157&lt;/ID&gt;&lt;UID&gt;{4D9C709B-5A89-43BC-B670-DB4A646435D7}&lt;/UID&gt;&lt;Title&gt;Nonlinear analysis of composite steel–concrete cable-stayed bridges&lt;/Title&gt;&lt;Template&gt;Journal Article&lt;/Template&gt;&lt;Star&gt;1&lt;/Star&gt;&lt;Tag&gt;5&lt;/Tag&gt;&lt;Author&gt;Oliveira Pedro, José J; Reis, António J&lt;/Author&gt;&lt;Year&gt;2010&lt;/Year&gt;&lt;Details&gt;&lt;_accessed&gt;59280103&lt;/_accessed&gt;&lt;_alternate_title&gt;Engineering Structures&lt;/_alternate_title&gt;&lt;_created&gt;59066503&lt;/_created&gt;&lt;_date_display&gt;2010/9//&lt;/_date_display&gt;&lt;_db_updated&gt;ScienceDirect&lt;/_db_updated&gt;&lt;_isbn&gt;0141-0296&lt;/_isbn&gt;&lt;_issue&gt;9&lt;/_issue&gt;&lt;_journal&gt;Engineering Structures&lt;/_journal&gt;&lt;_keywords&gt;Cable-stayed bridge; Composite steel–concrete deck; Nonlinear analysis; Time dependent effects; Flexible connection&lt;/_keywords&gt;&lt;_modified&gt;59066511&lt;/_modified&gt;&lt;_pages&gt;2702-2716&lt;/_pages&gt;&lt;_url&gt;http://www.sciencedirect.com/science/article/pii/S0141029610001859&lt;/_url&gt;&lt;_volume&gt;32&lt;/_volume&gt;&lt;/Details&gt;&lt;Extra&gt;&lt;DBUID&gt;{C833C268-2DD2-4BFD-9E86-C36B63EFE0FA}&lt;/DBUID&gt;&lt;/Extra&gt;&lt;/Item&gt;&lt;/References&gt;&lt;/Group&gt;&lt;/Citation&gt;_x000a_"/>
    <w:docVar w:name="NE.Ref{769AD7A9-DDF3-4DB3-B932-907BCEA7B91D}" w:val=" ADDIN NE.Ref.{769AD7A9-DDF3-4DB3-B932-907BCEA7B91D}&lt;Citation&gt;&lt;Group&gt;&lt;References&gt;&lt;Item&gt;&lt;ID&gt;1321&lt;/ID&gt;&lt;UID&gt;{3A763852-58ED-4EA8-BA02-1F404AAAB91F}&lt;/UID&gt;&lt;Title&gt;Exact Static Analysis of Partially Composite Beams and Beam-columns&lt;/Title&gt;&lt;Template&gt;Journal Article&lt;/Template&gt;&lt;Star&gt;1&lt;/Star&gt;&lt;Tag&gt;5&lt;/Tag&gt;&lt;Author&gt;Girhammar, Ulf Arne; Pan, Dan H&lt;/Author&gt;&lt;Year&gt;2007&lt;/Year&gt;&lt;Details&gt;&lt;_accessed&gt;59196780&lt;/_accessed&gt;&lt;_created&gt;59196768&lt;/_created&gt;&lt;_journal&gt;International Journal of Mechanical Sciences&lt;/_journal&gt;&lt;_modified&gt;59196780&lt;/_modified&gt;&lt;_pages&gt;239-255&lt;/_pages&gt;&lt;_volume&gt;49&lt;/_volume&gt;&lt;/Details&gt;&lt;Extra&gt;&lt;DBUID&gt;{C833C268-2DD2-4BFD-9E86-C36B63EFE0FA}&lt;/DBUID&gt;&lt;/Extra&gt;&lt;/Item&gt;&lt;/References&gt;&lt;/Group&gt;&lt;Group&gt;&lt;References&gt;&lt;Item&gt;&lt;ID&gt;1129&lt;/ID&gt;&lt;UID&gt;{12904739-91E8-45C9-A352-364D23D97749}&lt;/UID&gt;&lt;Title&gt;A Simplified Analysis Method for Composite Beams with Interlayer Slip&lt;/Title&gt;&lt;Template&gt;Journal Article&lt;/Template&gt;&lt;Star&gt;1&lt;/Star&gt;&lt;Tag&gt;5&lt;/Tag&gt;&lt;Author&gt;Girhammar, Ulf Arne&lt;/Author&gt;&lt;Year&gt;2009&lt;/Year&gt;&lt;Details&gt;&lt;_accessed&gt;59274114&lt;/_accessed&gt;&lt;_alternate_title&gt;International Journal of Mechanical Sciences&lt;/_alternate_title&gt;&lt;_created&gt;59066503&lt;/_created&gt;&lt;_date_display&gt;2009/7//&lt;/_date_display&gt;&lt;_db_updated&gt;ScienceDirect&lt;/_db_updated&gt;&lt;_isbn&gt;0020-7403&lt;/_isbn&gt;&lt;_issue&gt;7&lt;/_issue&gt;&lt;_journal&gt;International Journal of Mechanical Sciences&lt;/_journal&gt;&lt;_keywords&gt;Composite beams; Partial interaction; Interlayer slip; Approximate analysis; Simplified analysis; Effective bending stiffness&lt;/_keywords&gt;&lt;_modified&gt;59196780&lt;/_modified&gt;&lt;_pages&gt;515-530&lt;/_pages&gt;&lt;_url&gt;http://www.sciencedirect.com/science/article/pii/S0020740309000903&lt;/_url&gt;&lt;_volume&gt;51&lt;/_volume&gt;&lt;/Details&gt;&lt;Extra&gt;&lt;DBUID&gt;{C833C268-2DD2-4BFD-9E86-C36B63EFE0FA}&lt;/DBUID&gt;&lt;/Extra&gt;&lt;/Item&gt;&lt;/References&gt;&lt;/Group&gt;&lt;Group&gt;&lt;References&gt;&lt;Item&gt;&lt;ID&gt;1140&lt;/ID&gt;&lt;UID&gt;{A483EB46-4EEA-4204-95DB-12B902301401}&lt;/UID&gt;&lt;Title&gt;Composite Beam–columns with Interlayer Slip—Approximate Analysis&lt;/Title&gt;&lt;Template&gt;Journal Article&lt;/Template&gt;&lt;Star&gt;1&lt;/Star&gt;&lt;Tag&gt;5&lt;/Tag&gt;&lt;Author&gt;Girhammar, Ulf Arne&lt;/Author&gt;&lt;Year&gt;2008&lt;/Year&gt;&lt;Details&gt;&lt;_accessed&gt;59196957&lt;/_accessed&gt;&lt;_alternate_title&gt;International Journal of Mechanical Sciences&lt;/_alternate_title&gt;&lt;_created&gt;59066503&lt;/_created&gt;&lt;_date_display&gt;2008/12//&lt;/_date_display&gt;&lt;_db_updated&gt;ScienceDirect&lt;/_db_updated&gt;&lt;_isbn&gt;0020-7403&lt;/_isbn&gt;&lt;_issue&gt;12&lt;/_issue&gt;&lt;_journal&gt;International Journal of Mechanical Sciences&lt;/_journal&gt;&lt;_keywords&gt;Composite beam–columns; Partial interaction; Interlayer slip; Approximate analysis; Effective bending stiffness; Magnification factors&lt;/_keywords&gt;&lt;_modified&gt;59196958&lt;/_modified&gt;&lt;_pages&gt;1636-1649&lt;/_pages&gt;&lt;_url&gt;http://www.sciencedirect.com/science/article/pii/S0020740308001392&lt;/_url&gt;&lt;_volume&gt;50&lt;/_volume&gt;&lt;/Details&gt;&lt;Extra&gt;&lt;DBUID&gt;{C833C268-2DD2-4BFD-9E86-C36B63EFE0FA}&lt;/DBUID&gt;&lt;/Extra&gt;&lt;/Item&gt;&lt;/References&gt;&lt;/Group&gt;&lt;/Citation&gt;_x000a_"/>
    <w:docVar w:name="NE.Ref{772D16CD-BF49-411F-ACD1-2DB205A2DC93}" w:val=" ADDIN NE.Ref.{772D16CD-BF49-411F-ACD1-2DB205A2DC93}&lt;Citation&gt;&lt;Group&gt;&lt;References&gt;&lt;Item&gt;&lt;ID&gt;1246&lt;/ID&gt;&lt;UID&gt;{6AEE728E-A188-4CD2-B959-9F08ECB079D7}&lt;/UID&gt;&lt;Title&gt;欧洲规范4 钢-混凝土组合梁设计方法（2）──组合梁的受力性能和计算理论&lt;/Title&gt;&lt;Template&gt;Journal Article&lt;/Template&gt;&lt;Star&gt;1&lt;/Star&gt;&lt;Tag&gt;5&lt;/Tag&gt;&lt;Author&gt;胡夏闵&lt;/Author&gt;&lt;Year&gt;1995&lt;/Year&gt;&lt;Details&gt;&lt;_accessed&gt;59128790&lt;/_accessed&gt;&lt;_created&gt;59128750&lt;/_created&gt;&lt;_issue&gt;10&lt;/_issue&gt;&lt;_journal&gt;工业建筑&lt;/_journal&gt;&lt;_modified&gt;59128790&lt;/_modified&gt;&lt;_tertiary_title&gt;Industrial Construction&lt;/_tertiary_title&gt;&lt;_translated_author&gt;Xiamin, Hu&lt;/_translated_author&gt;&lt;_translated_title&gt;DESIGN METHOD OF EUROCODE 4 FOR STEEL-CONCRETE COMPOSITE BEAMS(2)-LOAD CARRING BEHAVIOUR AND CALCULATING THEORY OF COMPOSITE BEAMS&lt;/_translated_title&gt;&lt;_volume&gt;25&lt;/_volume&gt;&lt;/Details&gt;&lt;Extra&gt;&lt;DBUID&gt;{C833C268-2DD2-4BFD-9E86-C36B63EFE0FA}&lt;/DBUID&gt;&lt;/Extra&gt;&lt;/Item&gt;&lt;/References&gt;&lt;/Group&gt;&lt;/Citation&gt;_x000a_"/>
    <w:docVar w:name="NE.Ref{78205B91-4CB6-47D5-B48D-6EB439A7FAAA}" w:val=" ADDIN NE.Ref.{78205B91-4CB6-47D5-B48D-6EB439A7FAAA}&lt;Citation&gt;&lt;Group&gt;&lt;References&gt;&lt;Item&gt;&lt;ID&gt;1196&lt;/ID&gt;&lt;UID&gt;{95461E27-4F5E-42ED-9542-0BE599B41797}&lt;/UID&gt;&lt;Title&gt;考虑施工可行性的斜拉桥极限跨径研究&lt;/Title&gt;&lt;Template&gt;Journal Article&lt;/Template&gt;&lt;Star&gt;1&lt;/Star&gt;&lt;Tag&gt;5&lt;/Tag&gt;&lt;Author&gt;石雪飞; 沈炯伟; 陈辉&lt;/Author&gt;&lt;Year&gt;2009&lt;/Year&gt;&lt;Details&gt;&lt;_author_adr&gt;同济大学,桥梁工程系,上海,200092&lt;/_author_adr&gt;&lt;_author_aff&gt;同济大学,桥梁工程系,上海,200092&lt;/_author_aff&gt;&lt;_created&gt;59088917&lt;/_created&gt;&lt;_db_provider&gt;北京万方数据股份有限公司&lt;/_db_provider&gt;&lt;_db_updated&gt;Wanfang - Journal&lt;/_db_updated&gt;&lt;_isbn&gt;1006-3226&lt;/_isbn&gt;&lt;_issue&gt;3&lt;/_issue&gt;&lt;_journal&gt;石家庄铁道学院学报&lt;/_journal&gt;&lt;_keywords&gt;斜拉桥; 极限跨径; 施工可行性&lt;/_keywords&gt;&lt;_language&gt;chi&lt;/_language&gt;&lt;_modified&gt;59088917&lt;/_modified&gt;&lt;_pages&gt;5-9&lt;/_pages&gt;&lt;_tertiary_title&gt;JOURNAL OF SHIJIAZHUANG RAILWAY INSTITUTE&lt;/_tertiary_title&gt;&lt;_translated_author&gt;Xuefei, Shi; Jiongwei, Shen; Hui, Chen&lt;/_translated_author&gt;&lt;_translated_title&gt;Study on Ultimate Span of Cable-Stayed Bridge with Current Construction Technique&lt;/_translated_title&gt;&lt;_url&gt;http://d.wanfangdata.com.cn/Periodical_sjztdxyxb200903002.aspx _x000a_http://dlib.edu.cnki.net 全文链接_x000a_http://f.g.wanfangdata.com.cn/Fulltext.ashx?fileId=Periodical_sjztdxyxb200903002&amp;amp;type=download&amp;amp;transaction=%7b%22ExtraData%22%3a%5b%5d%2c%22Transaction%22%3a%7b%22DateTime%22%3a%22%5c%2fDate(1336481770946%2b0800)%5c%2f%22%2c%22Id%22%3a%22731d722c-5e72-47e1-95da-a04b01590556%22%2c%22ProductDetail%22%3a%22Periodical_sjztdxyxb200903002%22%2c%22SessionId%22%3a%22e60aa227-5085-4abf-8407-e774905809bc%22%2c%22Signature%22%3a%22ZSwlnB3uzqJ3uTL2aUlwN4EEfy%5c%2fVByZmFIKioMvsveurjtOgboI7YVG2vztAbs4J%22%2c%22TransferIn%22%3a%7b%22AccountType%22%3a%22Income%22%2c%22Key%22%3a%22PeriodicalFulltext%22%7d%2c%22TransferOut%22%3a%7b%22AccountType%22%3a%22GTimeLimit%22%2c%22Key%22%3a%22tjdxtsg%22%7d%2c%22Turnover%22%3a3.00000%2c%22User%22%3anull%7d%2c%22TransferOutAccountsStatus%22%3a%5b%5d%7d 全文链接_x000a_&lt;/_url&gt;&lt;_volume&gt;22&lt;/_volume&gt;&lt;/Details&gt;&lt;Extra&gt;&lt;DBUID&gt;{C833C268-2DD2-4BFD-9E86-C36B63EFE0FA}&lt;/DBUID&gt;&lt;/Extra&gt;&lt;/Item&gt;&lt;/References&gt;&lt;/Group&gt;&lt;/Citation&gt;_x000a_"/>
    <w:docVar w:name="NE.Ref{790B9E2E-5A3A-4DD6-8458-14B9F9C81461}" w:val=" ADDIN NE.Ref.{790B9E2E-5A3A-4DD6-8458-14B9F9C81461}&lt;Citation&gt;&lt;Group&gt;&lt;References&gt;&lt;Item&gt;&lt;ID&gt;1239&lt;/ID&gt;&lt;UID&gt;{B9FCA38E-D3A7-4449-AB2B-D94047174388}&lt;/UID&gt;&lt;Title&gt;公路钢结构桥梁设计规范（征求意见稿）&lt;/Title&gt;&lt;Template&gt;Standard&lt;/Template&gt;&lt;Star&gt;0&lt;/Star&gt;&lt;Tag&gt;5&lt;/Tag&gt;&lt;Author&gt;中华人民共和国行业标准&lt;/Author&gt;&lt;Year&gt;0&lt;/Year&gt;&lt;Details&gt;&lt;_accessed&gt;59108708&lt;/_accessed&gt;&lt;_created&gt;59108705&lt;/_created&gt;&lt;_modified&gt;59108705&lt;/_modified&gt;&lt;/Details&gt;&lt;Extra&gt;&lt;DBUID&gt;{C833C268-2DD2-4BFD-9E86-C36B63EFE0FA}&lt;/DBUID&gt;&lt;/Extra&gt;&lt;/Item&gt;&lt;/References&gt;&lt;/Group&gt;&lt;/Citation&gt;_x000a_"/>
    <w:docVar w:name="NE.Ref{795F3578-468F-4685-A7AB-F23A58E8DBC0}" w:val=" ADDIN NE.Ref.{795F3578-468F-4685-A7AB-F23A58E8DBC0}&lt;Citation&gt;&lt;Group&gt;&lt;References&gt;&lt;Item&gt;&lt;ID&gt;1232&lt;/ID&gt;&lt;UID&gt;{EDE566AA-2848-4A64-B824-5F8861F11984}&lt;/UID&gt;&lt;Title&gt;斜拉桥&lt;/Title&gt;&lt;Template&gt;Book&lt;/Template&gt;&lt;Star&gt;0&lt;/Star&gt;&lt;Tag&gt;5&lt;/Tag&gt;&lt;Author&gt;林元培&lt;/Author&gt;&lt;Year&gt;2004&lt;/Year&gt;&lt;Details&gt;&lt;_accessed&gt;59099573&lt;/_accessed&gt;&lt;_created&gt;59098685&lt;/_created&gt;&lt;_modified&gt;59098685&lt;/_modified&gt;&lt;_place_published&gt;北京&lt;/_place_published&gt;&lt;_publisher&gt;人民交通出版社&lt;/_publisher&gt;&lt;/Details&gt;&lt;Extra&gt;&lt;DBUID&gt;{C833C268-2DD2-4BFD-9E86-C36B63EFE0FA}&lt;/DBUID&gt;&lt;/Extra&gt;&lt;/Item&gt;&lt;/References&gt;&lt;/Group&gt;&lt;/Citation&gt;_x000a_"/>
    <w:docVar w:name="NE.Ref{7A6199F3-81AF-47C6-95FF-0BF11E64F644}" w:val=" ADDIN NE.Ref.{7A6199F3-81AF-47C6-95FF-0BF11E64F644}&lt;Citation&gt;&lt;Group&gt;&lt;References&gt;&lt;Item&gt;&lt;ID&gt;1395&lt;/ID&gt;&lt;UID&gt;{8E914284-182D-4C18-A38F-53136601EB79}&lt;/UID&gt;&lt;Title&gt;Effect of Cable Stiffness on Cable-stayed Bridges&lt;/Title&gt;&lt;Template&gt;Journal Article&lt;/Template&gt;&lt;Star&gt;1&lt;/Star&gt;&lt;Tag&gt;5&lt;/Tag&gt;&lt;Author&gt;Krishna, P; Arya, A S; Agrawal, T P&lt;/Author&gt;&lt;Year&gt;1985&lt;/Year&gt;&lt;Details&gt;&lt;_accessed&gt;59253105&lt;/_accessed&gt;&lt;_created&gt;59252846&lt;/_created&gt;&lt;_journal&gt;Journal of Structural Engineering&lt;/_journal&gt;&lt;_modified&gt;59253105&lt;/_modified&gt;&lt;_pages&gt;2008-2020&lt;/_pages&gt;&lt;_volume&gt;111&lt;/_volume&gt;&lt;/Details&gt;&lt;Extra&gt;&lt;DBUID&gt;{C833C268-2DD2-4BFD-9E86-C36B63EFE0FA}&lt;/DBUID&gt;&lt;/Extra&gt;&lt;/Item&gt;&lt;/References&gt;&lt;/Group&gt;&lt;/Citation&gt;_x000a_"/>
    <w:docVar w:name="NE.Ref{7D0269ED-70DE-4D2C-978A-CF3F2902A580}" w:val=" ADDIN NE.Ref.{7D0269ED-70DE-4D2C-978A-CF3F2902A580}&lt;Citation&gt;&lt;Group&gt;&lt;References&gt;&lt;Item&gt;&lt;ID&gt;1218&lt;/ID&gt;&lt;UID&gt;{5EA4D2F6-FFFA-4D71-8FDC-5CDB44D5926E}&lt;/UID&gt;&lt;Title&gt;大跨度桥梁概念设计中的若干问题&lt;/Title&gt;&lt;Template&gt;Conference Paper&lt;/Template&gt;&lt;Star&gt;1&lt;/Star&gt;&lt;Tag&gt;5&lt;/Tag&gt;&lt;Author&gt;项海帆&lt;/Author&gt;&lt;Year&gt;2004&lt;/Year&gt;&lt;Details&gt;&lt;_created&gt;59091688&lt;/_created&gt;&lt;_date&gt;2004-01-01&lt;/_date&gt;&lt;_db_provider&gt;北京万方数据股份有限公司&lt;/_db_provider&gt;&lt;_db_updated&gt;Wanfang - Conference&lt;/_db_updated&gt;&lt;_keywords&gt;大跨度桥梁; 概念设计; 桥梁设计; 总体布置; 结构构造&lt;/_keywords&gt;&lt;_language&gt;chi&lt;/_language&gt;&lt;_modified&gt;59091688&lt;/_modified&gt;&lt;_place_published&gt;长沙&lt;/_place_published&gt;&lt;_secondary_title&gt;第十六届全国桥梁学术会议&lt;/_secondary_title&gt;&lt;_tertiary_author&gt;中国土木工程学会&lt;/_tertiary_author&gt;&lt;_tertiary_title&gt;第十六届全国桥梁学术会议论文集&lt;/_tertiary_title&gt;&lt;_url&gt;http://d.wanfangdata.com.cn/Conference_5602371.aspx _x000a_http://f.g.wanfangdata.com.cn/Fulltext.ashx?fileId=Conference_5602371&amp;amp;type=download&amp;amp;transaction=%7b%22ExtraData%22%3a%5b%5d%2c%22Transaction%22%3a%7b%22DateTime%22%3a%22%5c%2fDate(1336483862236%2b0800)%5c%2f%22%2c%22Id%22%3a%22472b2035-5e8a-4808-a4d5-a04b01629811%22%2c%22ProductDetail%22%3a%22Conference_5602371%22%2c%22SessionId%22%3a%22e60aa227-5085-4abf-8407-e774905809bc%22%2c%22Signature%22%3a%22OCDuAyg4i9%5c%2fn1DjvvCEmob0iD%2bY17Yy%5c%2fNz6Hp7G4z8gekRxUA290W8iPnQTkgPNU%22%2c%22TransferIn%22%3a%7b%22AccountType%22%3a%22Income%22%2c%22Key%22%3a%22ConferenceFulltext%22%7d%2c%22TransferOut%22%3a%7b%22AccountType%22%3a%22GTimeLimit%22%2c%22Key%22%3a%22tjdxtsg%22%7d%2c%22Turnover%22%3a10.00000%2c%22User%22%3anull%7d%2c%22TransferOutAccountsStatus%22%3a%5b%5d%7d 全文链接_x000a_&lt;/_url&gt;&lt;/Details&gt;&lt;Extra&gt;&lt;DBUID&gt;{C833C268-2DD2-4BFD-9E86-C36B63EFE0FA}&lt;/DBUID&gt;&lt;/Extra&gt;&lt;/Item&gt;&lt;/References&gt;&lt;/Group&gt;&lt;/Citation&gt;_x000a_"/>
    <w:docVar w:name="NE.Ref{7D51CBD3-3849-44C7-BC58-C0D9C9F6F560}" w:val=" ADDIN NE.Ref.{7D51CBD3-3849-44C7-BC58-C0D9C9F6F560}&lt;Citation&gt;&lt;Group&gt;&lt;References&gt;&lt;Item&gt;&lt;ID&gt;1305&lt;/ID&gt;&lt;UID&gt;{7D2FE19B-5AC6-49DA-8C1C-6DBB271FBC48}&lt;/UID&gt;&lt;Title&gt;Design of a Cable-stayed Steel Composite Bridge&lt;/Title&gt;&lt;Template&gt;Journal Article&lt;/Template&gt;&lt;Star&gt;1&lt;/Star&gt;&lt;Tag&gt;5&lt;/Tag&gt;&lt;Author&gt;Svensson, Holger S; Christopher, Ben G; Saul, Reiner&lt;/Author&gt;&lt;Year&gt;1986&lt;/Year&gt;&lt;Details&gt;&lt;_accessed&gt;59186420&lt;/_accessed&gt;&lt;_created&gt;59176696&lt;/_created&gt;&lt;_journal&gt;Journal of Structural Engineering&lt;/_journal&gt;&lt;_modified&gt;59186420&lt;/_modified&gt;&lt;_pages&gt;489-504&lt;/_pages&gt;&lt;_volume&gt;112&lt;/_volume&gt;&lt;/Details&gt;&lt;Extra&gt;&lt;DBUID&gt;{C833C268-2DD2-4BFD-9E86-C36B63EFE0FA}&lt;/DBUID&gt;&lt;/Extra&gt;&lt;/Item&gt;&lt;/References&gt;&lt;/Group&gt;&lt;/Citation&gt;_x000a_"/>
    <w:docVar w:name="NE.Ref{81D14551-9975-43B6-AB4B-1447D7EF7B21}" w:val=" ADDIN NE.Ref.{81D14551-9975-43B6-AB4B-1447D7EF7B21}&lt;Citation&gt;&lt;Group&gt;&lt;References&gt;&lt;Item&gt;&lt;ID&gt;1220&lt;/ID&gt;&lt;UID&gt;{44299563-78DB-4C7A-B816-C6C78526168D}&lt;/UID&gt;&lt;Title&gt;桥梁概念设计&lt;/Title&gt;&lt;Template&gt;Book&lt;/Template&gt;&lt;Star&gt;0&lt;/Star&gt;&lt;Tag&gt;5&lt;/Tag&gt;&lt;Author&gt;项海帆等&lt;/Author&gt;&lt;Year&gt;2011&lt;/Year&gt;&lt;Details&gt;&lt;_accessed&gt;59118998&lt;/_accessed&gt;&lt;_created&gt;59093005&lt;/_created&gt;&lt;_modified&gt;59108700&lt;/_modified&gt;&lt;_publisher&gt;人民交通出版社&lt;/_publisher&gt;&lt;/Details&gt;&lt;Extra&gt;&lt;DBUID&gt;{C833C268-2DD2-4BFD-9E86-C36B63EFE0FA}&lt;/DBUID&gt;&lt;/Extra&gt;&lt;/Item&gt;&lt;/References&gt;&lt;/Group&gt;&lt;/Citation&gt;_x000a_"/>
    <w:docVar w:name="NE.Ref{81FB80EA-A9E5-4298-9F2E-CFF791CA9782}" w:val=" ADDIN NE.Ref.{81FB80EA-A9E5-4298-9F2E-CFF791CA9782}&lt;Citation&gt;&lt;Group&gt;&lt;References&gt;&lt;Item&gt;&lt;ID&gt;1246&lt;/ID&gt;&lt;UID&gt;{6AEE728E-A188-4CD2-B959-9F08ECB079D7}&lt;/UID&gt;&lt;Title&gt;欧洲规范4 钢-混凝土组合梁设计方法（2）──组合梁的受力性能和计算理论&lt;/Title&gt;&lt;Template&gt;Journal Article&lt;/Template&gt;&lt;Star&gt;1&lt;/Star&gt;&lt;Tag&gt;5&lt;/Tag&gt;&lt;Author&gt;胡夏闵&lt;/Author&gt;&lt;Year&gt;1995&lt;/Year&gt;&lt;Details&gt;&lt;_accessed&gt;59128790&lt;/_accessed&gt;&lt;_created&gt;59128750&lt;/_created&gt;&lt;_issue&gt;10&lt;/_issue&gt;&lt;_journal&gt;工业建筑&lt;/_journal&gt;&lt;_modified&gt;59128790&lt;/_modified&gt;&lt;_tertiary_title&gt;Industrial Construction&lt;/_tertiary_title&gt;&lt;_translated_author&gt;Xiamin, Hu&lt;/_translated_author&gt;&lt;_translated_title&gt;DESIGN METHOD OF EUROCODE 4 FOR STEEL-CONCRETE COMPOSITE BEAMS(2)-LOAD CARRING BEHAVIOUR AND CALCULATING THEORY OF COMPOSITE BEAMS&lt;/_translated_title&gt;&lt;_volume&gt;25&lt;/_volume&gt;&lt;/Details&gt;&lt;Extra&gt;&lt;DBUID&gt;{C833C268-2DD2-4BFD-9E86-C36B63EFE0FA}&lt;/DBUID&gt;&lt;/Extra&gt;&lt;/Item&gt;&lt;/References&gt;&lt;/Group&gt;&lt;Group&gt;&lt;References&gt;&lt;Item&gt;&lt;ID&gt;1236&lt;/ID&gt;&lt;UID&gt;{668FD882-381A-436E-9F72-7DB4F9F8AFF2}&lt;/UID&gt;&lt;Title&gt;Eurocode 4 Design of Composite Steel and Concrete Structures-Part2: General Rules and Rules for Bridges&lt;/Title&gt;&lt;Template&gt;Standard&lt;/Template&gt;&lt;Star&gt;0&lt;/Star&gt;&lt;Tag&gt;4&lt;/Tag&gt;&lt;Author/&gt;&lt;Year&gt;2005&lt;/Year&gt;&lt;Details&gt;&lt;_accessed&gt;59129088&lt;/_accessed&gt;&lt;_created&gt;59101286&lt;/_created&gt;&lt;_modified&gt;59128929&lt;/_modified&gt;&lt;/Details&gt;&lt;Extra&gt;&lt;DBUID&gt;{C833C268-2DD2-4BFD-9E86-C36B63EFE0FA}&lt;/DBUID&gt;&lt;/Extra&gt;&lt;/Item&gt;&lt;/References&gt;&lt;/Group&gt;&lt;/Citation&gt;_x000a_"/>
    <w:docVar w:name="NE.Ref{8235A627-FA13-4766-9B3B-25612ABD40EF}" w:val=" ADDIN NE.Ref.{8235A627-FA13-4766-9B3B-25612ABD40EF}&lt;Citation&gt;&lt;Group&gt;&lt;References&gt;&lt;Item&gt;&lt;ID&gt;1217&lt;/ID&gt;&lt;UID&gt;{B0CAFAE3-BCA8-452F-B81F-E3195AFD282C}&lt;/UID&gt;&lt;Title&gt;静风荷载引起的超大跨度桥梁关键问题研究&lt;/Title&gt;&lt;Template&gt;Conference Paper&lt;/Template&gt;&lt;Star&gt;1&lt;/Star&gt;&lt;Tag&gt;5&lt;/Tag&gt;&lt;Author&gt;肖汝诚; 贾丽君; 程进; 宋馨; 孙斌; 项海帆&lt;/Author&gt;&lt;Year&gt;2000&lt;/Year&gt;&lt;Details&gt;&lt;_accessed&gt;59203962&lt;/_accessed&gt;&lt;_created&gt;59091689&lt;/_created&gt;&lt;_date&gt;2000-01-01&lt;/_date&gt;&lt;_db_provider&gt;北京万方数据股份有限公司&lt;/_db_provider&gt;&lt;_db_updated&gt;Wanfang - Conference&lt;/_db_updated&gt;&lt;_keywords&gt;超大跨径桥梁; 静风荷载; 非线性; 结构力学&lt;/_keywords&gt;&lt;_language&gt;chi&lt;/_language&gt;&lt;_modified&gt;59091689&lt;/_modified&gt;&lt;_place_published&gt;南京&lt;/_place_published&gt;&lt;_secondary_title&gt;中国土木工程学会桥梁及结构工程学会第十四届年会&lt;/_secondary_title&gt;&lt;_tertiary_author&gt;中国土木工程学会&lt;/_tertiary_author&gt;&lt;_tertiary_title&gt;中国土木工程学会桥梁及结构工程学会第十四届年会论文集&lt;/_tertiary_title&gt;&lt;_url&gt;http://d.wanfangdata.com.cn/Conference_31182.aspx _x000a_http://f.g.wanfangdata.com.cn/Fulltext.ashx?fileId=Conference_31182&amp;amp;type=download&amp;amp;transaction=%7b%22ExtraData%22%3a%5b%5d%2c%22Transaction%22%3a%7b%22DateTime%22%3a%22%5c%2fDate(1336483860314%2b0800)%5c%2f%22%2c%22Id%22%3a%22922081d8-7cd0-41fd-bc15-a04b016295d0%22%2c%22ProductDetail%22%3a%22Conference_31182%22%2c%22SessionId%22%3a%22e60aa227-5085-4abf-8407-e774905809bc%22%2c%22Signature%22%3a%22J8SZ01yDnL7q0dQcXUeokUOw8gVOJtX1iT8jSJ%5c%2fQpuKgwfS4PDFTBSCyQkITKXh3%22%2c%22TransferIn%22%3a%7b%22AccountType%22%3a%22Income%22%2c%22Key%22%3a%22ConferenceFulltext%22%7d%2c%22TransferOut%22%3a%7b%22AccountType%22%3a%22GTimeLimit%22%2c%22Key%22%3a%22tjdxtsg%22%7d%2c%22Turnover%22%3a10.00000%2c%22User%22%3anull%7d%2c%22TransferOutAccountsStatus%22%3a%5b%5d%7d 全文链接_x000a_&lt;/_url&gt;&lt;/Details&gt;&lt;Extra&gt;&lt;DBUID&gt;{C833C268-2DD2-4BFD-9E86-C36B63EFE0FA}&lt;/DBUID&gt;&lt;/Extra&gt;&lt;/Item&gt;&lt;/References&gt;&lt;/Group&gt;&lt;/Citation&gt;_x000a_"/>
    <w:docVar w:name="NE.Ref{82D56C8F-685D-437D-A77A-7040B8A2E5A3}" w:val=" ADDIN NE.Ref.{82D56C8F-685D-437D-A77A-7040B8A2E5A3}&lt;Citation&gt;&lt;Group&gt;&lt;References&gt;&lt;Item&gt;&lt;ID&gt;1312&lt;/ID&gt;&lt;UID&gt;{53E9F9A2-1679-4EC6-9FFA-2316CBB30164}&lt;/UID&gt;&lt;Title&gt;Computer Aided Design of Prestressed Concrete and Composite Bridges using Novel TDV Software&lt;/Title&gt;&lt;Template&gt;Conference Paper&lt;/Template&gt;&lt;Star&gt;1&lt;/Star&gt;&lt;Tag&gt;5&lt;/Tag&gt;&lt;Author&gt;Stampler, Johann; Bokan, Heinz; Janjic, Dorian; Heiden, Marko&lt;/Author&gt;&lt;Year&gt;2006&lt;/Year&gt;&lt;Details&gt;&lt;_accessed&gt;59183791&lt;/_accessed&gt;&lt;_created&gt;59182354&lt;/_created&gt;&lt;_modified&gt;59183792&lt;/_modified&gt;&lt;_secondary_title&gt;AUSTROADS BRIDGE CONFERENCE&lt;/_secondary_title&gt;&lt;_place_published&gt;PERTH&lt;/_place_published&gt;&lt;/Details&gt;&lt;Extra&gt;&lt;DBUID&gt;{C833C268-2DD2-4BFD-9E86-C36B63EFE0FA}&lt;/DBUID&gt;&lt;/Extra&gt;&lt;/Item&gt;&lt;/References&gt;&lt;/Group&gt;&lt;/Citation&gt;_x000a_"/>
    <w:docVar w:name="NE.Ref{832876E4-4E49-42BF-9EF8-0FD3B84205E9}" w:val=" ADDIN NE.Ref.{832876E4-4E49-42BF-9EF8-0FD3B84205E9}&lt;Citation&gt;&lt;Group&gt;&lt;References&gt;&lt;Item&gt;&lt;ID&gt;1300&lt;/ID&gt;&lt;UID&gt;{12378CC7-73A5-45D6-8AD4-7F8B4AED80B3}&lt;/UID&gt;&lt;Title&gt;组合梁斜拉桥桥面有效宽度分析&lt;/Title&gt;&lt;Template&gt;Journal Article&lt;/Template&gt;&lt;Star&gt;1&lt;/Star&gt;&lt;Tag&gt;5&lt;/Tag&gt;&lt;Author&gt;聂建国; 李法雄; 樊健生&lt;/Author&gt;&lt;Year&gt;2007&lt;/Year&gt;&lt;Details&gt;&lt;_accessed&gt;59174568&lt;/_accessed&gt;&lt;_created&gt;59174562&lt;/_created&gt;&lt;_issue&gt;增刊2&lt;/_issue&gt;&lt;_journal&gt;哈尔滨工业大学学报&lt;/_journal&gt;&lt;_modified&gt;59174566&lt;/_modified&gt;&lt;_pages&gt;718-724&lt;/_pages&gt;&lt;_volume&gt;39&lt;/_volume&gt;&lt;/Details&gt;&lt;Extra&gt;&lt;DBUID&gt;{C833C268-2DD2-4BFD-9E86-C36B63EFE0FA}&lt;/DBUID&gt;&lt;/Extra&gt;&lt;/Item&gt;&lt;/References&gt;&lt;/Group&gt;&lt;/Citation&gt;_x000a_"/>
    <w:docVar w:name="NE.Ref{83975D57-1717-46AF-A1B5-65483EFE3B56}" w:val=" ADDIN NE.Ref.{83975D57-1717-46AF-A1B5-65483EFE3B56}&lt;Citation&gt;&lt;Group&gt;&lt;References&gt;&lt;Item&gt;&lt;ID&gt;1134&lt;/ID&gt;&lt;UID&gt;{4F81A546-E8C5-4631-91BE-EE2148456758}&lt;/UID&gt;&lt;Title&gt;Analysis of target configurations under dead loads for cable-supported bridges&lt;/Title&gt;&lt;Template&gt;Journal Article&lt;/Template&gt;&lt;Star&gt;1&lt;/Star&gt;&lt;Tag&gt;5&lt;/Tag&gt;&lt;Author&gt;Kim, Ki-Seok; Lee, Hae Sung&lt;/Author&gt;&lt;Year&gt;2001&lt;/Year&gt;&lt;Details&gt;&lt;_accessed&gt;59146462&lt;/_accessed&gt;&lt;_alternate_title&gt;Computers &amp;amp;amp; Structures&lt;/_alternate_title&gt;&lt;_created&gt;59066503&lt;/_created&gt;&lt;_date_display&gt;2001/11//&lt;/_date_display&gt;&lt;_db_updated&gt;ScienceDirect&lt;/_db_updated&gt;&lt;_isbn&gt;0045-7949&lt;/_isbn&gt;&lt;_issue&gt;29–30&lt;/_issue&gt;&lt;_journal&gt;Computers &amp;amp;amp; Structures&lt;/_journal&gt;&lt;_keywords&gt;Target configuration under dead loads; Cable-supported structures; Elastic catenary cable; Newton–Raphson method; Suspension bridge; Cable-stayed bridge&lt;/_keywords&gt;&lt;_modified&gt;59066505&lt;/_modified&gt;&lt;_pages&gt;2681-2692&lt;/_pages&gt;&lt;_url&gt;http://www.sciencedirect.com/science/article/pii/S0045794901001201&lt;/_url&gt;&lt;_volume&gt;79&lt;/_volume&gt;&lt;/Details&gt;&lt;Extra&gt;&lt;DBUID&gt;{C833C268-2DD2-4BFD-9E86-C36B63EFE0FA}&lt;/DBUID&gt;&lt;/Extra&gt;&lt;/Item&gt;&lt;/References&gt;&lt;/Group&gt;&lt;/Citation&gt;_x000a_"/>
    <w:docVar w:name="NE.Ref{83DEA138-56F8-489D-9129-E27304675C30}" w:val=" ADDIN NE.Ref.{83DEA138-56F8-489D-9129-E27304675C30}&lt;Citation&gt;&lt;Group&gt;&lt;References&gt;&lt;Item&gt;&lt;ID&gt;1246&lt;/ID&gt;&lt;UID&gt;{6AEE728E-A188-4CD2-B959-9F08ECB079D7}&lt;/UID&gt;&lt;Title&gt;欧洲规范4 钢-混凝土组合梁设计方法（2）──组合梁的受力性能和计算理论&lt;/Title&gt;&lt;Template&gt;Journal Article&lt;/Template&gt;&lt;Star&gt;1&lt;/Star&gt;&lt;Tag&gt;5&lt;/Tag&gt;&lt;Author&gt;胡夏闵&lt;/Author&gt;&lt;Year&gt;1995&lt;/Year&gt;&lt;Details&gt;&lt;_accessed&gt;59128790&lt;/_accessed&gt;&lt;_created&gt;59128750&lt;/_created&gt;&lt;_issue&gt;10&lt;/_issue&gt;&lt;_journal&gt;工业建筑&lt;/_journal&gt;&lt;_modified&gt;59128790&lt;/_modified&gt;&lt;_tertiary_title&gt;Industrial Construction&lt;/_tertiary_title&gt;&lt;_translated_author&gt;Xiamin, Hu&lt;/_translated_author&gt;&lt;_translated_title&gt;DESIGN METHOD OF EUROCODE 4 FOR STEEL-CONCRETE COMPOSITE BEAMS(2)-LOAD CARRING BEHAVIOUR AND CALCULATING THEORY OF COMPOSITE BEAMS&lt;/_translated_title&gt;&lt;_volume&gt;25&lt;/_volume&gt;&lt;/Details&gt;&lt;Extra&gt;&lt;DBUID&gt;{C833C268-2DD2-4BFD-9E86-C36B63EFE0FA}&lt;/DBUID&gt;&lt;/Extra&gt;&lt;/Item&gt;&lt;/References&gt;&lt;/Group&gt;&lt;/Citation&gt;_x000a_"/>
    <w:docVar w:name="NE.Ref{83DFE07C-7D11-4791-A1DC-334C08B6C91E}" w:val=" ADDIN NE.Ref.{83DFE07C-7D11-4791-A1DC-334C08B6C91E}&lt;Citation&gt;&lt;Group&gt;&lt;References&gt;&lt;Item&gt;&lt;ID&gt;1157&lt;/ID&gt;&lt;UID&gt;{4D9C709B-5A89-43BC-B670-DB4A646435D7}&lt;/UID&gt;&lt;Title&gt;Nonlinear analysis of composite steel–concrete cable-stayed bridges&lt;/Title&gt;&lt;Template&gt;Journal Article&lt;/Template&gt;&lt;Star&gt;1&lt;/Star&gt;&lt;Tag&gt;5&lt;/Tag&gt;&lt;Author&gt;Oliveira Pedro, José J; Reis, António J&lt;/Author&gt;&lt;Year&gt;2010&lt;/Year&gt;&lt;Details&gt;&lt;_accessed&gt;59280103&lt;/_accessed&gt;&lt;_alternate_title&gt;Engineering Structures&lt;/_alternate_title&gt;&lt;_created&gt;59066503&lt;/_created&gt;&lt;_date_display&gt;2010/9//&lt;/_date_display&gt;&lt;_db_updated&gt;ScienceDirect&lt;/_db_updated&gt;&lt;_isbn&gt;0141-0296&lt;/_isbn&gt;&lt;_issue&gt;9&lt;/_issue&gt;&lt;_journal&gt;Engineering Structures&lt;/_journal&gt;&lt;_keywords&gt;Cable-stayed bridge; Composite steel–concrete deck; Nonlinear analysis; Time dependent effects; Flexible connection&lt;/_keywords&gt;&lt;_modified&gt;59066511&lt;/_modified&gt;&lt;_pages&gt;2702-2716&lt;/_pages&gt;&lt;_url&gt;http://www.sciencedirect.com/science/article/pii/S0141029610001859&lt;/_url&gt;&lt;_volume&gt;32&lt;/_volume&gt;&lt;/Details&gt;&lt;Extra&gt;&lt;DBUID&gt;{C833C268-2DD2-4BFD-9E86-C36B63EFE0FA}&lt;/DBUID&gt;&lt;/Extra&gt;&lt;/Item&gt;&lt;/References&gt;&lt;/Group&gt;&lt;/Citation&gt;_x000a_"/>
    <w:docVar w:name="NE.Ref{845903B8-E6E4-46D3-A4A8-552FDB7372B1}" w:val=" ADDIN NE.Ref.{845903B8-E6E4-46D3-A4A8-552FDB7372B1}&lt;Citation&gt;&lt;Group&gt;&lt;References&gt;&lt;Item&gt;&lt;ID&gt;1429&lt;/ID&gt;&lt;UID&gt;{0984F43D-4D31-4A28-80C7-BA1C20875FAC}&lt;/UID&gt;&lt;Title&gt;Behaviour of Very Long Cable-stayed Bridges During Erection&lt;/Title&gt;&lt;Template&gt;Conference Paper&lt;/Template&gt;&lt;Star&gt;0&lt;/Star&gt;&lt;Tag&gt;5&lt;/Tag&gt;&lt;Author&gt;Morgenthal, Guido; Yamasaki, Yasutsugu&lt;/Author&gt;&lt;Year&gt;2010&lt;/Year&gt;&lt;Details&gt;&lt;_accessed&gt;59361727&lt;/_accessed&gt;&lt;_created&gt;59319521&lt;/_created&gt;&lt;_modified&gt;59361728&lt;/_modified&gt;&lt;_tertiary_title&gt;Proceedings of the Institution of Civil Engineers Bridge Engineering 163&lt;/_tertiary_title&gt;&lt;/Details&gt;&lt;Extra&gt;&lt;DBUID&gt;{C833C268-2DD2-4BFD-9E86-C36B63EFE0FA}&lt;/DBUID&gt;&lt;/Extra&gt;&lt;/Item&gt;&lt;/References&gt;&lt;/Group&gt;&lt;/Citation&gt;_x000a_"/>
    <w:docVar w:name="NE.Ref{84F063F7-A41F-4DFA-AD2B-F7078F79C928}" w:val=" ADDIN NE.Ref.{84F063F7-A41F-4DFA-AD2B-F7078F79C928}&lt;Citation&gt;&lt;Group&gt;&lt;References&gt;&lt;Item&gt;&lt;ID&gt;225&lt;/ID&gt;&lt;UID&gt;{512EB6F7-7D84-4DB9-8A82-CCFA9588D078}&lt;/UID&gt;&lt;Title&gt;青洲闽江大桥正桥结合梁斜拉桥设计&lt;/Title&gt;&lt;Template&gt;Journal Article&lt;/Template&gt;&lt;Star&gt;1&lt;/Star&gt;&lt;Tag&gt;0&lt;/Tag&gt;&lt;Author&gt;高宗余; 张强; 等&lt;/Author&gt;&lt;Year&gt;2001&lt;/Year&gt;&lt;Details&gt;&lt;_accessed&gt;58846196&lt;/_accessed&gt;&lt;_author_adr&gt;大桥局设计院，武汉430050&lt;/_author_adr&gt;&lt;_created&gt;58464511&lt;/_created&gt;&lt;_db_provider&gt;重庆维普&lt;/_db_provider&gt;&lt;_db_updated&gt;CQ_VIP&lt;/_db_updated&gt;&lt;_isbn&gt;1000-4750&lt;/_isbn&gt;&lt;_issue&gt;A01&lt;/_issue&gt;&lt;_journal&gt;工程力学&lt;/_journal&gt;&lt;_keywords&gt;福州; 闽江大桥; 结合梁; 斜拉桥; 设计; 计算&lt;/_keywords&gt;&lt;_language&gt;Chinese&lt;/_language&gt;&lt;_modified&gt;58465213&lt;/_modified&gt;&lt;_pages&gt;862-870&lt;/_pages&gt;&lt;_url&gt;http://www.cqvip.com/qk/95324X/2001A01/5595175.html&lt;/_url&gt;&lt;/Details&gt;&lt;Extra&gt;&lt;DBUID&gt;{C833C268-2DD2-4BFD-9E86-C36B63EFE0FA}&lt;/DBUID&gt;&lt;/Extra&gt;&lt;/Item&gt;&lt;/References&gt;&lt;/Group&gt;&lt;/Citation&gt;_x000a_"/>
    <w:docVar w:name="NE.Ref{850F1895-F857-4B8A-8041-2CBC70400C46}" w:val=" ADDIN NE.Ref.{850F1895-F857-4B8A-8041-2CBC70400C46}&lt;Citation&gt;&lt;Group&gt;&lt;References&gt;&lt;Item&gt;&lt;ID&gt;2506&lt;/ID&gt;&lt;UID&gt;{BEE28B29-7A29-4E0E-98A1-973B59BD4B3A}&lt;/UID&gt;&lt;Title&gt;低表面处理涂料的应用与发展&lt;/Title&gt;&lt;Template&gt;Journal Article&lt;/Template&gt;&lt;Star&gt;0&lt;/Star&gt;&lt;Tag&gt;0&lt;/Tag&gt;&lt;Author&gt;李敏风&lt;/Author&gt;&lt;Year&gt;2011&lt;/Year&gt;&lt;Details&gt;&lt;_accessed&gt;61622874&lt;/_accessed&gt;&lt;_author_aff&gt;中国钢结构协会防火防腐分会;&lt;/_author_aff&gt;&lt;_created&gt;61540844&lt;/_created&gt;&lt;_date&gt;58507200&lt;/_date&gt;&lt;_db_provider&gt;CNKI: 期刊&lt;/_db_provider&gt;&lt;_db_updated&gt;CNKI - Reference&lt;/_db_updated&gt;&lt;_issue&gt;03&lt;/_issue&gt;&lt;_journal&gt;上海涂料&lt;/_journal&gt;&lt;_keywords&gt;低表面处理涂料;环保性能;应用与发展&lt;/_keywords&gt;&lt;_language&gt;Chinese&lt;/_language&gt;&lt;_modified&gt;61542146&lt;/_modified&gt;&lt;_pages&gt;33-35&lt;/_pages&gt;&lt;_url&gt;http://www.cnki.net/KCMS/detail/detail.aspx?FileName=SHTL201103012&amp;amp;DbName=CJFQ2011&lt;/_url&gt;&lt;_translated_author&gt;Li, Minfeng&lt;/_translated_author&gt;&lt;/Details&gt;&lt;Extra&gt;&lt;DBUID&gt;{25139A1D-CF45-40E3-9EDD-33E25C1C489A}&lt;/DBUID&gt;&lt;/Extra&gt;&lt;/Item&gt;&lt;/References&gt;&lt;/Group&gt;&lt;/Citation&gt;_x000a_"/>
    <w:docVar w:name="NE.Ref{86223E8C-DD0F-4037-AE1D-A47343C637BB}" w:val=" ADDIN NE.Ref.{86223E8C-DD0F-4037-AE1D-A47343C637BB}&lt;Citation&gt;&lt;Group&gt;&lt;References&gt;&lt;Item&gt;&lt;ID&gt;1151&lt;/ID&gt;&lt;UID&gt;{DE6F09B1-07FA-44FF-957A-4FB94EF6BDEB}&lt;/UID&gt;&lt;Title&gt;Improved system buckling analysis of effective lengths of girder and tower members in steel cable-stayed bridges&lt;/Title&gt;&lt;Template&gt;Journal Article&lt;/Template&gt;&lt;Star&gt;1&lt;/Star&gt;&lt;Tag&gt;5&lt;/Tag&gt;&lt;Author&gt;Yoo, Hoon; Choi, Dong-Ho&lt;/Author&gt;&lt;Year&gt;2009&lt;/Year&gt;&lt;Details&gt;&lt;_accessed&gt;59066516&lt;/_accessed&gt;&lt;_alternate_title&gt;Computers &amp;amp;amp; Structures&lt;/_alternate_title&gt;&lt;_created&gt;59066503&lt;/_created&gt;&lt;_date_display&gt;2009/7//&lt;/_date_display&gt;&lt;_db_updated&gt;ScienceDirect&lt;/_db_updated&gt;&lt;_isbn&gt;0045-7949&lt;/_isbn&gt;&lt;_issue&gt;13–14&lt;/_issue&gt;&lt;_journal&gt;Computers &amp;amp;amp; Structures&lt;/_journal&gt;&lt;_keywords&gt;Effective length; Cable-stayed bridge; System buckling analysis; Fictitious axial force&lt;/_keywords&gt;&lt;_modified&gt;59066509&lt;/_modified&gt;&lt;_pages&gt;847-860&lt;/_pages&gt;&lt;_url&gt;http://www.sciencedirect.com/science/article/pii/S0045794909000303&lt;/_url&gt;&lt;_volume&gt;87&lt;/_volume&gt;&lt;/Details&gt;&lt;Extra&gt;&lt;DBUID&gt;{C833C268-2DD2-4BFD-9E86-C36B63EFE0FA}&lt;/DBUID&gt;&lt;/Extra&gt;&lt;/Item&gt;&lt;/References&gt;&lt;/Group&gt;&lt;/Citation&gt;_x000a_"/>
    <w:docVar w:name="NE.Ref{8651AEE5-00CE-49B0-993B-DF5ED83CADC2}" w:val=" ADDIN NE.Ref.{8651AEE5-00CE-49B0-993B-DF5ED83CADC2}&lt;Citation&gt;&lt;Group&gt;&lt;References&gt;&lt;Item&gt;&lt;ID&gt;1311&lt;/ID&gt;&lt;UID&gt;{402E5EDA-54AF-493C-BFF4-3337215DF535}&lt;/UID&gt;&lt;Title&gt;Experience from the Global Analysis of  Stonecutter&amp;apos;s Bridge and Sutong Bridge&lt;/Title&gt;&lt;Template&gt;Conference Paper&lt;/Template&gt;&lt;Star&gt;0&lt;/Star&gt;&lt;Tag&gt;5&lt;/Tag&gt;&lt;Author&gt;Janjic, Dorian&lt;/Author&gt;&lt;Year&gt;2005&lt;/Year&gt;&lt;Details&gt;&lt;_accessed&gt;59187862&lt;/_accessed&gt;&lt;_created&gt;59182354&lt;/_created&gt;&lt;_modified&gt;59187862&lt;/_modified&gt;&lt;_place_published&gt;Lisbon&lt;/_place_published&gt;&lt;_tertiary_title&gt;IABSE Symposium Report&lt;/_tertiary_title&gt;&lt;/Details&gt;&lt;Extra&gt;&lt;DBUID&gt;{C833C268-2DD2-4BFD-9E86-C36B63EFE0FA}&lt;/DBUID&gt;&lt;/Extra&gt;&lt;/Item&gt;&lt;/References&gt;&lt;/Group&gt;&lt;Group&gt;&lt;References&gt;&lt;Item&gt;&lt;ID&gt;1308&lt;/ID&gt;&lt;UID&gt;{88E40293-FB70-4E7C-973A-ACF0FA8C71F1}&lt;/UID&gt;&lt;Title&gt;RM分析用户指南&lt;/Title&gt;&lt;Template&gt;Book&lt;/Template&gt;&lt;Star&gt;0&lt;/Star&gt;&lt;Tag&gt;5&lt;/Tag&gt;&lt;Author&gt;Bentley Systems, Incorporated&lt;/Author&gt;&lt;Year&gt;2009&lt;/Year&gt;&lt;Details&gt;&lt;_accessed&gt;59186134&lt;/_accessed&gt;&lt;_created&gt;59179092&lt;/_created&gt;&lt;_modified&gt;59179101&lt;/_modified&gt;&lt;/Details&gt;&lt;Extra&gt;&lt;DBUID&gt;{C833C268-2DD2-4BFD-9E86-C36B63EFE0FA}&lt;/DBUID&gt;&lt;/Extra&gt;&lt;/Item&gt;&lt;/References&gt;&lt;/Group&gt;&lt;/Citation&gt;_x000a_"/>
    <w:docVar w:name="NE.Ref{896A5AD5-E258-4D66-83B9-2C1A4C116ED4}" w:val=" ADDIN NE.Ref.{896A5AD5-E258-4D66-83B9-2C1A4C116ED4}&lt;Citation&gt;&lt;Group&gt;&lt;References&gt;&lt;Item&gt;&lt;ID&gt;1198&lt;/ID&gt;&lt;UID&gt;{76399C49-388D-4716-AB9B-7980BD868838}&lt;/UID&gt;&lt;Title&gt;斜拉桥的极限跨径(连载一)&lt;/Title&gt;&lt;Template&gt;Journal Article&lt;/Template&gt;&lt;Star&gt;1&lt;/Star&gt;&lt;Tag&gt;5&lt;/Tag&gt;&lt;Author&gt;王伯惠&lt;/Author&gt;&lt;Year&gt;2002&lt;/Year&gt;&lt;Details&gt;&lt;_accessed&gt;59098342&lt;/_accessed&gt;&lt;_author_adr&gt;虎门技术咨询公司,广州市,510080&lt;/_author_adr&gt;&lt;_author_aff&gt;虎门技术咨询公司,广州市,510080&lt;/_author_aff&gt;&lt;_created&gt;59088917&lt;/_created&gt;&lt;_db_provider&gt;北京万方数据股份有限公司&lt;/_db_provider&gt;&lt;_db_updated&gt;Wanfang - Journal&lt;/_db_updated&gt;&lt;_isbn&gt;0451-0712&lt;/_isbn&gt;&lt;_issue&gt;3&lt;/_issue&gt;&lt;_journal&gt;公路&lt;/_journal&gt;&lt;_keywords&gt;斜拉桥; 极限跨径&lt;/_keywords&gt;&lt;_language&gt;chi&lt;/_language&gt;&lt;_modified&gt;59088917&lt;/_modified&gt;&lt;_pages&gt;46-53&lt;/_pages&gt;&lt;_tertiary_title&gt;HIGHWAY&lt;/_tertiary_title&gt;&lt;_url&gt;http://d.wanfangdata.com.cn/Periodical_gl200203013.aspx _x000a_http://f.g.wanfangdata.com.cn/Fulltext.ashx?fileId=Periodical_gl200203013&amp;amp;type=download&amp;amp;transaction=%7b%22ExtraData%22%3a%5b%5d%2c%22Transaction%22%3a%7b%22DateTime%22%3a%22%5c%2fDate(1336481824408%2b0800)%5c%2f%22%2c%22Id%22%3a%22804ec9b0-8fa9-4911-8233-a04b015943fc%22%2c%22ProductDetail%22%3a%22Periodical_gl200203013%22%2c%22SessionId%22%3a%22e60aa227-5085-4abf-8407-e774905809bc%22%2c%22Signature%22%3a%22KdReZa365SsnuhTqaHNlxi4%5c%2fhMGEniYnt4ptiLNMS7yS6Otjl9UI%2b39LPLW%5c%2f1xND%22%2c%22TransferIn%22%3a%7b%22AccountType%22%3a%22Income%22%2c%22Key%22%3a%22PeriodicalFulltext%22%7d%2c%22TransferOut%22%3a%7b%22AccountType%22%3a%22GTimeLimit%22%2c%22Key%22%3a%22tjdxtsg%22%7d%2c%22Turnover%22%3a3.00000%2c%22User%22%3anull%7d%2c%22TransferOutAccountsStatus%22%3a%5b%5d%7d 全文链接_x000a_&lt;/_url&gt;&lt;/Details&gt;&lt;Extra&gt;&lt;DBUID&gt;{C833C268-2DD2-4BFD-9E86-C36B63EFE0FA}&lt;/DBUID&gt;&lt;/Extra&gt;&lt;/Item&gt;&lt;/References&gt;&lt;/Group&gt;&lt;Group&gt;&lt;References&gt;&lt;Item&gt;&lt;ID&gt;1197&lt;/ID&gt;&lt;UID&gt;{C7DDB63C-2FC9-4AC9-94F6-73F7BBD2DF41}&lt;/UID&gt;&lt;Title&gt;斜拉桥的极限跨径(连载二)&lt;/Title&gt;&lt;Template&gt;Journal Article&lt;/Template&gt;&lt;Star&gt;1&lt;/Star&gt;&lt;Tag&gt;5&lt;/Tag&gt;&lt;Author&gt;王伯惠&lt;/Author&gt;&lt;Year&gt;2002&lt;/Year&gt;&lt;Details&gt;&lt;_author_adr&gt;虎门技术咨询公司,广州市,510080&lt;/_author_adr&gt;&lt;_author_aff&gt;虎门技术咨询公司,广州市,510080&lt;/_author_aff&gt;&lt;_created&gt;59088917&lt;/_created&gt;&lt;_db_provider&gt;北京万方数据股份有限公司&lt;/_db_provider&gt;&lt;_db_updated&gt;Wanfang - Journal&lt;/_db_updated&gt;&lt;_isbn&gt;0451-0712&lt;/_isbn&gt;&lt;_issue&gt;4&lt;/_issue&gt;&lt;_journal&gt;公路&lt;/_journal&gt;&lt;_language&gt;chi&lt;/_language&gt;&lt;_modified&gt;59088917&lt;/_modified&gt;&lt;_pages&gt;38-48&lt;/_pages&gt;&lt;_tertiary_title&gt;HIGHWAY&lt;/_tertiary_title&gt;&lt;_translated_title&gt;Extreme Span Length of Cable-Stayed Bridge&lt;/_translated_title&gt;&lt;_url&gt;http://d.wanfangdata.com.cn/Periodical_gl200204011.aspx _x000a_http://dlib.edu.cnki.net 全文链接_x000a_http://f.g.wanfangdata.com.cn/Fulltext.ashx?fileId=Periodical_gl200204011&amp;amp;type=download&amp;amp;transaction=%7b%22ExtraData%22%3a%5b%5d%2c%22Transaction%22%3a%7b%22DateTime%22%3a%22%5c%2fDate(1336481792225%2b0800)%5c%2f%22%2c%22Id%22%3a%22d10e8124-bce4-44ba-99cd-a04b01591e45%22%2c%22ProductDetail%22%3a%22Periodical_gl200204011%22%2c%22SessionId%22%3a%22e60aa227-5085-4abf-8407-e774905809bc%22%2c%22Signature%22%3a%22AacnI2jXrNGzkB6Db8rbzuVfGhOvBz0watbbSta6HqFXih%2bmh8GXFhVDjy0UBrTV%22%2c%22TransferIn%22%3a%7b%22AccountType%22%3a%22Income%22%2c%22Key%22%3a%22PeriodicalFulltext%22%7d%2c%22TransferOut%22%3a%7b%22AccountType%22%3a%22GTimeLimit%22%2c%22Key%22%3a%22tjdxtsg%22%7d%2c%22Turnover%22%3a3.00000%2c%22User%22%3anull%7d%2c%22TransferOutAccountsStatus%22%3a%5b%5d%7d 全文链接_x000a_&lt;/_url&gt;&lt;/Details&gt;&lt;Extra&gt;&lt;DBUID&gt;{C833C268-2DD2-4BFD-9E86-C36B63EFE0FA}&lt;/DBUID&gt;&lt;/Extra&gt;&lt;/Item&gt;&lt;/References&gt;&lt;/Group&gt;&lt;/Citation&gt;_x000a_"/>
    <w:docVar w:name="NE.Ref{8A4BB254-3EED-449D-9407-BEE71D13CA5F}" w:val=" ADDIN NE.Ref.{8A4BB254-3EED-449D-9407-BEE71D13CA5F}&lt;Citation&gt;&lt;Group&gt;&lt;References&gt;&lt;Item&gt;&lt;ID&gt;1232&lt;/ID&gt;&lt;UID&gt;{EDE566AA-2848-4A64-B824-5F8861F11984}&lt;/UID&gt;&lt;Title&gt;斜拉桥&lt;/Title&gt;&lt;Template&gt;Book&lt;/Template&gt;&lt;Star&gt;0&lt;/Star&gt;&lt;Tag&gt;5&lt;/Tag&gt;&lt;Author&gt;林元培&lt;/Author&gt;&lt;Year&gt;2004&lt;/Year&gt;&lt;Details&gt;&lt;_accessed&gt;59099573&lt;/_accessed&gt;&lt;_created&gt;59098685&lt;/_created&gt;&lt;_modified&gt;59098685&lt;/_modified&gt;&lt;_place_published&gt;北京&lt;/_place_published&gt;&lt;_publisher&gt;人民交通出版社&lt;/_publisher&gt;&lt;/Details&gt;&lt;Extra&gt;&lt;DBUID&gt;{C833C268-2DD2-4BFD-9E86-C36B63EFE0FA}&lt;/DBUID&gt;&lt;/Extra&gt;&lt;/Item&gt;&lt;/References&gt;&lt;/Group&gt;&lt;Group&gt;&lt;References&gt;&lt;Item&gt;&lt;ID&gt;1305&lt;/ID&gt;&lt;UID&gt;{7D2FE19B-5AC6-49DA-8C1C-6DBB271FBC48}&lt;/UID&gt;&lt;Title&gt;DESIGN OF A CABLE-STAYED STEEL COMPOSITE BRIDGE&lt;/Title&gt;&lt;Template&gt;Journal Article&lt;/Template&gt;&lt;Star&gt;1&lt;/Star&gt;&lt;Tag&gt;5&lt;/Tag&gt;&lt;Author&gt;Svensson, Holger S; Christopher, Ben G; Saul, Reiner&lt;/Author&gt;&lt;Year&gt;1986&lt;/Year&gt;&lt;Details&gt;&lt;_created&gt;59176696&lt;/_created&gt;&lt;_modified&gt;59176700&lt;/_modified&gt;&lt;_accessed&gt;59176699&lt;/_accessed&gt;&lt;_journal&gt;Journal of Structural Engineering&lt;/_journal&gt;&lt;_issue&gt;112&lt;/_issue&gt;&lt;_pages&gt;489-504&lt;/_pages&gt;&lt;/Details&gt;&lt;Extra&gt;&lt;DBUID&gt;{C833C268-2DD2-4BFD-9E86-C36B63EFE0FA}&lt;/DBUID&gt;&lt;/Extra&gt;&lt;/Item&gt;&lt;/References&gt;&lt;/Group&gt;&lt;/Citation&gt;_x000a_"/>
    <w:docVar w:name="NE.Ref{8B1E3818-DCA2-4F71-B363-1E4BF37351C1}" w:val=" ADDIN NE.Ref.{8B1E3818-DCA2-4F71-B363-1E4BF37351C1}&lt;Citation&gt;&lt;Group&gt;&lt;References&gt;&lt;Item&gt;&lt;ID&gt;1307&lt;/ID&gt;&lt;UID&gt;{B89816AA-FE1F-4507-B678-6CEE1E5D110E}&lt;/UID&gt;&lt;Title&gt;Optimization of Cable Tensioning in Cable-Stayed Bridges&lt;/Title&gt;&lt;Template&gt;Journal Article&lt;/Template&gt;&lt;Star&gt;0&lt;/Star&gt;&lt;Tag&gt;5&lt;/Tag&gt;&lt;Author&gt;Janjic, D; Pircher, M; Pircher, And H&lt;/Author&gt;&lt;Year&gt;2003&lt;/Year&gt;&lt;Details&gt;&lt;_accessed&gt;59229844&lt;/_accessed&gt;&lt;_created&gt;59178182&lt;/_created&gt;&lt;_journal&gt;Journal of Bridge Engineering&lt;/_journal&gt;&lt;_modified&gt;59178185&lt;/_modified&gt;&lt;_pages&gt;131-137&lt;/_pages&gt;&lt;_volume&gt;8&lt;/_volume&gt;&lt;/Details&gt;&lt;Extra&gt;&lt;DBUID&gt;{C833C268-2DD2-4BFD-9E86-C36B63EFE0FA}&lt;/DBUID&gt;&lt;/Extra&gt;&lt;/Item&gt;&lt;/References&gt;&lt;/Group&gt;&lt;/Citation&gt;_x000a_"/>
    <w:docVar w:name="NE.Ref{8BFCD7EF-DBBD-495D-9386-0DDD106251C6}" w:val=" ADDIN NE.Ref.{8BFCD7EF-DBBD-495D-9386-0DDD106251C6}&lt;Citation&gt;&lt;Group&gt;&lt;References&gt;&lt;Item&gt;&lt;ID&gt;1226&lt;/ID&gt;&lt;UID&gt;{60952F44-4104-49E1-8A4B-6FC9BBC31C7A}&lt;/UID&gt;&lt;Title&gt;Erection of Cable-stayed Bridges Having Composite Decks with Precast Concrete Slabs&lt;/Title&gt;&lt;Template&gt;Journal Article&lt;/Template&gt;&lt;Star&gt;1&lt;/Star&gt;&lt;Tag&gt;5&lt;/Tag&gt;&lt;Author&gt;Schlaich, M&lt;/Author&gt;&lt;Year&gt;2001&lt;/Year&gt;&lt;Details&gt;&lt;_accessed&gt;59178183&lt;/_accessed&gt;&lt;_created&gt;59095915&lt;/_created&gt;&lt;_journal&gt;Journal of Bridge Engineering&lt;/_journal&gt;&lt;_modified&gt;59172201&lt;/_modified&gt;&lt;/Details&gt;&lt;Extra&gt;&lt;DBUID&gt;{C833C268-2DD2-4BFD-9E86-C36B63EFE0FA}&lt;/DBUID&gt;&lt;/Extra&gt;&lt;/Item&gt;&lt;/References&gt;&lt;/Group&gt;&lt;/Citation&gt;_x000a_"/>
    <w:docVar w:name="NE.Ref{8D332A9A-D7D2-49CD-95D3-4A127CDD7B5E}" w:val=" ADDIN NE.Ref.{8D332A9A-D7D2-49CD-95D3-4A127CDD7B5E}&lt;Citation&gt;&lt;Group&gt;&lt;References&gt;&lt;Item&gt;&lt;ID&gt;1309&lt;/ID&gt;&lt;UID&gt;{B95B09C2-8759-45F0-B34F-7769117B17BF}&lt;/UID&gt;&lt;Title&gt;Ultimate Behavior of Long-span Ccble-stayed Bridges&lt;/Title&gt;&lt;Template&gt;Journal Article&lt;/Template&gt;&lt;Star&gt;1&lt;/Star&gt;&lt;Tag&gt;5&lt;/Tag&gt;&lt;Author&gt;Ren, Wei-Xin&lt;/Author&gt;&lt;Year&gt;1999&lt;/Year&gt;&lt;Details&gt;&lt;_accessed&gt;59191070&lt;/_accessed&gt;&lt;_created&gt;59179377&lt;/_created&gt;&lt;_journal&gt;Journal of Bridge Engineering&lt;/_journal&gt;&lt;_modified&gt;59179380&lt;/_modified&gt;&lt;_pages&gt;30-37&lt;/_pages&gt;&lt;_volume&gt;4&lt;/_volume&gt;&lt;/Details&gt;&lt;Extra&gt;&lt;DBUID&gt;{C833C268-2DD2-4BFD-9E86-C36B63EFE0FA}&lt;/DBUID&gt;&lt;/Extra&gt;&lt;/Item&gt;&lt;/References&gt;&lt;/Group&gt;&lt;/Citation&gt;_x000a_"/>
    <w:docVar w:name="NE.Ref{8F3B828C-704E-4FF7-B439-CF3E11E688A2}" w:val=" ADDIN NE.Ref.{8F3B828C-704E-4FF7-B439-CF3E11E688A2}&lt;Citation&gt;&lt;Group&gt;&lt;References&gt;&lt;Item&gt;&lt;ID&gt;1203&lt;/ID&gt;&lt;UID&gt;{0E0C81D1-C4C1-401E-BFFC-1B81A06082C0}&lt;/UID&gt;&lt;Title&gt;葡萄牙欧罗巴大桥的概念和结构设计&lt;/Title&gt;&lt;Template&gt;Journal Article&lt;/Template&gt;&lt;Star&gt;1&lt;/Star&gt;&lt;Tag&gt;0&lt;/Tag&gt;&lt;Author&gt;李晓莉; 胡志坚&lt;/Author&gt;&lt;Year&gt;2005&lt;/Year&gt;&lt;Details&gt;&lt;_author_adr&gt;同济大学桥梁工程系,上海,200092&lt;/_author_adr&gt;&lt;_author_aff&gt;同济大学桥梁工程系,上海,200092&lt;/_author_aff&gt;&lt;_created&gt;59090210&lt;/_created&gt;&lt;_db_provider&gt;北京万方数据股份有限公司&lt;/_db_provider&gt;&lt;_db_updated&gt;Wanfang - Journal&lt;/_db_updated&gt;&lt;_isbn&gt;1671-7767&lt;/_isbn&gt;&lt;_issue&gt;4&lt;/_issue&gt;&lt;_journal&gt;世界桥梁&lt;/_journal&gt;&lt;_keywords&gt;斜拉桥; 组合桁架; 斜拉索; 预制节段; 桥梁设计&lt;/_keywords&gt;&lt;_language&gt;chi&lt;/_language&gt;&lt;_modified&gt;59090210&lt;/_modified&gt;&lt;_pages&gt;21-24&lt;/_pages&gt;&lt;_tertiary_title&gt;WORLD BRIDGES&lt;/_tertiary_title&gt;&lt;_url&gt;http://d.wanfangdata.com.cn/Periodical_gwql200504006.aspx _x000a_http://f.g.wanfangdata.com.cn/Fulltext.ashx?fileId=Periodical_gwql200504006&amp;amp;type=download&amp;amp;transaction=%7b%22ExtraData%22%3a%5b%5d%2c%22Transaction%22%3a%7b%22DateTime%22%3a%22%5c%2fDate(1336481911316%2b0800)%5c%2f%22%2c%22Id%22%3a%2260cea3dd-b264-472e-8f7b-a04b0159a9d5%22%2c%22ProductDetail%22%3a%22Periodical_gwql200504006%22%2c%22SessionId%22%3a%22e60aa227-5085-4abf-8407-e774905809bc%22%2c%22Signature%22%3a%22dcegTXT%5c%2feZPyo%2bxnXpNG2c%2b1cwjtqlGOJ1osblHKpK2%2bLFTC4E4LiocOdemA5Xz%2b%22%2c%22TransferIn%22%3a%7b%22AccountType%22%3a%22Income%22%2c%22Key%22%3a%22PeriodicalFulltext%22%7d%2c%22TransferOut%22%3a%7b%22AccountType%22%3a%22GTimeLimit%22%2c%22Key%22%3a%22tjdxtsg%22%7d%2c%22Turnover%22%3a3.00000%2c%22User%22%3anull%7d%2c%22TransferOutAccountsStatus%22%3a%5b%5d%7d 全文链接_x000a_&lt;/_url&gt;&lt;/Details&gt;&lt;Extra&gt;&lt;DBUID&gt;{C833C268-2DD2-4BFD-9E86-C36B63EFE0FA}&lt;/DBUID&gt;&lt;/Extra&gt;&lt;/Item&gt;&lt;/References&gt;&lt;/Group&gt;&lt;/Citation&gt;_x000a_"/>
    <w:docVar w:name="NE.Ref{8FF85CC8-3563-4317-A74F-2ED1A4BD6939}" w:val=" ADDIN NE.Ref.{8FF85CC8-3563-4317-A74F-2ED1A4BD6939}&lt;Citation&gt;&lt;Group&gt;&lt;References&gt;&lt;Item&gt;&lt;ID&gt;1141&lt;/ID&gt;&lt;UID&gt;{5E0EFE05-D3FA-4B50-AAB8-8AAFACF918ED}&lt;/UID&gt;&lt;Title&gt;Design development of steel-concrete composite bridges in France&lt;/Title&gt;&lt;Template&gt;Journal Article&lt;/Template&gt;&lt;Star&gt;1&lt;/Star&gt;&lt;Tag&gt;0&lt;/Tag&gt;&lt;Author&gt;Brozzetti, Jacques&lt;/Author&gt;&lt;Year&gt;2000&lt;/Year&gt;&lt;Details&gt;&lt;_accessed&gt;59066516&lt;/_accessed&gt;&lt;_alternate_title&gt;Journal of Constructional Steel Research&lt;/_alternate_title&gt;&lt;_created&gt;59066503&lt;/_created&gt;&lt;_date_display&gt;2000/7//&lt;/_date_display&gt;&lt;_db_updated&gt;ScienceDirect&lt;/_db_updated&gt;&lt;_isbn&gt;0143-974X&lt;/_isbn&gt;&lt;_issue&gt;1–3&lt;/_issue&gt;&lt;_journal&gt;Journal of Constructional Steel Research&lt;/_journal&gt;&lt;_keywords&gt;Composite bridge; Steel concrete bridge; Bridge design&lt;/_keywords&gt;&lt;_modified&gt;59066506&lt;/_modified&gt;&lt;_pages&gt;229-243&lt;/_pages&gt;&lt;_url&gt;http://www.sciencedirect.com/science/article/pii/S0143974X99000875&lt;/_url&gt;&lt;_volume&gt;55&lt;/_volume&gt;&lt;/Details&gt;&lt;Extra&gt;&lt;DBUID&gt;{C833C268-2DD2-4BFD-9E86-C36B63EFE0FA}&lt;/DBUID&gt;&lt;/Extra&gt;&lt;/Item&gt;&lt;/References&gt;&lt;/Group&gt;&lt;/Citation&gt;_x000a_"/>
    <w:docVar w:name="NE.Ref{9058FCBD-A336-4C74-801D-5E822D8FC1AA}" w:val=" ADDIN NE.Ref.{9058FCBD-A336-4C74-801D-5E822D8FC1AA}&lt;Citation&gt;&lt;Group&gt;&lt;References&gt;&lt;Item&gt;&lt;ID&gt;1157&lt;/ID&gt;&lt;UID&gt;{4D9C709B-5A89-43BC-B670-DB4A646435D7}&lt;/UID&gt;&lt;Title&gt;Nonlinear analysis of composite steel–concrete cable-stayed bridges&lt;/Title&gt;&lt;Template&gt;Journal Article&lt;/Template&gt;&lt;Star&gt;1&lt;/Star&gt;&lt;Tag&gt;5&lt;/Tag&gt;&lt;Author&gt;Oliveira Pedro, José J; Reis, António J&lt;/Author&gt;&lt;Year&gt;2010&lt;/Year&gt;&lt;Details&gt;&lt;_accessed&gt;59280103&lt;/_accessed&gt;&lt;_alternate_title&gt;Engineering Structures&lt;/_alternate_title&gt;&lt;_created&gt;59066503&lt;/_created&gt;&lt;_date_display&gt;2010/9//&lt;/_date_display&gt;&lt;_db_updated&gt;ScienceDirect&lt;/_db_updated&gt;&lt;_isbn&gt;0141-0296&lt;/_isbn&gt;&lt;_issue&gt;9&lt;/_issue&gt;&lt;_journal&gt;Engineering Structures&lt;/_journal&gt;&lt;_keywords&gt;Cable-stayed bridge; Composite steel–concrete deck; Nonlinear analysis; Time dependent effects; Flexible connection&lt;/_keywords&gt;&lt;_modified&gt;59066511&lt;/_modified&gt;&lt;_pages&gt;2702-2716&lt;/_pages&gt;&lt;_url&gt;http://www.sciencedirect.com/science/article/pii/S0141029610001859&lt;/_url&gt;&lt;_volume&gt;32&lt;/_volume&gt;&lt;/Details&gt;&lt;Extra&gt;&lt;DBUID&gt;{C833C268-2DD2-4BFD-9E86-C36B63EFE0FA}&lt;/DBUID&gt;&lt;/Extra&gt;&lt;/Item&gt;&lt;/References&gt;&lt;/Group&gt;&lt;/Citation&gt;_x000a_"/>
    <w:docVar w:name="NE.Ref{9079854F-9903-4015-A28F-FE881F651978}" w:val=" ADDIN NE.Ref.{9079854F-9903-4015-A28F-FE881F651978}&lt;Citation&gt;&lt;Group&gt;&lt;References&gt;&lt;Item&gt;&lt;ID&gt;1340&lt;/ID&gt;&lt;UID&gt;{EB0C4A79-6C8A-4BB1-83FC-DBBCC0A14E4F}&lt;/UID&gt;&lt;Title&gt;The Composite Girder Design of Busan-Geoje Fixed Link Cable Stayed Bridge&lt;/Title&gt;&lt;Template&gt;Journal Article&lt;/Template&gt;&lt;Star&gt;0&lt;/Star&gt;&lt;Tag&gt;5&lt;/Tag&gt;&lt;Author&gt;Joo, Bu Ho; Cho, Kyung Sik; Kim, Chang Hwan; Kim, Je Chun&lt;/Author&gt;&lt;Year&gt;0&lt;/Year&gt;&lt;Details&gt;&lt;_accessed&gt;59226968&lt;/_accessed&gt;&lt;_created&gt;59226963&lt;/_created&gt;&lt;_modified&gt;59226968&lt;/_modified&gt;&lt;/Details&gt;&lt;Extra&gt;&lt;DBUID&gt;{C833C268-2DD2-4BFD-9E86-C36B63EFE0FA}&lt;/DBUID&gt;&lt;/Extra&gt;&lt;/Item&gt;&lt;/References&gt;&lt;/Group&gt;&lt;/Citation&gt;_x000a_"/>
    <w:docVar w:name="NE.Ref{90A2AA94-F5F1-4F5B-9FF7-24B34C792652}" w:val=" ADDIN NE.Ref.{90A2AA94-F5F1-4F5B-9FF7-24B34C792652}&lt;Citation&gt;&lt;Group&gt;&lt;References&gt;&lt;Item&gt;&lt;ID&gt;1246&lt;/ID&gt;&lt;UID&gt;{6AEE728E-A188-4CD2-B959-9F08ECB079D7}&lt;/UID&gt;&lt;Title&gt;欧洲规范4 钢-混凝土组合梁设计方法（2）──组合梁的受力性能和计算理论&lt;/Title&gt;&lt;Template&gt;Journal Article&lt;/Template&gt;&lt;Star&gt;1&lt;/Star&gt;&lt;Tag&gt;5&lt;/Tag&gt;&lt;Author&gt;胡夏闵&lt;/Author&gt;&lt;Year&gt;1995&lt;/Year&gt;&lt;Details&gt;&lt;_accessed&gt;59128790&lt;/_accessed&gt;&lt;_created&gt;59128750&lt;/_created&gt;&lt;_issue&gt;10&lt;/_issue&gt;&lt;_journal&gt;工业建筑&lt;/_journal&gt;&lt;_modified&gt;59128790&lt;/_modified&gt;&lt;_tertiary_title&gt;Industrial Construction&lt;/_tertiary_title&gt;&lt;_translated_author&gt;Xiamin, Hu&lt;/_translated_author&gt;&lt;_translated_title&gt;DESIGN METHOD OF EUROCODE 4 FOR STEEL-CONCRETE COMPOSITE BEAMS(2)-LOAD CARRING BEHAVIOUR AND CALCULATING THEORY OF COMPOSITE BEAMS&lt;/_translated_title&gt;&lt;_volume&gt;25&lt;/_volume&gt;&lt;/Details&gt;&lt;Extra&gt;&lt;DBUID&gt;{C833C268-2DD2-4BFD-9E86-C36B63EFE0FA}&lt;/DBUID&gt;&lt;/Extra&gt;&lt;/Item&gt;&lt;/References&gt;&lt;/Group&gt;&lt;/Citation&gt;_x000a_"/>
    <w:docVar w:name="NE.Ref{91FF873C-898A-4774-90E3-4DBE3110EED4}" w:val=" ADDIN NE.Ref.{91FF873C-898A-4774-90E3-4DBE3110EED4}&lt;Citation&gt;&lt;Group&gt;&lt;References&gt;&lt;Item&gt;&lt;ID&gt;1311&lt;/ID&gt;&lt;UID&gt;{402E5EDA-54AF-493C-BFF4-3337215DF535}&lt;/UID&gt;&lt;Title&gt;Experience from the Global Analysis of  Stonecutter&amp;apos;s Bridge and Sutong Bridge&lt;/Title&gt;&lt;Template&gt;Conference Paper&lt;/Template&gt;&lt;Star&gt;0&lt;/Star&gt;&lt;Tag&gt;5&lt;/Tag&gt;&lt;Author&gt;Janjic, Dorian&lt;/Author&gt;&lt;Year&gt;2005&lt;/Year&gt;&lt;Details&gt;&lt;_accessed&gt;59187862&lt;/_accessed&gt;&lt;_created&gt;59182354&lt;/_created&gt;&lt;_modified&gt;59187862&lt;/_modified&gt;&lt;_place_published&gt;Lisbon&lt;/_place_published&gt;&lt;_tertiary_title&gt;IABSE Symposium Report&lt;/_tertiary_title&gt;&lt;/Details&gt;&lt;Extra&gt;&lt;DBUID&gt;{C833C268-2DD2-4BFD-9E86-C36B63EFE0FA}&lt;/DBUID&gt;&lt;/Extra&gt;&lt;/Item&gt;&lt;/References&gt;&lt;/Group&gt;&lt;Group&gt;&lt;References&gt;&lt;Item&gt;&lt;ID&gt;1009&lt;/ID&gt;&lt;UID&gt;{8BF4237F-34E7-4F56-8FCD-CD203D764A5A}&lt;/UID&gt;&lt;Title&gt;苏通大桥主航道桥总体静力分析&lt;/Title&gt;&lt;Template&gt;Journal Article&lt;/Template&gt;&lt;Star&gt;0&lt;/Star&gt;&lt;Tag&gt;5&lt;/Tag&gt;&lt;Author&gt;苗家武; 裴岷山; 肖汝诚; 张喜刚&lt;/Author&gt;&lt;Year&gt;2006&lt;/Year&gt;&lt;Details&gt;&lt;_author_adr&gt;同济大学,桥梁工程系,上海,200092; 中交公路规划设计院,北京,100010&lt;/_author_adr&gt;&lt;_author_aff&gt;同济大学,桥梁工程系,上海,200092; 中交公路规划设计院,北京,100010&lt;/_author_aff&gt;&lt;_created&gt;59057863&lt;/_created&gt;&lt;_db_provider&gt;北京万方数据股份有限公司&lt;/_db_provider&gt;&lt;_db_updated&gt;Wanfang - Journal&lt;/_db_updated&gt;&lt;_isbn&gt;1002-0268&lt;/_isbn&gt;&lt;_issue&gt;2&lt;/_issue&gt;&lt;_journal&gt;公路交通科技&lt;/_journal&gt;&lt;_keywords&gt;斜拉桥; 索力优化; 结构体系; 几何非线性; 结构分析&lt;/_keywords&gt;&lt;_language&gt;chi&lt;/_language&gt;&lt;_modified&gt;59057863&lt;/_modified&gt;&lt;_pages&gt;64-67&lt;/_pages&gt;&lt;_tertiary_title&gt;JOURNAL OF HIGHWAY AND TRANSPORTATION RESEARCH AND DEVELOPMENT&lt;/_tertiary_title&gt;&lt;_translated_author&gt;Jia-wu, MIAO; Min-shan, PEI; Ruc-heng, XIAO; Xi-gang, ZHANG&lt;/_translated_author&gt;&lt;_translated_title&gt;Global Static Analysis of the SuTong Cable-Stayed Bridge&lt;/_translated_title&gt;&lt;_url&gt;http://d.wanfangdata.com.cn/Periodical_gljtkj200602016.aspx _x000a_http://f.g.wanfangdata.com.cn/Fulltext.ashx?fileId=Periodical_gljtkj200602016&amp;amp;type=download&amp;amp;transaction=%7b%22ExtraData%22%3a%5b%5d%2c%22Transaction%22%3a%7b%22DateTime%22%3a%22%5c%2fDate(1334454325833%2b0800)%5c%2f%22%2c%22Id%22%3a%2216bdabe7-be5d-4aad-87e2-a03400a0cb17%22%2c%22ProductDetail%22%3a%22Periodical_gljtkj200602016%22%2c%22SessionId%22%3a%22b7ebde5e-b658-44d5-80eb-ea8b9d1c1397%22%2c%22Signature%22%3a%22mCOaiBEAoSiKDOnU5Vo8VlhQJiUUNH0eHnaIPNgboTptJBdOuS37fAfQGllAVLXa%22%2c%22TransferIn%22%3a%7b%22AccountType%22%3a%22Income%22%2c%22Key%22%3a%22PeriodicalFulltext%22%7d%2c%22TransferOut%22%3a%7b%22AccountType%22%3a%22GTimeLimit%22%2c%22Key%22%3a%22tjdxtsg%22%7d%2c%22Turnover%22%3a3.00000%2c%22User%22%3anull%7d%2c%22TransferOutAccountsStatus%22%3a%5b%5d%7d 全文链接_x000a_&lt;/_url&gt;&lt;_volume&gt;23&lt;/_volume&gt;&lt;/Details&gt;&lt;Extra&gt;&lt;DBUID&gt;{C833C268-2DD2-4BFD-9E86-C36B63EFE0FA}&lt;/DBUID&gt;&lt;/Extra&gt;&lt;/Item&gt;&lt;/References&gt;&lt;/Group&gt;&lt;/Citation&gt;_x000a_"/>
    <w:docVar w:name="NE.Ref{93EF92DF-337C-4329-83B6-8E48B02E240D}" w:val=" ADDIN NE.Ref.{93EF92DF-337C-4329-83B6-8E48B02E240D}&lt;Citation&gt;&lt;Group&gt;&lt;References&gt;&lt;Item&gt;&lt;ID&gt;29&lt;/ID&gt;&lt;UID&gt;{9F6379D6-AC41-4587-A017-B87A171205A2}&lt;/UID&gt;&lt;Title&gt;钢-混凝土箱形结合梁斜拉桥在东海大桥的应用与展望&lt;/Title&gt;&lt;Template&gt;Journal Article&lt;/Template&gt;&lt;Star&gt;1&lt;/Star&gt;&lt;Tag&gt;5&lt;/Tag&gt;&lt;Author&gt;邵长宇&lt;/Author&gt;&lt;Year&gt;2003&lt;/Year&gt;&lt;Details&gt;&lt;_accessed&gt;58846223&lt;/_accessed&gt;&lt;_author_adr&gt;邵长宇: 中铁大桥勘测设计院,湖北,武汉,430050&lt;/_author_adr&gt;&lt;_cited_count&gt;3&lt;/_cited_count&gt;&lt;_created&gt;58462457&lt;/_created&gt;&lt;_db_provider&gt;万方数据&lt;/_db_provider&gt;&lt;_db_updated&gt;WanFang_Journal_Web&lt;/_db_updated&gt;&lt;_isbn&gt;1003-4722&lt;/_isbn&gt;&lt;_issue&gt;3&lt;/_issue&gt;&lt;_journal&gt;桥梁建设&lt;/_journal&gt;&lt;_keywords&gt;结合梁; 箱形梁; 斜拉桥; 方案选择; 特点; 适用性; 展望&lt;/_keywords&gt;&lt;_language&gt;chinese&lt;/_language&gt;&lt;_modified&gt;58462468&lt;/_modified&gt;&lt;_pages&gt;5-8&lt;/_pages&gt;&lt;_tertiary_title&gt;BRIDGE CONSTRUCTION&lt;/_tertiary_title&gt;&lt;_translated_title&gt;Application and Prospective of Cable-Stayed Spans of Steel-Concrete Composite Box Girder for East China Sea Bridge&lt;/_translated_title&gt;&lt;_url&gt;http://d.wanfangdata.com.cn/Periodical_qljs200303002.aspx&lt;/_url&gt;&lt;/Details&gt;&lt;Extra&gt;&lt;DBUID&gt;{C833C268-2DD2-4BFD-9E86-C36B63EFE0FA}&lt;/DBUID&gt;&lt;/Extra&gt;&lt;/Item&gt;&lt;/References&gt;&lt;/Group&gt;&lt;/Citation&gt;_x000a_"/>
    <w:docVar w:name="NE.Ref{941D74DD-D033-4A1D-84A3-958942C4298E}" w:val=" ADDIN NE.Ref.{941D74DD-D033-4A1D-84A3-958942C4298E}&lt;Citation&gt;&lt;Group&gt;&lt;References&gt;&lt;Item&gt;&lt;ID&gt;1416&lt;/ID&gt;&lt;UID&gt;{748667E0-3FBA-4A66-B7BD-8A371FFD4566}&lt;/UID&gt;&lt;Title&gt;Cable Supported Bridges: Concept and Design,Third Edition&lt;/Title&gt;&lt;Template&gt;Book&lt;/Template&gt;&lt;Star&gt;0&lt;/Star&gt;&lt;Tag&gt;5&lt;/Tag&gt;&lt;Author&gt;Gimsing, Niels J; Georgakis, Christos T&lt;/Author&gt;&lt;Year&gt;2012&lt;/Year&gt;&lt;Details&gt;&lt;_accessed&gt;59289071&lt;/_accessed&gt;&lt;_created&gt;59288704&lt;/_created&gt;&lt;_modified&gt;59289059&lt;/_modified&gt;&lt;_publisher&gt;John Wiley &amp;amp; Sons&lt;/_publisher&gt;&lt;/Details&gt;&lt;Extra&gt;&lt;DBUID&gt;{C833C268-2DD2-4BFD-9E86-C36B63EFE0FA}&lt;/DBUID&gt;&lt;/Extra&gt;&lt;/Item&gt;&lt;/References&gt;&lt;/Group&gt;&lt;/Citation&gt;_x000a_"/>
    <w:docVar w:name="NE.Ref{947CDCD7-860B-499C-B92F-A96627EB1D97}" w:val=" ADDIN NE.Ref.{947CDCD7-860B-499C-B92F-A96627EB1D97}&lt;Citation&gt;&lt;Group&gt;&lt;References&gt;&lt;Item&gt;&lt;ID&gt;1263&lt;/ID&gt;&lt;UID&gt;{6EA6E5AA-5860-41E1-B87B-1757D7CB05AB}&lt;/UID&gt;&lt;Title&gt;What are the the limiting criteria governing the maximum span of composite cable-stayed bridges?&lt;/Title&gt;&lt;Template&gt;Conference Paper&lt;/Template&gt;&lt;Star&gt;0&lt;/Star&gt;&lt;Tag&gt;5&lt;/Tag&gt;&lt;Author&gt;Taylor, Peter R&lt;/Author&gt;&lt;Year&gt;2001&lt;/Year&gt;&lt;Details&gt;&lt;_accessed&gt;59258644&lt;/_accessed&gt;&lt;_bibtex_key&gt;Taylor-1263&lt;/_bibtex_key&gt;&lt;_country&gt;Spain&lt;/_country&gt;&lt;_created&gt;59151777&lt;/_created&gt;&lt;_modified&gt;59153389&lt;/_modified&gt;&lt;_place_published&gt;Madrid，Spain&lt;/_place_published&gt;&lt;_publisher&gt;the Third International Meeting on Composite Bridges sponsored by the Madrid Association of Civil Engineers&lt;/_publisher&gt;&lt;_secondary_title&gt;the Third International Meeting on Composite Bridges&lt;/_secondary_title&gt;&lt;_tertiary_title&gt;Composite Bridges STATE OF THE ART IN TECHNOLOGY AND ANALYSIS&lt;/_tertiary_title&gt;&lt;_translated_place_published&gt;Madrid&lt;/_translated_place_published&gt;&lt;/Details&gt;&lt;Extra&gt;&lt;DBUID&gt;{C833C268-2DD2-4BFD-9E86-C36B63EFE0FA}&lt;/DBUID&gt;&lt;/Extra&gt;&lt;/Item&gt;&lt;/References&gt;&lt;/Group&gt;&lt;/Citation&gt;_x000a_"/>
    <w:docVar w:name="NE.Ref{948AAC8F-CAB2-41F2-8D85-921AC35E9ADA}" w:val=" ADDIN NE.Ref.{948AAC8F-CAB2-41F2-8D85-921AC35E9ADA}&lt;Citation&gt;&lt;Group&gt;&lt;References&gt;&lt;Item&gt;&lt;ID&gt;1344&lt;/ID&gt;&lt;UID&gt;{2F3A99F8-7E42-47D0-909D-86E8F349B391}&lt;/UID&gt;&lt;Title&gt;Construction Stage Analysis of Cable-Stayed Bridges&lt;/Title&gt;&lt;Template&gt;Thesis&lt;/Template&gt;&lt;Star&gt;0&lt;/Star&gt;&lt;Tag&gt;5&lt;/Tag&gt;&lt;Author&gt;Grabow, Marko Justus&lt;/Author&gt;&lt;Year&gt;2004&lt;/Year&gt;&lt;Details&gt;&lt;_accessed&gt;59238198&lt;/_accessed&gt;&lt;_created&gt;59228614&lt;/_created&gt;&lt;_modified&gt;59228615&lt;/_modified&gt;&lt;/Details&gt;&lt;Extra&gt;&lt;DBUID&gt;{C833C268-2DD2-4BFD-9E86-C36B63EFE0FA}&lt;/DBUID&gt;&lt;/Extra&gt;&lt;/Item&gt;&lt;/References&gt;&lt;/Group&gt;&lt;/Citation&gt;_x000a_"/>
    <w:docVar w:name="NE.Ref{94A42CB7-E3EC-4E18-B4E3-59FC5C680DEF}" w:val=" ADDIN NE.Ref.{94A42CB7-E3EC-4E18-B4E3-59FC5C680DEF}&lt;Citation&gt;&lt;Group&gt;&lt;References&gt;&lt;Item&gt;&lt;ID&gt;1138&lt;/ID&gt;&lt;UID&gt;{1A1F102F-282D-443D-A2E7-1AC448D8592B}&lt;/UID&gt;&lt;Title&gt;Cable-supported steel bridges: Design problems and solutions&lt;/Title&gt;&lt;Template&gt;Journal Article&lt;/Template&gt;&lt;Star&gt;0&lt;/Star&gt;&lt;Tag&gt;5&lt;/Tag&gt;&lt;Author&gt;Ito, Manabu&lt;/Author&gt;&lt;Year&gt;1996&lt;/Year&gt;&lt;Details&gt;&lt;_accessed&gt;59066516&lt;/_accessed&gt;&lt;_alternate_title&gt;Journal of Constructional Steel Research_x000a_Special Issue on Tension Structures&lt;/_alternate_title&gt;&lt;_created&gt;59066503&lt;/_created&gt;&lt;_date_display&gt;1996/8//&lt;/_date_display&gt;&lt;_db_updated&gt;ScienceDirect&lt;/_db_updated&gt;&lt;_isbn&gt;0143-974X&lt;/_isbn&gt;&lt;_issue&gt;1&lt;/_issue&gt;&lt;_journal&gt;Journal of Constructional Steel Research&lt;/_journal&gt;&lt;_modified&gt;59066506&lt;/_modified&gt;&lt;_pages&gt;69-84&lt;/_pages&gt;&lt;_url&gt;http://www.sciencedirect.com/science/article/pii/0143974X96000260&lt;/_url&gt;&lt;_volume&gt;39&lt;/_volume&gt;&lt;/Details&gt;&lt;Extra&gt;&lt;DBUID&gt;{C833C268-2DD2-4BFD-9E86-C36B63EFE0FA}&lt;/DBUID&gt;&lt;/Extra&gt;&lt;/Item&gt;&lt;/References&gt;&lt;/Group&gt;&lt;/Citation&gt;_x000a_"/>
    <w:docVar w:name="NE.Ref{957262F4-9377-48C4-B389-A1AE3760C55C}" w:val=" ADDIN NE.Ref.{957262F4-9377-48C4-B389-A1AE3760C55C}&lt;Citation&gt;&lt;Group&gt;&lt;References&gt;&lt;Item&gt;&lt;ID&gt;1410&lt;/ID&gt;&lt;UID&gt;{5F17973E-53A4-4644-A83E-63A3F33AE032}&lt;/UID&gt;&lt;Title&gt;Predicting Flutter Speed of a Cable-stayed Bridge&lt;/Title&gt;&lt;Template&gt;Conference Paper&lt;/Template&gt;&lt;Star&gt;1&lt;/Star&gt;&lt;Tag&gt;5&lt;/Tag&gt;&lt;Author&gt;Mishra, S S; Krishna, P&lt;/Author&gt;&lt;Year&gt;2010&lt;/Year&gt;&lt;Details&gt;&lt;_accessed&gt;59281881&lt;/_accessed&gt;&lt;_created&gt;59281881&lt;/_created&gt;&lt;_modified&gt;59281887&lt;/_modified&gt;&lt;_tertiary_title&gt;Proceedings of the Institution of Civil Engineers&lt;/_tertiary_title&gt;&lt;/Details&gt;&lt;Extra&gt;&lt;DBUID&gt;{C833C268-2DD2-4BFD-9E86-C36B63EFE0FA}&lt;/DBUID&gt;&lt;/Extra&gt;&lt;/Item&gt;&lt;/References&gt;&lt;/Group&gt;&lt;Group&gt;&lt;References&gt;&lt;Item&gt;&lt;ID&gt;1411&lt;/ID&gt;&lt;UID&gt;{67BAD856-436A-463E-B120-9E4F943A969A}&lt;/UID&gt;&lt;Title&gt;Aerodynamic Stability of Cable-stayed Bridges Simplified&lt;/Title&gt;&lt;Template&gt;Conference Proceedings&lt;/Template&gt;&lt;Star&gt;0&lt;/Star&gt;&lt;Tag&gt;5&lt;/Tag&gt;&lt;Author&gt;Herzog, M A M&lt;/Author&gt;&lt;Year&gt;1994&lt;/Year&gt;&lt;Details&gt;&lt;_accessed&gt;59283132&lt;/_accessed&gt;&lt;_created&gt;59283128&lt;/_created&gt;&lt;_modified&gt;59283132&lt;/_modified&gt;&lt;/Details&gt;&lt;Extra&gt;&lt;DBUID&gt;{C833C268-2DD2-4BFD-9E86-C36B63EFE0FA}&lt;/DBUID&gt;&lt;/Extra&gt;&lt;/Item&gt;&lt;/References&gt;&lt;/Group&gt;&lt;/Citation&gt;_x000a_"/>
    <w:docVar w:name="NE.Ref{9643865E-1289-4D9D-97FD-4139A5AB80E2}" w:val=" ADDIN NE.Ref.{9643865E-1289-4D9D-97FD-4139A5AB80E2}&lt;Citation&gt;&lt;Group&gt;&lt;References&gt;&lt;Item&gt;&lt;ID&gt;1232&lt;/ID&gt;&lt;UID&gt;{EDE566AA-2848-4A64-B824-5F8861F11984}&lt;/UID&gt;&lt;Title&gt;斜拉桥&lt;/Title&gt;&lt;Template&gt;Book&lt;/Template&gt;&lt;Star&gt;0&lt;/Star&gt;&lt;Tag&gt;0&lt;/Tag&gt;&lt;Author&gt;林元培&lt;/Author&gt;&lt;Year&gt;2004&lt;/Year&gt;&lt;Details&gt;&lt;_publisher&gt;人民交通出版社&lt;/_publisher&gt;&lt;_place_published&gt;北京&lt;/_place_published&gt;&lt;_modified&gt;59098685&lt;/_modified&gt;&lt;_created&gt;59098685&lt;/_created&gt;&lt;_accessed&gt;59098685&lt;/_accessed&gt;&lt;/Details&gt;&lt;Extra&gt;&lt;DBUID&gt;{C833C268-2DD2-4BFD-9E86-C36B63EFE0FA}&lt;/DBUID&gt;&lt;/Extra&gt;&lt;/Item&gt;&lt;/References&gt;&lt;/Group&gt;&lt;/Citation&gt;_x000a_"/>
    <w:docVar w:name="NE.Ref{9A44EB1C-2E28-46D3-A376-C2E89EA13E04}" w:val=" ADDIN NE.Ref.{9A44EB1C-2E28-46D3-A376-C2E89EA13E04}&lt;Citation&gt;&lt;Group&gt;&lt;References&gt;&lt;Item&gt;&lt;ID&gt;1307&lt;/ID&gt;&lt;UID&gt;{B89816AA-FE1F-4507-B678-6CEE1E5D110E}&lt;/UID&gt;&lt;Title&gt;Optimization of Cable Tensioning in Cable-Stayed Bridges&lt;/Title&gt;&lt;Template&gt;Journal Article&lt;/Template&gt;&lt;Star&gt;0&lt;/Star&gt;&lt;Tag&gt;5&lt;/Tag&gt;&lt;Author&gt;Janjic, D; Pircher, M; Pircher, And H&lt;/Author&gt;&lt;Year&gt;2003&lt;/Year&gt;&lt;Details&gt;&lt;_accessed&gt;59229844&lt;/_accessed&gt;&lt;_created&gt;59178182&lt;/_created&gt;&lt;_journal&gt;Journal of Bridge Engineering&lt;/_journal&gt;&lt;_modified&gt;59178185&lt;/_modified&gt;&lt;_pages&gt;131-137&lt;/_pages&gt;&lt;_volume&gt;8&lt;/_volume&gt;&lt;/Details&gt;&lt;Extra&gt;&lt;DBUID&gt;{C833C268-2DD2-4BFD-9E86-C36B63EFE0FA}&lt;/DBUID&gt;&lt;/Extra&gt;&lt;/Item&gt;&lt;/References&gt;&lt;/Group&gt;&lt;/Citation&gt;_x000a_"/>
    <w:docVar w:name="NE.Ref{9A7C683F-7539-4F9A-A002-65FDC39CE32E}" w:val=" ADDIN NE.Ref.{9A7C683F-7539-4F9A-A002-65FDC39CE32E}&lt;Citation&gt;&lt;Group&gt;&lt;References&gt;&lt;Item&gt;&lt;ID&gt;1236&lt;/ID&gt;&lt;UID&gt;{668FD882-381A-436E-9F72-7DB4F9F8AFF2}&lt;/UID&gt;&lt;Title&gt;Eurocode 4 Design of Composite Steel and Concrete Structures-Part2: General Rules and Rules for Bridges&lt;/Title&gt;&lt;Template&gt;Standard&lt;/Template&gt;&lt;Star&gt;0&lt;/Star&gt;&lt;Tag&gt;4&lt;/Tag&gt;&lt;Author/&gt;&lt;Year&gt;2005&lt;/Year&gt;&lt;Details&gt;&lt;_accessed&gt;59129088&lt;/_accessed&gt;&lt;_created&gt;59101286&lt;/_created&gt;&lt;_modified&gt;59128929&lt;/_modified&gt;&lt;/Details&gt;&lt;Extra&gt;&lt;DBUID&gt;{C833C268-2DD2-4BFD-9E86-C36B63EFE0FA}&lt;/DBUID&gt;&lt;/Extra&gt;&lt;/Item&gt;&lt;/References&gt;&lt;/Group&gt;&lt;Group&gt;&lt;References&gt;&lt;Item&gt;&lt;ID&gt;1249&lt;/ID&gt;&lt;UID&gt;{1F531CAC-F93E-482F-8FF8-C73871B3349E}&lt;/UID&gt;&lt;Title&gt;欧洲规范4 钢-混凝土组合梁设计方法（3）──组合梁的内力分析&lt;/Title&gt;&lt;Template&gt;Journal Article&lt;/Template&gt;&lt;Star&gt;0&lt;/Star&gt;&lt;Tag&gt;5&lt;/Tag&gt;&lt;Author&gt;胡夏闵&lt;/Author&gt;&lt;Year&gt;1995&lt;/Year&gt;&lt;Details&gt;&lt;_accessed&gt;59128788&lt;/_accessed&gt;&lt;_created&gt;59128750&lt;/_created&gt;&lt;_issue&gt;11&lt;/_issue&gt;&lt;_journal&gt;工业建筑&lt;/_journal&gt;&lt;_modified&gt;59128789&lt;/_modified&gt;&lt;_tertiary_title&gt;Industrial Construction&lt;/_tertiary_title&gt;&lt;_translated_author&gt;Xiamin, Hu&lt;/_translated_author&gt;&lt;_translated_title&gt;DESIGN METHOD OF EUROCODE 4 FOR STEEL-CONCRETE COMPOSITE BEAMS(3)-INTERNAL FORCE ANALYSIS OF COMPOSITE BEAM&lt;/_translated_title&gt;&lt;_volume&gt;25&lt;/_volume&gt;&lt;/Details&gt;&lt;Extra&gt;&lt;DBUID&gt;{C833C268-2DD2-4BFD-9E86-C36B63EFE0FA}&lt;/DBUID&gt;&lt;/Extra&gt;&lt;/Item&gt;&lt;/References&gt;&lt;/Group&gt;&lt;Group&gt;&lt;References&gt;&lt;Item&gt;&lt;ID&gt;1246&lt;/ID&gt;&lt;UID&gt;{6AEE728E-A188-4CD2-B959-9F08ECB079D7}&lt;/UID&gt;&lt;Title&gt;欧洲规范4 钢-混凝土组合梁设计方法（2）──组合梁的受力性能和计算理论&lt;/Title&gt;&lt;Template&gt;Journal Article&lt;/Template&gt;&lt;Star&gt;0&lt;/Star&gt;&lt;Tag&gt;5&lt;/Tag&gt;&lt;Author&gt;胡夏闵&lt;/Author&gt;&lt;Year&gt;1995&lt;/Year&gt;&lt;Details&gt;&lt;_accessed&gt;59128790&lt;/_accessed&gt;&lt;_created&gt;59128750&lt;/_created&gt;&lt;_issue&gt;10&lt;/_issue&gt;&lt;_journal&gt;工业建筑&lt;/_journal&gt;&lt;_modified&gt;59128790&lt;/_modified&gt;&lt;_tertiary_title&gt;Industrial Construction&lt;/_tertiary_title&gt;&lt;_translated_author&gt;Xiamin, Hu&lt;/_translated_author&gt;&lt;_translated_title&gt;DESIGN METHOD OF EUROCODE 4 FOR STEEL-CONCRETE COMPOSITE BEAMS(2)-LOAD CARRING BEHAVIOUR AND CALCULATING THEORY OF COMPOSITE BEAMS&lt;/_translated_title&gt;&lt;_volume&gt;25&lt;/_volume&gt;&lt;/Details&gt;&lt;Extra&gt;&lt;DBUID&gt;{C833C268-2DD2-4BFD-9E86-C36B63EFE0FA}&lt;/DBUID&gt;&lt;/Extra&gt;&lt;/Item&gt;&lt;/References&gt;&lt;/Group&gt;&lt;/Citation&gt;_x000a_"/>
    <w:docVar w:name="NE.Ref{9AC6062D-CE7C-49E1-A8C0-74BE05C38A14}" w:val=" ADDIN NE.Ref.{9AC6062D-CE7C-49E1-A8C0-74BE05C38A14}&lt;Citation&gt;&lt;Group&gt;&lt;References&gt;&lt;Item&gt;&lt;ID&gt;1322&lt;/ID&gt;&lt;UID&gt;{928F3C81-5FA7-492B-A6F9-69127B254C29}&lt;/UID&gt;&lt;Title&gt;Steel and Concrete Composite Beams with Flexible Shear Connection Exact Analytical Expression of the Stiffness Matrix and Applications&lt;/Title&gt;&lt;Template&gt;Journal Article&lt;/Template&gt;&lt;Star&gt;0&lt;/Star&gt;&lt;Tag&gt;5&lt;/Tag&gt;&lt;Author&gt;Faella, Ciro; Martinelli, Enzo; Nigro, Emidio&lt;/Author&gt;&lt;Year&gt;2002&lt;/Year&gt;&lt;Details&gt;&lt;_accessed&gt;59252857&lt;/_accessed&gt;&lt;_created&gt;59197936&lt;/_created&gt;&lt;_journal&gt;Computers and Structures&lt;/_journal&gt;&lt;_modified&gt;59197953&lt;/_modified&gt;&lt;_pages&gt;1001-1009&lt;/_pages&gt;&lt;_volume&gt;80&lt;/_volume&gt;&lt;/Details&gt;&lt;Extra&gt;&lt;DBUID&gt;{C833C268-2DD2-4BFD-9E86-C36B63EFE0FA}&lt;/DBUID&gt;&lt;/Extra&gt;&lt;/Item&gt;&lt;/References&gt;&lt;/Group&gt;&lt;/Citation&gt;_x000a_"/>
    <w:docVar w:name="NE.Ref{9C96D46E-F07E-45A1-B499-D6FCF7FAAA04}" w:val=" ADDIN NE.Ref.{9C96D46E-F07E-45A1-B499-D6FCF7FAAA04}&lt;Citation&gt;&lt;Group&gt;&lt;References&gt;&lt;Item&gt;&lt;ID&gt;1157&lt;/ID&gt;&lt;UID&gt;{4D9C709B-5A89-43BC-B670-DB4A646435D7}&lt;/UID&gt;&lt;Title&gt;Nonlinear analysis of composite steel–concrete cable-stayed bridges&lt;/Title&gt;&lt;Template&gt;Journal Article&lt;/Template&gt;&lt;Star&gt;1&lt;/Star&gt;&lt;Tag&gt;5&lt;/Tag&gt;&lt;Author&gt;Oliveira Pedro, José J; Reis, António J&lt;/Author&gt;&lt;Year&gt;2010&lt;/Year&gt;&lt;Details&gt;&lt;_accessed&gt;59280103&lt;/_accessed&gt;&lt;_alternate_title&gt;Engineering Structures&lt;/_alternate_title&gt;&lt;_created&gt;59066503&lt;/_created&gt;&lt;_date_display&gt;2010/9//&lt;/_date_display&gt;&lt;_db_updated&gt;ScienceDirect&lt;/_db_updated&gt;&lt;_isbn&gt;0141-0296&lt;/_isbn&gt;&lt;_issue&gt;9&lt;/_issue&gt;&lt;_journal&gt;Engineering Structures&lt;/_journal&gt;&lt;_keywords&gt;Cable-stayed bridge; Composite steel–concrete deck; Nonlinear analysis; Time dependent effects; Flexible connection&lt;/_keywords&gt;&lt;_modified&gt;59066511&lt;/_modified&gt;&lt;_pages&gt;2702-2716&lt;/_pages&gt;&lt;_url&gt;http://www.sciencedirect.com/science/article/pii/S0141029610001859&lt;/_url&gt;&lt;_volume&gt;32&lt;/_volume&gt;&lt;/Details&gt;&lt;Extra&gt;&lt;DBUID&gt;{C833C268-2DD2-4BFD-9E86-C36B63EFE0FA}&lt;/DBUID&gt;&lt;/Extra&gt;&lt;/Item&gt;&lt;/References&gt;&lt;/Group&gt;&lt;/Citation&gt;_x000a_"/>
    <w:docVar w:name="NE.Ref{9CF79E8C-FB15-4F11-A440-2D9C2607B160}" w:val=" ADDIN NE.Ref.{9CF79E8C-FB15-4F11-A440-2D9C2607B160}&lt;Citation&gt;&lt;Group&gt;&lt;References&gt;&lt;Item&gt;&lt;ID&gt;1135&lt;/ID&gt;&lt;UID&gt;{9AF11686-7974-4E02-B7A2-2CB1A59BBBE0}&lt;/UID&gt;&lt;Title&gt;Analysis of the overall collapse mechanism of cable-stayed bridges with different cable layouts&lt;/Title&gt;&lt;Template&gt;Journal Article&lt;/Template&gt;&lt;Star&gt;0&lt;/Star&gt;&lt;Tag&gt;2&lt;/Tag&gt;&lt;Author&gt;Song, Weon-Keun; Kim, Seung-Eock&lt;/Author&gt;&lt;Year&gt;2007&lt;/Year&gt;&lt;Details&gt;&lt;_accessed&gt;59078035&lt;/_accessed&gt;&lt;_alternate_title&gt;Engineering Structures&lt;/_alternate_title&gt;&lt;_created&gt;59066503&lt;/_created&gt;&lt;_date_display&gt;2007/9//&lt;/_date_display&gt;&lt;_db_updated&gt;ScienceDirect&lt;/_db_updated&gt;&lt;_isbn&gt;0141-0296&lt;/_isbn&gt;&lt;_issue&gt;9&lt;/_issue&gt;&lt;_journal&gt;Engineering Structures&lt;/_journal&gt;&lt;_keywords&gt;Steel cable-stayed bridge; Softening plastic-hinge model; Fiber element model; Nonlinear inelastic buckling model; Overall collapse mechanism; Ultimate load-carrying capacity&lt;/_keywords&gt;&lt;_modified&gt;59066505&lt;/_modified&gt;&lt;_pages&gt;2133-2142&lt;/_pages&gt;&lt;_url&gt;http://www.sciencedirect.com/science/article/pii/S0141029606004718&lt;/_url&gt;&lt;_volume&gt;29&lt;/_volume&gt;&lt;/Details&gt;&lt;Extra&gt;&lt;DBUID&gt;{C833C268-2DD2-4BFD-9E86-C36B63EFE0FA}&lt;/DBUID&gt;&lt;/Extra&gt;&lt;/Item&gt;&lt;/References&gt;&lt;/Group&gt;&lt;/Citation&gt;_x000a_"/>
    <w:docVar w:name="NE.Ref{9D84C07A-3361-4B6C-9485-283759DF3101}" w:val=" ADDIN NE.Ref.{9D84C07A-3361-4B6C-9485-283759DF3101}&lt;Citation&gt;&lt;Group&gt;&lt;References&gt;&lt;Item&gt;&lt;ID&gt;231&lt;/ID&gt;&lt;UID&gt;{F7F48ADE-0E85-476E-92BB-5D92C660E062}&lt;/UID&gt;&lt;Title&gt;组合结构主梁斜拉桥设计进展&lt;/Title&gt;&lt;Template&gt;Journal Article&lt;/Template&gt;&lt;Star&gt;1&lt;/Star&gt;&lt;Tag&gt;5&lt;/Tag&gt;&lt;Author&gt;高宗余; 张强; 王应良&lt;/Author&gt;&lt;Year&gt;2007&lt;/Year&gt;&lt;Details&gt;&lt;_accessed&gt;58951306&lt;/_accessed&gt;&lt;_author_adr&gt;中铁大桥勘测设计院有限公司,湖北武汉,430050&lt;/_author_adr&gt;&lt;_created&gt;58464511&lt;/_created&gt;&lt;_db_provider&gt;重庆维普&lt;/_db_provider&gt;&lt;_db_updated&gt;CQ_VIP&lt;/_db_updated&gt;&lt;_isbn&gt;1672-7479&lt;/_isbn&gt;&lt;_issue&gt;z1&lt;/_issue&gt;&lt;_journal&gt;铁道勘察&lt;/_journal&gt;&lt;_keywords&gt;斜拉桥; 结合梁; 混合梁&lt;/_keywords&gt;&lt;_language&gt;Chinese&lt;/_language&gt;&lt;_modified&gt;58465213&lt;/_modified&gt;&lt;_pages&gt;50-53&lt;/_pages&gt;&lt;_translated_author&gt;Gao, Zongyu Zhang Qiang Wang&lt;/_translated_author&gt;&lt;_translated_title&gt;Evolution of Design on Hybrid Beam Cable-Stayed Bridge with Combined Structure&lt;/_translated_title&gt;&lt;_url&gt;http://www.cqvip.com/qk/90415A/2007z1/1000096846.html&lt;/_url&gt;&lt;/Details&gt;&lt;Extra&gt;&lt;DBUID&gt;{C833C268-2DD2-4BFD-9E86-C36B63EFE0FA}&lt;/DBUID&gt;&lt;/Extra&gt;&lt;/Item&gt;&lt;/References&gt;&lt;/Group&gt;&lt;Group&gt;&lt;References&gt;&lt;Item&gt;&lt;ID&gt;1232&lt;/ID&gt;&lt;UID&gt;{EDE566AA-2848-4A64-B824-5F8861F11984}&lt;/UID&gt;&lt;Title&gt;斜拉桥&lt;/Title&gt;&lt;Template&gt;Book&lt;/Template&gt;&lt;Star&gt;0&lt;/Star&gt;&lt;Tag&gt;5&lt;/Tag&gt;&lt;Author&gt;林元培&lt;/Author&gt;&lt;Year&gt;2004&lt;/Year&gt;&lt;Details&gt;&lt;_accessed&gt;59099573&lt;/_accessed&gt;&lt;_created&gt;59098685&lt;/_created&gt;&lt;_modified&gt;59098685&lt;/_modified&gt;&lt;_place_published&gt;北京&lt;/_place_published&gt;&lt;_publisher&gt;人民交通出版社&lt;/_publisher&gt;&lt;/Details&gt;&lt;Extra&gt;&lt;DBUID&gt;{C833C268-2DD2-4BFD-9E86-C36B63EFE0FA}&lt;/DBUID&gt;&lt;/Extra&gt;&lt;/Item&gt;&lt;/References&gt;&lt;/Group&gt;&lt;/Citation&gt;_x000a_"/>
    <w:docVar w:name="NE.Ref{9DE681F1-250E-4D97-93C1-83691781C20F}" w:val=" ADDIN NE.Ref.{9DE681F1-250E-4D97-93C1-83691781C20F}&lt;Citation&gt;&lt;Group&gt;&lt;References&gt;&lt;Item&gt;&lt;ID&gt;1304&lt;/ID&gt;&lt;UID&gt;{25E476FC-C55A-4391-AD25-8BFB747C1A2F}&lt;/UID&gt;&lt;Title&gt;美国公路桥梁设计规范一荷载与抗力系数法（AASHTO）&lt;/Title&gt;&lt;Template&gt;Standard&lt;/Template&gt;&lt;Star&gt;0&lt;/Star&gt;&lt;Tag&gt;0&lt;/Tag&gt;&lt;Author/&gt;&lt;Year&gt;1997&lt;/Year&gt;&lt;Details&gt;&lt;_accessed&gt;59175162&lt;/_accessed&gt;&lt;_created&gt;59175162&lt;/_created&gt;&lt;_modified&gt;59175162&lt;/_modified&gt;&lt;_place_published&gt;北京&lt;/_place_published&gt;&lt;_publisher&gt;人民交通出版社&lt;/_publisher&gt;&lt;/Details&gt;&lt;Extra&gt;&lt;DBUID&gt;{C833C268-2DD2-4BFD-9E86-C36B63EFE0FA}&lt;/DBUID&gt;&lt;/Extra&gt;&lt;/Item&gt;&lt;/References&gt;&lt;/Group&gt;&lt;/Citation&gt;_x000a_"/>
    <w:docVar w:name="NE.Ref{9E8374DB-2694-4139-857C-E682995ABC84}" w:val=" ADDIN NE.Ref.{9E8374DB-2694-4139-857C-E682995ABC84}&lt;Citation&gt;&lt;Group&gt;&lt;References&gt;&lt;Item&gt;&lt;ID&gt;1220&lt;/ID&gt;&lt;UID&gt;{44299563-78DB-4C7A-B816-C6C78526168D}&lt;/UID&gt;&lt;Title&gt;桥梁概念设计&lt;/Title&gt;&lt;Template&gt;Book&lt;/Template&gt;&lt;Star&gt;0&lt;/Star&gt;&lt;Tag&gt;5&lt;/Tag&gt;&lt;Author&gt;项海帆等&lt;/Author&gt;&lt;Year&gt;2011&lt;/Year&gt;&lt;Details&gt;&lt;_accessed&gt;59118998&lt;/_accessed&gt;&lt;_created&gt;59093005&lt;/_created&gt;&lt;_modified&gt;59108700&lt;/_modified&gt;&lt;_publisher&gt;人民交通出版社&lt;/_publisher&gt;&lt;/Details&gt;&lt;Extra&gt;&lt;DBUID&gt;{C833C268-2DD2-4BFD-9E86-C36B63EFE0FA}&lt;/DBUID&gt;&lt;/Extra&gt;&lt;/Item&gt;&lt;/References&gt;&lt;/Group&gt;&lt;/Citation&gt;_x000a_"/>
    <w:docVar w:name="NE.Ref{9E83F8F3-54DD-43DA-A23E-DD6A68814932}" w:val=" ADDIN NE.Ref.{9E83F8F3-54DD-43DA-A23E-DD6A68814932}&lt;Citation&gt;&lt;Group&gt;&lt;References&gt;&lt;Item&gt;&lt;ID&gt;2630&lt;/ID&gt;&lt;UID&gt;{5D6FF9E9-60BE-4ECD-AE74-E31751E5FB8A}&lt;/UID&gt;&lt;Title&gt;宁波市灵桥保护性修复方案与关键加固技术&lt;/Title&gt;&lt;Template&gt;Journal Article&lt;/Template&gt;&lt;Star&gt;0&lt;/Star&gt;&lt;Tag&gt;0&lt;/Tag&gt;&lt;Author&gt;曾智荣&lt;/Author&gt;&lt;Year&gt;2017&lt;/Year&gt;&lt;Details&gt;&lt;_accessed&gt;62191720&lt;/_accessed&gt;&lt;_author_aff&gt;中铁大桥局武汉桥梁特种技术有限公司;桥梁结构健康与安全国家重点实验室;&lt;/_author_aff&gt;&lt;_collection_scope&gt;中文核心期刊;&lt;/_collection_scope&gt;&lt;_created&gt;62191720&lt;/_created&gt;&lt;_date&gt;62013600&lt;/_date&gt;&lt;_db_provider&gt;CNKI: 期刊&lt;/_db_provider&gt;&lt;_db_updated&gt;CNKI - Reference&lt;/_db_updated&gt;&lt;_issue&gt;06&lt;/_issue&gt;&lt;_journal&gt;世界桥梁&lt;/_journal&gt;&lt;_keywords&gt;三铰拱钢桥;文物;保护性修复;冷矫正;正交异性板;钻孔桩;复合桥面系;加固&lt;/_keywords&gt;&lt;_language&gt;Chinese&lt;/_language&gt;&lt;_modified&gt;62191720&lt;/_modified&gt;&lt;_pages&gt;87-91&lt;/_pages&gt;&lt;_url&gt;http://kns.cnki.net/KCMS/detail/detail.aspx?FileName=GWQL201706017&amp;amp;DbName=CJFQ2017&lt;/_url&gt;&lt;_translated_author&gt;Ceng, Zhirong&lt;/_translated_author&gt;&lt;/Details&gt;&lt;Extra&gt;&lt;DBUID&gt;{25139A1D-CF45-40E3-9EDD-33E25C1C489A}&lt;/DBUID&gt;&lt;/Extra&gt;&lt;/Item&gt;&lt;/References&gt;&lt;/Group&gt;&lt;/Citation&gt;_x000a_"/>
    <w:docVar w:name="NE.Ref{9EFC105A-C7CD-4BCF-9243-5D676FB0FF92}" w:val=" ADDIN NE.Ref.{9EFC105A-C7CD-4BCF-9243-5D676FB0FF92}&lt;Citation&gt;&lt;Group&gt;&lt;References&gt;&lt;Item&gt;&lt;ID&gt;1220&lt;/ID&gt;&lt;UID&gt;{44299563-78DB-4C7A-B816-C6C78526168D}&lt;/UID&gt;&lt;Title&gt;桥梁概念设计&lt;/Title&gt;&lt;Template&gt;Book&lt;/Template&gt;&lt;Star&gt;0&lt;/Star&gt;&lt;Tag&gt;5&lt;/Tag&gt;&lt;Author&gt;项海帆等&lt;/Author&gt;&lt;Year&gt;2011&lt;/Year&gt;&lt;Details&gt;&lt;_accessed&gt;59118998&lt;/_accessed&gt;&lt;_created&gt;59093005&lt;/_created&gt;&lt;_modified&gt;59108700&lt;/_modified&gt;&lt;_publisher&gt;人民交通出版社&lt;/_publisher&gt;&lt;/Details&gt;&lt;Extra&gt;&lt;DBUID&gt;{C833C268-2DD2-4BFD-9E86-C36B63EFE0FA}&lt;/DBUID&gt;&lt;/Extra&gt;&lt;/Item&gt;&lt;/References&gt;&lt;/Group&gt;&lt;/Citation&gt;_x000a_"/>
    <w:docVar w:name="NE.Ref{9F317152-8F25-4E4D-88CE-C58366709936}" w:val=" ADDIN NE.Ref.{9F317152-8F25-4E4D-88CE-C58366709936}&lt;Citation&gt;&lt;Group&gt;&lt;References&gt;&lt;Item&gt;&lt;ID&gt;1413&lt;/ID&gt;&lt;UID&gt;{1AC68ECA-FA48-4779-852B-CEDFDE5017C3}&lt;/UID&gt;&lt;Title&gt;EN1994 Eurocode 4:Design of Composite Steel and Concrete Structures&lt;/Title&gt;&lt;Template&gt;Conference Proceedings&lt;/Template&gt;&lt;Star&gt;0&lt;/Star&gt;&lt;Tag&gt;5&lt;/Tag&gt;&lt;Author&gt;Johnson, R P; Anderson, D&lt;/Author&gt;&lt;Year&gt;2001&lt;/Year&gt;&lt;Details&gt;&lt;_accessed&gt;59284599&lt;/_accessed&gt;&lt;_created&gt;59284599&lt;/_created&gt;&lt;_modified&gt;59284604&lt;/_modified&gt;&lt;_pages&gt;33-38&lt;/_pages&gt;&lt;_tertiary_title&gt;Proceedings of ICE Civil Engineering&lt;/_tertiary_title&gt;&lt;_volume&gt; 144&lt;/_volume&gt;&lt;/Details&gt;&lt;Extra&gt;&lt;DBUID&gt;{C833C268-2DD2-4BFD-9E86-C36B63EFE0FA}&lt;/DBUID&gt;&lt;/Extra&gt;&lt;/Item&gt;&lt;/References&gt;&lt;/Group&gt;&lt;Group&gt;&lt;References&gt;&lt;Item&gt;&lt;ID&gt;1264&lt;/ID&gt;&lt;UID&gt;{59CE6E75-E057-45EF-ADF3-E99F87500F2D}&lt;/UID&gt;&lt;Title&gt;The future european code for composite bridges and its relation to british research and practice&lt;/Title&gt;&lt;Template&gt;Conference Paper&lt;/Template&gt;&lt;Star&gt;0&lt;/Star&gt;&lt;Tag&gt;5&lt;/Tag&gt;&lt;Author&gt;JOHNSON, ROGER P&lt;/Author&gt;&lt;Year&gt;2001&lt;/Year&gt;&lt;Details&gt;&lt;_accessed&gt;59157408&lt;/_accessed&gt;&lt;_created&gt;59153387&lt;/_created&gt;&lt;_modified&gt;59153390&lt;/_modified&gt;&lt;_place_published&gt;Madrid，Spain&lt;/_place_published&gt;&lt;_publisher&gt;the Third International Meeting on Composite Bridges sponsored by the Madrid Association of Civil Engineers&lt;/_publisher&gt;&lt;_translated_author&gt;JOHNSON, ROGER P&lt;/_translated_author&gt;&lt;/Details&gt;&lt;Extra&gt;&lt;DBUID&gt;{C833C268-2DD2-4BFD-9E86-C36B63EFE0FA}&lt;/DBUID&gt;&lt;/Extra&gt;&lt;/Item&gt;&lt;/References&gt;&lt;/Group&gt;&lt;/Citation&gt;_x000a_"/>
    <w:docVar w:name="NE.Ref{9FE6823E-4570-4963-8727-5BD4909529EC}" w:val=" ADDIN NE.Ref.{9FE6823E-4570-4963-8727-5BD4909529EC}&lt;Citation&gt;&lt;Group&gt;&lt;References&gt;&lt;Item&gt;&lt;ID&gt;1045&lt;/ID&gt;&lt;UID&gt;{A2C78CE9-339A-4A3D-ACFB-E1DA8AB9BAB0}&lt;/UID&gt;&lt;Title&gt;考虑滑移效应的钢-混凝土组合梁弹性应力计算&lt;/Title&gt;&lt;Template&gt;Journal Article&lt;/Template&gt;&lt;Star&gt;0&lt;/Star&gt;&lt;Tag&gt;3&lt;/Tag&gt;&lt;Author&gt;蒋秀根; 剧锦三; 傅向荣&lt;/Author&gt;&lt;Year&gt;2007&lt;/Year&gt;&lt;Details&gt;&lt;_author_adr&gt;中国农业大学水利与土木工程学院,北京,100083&lt;/_author_adr&gt;&lt;_author_aff&gt;中国农业大学水利与土木工程学院,北京,100083&lt;/_author_aff&gt;&lt;_created&gt;59058378&lt;/_created&gt;&lt;_db_provider&gt;北京万方数据股份有限公司&lt;/_db_provider&gt;&lt;_db_updated&gt;Wanfang - Journal&lt;/_db_updated&gt;&lt;_isbn&gt;1000-4750&lt;/_isbn&gt;&lt;_issue&gt;1&lt;/_issue&gt;&lt;_journal&gt;工程力学&lt;/_journal&gt;&lt;_keywords&gt;钢-混凝土组合梁; 滑移效应; 局部弯矩; 弹性应力; 屈服弯矩&lt;/_keywords&gt;&lt;_language&gt;chi&lt;/_language&gt;&lt;_modified&gt;59058378&lt;/_modified&gt;&lt;_pages&gt;143-146,142&lt;/_pages&gt;&lt;_tertiary_title&gt;ENGINEERING MECHANICS&lt;/_tertiary_title&gt;&lt;_translated_author&gt;Xiu-gen, JIANG; Jin-san, J U; Xiang-rong, F U&lt;/_translated_author&gt;&lt;_translated_title&gt;ANALYSIS OF ELASTIC STRESS OF COMPOSITE STEEL-CONCRETE BEAMS CONSIDERING SLIP EFFECT&lt;/_translated_title&gt;&lt;_url&gt;http://d.wanfangdata.com.cn/Periodical_gclx200701024.aspx _x000a_http://f.g.wanfangdata.com.cn/Fulltext.ashx?fileId=Periodical_gclx200701024&amp;amp;type=download&amp;amp;transaction=%7b%22ExtraData%22%3a%5b%5d%2c%22Transaction%22%3a%7b%22DateTime%22%3a%22%5c%2fDate(1334490590300%2b0800)%5c%2f%22%2c%22Id%22%3a%22f5c25187-0b59-44d9-ab6c-a0340146cc84%22%2c%22ProductDetail%22%3a%22Periodical_gclx200701024%22%2c%22SessionId%22%3a%22f3ac357b-7510-481c-9de4-f3c6a4ba80fb%22%2c%22Signature%22%3a%22GPIWXTDIz4S%5c%2fCAsg8T3EVKrTwHLFE72IDKrcYXl0nL4Myf164e48WX21FJXooa33%22%2c%22TransferIn%22%3a%7b%22AccountType%22%3a%22Income%22%2c%22Key%22%3a%22PeriodicalFulltext%22%7d%2c%22TransferOut%22%3a%7b%22AccountType%22%3a%22GTimeLimit%22%2c%22Key%22%3a%22tjdxtsg%22%7d%2c%22Turnover%22%3a3.00000%2c%22User%22%3anull%7d%2c%22TransferOutAccountsStatus%22%3a%5b%5d%7d 全文链接_x000a_&lt;/_url&gt;&lt;_volume&gt;24&lt;/_volume&gt;&lt;_accessed&gt;59205550&lt;/_accessed&gt;&lt;/Details&gt;&lt;Extra&gt;&lt;DBUID&gt;{C833C268-2DD2-4BFD-9E86-C36B63EFE0FA}&lt;/DBUID&gt;&lt;/Extra&gt;&lt;/Item&gt;&lt;/References&gt;&lt;/Group&gt;&lt;Group&gt;&lt;References&gt;&lt;Item&gt;&lt;ID&gt;1324&lt;/ID&gt;&lt;UID&gt;{FA5E4143-58ED-4826-8B0B-D1BF291BE786}&lt;/UID&gt;&lt;Title&gt;考虑滑移效应的钢-混凝土组合梁变形计算的折减刚度法&lt;/Title&gt;&lt;Template&gt;Journal Article&lt;/Template&gt;&lt;Star&gt;0&lt;/Star&gt;&lt;Tag&gt;3&lt;/Tag&gt;&lt;Author&gt;聂建国; 沈聚敏; 余志武&lt;/Author&gt;&lt;Year&gt;1995&lt;/Year&gt;&lt;Details&gt;&lt;_accessed&gt;59204162&lt;/_accessed&gt;&lt;_cate&gt;TU398.9&lt;/_cate&gt;&lt;_created&gt;59204126&lt;/_created&gt;&lt;_db_provider&gt;CNKI&lt;/_db_provider&gt;&lt;_db_updated&gt;CNKI&lt;/_db_updated&gt;&lt;_issue&gt;6&lt;/_issue&gt;&lt;_journal&gt;土木工程学报&lt;/_journal&gt;&lt;_keywords&gt;滑移效应;连续组合梁;钢-混凝土;变形计算;折减刚度法;换算截面法;组合粱;挠度计算;钢一混凝土组合梁;计算公式;&lt;/_keywords&gt;&lt;_modified&gt;59204126&lt;/_modified&gt;&lt;_pages&gt;11-17&lt;/_pages&gt;&lt;_tertiary_title&gt;China Civil Engineering Journal&lt;/_tertiary_title&gt;&lt;_url&gt;http://epub.cnki.net/grid2008/brief/detailj.aspx?filename=TMGC199506001&amp;amp;dbname=CJFQ1995 _x000a_http://pdf.d.cnki.net/cjfdsearch/pdfdownloadnew.asp?encode=gb&amp;amp;nettype=cnet&amp;amp;zt=C038&amp;amp;filename=hNkVaZ1Kz0kWOlVNr0WUBxEMwBzQxI2a112UEdTMyV3S0YjUThEerdleFJXQQZXRnFUTygndCl3aXlkcsBFVGhHZPVEVFRFNXF2bwU0a4AnUQ9WUt52Zv02by9EURFTRmRlQ2AXRvd2U0wEOxkVdCVGT4J2Yw8iQjxkUZJ0LFl1N2QlSvpVa49WU19Wb==wTvc3K4UjZw0UWwwWakF3KJNjbWlEZudkQzV0btNjR6JlekdkWkNHaypVO1tSZ1dkN3k0MNhmWX9SYrxmbvJUNuZmNLJTVlplchdUZXR0d4QUYwh3Y3EFOroHZ1EFOUBzK1VmVzZUNaBVY2E1KXlENslUW4Z1VLVEVXlGURVkSZlTUj5ma2E3c25UY&amp;amp;doi=CNKI:SUN:TMGC.0.1995-06-001&amp;amp;m=HlWdkpXTmd0QYVGaXhjbSFDM4tyYwpnW38kWKFnTnpnN5EEenJkUXtEe9cmNMhzV2QkbMFHSBd3ULhWMmZzLBxkU01WW0FVcPVmYkZHe4wUR4Vje&amp;amp;filetitle=%bf%bc%c2%c7%bb%ac%d2%c6%d0%a7%d3%a6%b5%c4%b8%d6_%bb%ec%c4%fd%cd%c1%d7%e9%ba%cf%c1%ba%b1%e4%d0%ce%bc%c6%cb%e3%b5%c4%d5%db%bc%f5%b8%d5%b6%c8%b7%a8&amp;amp;p=CJFQ&amp;amp;cflag=&amp;amp;pager=12-18 全文链接_x000a_&lt;/_url&gt;&lt;/Details&gt;&lt;Extra&gt;&lt;DBUID&gt;{C833C268-2DD2-4BFD-9E86-C36B63EFE0FA}&lt;/DBUID&gt;&lt;/Extra&gt;&lt;/Item&gt;&lt;/References&gt;&lt;/Group&gt;&lt;/Citation&gt;_x000a_"/>
    <w:docVar w:name="NE.Ref{A02C6FC7-2F31-4993-834F-C1DA95430711}" w:val=" ADDIN NE.Ref.{A02C6FC7-2F31-4993-834F-C1DA95430711}&lt;Citation&gt;&lt;Group&gt;&lt;References&gt;&lt;Item&gt;&lt;ID&gt;1220&lt;/ID&gt;&lt;UID&gt;{44299563-78DB-4C7A-B816-C6C78526168D}&lt;/UID&gt;&lt;Title&gt;桥梁概念设计&lt;/Title&gt;&lt;Template&gt;Book&lt;/Template&gt;&lt;Star&gt;0&lt;/Star&gt;&lt;Tag&gt;5&lt;/Tag&gt;&lt;Author&gt;项海帆等&lt;/Author&gt;&lt;Year&gt;2011&lt;/Year&gt;&lt;Details&gt;&lt;_accessed&gt;59118998&lt;/_accessed&gt;&lt;_created&gt;59093005&lt;/_created&gt;&lt;_modified&gt;59108700&lt;/_modified&gt;&lt;_publisher&gt;人民交通出版社&lt;/_publisher&gt;&lt;/Details&gt;&lt;Extra&gt;&lt;DBUID&gt;{C833C268-2DD2-4BFD-9E86-C36B63EFE0FA}&lt;/DBUID&gt;&lt;/Extra&gt;&lt;/Item&gt;&lt;/References&gt;&lt;/Group&gt;&lt;/Citation&gt;_x000a_"/>
    <w:docVar w:name="NE.Ref{A29E027F-B3D7-4C97-BBA6-F67A369FA0CD}" w:val=" ADDIN NE.Ref.{A29E027F-B3D7-4C97-BBA6-F67A369FA0CD}&lt;Citation&gt;&lt;Group&gt;&lt;References&gt;&lt;Item&gt;&lt;ID&gt;1267&lt;/ID&gt;&lt;UID&gt;{56308F9B-1E01-4BE1-88BE-47E929308123}&lt;/UID&gt;&lt;Title&gt;Recent evolution of cable-stayed bridges&lt;/Title&gt;&lt;Template&gt;Journal Article&lt;/Template&gt;&lt;Star&gt;0&lt;/Star&gt;&lt;Tag&gt;5&lt;/Tag&gt;&lt;Author&gt;Virlogeux, Michel&lt;/Author&gt;&lt;Year&gt;1999&lt;/Year&gt;&lt;Details&gt;&lt;_alternate_title&gt;Engineering Structures&lt;/_alternate_title&gt;&lt;_created&gt;59166822&lt;/_created&gt;&lt;_date_display&gt;1999/8//&lt;/_date_display&gt;&lt;_db_updated&gt;ScienceDirect&lt;/_db_updated&gt;&lt;_isbn&gt;0141-0296&lt;/_isbn&gt;&lt;_issue&gt;8&lt;/_issue&gt;&lt;_journal&gt;Engineering Structures&lt;/_journal&gt;&lt;_keywords&gt;Cable-stayed bridges; very long spans; aerodynamic stability; dynamic response to turbulent wind; cable vibration; flexible decks; extradossed bridges; multispan cable-stayed bridges&lt;/_keywords&gt;&lt;_modified&gt;59166822&lt;/_modified&gt;&lt;_pages&gt;737-755&lt;/_pages&gt;&lt;_url&gt;http://www.sciencedirect.com/science/article/pii/S0141029698000285 _x000a_http://pdn.sciencedirect.com/science?_ob=MiamiImageURL&amp;amp;_cid=271087&amp;amp;_user=1002983&amp;amp;_pii=S0141029698000285&amp;amp;_check=y&amp;amp;_origin=article&amp;amp;_zone=toolbar&amp;amp;_coverDate=31-Aug-1999&amp;amp;view=c&amp;amp;originContentFamily=serial&amp;amp;wchp=dGLbVlt-zSkzS&amp;amp;md5=385cd70768d860086b7d2254049f1ffe&amp;amp;pid=1-s2.0-S0141029698000285-main.pdf 全文链接_x000a_&lt;/_url&gt;&lt;_volume&gt;21&lt;/_volume&gt;&lt;/Details&gt;&lt;Extra&gt;&lt;DBUID&gt;{C833C268-2DD2-4BFD-9E86-C36B63EFE0FA}&lt;/DBUID&gt;&lt;/Extra&gt;&lt;/Item&gt;&lt;/References&gt;&lt;/Group&gt;&lt;Group&gt;&lt;References&gt;&lt;Item&gt;&lt;ID&gt;939&lt;/ID&gt;&lt;UID&gt;{AC55276A-FF62-4654-B1FD-3EC1656B4602}&lt;/UID&gt;&lt;Title&gt;超大跨度斜拉桥设计理论研究&lt;/Title&gt;&lt;Template&gt;Thesis&lt;/Template&gt;&lt;Star&gt;0&lt;/Star&gt;&lt;Tag&gt;5&lt;/Tag&gt;&lt;Author&gt;苗家武&lt;/Author&gt;&lt;Year&gt;2006&lt;/Year&gt;&lt;Details&gt;&lt;_accessed&gt;59055954&lt;/_accessed&gt;&lt;_created&gt;59055921&lt;/_created&gt;&lt;_date&gt;55923840&lt;/_date&gt;&lt;_db_provider&gt;北京万方数据股份有限公司&lt;/_db_provider&gt;&lt;_db_updated&gt;Wanfang - Thesis&lt;/_db_updated&gt;&lt;_keywords&gt;斜拉桥; 概念设计; 非线性; 结构弹性稳定性; 技术经济指标; 极限跨径; 施工控制&lt;/_keywords&gt;&lt;_language&gt;chi&lt;/_language&gt;&lt;_modified&gt;59055924&lt;/_modified&gt;&lt;_publisher&gt;同济大学&lt;/_publisher&gt;&lt;_section&gt;桥梁与隧道工程&lt;/_section&gt;&lt;_tertiary_author&gt;朱培京肖汝诚&lt;/_tertiary_author&gt;&lt;_url&gt;http://d.wanfangdata.com.cn/Thesis_Y1020360.aspx&lt;/_url&gt;&lt;_volume&gt;博士&lt;/_volume&gt;&lt;/Details&gt;&lt;Extra&gt;&lt;DBUID&gt;{C833C268-2DD2-4BFD-9E86-C36B63EFE0FA}&lt;/DBUID&gt;&lt;/Extra&gt;&lt;/Item&gt;&lt;/References&gt;&lt;/Group&gt;&lt;Group&gt;&lt;References&gt;&lt;Item&gt;&lt;ID&gt;1230&lt;/ID&gt;&lt;UID&gt;{AF69320F-3A57-4974-91C4-69C86B006184}&lt;/UID&gt;&lt;Title&gt;现代斜拉桥&lt;/Title&gt;&lt;Template&gt;Book&lt;/Template&gt;&lt;Star&gt;0&lt;/Star&gt;&lt;Tag&gt;5&lt;/Tag&gt;&lt;Author&gt;严国敏&lt;/Author&gt;&lt;Year&gt;1996&lt;/Year&gt;&lt;Details&gt;&lt;_accessed&gt;59096627&lt;/_accessed&gt;&lt;_created&gt;59096627&lt;/_created&gt;&lt;_modified&gt;59096627&lt;/_modified&gt;&lt;_place_published&gt;成都&lt;/_place_published&gt;&lt;_publisher&gt;西南交通大学出版社&lt;/_publisher&gt;&lt;/Details&gt;&lt;Extra&gt;&lt;DBUID&gt;{C833C268-2DD2-4BFD-9E86-C36B63EFE0FA}&lt;/DBUID&gt;&lt;/Extra&gt;&lt;/Item&gt;&lt;/References&gt;&lt;/Group&gt;&lt;Group&gt;&lt;References&gt;&lt;Item&gt;&lt;ID&gt;1232&lt;/ID&gt;&lt;UID&gt;{EDE566AA-2848-4A64-B824-5F8861F11984}&lt;/UID&gt;&lt;Title&gt;斜拉桥&lt;/Title&gt;&lt;Template&gt;Book&lt;/Template&gt;&lt;Star&gt;0&lt;/Star&gt;&lt;Tag&gt;5&lt;/Tag&gt;&lt;Author&gt;林元培&lt;/Author&gt;&lt;Year&gt;2004&lt;/Year&gt;&lt;Details&gt;&lt;_accessed&gt;59099573&lt;/_accessed&gt;&lt;_created&gt;59098685&lt;/_created&gt;&lt;_modified&gt;59098685&lt;/_modified&gt;&lt;_place_published&gt;北京&lt;/_place_published&gt;&lt;_publisher&gt;人民交通出版社&lt;/_publisher&gt;&lt;/Details&gt;&lt;Extra&gt;&lt;DBUID&gt;{C833C268-2DD2-4BFD-9E86-C36B63EFE0FA}&lt;/DBUID&gt;&lt;/Extra&gt;&lt;/Item&gt;&lt;/References&gt;&lt;/Group&gt;&lt;Group&gt;&lt;References&gt;&lt;Item&gt;&lt;ID&gt;1317&lt;/ID&gt;&lt;UID&gt;{2941D956-0851-4952-A473-6DB5CA7B81D3}&lt;/UID&gt;&lt;Title&gt;History and Aesthetics of Cable-stayed Bridges&lt;/Title&gt;&lt;Template&gt;Journal Article&lt;/Template&gt;&lt;Star&gt;1&lt;/Star&gt;&lt;Tag&gt;5&lt;/Tag&gt;&lt;Author&gt;Billington, David P; Nazmy, Aly&lt;/Author&gt;&lt;Year&gt;1991&lt;/Year&gt;&lt;Details&gt;&lt;_accessed&gt;59283220&lt;/_accessed&gt;&lt;_created&gt;59186411&lt;/_created&gt;&lt;_journal&gt;Journal of Structural Engineering&lt;/_journal&gt;&lt;_modified&gt;59186418&lt;/_modified&gt;&lt;_pages&gt;3103-3134&lt;/_pages&gt;&lt;_volume&gt;117&lt;/_volume&gt;&lt;/Details&gt;&lt;Extra&gt;&lt;DBUID&gt;{C833C268-2DD2-4BFD-9E86-C36B63EFE0FA}&lt;/DBUID&gt;&lt;/Extra&gt;&lt;/Item&gt;&lt;/References&gt;&lt;/Group&gt;&lt;Group&gt;&lt;References&gt;&lt;Item&gt;&lt;ID&gt;1337&lt;/ID&gt;&lt;UID&gt;{3989991F-920C-4E5B-9F9D-224FF5F97DEF}&lt;/UID&gt;&lt;Title&gt;Cable-stayed Bridges in Shanghai Where Chinese Recent Major Bridges Launched&lt;/Title&gt;&lt;Template&gt;Conference Paper&lt;/Template&gt;&lt;Star&gt;0&lt;/Star&gt;&lt;Tag&gt;0&lt;/Tag&gt;&lt;Author&gt;Ma, Biao; Lin, Yuanpei&lt;/Author&gt;&lt;Year&gt;2009&lt;/Year&gt;&lt;Details&gt;&lt;_accessed&gt;59212557&lt;/_accessed&gt;&lt;_created&gt;59212557&lt;/_created&gt;&lt;_modified&gt;59212561&lt;/_modified&gt;&lt;_place_published&gt;Shanghai&lt;/_place_published&gt;&lt;_tertiary_title&gt;IABSE Symposium Report&lt;/_tertiary_title&gt;&lt;/Details&gt;&lt;Extra&gt;&lt;DBUID&gt;{C833C268-2DD2-4BFD-9E86-C36B63EFE0FA}&lt;/DBUID&gt;&lt;/Extra&gt;&lt;/Item&gt;&lt;/References&gt;&lt;/Group&gt;&lt;Group&gt;&lt;References&gt;&lt;Item&gt;&lt;ID&gt;1344&lt;/ID&gt;&lt;UID&gt;{2F3A99F8-7E42-47D0-909D-86E8F349B391}&lt;/UID&gt;&lt;Title&gt;Construction Stage Analysis of Cable-Stayed Bridges&lt;/Title&gt;&lt;Template&gt;Thesis&lt;/Template&gt;&lt;Star&gt;0&lt;/Star&gt;&lt;Tag&gt;5&lt;/Tag&gt;&lt;Author&gt;Grabow, Marko Justus&lt;/Author&gt;&lt;Year&gt;2004&lt;/Year&gt;&lt;Details&gt;&lt;_accessed&gt;59243885&lt;/_accessed&gt;&lt;_created&gt;59228614&lt;/_created&gt;&lt;_modified&gt;59228615&lt;/_modified&gt;&lt;/Details&gt;&lt;Extra&gt;&lt;DBUID&gt;{C833C268-2DD2-4BFD-9E86-C36B63EFE0FA}&lt;/DBUID&gt;&lt;/Extra&gt;&lt;/Item&gt;&lt;/References&gt;&lt;/Group&gt;&lt;/Citation&gt;_x000a_"/>
    <w:docVar w:name="NE.Ref{A2FF0316-07C6-41A6-ACB8-D895DCBE1A4F}" w:val=" ADDIN NE.Ref.{A2FF0316-07C6-41A6-ACB8-D895DCBE1A4F}&lt;Citation&gt;&lt;Group&gt;&lt;References&gt;&lt;Item&gt;&lt;ID&gt;1311&lt;/ID&gt;&lt;UID&gt;{402E5EDA-54AF-493C-BFF4-3337215DF535}&lt;/UID&gt;&lt;Title&gt;Experience from the Global Analysis of  Stonecutter&amp;apos;s Bridge and Sutong Bridge&lt;/Title&gt;&lt;Template&gt;Conference Paper&lt;/Template&gt;&lt;Star&gt;0&lt;/Star&gt;&lt;Tag&gt;5&lt;/Tag&gt;&lt;Author&gt;Janjic, Dorian&lt;/Author&gt;&lt;Year&gt;2005&lt;/Year&gt;&lt;Details&gt;&lt;_accessed&gt;59187862&lt;/_accessed&gt;&lt;_created&gt;59182354&lt;/_created&gt;&lt;_modified&gt;59187862&lt;/_modified&gt;&lt;_place_published&gt;Lisbon&lt;/_place_published&gt;&lt;_tertiary_title&gt;IABSE Symposium Report&lt;/_tertiary_title&gt;&lt;/Details&gt;&lt;Extra&gt;&lt;DBUID&gt;{C833C268-2DD2-4BFD-9E86-C36B63EFE0FA}&lt;/DBUID&gt;&lt;/Extra&gt;&lt;/Item&gt;&lt;/References&gt;&lt;/Group&gt;&lt;Group&gt;&lt;References&gt;&lt;Item&gt;&lt;ID&gt;1314&lt;/ID&gt;&lt;UID&gt;{299863D0-5432-4EBB-A5A7-0EAE25CACAD8}&lt;/UID&gt;&lt;Title&gt;Sophisticated Non-Linear 4D Structural Analysis for Cable Stayed Bridges&lt;/Title&gt;&lt;Template&gt;Conference Paper&lt;/Template&gt;&lt;Star&gt;0&lt;/Star&gt;&lt;Tag&gt;5&lt;/Tag&gt;&lt;Author&gt;Janjic, Dorian; Bokan, Heinz; Sorsky, Harald&lt;/Author&gt;&lt;Year&gt;2008&lt;/Year&gt;&lt;Details&gt;&lt;_accessed&gt;59185161&lt;/_accessed&gt;&lt;_created&gt;59185149&lt;/_created&gt;&lt;_modified&gt;59185157&lt;/_modified&gt;&lt;_place_published&gt;Vancouver, BC, Canada&lt;/_place_published&gt;&lt;_publisher&gt;the Structural Engineering Institute (SEI) of the American Society of Civil Engineers&lt;/_publisher&gt;&lt;_secondary_title&gt;Structures 2008: Crossing Borders&lt;/_secondary_title&gt;&lt;/Details&gt;&lt;Extra&gt;&lt;DBUID&gt;{C833C268-2DD2-4BFD-9E86-C36B63EFE0FA}&lt;/DBUID&gt;&lt;/Extra&gt;&lt;/Item&gt;&lt;/References&gt;&lt;/Group&gt;&lt;Group&gt;&lt;References&gt;&lt;Item&gt;&lt;ID&gt;1009&lt;/ID&gt;&lt;UID&gt;{8BF4237F-34E7-4F56-8FCD-CD203D764A5A}&lt;/UID&gt;&lt;Title&gt;苏通大桥主航道桥总体静力分析&lt;/Title&gt;&lt;Template&gt;Journal Article&lt;/Template&gt;&lt;Star&gt;0&lt;/Star&gt;&lt;Tag&gt;5&lt;/Tag&gt;&lt;Author&gt;苗家武; 裴岷山; 肖汝诚; 张喜刚&lt;/Author&gt;&lt;Year&gt;2006&lt;/Year&gt;&lt;Details&gt;&lt;_author_adr&gt;同济大学,桥梁工程系,上海,200092; 中交公路规划设计院,北京,100010&lt;/_author_adr&gt;&lt;_author_aff&gt;同济大学,桥梁工程系,上海,200092; 中交公路规划设计院,北京,100010&lt;/_author_aff&gt;&lt;_created&gt;59057863&lt;/_created&gt;&lt;_db_provider&gt;北京万方数据股份有限公司&lt;/_db_provider&gt;&lt;_db_updated&gt;Wanfang - Journal&lt;/_db_updated&gt;&lt;_isbn&gt;1002-0268&lt;/_isbn&gt;&lt;_issue&gt;2&lt;/_issue&gt;&lt;_journal&gt;公路交通科技&lt;/_journal&gt;&lt;_keywords&gt;斜拉桥; 索力优化; 结构体系; 几何非线性; 结构分析&lt;/_keywords&gt;&lt;_language&gt;chi&lt;/_language&gt;&lt;_modified&gt;59057863&lt;/_modified&gt;&lt;_pages&gt;64-67&lt;/_pages&gt;&lt;_tertiary_title&gt;JOURNAL OF HIGHWAY AND TRANSPORTATION RESEARCH AND DEVELOPMENT&lt;/_tertiary_title&gt;&lt;_translated_author&gt;Jia-wu, MIAO; Min-shan, PEI; Ruc-heng, XIAO; Xi-gang, ZHANG&lt;/_translated_author&gt;&lt;_translated_title&gt;Global Static Analysis of the SuTong Cable-Stayed Bridge&lt;/_translated_title&gt;&lt;_url&gt;http://d.wanfangdata.com.cn/Periodical_gljtkj200602016.aspx _x000a_http://f.g.wanfangdata.com.cn/Fulltext.ashx?fileId=Periodical_gljtkj200602016&amp;amp;type=download&amp;amp;transaction=%7b%22ExtraData%22%3a%5b%5d%2c%22Transaction%22%3a%7b%22DateTime%22%3a%22%5c%2fDate(1334454325833%2b0800)%5c%2f%22%2c%22Id%22%3a%2216bdabe7-be5d-4aad-87e2-a03400a0cb17%22%2c%22ProductDetail%22%3a%22Periodical_gljtkj200602016%22%2c%22SessionId%22%3a%22b7ebde5e-b658-44d5-80eb-ea8b9d1c1397%22%2c%22Signature%22%3a%22mCOaiBEAoSiKDOnU5Vo8VlhQJiUUNH0eHnaIPNgboTptJBdOuS37fAfQGllAVLXa%22%2c%22TransferIn%22%3a%7b%22AccountType%22%3a%22Income%22%2c%22Key%22%3a%22PeriodicalFulltext%22%7d%2c%22TransferOut%22%3a%7b%22AccountType%22%3a%22GTimeLimit%22%2c%22Key%22%3a%22tjdxtsg%22%7d%2c%22Turnover%22%3a3.00000%2c%22User%22%3anull%7d%2c%22TransferOutAccountsStatus%22%3a%5b%5d%7d 全文链接_x000a_&lt;/_url&gt;&lt;_volume&gt;23&lt;/_volume&gt;&lt;/Details&gt;&lt;Extra&gt;&lt;DBUID&gt;{C833C268-2DD2-4BFD-9E86-C36B63EFE0FA}&lt;/DBUID&gt;&lt;/Extra&gt;&lt;/Item&gt;&lt;/References&gt;&lt;/Group&gt;&lt;/Citation&gt;_x000a_"/>
    <w:docVar w:name="NE.Ref{A3BFEB47-A0A8-4CA6-9C2D-CA42DCF5F273}" w:val=" ADDIN NE.Ref.{A3BFEB47-A0A8-4CA6-9C2D-CA42DCF5F273}&lt;Citation&gt;&lt;Group&gt;&lt;References&gt;&lt;Item&gt;&lt;ID&gt;1299&lt;/ID&gt;&lt;UID&gt;{DC74E34D-3E56-45F0-B873-41B4EE92911D}&lt;/UID&gt;&lt;Title&gt;Nolinear Analysis of Steel-Concrete composite structures:State of the Art&lt;/Title&gt;&lt;Template&gt;Journal Article&lt;/Template&gt;&lt;Star&gt;1&lt;/Star&gt;&lt;Tag&gt;5&lt;/Tag&gt;&lt;Author&gt;Spacone, Enrico; El-Tawil, Sherif&lt;/Author&gt;&lt;Year&gt;2004&lt;/Year&gt;&lt;Details&gt;&lt;_accessed&gt;59252854&lt;/_accessed&gt;&lt;_created&gt;59168673&lt;/_created&gt;&lt;_issue&gt;2&lt;/_issue&gt;&lt;_journal&gt;Journal of Structural Engineering&lt;/_journal&gt;&lt;_modified&gt;59168725&lt;/_modified&gt;&lt;_pages&gt;159-168&lt;/_pages&gt;&lt;_tertiary_title&gt;Journal of Structural Engineering&lt;/_tertiary_title&gt;&lt;_translated_author&gt;Spacone, Enrico; El-Tawil, Sherif&lt;/_translated_author&gt;&lt;_volume&gt;130&lt;/_volume&gt;&lt;/Details&gt;&lt;Extra&gt;&lt;DBUID&gt;{C833C268-2DD2-4BFD-9E86-C36B63EFE0FA}&lt;/DBUID&gt;&lt;/Extra&gt;&lt;/Item&gt;&lt;/References&gt;&lt;/Group&gt;&lt;/Citation&gt;_x000a_"/>
    <w:docVar w:name="NE.Ref{A3FE7A09-3DBA-4BB6-AAA7-BDFEB575213A}" w:val=" ADDIN NE.Ref.{A3FE7A09-3DBA-4BB6-AAA7-BDFEB575213A}&lt;Citation&gt;&lt;Group&gt;&lt;References&gt;&lt;Item&gt;&lt;ID&gt;1172&lt;/ID&gt;&lt;UID&gt;{D77456F1-1F83-4302-92E0-05F0BCC9DE61}&lt;/UID&gt;&lt;Title&gt;Study on Nonlinear Analysis of a Highly Redundant Cable-stayed Bridge&lt;/Title&gt;&lt;Template&gt;Journal Article&lt;/Template&gt;&lt;Star&gt;1&lt;/Star&gt;&lt;Tag&gt;5&lt;/Tag&gt;&lt;Author&gt;Wang, Pao-Hsii; Lin, Hung-Ta; Tang, Tzu-Yang&lt;/Author&gt;&lt;Year&gt;2002&lt;/Year&gt;&lt;Details&gt;&lt;_accessed&gt;59189509&lt;/_accessed&gt;&lt;_alternate_title&gt;Computers &amp;amp;amp; Structures&lt;/_alternate_title&gt;&lt;_created&gt;59066503&lt;/_created&gt;&lt;_date_display&gt;2002/1//&lt;/_date_display&gt;&lt;_db_updated&gt;ScienceDirect&lt;/_db_updated&gt;&lt;_isbn&gt;0045-7949&lt;/_isbn&gt;&lt;_issue&gt;2&lt;/_issue&gt;&lt;_journal&gt;Computers &amp;amp;amp; Structures&lt;/_journal&gt;&lt;_keywords&gt;Cable-stayed bridge; Nonlinear analysis; Shape finding&lt;/_keywords&gt;&lt;_modified&gt;59189509&lt;/_modified&gt;&lt;_pages&gt;165-182&lt;/_pages&gt;&lt;_url&gt;http://www.sciencedirect.com/science/article/pii/S0045794901001663&lt;/_url&gt;&lt;_volume&gt;80&lt;/_volume&gt;&lt;/Details&gt;&lt;Extra&gt;&lt;DBUID&gt;{C833C268-2DD2-4BFD-9E86-C36B63EFE0FA}&lt;/DBUID&gt;&lt;/Extra&gt;&lt;/Item&gt;&lt;/References&gt;&lt;/Group&gt;&lt;/Citation&gt;_x000a_"/>
    <w:docVar w:name="NE.Ref{A704153D-F7D4-4BA4-9E22-1DA79EFC8010}" w:val=" ADDIN NE.Ref.{A704153D-F7D4-4BA4-9E22-1DA79EFC8010}&lt;Citation&gt;&lt;Group&gt;&lt;References&gt;&lt;Item&gt;&lt;ID&gt;1344&lt;/ID&gt;&lt;UID&gt;{2F3A99F8-7E42-47D0-909D-86E8F349B391}&lt;/UID&gt;&lt;Title&gt;Construction Stage Analysis of Cable-Stayed Bridges&lt;/Title&gt;&lt;Template&gt;Thesis&lt;/Template&gt;&lt;Star&gt;0&lt;/Star&gt;&lt;Tag&gt;5&lt;/Tag&gt;&lt;Author&gt;Grabow, Marko Justus&lt;/Author&gt;&lt;Year&gt;2004&lt;/Year&gt;&lt;Details&gt;&lt;_accessed&gt;59243885&lt;/_accessed&gt;&lt;_created&gt;59228614&lt;/_created&gt;&lt;_modified&gt;59228615&lt;/_modified&gt;&lt;/Details&gt;&lt;Extra&gt;&lt;DBUID&gt;{C833C268-2DD2-4BFD-9E86-C36B63EFE0FA}&lt;/DBUID&gt;&lt;/Extra&gt;&lt;/Item&gt;&lt;/References&gt;&lt;/Group&gt;&lt;/Citation&gt;_x000a_"/>
    <w:docVar w:name="NE.Ref{A8E19B07-216A-4E8A-8496-AB66D7BC1B96}" w:val=" ADDIN NE.Ref.{A8E19B07-216A-4E8A-8496-AB66D7BC1B96}&lt;Citation&gt;&lt;Group&gt;&lt;References&gt;&lt;Item&gt;&lt;ID&gt;1233&lt;/ID&gt;&lt;UID&gt;{BDC38191-7B46-4CD9-85CB-5DD121038AB9}&lt;/UID&gt;&lt;Title&gt;组合结构桥梁&lt;/Title&gt;&lt;Template&gt;Book&lt;/Template&gt;&lt;Star&gt;0&lt;/Star&gt;&lt;Tag&gt;5&lt;/Tag&gt;&lt;Author&gt;刘玉擎&lt;/Author&gt;&lt;Year&gt;2005&lt;/Year&gt;&lt;Details&gt;&lt;_accessed&gt;59108587&lt;/_accessed&gt;&lt;_created&gt;59099573&lt;/_created&gt;&lt;_modified&gt;59099573&lt;/_modified&gt;&lt;_place_published&gt;北京&lt;/_place_published&gt;&lt;_publisher&gt;人民交通出版社&lt;/_publisher&gt;&lt;/Details&gt;&lt;Extra&gt;&lt;DBUID&gt;{C833C268-2DD2-4BFD-9E86-C36B63EFE0FA}&lt;/DBUID&gt;&lt;/Extra&gt;&lt;/Item&gt;&lt;/References&gt;&lt;/Group&gt;&lt;Group&gt;&lt;References&gt;&lt;Item&gt;&lt;ID&gt;1249&lt;/ID&gt;&lt;UID&gt;{1F531CAC-F93E-482F-8FF8-C73871B3349E}&lt;/UID&gt;&lt;Title&gt;欧洲规范4 钢-混凝土组合梁设计方法（3）──组合梁的内力分析&lt;/Title&gt;&lt;Template&gt;Journal Article&lt;/Template&gt;&lt;Star&gt;1&lt;/Star&gt;&lt;Tag&gt;5&lt;/Tag&gt;&lt;Author&gt;胡夏闵&lt;/Author&gt;&lt;Year&gt;1995&lt;/Year&gt;&lt;Details&gt;&lt;_accessed&gt;59128788&lt;/_accessed&gt;&lt;_created&gt;59128750&lt;/_created&gt;&lt;_issue&gt;11&lt;/_issue&gt;&lt;_journal&gt;工业建筑&lt;/_journal&gt;&lt;_modified&gt;59128789&lt;/_modified&gt;&lt;_tertiary_title&gt;Industrial Construction&lt;/_tertiary_title&gt;&lt;_translated_author&gt;Xiamin, Hu&lt;/_translated_author&gt;&lt;_translated_title&gt;DESIGN METHOD OF EUROCODE 4 FOR STEEL-CONCRETE COMPOSITE BEAMS(3)-INTERNAL FORCE ANALYSIS OF COMPOSITE BEAM&lt;/_translated_title&gt;&lt;_volume&gt;25&lt;/_volume&gt;&lt;/Details&gt;&lt;Extra&gt;&lt;DBUID&gt;{C833C268-2DD2-4BFD-9E86-C36B63EFE0FA}&lt;/DBUID&gt;&lt;/Extra&gt;&lt;/Item&gt;&lt;/References&gt;&lt;/Group&gt;&lt;/Citation&gt;_x000a_"/>
    <w:docVar w:name="NE.Ref{A90C2426-82BD-4498-8152-8E6724C119BF}" w:val=" ADDIN NE.Ref.{A90C2426-82BD-4498-8152-8E6724C119BF}&lt;Citation&gt;&lt;Group&gt;&lt;References&gt;&lt;Item&gt;&lt;ID&gt;1233&lt;/ID&gt;&lt;UID&gt;{BDC38191-7B46-4CD9-85CB-5DD121038AB9}&lt;/UID&gt;&lt;Title&gt;组合结构桥梁&lt;/Title&gt;&lt;Template&gt;Book&lt;/Template&gt;&lt;Star&gt;0&lt;/Star&gt;&lt;Tag&gt;5&lt;/Tag&gt;&lt;Author&gt;刘玉擎&lt;/Author&gt;&lt;Year&gt;2005&lt;/Year&gt;&lt;Details&gt;&lt;_accessed&gt;59108587&lt;/_accessed&gt;&lt;_created&gt;59099573&lt;/_created&gt;&lt;_modified&gt;59099573&lt;/_modified&gt;&lt;_place_published&gt;北京&lt;/_place_published&gt;&lt;_publisher&gt;人民交通出版社&lt;/_publisher&gt;&lt;/Details&gt;&lt;Extra&gt;&lt;DBUID&gt;{C833C268-2DD2-4BFD-9E86-C36B63EFE0FA}&lt;/DBUID&gt;&lt;/Extra&gt;&lt;/Item&gt;&lt;/References&gt;&lt;/Group&gt;&lt;/Citation&gt;_x000a_"/>
    <w:docVar w:name="NE.Ref{ABEBA294-F2FE-4E08-AB2B-8BDA5418BE3C}" w:val=" ADDIN NE.Ref.{ABEBA294-F2FE-4E08-AB2B-8BDA5418BE3C}&lt;Citation&gt;&lt;Group&gt;&lt;References&gt;&lt;Item&gt;&lt;ID&gt;1227&lt;/ID&gt;&lt;UID&gt;{9060A81E-8BCE-4D7B-8ED8-EF6ED813B00F}&lt;/UID&gt;&lt;Title&gt;Fully nonlinear analysis of composite girder cable-stayed bridges&lt;/Title&gt;&lt;Template&gt;Journal Article&lt;/Template&gt;&lt;Star&gt;1&lt;/Star&gt;&lt;Tag&gt;5&lt;/Tag&gt;&lt;Author&gt;Adeli, H; Zhang, J&lt;/Author&gt;&lt;Year&gt;1995&lt;/Year&gt;&lt;Details&gt;&lt;_accessed&gt;59113164&lt;/_accessed&gt;&lt;_alternate_title&gt;Computers &amp;amp;amp; Structures&lt;/_alternate_title&gt;&lt;_created&gt;59095915&lt;/_created&gt;&lt;_date_display&gt;1995/1/17/&lt;/_date_display&gt;&lt;_db_updated&gt;ScienceDirect&lt;/_db_updated&gt;&lt;_isbn&gt;0045-7949&lt;/_isbn&gt;&lt;_issue&gt;2&lt;/_issue&gt;&lt;_journal&gt;Computers &amp;amp;amp; Structures&lt;/_journal&gt;&lt;_modified&gt;59095917&lt;/_modified&gt;&lt;_pages&gt;267-277&lt;/_pages&gt;&lt;_url&gt;http://www.sciencedirect.com/science/article/pii/004579499400332W&lt;/_url&gt;&lt;_volume&gt;54&lt;/_volume&gt;&lt;/Details&gt;&lt;Extra&gt;&lt;DBUID&gt;{C833C268-2DD2-4BFD-9E86-C36B63EFE0FA}&lt;/DBUID&gt;&lt;/Extra&gt;&lt;/Item&gt;&lt;/References&gt;&lt;/Group&gt;&lt;/Citation&gt;_x000a_"/>
    <w:docVar w:name="NE.Ref{ACCD9A6A-5206-43BE-BFCA-A1FCB6EC0A5C}" w:val=" ADDIN NE.Ref.{ACCD9A6A-5206-43BE-BFCA-A1FCB6EC0A5C}&lt;Citation&gt;&lt;Group&gt;&lt;References&gt;&lt;Item&gt;&lt;ID&gt;1220&lt;/ID&gt;&lt;UID&gt;{44299563-78DB-4C7A-B816-C6C78526168D}&lt;/UID&gt;&lt;Title&gt;桥梁概念设计&lt;/Title&gt;&lt;Template&gt;Book&lt;/Template&gt;&lt;Star&gt;0&lt;/Star&gt;&lt;Tag&gt;5&lt;/Tag&gt;&lt;Author&gt;项海帆等&lt;/Author&gt;&lt;Year&gt;2011&lt;/Year&gt;&lt;Details&gt;&lt;_accessed&gt;59118998&lt;/_accessed&gt;&lt;_created&gt;59093005&lt;/_created&gt;&lt;_modified&gt;59108700&lt;/_modified&gt;&lt;_publisher&gt;人民交通出版社&lt;/_publisher&gt;&lt;/Details&gt;&lt;Extra&gt;&lt;DBUID&gt;{C833C268-2DD2-4BFD-9E86-C36B63EFE0FA}&lt;/DBUID&gt;&lt;/Extra&gt;&lt;/Item&gt;&lt;/References&gt;&lt;/Group&gt;&lt;/Citation&gt;_x000a_"/>
    <w:docVar w:name="NE.Ref{AE2EC846-5154-41EA-9443-6694EC12D89B}" w:val=" ADDIN NE.Ref.{AE2EC846-5154-41EA-9443-6694EC12D89B}&lt;Citation&gt;&lt;Group&gt;&lt;References&gt;&lt;Item&gt;&lt;ID&gt;1310&lt;/ID&gt;&lt;UID&gt;{90970326-41C8-422A-9765-91F2882212A0}&lt;/UID&gt;&lt;Title&gt;Optimisation of the Tensioning Schedule for Cable-Stayed Bridges Using Dynamic Software&lt;/Title&gt;&lt;Template&gt;Conference Paper&lt;/Template&gt;&lt;Star&gt;0&lt;/Star&gt;&lt;Tag&gt;5&lt;/Tag&gt;&lt;Author&gt;Bokan, Heinz; Janjic, Dorian; HEIDEN, Marko&lt;/Author&gt;&lt;Year&gt;2006&lt;/Year&gt;&lt;Details&gt;&lt;_accessed&gt;59182355&lt;/_accessed&gt;&lt;_created&gt;59180909&lt;/_created&gt;&lt;_modified&gt;59180928&lt;/_modified&gt;&lt;_place_published&gt;Budapest&lt;/_place_published&gt;&lt;_secondary_title&gt;IABSE Symposium&lt;/_secondary_title&gt;&lt;_tertiary_title&gt;IABSE Symposium Report&lt;/_tertiary_title&gt;&lt;/Details&gt;&lt;Extra&gt;&lt;DBUID&gt;{C833C268-2DD2-4BFD-9E86-C36B63EFE0FA}&lt;/DBUID&gt;&lt;/Extra&gt;&lt;/Item&gt;&lt;/References&gt;&lt;/Group&gt;&lt;/Citation&gt;_x000a_"/>
    <w:docVar w:name="NE.Ref{AEB937D7-3725-4B17-BE8D-69C561871660}" w:val=" ADDIN NE.Ref.{AEB937D7-3725-4B17-BE8D-69C561871660}&lt;Citation&gt;&lt;Group&gt;&lt;References&gt;&lt;Item&gt;&lt;ID&gt;1315&lt;/ID&gt;&lt;UID&gt;{4EB790E2-260A-4A35-8024-A32BCCF43752}&lt;/UID&gt;&lt;Title&gt;Towards a Wholistic Approach to Bridge Design&lt;/Title&gt;&lt;Template&gt;Conference Paper&lt;/Template&gt;&lt;Star&gt;0&lt;/Star&gt;&lt;Tag&gt;5&lt;/Tag&gt;&lt;Author&gt;Pircher, Martin; Janjic, Dorian; Pircher, Heinz; Bridge, Russel Q&lt;/Author&gt;&lt;Year&gt;2002&lt;/Year&gt;&lt;Details&gt;&lt;_created&gt;59185149&lt;/_created&gt;&lt;_modified&gt;59185361&lt;/_modified&gt;&lt;_accessed&gt;59185360&lt;/_accessed&gt;&lt;_db_provider&gt;IABSE Symposium Report&lt;/_db_provider&gt;&lt;_place_published&gt;Melbourne&lt;/_place_published&gt;&lt;_secondary_title&gt;IABSE Symposium:Towards a Better Built Environment - Innovation, Sustainability, Information Technology&lt;/_secondary_title&gt;&lt;/Details&gt;&lt;Extra&gt;&lt;DBUID&gt;{C833C268-2DD2-4BFD-9E86-C36B63EFE0FA}&lt;/DBUID&gt;&lt;/Extra&gt;&lt;/Item&gt;&lt;/References&gt;&lt;/Group&gt;&lt;/Citation&gt;_x000a_"/>
    <w:docVar w:name="NE.Ref{B0FF6D44-6152-4FC6-900B-297390B451B3}" w:val=" ADDIN NE.Ref.{B0FF6D44-6152-4FC6-900B-297390B451B3}&lt;Citation&gt;&lt;Group&gt;&lt;References&gt;&lt;Item&gt;&lt;ID&gt;1203&lt;/ID&gt;&lt;UID&gt;{0E0C81D1-C4C1-401E-BFFC-1B81A06082C0}&lt;/UID&gt;&lt;Title&gt;葡萄牙欧罗巴大桥的概念和结构设计&lt;/Title&gt;&lt;Template&gt;Journal Article&lt;/Template&gt;&lt;Star&gt;1&lt;/Star&gt;&lt;Tag&gt;5&lt;/Tag&gt;&lt;Author&gt;李晓莉; 胡志坚&lt;/Author&gt;&lt;Year&gt;2005&lt;/Year&gt;&lt;Details&gt;&lt;_author_adr&gt;同济大学桥梁工程系,上海,200092&lt;/_author_adr&gt;&lt;_author_aff&gt;同济大学桥梁工程系,上海,200092&lt;/_author_aff&gt;&lt;_created&gt;59090210&lt;/_created&gt;&lt;_db_provider&gt;北京万方数据股份有限公司&lt;/_db_provider&gt;&lt;_db_updated&gt;Wanfang - Journal&lt;/_db_updated&gt;&lt;_isbn&gt;1671-7767&lt;/_isbn&gt;&lt;_issue&gt;4&lt;/_issue&gt;&lt;_journal&gt;世界桥梁&lt;/_journal&gt;&lt;_keywords&gt;斜拉桥; 组合桁架; 斜拉索; 预制节段; 桥梁设计&lt;/_keywords&gt;&lt;_language&gt;chi&lt;/_language&gt;&lt;_modified&gt;59090210&lt;/_modified&gt;&lt;_pages&gt;21-24&lt;/_pages&gt;&lt;_tertiary_title&gt;WORLD BRIDGES&lt;/_tertiary_title&gt;&lt;_url&gt;http://d.wanfangdata.com.cn/Periodical_gwql200504006.aspx _x000a_http://f.g.wanfangdata.com.cn/Fulltext.ashx?fileId=Periodical_gwql200504006&amp;amp;type=download&amp;amp;transaction=%7b%22ExtraData%22%3a%5b%5d%2c%22Transaction%22%3a%7b%22DateTime%22%3a%22%5c%2fDate(1336481911316%2b0800)%5c%2f%22%2c%22Id%22%3a%2260cea3dd-b264-472e-8f7b-a04b0159a9d5%22%2c%22ProductDetail%22%3a%22Periodical_gwql200504006%22%2c%22SessionId%22%3a%22e60aa227-5085-4abf-8407-e774905809bc%22%2c%22Signature%22%3a%22dcegTXT%5c%2feZPyo%2bxnXpNG2c%2b1cwjtqlGOJ1osblHKpK2%2bLFTC4E4LiocOdemA5Xz%2b%22%2c%22TransferIn%22%3a%7b%22AccountType%22%3a%22Income%22%2c%22Key%22%3a%22PeriodicalFulltext%22%7d%2c%22TransferOut%22%3a%7b%22AccountType%22%3a%22GTimeLimit%22%2c%22Key%22%3a%22tjdxtsg%22%7d%2c%22Turnover%22%3a3.00000%2c%22User%22%3anull%7d%2c%22TransferOutAccountsStatus%22%3a%5b%5d%7d 全文链接_x000a_&lt;/_url&gt;&lt;/Details&gt;&lt;Extra&gt;&lt;DBUID&gt;{C833C268-2DD2-4BFD-9E86-C36B63EFE0FA}&lt;/DBUID&gt;&lt;/Extra&gt;&lt;/Item&gt;&lt;/References&gt;&lt;/Group&gt;&lt;/Citation&gt;_x000a_"/>
    <w:docVar w:name="NE.Ref{B102BF39-462B-451B-8514-11F951DF85E4}" w:val=" ADDIN NE.Ref.{B102BF39-462B-451B-8514-11F951DF85E4}&lt;Citation&gt;&lt;Group&gt;&lt;References&gt;&lt;Item&gt;&lt;ID&gt;1430&lt;/ID&gt;&lt;UID&gt;{4C1552DE-0896-4545-AC40-A2497F5ED84D}&lt;/UID&gt;&lt;Title&gt;四方台大桥斜拉桥上部结构设计&lt;/Title&gt;&lt;Template&gt;Journal Article&lt;/Template&gt;&lt;Star&gt;1&lt;/Star&gt;&lt;Tag&gt;5&lt;/Tag&gt;&lt;Author&gt;聂玉东; 齐琳; 邢明明&lt;/Author&gt;&lt;Year&gt;2007&lt;/Year&gt;&lt;Details&gt;&lt;_accessed&gt;59319553&lt;/_accessed&gt;&lt;_created&gt;59319553&lt;/_created&gt;&lt;_issue&gt;6&lt;/_issue&gt;&lt;_journal&gt;黑龙江交通科技&lt;/_journal&gt;&lt;_modified&gt;59319555&lt;/_modified&gt;&lt;_pages&gt;79-82&lt;/_pages&gt;&lt;/Details&gt;&lt;Extra&gt;&lt;DBUID&gt;{C833C268-2DD2-4BFD-9E86-C36B63EFE0FA}&lt;/DBUID&gt;&lt;/Extra&gt;&lt;/Item&gt;&lt;/References&gt;&lt;/Group&gt;&lt;/Citation&gt;_x000a_"/>
    <w:docVar w:name="NE.Ref{B133D369-0D94-48FC-BD8D-D367318AFC52}" w:val=" ADDIN NE.Ref.{B133D369-0D94-48FC-BD8D-D367318AFC52}&lt;Citation&gt;&lt;Group&gt;&lt;References&gt;&lt;Item&gt;&lt;ID&gt;1311&lt;/ID&gt;&lt;UID&gt;{402E5EDA-54AF-493C-BFF4-3337215DF535}&lt;/UID&gt;&lt;Title&gt;Experience from the Global Analysis of  Stonecutter&amp;apos;s Bridge and Sutong Bridge&lt;/Title&gt;&lt;Template&gt;Conference Paper&lt;/Template&gt;&lt;Star&gt;0&lt;/Star&gt;&lt;Tag&gt;5&lt;/Tag&gt;&lt;Author&gt;Janjic, Dorian&lt;/Author&gt;&lt;Year&gt;2005&lt;/Year&gt;&lt;Details&gt;&lt;_accessed&gt;59187862&lt;/_accessed&gt;&lt;_created&gt;59182354&lt;/_created&gt;&lt;_modified&gt;59187862&lt;/_modified&gt;&lt;_place_published&gt;Lisbon&lt;/_place_published&gt;&lt;_tertiary_title&gt;IABSE Symposium Report&lt;/_tertiary_title&gt;&lt;/Details&gt;&lt;Extra&gt;&lt;DBUID&gt;{C833C268-2DD2-4BFD-9E86-C36B63EFE0FA}&lt;/DBUID&gt;&lt;/Extra&gt;&lt;/Item&gt;&lt;/References&gt;&lt;/Group&gt;&lt;/Citation&gt;_x000a_"/>
    <w:docVar w:name="NE.Ref{B19083BE-0CD9-4AAF-8A4D-E3D14E25A224}" w:val=" ADDIN NE.Ref.{B19083BE-0CD9-4AAF-8A4D-E3D14E25A224}&lt;Citation&gt;&lt;Group&gt;&lt;References&gt;&lt;Item&gt;&lt;ID&gt;1343&lt;/ID&gt;&lt;UID&gt;{E2A3C129-EB98-4585-BFDC-3100E52D2E32}&lt;/UID&gt;&lt;Title&gt;Cable Loss Analyses and Collapse Behavior of Cable-stayed Bridges&lt;/Title&gt;&lt;Template&gt;Conference Paper&lt;/Template&gt;&lt;Star&gt;1&lt;/Star&gt;&lt;Tag&gt;5&lt;/Tag&gt;&lt;Author&gt;Wolff, M; Starossek, U&lt;/Author&gt;&lt;Year&gt;2010&lt;/Year&gt;&lt;Details&gt;&lt;_accessed&gt;59228504&lt;/_accessed&gt;&lt;_created&gt;59228504&lt;/_created&gt;&lt;_modified&gt;59228508&lt;/_modified&gt;&lt;_place_published&gt;Philadelphia, USA&lt;/_place_published&gt;&lt;_secondary_title&gt;The Fifth International Conference on Bridge Maintenance, Safety and Management&lt;/_secondary_title&gt;&lt;/Details&gt;&lt;Extra&gt;&lt;DBUID&gt;{C833C268-2DD2-4BFD-9E86-C36B63EFE0FA}&lt;/DBUID&gt;&lt;/Extra&gt;&lt;/Item&gt;&lt;/References&gt;&lt;/Group&gt;&lt;/Citation&gt;_x000a_"/>
    <w:docVar w:name="NE.Ref{B5F20C3F-9E57-4AB9-90F9-57291FB621B0}" w:val=" ADDIN NE.Ref.{B5F20C3F-9E57-4AB9-90F9-57291FB621B0}&lt;Citation&gt;&lt;Group&gt;&lt;References&gt;&lt;Item&gt;&lt;ID&gt;1236&lt;/ID&gt;&lt;UID&gt;{668FD882-381A-436E-9F72-7DB4F9F8AFF2}&lt;/UID&gt;&lt;Title&gt;Eurocode 4 Design of Composite Steel and Concrete Structures-Part2: General Rules and Rules for Bridges&lt;/Title&gt;&lt;Template&gt;Standard&lt;/Template&gt;&lt;Star&gt;0&lt;/Star&gt;&lt;Tag&gt;4&lt;/Tag&gt;&lt;Author/&gt;&lt;Year&gt;2005&lt;/Year&gt;&lt;Details&gt;&lt;_accessed&gt;59129088&lt;/_accessed&gt;&lt;_created&gt;59101286&lt;/_created&gt;&lt;_modified&gt;59128929&lt;/_modified&gt;&lt;/Details&gt;&lt;Extra&gt;&lt;DBUID&gt;{C833C268-2DD2-4BFD-9E86-C36B63EFE0FA}&lt;/DBUID&gt;&lt;/Extra&gt;&lt;/Item&gt;&lt;/References&gt;&lt;/Group&gt;&lt;/Citation&gt;_x000a_"/>
    <w:docVar w:name="NE.Ref{B638E332-6A5A-4A45-A948-0EE52419936B}" w:val=" ADDIN NE.Ref.{B638E332-6A5A-4A45-A948-0EE52419936B}&lt;Citation&gt;&lt;Group&gt;&lt;References&gt;&lt;Item&gt;&lt;ID&gt;1236&lt;/ID&gt;&lt;UID&gt;{668FD882-381A-436E-9F72-7DB4F9F8AFF2}&lt;/UID&gt;&lt;Title&gt;Eurocode 4.Design of Composite Steel and Concrete Structures. Part2. General Rules and Rules for Bridges&lt;/Title&gt;&lt;Template&gt;Standard&lt;/Template&gt;&lt;Star&gt;0&lt;/Star&gt;&lt;Tag&gt;5&lt;/Tag&gt;&lt;Author&gt;EN&lt;/Author&gt;&lt;Year&gt;2005&lt;/Year&gt;&lt;Details&gt;&lt;_accessed&gt;59108718&lt;/_accessed&gt;&lt;_created&gt;59101286&lt;/_created&gt;&lt;_modified&gt;59108718&lt;/_modified&gt;&lt;_place_published&gt;Belgium&lt;/_place_published&gt;&lt;_secondary_author&gt;Standardization, European Committee For&lt;/_secondary_author&gt;&lt;/Details&gt;&lt;Extra&gt;&lt;DBUID&gt;{C833C268-2DD2-4BFD-9E86-C36B63EFE0FA}&lt;/DBUID&gt;&lt;/Extra&gt;&lt;/Item&gt;&lt;/References&gt;&lt;/Group&gt;&lt;Group&gt;&lt;References&gt;&lt;Item&gt;&lt;ID&gt;1238&lt;/ID&gt;&lt;UID&gt;{1E28F0FF-BD4F-486F-9422-706A4F0161D5}&lt;/UID&gt;&lt;Title&gt;钢-混凝土组合结构桥梁&lt;/Title&gt;&lt;Template&gt;Book&lt;/Template&gt;&lt;Star&gt;0&lt;/Star&gt;&lt;Tag&gt;5&lt;/Tag&gt;&lt;Author&gt;聂建国&lt;/Author&gt;&lt;Year&gt;2011&lt;/Year&gt;&lt;Details&gt;&lt;_accessed&gt;59108587&lt;/_accessed&gt;&lt;_created&gt;59108580&lt;/_created&gt;&lt;_modified&gt;59108587&lt;/_modified&gt;&lt;_publisher&gt;人民交通出版社&lt;/_publisher&gt;&lt;/Details&gt;&lt;Extra&gt;&lt;DBUID&gt;{C833C268-2DD2-4BFD-9E86-C36B63EFE0FA}&lt;/DBUID&gt;&lt;/Extra&gt;&lt;/Item&gt;&lt;/References&gt;&lt;/Group&gt;&lt;/Citation&gt;_x000a_"/>
    <w:docVar w:name="NE.Ref{B6FCB2C1-BB30-4C81-A6A7-B5F83C100978}" w:val=" ADDIN NE.Ref.{B6FCB2C1-BB30-4C81-A6A7-B5F83C100978}&lt;Citation&gt;&lt;Group&gt;&lt;References&gt;&lt;Item&gt;&lt;ID&gt;1315&lt;/ID&gt;&lt;UID&gt;{4EB790E2-260A-4A35-8024-A32BCCF43752}&lt;/UID&gt;&lt;Title&gt;Towards a Wholistic Approach to Bridge Design&lt;/Title&gt;&lt;Template&gt;Conference Paper&lt;/Template&gt;&lt;Star&gt;0&lt;/Star&gt;&lt;Tag&gt;5&lt;/Tag&gt;&lt;Author&gt;Pircher, Martin; Janjic, Dorian; Pircher, Heinz; Bridge, Russel Q&lt;/Author&gt;&lt;Year&gt;2002&lt;/Year&gt;&lt;Details&gt;&lt;_accessed&gt;59185360&lt;/_accessed&gt;&lt;_created&gt;59185149&lt;/_created&gt;&lt;_db_provider&gt;IABSE Symposium Report&lt;/_db_provider&gt;&lt;_modified&gt;59185361&lt;/_modified&gt;&lt;_place_published&gt;Melbourne&lt;/_place_published&gt;&lt;_secondary_title&gt;IABSE Symposium:Towards a Better Built Environment - Innovation, Sustainability, Information Technology&lt;/_secondary_title&gt;&lt;/Details&gt;&lt;Extra&gt;&lt;DBUID&gt;{C833C268-2DD2-4BFD-9E86-C36B63EFE0FA}&lt;/DBUID&gt;&lt;/Extra&gt;&lt;/Item&gt;&lt;/References&gt;&lt;/Group&gt;&lt;/Citation&gt;_x000a_"/>
    <w:docVar w:name="NE.Ref{B82DB2AD-C6D1-4115-BF25-C033FFF83F9E}" w:val=" ADDIN NE.Ref.{B82DB2AD-C6D1-4115-BF25-C033FFF83F9E}&lt;Citation&gt;&lt;Group&gt;&lt;References&gt;&lt;Item&gt;&lt;ID&gt;1220&lt;/ID&gt;&lt;UID&gt;{44299563-78DB-4C7A-B816-C6C78526168D}&lt;/UID&gt;&lt;Title&gt;桥梁概念设计&lt;/Title&gt;&lt;Template&gt;Book&lt;/Template&gt;&lt;Star&gt;0&lt;/Star&gt;&lt;Tag&gt;5&lt;/Tag&gt;&lt;Author&gt;项海帆等&lt;/Author&gt;&lt;Year&gt;2011&lt;/Year&gt;&lt;Details&gt;&lt;_accessed&gt;59118998&lt;/_accessed&gt;&lt;_created&gt;59093005&lt;/_created&gt;&lt;_modified&gt;59108700&lt;/_modified&gt;&lt;_publisher&gt;人民交通出版社&lt;/_publisher&gt;&lt;/Details&gt;&lt;Extra&gt;&lt;DBUID&gt;{C833C268-2DD2-4BFD-9E86-C36B63EFE0FA}&lt;/DBUID&gt;&lt;/Extra&gt;&lt;/Item&gt;&lt;/References&gt;&lt;/Group&gt;&lt;/Citation&gt;_x000a_"/>
    <w:docVar w:name="NE.Ref{B8D0B444-5F30-4EDB-A18C-D07DEC4AA015}" w:val=" ADDIN NE.Ref.{B8D0B444-5F30-4EDB-A18C-D07DEC4AA015}&lt;Citation&gt;&lt;Group&gt;&lt;References&gt;&lt;Item&gt;&lt;ID&gt;1157&lt;/ID&gt;&lt;UID&gt;{4D9C709B-5A89-43BC-B670-DB4A646435D7}&lt;/UID&gt;&lt;Title&gt;Nonlinear analysis of composite steel–concrete cable-stayed bridges&lt;/Title&gt;&lt;Template&gt;Journal Article&lt;/Template&gt;&lt;Star&gt;1&lt;/Star&gt;&lt;Tag&gt;5&lt;/Tag&gt;&lt;Author&gt;Oliveira Pedro, José J; Reis, António J&lt;/Author&gt;&lt;Year&gt;2010&lt;/Year&gt;&lt;Details&gt;&lt;_accessed&gt;59280103&lt;/_accessed&gt;&lt;_alternate_title&gt;Engineering Structures&lt;/_alternate_title&gt;&lt;_created&gt;59066503&lt;/_created&gt;&lt;_date_display&gt;2010/9//&lt;/_date_display&gt;&lt;_db_updated&gt;ScienceDirect&lt;/_db_updated&gt;&lt;_isbn&gt;0141-0296&lt;/_isbn&gt;&lt;_issue&gt;9&lt;/_issue&gt;&lt;_journal&gt;Engineering Structures&lt;/_journal&gt;&lt;_keywords&gt;Cable-stayed bridge; Composite steel–concrete deck; Nonlinear analysis; Time dependent effects; Flexible connection&lt;/_keywords&gt;&lt;_modified&gt;59066511&lt;/_modified&gt;&lt;_pages&gt;2702-2716&lt;/_pages&gt;&lt;_url&gt;http://www.sciencedirect.com/science/article/pii/S0141029610001859&lt;/_url&gt;&lt;_volume&gt;32&lt;/_volume&gt;&lt;/Details&gt;&lt;Extra&gt;&lt;DBUID&gt;{C833C268-2DD2-4BFD-9E86-C36B63EFE0FA}&lt;/DBUID&gt;&lt;/Extra&gt;&lt;/Item&gt;&lt;/References&gt;&lt;/Group&gt;&lt;/Citation&gt;_x000a_"/>
    <w:docVar w:name="NE.Ref{B9513F15-5BA1-458A-A0A1-C445BC712A95}" w:val=" ADDIN NE.Ref.{B9513F15-5BA1-458A-A0A1-C445BC712A95}&lt;Citation&gt;&lt;Group&gt;&lt;References&gt;&lt;Item&gt;&lt;ID&gt;945&lt;/ID&gt;&lt;UID&gt;{45CB1CB3-7FB9-4CD0-A816-C4B4F4C2E0BD}&lt;/UID&gt;&lt;Title&gt;大跨度斜拉桥钢—混结合梁组合效应研究&lt;/Title&gt;&lt;Template&gt;Thesis&lt;/Template&gt;&lt;Star&gt;0&lt;/Star&gt;&lt;Tag&gt;5&lt;/Tag&gt;&lt;Author&gt;杜振华&lt;/Author&gt;&lt;Year&gt;2009&lt;/Year&gt;&lt;Details&gt;&lt;_accessed&gt;59096794&lt;/_accessed&gt;&lt;_created&gt;59055921&lt;/_created&gt;&lt;_date&gt;57414240&lt;/_date&gt;&lt;_db_provider&gt;北京万方数据股份有限公司&lt;/_db_provider&gt;&lt;_db_updated&gt;Wanfang - Thesis&lt;/_db_updated&gt;&lt;_keywords&gt;大跨度斜拉桥; 钢-混结合梁; 组合效应; 有限元分析&lt;/_keywords&gt;&lt;_language&gt;chi&lt;/_language&gt;&lt;_modified&gt;59055925&lt;/_modified&gt;&lt;_publisher&gt;西南交通大学&lt;/_publisher&gt;&lt;_section&gt;桥梁与隧道工程&lt;/_section&gt;&lt;_tertiary_author&gt;张士中&lt;/_tertiary_author&gt;&lt;_url&gt;http://d.wanfangdata.com.cn/Thesis_Y1572613.aspx&lt;/_url&gt;&lt;_volume&gt;硕士&lt;/_volume&gt;&lt;/Details&gt;&lt;Extra&gt;&lt;DBUID&gt;{C833C268-2DD2-4BFD-9E86-C36B63EFE0FA}&lt;/DBUID&gt;&lt;/Extra&gt;&lt;/Item&gt;&lt;/References&gt;&lt;/Group&gt;&lt;/Citation&gt;_x000a_"/>
    <w:docVar w:name="NE.Ref{BA54F116-CB45-4D86-8B06-8F5879F12780}" w:val=" ADDIN NE.Ref.{BA54F116-CB45-4D86-8B06-8F5879F12780}&lt;Citation&gt;&lt;Group&gt;&lt;References&gt;&lt;Item&gt;&lt;ID&gt;1202&lt;/ID&gt;&lt;UID&gt;{2CE8C0A0-AE9F-418D-BAA0-6E3FE0879F8A}&lt;/UID&gt;&lt;Title&gt;椒江二桥主桥方案设计&lt;/Title&gt;&lt;Template&gt;Journal Article&lt;/Template&gt;&lt;Star&gt;1&lt;/Star&gt;&lt;Tag&gt;5&lt;/Tag&gt;&lt;Author&gt;龚中平; 戴利民; 郑本辉&lt;/Author&gt;&lt;Year&gt;2010&lt;/Year&gt;&lt;Details&gt;&lt;_author_adr&gt;台州市交通勘察设计院,台州市,318020; 同济大学建筑设计研究院(集团)有限公司,上海市,200092&lt;/_author_adr&gt;&lt;_author_aff&gt;台州市交通勘察设计院,台州市,318020; 同济大学建筑设计研究院(集团)有限公司,上海市,200092&lt;/_author_aff&gt;&lt;_created&gt;59090209&lt;/_created&gt;&lt;_db_provider&gt;北京万方数据股份有限公司&lt;/_db_provider&gt;&lt;_db_updated&gt;Wanfang - Journal&lt;/_db_updated&gt;&lt;_isbn&gt;0451-0712&lt;/_isbn&gt;&lt;_issue&gt;3&lt;/_issue&gt;&lt;_journal&gt;公路&lt;/_journal&gt;&lt;_keywords&gt;斜拉桥; 桥梁设计; 方案设计; 半封闭钢箱组合梁&lt;/_keywords&gt;&lt;_language&gt;chi&lt;/_language&gt;&lt;_modified&gt;59090209&lt;/_modified&gt;&lt;_pages&gt;56-59&lt;/_pages&gt;&lt;_tertiary_title&gt;HIGHWAY&lt;/_tertiary_title&gt;&lt;_translated_author&gt;Zhong-ping, GONG; Li-min, DAI; Ben-hui, ZHEN&lt;/_translated_author&gt;&lt;_translated_title&gt;Conceptual Design of Main Bridge of Second Jiaojiang Bridge&lt;/_translated_title&gt;&lt;_url&gt;http://d.wanfangdata.com.cn/Periodical_gl201003013.aspx _x000a_http://f.g.wanfangdata.com.cn/Fulltext.ashx?fileId=Periodical_gl201003013&amp;amp;type=download&amp;amp;transaction=%7b%22ExtraData%22%3a%5b%5d%2c%22Transaction%22%3a%7b%22DateTime%22%3a%22%5c%2fDate(1336481902137%2b0800)%5c%2f%22%2c%22Id%22%3a%221222fad0-1743-4b91-b1fd-a04b01599f13%22%2c%22ProductDetail%22%3a%22Periodical_gl201003013%22%2c%22SessionId%22%3a%22e60aa227-5085-4abf-8407-e774905809bc%22%2c%22Signature%22%3a%22lcF3Dl4XXc7vp3EfSniZQfqmo3APui2hBrZ44%2bf0sgcecOSY51aP8ehkjQpOj55W%22%2c%22TransferIn%22%3a%7b%22AccountType%22%3a%22Income%22%2c%22Key%22%3a%22PeriodicalFulltext%22%7d%2c%22TransferOut%22%3a%7b%22AccountType%22%3a%22GTimeLimit%22%2c%22Key%22%3a%22tjdxtsg%22%7d%2c%22Turnover%22%3a3.00000%2c%22User%22%3anull%7d%2c%22TransferOutAccountsStatus%22%3a%5b%5d%7d 全文链接_x000a_&lt;/_url&gt;&lt;/Details&gt;&lt;Extra&gt;&lt;DBUID&gt;{C833C268-2DD2-4BFD-9E86-C36B63EFE0FA}&lt;/DBUID&gt;&lt;/Extra&gt;&lt;/Item&gt;&lt;/References&gt;&lt;/Group&gt;&lt;/Citation&gt;_x000a_"/>
    <w:docVar w:name="NE.Ref{BB9CDDDB-AA06-41F2-AE06-0D0B30A92CCE}" w:val=" ADDIN NE.Ref.{BB9CDDDB-AA06-41F2-AE06-0D0B30A92CCE}&lt;Citation&gt;&lt;Group&gt;&lt;References&gt;&lt;Item&gt;&lt;ID&gt;217&lt;/ID&gt;&lt;UID&gt;{B41312AB-4955-4BF2-9E1B-38200C30F3B4}&lt;/UID&gt;&lt;Title&gt;大跨度组合梁斜拉桥全过程稳定性研究&lt;/Title&gt;&lt;Template&gt;Journal Article&lt;/Template&gt;&lt;Star&gt;1&lt;/Star&gt;&lt;Tag&gt;0&lt;/Tag&gt;&lt;Author&gt;雷宇; 黎曦&lt;/Author&gt;&lt;Year&gt;2009&lt;/Year&gt;&lt;Details&gt;&lt;_accessed&gt;59101303&lt;/_accessed&gt;&lt;_author_adr&gt;中铁二局股份有限公司,四川成都610031&lt;/_author_adr&gt;&lt;_created&gt;58464511&lt;/_created&gt;&lt;_db_provider&gt;重庆维普&lt;/_db_provider&gt;&lt;_db_updated&gt;CQ_VIP&lt;/_db_updated&gt;&lt;_isbn&gt;1002-0268&lt;/_isbn&gt;&lt;_issue&gt;10&lt;/_issue&gt;&lt;_journal&gt;公路交通科技&lt;/_journal&gt;&lt;_keywords&gt;桥梁工程; 组合梁; 整体稳定性; 相关稳定; 斜拉桥; bridge engineering; composite beam; global stability; correlative stability; cable-stayed bridge;&lt;/_keywords&gt;&lt;_language&gt;Chinese&lt;/_language&gt;&lt;_modified&gt;58465212&lt;/_modified&gt;&lt;_pages&gt;71-75&lt;/_pages&gt;&lt;_translated_author&gt;LEI, Yu; LI, Xi&lt;/_translated_author&gt;&lt;_translated_title&gt;Study of Stability of Long-Span Composite Deck Cable-stayed Bridge during Construction Process&lt;/_translated_title&gt;&lt;_url&gt;http://www.cqvip.com/qk/91479X/200910/31836043.html&lt;/_url&gt;&lt;_volume&gt;26&lt;/_volume&gt;&lt;/Details&gt;&lt;Extra&gt;&lt;DBUID&gt;{C833C268-2DD2-4BFD-9E86-C36B63EFE0FA}&lt;/DBUID&gt;&lt;/Extra&gt;&lt;/Item&gt;&lt;/References&gt;&lt;/Group&gt;&lt;/Citation&gt;_x000a_"/>
    <w:docVar w:name="NE.Ref{BBA39B36-8EE6-48EA-A260-39C475F6EE56}" w:val=" ADDIN NE.Ref.{BBA39B36-8EE6-48EA-A260-39C475F6EE56}&lt;Citation&gt;&lt;Group&gt;&lt;References&gt;&lt;Item&gt;&lt;ID&gt;1341&lt;/ID&gt;&lt;UID&gt;{0A37C5F6-B618-4F94-9B9E-46C880E66D51}&lt;/UID&gt;&lt;Title&gt;Study on Limit Span of Self-anchored Cable-stayed Bridges&lt;/Title&gt;&lt;Template&gt;Journal Article&lt;/Template&gt;&lt;Star&gt;1&lt;/Star&gt;&lt;Tag&gt;5&lt;/Tag&gt;&lt;Author&gt;NAGAI, MASATSUGU&lt;/Author&gt;&lt;Year&gt;0&lt;/Year&gt;&lt;Details&gt;&lt;_created&gt;59227118&lt;/_created&gt;&lt;_modified&gt;59227121&lt;/_modified&gt;&lt;_accessed&gt;59227118&lt;/_accessed&gt;&lt;/Details&gt;&lt;Extra&gt;&lt;DBUID&gt;{C833C268-2DD2-4BFD-9E86-C36B63EFE0FA}&lt;/DBUID&gt;&lt;/Extra&gt;&lt;/Item&gt;&lt;/References&gt;&lt;/Group&gt;&lt;/Citation&gt;_x000a_"/>
    <w:docVar w:name="NE.Ref{BCF1233E-4304-43BF-8730-DDEA0347AFDE}" w:val=" ADDIN NE.Ref.{BCF1233E-4304-43BF-8730-DDEA0347AFDE}&lt;Citation&gt;&lt;Group&gt;&lt;References&gt;&lt;Item&gt;&lt;ID&gt;1325&lt;/ID&gt;&lt;UID&gt;{35090539-8F2D-4F20-A8B9-6219254B3791}&lt;/UID&gt;&lt;Title&gt;滑移效应对钢-混凝土组合梁弯曲强度的影响及其计算&lt;/Title&gt;&lt;Template&gt;Journal Article&lt;/Template&gt;&lt;Star&gt;1&lt;/Star&gt;&lt;Tag&gt;5&lt;/Tag&gt;&lt;Author&gt;聂建国; 沈聚敏&lt;/Author&gt;&lt;Year&gt;1997&lt;/Year&gt;&lt;Details&gt;&lt;_cate&gt;TU398.9&lt;/_cate&gt;&lt;_created&gt;59205526&lt;/_created&gt;&lt;_db_provider&gt;CNKI&lt;/_db_provider&gt;&lt;_db_updated&gt;CNKI&lt;/_db_updated&gt;&lt;_issue&gt;1&lt;/_issue&gt;&lt;_journal&gt;土木工程学报&lt;/_journal&gt;&lt;_keywords&gt;钢-混凝土组合梁;滑移效应;抗弯强度;&lt;/_keywords&gt;&lt;_modified&gt;59205526&lt;/_modified&gt;&lt;_pages&gt;31-36&lt;/_pages&gt;&lt;_tertiary_title&gt;China Civil Engineering Journal&lt;/_tertiary_title&gt;&lt;_url&gt;http://epub.cnki.net/grid2008/brief/detailj.aspx?filename=TMGC199701005&amp;amp;dbname=CJFQ1997 _x000a_http://pdf.d.cnki.net/cjfdsearch/pdfdownloadnew.asp?encode=gb&amp;amp;nettype=cnet&amp;amp;zt=C038&amp;amp;filename=L92NRtWbWllVjRneCRDe1RUQrVlV4V0R252Nv82M1tGNHFDdiNWYrF0Qr10M3tCe0lTd0g3Y4wEbWhWWzsWOrNjNO5EUDZ3TyMFVt5EU2ZVMTdFZGJXZZh3QFFDV4A1N5UWeM10ayIkU3d2NlV2LyEjZjJkUDFDRx8CeyNVYGdnUyZ2aMNkQKpkZuZ3S==AdldXNzJUWZJkS1YnePZTb4w0YtFjWwkzKz9iT2oFVvE2UNp3b5hzMEREaBRTN4YjT1E0My8UOygmdZRFathkWCNTQvsyaFpGczdjNCpWTUFVV4MWeXJTWhFUWCR2KVFVdqV1SyoHR6Zldrpnbs9iW35mdvI3TvtGVXdXUU1EcJdHR2o3Y1omcygGR&amp;amp;doi=CNKI:SUN:TMGC.0.1997-01-005&amp;amp;m=5Y2YVBTTrk0cC1EZ04mbmlla2ZkSIBzSUlTY39Ca2YVSRFUSrFGWjJFW9UUWPdTRuV2b1IlTJp2K3gzM2dTVQxGUwElb3k2V2ckbvg3dwMVO5NzU&amp;amp;filetitle=%bb%ac%d2%c6%d0%a7%d3%a6%b6%d4%b8%d6_%bb%ec%c4%fd%cd%c1%d7%e9%ba%cf%c1%ba%cd%e4%c7%fa%c7%bf%b6%c8%b5%c4%d3%b0%cf%ec%bc%b0%c6%e4%bc%c6%cb%e3&amp;amp;p=CJFQ&amp;amp;cflag=&amp;amp;pager=32-37 全文链接_x000a_&lt;/_url&gt;&lt;/Details&gt;&lt;Extra&gt;&lt;DBUID&gt;{C833C268-2DD2-4BFD-9E86-C36B63EFE0FA}&lt;/DBUID&gt;&lt;/Extra&gt;&lt;/Item&gt;&lt;/References&gt;&lt;/Group&gt;&lt;Group&gt;&lt;References&gt;&lt;Item&gt;&lt;ID&gt;1324&lt;/ID&gt;&lt;UID&gt;{FA5E4143-58ED-4826-8B0B-D1BF291BE786}&lt;/UID&gt;&lt;Title&gt;考虑滑移效应的钢-混凝土组合梁变形计算的折减刚度法&lt;/Title&gt;&lt;Template&gt;Journal Article&lt;/Template&gt;&lt;Star&gt;1&lt;/Star&gt;&lt;Tag&gt;5&lt;/Tag&gt;&lt;Author&gt;聂建国; 沈聚敏; 余志武&lt;/Author&gt;&lt;Year&gt;1995&lt;/Year&gt;&lt;Details&gt;&lt;_accessed&gt;59204162&lt;/_accessed&gt;&lt;_cate&gt;TU398.9&lt;/_cate&gt;&lt;_created&gt;59204126&lt;/_created&gt;&lt;_db_provider&gt;CNKI&lt;/_db_provider&gt;&lt;_db_updated&gt;CNKI&lt;/_db_updated&gt;&lt;_issue&gt;6&lt;/_issue&gt;&lt;_journal&gt;土木工程学报&lt;/_journal&gt;&lt;_keywords&gt;滑移效应;连续组合梁;钢-混凝土;变形计算;折减刚度法;换算截面法;组合粱;挠度计算;钢一混凝土组合梁;计算公式;&lt;/_keywords&gt;&lt;_modified&gt;59204126&lt;/_modified&gt;&lt;_pages&gt;11-17&lt;/_pages&gt;&lt;_tertiary_title&gt;China Civil Engineering Journal&lt;/_tertiary_title&gt;&lt;_url&gt;http://epub.cnki.net/grid2008/brief/detailj.aspx?filename=TMGC199506001&amp;amp;dbname=CJFQ1995 _x000a_http://pdf.d.cnki.net/cjfdsearch/pdfdownloadnew.asp?encode=gb&amp;amp;nettype=cnet&amp;amp;zt=C038&amp;amp;filename=hNkVaZ1Kz0kWOlVNr0WUBxEMwBzQxI2a112UEdTMyV3S0YjUThEerdleFJXQQZXRnFUTygndCl3aXlkcsBFVGhHZPVEVFRFNXF2bwU0a4AnUQ9WUt52Zv02by9EURFTRmRlQ2AXRvd2U0wEOxkVdCVGT4J2Yw8iQjxkUZJ0LFl1N2QlSvpVa49WU19Wb==wTvc3K4UjZw0UWwwWakF3KJNjbWlEZudkQzV0btNjR6JlekdkWkNHaypVO1tSZ1dkN3k0MNhmWX9SYrxmbvJUNuZmNLJTVlplchdUZXR0d4QUYwh3Y3EFOroHZ1EFOUBzK1VmVzZUNaBVY2E1KXlENslUW4Z1VLVEVXlGURVkSZlTUj5ma2E3c25UY&amp;amp;doi=CNKI:SUN:TMGC.0.1995-06-001&amp;amp;m=HlWdkpXTmd0QYVGaXhjbSFDM4tyYwpnW38kWKFnTnpnN5EEenJkUXtEe9cmNMhzV2QkbMFHSBd3ULhWMmZzLBxkU01WW0FVcPVmYkZHe4wUR4Vje&amp;amp;filetitle=%bf%bc%c2%c7%bb%ac%d2%c6%d0%a7%d3%a6%b5%c4%b8%d6_%bb%ec%c4%fd%cd%c1%d7%e9%ba%cf%c1%ba%b1%e4%d0%ce%bc%c6%cb%e3%b5%c4%d5%db%bc%f5%b8%d5%b6%c8%b7%a8&amp;amp;p=CJFQ&amp;amp;cflag=&amp;amp;pager=12-18 全文链接_x000a_&lt;/_url&gt;&lt;/Details&gt;&lt;Extra&gt;&lt;DBUID&gt;{C833C268-2DD2-4BFD-9E86-C36B63EFE0FA}&lt;/DBUID&gt;&lt;/Extra&gt;&lt;/Item&gt;&lt;/References&gt;&lt;/Group&gt;&lt;/Citation&gt;_x000a_"/>
    <w:docVar w:name="NE.Ref{BD02E5AF-4081-4DA2-9440-CD6BA896AE96}" w:val=" ADDIN NE.Ref.{BD02E5AF-4081-4DA2-9440-CD6BA896AE96}&lt;Citation&gt;&lt;Group&gt;&lt;References&gt;&lt;Item&gt;&lt;ID&gt;1220&lt;/ID&gt;&lt;UID&gt;{44299563-78DB-4C7A-B816-C6C78526168D}&lt;/UID&gt;&lt;Title&gt;桥梁概念设计&lt;/Title&gt;&lt;Template&gt;Book&lt;/Template&gt;&lt;Star&gt;0&lt;/Star&gt;&lt;Tag&gt;5&lt;/Tag&gt;&lt;Author&gt;项海帆等&lt;/Author&gt;&lt;Year&gt;2011&lt;/Year&gt;&lt;Details&gt;&lt;_accessed&gt;59118998&lt;/_accessed&gt;&lt;_created&gt;59093005&lt;/_created&gt;&lt;_modified&gt;59108700&lt;/_modified&gt;&lt;_publisher&gt;人民交通出版社&lt;/_publisher&gt;&lt;/Details&gt;&lt;Extra&gt;&lt;DBUID&gt;{C833C268-2DD2-4BFD-9E86-C36B63EFE0FA}&lt;/DBUID&gt;&lt;/Extra&gt;&lt;/Item&gt;&lt;/References&gt;&lt;/Group&gt;&lt;/Citation&gt;_x000a_"/>
    <w:docVar w:name="NE.Ref{BD459C18-C664-43E7-976D-9C7D7C2AE7E3}" w:val=" ADDIN NE.Ref.{BD459C18-C664-43E7-976D-9C7D7C2AE7E3}&lt;Citation&gt;&lt;Group&gt;&lt;References&gt;&lt;Item&gt;&lt;ID&gt;1311&lt;/ID&gt;&lt;UID&gt;{402E5EDA-54AF-493C-BFF4-3337215DF535}&lt;/UID&gt;&lt;Title&gt;Experience from the Global Analysis of  Stonecutter&amp;apos;s Bridge and Sutong Bridge&lt;/Title&gt;&lt;Template&gt;Conference Paper&lt;/Template&gt;&lt;Star&gt;0&lt;/Star&gt;&lt;Tag&gt;5&lt;/Tag&gt;&lt;Author&gt;Janjic, Dorian&lt;/Author&gt;&lt;Year&gt;2005&lt;/Year&gt;&lt;Details&gt;&lt;_accessed&gt;59187862&lt;/_accessed&gt;&lt;_created&gt;59182354&lt;/_created&gt;&lt;_modified&gt;59187862&lt;/_modified&gt;&lt;_place_published&gt;Lisbon&lt;/_place_published&gt;&lt;_tertiary_title&gt;IABSE Symposium Report&lt;/_tertiary_title&gt;&lt;/Details&gt;&lt;Extra&gt;&lt;DBUID&gt;{C833C268-2DD2-4BFD-9E86-C36B63EFE0FA}&lt;/DBUID&gt;&lt;/Extra&gt;&lt;/Item&gt;&lt;/References&gt;&lt;/Group&gt;&lt;/Citation&gt;_x000a_"/>
    <w:docVar w:name="NE.Ref{BD4FA2EE-CEC5-416F-8640-A3151087E2ED}" w:val=" ADDIN NE.Ref.{BD4FA2EE-CEC5-416F-8640-A3151087E2ED}&lt;Citation&gt;&lt;Group&gt;&lt;References&gt;&lt;Item&gt;&lt;ID&gt;1417&lt;/ID&gt;&lt;UID&gt;{E11DEBCF-E2D8-4D91-8815-6B9ECF87FFA4}&lt;/UID&gt;&lt;Title&gt;Precast Deck Systems for Steel-concrete Composite Bridges&lt;/Title&gt;&lt;Template&gt;Conference Proceedings&lt;/Template&gt;&lt;Star&gt;0&lt;/Star&gt;&lt;Tag&gt;5&lt;/Tag&gt;&lt;Author&gt;Gordon, S R; May, I M&lt;/Author&gt;&lt;Year&gt;2007&lt;/Year&gt;&lt;Details&gt;&lt;_accessed&gt;59289860&lt;/_accessed&gt;&lt;_created&gt;59289849&lt;/_created&gt;&lt;_modified&gt;59289860&lt;/_modified&gt;&lt;_pages&gt;25-35&lt;/_pages&gt;&lt;_secondary_title&gt;Proceedings of the Institution of Civil Engineers Bridge Engineering 160&lt;/_secondary_title&gt;&lt;/Details&gt;&lt;Extra&gt;&lt;DBUID&gt;{C833C268-2DD2-4BFD-9E86-C36B63EFE0FA}&lt;/DBUID&gt;&lt;/Extra&gt;&lt;/Item&gt;&lt;/References&gt;&lt;/Group&gt;&lt;/Citation&gt;_x000a_"/>
    <w:docVar w:name="NE.Ref{BE73DFD1-76A1-4B79-B23E-11ECBEFCA943}" w:val=" ADDIN NE.Ref.{BE73DFD1-76A1-4B79-B23E-11ECBEFCA943}&lt;Citation&gt;&lt;Group&gt;&lt;References&gt;&lt;Item&gt;&lt;ID&gt;1157&lt;/ID&gt;&lt;UID&gt;{4D9C709B-5A89-43BC-B670-DB4A646435D7}&lt;/UID&gt;&lt;Title&gt;Nonlinear analysis of composite steel–concrete cable-stayed bridges&lt;/Title&gt;&lt;Template&gt;Journal Article&lt;/Template&gt;&lt;Star&gt;1&lt;/Star&gt;&lt;Tag&gt;5&lt;/Tag&gt;&lt;Author&gt;Oliveira Pedro, José J; Reis, António J&lt;/Author&gt;&lt;Year&gt;2010&lt;/Year&gt;&lt;Details&gt;&lt;_accessed&gt;59225610&lt;/_accessed&gt;&lt;_alternate_title&gt;Engineering Structures&lt;/_alternate_title&gt;&lt;_created&gt;59066503&lt;/_created&gt;&lt;_date_display&gt;2010/9//&lt;/_date_display&gt;&lt;_db_updated&gt;ScienceDirect&lt;/_db_updated&gt;&lt;_isbn&gt;0141-0296&lt;/_isbn&gt;&lt;_issue&gt;9&lt;/_issue&gt;&lt;_journal&gt;Engineering Structures&lt;/_journal&gt;&lt;_keywords&gt;Cable-stayed bridge; Composite steel–concrete deck; Nonlinear analysis; Time dependent effects; Flexible connection&lt;/_keywords&gt;&lt;_modified&gt;59066511&lt;/_modified&gt;&lt;_pages&gt;2702-2716&lt;/_pages&gt;&lt;_url&gt;http://www.sciencedirect.com/science/article/pii/S0141029610001859&lt;/_url&gt;&lt;_volume&gt;32&lt;/_volume&gt;&lt;/Details&gt;&lt;Extra&gt;&lt;DBUID&gt;{C833C268-2DD2-4BFD-9E86-C36B63EFE0FA}&lt;/DBUID&gt;&lt;/Extra&gt;&lt;/Item&gt;&lt;/References&gt;&lt;/Group&gt;&lt;/Citation&gt;_x000a_"/>
    <w:docVar w:name="NE.Ref{BEBA790C-551A-4191-A745-8CBBA43E1A1E}" w:val=" ADDIN NE.Ref.{BEBA790C-551A-4191-A745-8CBBA43E1A1E}&lt;Citation&gt;&lt;Group&gt;&lt;References&gt;&lt;Item&gt;&lt;ID&gt;1404&lt;/ID&gt;&lt;UID&gt;{BDB64B16-2D09-4534-9F7B-B6A46EC954A0}&lt;/UID&gt;&lt;Title&gt;Initial Thoughts on the Design of a Cable-stayed Bridge&lt;/Title&gt;&lt;Template&gt;Conference Proceedings&lt;/Template&gt;&lt;Star&gt;0&lt;/Star&gt;&lt;Tag&gt;5&lt;/Tag&gt;&lt;Author&gt;Hunt, I&lt;/Author&gt;&lt;Year&gt;1997&lt;/Year&gt;&lt;Details&gt;&lt;_accessed&gt;59280053&lt;/_accessed&gt;&lt;_created&gt;59280034&lt;/_created&gt;&lt;_journal&gt;Proc. Instn. Civ. Engrs. Structs &amp;amp; Bldgs&lt;/_journal&gt;&lt;_modified&gt;59280052&lt;/_modified&gt;&lt;_pages&gt;218-226&lt;/_pages&gt;&lt;_secondary_title&gt;Proc. Instn. Civ. Engrs. Structs &amp;amp; Bldgs&lt;/_secondary_title&gt;&lt;/Details&gt;&lt;Extra&gt;&lt;DBUID&gt;{C833C268-2DD2-4BFD-9E86-C36B63EFE0FA}&lt;/DBUID&gt;&lt;/Extra&gt;&lt;/Item&gt;&lt;/References&gt;&lt;/Group&gt;&lt;/Citation&gt;_x000a_"/>
    <w:docVar w:name="NE.Ref{BF361E95-11F9-4075-BCC1-6C3A0212D2AF}" w:val=" ADDIN NE.Ref.{BF361E95-11F9-4075-BCC1-6C3A0212D2AF}&lt;Citation&gt;&lt;Group&gt;&lt;References&gt;&lt;Item&gt;&lt;ID&gt;1157&lt;/ID&gt;&lt;UID&gt;{4D9C709B-5A89-43BC-B670-DB4A646435D7}&lt;/UID&gt;&lt;Title&gt;Nonlinear analysis of composite steel–concrete cable-stayed bridges&lt;/Title&gt;&lt;Template&gt;Journal Article&lt;/Template&gt;&lt;Star&gt;1&lt;/Star&gt;&lt;Tag&gt;5&lt;/Tag&gt;&lt;Author&gt;Oliveira Pedro, José J; Reis, António J&lt;/Author&gt;&lt;Year&gt;2010&lt;/Year&gt;&lt;Details&gt;&lt;_accessed&gt;59280103&lt;/_accessed&gt;&lt;_alternate_title&gt;Engineering Structures&lt;/_alternate_title&gt;&lt;_created&gt;59066503&lt;/_created&gt;&lt;_date_display&gt;2010/9//&lt;/_date_display&gt;&lt;_db_updated&gt;ScienceDirect&lt;/_db_updated&gt;&lt;_isbn&gt;0141-0296&lt;/_isbn&gt;&lt;_issue&gt;9&lt;/_issue&gt;&lt;_journal&gt;Engineering Structures&lt;/_journal&gt;&lt;_keywords&gt;Cable-stayed bridge; Composite steel–concrete deck; Nonlinear analysis; Time dependent effects; Flexible connection&lt;/_keywords&gt;&lt;_modified&gt;59066511&lt;/_modified&gt;&lt;_pages&gt;2702-2716&lt;/_pages&gt;&lt;_url&gt;http://www.sciencedirect.com/science/article/pii/S0141029610001859&lt;/_url&gt;&lt;_volume&gt;32&lt;/_volume&gt;&lt;/Details&gt;&lt;Extra&gt;&lt;DBUID&gt;{C833C268-2DD2-4BFD-9E86-C36B63EFE0FA}&lt;/DBUID&gt;&lt;/Extra&gt;&lt;/Item&gt;&lt;/References&gt;&lt;/Group&gt;&lt;Group&gt;&lt;References&gt;&lt;Item&gt;&lt;ID&gt;1405&lt;/ID&gt;&lt;UID&gt;{90D5DB80-E5FA-4AE7-A438-11F8DFAC120B}&lt;/UID&gt;&lt;Title&gt;Structural Analysis of Composite Cable-Stayed Bridges&lt;/Title&gt;&lt;Template&gt;Conference Paper&lt;/Template&gt;&lt;Star&gt;0&lt;/Star&gt;&lt;Tag&gt;5&lt;/Tag&gt;&lt;Author&gt;Oliveira Pedro, José J; Reis, António J&lt;/Author&gt;&lt;Year&gt;2010&lt;/Year&gt;&lt;Details&gt;&lt;_accessed&gt;59280103&lt;/_accessed&gt;&lt;_created&gt;59280099&lt;/_created&gt;&lt;_modified&gt;59280104&lt;/_modified&gt;&lt;_secondary_title&gt;Structural Engineering International&lt;/_secondary_title&gt;&lt;/Details&gt;&lt;Extra&gt;&lt;DBUID&gt;{C833C268-2DD2-4BFD-9E86-C36B63EFE0FA}&lt;/DBUID&gt;&lt;/Extra&gt;&lt;/Item&gt;&lt;/References&gt;&lt;/Group&gt;&lt;/Citation&gt;_x000a_"/>
    <w:docVar w:name="NE.Ref{C04EDCBF-251A-40A2-B0B4-07EF285D7144}" w:val=" ADDIN NE.Ref.{C04EDCBF-251A-40A2-B0B4-07EF285D7144}&lt;Citation&gt;&lt;Group&gt;&lt;References&gt;&lt;Item&gt;&lt;ID&gt;1136&lt;/ID&gt;&lt;UID&gt;{E4D78815-0A1D-49B4-BA45-A2645223EFAA}&lt;/UID&gt;&lt;Title&gt;Approximate method for estimation of collapse loads of steel cable-stayed bridges&lt;/Title&gt;&lt;Template&gt;Journal Article&lt;/Template&gt;&lt;Star&gt;1&lt;/Star&gt;&lt;Tag&gt;5&lt;/Tag&gt;&lt;Author&gt;Yoo, Hoon; Na, Ho-Sung; Choi, Dong-Ho&lt;/Author&gt;&lt;Year&gt;2012&lt;/Year&gt;&lt;Details&gt;&lt;_accessed&gt;59066516&lt;/_accessed&gt;&lt;_alternate_title&gt;Journal of Constructional Steel Research&lt;/_alternate_title&gt;&lt;_created&gt;59066503&lt;/_created&gt;&lt;_date_display&gt;2012/5//&lt;/_date_display&gt;&lt;_db_updated&gt;ScienceDirect&lt;/_db_updated&gt;&lt;_isbn&gt;0143-974X&lt;/_isbn&gt;&lt;_journal&gt;Journal of Constructional Steel Research&lt;/_journal&gt;&lt;_keywords&gt;Cable-stayed bridge; Structural stability; Collapse loads; Buckling; Inelastic buckling analysis&lt;/_keywords&gt;&lt;_modified&gt;59066505&lt;/_modified&gt;&lt;_pages&gt;143-154&lt;/_pages&gt;&lt;_url&gt;http://www.sciencedirect.com/science/article/pii/S0143974X11003130&lt;/_url&gt;&lt;_volume&gt;72&lt;/_volume&gt;&lt;/Details&gt;&lt;Extra&gt;&lt;DBUID&gt;{C833C268-2DD2-4BFD-9E86-C36B63EFE0FA}&lt;/DBUID&gt;&lt;/Extra&gt;&lt;/Item&gt;&lt;/References&gt;&lt;/Group&gt;&lt;/Citation&gt;_x000a_"/>
    <w:docVar w:name="NE.Ref{C1EC3743-2264-44DA-8C74-A1E6B1DD3D62}" w:val=" ADDIN NE.Ref.{C1EC3743-2264-44DA-8C74-A1E6B1DD3D62}&lt;Citation&gt;&lt;Group&gt;&lt;References&gt;&lt;Item&gt;&lt;ID&gt;1344&lt;/ID&gt;&lt;UID&gt;{2F3A99F8-7E42-47D0-909D-86E8F349B391}&lt;/UID&gt;&lt;Title&gt;Construction Stage Analysis of Cable-Stayed Bridges&lt;/Title&gt;&lt;Template&gt;Thesis&lt;/Template&gt;&lt;Star&gt;0&lt;/Star&gt;&lt;Tag&gt;5&lt;/Tag&gt;&lt;Author&gt;Grabow, Marko Justus&lt;/Author&gt;&lt;Year&gt;2004&lt;/Year&gt;&lt;Details&gt;&lt;_accessed&gt;59243885&lt;/_accessed&gt;&lt;_created&gt;59228614&lt;/_created&gt;&lt;_modified&gt;59228615&lt;/_modified&gt;&lt;/Details&gt;&lt;Extra&gt;&lt;DBUID&gt;{C833C268-2DD2-4BFD-9E86-C36B63EFE0FA}&lt;/DBUID&gt;&lt;/Extra&gt;&lt;/Item&gt;&lt;/References&gt;&lt;/Group&gt;&lt;/Citation&gt;_x000a_"/>
    <w:docVar w:name="NE.Ref{C2061691-9FC8-4684-8EC6-B359E1BFF8E9}" w:val=" ADDIN NE.Ref.{C2061691-9FC8-4684-8EC6-B359E1BFF8E9}&lt;Citation&gt;&lt;Group&gt;&lt;References&gt;&lt;Item&gt;&lt;ID&gt;1220&lt;/ID&gt;&lt;UID&gt;{44299563-78DB-4C7A-B816-C6C78526168D}&lt;/UID&gt;&lt;Title&gt;桥梁概念设计&lt;/Title&gt;&lt;Template&gt;Book&lt;/Template&gt;&lt;Star&gt;0&lt;/Star&gt;&lt;Tag&gt;5&lt;/Tag&gt;&lt;Author&gt;项海帆等&lt;/Author&gt;&lt;Year&gt;2011&lt;/Year&gt;&lt;Details&gt;&lt;_accessed&gt;59118998&lt;/_accessed&gt;&lt;_created&gt;59093005&lt;/_created&gt;&lt;_modified&gt;59108700&lt;/_modified&gt;&lt;_publisher&gt;人民交通出版社&lt;/_publisher&gt;&lt;/Details&gt;&lt;Extra&gt;&lt;DBUID&gt;{C833C268-2DD2-4BFD-9E86-C36B63EFE0FA}&lt;/DBUID&gt;&lt;/Extra&gt;&lt;/Item&gt;&lt;/References&gt;&lt;/Group&gt;&lt;/Citation&gt;_x000a_"/>
    <w:docVar w:name="NE.Ref{C212DE59-98FE-4996-92FF-CDC384EBDA0B}" w:val=" ADDIN NE.Ref.{C212DE59-98FE-4996-92FF-CDC384EBDA0B}&lt;Citation&gt;&lt;Group&gt;&lt;References&gt;&lt;Item&gt;&lt;ID&gt;1232&lt;/ID&gt;&lt;UID&gt;{EDE566AA-2848-4A64-B824-5F8861F11984}&lt;/UID&gt;&lt;Title&gt;斜拉桥&lt;/Title&gt;&lt;Template&gt;Book&lt;/Template&gt;&lt;Star&gt;0&lt;/Star&gt;&lt;Tag&gt;5&lt;/Tag&gt;&lt;Author&gt;林元培&lt;/Author&gt;&lt;Year&gt;2004&lt;/Year&gt;&lt;Details&gt;&lt;_accessed&gt;59099573&lt;/_accessed&gt;&lt;_created&gt;59098685&lt;/_created&gt;&lt;_modified&gt;59098685&lt;/_modified&gt;&lt;_place_published&gt;北京&lt;/_place_published&gt;&lt;_publisher&gt;人民交通出版社&lt;/_publisher&gt;&lt;/Details&gt;&lt;Extra&gt;&lt;DBUID&gt;{C833C268-2DD2-4BFD-9E86-C36B63EFE0FA}&lt;/DBUID&gt;&lt;/Extra&gt;&lt;/Item&gt;&lt;/References&gt;&lt;/Group&gt;&lt;/Citation&gt;_x000a_"/>
    <w:docVar w:name="NE.Ref{C3F24996-C236-4FE6-AEA0-485622EE47CF}" w:val=" ADDIN NE.Ref.{C3F24996-C236-4FE6-AEA0-485622EE47CF}&lt;Citation&gt;&lt;Group&gt;&lt;References&gt;&lt;Item&gt;&lt;ID&gt;1299&lt;/ID&gt;&lt;UID&gt;{DC74E34D-3E56-45F0-B873-41B4EE92911D}&lt;/UID&gt;&lt;Title&gt;Nolinear Analysis of Steel-Concrete composite structures:State of the Art&lt;/Title&gt;&lt;Template&gt;Journal Article&lt;/Template&gt;&lt;Star&gt;1&lt;/Star&gt;&lt;Tag&gt;5&lt;/Tag&gt;&lt;Author&gt;Spacone, Enrico; El-Tawil, Sherif&lt;/Author&gt;&lt;Year&gt;2004&lt;/Year&gt;&lt;Details&gt;&lt;_accessed&gt;59252854&lt;/_accessed&gt;&lt;_created&gt;59168673&lt;/_created&gt;&lt;_issue&gt;2&lt;/_issue&gt;&lt;_journal&gt;Journal of Structural Engineering&lt;/_journal&gt;&lt;_modified&gt;59168725&lt;/_modified&gt;&lt;_pages&gt;159-168&lt;/_pages&gt;&lt;_tertiary_title&gt;Journal of Structural Engineering&lt;/_tertiary_title&gt;&lt;_translated_author&gt;Spacone, Enrico; El-Tawil, Sherif&lt;/_translated_author&gt;&lt;_volume&gt;130&lt;/_volume&gt;&lt;/Details&gt;&lt;Extra&gt;&lt;DBUID&gt;{C833C268-2DD2-4BFD-9E86-C36B63EFE0FA}&lt;/DBUID&gt;&lt;/Extra&gt;&lt;/Item&gt;&lt;/References&gt;&lt;/Group&gt;&lt;/Citation&gt;_x000a_"/>
    <w:docVar w:name="NE.Ref{C489754F-3FCC-47F6-8E76-BC122B6B7A6E}" w:val=" ADDIN NE.Ref.{C489754F-3FCC-47F6-8E76-BC122B6B7A6E}&lt;Citation&gt;&lt;Group&gt;&lt;References&gt;&lt;Item&gt;&lt;ID&gt;1226&lt;/ID&gt;&lt;UID&gt;{60952F44-4104-49E1-8A4B-6FC9BBC31C7A}&lt;/UID&gt;&lt;Title&gt;Erection of Cable-stayed Bridges Having Composite Decks with Precast Concrete Slabs&lt;/Title&gt;&lt;Template&gt;Journal Article&lt;/Template&gt;&lt;Star&gt;1&lt;/Star&gt;&lt;Tag&gt;5&lt;/Tag&gt;&lt;Author&gt;Schlaich, M&lt;/Author&gt;&lt;Year&gt;2001&lt;/Year&gt;&lt;Details&gt;&lt;_accessed&gt;59178183&lt;/_accessed&gt;&lt;_created&gt;59095915&lt;/_created&gt;&lt;_journal&gt;Journal of Bridge Engineering&lt;/_journal&gt;&lt;_modified&gt;59172201&lt;/_modified&gt;&lt;/Details&gt;&lt;Extra&gt;&lt;DBUID&gt;{C833C268-2DD2-4BFD-9E86-C36B63EFE0FA}&lt;/DBUID&gt;&lt;/Extra&gt;&lt;/Item&gt;&lt;/References&gt;&lt;/Group&gt;&lt;/Citation&gt;_x000a_"/>
    <w:docVar w:name="NE.Ref{C564C859-0B35-46BA-8D9A-8FC6290EBB6A}" w:val=" ADDIN NE.Ref.{C564C859-0B35-46BA-8D9A-8FC6290EBB6A}&lt;Citation&gt;&lt;Group&gt;&lt;References&gt;&lt;Item&gt;&lt;ID&gt;1428&lt;/ID&gt;&lt;UID&gt;{A5F48AA2-3826-4488-90D5-890BEA4B9678}&lt;/UID&gt;&lt;Title&gt;Replacement of the Stays on a Major Cable-stayed Bridge&lt;/Title&gt;&lt;Template&gt;Conference Paper&lt;/Template&gt;&lt;Star&gt;0&lt;/Star&gt;&lt;Tag&gt;3&lt;/Tag&gt;&lt;Author&gt;Sandberg, Jessica; Hendy, Chris R&lt;/Author&gt;&lt;Year&gt;2010&lt;/Year&gt;&lt;Details&gt;&lt;_accessed&gt;59360745&lt;/_accessed&gt;&lt;_created&gt;59310301&lt;/_created&gt;&lt;_modified&gt;59310303&lt;/_modified&gt;&lt;_tertiary_title&gt;Proceedings of the Institution of Civil Engineers Bridge Engineering 163&lt;/_tertiary_title&gt;&lt;/Details&gt;&lt;Extra&gt;&lt;DBUID&gt;{C833C268-2DD2-4BFD-9E86-C36B63EFE0FA}&lt;/DBUID&gt;&lt;/Extra&gt;&lt;/Item&gt;&lt;/References&gt;&lt;/Group&gt;&lt;/Citation&gt;_x000a_"/>
    <w:docVar w:name="NE.Ref{C5EBDDFF-11A7-48EE-9729-27E3D988C7BE}" w:val=" ADDIN NE.Ref.{C5EBDDFF-11A7-48EE-9729-27E3D988C7BE}&lt;Citation&gt;&lt;Group&gt;&lt;References&gt;&lt;Item&gt;&lt;ID&gt;1132&lt;/ID&gt;&lt;UID&gt;{79201D34-2AE2-456E-ABCD-1BB83F921A78}&lt;/UID&gt;&lt;Title&gt;Analysis of cable-stayed bridges during construction by cantilever methods&lt;/Title&gt;&lt;Template&gt;Journal Article&lt;/Template&gt;&lt;Star&gt;0&lt;/Star&gt;&lt;Tag&gt;2&lt;/Tag&gt;&lt;Author&gt;Wang, Pao-Hsii; Tang, Tzu-Yang; Zheng, Hou-Nong&lt;/Author&gt;&lt;Year&gt;2004&lt;/Year&gt;&lt;Details&gt;&lt;_accessed&gt;59066516&lt;/_accessed&gt;&lt;_alternate_title&gt;Computers &amp;amp;amp; Structures&lt;/_alternate_title&gt;&lt;_created&gt;59066503&lt;/_created&gt;&lt;_date_display&gt;2004/2//&lt;/_date_display&gt;&lt;_db_updated&gt;ScienceDirect&lt;/_db_updated&gt;&lt;_isbn&gt;0045-7949&lt;/_isbn&gt;&lt;_issue&gt;4–5&lt;/_issue&gt;&lt;_journal&gt;Computers &amp;amp;amp; Structures&lt;/_journal&gt;&lt;_keywords&gt;Cable-stayed bridge; Initial shape; Forward process analysis; Backward process analysis&lt;/_keywords&gt;&lt;_modified&gt;59066504&lt;/_modified&gt;&lt;_pages&gt;329-346&lt;/_pages&gt;&lt;_url&gt;http://www.sciencedirect.com/science/article/pii/S004579490300467X&lt;/_url&gt;&lt;_volume&gt;82&lt;/_volume&gt;&lt;/Details&gt;&lt;Extra&gt;&lt;DBUID&gt;{C833C268-2DD2-4BFD-9E86-C36B63EFE0FA}&lt;/DBUID&gt;&lt;/Extra&gt;&lt;/Item&gt;&lt;/References&gt;&lt;/Group&gt;&lt;/Citation&gt;_x000a_"/>
    <w:docVar w:name="NE.Ref{C973A7C2-7BF0-4C18-83C7-008493E30F58}" w:val=" ADDIN NE.Ref.{C973A7C2-7BF0-4C18-83C7-008493E30F58}&lt;Citation&gt;&lt;Group&gt;&lt;References&gt;&lt;Item&gt;&lt;ID&gt;2647&lt;/ID&gt;&lt;UID&gt;{03C1C523-C5EC-4C7A-BC4C-2C95DE23720B}&lt;/UID&gt;&lt;Title&gt;黄河老桥启示录——黄河上三座老铁桥的纵横观&lt;/Title&gt;&lt;Template&gt;Journal Article&lt;/Template&gt;&lt;Star&gt;0&lt;/Star&gt;&lt;Tag&gt;0&lt;/Tag&gt;&lt;Author&gt;赵学勐&lt;/Author&gt;&lt;Year&gt;2018&lt;/Year&gt;&lt;Details&gt;&lt;_accessed&gt;62200475&lt;/_accessed&gt;&lt;_created&gt;62200475&lt;/_created&gt;&lt;_journal&gt;桥梁杂志&lt;/_journal&gt;&lt;_modified&gt;62200476&lt;/_modified&gt;&lt;_translated_author&gt;Zhao, Xuemeng&lt;/_translated_author&gt;&lt;/Details&gt;&lt;Extra&gt;&lt;DBUID&gt;{25139A1D-CF45-40E3-9EDD-33E25C1C489A}&lt;/DBUID&gt;&lt;/Extra&gt;&lt;/Item&gt;&lt;/References&gt;&lt;/Group&gt;&lt;/Citation&gt;_x000a_"/>
    <w:docVar w:name="NE.Ref{C9E89A4D-2809-4EFD-B6EA-0AA4DD442901}" w:val=" ADDIN NE.Ref.{C9E89A4D-2809-4EFD-B6EA-0AA4DD442901}&lt;Citation&gt;&lt;Group&gt;&lt;References&gt;&lt;Item&gt;&lt;ID&gt;1132&lt;/ID&gt;&lt;UID&gt;{79201D34-2AE2-456E-ABCD-1BB83F921A78}&lt;/UID&gt;&lt;Title&gt;Analysis of Cable-stayed Bridges during Construction by Cantilever Methods&lt;/Title&gt;&lt;Template&gt;Journal Article&lt;/Template&gt;&lt;Star&gt;1&lt;/Star&gt;&lt;Tag&gt;5&lt;/Tag&gt;&lt;Author&gt;Wang, Pao-Hsii; Tang, Tzu-Yang; Zheng, Hou-Nong&lt;/Author&gt;&lt;Year&gt;2004&lt;/Year&gt;&lt;Details&gt;&lt;_accessed&gt;59189509&lt;/_accessed&gt;&lt;_alternate_title&gt;Computers &amp;amp;amp; Structures&lt;/_alternate_title&gt;&lt;_created&gt;59066503&lt;/_created&gt;&lt;_date_display&gt;2004/2//&lt;/_date_display&gt;&lt;_db_updated&gt;ScienceDirect&lt;/_db_updated&gt;&lt;_isbn&gt;0045-7949&lt;/_isbn&gt;&lt;_issue&gt;4–5&lt;/_issue&gt;&lt;_journal&gt;Computers &amp;amp;amp; Structures&lt;/_journal&gt;&lt;_keywords&gt;Cable-stayed bridge; Initial shape; Forward process analysis; Backward process analysis&lt;/_keywords&gt;&lt;_modified&gt;59189510&lt;/_modified&gt;&lt;_pages&gt;329-346&lt;/_pages&gt;&lt;_url&gt;http://www.sciencedirect.com/science/article/pii/S004579490300467X&lt;/_url&gt;&lt;_volume&gt;82&lt;/_volume&gt;&lt;/Details&gt;&lt;Extra&gt;&lt;DBUID&gt;{C833C268-2DD2-4BFD-9E86-C36B63EFE0FA}&lt;/DBUID&gt;&lt;/Extra&gt;&lt;/Item&gt;&lt;/References&gt;&lt;/Group&gt;&lt;Group&gt;&lt;References&gt;&lt;Item&gt;&lt;ID&gt;1390&lt;/ID&gt;&lt;UID&gt;{E9C43ADA-2E5C-4693-8697-43F8E43B00B7}&lt;/UID&gt;&lt;Title&gt;Initial Shape of Cable-Stayed Bridges&lt;/Title&gt;&lt;Template&gt;Journal Article&lt;/Template&gt;&lt;Star&gt;1&lt;/Star&gt;&lt;Tag&gt;5&lt;/Tag&gt;&lt;Author&gt;WANG, P H; TSENG, T C; YANG, C G&lt;/Author&gt;&lt;Year&gt;1993&lt;/Year&gt;&lt;Details&gt;&lt;_accessed&gt;59274106&lt;/_accessed&gt;&lt;_created&gt;59247093&lt;/_created&gt;&lt;_issue&gt;1&lt;/_issue&gt;&lt;_journal&gt;Compurers &amp;amp; Structures&lt;/_journal&gt;&lt;_modified&gt;59247115&lt;/_modified&gt;&lt;_pages&gt;111-123&lt;/_pages&gt;&lt;_volume&gt;47&lt;/_volume&gt;&lt;/Details&gt;&lt;Extra&gt;&lt;DBUID&gt;{C833C268-2DD2-4BFD-9E86-C36B63EFE0FA}&lt;/DBUID&gt;&lt;/Extra&gt;&lt;/Item&gt;&lt;/References&gt;&lt;/Group&gt;&lt;/Citation&gt;_x000a_"/>
    <w:docVar w:name="NE.Ref{CAFEC89D-F1DE-4970-ACE1-276D55DE82DF}" w:val=" ADDIN NE.Ref.{CAFEC89D-F1DE-4970-ACE1-276D55DE82DF}&lt;Citation&gt;&lt;Group&gt;&lt;References&gt;&lt;Item&gt;&lt;ID&gt;1135&lt;/ID&gt;&lt;UID&gt;{9AF11686-7974-4E02-B7A2-2CB1A59BBBE0}&lt;/UID&gt;&lt;Title&gt;Analysis of the overall collapse mechanism of cable-stayed bridges with different cable layouts&lt;/Title&gt;&lt;Template&gt;Journal Article&lt;/Template&gt;&lt;Star&gt;1&lt;/Star&gt;&lt;Tag&gt;5&lt;/Tag&gt;&lt;Author&gt;Song, Weon-Keun; Kim, Seung-Eock&lt;/Author&gt;&lt;Year&gt;2007&lt;/Year&gt;&lt;Details&gt;&lt;_accessed&gt;59176698&lt;/_accessed&gt;&lt;_alternate_title&gt;Engineering Structures&lt;/_alternate_title&gt;&lt;_created&gt;59066503&lt;/_created&gt;&lt;_date_display&gt;2007/9//&lt;/_date_display&gt;&lt;_db_updated&gt;ScienceDirect&lt;/_db_updated&gt;&lt;_isbn&gt;0141-0296&lt;/_isbn&gt;&lt;_issue&gt;9&lt;/_issue&gt;&lt;_journal&gt;Engineering Structures&lt;/_journal&gt;&lt;_keywords&gt;Steel cable-stayed bridge; Softening plastic-hinge model; Fiber element model; Nonlinear inelastic buckling model; Overall collapse mechanism; Ultimate load-carrying capacity&lt;/_keywords&gt;&lt;_modified&gt;59066505&lt;/_modified&gt;&lt;_pages&gt;2133-2142&lt;/_pages&gt;&lt;_url&gt;http://www.sciencedirect.com/science/article/pii/S0141029606004718&lt;/_url&gt;&lt;_volume&gt;29&lt;/_volume&gt;&lt;/Details&gt;&lt;Extra&gt;&lt;DBUID&gt;{C833C268-2DD2-4BFD-9E86-C36B63EFE0FA}&lt;/DBUID&gt;&lt;/Extra&gt;&lt;/Item&gt;&lt;/References&gt;&lt;/Group&gt;&lt;Group&gt;&lt;References&gt;&lt;Item&gt;&lt;ID&gt;1163&lt;/ID&gt;&lt;UID&gt;{2D5F387A-A094-4B6D-BE0C-08201A7EB66F}&lt;/UID&gt;&lt;Title&gt;Second-order inelastic analysis of cable-stayed bridges&lt;/Title&gt;&lt;Template&gt;Journal Article&lt;/Template&gt;&lt;Star&gt;0&lt;/Star&gt;&lt;Tag&gt;5&lt;/Tag&gt;&lt;Author&gt;Huu-Tai Thai, Seung-EockKim&lt;/Author&gt;&lt;Year&gt;2011&lt;/Year&gt;&lt;Details&gt;&lt;_accessed&gt;59151574&lt;/_accessed&gt;&lt;_created&gt;59066503&lt;/_created&gt;&lt;_issue&gt;2012&lt;/_issue&gt;&lt;_journal&gt;Finite Elements in Analysis and Design&lt;/_journal&gt;&lt;_modified&gt;59151574&lt;/_modified&gt;&lt;_pages&gt;48–55&lt;/_pages&gt;&lt;_tertiary_title&gt;Finite Elements in Analysis and Design&lt;/_tertiary_title&gt;&lt;_translated_author&gt;Huu-Tai Thai, Seung-EockKim&lt;/_translated_author&gt;&lt;_volume&gt;53&lt;/_volume&gt;&lt;/Details&gt;&lt;Extra&gt;&lt;DBUID&gt;{C833C268-2DD2-4BFD-9E86-C36B63EFE0FA}&lt;/DBUID&gt;&lt;/Extra&gt;&lt;/Item&gt;&lt;/References&gt;&lt;/Group&gt;&lt;/Citation&gt;_x000a_"/>
    <w:docVar w:name="NE.Ref{CB1C4942-12E3-41A4-A72F-40B59418AC86}" w:val=" ADDIN NE.Ref.{CB1C4942-12E3-41A4-A72F-40B59418AC86}&lt;Citation&gt;&lt;Group&gt;&lt;References&gt;&lt;Item&gt;&lt;ID&gt;1253&lt;/ID&gt;&lt;UID&gt;{992527F8-DB2A-414E-AB3D-CB909B520766}&lt;/UID&gt;&lt;Title&gt;欧洲规范4 钢-混凝土组合梁设计方法（9）──组合梁的挠度和裂缝控制&lt;/Title&gt;&lt;Template&gt;Journal Article&lt;/Template&gt;&lt;Star&gt;1&lt;/Star&gt;&lt;Tag&gt;5&lt;/Tag&gt;&lt;Author&gt;胡夏闵&lt;/Author&gt;&lt;Year&gt;1996&lt;/Year&gt;&lt;Details&gt;&lt;_accessed&gt;59128789&lt;/_accessed&gt;&lt;_created&gt;59128750&lt;/_created&gt;&lt;_issue&gt;5&lt;/_issue&gt;&lt;_journal&gt;工业建筑&lt;/_journal&gt;&lt;_modified&gt;59128789&lt;/_modified&gt;&lt;_tertiary_title&gt;Industrial Construction&lt;/_tertiary_title&gt;&lt;_translated_author&gt;Xiamin, Hu&lt;/_translated_author&gt;&lt;_translated_title&gt;DESIGN METHOD OF EUROCODE 4 FOR STEEL-CONCRETE COMPOSITE BEAMS(9)-CONTROL OF DEFLECTIONS AND CRACTING IN COMPOSITE BEAMS&lt;/_translated_title&gt;&lt;_volume&gt;26&lt;/_volume&gt;&lt;/Details&gt;&lt;Extra&gt;&lt;DBUID&gt;{C833C268-2DD2-4BFD-9E86-C36B63EFE0FA}&lt;/DBUID&gt;&lt;/Extra&gt;&lt;/Item&gt;&lt;/References&gt;&lt;/Group&gt;&lt;/Citation&gt;_x000a_"/>
    <w:docVar w:name="NE.Ref{CD724DF1-4D2B-4132-8D24-A83A5BE690FC}" w:val=" ADDIN NE.Ref.{CD724DF1-4D2B-4132-8D24-A83A5BE690FC}&lt;Citation&gt;&lt;Group&gt;&lt;References&gt;&lt;Item&gt;&lt;ID&gt;1132&lt;/ID&gt;&lt;UID&gt;{79201D34-2AE2-456E-ABCD-1BB83F921A78}&lt;/UID&gt;&lt;Title&gt;Analysis of Cable-stayed Bridges during Construction by Cantilever Methods&lt;/Title&gt;&lt;Template&gt;Journal Article&lt;/Template&gt;&lt;Star&gt;1&lt;/Star&gt;&lt;Tag&gt;5&lt;/Tag&gt;&lt;Author&gt;Wang, Pao-Hsii; Tang, Tzu-Yang; Zheng, Hou-Nong&lt;/Author&gt;&lt;Year&gt;2004&lt;/Year&gt;&lt;Details&gt;&lt;_accessed&gt;59189509&lt;/_accessed&gt;&lt;_alternate_title&gt;Computers &amp;amp;amp; Structures&lt;/_alternate_title&gt;&lt;_created&gt;59066503&lt;/_created&gt;&lt;_date_display&gt;2004/2//&lt;/_date_display&gt;&lt;_db_updated&gt;ScienceDirect&lt;/_db_updated&gt;&lt;_isbn&gt;0045-7949&lt;/_isbn&gt;&lt;_issue&gt;4–5&lt;/_issue&gt;&lt;_journal&gt;Computers &amp;amp;amp; Structures&lt;/_journal&gt;&lt;_keywords&gt;Cable-stayed bridge; Initial shape; Forward process analysis; Backward process analysis&lt;/_keywords&gt;&lt;_modified&gt;59189510&lt;/_modified&gt;&lt;_pages&gt;329-346&lt;/_pages&gt;&lt;_url&gt;http://www.sciencedirect.com/science/article/pii/S004579490300467X&lt;/_url&gt;&lt;_volume&gt;82&lt;/_volume&gt;&lt;/Details&gt;&lt;Extra&gt;&lt;DBUID&gt;{C833C268-2DD2-4BFD-9E86-C36B63EFE0FA}&lt;/DBUID&gt;&lt;/Extra&gt;&lt;/Item&gt;&lt;/References&gt;&lt;/Group&gt;&lt;/Citation&gt;_x000a_"/>
    <w:docVar w:name="NE.Ref{D0835B0C-69E8-4DD0-A62E-E17B42BC4B83}" w:val=" ADDIN NE.Ref.{D0835B0C-69E8-4DD0-A62E-E17B42BC4B83}&lt;Citation&gt;&lt;Group&gt;&lt;References&gt;&lt;Item&gt;&lt;ID&gt;1&lt;/ID&gt;&lt;UID&gt;{64DC65B6-29FE-4AEF-BA7C-6789BE2E63BC}&lt;/UID&gt;&lt;Title&gt;组合截面桥梁结构计算方法研究&lt;/Title&gt;&lt;Template&gt;Journal Article&lt;/Template&gt;&lt;Star&gt;1&lt;/Star&gt;&lt;Tag&gt;0&lt;/Tag&gt;&lt;Author&gt;吕建鸣; 宋建永&lt;/Author&gt;&lt;Year&gt;2005&lt;/Year&gt;&lt;Details&gt;&lt;_accessed&gt;59082364&lt;/_accessed&gt;&lt;_author_adr&gt;交通部公路科学研究所，北京100088&lt;/_author_adr&gt;&lt;_created&gt;58462457&lt;/_created&gt;&lt;_db_provider&gt;重庆维普&lt;/_db_provider&gt;&lt;_db_updated&gt;CQ_VIP&lt;/_db_updated&gt;&lt;_isbn&gt;1002-0268&lt;/_isbn&gt;&lt;_issue&gt;6&lt;/_issue&gt;&lt;_journal&gt;公路交通科技&lt;/_journal&gt;&lt;_keywords&gt;桥梁结构; 组合截面; 有限元; 计算方法&lt;/_keywords&gt;&lt;_language&gt;Chinese&lt;/_language&gt;&lt;_modified&gt;58462465&lt;/_modified&gt;&lt;_pages&gt;68-71&lt;/_pages&gt;&lt;_url&gt;http://www.cqvip.com/qk/91479X/200506/15869399.html&lt;/_url&gt;&lt;_volume&gt;22&lt;/_volume&gt;&lt;/Details&gt;&lt;Extra&gt;&lt;DBUID&gt;{C833C268-2DD2-4BFD-9E86-C36B63EFE0FA}&lt;/DBUID&gt;&lt;/Extra&gt;&lt;/Item&gt;&lt;/References&gt;&lt;/Group&gt;&lt;/Citation&gt;_x000a_"/>
    <w:docVar w:name="NE.Ref{D2A07787-6DAB-4AB2-9E6F-CD79821A0F7C}" w:val=" ADDIN NE.Ref.{D2A07787-6DAB-4AB2-9E6F-CD79821A0F7C}&lt;Citation&gt;&lt;Group&gt;&lt;References&gt;&lt;Item&gt;&lt;ID&gt;2647&lt;/ID&gt;&lt;UID&gt;{03C1C523-C5EC-4C7A-BC4C-2C95DE23720B}&lt;/UID&gt;&lt;Title&gt;黄河老桥启示录——黄河上三座老铁桥的纵横观&lt;/Title&gt;&lt;Template&gt;Journal Article&lt;/Template&gt;&lt;Star&gt;0&lt;/Star&gt;&lt;Tag&gt;0&lt;/Tag&gt;&lt;Author&gt;赵学勐&lt;/Author&gt;&lt;Year&gt;2018&lt;/Year&gt;&lt;Details&gt;&lt;_accessed&gt;62200475&lt;/_accessed&gt;&lt;_created&gt;62200475&lt;/_created&gt;&lt;_journal&gt;桥梁杂志&lt;/_journal&gt;&lt;_modified&gt;62200476&lt;/_modified&gt;&lt;_translated_author&gt;Zhao, Xuemeng&lt;/_translated_author&gt;&lt;/Details&gt;&lt;Extra&gt;&lt;DBUID&gt;{25139A1D-CF45-40E3-9EDD-33E25C1C489A}&lt;/DBUID&gt;&lt;/Extra&gt;&lt;/Item&gt;&lt;/References&gt;&lt;/Group&gt;&lt;/Citation&gt;_x000a_"/>
    <w:docVar w:name="NE.Ref{D2E1E315-5427-452F-A1CC-CD4E9E52BE92}" w:val=" ADDIN NE.Ref.{D2E1E315-5427-452F-A1CC-CD4E9E52BE92}&lt;Citation&gt;&lt;Group&gt;&lt;References&gt;&lt;Item&gt;&lt;ID&gt;1315&lt;/ID&gt;&lt;UID&gt;{4EB790E2-260A-4A35-8024-A32BCCF43752}&lt;/UID&gt;&lt;Title&gt;Towards a Wholistic Approach to Bridge Design&lt;/Title&gt;&lt;Template&gt;Conference Paper&lt;/Template&gt;&lt;Star&gt;0&lt;/Star&gt;&lt;Tag&gt;5&lt;/Tag&gt;&lt;Author&gt;Pircher, Martin; Janjic, Dorian; Pircher, Heinz; Bridge, Russel Q&lt;/Author&gt;&lt;Year&gt;2002&lt;/Year&gt;&lt;Details&gt;&lt;_accessed&gt;59185360&lt;/_accessed&gt;&lt;_created&gt;59185149&lt;/_created&gt;&lt;_db_provider&gt;IABSE Symposium Report&lt;/_db_provider&gt;&lt;_modified&gt;59185361&lt;/_modified&gt;&lt;_place_published&gt;Melbourne&lt;/_place_published&gt;&lt;_secondary_title&gt;IABSE Symposium:Towards a Better Built Environment - Innovation, Sustainability, Information Technology&lt;/_secondary_title&gt;&lt;/Details&gt;&lt;Extra&gt;&lt;DBUID&gt;{C833C268-2DD2-4BFD-9E86-C36B63EFE0FA}&lt;/DBUID&gt;&lt;/Extra&gt;&lt;/Item&gt;&lt;/References&gt;&lt;/Group&gt;&lt;/Citation&gt;_x000a_"/>
    <w:docVar w:name="NE.Ref{D47CB47D-2630-4203-91FB-D50CEF2F056B}" w:val=" ADDIN NE.Ref.{D47CB47D-2630-4203-91FB-D50CEF2F056B}&lt;Citation&gt;&lt;Group&gt;&lt;References&gt;&lt;Item&gt;&lt;ID&gt;1299&lt;/ID&gt;&lt;UID&gt;{DC74E34D-3E56-45F0-B873-41B4EE92911D}&lt;/UID&gt;&lt;Title&gt;Nolinear Analysis of Steel-Concrete composite structures:State of the Art&lt;/Title&gt;&lt;Template&gt;Journal Article&lt;/Template&gt;&lt;Star&gt;1&lt;/Star&gt;&lt;Tag&gt;5&lt;/Tag&gt;&lt;Author&gt;Spacone, Enrico; El-Tawil, Sherif&lt;/Author&gt;&lt;Year&gt;2004&lt;/Year&gt;&lt;Details&gt;&lt;_created&gt;59168673&lt;/_created&gt;&lt;_modified&gt;59168725&lt;/_modified&gt;&lt;_accessed&gt;59168725&lt;/_accessed&gt;&lt;_translated_author&gt;Spacone, Enrico; El-Tawil, Sherif&lt;/_translated_author&gt;&lt;_tertiary_title&gt;Journal of Structural Engineering&lt;/_tertiary_title&gt;&lt;_volume&gt;130&lt;/_volume&gt;&lt;_pages&gt;159-168&lt;/_pages&gt;&lt;_journal&gt;Journal of Structural Engineering&lt;/_journal&gt;&lt;_issue&gt;2&lt;/_issue&gt;&lt;/Details&gt;&lt;Extra&gt;&lt;DBUID&gt;{C833C268-2DD2-4BFD-9E86-C36B63EFE0FA}&lt;/DBUID&gt;&lt;/Extra&gt;&lt;/Item&gt;&lt;/References&gt;&lt;/Group&gt;&lt;/Citation&gt;_x000a_"/>
    <w:docVar w:name="NE.Ref{D48A816F-1776-4C54-85E0-FEBD479AFB86}" w:val=" ADDIN NE.Ref.{D48A816F-1776-4C54-85E0-FEBD479AFB86}&lt;Citation&gt;&lt;Group&gt;&lt;References&gt;&lt;Item&gt;&lt;ID&gt;1315&lt;/ID&gt;&lt;UID&gt;{4EB790E2-260A-4A35-8024-A32BCCF43752}&lt;/UID&gt;&lt;Title&gt;Towards a Wholistic Approach to Bridge Design&lt;/Title&gt;&lt;Template&gt;Conference Paper&lt;/Template&gt;&lt;Star&gt;0&lt;/Star&gt;&lt;Tag&gt;5&lt;/Tag&gt;&lt;Author&gt;Pircher, Martin; Janjic, Dorian; Pircher, Heinz; Bridge, Russel Q&lt;/Author&gt;&lt;Year&gt;2002&lt;/Year&gt;&lt;Details&gt;&lt;_accessed&gt;59185360&lt;/_accessed&gt;&lt;_created&gt;59185149&lt;/_created&gt;&lt;_db_provider&gt;IABSE Symposium Report&lt;/_db_provider&gt;&lt;_modified&gt;59185361&lt;/_modified&gt;&lt;_place_published&gt;Melbourne&lt;/_place_published&gt;&lt;_secondary_title&gt;IABSE Symposium:Towards a Better Built Environment - Innovation, Sustainability, Information Technology&lt;/_secondary_title&gt;&lt;/Details&gt;&lt;Extra&gt;&lt;DBUID&gt;{C833C268-2DD2-4BFD-9E86-C36B63EFE0FA}&lt;/DBUID&gt;&lt;/Extra&gt;&lt;/Item&gt;&lt;/References&gt;&lt;/Group&gt;&lt;/Citation&gt;_x000a_"/>
    <w:docVar w:name="NE.Ref{D5EE3899-67E1-483D-9E49-57DC7762CAB3}" w:val=" ADDIN NE.Ref.{D5EE3899-67E1-483D-9E49-57DC7762CAB3}&lt;Citation&gt;&lt;Group&gt;&lt;References&gt;&lt;Item&gt;&lt;ID&gt;1264&lt;/ID&gt;&lt;UID&gt;{59CE6E75-E057-45EF-ADF3-E99F87500F2D}&lt;/UID&gt;&lt;Title&gt;The future european code for composite bridges and its relation to british research and practice&lt;/Title&gt;&lt;Template&gt;Conference Paper&lt;/Template&gt;&lt;Star&gt;0&lt;/Star&gt;&lt;Tag&gt;5&lt;/Tag&gt;&lt;Author&gt;JOHNSON, ROGER P&lt;/Author&gt;&lt;Year&gt;2001&lt;/Year&gt;&lt;Details&gt;&lt;_accessed&gt;59157408&lt;/_accessed&gt;&lt;_created&gt;59153387&lt;/_created&gt;&lt;_modified&gt;59153390&lt;/_modified&gt;&lt;_place_published&gt;Madrid，Spain&lt;/_place_published&gt;&lt;_publisher&gt;the Third International Meeting on Composite Bridges sponsored by the Madrid Association of Civil Engineers&lt;/_publisher&gt;&lt;_translated_author&gt;JOHNSON, ROGER P&lt;/_translated_author&gt;&lt;/Details&gt;&lt;Extra&gt;&lt;DBUID&gt;{C833C268-2DD2-4BFD-9E86-C36B63EFE0FA}&lt;/DBUID&gt;&lt;/Extra&gt;&lt;/Item&gt;&lt;/References&gt;&lt;/Group&gt;&lt;/Citation&gt;_x000a_"/>
    <w:docVar w:name="NE.Ref{D5FB0619-A3CE-4EAF-AA75-377C365D05DB}" w:val=" ADDIN NE.Ref.{D5FB0619-A3CE-4EAF-AA75-377C365D05DB}&lt;Citation&gt;&lt;Group&gt;&lt;References&gt;&lt;Item&gt;&lt;ID&gt;1166&lt;/ID&gt;&lt;UID&gt;{BCCA0931-E7DD-48A2-A472-7136A6B90868}&lt;/UID&gt;&lt;Title&gt;State Space Formulation for Composite Beam-columns with Partial Interaction&lt;/Title&gt;&lt;Template&gt;Journal Article&lt;/Template&gt;&lt;Star&gt;1&lt;/Star&gt;&lt;Tag&gt;5&lt;/Tag&gt;&lt;Author&gt;Chen, W Q; Wu, Y F; Xu, R Q&lt;/Author&gt;&lt;Year&gt;2007&lt;/Year&gt;&lt;Details&gt;&lt;_accessed&gt;59199086&lt;/_accessed&gt;&lt;_alternate_title&gt;Composites Science and Technology&lt;/_alternate_title&gt;&lt;_created&gt;59066503&lt;/_created&gt;&lt;_date_display&gt;2007/9//&lt;/_date_display&gt;&lt;_db_updated&gt;ScienceDirect&lt;/_db_updated&gt;&lt;_isbn&gt;0266-3538&lt;/_isbn&gt;&lt;_issue&gt;11–12&lt;/_issue&gt;&lt;_journal&gt;Composites Science and Technology&lt;/_journal&gt;&lt;_keywords&gt;A. Composite beam-column; B. Partial interaction; C. Deformation; C. State space formulation&lt;/_keywords&gt;&lt;_modified&gt;59199086&lt;/_modified&gt;&lt;_pages&gt;2500-2512&lt;/_pages&gt;&lt;_url&gt;http://www.sciencedirect.com/science/article/pii/S0266353807000024&lt;/_url&gt;&lt;_volume&gt;67&lt;/_volume&gt;&lt;/Details&gt;&lt;Extra&gt;&lt;DBUID&gt;{C833C268-2DD2-4BFD-9E86-C36B63EFE0FA}&lt;/DBUID&gt;&lt;/Extra&gt;&lt;/Item&gt;&lt;/References&gt;&lt;/Group&gt;&lt;/Citation&gt;_x000a_"/>
    <w:docVar w:name="NE.Ref{D706F04F-AED2-406C-91BA-C1C968184496}" w:val=" ADDIN NE.Ref.{D706F04F-AED2-406C-91BA-C1C968184496}&lt;Citation&gt;&lt;Group&gt;&lt;References&gt;&lt;Item&gt;&lt;ID&gt;1249&lt;/ID&gt;&lt;UID&gt;{1F531CAC-F93E-482F-8FF8-C73871B3349E}&lt;/UID&gt;&lt;Title&gt;欧洲规范4 钢-混凝土组合梁设计方法（3）──组合梁的内力分析&lt;/Title&gt;&lt;Template&gt;Journal Article&lt;/Template&gt;&lt;Star&gt;1&lt;/Star&gt;&lt;Tag&gt;5&lt;/Tag&gt;&lt;Author&gt;胡夏闵&lt;/Author&gt;&lt;Year&gt;1995&lt;/Year&gt;&lt;Details&gt;&lt;_accessed&gt;59128788&lt;/_accessed&gt;&lt;_created&gt;59128750&lt;/_created&gt;&lt;_issue&gt;11&lt;/_issue&gt;&lt;_journal&gt;工业建筑&lt;/_journal&gt;&lt;_modified&gt;59128789&lt;/_modified&gt;&lt;_tertiary_title&gt;Industrial Construction&lt;/_tertiary_title&gt;&lt;_translated_author&gt;Xiamin, Hu&lt;/_translated_author&gt;&lt;_translated_title&gt;DESIGN METHOD OF EUROCODE 4 FOR STEEL-CONCRETE COMPOSITE BEAMS(3)-INTERNAL FORCE ANALYSIS OF COMPOSITE BEAM&lt;/_translated_title&gt;&lt;_volume&gt;25&lt;/_volume&gt;&lt;/Details&gt;&lt;Extra&gt;&lt;DBUID&gt;{C833C268-2DD2-4BFD-9E86-C36B63EFE0FA}&lt;/DBUID&gt;&lt;/Extra&gt;&lt;/Item&gt;&lt;/References&gt;&lt;/Group&gt;&lt;/Citation&gt;_x000a_"/>
    <w:docVar w:name="NE.Ref{D73A4426-C001-454C-8FE1-9C997C256B5F}" w:val=" ADDIN NE.Ref.{D73A4426-C001-454C-8FE1-9C997C256B5F}&lt;Citation&gt;&lt;Group&gt;&lt;References&gt;&lt;Item&gt;&lt;ID&gt;904&lt;/ID&gt;&lt;UID&gt;{01F84AF7-E3B7-4E85-BDC8-11D6FE7D21D6}&lt;/UID&gt;&lt;Title&gt;Influence of Structure Nonlinearities on Deformation and Force of Three Pylon Composite Girder Cable-stayed Bridge&lt;/Title&gt;&lt;Template&gt;Conference Paper&lt;/Template&gt;&lt;Star&gt;1&lt;/Star&gt;&lt;Tag&gt;5&lt;/Tag&gt;&lt;Author&gt;Wang, Feng; Liu, Mu-Yu&lt;/Author&gt;&lt;Year&gt;2010&lt;/Year&gt;&lt;Details&gt;&lt;_accessed&gt;59201187&lt;/_accessed&gt;&lt;_created&gt;59055868&lt;/_created&gt;&lt;_modified&gt;59201187&lt;/_modified&gt;&lt;_place_published&gt;Guangzhou,China&lt;/_place_published&gt;&lt;_publisher&gt;National Natural Science Foundation of China &lt;/_publisher&gt;&lt;_secondary_title&gt;11th International Symposium on Structural Engineering&lt;/_secondary_title&gt;&lt;_tertiary_title&gt;Proceedings of the Eleventh International Symposium on Structural Engineering&lt;/_tertiary_title&gt;&lt;/Details&gt;&lt;Extra&gt;&lt;DBUID&gt;{C833C268-2DD2-4BFD-9E86-C36B63EFE0FA}&lt;/DBUID&gt;&lt;/Extra&gt;&lt;/Item&gt;&lt;/References&gt;&lt;/Group&gt;&lt;/Citation&gt;_x000a_"/>
    <w:docVar w:name="NE.Ref{D7598B40-94DB-4C68-88CE-2C9E2FC86364}" w:val=" ADDIN NE.Ref.{D7598B40-94DB-4C68-88CE-2C9E2FC86364}&lt;Citation&gt;&lt;Group&gt;&lt;References&gt;&lt;Item&gt;&lt;ID&gt;1246&lt;/ID&gt;&lt;UID&gt;{6AEE728E-A188-4CD2-B959-9F08ECB079D7}&lt;/UID&gt;&lt;Title&gt;欧洲规范4 钢-混凝土组合梁设计方法（2）──组合梁的受力性能和计算理论&lt;/Title&gt;&lt;Template&gt;Journal Article&lt;/Template&gt;&lt;Star&gt;0&lt;/Star&gt;&lt;Tag&gt;0&lt;/Tag&gt;&lt;Author&gt;胡夏闵&lt;/Author&gt;&lt;Year&gt;1995&lt;/Year&gt;&lt;Details&gt;&lt;_accessed&gt;59128790&lt;/_accessed&gt;&lt;_created&gt;59128750&lt;/_created&gt;&lt;_issue&gt;10&lt;/_issue&gt;&lt;_journal&gt;工业建筑&lt;/_journal&gt;&lt;_modified&gt;59128790&lt;/_modified&gt;&lt;_tertiary_title&gt;Industrial Construction&lt;/_tertiary_title&gt;&lt;_translated_author&gt;Xiamin, Hu&lt;/_translated_author&gt;&lt;_translated_title&gt;DESIGN METHOD OF EUROCODE 4 FOR STEEL-CONCRETE COMPOSITE BEAMS(2)-LOAD CARRING BEHAVIOUR AND CALCULATING THEORY OF COMPOSITE BEAMS&lt;/_translated_title&gt;&lt;_volume&gt;25&lt;/_volume&gt;&lt;/Details&gt;&lt;Extra&gt;&lt;DBUID&gt;{C833C268-2DD2-4BFD-9E86-C36B63EFE0FA}&lt;/DBUID&gt;&lt;/Extra&gt;&lt;/Item&gt;&lt;/References&gt;&lt;/Group&gt;&lt;/Citation&gt;_x000a_"/>
    <w:docVar w:name="NE.Ref{D77EF9C0-CC6B-4FA1-9A36-6D9C642A8721}" w:val=" ADDIN NE.Ref.{D77EF9C0-CC6B-4FA1-9A36-6D9C642A8721}&lt;Citation&gt;&lt;Group&gt;&lt;References&gt;&lt;Item&gt;&lt;ID&gt;1&lt;/ID&gt;&lt;UID&gt;{64DC65B6-29FE-4AEF-BA7C-6789BE2E63BC}&lt;/UID&gt;&lt;Title&gt;组合截面桥梁结构计算方法研究&lt;/Title&gt;&lt;Template&gt;Journal Article&lt;/Template&gt;&lt;Star&gt;1&lt;/Star&gt;&lt;Tag&gt;5&lt;/Tag&gt;&lt;Author&gt;吕建鸣; 宋建永&lt;/Author&gt;&lt;Year&gt;2005&lt;/Year&gt;&lt;Details&gt;&lt;_accessed&gt;59082364&lt;/_accessed&gt;&lt;_author_adr&gt;交通部公路科学研究所，北京100088&lt;/_author_adr&gt;&lt;_created&gt;58462457&lt;/_created&gt;&lt;_db_provider&gt;重庆维普&lt;/_db_provider&gt;&lt;_db_updated&gt;CQ_VIP&lt;/_db_updated&gt;&lt;_isbn&gt;1002-0268&lt;/_isbn&gt;&lt;_issue&gt;6&lt;/_issue&gt;&lt;_journal&gt;公路交通科技&lt;/_journal&gt;&lt;_keywords&gt;桥梁结构; 组合截面; 有限元; 计算方法&lt;/_keywords&gt;&lt;_language&gt;Chinese&lt;/_language&gt;&lt;_modified&gt;58462465&lt;/_modified&gt;&lt;_pages&gt;68-71&lt;/_pages&gt;&lt;_url&gt;http://www.cqvip.com/qk/91479X/200506/15869399.html&lt;/_url&gt;&lt;_volume&gt;22&lt;/_volume&gt;&lt;/Details&gt;&lt;Extra&gt;&lt;DBUID&gt;{C833C268-2DD2-4BFD-9E86-C36B63EFE0FA}&lt;/DBUID&gt;&lt;/Extra&gt;&lt;/Item&gt;&lt;/References&gt;&lt;/Group&gt;&lt;/Citation&gt;_x000a_"/>
    <w:docVar w:name="NE.Ref{D7FF2FFB-4D07-4E8B-AC43-FF0938C99157}" w:val=" ADDIN NE.Ref.{D7FF2FFB-4D07-4E8B-AC43-FF0938C99157}&lt;Citation&gt;&lt;Group&gt;&lt;References&gt;&lt;Item&gt;&lt;ID&gt;1233&lt;/ID&gt;&lt;UID&gt;{BDC38191-7B46-4CD9-85CB-5DD121038AB9}&lt;/UID&gt;&lt;Title&gt;组合结构桥梁&lt;/Title&gt;&lt;Template&gt;Book&lt;/Template&gt;&lt;Star&gt;0&lt;/Star&gt;&lt;Tag&gt;5&lt;/Tag&gt;&lt;Author&gt;刘玉擎&lt;/Author&gt;&lt;Year&gt;2005&lt;/Year&gt;&lt;Details&gt;&lt;_accessed&gt;59108587&lt;/_accessed&gt;&lt;_created&gt;59099573&lt;/_created&gt;&lt;_modified&gt;59099573&lt;/_modified&gt;&lt;_place_published&gt;北京&lt;/_place_published&gt;&lt;_publisher&gt;人民交通出版社&lt;/_publisher&gt;&lt;/Details&gt;&lt;Extra&gt;&lt;DBUID&gt;{C833C268-2DD2-4BFD-9E86-C36B63EFE0FA}&lt;/DBUID&gt;&lt;/Extra&gt;&lt;/Item&gt;&lt;/References&gt;&lt;/Group&gt;&lt;Group&gt;&lt;References&gt;&lt;Item&gt;&lt;ID&gt;1072&lt;/ID&gt;&lt;UID&gt;{36AA2E09-C6E7-4FC8-B2CD-65A8A3CA2E69}&lt;/UID&gt;&lt;Title&gt;Steel-Concrete Composite Bridges Sustainable Design Guide&lt;/Title&gt;&lt;Template&gt;Book&lt;/Template&gt;&lt;Star&gt;0&lt;/Star&gt;&lt;Tag&gt;5&lt;/Tag&gt;&lt;Author&gt;SETRA&lt;/Author&gt;&lt;Year&gt;2010&lt;/Year&gt;&lt;Details&gt;&lt;_accessed&gt;59190581&lt;/_accessed&gt;&lt;_created&gt;59062581&lt;/_created&gt;&lt;_modified&gt;59099583&lt;/_modified&gt;&lt;/Details&gt;&lt;Extra&gt;&lt;DBUID&gt;{C833C268-2DD2-4BFD-9E86-C36B63EFE0FA}&lt;/DBUID&gt;&lt;/Extra&gt;&lt;/Item&gt;&lt;/References&gt;&lt;/Group&gt;&lt;Group&gt;&lt;References&gt;&lt;Item&gt;&lt;ID&gt;181&lt;/ID&gt;&lt;UID&gt;{893DF167-AF79-4F61-A704-A7BB79B939CB}&lt;/UID&gt;&lt;Title&gt;Eurocodes 3 and 4 Application to steel-concrete composite road bridges&lt;/Title&gt;&lt;Template&gt;Book&lt;/Template&gt;&lt;Star&gt;0&lt;/Star&gt;&lt;Tag&gt;5&lt;/Tag&gt;&lt;Author&gt;SETRA&lt;/Author&gt;&lt;Year&gt;2007&lt;/Year&gt;&lt;Details&gt;&lt;_accessed&gt;59190581&lt;/_accessed&gt;&lt;_created&gt;58462492&lt;/_created&gt;&lt;_modified&gt;59099580&lt;/_modified&gt;&lt;/Details&gt;&lt;Extra&gt;&lt;DBUID&gt;{C833C268-2DD2-4BFD-9E86-C36B63EFE0FA}&lt;/DBUID&gt;&lt;/Extra&gt;&lt;/Item&gt;&lt;/References&gt;&lt;/Group&gt;&lt;Group&gt;&lt;References&gt;&lt;Item&gt;&lt;ID&gt;1156&lt;/ID&gt;&lt;UID&gt;{E6953246-5B6C-4368-8B31-411B80424D7D}&lt;/UID&gt;&lt;Title&gt;New Technologies of Steel/concrete Composite Bridges&lt;/Title&gt;&lt;Template&gt;Journal Article&lt;/Template&gt;&lt;Star&gt;0&lt;/Star&gt;&lt;Tag&gt;5&lt;/Tag&gt;&lt;Author&gt;Nakamura, Shun-ichi; Momiyama, Yoshiyuki; Hosaka, Tetsuya; Homma, Koji&lt;/Author&gt;&lt;Year&gt;2002&lt;/Year&gt;&lt;Details&gt;&lt;_accessed&gt;59280121&lt;/_accessed&gt;&lt;_alternate_title&gt;Journal of Constructional Steel Research&lt;/_alternate_title&gt;&lt;_created&gt;59066503&lt;/_created&gt;&lt;_date_display&gt;2002/1//&lt;/_date_display&gt;&lt;_db_updated&gt;ScienceDirect&lt;/_db_updated&gt;&lt;_isbn&gt;0143-974X&lt;/_isbn&gt;&lt;_issue&gt;1&lt;/_issue&gt;&lt;_journal&gt;Journal of Constructional Steel Research&lt;/_journal&gt;&lt;_keywords&gt;Japan; Steel/concrete composite bridges; Mixed structures; Concrete-filled steel pipes; Girder pier connection; Integral abutment; Rolled H-section; Composite cable-stayed bridges; Extra-dosed bridge&lt;/_keywords&gt;&lt;_modified&gt;59280121&lt;/_modified&gt;&lt;_pages&gt;99-130&lt;/_pages&gt;&lt;_url&gt;http://www.sciencedirect.com/science/article/pii/S0143974X0100030X&lt;/_url&gt;&lt;_volume&gt;58&lt;/_volume&gt;&lt;/Details&gt;&lt;Extra&gt;&lt;DBUID&gt;{C833C268-2DD2-4BFD-9E86-C36B63EFE0FA}&lt;/DBUID&gt;&lt;/Extra&gt;&lt;/Item&gt;&lt;/References&gt;&lt;/Group&gt;&lt;Group&gt;&lt;References&gt;&lt;Item&gt;&lt;ID&gt;1141&lt;/ID&gt;&lt;UID&gt;{5E0EFE05-D3FA-4B50-AAB8-8AAFACF918ED}&lt;/UID&gt;&lt;Title&gt;Design Development of Steel-concrete Composite Bridges in France&lt;/Title&gt;&lt;Template&gt;Journal Article&lt;/Template&gt;&lt;Star&gt;0&lt;/Star&gt;&lt;Tag&gt;5&lt;/Tag&gt;&lt;Author&gt;Brozzetti, Jacques&lt;/Author&gt;&lt;Year&gt;2000&lt;/Year&gt;&lt;Details&gt;&lt;_accessed&gt;59111793&lt;/_accessed&gt;&lt;_alternate_title&gt;Journal of Constructional Steel Research&lt;/_alternate_title&gt;&lt;_created&gt;59066503&lt;/_created&gt;&lt;_date_display&gt;2000/7//&lt;/_date_display&gt;&lt;_db_updated&gt;ScienceDirect&lt;/_db_updated&gt;&lt;_isbn&gt;0143-974X&lt;/_isbn&gt;&lt;_issue&gt;1–3&lt;/_issue&gt;&lt;_journal&gt;Journal of Constructional Steel Research&lt;/_journal&gt;&lt;_keywords&gt;Composite bridge; Steel concrete bridge; Bridge design&lt;/_keywords&gt;&lt;_modified&gt;59111794&lt;/_modified&gt;&lt;_pages&gt;229-243&lt;/_pages&gt;&lt;_url&gt;http://www.sciencedirect.com/science/article/pii/S0143974X99000875&lt;/_url&gt;&lt;_volume&gt;55&lt;/_volume&gt;&lt;/Details&gt;&lt;Extra&gt;&lt;DBUID&gt;{C833C268-2DD2-4BFD-9E86-C36B63EFE0FA}&lt;/DBUID&gt;&lt;/Extra&gt;&lt;/Item&gt;&lt;/References&gt;&lt;/Group&gt;&lt;Group&gt;&lt;References&gt;&lt;Item&gt;&lt;ID&gt;13&lt;/ID&gt;&lt;UID&gt;{D1FE9825-4535-45EE-AD41-F478E41AF725}&lt;/UID&gt;&lt;Title&gt;城市高架组合结构桥梁国际发展概况&lt;/Title&gt;&lt;Template&gt;Journal Article&lt;/Template&gt;&lt;Star&gt;1&lt;/Star&gt;&lt;Tag&gt;5&lt;/Tag&gt;&lt;Author&gt;邵长宇&lt;/Author&gt;&lt;Year&gt;2008&lt;/Year&gt;&lt;Details&gt;&lt;_accessed&gt;59009169&lt;/_accessed&gt;&lt;_author_adr&gt;上海市政工程设计研究总院&lt;/_author_adr&gt;&lt;_created&gt;58462457&lt;/_created&gt;&lt;_db_provider&gt;重庆维普&lt;/_db_provider&gt;&lt;_db_updated&gt;CQ_VIP&lt;/_db_updated&gt;&lt;_isbn&gt;1007-0109&lt;/_isbn&gt;&lt;_issue&gt;1&lt;/_issue&gt;&lt;_journal&gt;上海公路&lt;/_journal&gt;&lt;_keywords&gt;城市高架; 组合结构; 国际发展&lt;/_keywords&gt;&lt;_language&gt;Chinese&lt;/_language&gt;&lt;_modified&gt;58462459&lt;/_modified&gt;&lt;_pages&gt;28-30&lt;/_pages&gt;&lt;_url&gt;http://www.cqvip.com/qk/84496X/200801/26967978.html&lt;/_url&gt;&lt;/Details&gt;&lt;Extra&gt;&lt;DBUID&gt;{C833C268-2DD2-4BFD-9E86-C36B63EFE0FA}&lt;/DBUID&gt;&lt;/Extra&gt;&lt;/Item&gt;&lt;/References&gt;&lt;/Group&gt;&lt;Group&gt;&lt;References&gt;&lt;Item&gt;&lt;ID&gt;28&lt;/ID&gt;&lt;UID&gt;{99605EBE-9D97-4EE0-ABAB-BF3DB4A84494}&lt;/UID&gt;&lt;Title&gt;复合结构桥梁的特性&lt;/Title&gt;&lt;Template&gt;Journal Article&lt;/Template&gt;&lt;Star&gt;1&lt;/Star&gt;&lt;Tag&gt;5&lt;/Tag&gt;&lt;Author&gt;白玲; 史永吉&lt;/Author&gt;&lt;Year&gt;2003&lt;/Year&gt;&lt;Details&gt;&lt;_accessed&gt;58462465&lt;/_accessed&gt;&lt;_author_adr&gt;铁道科学研究院研发中心，北京100081&lt;/_author_adr&gt;&lt;_created&gt;58462457&lt;/_created&gt;&lt;_db_provider&gt;重庆维普&lt;/_db_provider&gt;&lt;_db_updated&gt;CQ_VIP&lt;/_db_updated&gt;&lt;_isbn&gt;1001-4632&lt;/_isbn&gt;&lt;_issue&gt;1&lt;/_issue&gt;&lt;_journal&gt;中国铁道科学&lt;/_journal&gt;&lt;_keywords&gt;特性; 桥梁; 复合结构; 组合结构; 混合结构; 力学性能; 发展; 混合材料&lt;/_keywords&gt;&lt;_language&gt;Chinese&lt;/_language&gt;&lt;_modified&gt;58462460&lt;/_modified&gt;&lt;_pages&gt;80-87&lt;/_pages&gt;&lt;_url&gt;http://www.cqvip.com/qk/97928X/200301/7497156.html&lt;/_url&gt;&lt;_volume&gt;24&lt;/_volume&gt;&lt;/Details&gt;&lt;Extra&gt;&lt;DBUID&gt;{C833C268-2DD2-4BFD-9E86-C36B63EFE0FA}&lt;/DBUID&gt;&lt;/Extra&gt;&lt;/Item&gt;&lt;/References&gt;&lt;/Group&gt;&lt;Group&gt;&lt;References&gt;&lt;Item&gt;&lt;ID&gt;1236&lt;/ID&gt;&lt;UID&gt;{668FD882-381A-436E-9F72-7DB4F9F8AFF2}&lt;/UID&gt;&lt;Title&gt;Eurocode 4 Design of Composite Steel and Concrete Structures-Part2: General Rules and Rules for Bridges&lt;/Title&gt;&lt;Template&gt;Standard&lt;/Template&gt;&lt;Star&gt;0&lt;/Star&gt;&lt;Tag&gt;4&lt;/Tag&gt;&lt;Author/&gt;&lt;Year&gt;2005&lt;/Year&gt;&lt;Details&gt;&lt;_accessed&gt;59129088&lt;/_accessed&gt;&lt;_created&gt;59101286&lt;/_created&gt;&lt;_modified&gt;59128929&lt;/_modified&gt;&lt;/Details&gt;&lt;Extra&gt;&lt;DBUID&gt;{C833C268-2DD2-4BFD-9E86-C36B63EFE0FA}&lt;/DBUID&gt;&lt;/Extra&gt;&lt;/Item&gt;&lt;/References&gt;&lt;/Group&gt;&lt;Group&gt;&lt;References&gt;&lt;Item&gt;&lt;ID&gt;723&lt;/ID&gt;&lt;UID&gt;{339B7134-215E-4078-83BE-11C726CDF5C4}&lt;/UID&gt;&lt;Title&gt;大跨度钢-混凝土连续组合箱梁桥关键技术研究&lt;/Title&gt;&lt;Template&gt;Thesis&lt;/Template&gt;&lt;Star&gt;0&lt;/Star&gt;&lt;Tag&gt;5&lt;/Tag&gt;&lt;Author&gt;邵长宇&lt;/Author&gt;&lt;Year&gt;2006&lt;/Year&gt;&lt;Details&gt;&lt;_accessed&gt;58806499&lt;/_accessed&gt;&lt;_created&gt;58806498&lt;/_created&gt;&lt;_date&gt;56188800&lt;/_date&gt;&lt;_db_provider&gt;北京万方数据股份有限公司&lt;/_db_provider&gt;&lt;_db_updated&gt;Wanfang - Paper(general)&lt;/_db_updated&gt;&lt;_language&gt;chi&lt;/_language&gt;&lt;_modified&gt;58806498&lt;/_modified&gt;&lt;_publisher&gt;同济大学土木工程学院 同济大学&lt;/_publisher&gt;&lt;_section&gt;桥梁与隧道工程&lt;/_section&gt;&lt;_tertiary_author&gt;项海帆&lt;/_tertiary_author&gt;&lt;_url&gt;http://d.wanfangdata.com.cn/Thesis_W1657736.aspx&lt;/_url&gt;&lt;_volume&gt;博士&lt;/_volume&gt;&lt;/Details&gt;&lt;Extra&gt;&lt;DBUID&gt;{C833C268-2DD2-4BFD-9E86-C36B63EFE0FA}&lt;/DBUID&gt;&lt;/Extra&gt;&lt;/Item&gt;&lt;/References&gt;&lt;/Group&gt;&lt;Group&gt;&lt;References&gt;&lt;Item&gt;&lt;ID&gt;1306&lt;/ID&gt;&lt;UID&gt;{EF780C12-99A1-4E7D-BCF1-FF433300D531}&lt;/UID&gt;&lt;Title&gt;Composite Bridges in Germany Designed According to Eurocode 4-2&lt;/Title&gt;&lt;Template&gt;Conference Paper&lt;/Template&gt;&lt;Star&gt;0&lt;/Star&gt;&lt;Tag&gt;5&lt;/Tag&gt;&lt;Author&gt;Hanswille, Gerhard&lt;/Author&gt;&lt;Year&gt;2008&lt;/Year&gt;&lt;Details&gt;&lt;_accessed&gt;59177743&lt;/_accessed&gt;&lt;_created&gt;59177723&lt;/_created&gt;&lt;_modified&gt;59177747&lt;/_modified&gt;&lt;_place_published&gt;America&lt;/_place_published&gt;&lt;_publisher&gt;Engineering Conference International and The Structural Engineering Institute of ASCE &lt;/_publisher&gt;&lt;_secondary_title&gt;International Conference on Composite Construction in Steel and Concrete&lt;/_secondary_title&gt;&lt;_tertiary_author&gt;Leon, Roberto T; Perea, Tiziano; Rassati, Gian Andrea; Lange, Jorg&lt;/_tertiary_author&gt;&lt;_tertiary_title&gt;Composite Construction in Steel and Concrete VI&lt;/_tertiary_title&gt;&lt;/Details&gt;&lt;Extra&gt;&lt;DBUID&gt;{C833C268-2DD2-4BFD-9E86-C36B63EFE0FA}&lt;/DBUID&gt;&lt;/Extra&gt;&lt;/Item&gt;&lt;/References&gt;&lt;/Group&gt;&lt;/Citation&gt;_x000a_"/>
    <w:docVar w:name="NE.Ref{D8AF67DB-8511-46FD-A75B-5596FA4F1ECF}" w:val=" ADDIN NE.Ref.{D8AF67DB-8511-46FD-A75B-5596FA4F1ECF}&lt;Citation&gt;&lt;Group&gt;&lt;References&gt;&lt;Item&gt;&lt;ID&gt;1132&lt;/ID&gt;&lt;UID&gt;{79201D34-2AE2-456E-ABCD-1BB83F921A78}&lt;/UID&gt;&lt;Title&gt;Analysis of Cable-stayed Bridges during Construction by Cantilever Methods&lt;/Title&gt;&lt;Template&gt;Journal Article&lt;/Template&gt;&lt;Star&gt;1&lt;/Star&gt;&lt;Tag&gt;5&lt;/Tag&gt;&lt;Author&gt;Wang, Pao-Hsii; Tang, Tzu-Yang; Zheng, Hou-Nong&lt;/Author&gt;&lt;Year&gt;2004&lt;/Year&gt;&lt;Details&gt;&lt;_accessed&gt;59189509&lt;/_accessed&gt;&lt;_alternate_title&gt;Computers &amp;amp;amp; Structures&lt;/_alternate_title&gt;&lt;_created&gt;59066503&lt;/_created&gt;&lt;_date_display&gt;2004/2//&lt;/_date_display&gt;&lt;_db_updated&gt;ScienceDirect&lt;/_db_updated&gt;&lt;_isbn&gt;0045-7949&lt;/_isbn&gt;&lt;_issue&gt;4–5&lt;/_issue&gt;&lt;_journal&gt;Computers &amp;amp;amp; Structures&lt;/_journal&gt;&lt;_keywords&gt;Cable-stayed bridge; Initial shape; Forward process analysis; Backward process analysis&lt;/_keywords&gt;&lt;_modified&gt;59189510&lt;/_modified&gt;&lt;_pages&gt;329-346&lt;/_pages&gt;&lt;_url&gt;http://www.sciencedirect.com/science/article/pii/S004579490300467X&lt;/_url&gt;&lt;_volume&gt;82&lt;/_volume&gt;&lt;/Details&gt;&lt;Extra&gt;&lt;DBUID&gt;{C833C268-2DD2-4BFD-9E86-C36B63EFE0FA}&lt;/DBUID&gt;&lt;/Extra&gt;&lt;/Item&gt;&lt;/References&gt;&lt;/Group&gt;&lt;/Citation&gt;_x000a_"/>
    <w:docVar w:name="NE.Ref{D9459F08-33D6-409F-93A7-0DC74E042455}" w:val=" ADDIN NE.Ref.{D9459F08-33D6-409F-93A7-0DC74E042455}&lt;Citation&gt;&lt;Group&gt;&lt;References&gt;&lt;Item&gt;&lt;ID&gt;1232&lt;/ID&gt;&lt;UID&gt;{EDE566AA-2848-4A64-B824-5F8861F11984}&lt;/UID&gt;&lt;Title&gt;斜拉桥&lt;/Title&gt;&lt;Template&gt;Book&lt;/Template&gt;&lt;Star&gt;0&lt;/Star&gt;&lt;Tag&gt;5&lt;/Tag&gt;&lt;Author&gt;林元培&lt;/Author&gt;&lt;Year&gt;2004&lt;/Year&gt;&lt;Details&gt;&lt;_accessed&gt;59099573&lt;/_accessed&gt;&lt;_created&gt;59098685&lt;/_created&gt;&lt;_modified&gt;59098685&lt;/_modified&gt;&lt;_place_published&gt;北京&lt;/_place_published&gt;&lt;_publisher&gt;人民交通出版社&lt;/_publisher&gt;&lt;/Details&gt;&lt;Extra&gt;&lt;DBUID&gt;{C833C268-2DD2-4BFD-9E86-C36B63EFE0FA}&lt;/DBUID&gt;&lt;/Extra&gt;&lt;/Item&gt;&lt;/References&gt;&lt;/Group&gt;&lt;/Citation&gt;_x000a_"/>
    <w:docVar w:name="NE.Ref{DC7F39A4-E212-4544-838D-C1505A8D11A5}" w:val=" ADDIN NE.Ref.{DC7F39A4-E212-4544-838D-C1505A8D11A5}&lt;Citation&gt;&lt;Group&gt;&lt;References&gt;&lt;Item&gt;&lt;ID&gt;1136&lt;/ID&gt;&lt;UID&gt;{E4D78815-0A1D-49B4-BA45-A2645223EFAA}&lt;/UID&gt;&lt;Title&gt;Approximate method for estimation of collapse loads of steel cable-stayed bridges&lt;/Title&gt;&lt;Template&gt;Journal Article&lt;/Template&gt;&lt;Star&gt;0&lt;/Star&gt;&lt;Tag&gt;5&lt;/Tag&gt;&lt;Author&gt;Yoo, Hoon; Na, Ho-Sung; Choi, Dong-Ho&lt;/Author&gt;&lt;Year&gt;2012&lt;/Year&gt;&lt;Details&gt;&lt;_accessed&gt;59066516&lt;/_accessed&gt;&lt;_alternate_title&gt;Journal of Constructional Steel Research&lt;/_alternate_title&gt;&lt;_created&gt;59066503&lt;/_created&gt;&lt;_date_display&gt;2012/5//&lt;/_date_display&gt;&lt;_db_updated&gt;ScienceDirect&lt;/_db_updated&gt;&lt;_isbn&gt;0143-974X&lt;/_isbn&gt;&lt;_journal&gt;Journal of Constructional Steel Research&lt;/_journal&gt;&lt;_keywords&gt;Cable-stayed bridge; Structural stability; Collapse loads; Buckling; Inelastic buckling analysis&lt;/_keywords&gt;&lt;_modified&gt;59066505&lt;/_modified&gt;&lt;_pages&gt;143-154&lt;/_pages&gt;&lt;_url&gt;http://www.sciencedirect.com/science/article/pii/S0143974X11003130&lt;/_url&gt;&lt;_volume&gt;72&lt;/_volume&gt;&lt;/Details&gt;&lt;Extra&gt;&lt;DBUID&gt;{C833C268-2DD2-4BFD-9E86-C36B63EFE0FA}&lt;/DBUID&gt;&lt;/Extra&gt;&lt;/Item&gt;&lt;/References&gt;&lt;/Group&gt;&lt;Group&gt;&lt;References&gt;&lt;Item&gt;&lt;ID&gt;1135&lt;/ID&gt;&lt;UID&gt;{9AF11686-7974-4E02-B7A2-2CB1A59BBBE0}&lt;/UID&gt;&lt;Title&gt;Analysis of the overall collapse mechanism of cable-stayed bridges with different cable layouts&lt;/Title&gt;&lt;Template&gt;Journal Article&lt;/Template&gt;&lt;Star&gt;1&lt;/Star&gt;&lt;Tag&gt;5&lt;/Tag&gt;&lt;Author&gt;Song, Weon-Keun; Kim, Seung-Eock&lt;/Author&gt;&lt;Year&gt;2007&lt;/Year&gt;&lt;Details&gt;&lt;_accessed&gt;59176698&lt;/_accessed&gt;&lt;_alternate_title&gt;Engineering Structures&lt;/_alternate_title&gt;&lt;_created&gt;59066503&lt;/_created&gt;&lt;_date_display&gt;2007/9//&lt;/_date_display&gt;&lt;_db_updated&gt;ScienceDirect&lt;/_db_updated&gt;&lt;_isbn&gt;0141-0296&lt;/_isbn&gt;&lt;_issue&gt;9&lt;/_issue&gt;&lt;_journal&gt;Engineering Structures&lt;/_journal&gt;&lt;_keywords&gt;Steel cable-stayed bridge; Softening plastic-hinge model; Fiber element model; Nonlinear inelastic buckling model; Overall collapse mechanism; Ultimate load-carrying capacity&lt;/_keywords&gt;&lt;_modified&gt;59066505&lt;/_modified&gt;&lt;_pages&gt;2133-2142&lt;/_pages&gt;&lt;_url&gt;http://www.sciencedirect.com/science/article/pii/S0141029606004718&lt;/_url&gt;&lt;_volume&gt;29&lt;/_volume&gt;&lt;/Details&gt;&lt;Extra&gt;&lt;DBUID&gt;{C833C268-2DD2-4BFD-9E86-C36B63EFE0FA}&lt;/DBUID&gt;&lt;/Extra&gt;&lt;/Item&gt;&lt;/References&gt;&lt;/Group&gt;&lt;/Citation&gt;_x000a_"/>
    <w:docVar w:name="NE.Ref{DD208764-8694-44CB-9A7C-0717B7575C7C}" w:val=" ADDIN NE.Ref.{DD208764-8694-44CB-9A7C-0717B7575C7C}&lt;Citation&gt;&lt;Group&gt;&lt;References&gt;&lt;Item&gt;&lt;ID&gt;901&lt;/ID&gt;&lt;UID&gt;{4504BFA5-F088-4282-A800-D2E7711090B4}&lt;/UID&gt;&lt;Title&gt;组合梁斜拉桥收缩徐变效应分析&lt;/Title&gt;&lt;Template&gt;Conference Paper&lt;/Template&gt;&lt;Star&gt;1&lt;/Star&gt;&lt;Tag&gt;5&lt;/Tag&gt;&lt;Author&gt;聂建国; 李法雄; 樊健生&lt;/Author&gt;&lt;Year&gt;2010&lt;/Year&gt;&lt;Details&gt;&lt;_accessed&gt;59055903&lt;/_accessed&gt;&lt;_created&gt;59055868&lt;/_created&gt;&lt;_date&gt;57854880&lt;/_date&gt;&lt;_db_provider&gt;北京万方数据股份有限公司&lt;/_db_provider&gt;&lt;_db_updated&gt;Wanfang - Conference&lt;/_db_updated&gt;&lt;_language&gt;chi&lt;/_language&gt;&lt;_modified&gt;59055900&lt;/_modified&gt;&lt;_place_published&gt;北京&lt;/_place_published&gt;&lt;_secondary_title&gt;’2010全国钢结构学术年会&lt;/_secondary_title&gt;&lt;_tertiary_author&gt;中国钢结构协会&lt;/_tertiary_author&gt;&lt;_tertiary_title&gt;’2010全国钢结构学术年会论文集&lt;/_tertiary_title&gt;&lt;_url&gt;http://d.wanfangdata.com.cn/Conference_7441092.aspx&lt;/_url&gt;&lt;/Details&gt;&lt;Extra&gt;&lt;DBUID&gt;{C833C268-2DD2-4BFD-9E86-C36B63EFE0FA}&lt;/DBUID&gt;&lt;/Extra&gt;&lt;/Item&gt;&lt;/References&gt;&lt;/Group&gt;&lt;/Citation&gt;_x000a_"/>
    <w:docVar w:name="NE.Ref{DE050022-D83D-4868-8085-60AA5F7AA466}" w:val=" ADDIN NE.Ref.{DE050022-D83D-4868-8085-60AA5F7AA466}&lt;Citation&gt;&lt;Group&gt;&lt;References&gt;&lt;Item&gt;&lt;ID&gt;1236&lt;/ID&gt;&lt;UID&gt;{668FD882-381A-436E-9F72-7DB4F9F8AFF2}&lt;/UID&gt;&lt;Title&gt;Design of Composite Steel and Concrete Structures,Part2:Bridges&lt;/Title&gt;&lt;Template&gt;Standard&lt;/Template&gt;&lt;Star&gt;0&lt;/Star&gt;&lt;Tag&gt;0&lt;/Tag&gt;&lt;Author/&gt;&lt;Year&gt;1996&lt;/Year&gt;&lt;Details&gt;&lt;_secondary_title&gt;Eurocode 4&lt;/_secondary_title&gt;&lt;_modified&gt;59101286&lt;/_modified&gt;&lt;_created&gt;59101286&lt;/_created&gt;&lt;_accessed&gt;59101286&lt;/_accessed&gt;&lt;/Details&gt;&lt;Extra&gt;&lt;DBUID&gt;{C833C268-2DD2-4BFD-9E86-C36B63EFE0FA}&lt;/DBUID&gt;&lt;/Extra&gt;&lt;/Item&gt;&lt;/References&gt;&lt;/Group&gt;&lt;/Citation&gt;_x000a_"/>
    <w:docVar w:name="NE.Ref{DE41609D-7A63-430F-8A26-A5E55D4B0471}" w:val=" ADDIN NE.Ref.{DE41609D-7A63-430F-8A26-A5E55D4B0471}&lt;Citation&gt;&lt;Group&gt;&lt;References&gt;&lt;Item&gt;&lt;ID&gt;1394&lt;/ID&gt;&lt;UID&gt;{310E0CDF-EDF2-4064-9CA3-A3FC708B751C}&lt;/UID&gt;&lt;Title&gt;Cable-stayed Bridge Concept for Longer Spans&lt;/Title&gt;&lt;Template&gt;Journal Article&lt;/Template&gt;&lt;Star&gt;1&lt;/Star&gt;&lt;Tag&gt;5&lt;/Tag&gt;&lt;Author&gt;Starossek, Uwe&lt;/Author&gt;&lt;Year&gt;1996&lt;/Year&gt;&lt;Details&gt;&lt;_accessed&gt;59252852&lt;/_accessed&gt;&lt;_created&gt;59252846&lt;/_created&gt;&lt;_journal&gt;Journal of Bridge Engineering&lt;/_journal&gt;&lt;_modified&gt;59252853&lt;/_modified&gt;&lt;_pages&gt;99-103&lt;/_pages&gt;&lt;_volume&gt;1&lt;/_volume&gt;&lt;/Details&gt;&lt;Extra&gt;&lt;DBUID&gt;{C833C268-2DD2-4BFD-9E86-C36B63EFE0FA}&lt;/DBUID&gt;&lt;/Extra&gt;&lt;/Item&gt;&lt;/References&gt;&lt;/Group&gt;&lt;/Citation&gt;_x000a_"/>
    <w:docVar w:name="NE.Ref{DE9A8EA2-A6B7-4DC1-B5F1-3B391E5AE5DC}" w:val=" ADDIN NE.Ref.{DE9A8EA2-A6B7-4DC1-B5F1-3B391E5AE5DC}&lt;Citation&gt;&lt;Group&gt;&lt;References&gt;&lt;Item&gt;&lt;ID&gt;1233&lt;/ID&gt;&lt;UID&gt;{BDC38191-7B46-4CD9-85CB-5DD121038AB9}&lt;/UID&gt;&lt;Title&gt;组合结构桥梁&lt;/Title&gt;&lt;Template&gt;Book&lt;/Template&gt;&lt;Star&gt;0&lt;/Star&gt;&lt;Tag&gt;5&lt;/Tag&gt;&lt;Author&gt;刘玉擎&lt;/Author&gt;&lt;Year&gt;2005&lt;/Year&gt;&lt;Details&gt;&lt;_accessed&gt;59108587&lt;/_accessed&gt;&lt;_created&gt;59099573&lt;/_created&gt;&lt;_modified&gt;59099573&lt;/_modified&gt;&lt;_place_published&gt;北京&lt;/_place_published&gt;&lt;_publisher&gt;人民交通出版社&lt;/_publisher&gt;&lt;/Details&gt;&lt;Extra&gt;&lt;DBUID&gt;{C833C268-2DD2-4BFD-9E86-C36B63EFE0FA}&lt;/DBUID&gt;&lt;/Extra&gt;&lt;/Item&gt;&lt;/References&gt;&lt;/Group&gt;&lt;Group&gt;&lt;References&gt;&lt;Item&gt;&lt;ID&gt;1242&lt;/ID&gt;&lt;UID&gt;{BA30FA62-7B58-4BBA-9A9C-0CBBE24A4006}&lt;/UID&gt;&lt;Title&gt;钢-混凝土组合梁斜拉桥结构的混凝土徐变效应分析&lt;/Title&gt;&lt;Template&gt;Thesis&lt;/Template&gt;&lt;Star&gt;0&lt;/Star&gt;&lt;Tag&gt;5&lt;/Tag&gt;&lt;Author&gt;胡欣&lt;/Author&gt;&lt;Year&gt;2004&lt;/Year&gt;&lt;Details&gt;&lt;_accessed&gt;59117304&lt;/_accessed&gt;&lt;_created&gt;59117303&lt;/_created&gt;&lt;_date&gt;54829440&lt;/_date&gt;&lt;_db_provider&gt;北京万方数据股份有限公司&lt;/_db_provider&gt;&lt;_db_updated&gt;Wanfang - Thesis&lt;/_db_updated&gt;&lt;_keywords&gt;组合梁; 斜拉桥; 徐变; 前进分析; ANSYS&lt;/_keywords&gt;&lt;_language&gt;chi&lt;/_language&gt;&lt;_modified&gt;59117304&lt;/_modified&gt;&lt;_publisher&gt;同济大学&lt;/_publisher&gt;&lt;_section&gt;桥梁与隧道工程&lt;/_section&gt;&lt;_tertiary_author&gt;吴冲石志源&lt;/_tertiary_author&gt;&lt;_url&gt;http://d.wanfangdata.com.cn/Thesis_Y675304.aspx&lt;/_url&gt;&lt;_volume&gt;硕士&lt;/_volume&gt;&lt;/Details&gt;&lt;Extra&gt;&lt;DBUID&gt;{C833C268-2DD2-4BFD-9E86-C36B63EFE0FA}&lt;/DBUID&gt;&lt;/Extra&gt;&lt;/Item&gt;&lt;/References&gt;&lt;/Group&gt;&lt;/Citation&gt;_x000a_"/>
    <w:docVar w:name="NE.Ref{DF378EC5-15DB-465E-9337-A7176CA09BD0}" w:val=" ADDIN NE.Ref.{DF378EC5-15DB-465E-9337-A7176CA09BD0}&lt;Citation&gt;&lt;Group&gt;&lt;References&gt;&lt;Item&gt;&lt;ID&gt;1313&lt;/ID&gt;&lt;UID&gt;{961EEF4B-FF90-4AC2-8958-CB8FA64E73B2}&lt;/UID&gt;&lt;Title&gt;The Golden Ears Bridge in Vancouver,BC&lt;/Title&gt;&lt;Template&gt;Conference Paper&lt;/Template&gt;&lt;Star&gt;0&lt;/Star&gt;&lt;Tag&gt;5&lt;/Tag&gt;&lt;Author&gt;BERGMAN, Don W; RADOJEVIC, Dusan; IBRAHIM, Hisham&lt;/Author&gt;&lt;Year&gt;2008&lt;/Year&gt;&lt;Details&gt;&lt;_accessed&gt;59185157&lt;/_accessed&gt;&lt;_created&gt;59184566&lt;/_created&gt;&lt;_modified&gt;59185157&lt;/_modified&gt;&lt;_place_published&gt;Vancouver, BC, Canada&lt;/_place_published&gt;&lt;_publisher&gt;the Structural Engineering Institute (SEI) of the American Society of Civil Engineers&lt;/_publisher&gt;&lt;_secondary_title&gt;Structures 2008: Crossing Borders&lt;/_secondary_title&gt;&lt;/Details&gt;&lt;Extra&gt;&lt;DBUID&gt;{C833C268-2DD2-4BFD-9E86-C36B63EFE0FA}&lt;/DBUID&gt;&lt;/Extra&gt;&lt;/Item&gt;&lt;/References&gt;&lt;/Group&gt;&lt;/Citation&gt;_x000a_"/>
    <w:docVar w:name="NE.Ref{DFFC0E7D-BD4E-407E-B866-1F1B08F541E1}" w:val=" ADDIN NE.Ref.{DFFC0E7D-BD4E-407E-B866-1F1B08F541E1}&lt;Citation&gt;&lt;Group&gt;&lt;References&gt;&lt;Item&gt;&lt;ID&gt;1253&lt;/ID&gt;&lt;UID&gt;{992527F8-DB2A-414E-AB3D-CB909B520766}&lt;/UID&gt;&lt;Title&gt;欧洲规范4 钢-混凝土组合梁设计方法（9）──组合梁的挠度和裂缝控制&lt;/Title&gt;&lt;Template&gt;Journal Article&lt;/Template&gt;&lt;Star&gt;1&lt;/Star&gt;&lt;Tag&gt;5&lt;/Tag&gt;&lt;Author&gt;胡夏闵&lt;/Author&gt;&lt;Year&gt;1996&lt;/Year&gt;&lt;Details&gt;&lt;_accessed&gt;59128789&lt;/_accessed&gt;&lt;_created&gt;59128750&lt;/_created&gt;&lt;_issue&gt;5&lt;/_issue&gt;&lt;_journal&gt;工业建筑&lt;/_journal&gt;&lt;_modified&gt;59128789&lt;/_modified&gt;&lt;_tertiary_title&gt;Industrial Construction&lt;/_tertiary_title&gt;&lt;_translated_author&gt;Xiamin, Hu&lt;/_translated_author&gt;&lt;_translated_title&gt;DESIGN METHOD OF EUROCODE 4 FOR STEEL-CONCRETE COMPOSITE BEAMS(9)-CONTROL OF DEFLECTIONS AND CRACTING IN COMPOSITE BEAMS&lt;/_translated_title&gt;&lt;_volume&gt;26&lt;/_volume&gt;&lt;/Details&gt;&lt;Extra&gt;&lt;DBUID&gt;{C833C268-2DD2-4BFD-9E86-C36B63EFE0FA}&lt;/DBUID&gt;&lt;/Extra&gt;&lt;/Item&gt;&lt;/References&gt;&lt;/Group&gt;&lt;/Citation&gt;_x000a_"/>
    <w:docVar w:name="NE.Ref{E01170A6-7A3D-4CA0-A7C4-07EB3F2D31EF}" w:val=" ADDIN NE.Ref.{E01170A6-7A3D-4CA0-A7C4-07EB3F2D31EF}&lt;Citation&gt;&lt;Group&gt;&lt;References&gt;&lt;Item&gt;&lt;ID&gt;1345&lt;/ID&gt;&lt;UID&gt;{F3F7355C-31AF-42DB-A24F-466A8697BE15}&lt;/UID&gt;&lt;Title&gt;Erection Geometry and Stress Control of Composite Decked Cable-Stayed Bridges&lt;/Title&gt;&lt;Template&gt;Conference Paper&lt;/Template&gt;&lt;Star&gt;1&lt;/Star&gt;&lt;Tag&gt;5&lt;/Tag&gt;&lt;Author&gt;Felber, A; Taylor, P; Griezic, A; Bergman, D; Torrejon, J&lt;/Author&gt;&lt;Year&gt;2001&lt;/Year&gt;&lt;Details&gt;&lt;_accessed&gt;59238813&lt;/_accessed&gt;&lt;_created&gt;59238812&lt;/_created&gt;&lt;_modified&gt;59238815&lt;/_modified&gt;&lt;_place_published&gt;Seoul, Korea&lt;/_place_published&gt;&lt;_secondary_title&gt;IABSE Conference on cable-supported Bridges&lt;/_secondary_title&gt;&lt;/Details&gt;&lt;Extra&gt;&lt;DBUID&gt;{C833C268-2DD2-4BFD-9E86-C36B63EFE0FA}&lt;/DBUID&gt;&lt;/Extra&gt;&lt;/Item&gt;&lt;/References&gt;&lt;/Group&gt;&lt;/Citation&gt;_x000a_"/>
    <w:docVar w:name="NE.Ref{E183BD1D-D93F-47BF-91A9-B648013BB73C}" w:val=" ADDIN NE.Ref.{E183BD1D-D93F-47BF-91A9-B648013BB73C}&lt;Citation&gt;&lt;Group&gt;&lt;References&gt;&lt;Item&gt;&lt;ID&gt;1344&lt;/ID&gt;&lt;UID&gt;{2F3A99F8-7E42-47D0-909D-86E8F349B391}&lt;/UID&gt;&lt;Title&gt;Construction Stage Analysis of Cable-Stayed Bridges&lt;/Title&gt;&lt;Template&gt;Thesis&lt;/Template&gt;&lt;Star&gt;0&lt;/Star&gt;&lt;Tag&gt;5&lt;/Tag&gt;&lt;Author&gt;Grabow, Marko Justus&lt;/Author&gt;&lt;Year&gt;2004&lt;/Year&gt;&lt;Details&gt;&lt;_accessed&gt;59243885&lt;/_accessed&gt;&lt;_created&gt;59228614&lt;/_created&gt;&lt;_modified&gt;59228615&lt;/_modified&gt;&lt;/Details&gt;&lt;Extra&gt;&lt;DBUID&gt;{C833C268-2DD2-4BFD-9E86-C36B63EFE0FA}&lt;/DBUID&gt;&lt;/Extra&gt;&lt;/Item&gt;&lt;/References&gt;&lt;/Group&gt;&lt;/Citation&gt;_x000a_"/>
    <w:docVar w:name="NE.Ref{E3020C22-14D3-475A-8580-79EB68243E02}" w:val=" ADDIN NE.Ref.{E3020C22-14D3-475A-8580-79EB68243E02}&lt;Citation&gt;&lt;Group&gt;&lt;References&gt;&lt;Item&gt;&lt;ID&gt;1345&lt;/ID&gt;&lt;UID&gt;{F3F7355C-31AF-42DB-A24F-466A8697BE15}&lt;/UID&gt;&lt;Title&gt;Erection Geometry and Stress Control of Composite Decked Cable-Stayed Bridges&lt;/Title&gt;&lt;Template&gt;Conference Paper&lt;/Template&gt;&lt;Star&gt;1&lt;/Star&gt;&lt;Tag&gt;5&lt;/Tag&gt;&lt;Author&gt;Felber, A; Taylor, P; Griezic, A; Bergman, D; Torrejon, J&lt;/Author&gt;&lt;Year&gt;2001&lt;/Year&gt;&lt;Details&gt;&lt;_accessed&gt;59238813&lt;/_accessed&gt;&lt;_created&gt;59238812&lt;/_created&gt;&lt;_modified&gt;59238815&lt;/_modified&gt;&lt;_place_published&gt;Seoul, Korea&lt;/_place_published&gt;&lt;_secondary_title&gt;IABSE Conference on cable-supported Bridges&lt;/_secondary_title&gt;&lt;/Details&gt;&lt;Extra&gt;&lt;DBUID&gt;{C833C268-2DD2-4BFD-9E86-C36B63EFE0FA}&lt;/DBUID&gt;&lt;/Extra&gt;&lt;/Item&gt;&lt;/References&gt;&lt;/Group&gt;&lt;/Citation&gt;_x000a_"/>
    <w:docVar w:name="NE.Ref{E64D5398-D1F4-4E47-A756-BAE77AA2C72D}" w:val=" ADDIN NE.Ref.{E64D5398-D1F4-4E47-A756-BAE77AA2C72D}&lt;Citation&gt;&lt;Group&gt;&lt;References&gt;&lt;Item&gt;&lt;ID&gt;1332&lt;/ID&gt;&lt;UID&gt;{ABFB15D9-780E-4CA6-80E2-869197CEFE61}&lt;/UID&gt;&lt;Title&gt;Modified Effective Slab Width for Composite Cable-Stayed Bridges&lt;/Title&gt;&lt;Template&gt;Conference Paper&lt;/Template&gt;&lt;Star&gt;1&lt;/Star&gt;&lt;Tag&gt;5&lt;/Tag&gt;&lt;Author&gt;Byers, David D; McCabe, Steven L&lt;/Author&gt;&lt;Year&gt;1999&lt;/Year&gt;&lt;Details&gt;&lt;_accessed&gt;59208137&lt;/_accessed&gt;&lt;_created&gt;59208127&lt;/_created&gt;&lt;_modified&gt;59208130&lt;/_modified&gt;&lt;_publisher&gt;Engineers&amp;apos; Society of Western Pennsylvania&lt;/_publisher&gt;&lt;_tertiary_title&gt;Proceedings International Bridge Conference&lt;/_tertiary_title&gt;&lt;/Details&gt;&lt;Extra&gt;&lt;DBUID&gt;{C833C268-2DD2-4BFD-9E86-C36B63EFE0FA}&lt;/DBUID&gt;&lt;/Extra&gt;&lt;/Item&gt;&lt;/References&gt;&lt;/Group&gt;&lt;Group&gt;&lt;References&gt;&lt;Item&gt;&lt;ID&gt;1333&lt;/ID&gt;&lt;UID&gt;{F7779448-C117-446D-A196-AA22E8359F85}&lt;/UID&gt;&lt;Title&gt;Evaluation of Effective Slab Width for Composite Cable-Stayed Bridges&lt;/Title&gt;&lt;Template&gt;Conference Paper&lt;/Template&gt;&lt;Star&gt;1&lt;/Star&gt;&lt;Tag&gt;5&lt;/Tag&gt;&lt;Author&gt;Byers, David D; McCabe, Steven L&lt;/Author&gt;&lt;Year&gt;2003&lt;/Year&gt;&lt;Details&gt;&lt;_accessed&gt;59208138&lt;/_accessed&gt;&lt;_created&gt;59208132&lt;/_created&gt;&lt;_modified&gt;59208138&lt;/_modified&gt;&lt;_secondary_title&gt;TRB 2003 Annual Meeting&lt;/_secondary_title&gt;&lt;/Details&gt;&lt;Extra&gt;&lt;DBUID&gt;{C833C268-2DD2-4BFD-9E86-C36B63EFE0FA}&lt;/DBUID&gt;&lt;/Extra&gt;&lt;/Item&gt;&lt;/References&gt;&lt;/Group&gt;&lt;Group&gt;&lt;References&gt;&lt;Item&gt;&lt;ID&gt;1338&lt;/ID&gt;&lt;UID&gt;{B244434A-2F9A-4638-939F-D09614D1F646}&lt;/UID&gt;&lt;Title&gt;Effective Slab Width for Composite Steel Bridge Members&lt;/Title&gt;&lt;Template&gt;Book&lt;/Template&gt;&lt;Star&gt;0&lt;/Star&gt;&lt;Tag&gt;0&lt;/Tag&gt;&lt;Author&gt;CHEN, S S; AREF, A J; AHN, I S; CHIEWANICHAKORN, M; CARPENTER, J A; NOTTIS, A; KALPAKIDIS, I&lt;/Author&gt;&lt;Year&gt;2005&lt;/Year&gt;&lt;Details&gt;&lt;_accessed&gt;59212576&lt;/_accessed&gt;&lt;_created&gt;59212575&lt;/_created&gt;&lt;_modified&gt;59212578&lt;/_modified&gt;&lt;/Details&gt;&lt;Extra&gt;&lt;DBUID&gt;{C833C268-2DD2-4BFD-9E86-C36B63EFE0FA}&lt;/DBUID&gt;&lt;/Extra&gt;&lt;/Item&gt;&lt;/References&gt;&lt;/Group&gt;&lt;/Citation&gt;_x000a_"/>
    <w:docVar w:name="NE.Ref{E7F671CE-AA47-4769-904C-2B9C1D403BE7}" w:val=" ADDIN NE.Ref.{E7F671CE-AA47-4769-904C-2B9C1D403BE7}&lt;Citation&gt;&lt;Group&gt;&lt;References&gt;&lt;Item&gt;&lt;ID&gt;1134&lt;/ID&gt;&lt;UID&gt;{4F81A546-E8C5-4631-91BE-EE2148456758}&lt;/UID&gt;&lt;Title&gt;Analysis of target configurations under dead loads for cable-supported bridges&lt;/Title&gt;&lt;Template&gt;Journal Article&lt;/Template&gt;&lt;Star&gt;0&lt;/Star&gt;&lt;Tag&gt;2&lt;/Tag&gt;&lt;Author&gt;Kim, Ki-Seok; Lee, Hae Sung&lt;/Author&gt;&lt;Year&gt;2001&lt;/Year&gt;&lt;Details&gt;&lt;_accessed&gt;59066516&lt;/_accessed&gt;&lt;_alternate_title&gt;Computers &amp;amp;amp; Structures&lt;/_alternate_title&gt;&lt;_created&gt;59066503&lt;/_created&gt;&lt;_date_display&gt;2001/11//&lt;/_date_display&gt;&lt;_db_updated&gt;ScienceDirect&lt;/_db_updated&gt;&lt;_isbn&gt;0045-7949&lt;/_isbn&gt;&lt;_issue&gt;29–30&lt;/_issue&gt;&lt;_journal&gt;Computers &amp;amp;amp; Structures&lt;/_journal&gt;&lt;_keywords&gt;Target configuration under dead loads; Cable-supported structures; Elastic catenary cable; Newton–Raphson method; Suspension bridge; Cable-stayed bridge&lt;/_keywords&gt;&lt;_modified&gt;59066505&lt;/_modified&gt;&lt;_pages&gt;2681-2692&lt;/_pages&gt;&lt;_url&gt;http://www.sciencedirect.com/science/article/pii/S0045794901001201&lt;/_url&gt;&lt;_volume&gt;79&lt;/_volume&gt;&lt;/Details&gt;&lt;Extra&gt;&lt;DBUID&gt;{C833C268-2DD2-4BFD-9E86-C36B63EFE0FA}&lt;/DBUID&gt;&lt;/Extra&gt;&lt;/Item&gt;&lt;/References&gt;&lt;/Group&gt;&lt;/Citation&gt;_x000a_"/>
    <w:docVar w:name="NE.Ref{E9D5B14E-0810-4FEE-B1EF-A5BE0E98642F}" w:val=" ADDIN NE.Ref.{E9D5B14E-0810-4FEE-B1EF-A5BE0E98642F}&lt;Citation&gt;&lt;Group&gt;&lt;References&gt;&lt;Item&gt;&lt;ID&gt;1246&lt;/ID&gt;&lt;UID&gt;{6AEE728E-A188-4CD2-B959-9F08ECB079D7}&lt;/UID&gt;&lt;Title&gt;欧洲规范4 钢-混凝土组合梁设计方法（2）──组合梁的受力性能和计算理论&lt;/Title&gt;&lt;Template&gt;Journal Article&lt;/Template&gt;&lt;Star&gt;1&lt;/Star&gt;&lt;Tag&gt;5&lt;/Tag&gt;&lt;Author&gt;胡夏闵&lt;/Author&gt;&lt;Year&gt;1995&lt;/Year&gt;&lt;Details&gt;&lt;_accessed&gt;59128790&lt;/_accessed&gt;&lt;_created&gt;59128750&lt;/_created&gt;&lt;_issue&gt;10&lt;/_issue&gt;&lt;_journal&gt;工业建筑&lt;/_journal&gt;&lt;_modified&gt;59128790&lt;/_modified&gt;&lt;_tertiary_title&gt;Industrial Construction&lt;/_tertiary_title&gt;&lt;_translated_author&gt;Xiamin, Hu&lt;/_translated_author&gt;&lt;_translated_title&gt;DESIGN METHOD OF EUROCODE 4 FOR STEEL-CONCRETE COMPOSITE BEAMS(2)-LOAD CARRING BEHAVIOUR AND CALCULATING THEORY OF COMPOSITE BEAMS&lt;/_translated_title&gt;&lt;_volume&gt;25&lt;/_volume&gt;&lt;/Details&gt;&lt;Extra&gt;&lt;DBUID&gt;{C833C268-2DD2-4BFD-9E86-C36B63EFE0FA}&lt;/DBUID&gt;&lt;/Extra&gt;&lt;/Item&gt;&lt;/References&gt;&lt;/Group&gt;&lt;Group&gt;&lt;References&gt;&lt;Item&gt;&lt;ID&gt;1236&lt;/ID&gt;&lt;UID&gt;{668FD882-381A-436E-9F72-7DB4F9F8AFF2}&lt;/UID&gt;&lt;Title&gt;Eurocode 4 Design of Composite Steel and Concrete Structures-Part2: General Rules and Rules for Bridges&lt;/Title&gt;&lt;Template&gt;Standard&lt;/Template&gt;&lt;Star&gt;0&lt;/Star&gt;&lt;Tag&gt;4&lt;/Tag&gt;&lt;Author/&gt;&lt;Year&gt;2005&lt;/Year&gt;&lt;Details&gt;&lt;_accessed&gt;59129088&lt;/_accessed&gt;&lt;_created&gt;59101286&lt;/_created&gt;&lt;_modified&gt;59128929&lt;/_modified&gt;&lt;/Details&gt;&lt;Extra&gt;&lt;DBUID&gt;{C833C268-2DD2-4BFD-9E86-C36B63EFE0FA}&lt;/DBUID&gt;&lt;/Extra&gt;&lt;/Item&gt;&lt;/References&gt;&lt;/Group&gt;&lt;/Citation&gt;_x000a_"/>
    <w:docVar w:name="NE.Ref{E9EDABA1-E3D1-4957-806A-148C9652F143}" w:val=" ADDIN NE.Ref.{E9EDABA1-E3D1-4957-806A-148C9652F143}&lt;Citation&gt;&lt;Group&gt;&lt;References&gt;&lt;Item&gt;&lt;ID&gt;2662&lt;/ID&gt;&lt;UID&gt;{3E9A772E-E7EF-4C91-958A-A9471B4842BE}&lt;/UID&gt;&lt;Title&gt;天津解放桥的修复与加固&lt;/Title&gt;&lt;Template&gt;Journal Article&lt;/Template&gt;&lt;Star&gt;0&lt;/Star&gt;&lt;Tag&gt;0&lt;/Tag&gt;&lt;Author&gt;张振学; 张显杰; 王成金; 陈惟珍&lt;/Author&gt;&lt;Year&gt;2007&lt;/Year&gt;&lt;Details&gt;&lt;_accessed&gt;62353176&lt;/_accessed&gt;&lt;_author_aff&gt;天津城建设计院;天津城建设计院有限公司;天津第一市政公路工程有限公司;同济大学桥梁工程系;&lt;/_author_aff&gt;&lt;_created&gt;62353176&lt;/_created&gt;&lt;_date&gt;56535840&lt;/_date&gt;&lt;_db_provider&gt;CNKI: 期刊&lt;/_db_provider&gt;&lt;_db_updated&gt;CNKI - Reference&lt;/_db_updated&gt;&lt;_issue&gt;03&lt;/_issue&gt;&lt;_journal&gt;天津建设科技&lt;/_journal&gt;&lt;_keywords&gt;解放桥;开启结构;修复;加固&lt;/_keywords&gt;&lt;_language&gt;Chinese&lt;/_language&gt;&lt;_modified&gt;62353177&lt;/_modified&gt;&lt;_pages&gt;41-44&lt;/_pages&gt;&lt;_url&gt;http://kns.cnki.net/KCMS/detail/detail.aspx?FileName=TJJJ200703026&amp;amp;DbName=CJFQ2007&lt;/_url&gt;&lt;_translated_author&gt;Zhang, Zhenxue;Zhang, Xianjie;Wang, Chengjin;Chen, Weizhen&lt;/_translated_author&gt;&lt;/Details&gt;&lt;Extra&gt;&lt;DBUID&gt;{25139A1D-CF45-40E3-9EDD-33E25C1C489A}&lt;/DBUID&gt;&lt;/Extra&gt;&lt;/Item&gt;&lt;/References&gt;&lt;/Group&gt;&lt;/Citation&gt;_x000a_"/>
    <w:docVar w:name="NE.Ref{EB98ECD1-F047-4FFE-81C9-70BAB1F95C17}" w:val=" ADDIN NE.Ref.{EB98ECD1-F047-4FFE-81C9-70BAB1F95C17}&lt;Citation&gt;&lt;Group&gt;&lt;References&gt;&lt;Item&gt;&lt;ID&gt;1401&lt;/ID&gt;&lt;UID&gt;{3EA4DC19-278D-4EC3-A609-77AF53EFF546}&lt;/UID&gt;&lt;Title&gt;Study on Static and Dynamic Instability of Super Long-Span Cable-Stayed Bridges&lt;/Title&gt;&lt;Template&gt;Conference Paper&lt;/Template&gt;&lt;Star&gt;0&lt;/Star&gt;&lt;Tag&gt;5&lt;/Tag&gt;&lt;Author&gt;KIEN, Pham H; YAMADA, Hitoshi; KATSUCHI, Hiroshi; SASAKI, Eiichi&lt;/Author&gt;&lt;Year&gt;2006&lt;/Year&gt;&lt;Details&gt;&lt;_accessed&gt;59278931&lt;/_accessed&gt;&lt;_created&gt;59278931&lt;/_created&gt;&lt;_modified&gt;59278935&lt;/_modified&gt;&lt;_place_published&gt;Yokohama&lt;/_place_published&gt;&lt;_secondary_title&gt;The Fourth International Symposium on Computational Wind Engineering(CWE2006)&lt;/_secondary_title&gt;&lt;/Details&gt;&lt;Extra&gt;&lt;DBUID&gt;{C833C268-2DD2-4BFD-9E86-C36B63EFE0FA}&lt;/DBUID&gt;&lt;/Extra&gt;&lt;/Item&gt;&lt;/References&gt;&lt;/Group&gt;&lt;/Citation&gt;_x000a_"/>
    <w:docVar w:name="NE.Ref{ED578AAA-2C3A-4BD8-8EC5-405AB43B2AE1}" w:val=" ADDIN NE.Ref.{ED578AAA-2C3A-4BD8-8EC5-405AB43B2AE1}&lt;Citation&gt;&lt;Group&gt;&lt;References&gt;&lt;Item&gt;&lt;ID&gt;911&lt;/ID&gt;&lt;UID&gt;{CFF3D19F-52E5-49CB-BD9D-389B214A0770}&lt;/UID&gt;&lt;Title&gt;不同龄期混凝土收缩徐变对三塔结合梁斜拉桥的影响&lt;/Title&gt;&lt;Template&gt;Journal Article&lt;/Template&gt;&lt;Star&gt;1&lt;/Star&gt;&lt;Tag&gt;5&lt;/Tag&gt;&lt;Author&gt;刘沐宇; 程涛&lt;/Author&gt;&lt;Year&gt;2010&lt;/Year&gt;&lt;Details&gt;&lt;_accessed&gt;59055899&lt;/_accessed&gt;&lt;_author_adr&gt;武汉理工大学,道路桥梁与结构工程湖北省重点实验室,湖北,武汉,430070&lt;/_author_adr&gt;&lt;_author_aff&gt;武汉理工大学,道路桥梁与结构工程湖北省重点实验室,湖北,武汉,430070&lt;/_author_aff&gt;&lt;_created&gt;59055868&lt;/_created&gt;&lt;_db_provider&gt;北京万方数据股份有限公司&lt;/_db_provider&gt;&lt;_db_updated&gt;Wanfang - Journal&lt;/_db_updated&gt;&lt;_isbn&gt;1672-7037&lt;/_isbn&gt;&lt;_issue&gt;3&lt;/_issue&gt;&lt;_journal&gt;华中科技大学学报（城市科学版）&lt;/_journal&gt;&lt;_keywords&gt;钢-混凝土结合梁; 收缩徐变; 不同加载龄期; 挠度; 应力&lt;/_keywords&gt;&lt;_language&gt;chi&lt;/_language&gt;&lt;_modified&gt;59055892&lt;/_modified&gt;&lt;_pages&gt;6-10&lt;/_pages&gt;&lt;_tertiary_title&gt;JOURNAL OF HUAZHONG UNIVERSITY OF SCIENCE AND TECHNOLOGY·URBAN SCIENCE&lt;/_tertiary_title&gt;&lt;_translated_author&gt;Mu-yu, LIU; Tao, CHENG&lt;/_translated_author&gt;&lt;_translated_title&gt;Performance of Composite Girder Cable-stayed Bridge with Three-tower Under the Influence of Shrinkage and Creep of Concrete at Different Ages&lt;/_translated_title&gt;&lt;_url&gt;http://d.wanfangdata.com.cn/Periodical_whcsjsxyxb201003002.aspx&lt;/_url&gt;&lt;_volume&gt;27&lt;/_volume&gt;&lt;/Details&gt;&lt;Extra&gt;&lt;DBUID&gt;{C833C268-2DD2-4BFD-9E86-C36B63EFE0FA}&lt;/DBUID&gt;&lt;/Extra&gt;&lt;/Item&gt;&lt;/References&gt;&lt;/Group&gt;&lt;/Citation&gt;_x000a_"/>
    <w:docVar w:name="NE.Ref{EE5BF3AD-26E0-4A69-BAA1-522E57FCD629}" w:val=" ADDIN NE.Ref.{EE5BF3AD-26E0-4A69-BAA1-522E57FCD629}&lt;Citation&gt;&lt;Group&gt;&lt;References&gt;&lt;Item&gt;&lt;ID&gt;1138&lt;/ID&gt;&lt;UID&gt;{1A1F102F-282D-443D-A2E7-1AC448D8592B}&lt;/UID&gt;&lt;Title&gt;Cable-supported steel bridges: Design problems and solutions&lt;/Title&gt;&lt;Template&gt;Journal Article&lt;/Template&gt;&lt;Star&gt;0&lt;/Star&gt;&lt;Tag&gt;5&lt;/Tag&gt;&lt;Author&gt;Ito, Manabu&lt;/Author&gt;&lt;Year&gt;1996&lt;/Year&gt;&lt;Details&gt;&lt;_accessed&gt;59066516&lt;/_accessed&gt;&lt;_alternate_title&gt;Journal of Constructional Steel Research_x000a_Special Issue on Tension Structures&lt;/_alternate_title&gt;&lt;_created&gt;59066503&lt;/_created&gt;&lt;_date_display&gt;1996/8//&lt;/_date_display&gt;&lt;_db_updated&gt;ScienceDirect&lt;/_db_updated&gt;&lt;_isbn&gt;0143-974X&lt;/_isbn&gt;&lt;_issue&gt;1&lt;/_issue&gt;&lt;_journal&gt;Journal of Constructional Steel Research&lt;/_journal&gt;&lt;_modified&gt;59066506&lt;/_modified&gt;&lt;_pages&gt;69-84&lt;/_pages&gt;&lt;_url&gt;http://www.sciencedirect.com/science/article/pii/0143974X96000260&lt;/_url&gt;&lt;_volume&gt;39&lt;/_volume&gt;&lt;/Details&gt;&lt;Extra&gt;&lt;DBUID&gt;{C833C268-2DD2-4BFD-9E86-C36B63EFE0FA}&lt;/DBUID&gt;&lt;/Extra&gt;&lt;/Item&gt;&lt;/References&gt;&lt;/Group&gt;&lt;/Citation&gt;_x000a_"/>
    <w:docVar w:name="NE.Ref{EEB0E898-BDE6-4738-ADE0-0FE5F75F851E}" w:val=" ADDIN NE.Ref.{EEB0E898-BDE6-4738-ADE0-0FE5F75F851E}&lt;Citation&gt;&lt;Group&gt;&lt;References&gt;&lt;Item&gt;&lt;ID&gt;937&lt;/ID&gt;&lt;UID&gt;{BF17FBAD-1BCA-40DB-B988-23878C794AC3}&lt;/UID&gt;&lt;Title&gt;组合梁斜拉桥静力稳定性研究&lt;/Title&gt;&lt;Template&gt;Thesis&lt;/Template&gt;&lt;Star&gt;0&lt;/Star&gt;&lt;Tag&gt;5&lt;/Tag&gt;&lt;Author&gt;雷宇&lt;/Author&gt;&lt;Year&gt;2008&lt;/Year&gt;&lt;Details&gt;&lt;_accessed&gt;59089791&lt;/_accessed&gt;&lt;_created&gt;59055921&lt;/_created&gt;&lt;_date&gt;57241440&lt;/_date&gt;&lt;_db_provider&gt;北京万方数据股份有限公司&lt;/_db_provider&gt;&lt;_db_updated&gt;Wanfang - Thesis&lt;/_db_updated&gt;&lt;_keywords&gt;斜拉桥; 组合梁; 极限承载力; 静力稳定性&lt;/_keywords&gt;&lt;_language&gt;chi&lt;/_language&gt;&lt;_modified&gt;59055923&lt;/_modified&gt;&lt;_publisher&gt;西南交通大学&lt;/_publisher&gt;&lt;_section&gt;桥梁与隧道工程&lt;/_section&gt;&lt;_tertiary_author&gt;赵雷&lt;/_tertiary_author&gt;&lt;_url&gt;http://d.wanfangdata.com.cn/Thesis_Y1573862.aspx&lt;/_url&gt;&lt;_volume&gt;博士&lt;/_volume&gt;&lt;/Details&gt;&lt;Extra&gt;&lt;DBUID&gt;{C833C268-2DD2-4BFD-9E86-C36B63EFE0FA}&lt;/DBUID&gt;&lt;/Extra&gt;&lt;/Item&gt;&lt;/References&gt;&lt;/Group&gt;&lt;Group&gt;&lt;References&gt;&lt;Item&gt;&lt;ID&gt;1241&lt;/ID&gt;&lt;UID&gt;{5C733A40-A6F6-4BCF-9640-1DA8FA79C8FB}&lt;/UID&gt;&lt;Title&gt;Composite Girder Design of Cable-stayed Bridges&lt;/Title&gt;&lt;Template&gt;Journal Article&lt;/Template&gt;&lt;Star&gt;1&lt;/Star&gt;&lt;Tag&gt;5&lt;/Tag&gt;&lt;Author&gt;Cai, Chun S; Zhang, Yin; Nie, Jianguo&lt;/Author&gt;&lt;Year&gt;1998&lt;/Year&gt;&lt;Details&gt;&lt;_accessed&gt;59274116&lt;/_accessed&gt;&lt;_created&gt;59110482&lt;/_created&gt;&lt;_journal&gt;Practice Periodical on Structural Design and Construction&lt;/_journal&gt;&lt;_modified&gt;59111791&lt;/_modified&gt;&lt;/Details&gt;&lt;Extra&gt;&lt;DBUID&gt;{C833C268-2DD2-4BFD-9E86-C36B63EFE0FA}&lt;/DBUID&gt;&lt;/Extra&gt;&lt;/Item&gt;&lt;/References&gt;&lt;/Group&gt;&lt;/Citation&gt;_x000a_"/>
    <w:docVar w:name="NE.Ref{F07B01D7-BC3C-4453-8CE1-5E2879C677DE}" w:val=" ADDIN NE.Ref.{F07B01D7-BC3C-4453-8CE1-5E2879C677DE}&lt;Citation&gt;&lt;Group&gt;&lt;References&gt;&lt;Item&gt;&lt;ID&gt;1172&lt;/ID&gt;&lt;UID&gt;{D77456F1-1F83-4302-92E0-05F0BCC9DE61}&lt;/UID&gt;&lt;Title&gt;Study on Nonlinear Analysis of a Highly Redundant Cable-stayed Bridge&lt;/Title&gt;&lt;Template&gt;Journal Article&lt;/Template&gt;&lt;Star&gt;1&lt;/Star&gt;&lt;Tag&gt;5&lt;/Tag&gt;&lt;Author&gt;Wang, Pao-Hsii; Lin, Hung-Ta; Tang, Tzu-Yang&lt;/Author&gt;&lt;Year&gt;2002&lt;/Year&gt;&lt;Details&gt;&lt;_accessed&gt;59189509&lt;/_accessed&gt;&lt;_alternate_title&gt;Computers &amp;amp;amp; Structures&lt;/_alternate_title&gt;&lt;_created&gt;59066503&lt;/_created&gt;&lt;_date_display&gt;2002/1//&lt;/_date_display&gt;&lt;_db_updated&gt;ScienceDirect&lt;/_db_updated&gt;&lt;_isbn&gt;0045-7949&lt;/_isbn&gt;&lt;_issue&gt;2&lt;/_issue&gt;&lt;_journal&gt;Computers &amp;amp;amp; Structures&lt;/_journal&gt;&lt;_keywords&gt;Cable-stayed bridge; Nonlinear analysis; Shape finding&lt;/_keywords&gt;&lt;_modified&gt;59189509&lt;/_modified&gt;&lt;_pages&gt;165-182&lt;/_pages&gt;&lt;_url&gt;http://www.sciencedirect.com/science/article/pii/S0045794901001663&lt;/_url&gt;&lt;_volume&gt;80&lt;/_volume&gt;&lt;/Details&gt;&lt;Extra&gt;&lt;DBUID&gt;{C833C268-2DD2-4BFD-9E86-C36B63EFE0FA}&lt;/DBUID&gt;&lt;/Extra&gt;&lt;/Item&gt;&lt;/References&gt;&lt;/Group&gt;&lt;Group&gt;&lt;References&gt;&lt;Item&gt;&lt;ID&gt;1144&lt;/ID&gt;&lt;UID&gt;{840CCE08-3CFC-4BF2-AB2E-EE94CB464102}&lt;/UID&gt;&lt;Title&gt;Experimental and Analytical Studies on Dynamic Characteristics of a Large Span Cable-stayed Bridge&lt;/Title&gt;&lt;Template&gt;Journal Article&lt;/Template&gt;&lt;Star&gt;1&lt;/Star&gt;&lt;Tag&gt;5&lt;/Tag&gt;&lt;Author&gt;Ren, Wei-Xin; Peng, Xue-Lin; Lin, You-Qin&lt;/Author&gt;&lt;Year&gt;2005&lt;/Year&gt;&lt;Details&gt;&lt;_accessed&gt;59189512&lt;/_accessed&gt;&lt;_alternate_title&gt;Engineering Structures&lt;/_alternate_title&gt;&lt;_created&gt;59066503&lt;/_created&gt;&lt;_date_display&gt;2005/3//&lt;/_date_display&gt;&lt;_db_updated&gt;ScienceDirect&lt;/_db_updated&gt;&lt;_isbn&gt;0141-0296&lt;/_isbn&gt;&lt;_issue&gt;4&lt;/_issue&gt;&lt;_journal&gt;Engineering Structures&lt;/_journal&gt;&lt;_keywords&gt;Cable-stayed bridge; Modal analysis; Parameter identification; Ambient vibration test; Spectra; Frequency; Finite element method&lt;/_keywords&gt;&lt;_modified&gt;59189512&lt;/_modified&gt;&lt;_pages&gt;535-548&lt;/_pages&gt;&lt;_url&gt;http://www.sciencedirect.com/science/article/pii/S0141029605000027&lt;/_url&gt;&lt;_volume&gt;27&lt;/_volume&gt;&lt;/Details&gt;&lt;Extra&gt;&lt;DBUID&gt;{C833C268-2DD2-4BFD-9E86-C36B63EFE0FA}&lt;/DBUID&gt;&lt;/Extra&gt;&lt;/Item&gt;&lt;/References&gt;&lt;/Group&gt;&lt;/Citation&gt;_x000a_"/>
    <w:docVar w:name="NE.Ref{F136837C-C470-48D8-AF14-56E9999B04F9}" w:val=" ADDIN NE.Ref.{F136837C-C470-48D8-AF14-56E9999B04F9}&lt;Citation&gt;&lt;Group&gt;&lt;References&gt;&lt;Item&gt;&lt;ID&gt;1156&lt;/ID&gt;&lt;UID&gt;{E6953246-5B6C-4368-8B31-411B80424D7D}&lt;/UID&gt;&lt;Title&gt;New Technologies of Steel/concrete Composite Bridges&lt;/Title&gt;&lt;Template&gt;Journal Article&lt;/Template&gt;&lt;Star&gt;0&lt;/Star&gt;&lt;Tag&gt;5&lt;/Tag&gt;&lt;Author&gt;Nakamura, Shun-ichi; Momiyama, Yoshiyuki; Hosaka, Tetsuya; Homma, Koji&lt;/Author&gt;&lt;Year&gt;2002&lt;/Year&gt;&lt;Details&gt;&lt;_accessed&gt;59280121&lt;/_accessed&gt;&lt;_alternate_title&gt;Journal of Constructional Steel Research&lt;/_alternate_title&gt;&lt;_created&gt;59066503&lt;/_created&gt;&lt;_date_display&gt;2002/1//&lt;/_date_display&gt;&lt;_db_updated&gt;ScienceDirect&lt;/_db_updated&gt;&lt;_isbn&gt;0143-974X&lt;/_isbn&gt;&lt;_issue&gt;1&lt;/_issue&gt;&lt;_journal&gt;Journal of Constructional Steel Research&lt;/_journal&gt;&lt;_keywords&gt;Japan; Steel/concrete composite bridges; Mixed structures; Concrete-filled steel pipes; Girder pier connection; Integral abutment; Rolled H-section; Composite cable-stayed bridges; Extra-dosed bridge&lt;/_keywords&gt;&lt;_modified&gt;59280121&lt;/_modified&gt;&lt;_pages&gt;99-130&lt;/_pages&gt;&lt;_url&gt;http://www.sciencedirect.com/science/article/pii/S0143974X0100030X&lt;/_url&gt;&lt;_volume&gt;58&lt;/_volume&gt;&lt;/Details&gt;&lt;Extra&gt;&lt;DBUID&gt;{C833C268-2DD2-4BFD-9E86-C36B63EFE0FA}&lt;/DBUID&gt;&lt;/Extra&gt;&lt;/Item&gt;&lt;/References&gt;&lt;/Group&gt;&lt;Group&gt;&lt;References&gt;&lt;Item&gt;&lt;ID&gt;1406&lt;/ID&gt;&lt;UID&gt;{7E2D08A1-1200-4102-916D-51FFC03C8621}&lt;/UID&gt;&lt;Title&gt;Strength of composite girder for new type cable-stayed bridge&lt;/Title&gt;&lt;Template&gt;Conference Paper&lt;/Template&gt;&lt;Star&gt;0&lt;/Star&gt;&lt;Tag&gt;5&lt;/Tag&gt;&lt;Author&gt;YOSHIDA, Kentaro; TAIRA, Youhei; NIIHARA, Yuji; HISHIKI, Yoshihiro; TOMINAGA, Tomonori&lt;/Author&gt;&lt;Year&gt;2001&lt;/Year&gt;&lt;Details&gt;&lt;_accessed&gt;59280115&lt;/_accessed&gt;&lt;_created&gt;59280109&lt;/_created&gt;&lt;_modified&gt;59280119&lt;/_modified&gt;&lt;_place_published&gt;Seoul&lt;/_place_published&gt;&lt;_secondary_title&gt;IABSE Conference:Cable-Supported Bridges - Challenging Technical Limits&lt;/_secondary_title&gt;&lt;_tertiary_title&gt;IABSE Symposium Report&lt;/_tertiary_title&gt;&lt;/Details&gt;&lt;Extra&gt;&lt;DBUID&gt;{C833C268-2DD2-4BFD-9E86-C36B63EFE0FA}&lt;/DBUID&gt;&lt;/Extra&gt;&lt;/Item&gt;&lt;/References&gt;&lt;/Group&gt;&lt;/Citation&gt;_x000a_"/>
    <w:docVar w:name="NE.Ref{F21A66FB-3E43-47F3-B362-793102DF6734}" w:val=" ADDIN NE.Ref.{F21A66FB-3E43-47F3-B362-793102DF6734}&lt;Citation&gt;&lt;Group&gt;&lt;References&gt;&lt;Item&gt;&lt;ID&gt;1239&lt;/ID&gt;&lt;UID&gt;{B9FCA38E-D3A7-4449-AB2B-D94047174388}&lt;/UID&gt;&lt;Title&gt;公路钢结构桥梁设计规范（征求意见稿）&lt;/Title&gt;&lt;Template&gt;Standard&lt;/Template&gt;&lt;Star&gt;0&lt;/Star&gt;&lt;Tag&gt;0&lt;/Tag&gt;&lt;Author&gt;中华人民共和国行业标准&lt;/Author&gt;&lt;Year&gt;0&lt;/Year&gt;&lt;Details&gt;&lt;_modified&gt;59108705&lt;/_modified&gt;&lt;_created&gt;59108705&lt;/_created&gt;&lt;_accessed&gt;59108705&lt;/_accessed&gt;&lt;/Details&gt;&lt;Extra&gt;&lt;DBUID&gt;{C833C268-2DD2-4BFD-9E86-C36B63EFE0FA}&lt;/DBUID&gt;&lt;/Extra&gt;&lt;/Item&gt;&lt;/References&gt;&lt;/Group&gt;&lt;/Citation&gt;_x000a_"/>
    <w:docVar w:name="NE.Ref{F3210741-232F-47B5-9B37-7FBE45263FC9}" w:val=" ADDIN NE.Ref.{F3210741-232F-47B5-9B37-7FBE45263FC9}&lt;Citation&gt;&lt;Group&gt;&lt;References&gt;&lt;Item&gt;&lt;ID&gt;218&lt;/ID&gt;&lt;UID&gt;{929C69DF-79D4-496F-A90B-FDCB2F36F239}&lt;/UID&gt;&lt;Title&gt;大跨度组合箱梁斜拉桥混凝土收缩与徐变应力分析&lt;/Title&gt;&lt;Template&gt;Journal Article&lt;/Template&gt;&lt;Star&gt;1&lt;/Star&gt;&lt;Tag&gt;5&lt;/Tag&gt;&lt;Author&gt;吴冲; 曾明根; 邵长宇; 刘小方&lt;/Author&gt;&lt;Year&gt;2004&lt;/Year&gt;&lt;Details&gt;&lt;_accessed&gt;58846225&lt;/_accessed&gt;&lt;_author_adr&gt;同济大学桥梁工程系,上海,200092; 上海市政工程设计研究院,上海,200092; 上海市深水港工程建设指挥部大桥分指挥部,上海,201306&lt;/_author_adr&gt;&lt;_author_aff&gt;同济大学桥梁工程系,上海,200092; 上海市政工程设计研究院,上海,200092; 上海市深水港工程建设指挥部大桥分指挥部,上海,201306&lt;/_author_aff&gt;&lt;_created&gt;58464511&lt;/_created&gt;&lt;_db_provider&gt;北京万方数据股份有限公司&lt;/_db_provider&gt;&lt;_db_updated&gt;Wanfang - Journal&lt;/_db_updated&gt;&lt;_isbn&gt;1671-7767&lt;/_isbn&gt;&lt;_issue&gt;z1&lt;/_issue&gt;&lt;_journal&gt;世界桥梁&lt;/_journal&gt;&lt;_keywords&gt;组合桥梁; 斜拉桥; 组合箱梁; 徐变; 混凝土收缩&lt;/_keywords&gt;&lt;_language&gt;chi&lt;/_language&gt;&lt;_modified&gt;58799886&lt;/_modified&gt;&lt;_pages&gt;37-41&lt;/_pages&gt;&lt;_tertiary_title&gt;WORLD BRIDGES&lt;/_tertiary_title&gt;&lt;_translated_title&gt;Analysis of Concrete Shrinkage and Creep Stresses of Long-Span Composite Box Girder Cable-Stayed Bridges&lt;/_translated_title&gt;&lt;_url&gt;http://d.wanfangdata.com.cn/Periodical_gwql2004z1010.aspx&lt;/_url&gt;&lt;/Details&gt;&lt;Extra&gt;&lt;DBUID&gt;{C833C268-2DD2-4BFD-9E86-C36B63EFE0FA}&lt;/DBUID&gt;&lt;/Extra&gt;&lt;/Item&gt;&lt;/References&gt;&lt;/Group&gt;&lt;/Citation&gt;_x000a_"/>
    <w:docVar w:name="NE.Ref{F3DE401D-5960-4781-A6A1-545E3FA023FC}" w:val=" ADDIN NE.Ref.{F3DE401D-5960-4781-A6A1-545E3FA023FC}&lt;Citation&gt;&lt;Group&gt;&lt;References&gt;&lt;Item&gt;&lt;ID&gt;1344&lt;/ID&gt;&lt;UID&gt;{2F3A99F8-7E42-47D0-909D-86E8F349B391}&lt;/UID&gt;&lt;Title&gt;Construction Stage Analysis of Cable-Stayed Bridges&lt;/Title&gt;&lt;Template&gt;Thesis&lt;/Template&gt;&lt;Star&gt;0&lt;/Star&gt;&lt;Tag&gt;5&lt;/Tag&gt;&lt;Author&gt;Grabow, Marko Justus&lt;/Author&gt;&lt;Year&gt;2004&lt;/Year&gt;&lt;Details&gt;&lt;_accessed&gt;59243885&lt;/_accessed&gt;&lt;_created&gt;59228614&lt;/_created&gt;&lt;_modified&gt;59228615&lt;/_modified&gt;&lt;/Details&gt;&lt;Extra&gt;&lt;DBUID&gt;{C833C268-2DD2-4BFD-9E86-C36B63EFE0FA}&lt;/DBUID&gt;&lt;/Extra&gt;&lt;/Item&gt;&lt;/References&gt;&lt;/Group&gt;&lt;/Citation&gt;_x000a_"/>
    <w:docVar w:name="NE.Ref{F43BA330-7A53-462D-A277-48E3B6B19086}" w:val=" ADDIN NE.Ref.{F43BA330-7A53-462D-A277-48E3B6B19086}&lt;Citation&gt;&lt;Group&gt;&lt;References&gt;&lt;Item&gt;&lt;ID&gt;1412&lt;/ID&gt;&lt;UID&gt;{F73B19C9-A4D9-4BE9-AA70-21392D1CBDFB}&lt;/UID&gt;&lt;Title&gt;Evaluation of System-reliability Methods for Cable-stayed Bridge Design&lt;/Title&gt;&lt;Template&gt;Journal Article&lt;/Template&gt;&lt;Star&gt;0&lt;/Star&gt;&lt;Tag&gt;5&lt;/Tag&gt;&lt;Author&gt;Bruneau, Michel&lt;/Author&gt;&lt;Year&gt;1992&lt;/Year&gt;&lt;Details&gt;&lt;_accessed&gt;59288266&lt;/_accessed&gt;&lt;_created&gt;59283218&lt;/_created&gt;&lt;_journal&gt;Journal of Structural Engineering&lt;/_journal&gt;&lt;_modified&gt;59283222&lt;/_modified&gt;&lt;_pages&gt;1106-1120&lt;/_pages&gt;&lt;_volume&gt;118&lt;/_volume&gt;&lt;/Details&gt;&lt;Extra&gt;&lt;DBUID&gt;{C833C268-2DD2-4BFD-9E86-C36B63EFE0FA}&lt;/DBUID&gt;&lt;/Extra&gt;&lt;/Item&gt;&lt;/References&gt;&lt;/Group&gt;&lt;/Citation&gt;_x000a_"/>
    <w:docVar w:name="NE.Ref{F5530952-AD8B-4E52-BD12-2CC327AB2E60}" w:val=" ADDIN NE.Ref.{F5530952-AD8B-4E52-BD12-2CC327AB2E60}&lt;Citation&gt;&lt;Group&gt;&lt;References&gt;&lt;Item&gt;&lt;ID&gt;218&lt;/ID&gt;&lt;UID&gt;{929C69DF-79D4-496F-A90B-FDCB2F36F239}&lt;/UID&gt;&lt;Title&gt;大跨度组合箱梁斜拉桥混凝土收缩与徐变应力分析&lt;/Title&gt;&lt;Template&gt;Journal Article&lt;/Template&gt;&lt;Star&gt;1&lt;/Star&gt;&lt;Tag&gt;0&lt;/Tag&gt;&lt;Author&gt;吴冲; 曾明根; 邵长宇; 刘小方&lt;/Author&gt;&lt;Year&gt;2004&lt;/Year&gt;&lt;Details&gt;&lt;_accessed&gt;58846225&lt;/_accessed&gt;&lt;_author_adr&gt;同济大学桥梁工程系,上海,200092; 上海市政工程设计研究院,上海,200092; 上海市深水港工程建设指挥部大桥分指挥部,上海,201306&lt;/_author_adr&gt;&lt;_author_aff&gt;同济大学桥梁工程系,上海,200092; 上海市政工程设计研究院,上海,200092; 上海市深水港工程建设指挥部大桥分指挥部,上海,201306&lt;/_author_aff&gt;&lt;_created&gt;58464511&lt;/_created&gt;&lt;_db_provider&gt;北京万方数据股份有限公司&lt;/_db_provider&gt;&lt;_db_updated&gt;Wanfang - Journal&lt;/_db_updated&gt;&lt;_isbn&gt;1671-7767&lt;/_isbn&gt;&lt;_issue&gt;z1&lt;/_issue&gt;&lt;_journal&gt;世界桥梁&lt;/_journal&gt;&lt;_keywords&gt;组合桥梁; 斜拉桥; 组合箱梁; 徐变; 混凝土收缩&lt;/_keywords&gt;&lt;_language&gt;chi&lt;/_language&gt;&lt;_modified&gt;58799886&lt;/_modified&gt;&lt;_pages&gt;37-41&lt;/_pages&gt;&lt;_tertiary_title&gt;WORLD BRIDGES&lt;/_tertiary_title&gt;&lt;_translated_title&gt;Analysis of Concrete Shrinkage and Creep Stresses of Long-Span Composite Box Girder Cable-Stayed Bridges&lt;/_translated_title&gt;&lt;_url&gt;http://d.wanfangdata.com.cn/Periodical_gwql2004z1010.aspx&lt;/_url&gt;&lt;/Details&gt;&lt;Extra&gt;&lt;DBUID&gt;{C833C268-2DD2-4BFD-9E86-C36B63EFE0FA}&lt;/DBUID&gt;&lt;/Extra&gt;&lt;/Item&gt;&lt;/References&gt;&lt;/Group&gt;&lt;/Citation&gt;_x000a_"/>
    <w:docVar w:name="NE.Ref{F56C3E97-D712-495B-B243-888CA2707398}" w:val=" ADDIN NE.Ref.{F56C3E97-D712-495B-B243-888CA2707398}&lt;Citation&gt;&lt;Group&gt;&lt;References&gt;&lt;Item&gt;&lt;ID&gt;1228&lt;/ID&gt;&lt;UID&gt;{5C434799-ACE8-46E6-A635-4C93EBC7A73F}&lt;/UID&gt;&lt;Title&gt;Influence of Deck Material on Response of Cable-stayed Bridges to Live Loads&lt;/Title&gt;&lt;Template&gt;Journal Article&lt;/Template&gt;&lt;Star&gt;1&lt;/Star&gt;&lt;Tag&gt;5&lt;/Tag&gt;&lt;Author&gt;George, Hany W&lt;/Author&gt;&lt;Year&gt;1999&lt;/Year&gt;&lt;Details&gt;&lt;_accessed&gt;59174805&lt;/_accessed&gt;&lt;_created&gt;59095915&lt;/_created&gt;&lt;_journal&gt;Journal of Bridge Engineering&lt;/_journal&gt;&lt;_modified&gt;59172199&lt;/_modified&gt;&lt;/Details&gt;&lt;Extra&gt;&lt;DBUID&gt;{C833C268-2DD2-4BFD-9E86-C36B63EFE0FA}&lt;/DBUID&gt;&lt;/Extra&gt;&lt;/Item&gt;&lt;/References&gt;&lt;/Group&gt;&lt;/Citation&gt;_x000a_"/>
    <w:docVar w:name="NE.Ref{F6458523-C8CC-4205-8076-91FDBE6B314F}" w:val=" ADDIN NE.Ref.{F6458523-C8CC-4205-8076-91FDBE6B314F}&lt;Citation&gt;&lt;Group&gt;&lt;References&gt;&lt;Item&gt;&lt;ID&gt;1246&lt;/ID&gt;&lt;UID&gt;{6AEE728E-A188-4CD2-B959-9F08ECB079D7}&lt;/UID&gt;&lt;Title&gt;欧洲规范4 钢-混凝土组合梁设计方法（2）──组合梁的受力性能和计算理论&lt;/Title&gt;&lt;Template&gt;Journal Article&lt;/Template&gt;&lt;Star&gt;0&lt;/Star&gt;&lt;Tag&gt;0&lt;/Tag&gt;&lt;Author&gt;胡夏闵&lt;/Author&gt;&lt;Year&gt;1995&lt;/Year&gt;&lt;Details&gt;&lt;_accessed&gt;59128790&lt;/_accessed&gt;&lt;_created&gt;59128750&lt;/_created&gt;&lt;_issue&gt;10&lt;/_issue&gt;&lt;_journal&gt;工业建筑&lt;/_journal&gt;&lt;_modified&gt;59128790&lt;/_modified&gt;&lt;_tertiary_title&gt;Industrial Construction&lt;/_tertiary_title&gt;&lt;_translated_author&gt;Xiamin, Hu&lt;/_translated_author&gt;&lt;_translated_title&gt;DESIGN METHOD OF EUROCODE 4 FOR STEEL-CONCRETE COMPOSITE BEAMS(2)-LOAD CARRING BEHAVIOUR AND CALCULATING THEORY OF COMPOSITE BEAMS&lt;/_translated_title&gt;&lt;_volume&gt;25&lt;/_volume&gt;&lt;/Details&gt;&lt;Extra&gt;&lt;DBUID&gt;{C833C268-2DD2-4BFD-9E86-C36B63EFE0FA}&lt;/DBUID&gt;&lt;/Extra&gt;&lt;/Item&gt;&lt;/References&gt;&lt;/Group&gt;&lt;/Citation&gt;_x000a_"/>
    <w:docVar w:name="NE.Ref{F8179D09-0265-433D-B31A-1112AD4A554B}" w:val=" ADDIN NE.Ref.{F8179D09-0265-433D-B31A-1112AD4A554B}&lt;Citation&gt;&lt;Group&gt;&lt;References&gt;&lt;Item&gt;&lt;ID&gt;2659&lt;/ID&gt;&lt;UID&gt;{7238E6DC-128C-4EEE-AC7B-4EC040FB4A99}&lt;/UID&gt;&lt;Title&gt;《钢结构加固设计规范》（征求意见公示稿）&lt;/Title&gt;&lt;Template&gt;Standard&lt;/Template&gt;&lt;Star&gt;0&lt;/Star&gt;&lt;Tag&gt;0&lt;/Tag&gt;&lt;Author/&gt;&lt;Year&gt;2015&lt;/Year&gt;&lt;Details&gt;&lt;_accessed&gt;62211935&lt;/_accessed&gt;&lt;_created&gt;62211934&lt;/_created&gt;&lt;_date&gt;60526080&lt;/_date&gt;&lt;_modified&gt;62211935&lt;/_modified&gt;&lt;_num_words&gt;20753&lt;/_num_words&gt;&lt;_pages&gt;181&lt;/_pages&gt;&lt;/Details&gt;&lt;Extra&gt;&lt;DBUID&gt;{25139A1D-CF45-40E3-9EDD-33E25C1C489A}&lt;/DBUID&gt;&lt;/Extra&gt;&lt;/Item&gt;&lt;/References&gt;&lt;/Group&gt;&lt;/Citation&gt;_x000a_"/>
    <w:docVar w:name="NE.Ref{F81EEFD3-99FB-4BB4-803B-89C56079BED2}" w:val=" ADDIN NE.Ref.{F81EEFD3-99FB-4BB4-803B-89C56079BED2}&lt;Citation&gt;&lt;Group&gt;&lt;References&gt;&lt;Item&gt;&lt;ID&gt;910&lt;/ID&gt;&lt;UID&gt;{C2EDEA21-FCC4-411C-91BA-B8A351CE0F6F}&lt;/UID&gt;&lt;Title&gt;Structural Analysis of Long-span Composite Girder Cable-stayed Bridge with Three Pylons at Limit States&lt;/Title&gt;&lt;Template&gt;Conference Paper&lt;/Template&gt;&lt;Star&gt;1&lt;/Star&gt;&lt;Tag&gt;5&lt;/Tag&gt;&lt;Author&gt;Wang, Long Fei; Liu, Mu-Yu&lt;/Author&gt;&lt;Year&gt;2010&lt;/Year&gt;&lt;Details&gt;&lt;_accessed&gt;59261140&lt;/_accessed&gt;&lt;_created&gt;59055868&lt;/_created&gt;&lt;_modified&gt;59261140&lt;/_modified&gt;&lt;_pages&gt;1569-1574&lt;/_pages&gt;&lt;_place_published&gt;Guangzhou,China&lt;/_place_published&gt;&lt;_publisher&gt;National Natural Science Foundation of China &lt;/_publisher&gt;&lt;_secondary_author&gt;Cui, Jie; Xing, Feng; Ru, Ji-Ping&lt;/_secondary_author&gt;&lt;_secondary_title&gt;11th International Symposium on Structural Engineering&lt;/_secondary_title&gt;&lt;_tertiary_title&gt;Proceedings of the Eleventh International Symposium on Structural Engineering&lt;/_tertiary_title&gt;&lt;/Details&gt;&lt;Extra&gt;&lt;DBUID&gt;{C833C268-2DD2-4BFD-9E86-C36B63EFE0FA}&lt;/DBUID&gt;&lt;/Extra&gt;&lt;/Item&gt;&lt;/References&gt;&lt;/Group&gt;&lt;/Citation&gt;_x000a_"/>
    <w:docVar w:name="NE.Ref{F85D026A-0F65-4EFA-AB98-8CA6BB75CE5B}" w:val=" ADDIN NE.Ref.{F85D026A-0F65-4EFA-AB98-8CA6BB75CE5B}&lt;Citation&gt;&lt;Group&gt;&lt;References&gt;&lt;Item&gt;&lt;ID&gt;945&lt;/ID&gt;&lt;UID&gt;{45CB1CB3-7FB9-4CD0-A816-C4B4F4C2E0BD}&lt;/UID&gt;&lt;Title&gt;大跨度斜拉桥钢—混结合梁组合效应研究&lt;/Title&gt;&lt;Template&gt;Thesis&lt;/Template&gt;&lt;Star&gt;0&lt;/Star&gt;&lt;Tag&gt;0&lt;/Tag&gt;&lt;Author&gt;杜振华&lt;/Author&gt;&lt;Year&gt;2009&lt;/Year&gt;&lt;Details&gt;&lt;_accessed&gt;59055929&lt;/_accessed&gt;&lt;_created&gt;59055921&lt;/_created&gt;&lt;_date&gt;57414240&lt;/_date&gt;&lt;_db_provider&gt;北京万方数据股份有限公司&lt;/_db_provider&gt;&lt;_db_updated&gt;Wanfang - Thesis&lt;/_db_updated&gt;&lt;_keywords&gt;大跨度斜拉桥; 钢-混结合梁; 组合效应; 有限元分析&lt;/_keywords&gt;&lt;_language&gt;chi&lt;/_language&gt;&lt;_modified&gt;59055925&lt;/_modified&gt;&lt;_publisher&gt;西南交通大学&lt;/_publisher&gt;&lt;_section&gt;桥梁与隧道工程&lt;/_section&gt;&lt;_tertiary_author&gt;张士中&lt;/_tertiary_author&gt;&lt;_url&gt;http://d.wanfangdata.com.cn/Thesis_Y1572613.aspx&lt;/_url&gt;&lt;_volume&gt;硕士&lt;/_volume&gt;&lt;/Details&gt;&lt;Extra&gt;&lt;DBUID&gt;{C833C268-2DD2-4BFD-9E86-C36B63EFE0FA}&lt;/DBUID&gt;&lt;/Extra&gt;&lt;/Item&gt;&lt;/References&gt;&lt;/Group&gt;&lt;/Citation&gt;_x000a_"/>
    <w:docVar w:name="NE.Ref{F8DCFF16-2843-4F78-8810-71AFF44A796A}" w:val=" ADDIN NE.Ref.{F8DCFF16-2843-4F78-8810-71AFF44A796A}&lt;Citation&gt;&lt;Group&gt;&lt;References&gt;&lt;Item&gt;&lt;ID&gt;225&lt;/ID&gt;&lt;UID&gt;{512EB6F7-7D84-4DB9-8A82-CCFA9588D078}&lt;/UID&gt;&lt;Title&gt;青洲闽江大桥正桥结合梁斜拉桥设计&lt;/Title&gt;&lt;Template&gt;Journal Article&lt;/Template&gt;&lt;Star&gt;1&lt;/Star&gt;&lt;Tag&gt;5&lt;/Tag&gt;&lt;Author&gt;高宗余; 张强; 等&lt;/Author&gt;&lt;Year&gt;2001&lt;/Year&gt;&lt;Details&gt;&lt;_accessed&gt;58846196&lt;/_accessed&gt;&lt;_author_adr&gt;大桥局设计院，武汉430050&lt;/_author_adr&gt;&lt;_created&gt;58464511&lt;/_created&gt;&lt;_db_provider&gt;重庆维普&lt;/_db_provider&gt;&lt;_db_updated&gt;CQ_VIP&lt;/_db_updated&gt;&lt;_isbn&gt;1000-4750&lt;/_isbn&gt;&lt;_issue&gt;A01&lt;/_issue&gt;&lt;_journal&gt;工程力学&lt;/_journal&gt;&lt;_keywords&gt;福州; 闽江大桥; 结合梁; 斜拉桥; 设计; 计算&lt;/_keywords&gt;&lt;_language&gt;Chinese&lt;/_language&gt;&lt;_modified&gt;58465213&lt;/_modified&gt;&lt;_pages&gt;862-870&lt;/_pages&gt;&lt;_url&gt;http://www.cqvip.com/qk/95324X/2001A01/5595175.html&lt;/_url&gt;&lt;/Details&gt;&lt;Extra&gt;&lt;DBUID&gt;{C833C268-2DD2-4BFD-9E86-C36B63EFE0FA}&lt;/DBUID&gt;&lt;/Extra&gt;&lt;/Item&gt;&lt;/References&gt;&lt;/Group&gt;&lt;Group&gt;&lt;References&gt;&lt;Item&gt;&lt;ID&gt;1219&lt;/ID&gt;&lt;UID&gt;{74C90ECD-6669-4F36-9F89-17615E370D9A}&lt;/UID&gt;&lt;Title&gt;面向创新的中国现代桥梁&lt;/Title&gt;&lt;Template&gt;Book&lt;/Template&gt;&lt;Star&gt;0&lt;/Star&gt;&lt;Tag&gt;5&lt;/Tag&gt;&lt;Author&gt;中国公路学会桥梁和结构工程分会&lt;/Author&gt;&lt;Year&gt;2009&lt;/Year&gt;&lt;Details&gt;&lt;_accessed&gt;59118998&lt;/_accessed&gt;&lt;_created&gt;59092979&lt;/_created&gt;&lt;_modified&gt;59118998&lt;/_modified&gt;&lt;_ori_publication&gt;人民交通出版社&lt;/_ori_publication&gt;&lt;_publisher&gt;人民交通出版社&lt;/_publisher&gt;&lt;/Details&gt;&lt;Extra&gt;&lt;DBUID&gt;{C833C268-2DD2-4BFD-9E86-C36B63EFE0FA}&lt;/DBUID&gt;&lt;/Extra&gt;&lt;/Item&gt;&lt;/References&gt;&lt;/Group&gt;&lt;/Citation&gt;_x000a_"/>
    <w:docVar w:name="NE.Ref{F8FE3E3B-1A48-4190-8E37-A797460A530E}" w:val=" ADDIN NE.Ref.{F8FE3E3B-1A48-4190-8E37-A797460A530E}&lt;Citation&gt;&lt;Group&gt;&lt;References&gt;&lt;Item&gt;&lt;ID&gt;2646&lt;/ID&gt;&lt;UID&gt;{B3A7017B-DE68-46E1-8E85-8F4C77954627}&lt;/UID&gt;&lt;Title&gt;既有大跨径铆接钢桁架桥梁合理计算模式研究&lt;/Title&gt;&lt;Template&gt;Thesis&lt;/Template&gt;&lt;Star&gt;0&lt;/Star&gt;&lt;Tag&gt;0&lt;/Tag&gt;&lt;Author&gt;王振鹏&lt;/Author&gt;&lt;Year&gt;2017&lt;/Year&gt;&lt;Details&gt;&lt;_accessed&gt;62198950&lt;/_accessed&gt;&lt;_created&gt;62198950&lt;/_created&gt;&lt;_db_provider&gt;CNKI: 硕士&lt;/_db_provider&gt;&lt;_db_updated&gt;CNKI - Reference&lt;/_db_updated&gt;&lt;_keywords&gt;钢桁架;次应力;荷载实验;计算模式&lt;/_keywords&gt;&lt;_modified&gt;62198971&lt;/_modified&gt;&lt;_pages&gt;87&lt;/_pages&gt;&lt;_publisher&gt;重庆交通大学&lt;/_publisher&gt;&lt;_tertiary_author&gt;耿波&lt;/_tertiary_author&gt;&lt;_url&gt;http://kns.cnki.net/KCMS/detail/detail.aspx?FileName=1017206905.nh&amp;amp;DbName=CMFD2018&lt;/_url&gt;&lt;_volume&gt;硕士&lt;/_volume&gt;&lt;_translated_author&gt;Wang, Zhenpeng&lt;/_translated_author&gt;&lt;_translated_tertiary_author&gt;Geng, Bo&lt;/_translated_tertiary_author&gt;&lt;/Details&gt;&lt;Extra&gt;&lt;DBUID&gt;{25139A1D-CF45-40E3-9EDD-33E25C1C489A}&lt;/DBUID&gt;&lt;/Extra&gt;&lt;/Item&gt;&lt;/References&gt;&lt;/Group&gt;&lt;/Citation&gt;_x000a_"/>
    <w:docVar w:name="NE.Ref{FA11E01F-9E6C-4E2C-BBF8-B79A38A0E59D}" w:val=" ADDIN NE.Ref.{FA11E01F-9E6C-4E2C-BBF8-B79A38A0E59D}&lt;Citation&gt;&lt;Group&gt;&lt;References&gt;&lt;Item&gt;&lt;ID&gt;1431&lt;/ID&gt;&lt;UID&gt;{9CABA99D-F0DA-4467-AA7C-D53CB8E74D09}&lt;/UID&gt;&lt;Title&gt;Seismic Analysis of Cable-stayed Bridge with 2-edge Girders&lt;/Title&gt;&lt;Template&gt;Conference Paper&lt;/Template&gt;&lt;Star&gt;0&lt;/Star&gt;&lt;Tag&gt;3&lt;/Tag&gt;&lt;Author&gt;SUZUKI, YASUYUKI; OTSUKA, HISANORI; OTSUKA, ATSUO&lt;/Author&gt;&lt;Year&gt;2004&lt;/Year&gt;&lt;Details&gt;&lt;_accessed&gt;59361760&lt;/_accessed&gt;&lt;_created&gt;59319628&lt;/_created&gt;&lt;_modified&gt;59319630&lt;/_modified&gt;&lt;_place_published&gt;Vancouver, B.C., Canada&lt;/_place_published&gt;&lt;_secondary_title&gt;13th World Conference on Earthquake Engineering&lt;/_secondary_title&gt;&lt;/Details&gt;&lt;Extra&gt;&lt;DBUID&gt;{C833C268-2DD2-4BFD-9E86-C36B63EFE0FA}&lt;/DBUID&gt;&lt;/Extra&gt;&lt;/Item&gt;&lt;/References&gt;&lt;/Group&gt;&lt;/Citation&gt;_x000a_"/>
    <w:docVar w:name="NE.Ref{FDA163FA-0588-4FA3-B078-62047F3BD078}" w:val=" ADDIN NE.Ref.{FDA163FA-0588-4FA3-B078-62047F3BD078}&lt;Citation&gt;&lt;Group&gt;&lt;References&gt;&lt;Item&gt;&lt;ID&gt;1227&lt;/ID&gt;&lt;UID&gt;{9060A81E-8BCE-4D7B-8ED8-EF6ED813B00F}&lt;/UID&gt;&lt;Title&gt;Fully nonlinear analysis of composite girder cable-stayed bridges&lt;/Title&gt;&lt;Template&gt;Journal Article&lt;/Template&gt;&lt;Star&gt;1&lt;/Star&gt;&lt;Tag&gt;5&lt;/Tag&gt;&lt;Author&gt;Adeli, H; Zhang, J&lt;/Author&gt;&lt;Year&gt;1995&lt;/Year&gt;&lt;Details&gt;&lt;_accessed&gt;59113164&lt;/_accessed&gt;&lt;_alternate_title&gt;Computers &amp;amp;amp; Structures&lt;/_alternate_title&gt;&lt;_created&gt;59095915&lt;/_created&gt;&lt;_date_display&gt;1995/1/17/&lt;/_date_display&gt;&lt;_db_updated&gt;ScienceDirect&lt;/_db_updated&gt;&lt;_isbn&gt;0045-7949&lt;/_isbn&gt;&lt;_issue&gt;2&lt;/_issue&gt;&lt;_journal&gt;Computers &amp;amp;amp; Structures&lt;/_journal&gt;&lt;_modified&gt;59095917&lt;/_modified&gt;&lt;_pages&gt;267-277&lt;/_pages&gt;&lt;_url&gt;http://www.sciencedirect.com/science/article/pii/004579499400332W&lt;/_url&gt;&lt;_volume&gt;54&lt;/_volume&gt;&lt;/Details&gt;&lt;Extra&gt;&lt;DBUID&gt;{C833C268-2DD2-4BFD-9E86-C36B63EFE0FA}&lt;/DBUID&gt;&lt;/Extra&gt;&lt;/Item&gt;&lt;/References&gt;&lt;/Group&gt;&lt;/Citation&gt;_x000a_"/>
    <w:docVar w:name="NE.Ref{FF06BD85-A47A-4087-9B3B-25440B648CC8}" w:val=" ADDIN NE.Ref.{FF06BD85-A47A-4087-9B3B-25440B648CC8}&lt;Citation&gt;&lt;Group&gt;&lt;References&gt;&lt;Item&gt;&lt;ID&gt;2632&lt;/ID&gt;&lt;UID&gt;{40F6302C-7FFE-47E3-8C4E-01E45455BE45}&lt;/UID&gt;&lt;Title&gt;兰州中山桥维修加固总体设计&lt;/Title&gt;&lt;Template&gt;Journal Article&lt;/Template&gt;&lt;Star&gt;0&lt;/Star&gt;&lt;Tag&gt;0&lt;/Tag&gt;&lt;Author&gt;涂金平; 赵井卫; 翟辉&lt;/Author&gt;&lt;Year&gt;2016&lt;/Year&gt;&lt;Details&gt;&lt;_accessed&gt;62191759&lt;/_accessed&gt;&lt;_author_aff&gt;中交路桥技术有限公司;北京中路汇技术咨询有限公司;&lt;/_author_aff&gt;&lt;_collection_scope&gt;中国科技核心期刊;中文核心期刊;&lt;/_collection_scope&gt;&lt;_created&gt;62191759&lt;/_created&gt;&lt;_date&gt;61351200&lt;/_date&gt;&lt;_db_provider&gt;CNKI: 期刊&lt;/_db_provider&gt;&lt;_db_updated&gt;CNKI - Reference&lt;/_db_updated&gt;&lt;_issue&gt;08&lt;/_issue&gt;&lt;_journal&gt;公路&lt;/_journal&gt;&lt;_keywords&gt;中山桥;钢桁架桥;维修加固;整体提升;增大截面&lt;/_keywords&gt;&lt;_language&gt;Chinese&lt;/_language&gt;&lt;_modified&gt;62211930&lt;/_modified&gt;&lt;_pages&gt;112-115&lt;/_pages&gt;&lt;_url&gt;http://kns.cnki.net/KCMS/detail/detail.aspx?FileName=GLGL201608026&amp;amp;DbName=CJFQ2016&lt;/_url&gt;&lt;_translated_author&gt;Tu, Jinping;Zhao, Jingwei;Zhai, Hui&lt;/_translated_author&gt;&lt;/Details&gt;&lt;Extra&gt;&lt;DBUID&gt;{25139A1D-CF45-40E3-9EDD-33E25C1C489A}&lt;/DBUID&gt;&lt;/Extra&gt;&lt;/Item&gt;&lt;/References&gt;&lt;/Group&gt;&lt;/Citation&gt;_x000a_"/>
    <w:docVar w:name="ne_docsoft" w:val="MSWord"/>
    <w:docVar w:name="ne_docversion" w:val="NoteExpress 2.0"/>
    <w:docVar w:name="ne_stylename" w:val="同济大学学报.自然科学版"/>
  </w:docVars>
  <w:rsids>
    <w:rsidRoot w:val="000A1EC7"/>
    <w:rsid w:val="000004E5"/>
    <w:rsid w:val="000006BE"/>
    <w:rsid w:val="000006DE"/>
    <w:rsid w:val="00000ABF"/>
    <w:rsid w:val="00000DC0"/>
    <w:rsid w:val="00000E01"/>
    <w:rsid w:val="00000FEF"/>
    <w:rsid w:val="00001ABE"/>
    <w:rsid w:val="00001DE3"/>
    <w:rsid w:val="00001E8F"/>
    <w:rsid w:val="0000228F"/>
    <w:rsid w:val="000026DF"/>
    <w:rsid w:val="0000284C"/>
    <w:rsid w:val="000029A4"/>
    <w:rsid w:val="00002C88"/>
    <w:rsid w:val="00003039"/>
    <w:rsid w:val="000030A0"/>
    <w:rsid w:val="000030B6"/>
    <w:rsid w:val="00003448"/>
    <w:rsid w:val="000042FA"/>
    <w:rsid w:val="00004753"/>
    <w:rsid w:val="0000487A"/>
    <w:rsid w:val="00004BC7"/>
    <w:rsid w:val="0000549A"/>
    <w:rsid w:val="000058EF"/>
    <w:rsid w:val="0000631F"/>
    <w:rsid w:val="00006599"/>
    <w:rsid w:val="000067E2"/>
    <w:rsid w:val="00006AB9"/>
    <w:rsid w:val="00006B73"/>
    <w:rsid w:val="0000746D"/>
    <w:rsid w:val="000077B3"/>
    <w:rsid w:val="000078B7"/>
    <w:rsid w:val="0001023E"/>
    <w:rsid w:val="00010979"/>
    <w:rsid w:val="00010A7E"/>
    <w:rsid w:val="00010C78"/>
    <w:rsid w:val="00010F1E"/>
    <w:rsid w:val="000111F9"/>
    <w:rsid w:val="00011333"/>
    <w:rsid w:val="00011616"/>
    <w:rsid w:val="00011723"/>
    <w:rsid w:val="000118CA"/>
    <w:rsid w:val="000118F7"/>
    <w:rsid w:val="0001220E"/>
    <w:rsid w:val="000122CF"/>
    <w:rsid w:val="000122FF"/>
    <w:rsid w:val="00012316"/>
    <w:rsid w:val="0001246D"/>
    <w:rsid w:val="00012671"/>
    <w:rsid w:val="00012E42"/>
    <w:rsid w:val="000138D9"/>
    <w:rsid w:val="00013A0E"/>
    <w:rsid w:val="00013A3B"/>
    <w:rsid w:val="000146A7"/>
    <w:rsid w:val="00014727"/>
    <w:rsid w:val="00014C4E"/>
    <w:rsid w:val="0001533D"/>
    <w:rsid w:val="00015462"/>
    <w:rsid w:val="00015578"/>
    <w:rsid w:val="00015A41"/>
    <w:rsid w:val="00015AE5"/>
    <w:rsid w:val="00015C59"/>
    <w:rsid w:val="000164D1"/>
    <w:rsid w:val="0001681E"/>
    <w:rsid w:val="000169DE"/>
    <w:rsid w:val="00016F13"/>
    <w:rsid w:val="0001700E"/>
    <w:rsid w:val="000171BC"/>
    <w:rsid w:val="0001723A"/>
    <w:rsid w:val="0001731A"/>
    <w:rsid w:val="000174E9"/>
    <w:rsid w:val="0001772C"/>
    <w:rsid w:val="00017A71"/>
    <w:rsid w:val="00017DB6"/>
    <w:rsid w:val="000200FB"/>
    <w:rsid w:val="00020337"/>
    <w:rsid w:val="0002075E"/>
    <w:rsid w:val="00020B1E"/>
    <w:rsid w:val="0002102A"/>
    <w:rsid w:val="0002115F"/>
    <w:rsid w:val="000212BB"/>
    <w:rsid w:val="00021616"/>
    <w:rsid w:val="000217AE"/>
    <w:rsid w:val="00021A81"/>
    <w:rsid w:val="00021DE1"/>
    <w:rsid w:val="000221F3"/>
    <w:rsid w:val="000223FF"/>
    <w:rsid w:val="000229B4"/>
    <w:rsid w:val="00023368"/>
    <w:rsid w:val="00023720"/>
    <w:rsid w:val="00023738"/>
    <w:rsid w:val="000237F8"/>
    <w:rsid w:val="00024528"/>
    <w:rsid w:val="00024615"/>
    <w:rsid w:val="00024A23"/>
    <w:rsid w:val="00024CC6"/>
    <w:rsid w:val="00024E5B"/>
    <w:rsid w:val="0002558C"/>
    <w:rsid w:val="00025B37"/>
    <w:rsid w:val="00025C48"/>
    <w:rsid w:val="00025E10"/>
    <w:rsid w:val="000261CC"/>
    <w:rsid w:val="0002695C"/>
    <w:rsid w:val="000269CC"/>
    <w:rsid w:val="00026C62"/>
    <w:rsid w:val="0002750C"/>
    <w:rsid w:val="00030246"/>
    <w:rsid w:val="00030366"/>
    <w:rsid w:val="0003061F"/>
    <w:rsid w:val="00030698"/>
    <w:rsid w:val="0003072A"/>
    <w:rsid w:val="00030B23"/>
    <w:rsid w:val="00030EB9"/>
    <w:rsid w:val="000314DF"/>
    <w:rsid w:val="00031AA7"/>
    <w:rsid w:val="00031AED"/>
    <w:rsid w:val="000324A1"/>
    <w:rsid w:val="000327F3"/>
    <w:rsid w:val="0003299D"/>
    <w:rsid w:val="00032A6B"/>
    <w:rsid w:val="00032F32"/>
    <w:rsid w:val="00032FAA"/>
    <w:rsid w:val="00033664"/>
    <w:rsid w:val="000339AC"/>
    <w:rsid w:val="000339C8"/>
    <w:rsid w:val="00033DEB"/>
    <w:rsid w:val="00033DFA"/>
    <w:rsid w:val="00033EC1"/>
    <w:rsid w:val="000344B9"/>
    <w:rsid w:val="00034A54"/>
    <w:rsid w:val="00034EEC"/>
    <w:rsid w:val="00034F3E"/>
    <w:rsid w:val="0003515A"/>
    <w:rsid w:val="00035519"/>
    <w:rsid w:val="0003551A"/>
    <w:rsid w:val="000355F0"/>
    <w:rsid w:val="000356B3"/>
    <w:rsid w:val="00035838"/>
    <w:rsid w:val="00035B54"/>
    <w:rsid w:val="00035C1B"/>
    <w:rsid w:val="000360E2"/>
    <w:rsid w:val="00036149"/>
    <w:rsid w:val="00036D0E"/>
    <w:rsid w:val="00036DEA"/>
    <w:rsid w:val="00037053"/>
    <w:rsid w:val="0003709E"/>
    <w:rsid w:val="00037268"/>
    <w:rsid w:val="0003739D"/>
    <w:rsid w:val="000377EB"/>
    <w:rsid w:val="00037D4A"/>
    <w:rsid w:val="00037DF9"/>
    <w:rsid w:val="0004023A"/>
    <w:rsid w:val="0004039D"/>
    <w:rsid w:val="00040B43"/>
    <w:rsid w:val="00040CA8"/>
    <w:rsid w:val="00040F16"/>
    <w:rsid w:val="00040F4B"/>
    <w:rsid w:val="0004199B"/>
    <w:rsid w:val="0004199C"/>
    <w:rsid w:val="00041C13"/>
    <w:rsid w:val="0004272B"/>
    <w:rsid w:val="00042F28"/>
    <w:rsid w:val="00042FC1"/>
    <w:rsid w:val="000433C7"/>
    <w:rsid w:val="00043711"/>
    <w:rsid w:val="0004390F"/>
    <w:rsid w:val="00043B61"/>
    <w:rsid w:val="00043D4F"/>
    <w:rsid w:val="000443C6"/>
    <w:rsid w:val="00044583"/>
    <w:rsid w:val="000448DC"/>
    <w:rsid w:val="00045C25"/>
    <w:rsid w:val="00045D16"/>
    <w:rsid w:val="0004647D"/>
    <w:rsid w:val="0004669C"/>
    <w:rsid w:val="00046879"/>
    <w:rsid w:val="00046D81"/>
    <w:rsid w:val="00046D96"/>
    <w:rsid w:val="000472FA"/>
    <w:rsid w:val="00047638"/>
    <w:rsid w:val="000476DD"/>
    <w:rsid w:val="00050187"/>
    <w:rsid w:val="000501F2"/>
    <w:rsid w:val="00050331"/>
    <w:rsid w:val="00050476"/>
    <w:rsid w:val="00050813"/>
    <w:rsid w:val="00050A93"/>
    <w:rsid w:val="00050B86"/>
    <w:rsid w:val="00051349"/>
    <w:rsid w:val="00051394"/>
    <w:rsid w:val="00052AD3"/>
    <w:rsid w:val="00052B80"/>
    <w:rsid w:val="00052E0D"/>
    <w:rsid w:val="00052F75"/>
    <w:rsid w:val="000530D7"/>
    <w:rsid w:val="0005447D"/>
    <w:rsid w:val="00054551"/>
    <w:rsid w:val="0005480A"/>
    <w:rsid w:val="00054D68"/>
    <w:rsid w:val="00055533"/>
    <w:rsid w:val="00055AF8"/>
    <w:rsid w:val="00055BCC"/>
    <w:rsid w:val="00055E53"/>
    <w:rsid w:val="00056274"/>
    <w:rsid w:val="00056331"/>
    <w:rsid w:val="00056612"/>
    <w:rsid w:val="000566DA"/>
    <w:rsid w:val="00056790"/>
    <w:rsid w:val="000569CB"/>
    <w:rsid w:val="00056B4F"/>
    <w:rsid w:val="0005709A"/>
    <w:rsid w:val="00057530"/>
    <w:rsid w:val="000575B6"/>
    <w:rsid w:val="000575C1"/>
    <w:rsid w:val="00057608"/>
    <w:rsid w:val="0005760A"/>
    <w:rsid w:val="00060436"/>
    <w:rsid w:val="00060B8A"/>
    <w:rsid w:val="00060B8F"/>
    <w:rsid w:val="00060F51"/>
    <w:rsid w:val="0006101A"/>
    <w:rsid w:val="000610A0"/>
    <w:rsid w:val="000612F1"/>
    <w:rsid w:val="00061699"/>
    <w:rsid w:val="00061896"/>
    <w:rsid w:val="00061DF0"/>
    <w:rsid w:val="000620D6"/>
    <w:rsid w:val="000627A8"/>
    <w:rsid w:val="00062B9F"/>
    <w:rsid w:val="00062BC9"/>
    <w:rsid w:val="00062CBB"/>
    <w:rsid w:val="00062D4A"/>
    <w:rsid w:val="000636CD"/>
    <w:rsid w:val="000636EB"/>
    <w:rsid w:val="0006371F"/>
    <w:rsid w:val="00063A0A"/>
    <w:rsid w:val="00064569"/>
    <w:rsid w:val="000645FA"/>
    <w:rsid w:val="00064966"/>
    <w:rsid w:val="00064A08"/>
    <w:rsid w:val="00064AA0"/>
    <w:rsid w:val="00064F43"/>
    <w:rsid w:val="000659B4"/>
    <w:rsid w:val="000659C5"/>
    <w:rsid w:val="000659EA"/>
    <w:rsid w:val="00065B2D"/>
    <w:rsid w:val="00065C9E"/>
    <w:rsid w:val="00066F0F"/>
    <w:rsid w:val="00066F9E"/>
    <w:rsid w:val="0006765B"/>
    <w:rsid w:val="00067675"/>
    <w:rsid w:val="000677BA"/>
    <w:rsid w:val="00067AB7"/>
    <w:rsid w:val="00067D21"/>
    <w:rsid w:val="000700D0"/>
    <w:rsid w:val="00070739"/>
    <w:rsid w:val="0007079F"/>
    <w:rsid w:val="00070AF4"/>
    <w:rsid w:val="00070B76"/>
    <w:rsid w:val="000710B4"/>
    <w:rsid w:val="000714BD"/>
    <w:rsid w:val="000717BA"/>
    <w:rsid w:val="00071B54"/>
    <w:rsid w:val="000720D1"/>
    <w:rsid w:val="000721C6"/>
    <w:rsid w:val="00072279"/>
    <w:rsid w:val="0007249A"/>
    <w:rsid w:val="00072524"/>
    <w:rsid w:val="0007271F"/>
    <w:rsid w:val="00072A8D"/>
    <w:rsid w:val="00072BD7"/>
    <w:rsid w:val="000733ED"/>
    <w:rsid w:val="000734ED"/>
    <w:rsid w:val="00073B2A"/>
    <w:rsid w:val="00073CB8"/>
    <w:rsid w:val="000748D9"/>
    <w:rsid w:val="000749A0"/>
    <w:rsid w:val="000749CB"/>
    <w:rsid w:val="00074F1C"/>
    <w:rsid w:val="000750F1"/>
    <w:rsid w:val="000758E1"/>
    <w:rsid w:val="00075956"/>
    <w:rsid w:val="00075BEA"/>
    <w:rsid w:val="00075C09"/>
    <w:rsid w:val="00075C86"/>
    <w:rsid w:val="00075E12"/>
    <w:rsid w:val="00075F2E"/>
    <w:rsid w:val="000760A2"/>
    <w:rsid w:val="00076483"/>
    <w:rsid w:val="0007670D"/>
    <w:rsid w:val="00076798"/>
    <w:rsid w:val="00076E26"/>
    <w:rsid w:val="00076F2A"/>
    <w:rsid w:val="000775A8"/>
    <w:rsid w:val="00077703"/>
    <w:rsid w:val="0008015B"/>
    <w:rsid w:val="000808AB"/>
    <w:rsid w:val="00081126"/>
    <w:rsid w:val="0008170E"/>
    <w:rsid w:val="000817E5"/>
    <w:rsid w:val="0008185B"/>
    <w:rsid w:val="000825E7"/>
    <w:rsid w:val="00082CA7"/>
    <w:rsid w:val="0008324F"/>
    <w:rsid w:val="000834B4"/>
    <w:rsid w:val="000835FE"/>
    <w:rsid w:val="000837E9"/>
    <w:rsid w:val="00083817"/>
    <w:rsid w:val="00083A4A"/>
    <w:rsid w:val="000843D6"/>
    <w:rsid w:val="00084411"/>
    <w:rsid w:val="0008452A"/>
    <w:rsid w:val="000849F3"/>
    <w:rsid w:val="00084B03"/>
    <w:rsid w:val="00085E5D"/>
    <w:rsid w:val="00085E87"/>
    <w:rsid w:val="000863B9"/>
    <w:rsid w:val="00086426"/>
    <w:rsid w:val="0008656F"/>
    <w:rsid w:val="00087050"/>
    <w:rsid w:val="00087186"/>
    <w:rsid w:val="0008722A"/>
    <w:rsid w:val="00087B21"/>
    <w:rsid w:val="00087B7E"/>
    <w:rsid w:val="00090072"/>
    <w:rsid w:val="000902FB"/>
    <w:rsid w:val="000907B5"/>
    <w:rsid w:val="000908B4"/>
    <w:rsid w:val="00090DBE"/>
    <w:rsid w:val="000911DA"/>
    <w:rsid w:val="00091C84"/>
    <w:rsid w:val="00091E33"/>
    <w:rsid w:val="00092550"/>
    <w:rsid w:val="00092A4D"/>
    <w:rsid w:val="0009334A"/>
    <w:rsid w:val="000934A2"/>
    <w:rsid w:val="00093521"/>
    <w:rsid w:val="000937C7"/>
    <w:rsid w:val="000937CF"/>
    <w:rsid w:val="000939D7"/>
    <w:rsid w:val="00093AC9"/>
    <w:rsid w:val="00093F72"/>
    <w:rsid w:val="000946A3"/>
    <w:rsid w:val="000948FB"/>
    <w:rsid w:val="00094AFA"/>
    <w:rsid w:val="00094BE5"/>
    <w:rsid w:val="000953EB"/>
    <w:rsid w:val="0009596E"/>
    <w:rsid w:val="00095DD6"/>
    <w:rsid w:val="000961FB"/>
    <w:rsid w:val="000964F6"/>
    <w:rsid w:val="00096AC2"/>
    <w:rsid w:val="00096D35"/>
    <w:rsid w:val="00096D78"/>
    <w:rsid w:val="00096FE6"/>
    <w:rsid w:val="00097F3B"/>
    <w:rsid w:val="000A0927"/>
    <w:rsid w:val="000A0C04"/>
    <w:rsid w:val="000A0CD3"/>
    <w:rsid w:val="000A1255"/>
    <w:rsid w:val="000A1B56"/>
    <w:rsid w:val="000A1EC7"/>
    <w:rsid w:val="000A23A8"/>
    <w:rsid w:val="000A26C0"/>
    <w:rsid w:val="000A27D0"/>
    <w:rsid w:val="000A28A6"/>
    <w:rsid w:val="000A2A40"/>
    <w:rsid w:val="000A2AEA"/>
    <w:rsid w:val="000A2C0F"/>
    <w:rsid w:val="000A37E2"/>
    <w:rsid w:val="000A3893"/>
    <w:rsid w:val="000A3F7B"/>
    <w:rsid w:val="000A43DB"/>
    <w:rsid w:val="000A45C9"/>
    <w:rsid w:val="000A4DE8"/>
    <w:rsid w:val="000A4EA2"/>
    <w:rsid w:val="000A522E"/>
    <w:rsid w:val="000A5579"/>
    <w:rsid w:val="000A5F2D"/>
    <w:rsid w:val="000A6442"/>
    <w:rsid w:val="000A6689"/>
    <w:rsid w:val="000A68FC"/>
    <w:rsid w:val="000A6D9B"/>
    <w:rsid w:val="000A7071"/>
    <w:rsid w:val="000A72EA"/>
    <w:rsid w:val="000A76D9"/>
    <w:rsid w:val="000A78D5"/>
    <w:rsid w:val="000A79AF"/>
    <w:rsid w:val="000A7C18"/>
    <w:rsid w:val="000A7C97"/>
    <w:rsid w:val="000B0410"/>
    <w:rsid w:val="000B0605"/>
    <w:rsid w:val="000B0CB3"/>
    <w:rsid w:val="000B0D24"/>
    <w:rsid w:val="000B1208"/>
    <w:rsid w:val="000B168C"/>
    <w:rsid w:val="000B1690"/>
    <w:rsid w:val="000B16E5"/>
    <w:rsid w:val="000B1A69"/>
    <w:rsid w:val="000B2223"/>
    <w:rsid w:val="000B2FBB"/>
    <w:rsid w:val="000B37E3"/>
    <w:rsid w:val="000B382A"/>
    <w:rsid w:val="000B3886"/>
    <w:rsid w:val="000B3AAD"/>
    <w:rsid w:val="000B3CE6"/>
    <w:rsid w:val="000B3F41"/>
    <w:rsid w:val="000B4257"/>
    <w:rsid w:val="000B4470"/>
    <w:rsid w:val="000B4617"/>
    <w:rsid w:val="000B5862"/>
    <w:rsid w:val="000B58B5"/>
    <w:rsid w:val="000B5976"/>
    <w:rsid w:val="000B5FFA"/>
    <w:rsid w:val="000B647F"/>
    <w:rsid w:val="000B6DDF"/>
    <w:rsid w:val="000B74F0"/>
    <w:rsid w:val="000C0131"/>
    <w:rsid w:val="000C0B6F"/>
    <w:rsid w:val="000C0DEA"/>
    <w:rsid w:val="000C0E89"/>
    <w:rsid w:val="000C2134"/>
    <w:rsid w:val="000C234E"/>
    <w:rsid w:val="000C2E9E"/>
    <w:rsid w:val="000C3459"/>
    <w:rsid w:val="000C3906"/>
    <w:rsid w:val="000C3C90"/>
    <w:rsid w:val="000C4135"/>
    <w:rsid w:val="000C4F60"/>
    <w:rsid w:val="000C4FD6"/>
    <w:rsid w:val="000C50A4"/>
    <w:rsid w:val="000C54B5"/>
    <w:rsid w:val="000C5CDF"/>
    <w:rsid w:val="000C5FF3"/>
    <w:rsid w:val="000C63F0"/>
    <w:rsid w:val="000C6593"/>
    <w:rsid w:val="000C68A6"/>
    <w:rsid w:val="000C6E06"/>
    <w:rsid w:val="000C6F38"/>
    <w:rsid w:val="000C6F4D"/>
    <w:rsid w:val="000C702B"/>
    <w:rsid w:val="000C70C2"/>
    <w:rsid w:val="000C71B0"/>
    <w:rsid w:val="000C71CD"/>
    <w:rsid w:val="000C722E"/>
    <w:rsid w:val="000C768E"/>
    <w:rsid w:val="000C7969"/>
    <w:rsid w:val="000C79C1"/>
    <w:rsid w:val="000C7C90"/>
    <w:rsid w:val="000D021E"/>
    <w:rsid w:val="000D0498"/>
    <w:rsid w:val="000D04F3"/>
    <w:rsid w:val="000D04F5"/>
    <w:rsid w:val="000D0AD6"/>
    <w:rsid w:val="000D0CEF"/>
    <w:rsid w:val="000D0DDB"/>
    <w:rsid w:val="000D0E46"/>
    <w:rsid w:val="000D16E9"/>
    <w:rsid w:val="000D1907"/>
    <w:rsid w:val="000D1EED"/>
    <w:rsid w:val="000D2176"/>
    <w:rsid w:val="000D29EC"/>
    <w:rsid w:val="000D31B5"/>
    <w:rsid w:val="000D36D0"/>
    <w:rsid w:val="000D38C7"/>
    <w:rsid w:val="000D3C49"/>
    <w:rsid w:val="000D46A0"/>
    <w:rsid w:val="000D47AF"/>
    <w:rsid w:val="000D498B"/>
    <w:rsid w:val="000D49AC"/>
    <w:rsid w:val="000D4B9C"/>
    <w:rsid w:val="000D4D29"/>
    <w:rsid w:val="000D54A9"/>
    <w:rsid w:val="000D54BC"/>
    <w:rsid w:val="000D55AA"/>
    <w:rsid w:val="000D588D"/>
    <w:rsid w:val="000D5DD9"/>
    <w:rsid w:val="000D623E"/>
    <w:rsid w:val="000D6587"/>
    <w:rsid w:val="000D662B"/>
    <w:rsid w:val="000D67C6"/>
    <w:rsid w:val="000D6801"/>
    <w:rsid w:val="000D69B8"/>
    <w:rsid w:val="000D6DB3"/>
    <w:rsid w:val="000D6E11"/>
    <w:rsid w:val="000D7396"/>
    <w:rsid w:val="000D7A55"/>
    <w:rsid w:val="000E030F"/>
    <w:rsid w:val="000E07E9"/>
    <w:rsid w:val="000E0E02"/>
    <w:rsid w:val="000E1235"/>
    <w:rsid w:val="000E132A"/>
    <w:rsid w:val="000E1474"/>
    <w:rsid w:val="000E175B"/>
    <w:rsid w:val="000E1E36"/>
    <w:rsid w:val="000E25B1"/>
    <w:rsid w:val="000E262D"/>
    <w:rsid w:val="000E2700"/>
    <w:rsid w:val="000E2B33"/>
    <w:rsid w:val="000E2B4D"/>
    <w:rsid w:val="000E2D12"/>
    <w:rsid w:val="000E3387"/>
    <w:rsid w:val="000E3A05"/>
    <w:rsid w:val="000E3B6D"/>
    <w:rsid w:val="000E41B1"/>
    <w:rsid w:val="000E5301"/>
    <w:rsid w:val="000E5407"/>
    <w:rsid w:val="000E5501"/>
    <w:rsid w:val="000E5558"/>
    <w:rsid w:val="000E58CB"/>
    <w:rsid w:val="000E5935"/>
    <w:rsid w:val="000E5A42"/>
    <w:rsid w:val="000E602F"/>
    <w:rsid w:val="000E617A"/>
    <w:rsid w:val="000E637B"/>
    <w:rsid w:val="000E6392"/>
    <w:rsid w:val="000E652A"/>
    <w:rsid w:val="000E69F9"/>
    <w:rsid w:val="000E6E1E"/>
    <w:rsid w:val="000E6E3D"/>
    <w:rsid w:val="000E749B"/>
    <w:rsid w:val="000E77D1"/>
    <w:rsid w:val="000E7817"/>
    <w:rsid w:val="000E7AFA"/>
    <w:rsid w:val="000E7CC0"/>
    <w:rsid w:val="000E7DD0"/>
    <w:rsid w:val="000E7EA9"/>
    <w:rsid w:val="000F0491"/>
    <w:rsid w:val="000F0685"/>
    <w:rsid w:val="000F086D"/>
    <w:rsid w:val="000F09B4"/>
    <w:rsid w:val="000F09EE"/>
    <w:rsid w:val="000F0DC3"/>
    <w:rsid w:val="000F174C"/>
    <w:rsid w:val="000F1DD9"/>
    <w:rsid w:val="000F1E07"/>
    <w:rsid w:val="000F29E6"/>
    <w:rsid w:val="000F2D99"/>
    <w:rsid w:val="000F2FE7"/>
    <w:rsid w:val="000F33B5"/>
    <w:rsid w:val="000F3576"/>
    <w:rsid w:val="000F39D0"/>
    <w:rsid w:val="000F3C4A"/>
    <w:rsid w:val="000F3E26"/>
    <w:rsid w:val="000F4043"/>
    <w:rsid w:val="000F40D3"/>
    <w:rsid w:val="000F41D0"/>
    <w:rsid w:val="000F4663"/>
    <w:rsid w:val="000F4728"/>
    <w:rsid w:val="000F4B36"/>
    <w:rsid w:val="000F4CAA"/>
    <w:rsid w:val="000F4E2E"/>
    <w:rsid w:val="000F4EA5"/>
    <w:rsid w:val="000F5972"/>
    <w:rsid w:val="000F60B0"/>
    <w:rsid w:val="000F63EF"/>
    <w:rsid w:val="000F6939"/>
    <w:rsid w:val="000F6AB4"/>
    <w:rsid w:val="000F6C45"/>
    <w:rsid w:val="000F7334"/>
    <w:rsid w:val="000F73BC"/>
    <w:rsid w:val="000F7531"/>
    <w:rsid w:val="000F7BF9"/>
    <w:rsid w:val="000F7C79"/>
    <w:rsid w:val="001000DD"/>
    <w:rsid w:val="00100329"/>
    <w:rsid w:val="001003BD"/>
    <w:rsid w:val="001003EC"/>
    <w:rsid w:val="00100A90"/>
    <w:rsid w:val="00100D5B"/>
    <w:rsid w:val="00101ECB"/>
    <w:rsid w:val="00102307"/>
    <w:rsid w:val="00102F35"/>
    <w:rsid w:val="00103055"/>
    <w:rsid w:val="001030A3"/>
    <w:rsid w:val="001035AB"/>
    <w:rsid w:val="001036CD"/>
    <w:rsid w:val="00103FC5"/>
    <w:rsid w:val="001040C1"/>
    <w:rsid w:val="00104281"/>
    <w:rsid w:val="0010449B"/>
    <w:rsid w:val="00104574"/>
    <w:rsid w:val="00104957"/>
    <w:rsid w:val="001049F7"/>
    <w:rsid w:val="00104B0E"/>
    <w:rsid w:val="00104BA2"/>
    <w:rsid w:val="00104FBE"/>
    <w:rsid w:val="0010540A"/>
    <w:rsid w:val="0010598E"/>
    <w:rsid w:val="00105B0C"/>
    <w:rsid w:val="00105C38"/>
    <w:rsid w:val="00105DD7"/>
    <w:rsid w:val="0010643F"/>
    <w:rsid w:val="0010646F"/>
    <w:rsid w:val="00106498"/>
    <w:rsid w:val="001065D4"/>
    <w:rsid w:val="0010671E"/>
    <w:rsid w:val="0010691B"/>
    <w:rsid w:val="00106FA7"/>
    <w:rsid w:val="001071A0"/>
    <w:rsid w:val="001073EB"/>
    <w:rsid w:val="0010772C"/>
    <w:rsid w:val="00107C19"/>
    <w:rsid w:val="00107E2B"/>
    <w:rsid w:val="001107B5"/>
    <w:rsid w:val="00111084"/>
    <w:rsid w:val="00111C3C"/>
    <w:rsid w:val="00112109"/>
    <w:rsid w:val="00112251"/>
    <w:rsid w:val="001123AF"/>
    <w:rsid w:val="0011276B"/>
    <w:rsid w:val="00112972"/>
    <w:rsid w:val="00112C88"/>
    <w:rsid w:val="00112CF5"/>
    <w:rsid w:val="0011348E"/>
    <w:rsid w:val="0011386B"/>
    <w:rsid w:val="001139C2"/>
    <w:rsid w:val="00113DC5"/>
    <w:rsid w:val="001141D6"/>
    <w:rsid w:val="00114B44"/>
    <w:rsid w:val="00114BC2"/>
    <w:rsid w:val="00114DF9"/>
    <w:rsid w:val="00114F0E"/>
    <w:rsid w:val="00115046"/>
    <w:rsid w:val="0011537E"/>
    <w:rsid w:val="00115677"/>
    <w:rsid w:val="00115850"/>
    <w:rsid w:val="00115974"/>
    <w:rsid w:val="00115A0C"/>
    <w:rsid w:val="00115D25"/>
    <w:rsid w:val="001160CB"/>
    <w:rsid w:val="0011718A"/>
    <w:rsid w:val="0011732C"/>
    <w:rsid w:val="0011747A"/>
    <w:rsid w:val="0011771B"/>
    <w:rsid w:val="001177D0"/>
    <w:rsid w:val="0011787D"/>
    <w:rsid w:val="00117C42"/>
    <w:rsid w:val="001200E3"/>
    <w:rsid w:val="0012020F"/>
    <w:rsid w:val="001208CE"/>
    <w:rsid w:val="0012099C"/>
    <w:rsid w:val="00120C4E"/>
    <w:rsid w:val="00121614"/>
    <w:rsid w:val="00121C9A"/>
    <w:rsid w:val="0012209F"/>
    <w:rsid w:val="00122546"/>
    <w:rsid w:val="00122D4B"/>
    <w:rsid w:val="00123A47"/>
    <w:rsid w:val="00123F37"/>
    <w:rsid w:val="00124252"/>
    <w:rsid w:val="0012441E"/>
    <w:rsid w:val="00124753"/>
    <w:rsid w:val="00124BA1"/>
    <w:rsid w:val="00124F50"/>
    <w:rsid w:val="00125431"/>
    <w:rsid w:val="0012554D"/>
    <w:rsid w:val="001257E3"/>
    <w:rsid w:val="00125B30"/>
    <w:rsid w:val="00125DAD"/>
    <w:rsid w:val="00125DE4"/>
    <w:rsid w:val="00125E67"/>
    <w:rsid w:val="00125F45"/>
    <w:rsid w:val="0012633D"/>
    <w:rsid w:val="001270CF"/>
    <w:rsid w:val="001272DF"/>
    <w:rsid w:val="00127660"/>
    <w:rsid w:val="001277A4"/>
    <w:rsid w:val="00127E32"/>
    <w:rsid w:val="0013004F"/>
    <w:rsid w:val="00130218"/>
    <w:rsid w:val="0013025B"/>
    <w:rsid w:val="001302F0"/>
    <w:rsid w:val="00130705"/>
    <w:rsid w:val="001307B6"/>
    <w:rsid w:val="00131056"/>
    <w:rsid w:val="00131416"/>
    <w:rsid w:val="0013156D"/>
    <w:rsid w:val="001318F0"/>
    <w:rsid w:val="001319E2"/>
    <w:rsid w:val="00131EC7"/>
    <w:rsid w:val="0013213E"/>
    <w:rsid w:val="00132477"/>
    <w:rsid w:val="001326EE"/>
    <w:rsid w:val="00133B3D"/>
    <w:rsid w:val="00133F27"/>
    <w:rsid w:val="001343B0"/>
    <w:rsid w:val="00134A97"/>
    <w:rsid w:val="00134D09"/>
    <w:rsid w:val="00134DB2"/>
    <w:rsid w:val="00136201"/>
    <w:rsid w:val="0013622C"/>
    <w:rsid w:val="0013679F"/>
    <w:rsid w:val="00136CA4"/>
    <w:rsid w:val="00136E79"/>
    <w:rsid w:val="0013723B"/>
    <w:rsid w:val="001376FD"/>
    <w:rsid w:val="001403C5"/>
    <w:rsid w:val="001403F2"/>
    <w:rsid w:val="00141187"/>
    <w:rsid w:val="00141A76"/>
    <w:rsid w:val="00141D19"/>
    <w:rsid w:val="00141D46"/>
    <w:rsid w:val="00141E5B"/>
    <w:rsid w:val="00142197"/>
    <w:rsid w:val="0014227E"/>
    <w:rsid w:val="00142DC6"/>
    <w:rsid w:val="00142E14"/>
    <w:rsid w:val="001434A1"/>
    <w:rsid w:val="00143715"/>
    <w:rsid w:val="00143729"/>
    <w:rsid w:val="00143772"/>
    <w:rsid w:val="001437A6"/>
    <w:rsid w:val="001437EC"/>
    <w:rsid w:val="00143A69"/>
    <w:rsid w:val="00144D6F"/>
    <w:rsid w:val="00144EC5"/>
    <w:rsid w:val="00145329"/>
    <w:rsid w:val="0014578B"/>
    <w:rsid w:val="00145C76"/>
    <w:rsid w:val="00146064"/>
    <w:rsid w:val="001466BE"/>
    <w:rsid w:val="0014695F"/>
    <w:rsid w:val="0014697E"/>
    <w:rsid w:val="00146C75"/>
    <w:rsid w:val="00146E49"/>
    <w:rsid w:val="00146F82"/>
    <w:rsid w:val="00146FF3"/>
    <w:rsid w:val="001472E7"/>
    <w:rsid w:val="001475F0"/>
    <w:rsid w:val="00147816"/>
    <w:rsid w:val="00147DD8"/>
    <w:rsid w:val="00150124"/>
    <w:rsid w:val="001503C5"/>
    <w:rsid w:val="00150F1B"/>
    <w:rsid w:val="001512C4"/>
    <w:rsid w:val="001515B7"/>
    <w:rsid w:val="0015175B"/>
    <w:rsid w:val="001520D9"/>
    <w:rsid w:val="00153068"/>
    <w:rsid w:val="00153577"/>
    <w:rsid w:val="001537B2"/>
    <w:rsid w:val="001538F9"/>
    <w:rsid w:val="00153D62"/>
    <w:rsid w:val="00153E4E"/>
    <w:rsid w:val="00154701"/>
    <w:rsid w:val="001549B1"/>
    <w:rsid w:val="001549DD"/>
    <w:rsid w:val="00154E28"/>
    <w:rsid w:val="00155197"/>
    <w:rsid w:val="001551EB"/>
    <w:rsid w:val="00155285"/>
    <w:rsid w:val="00155376"/>
    <w:rsid w:val="0015540C"/>
    <w:rsid w:val="00155450"/>
    <w:rsid w:val="0015568B"/>
    <w:rsid w:val="0015589F"/>
    <w:rsid w:val="00155C24"/>
    <w:rsid w:val="00155EAE"/>
    <w:rsid w:val="001562AF"/>
    <w:rsid w:val="001566B5"/>
    <w:rsid w:val="00156B36"/>
    <w:rsid w:val="00156C03"/>
    <w:rsid w:val="00156F0B"/>
    <w:rsid w:val="00156FCD"/>
    <w:rsid w:val="0015711C"/>
    <w:rsid w:val="00157278"/>
    <w:rsid w:val="001572AE"/>
    <w:rsid w:val="0015782F"/>
    <w:rsid w:val="00157AA0"/>
    <w:rsid w:val="00157C4F"/>
    <w:rsid w:val="00157D8B"/>
    <w:rsid w:val="0016025E"/>
    <w:rsid w:val="0016099F"/>
    <w:rsid w:val="00160AC3"/>
    <w:rsid w:val="00160F69"/>
    <w:rsid w:val="00160FA1"/>
    <w:rsid w:val="00161693"/>
    <w:rsid w:val="0016175A"/>
    <w:rsid w:val="00161AD1"/>
    <w:rsid w:val="00161D40"/>
    <w:rsid w:val="00162191"/>
    <w:rsid w:val="001623CF"/>
    <w:rsid w:val="00162925"/>
    <w:rsid w:val="00162BAD"/>
    <w:rsid w:val="00163F6E"/>
    <w:rsid w:val="001648AE"/>
    <w:rsid w:val="00164C65"/>
    <w:rsid w:val="00164E06"/>
    <w:rsid w:val="00164F6D"/>
    <w:rsid w:val="001656B6"/>
    <w:rsid w:val="001656EF"/>
    <w:rsid w:val="00165C9D"/>
    <w:rsid w:val="00165DC0"/>
    <w:rsid w:val="00165F7A"/>
    <w:rsid w:val="0016633A"/>
    <w:rsid w:val="00166796"/>
    <w:rsid w:val="001669EF"/>
    <w:rsid w:val="00166B44"/>
    <w:rsid w:val="00166D8C"/>
    <w:rsid w:val="00166DB3"/>
    <w:rsid w:val="00167043"/>
    <w:rsid w:val="00167163"/>
    <w:rsid w:val="00167257"/>
    <w:rsid w:val="00167B17"/>
    <w:rsid w:val="0017007C"/>
    <w:rsid w:val="00170749"/>
    <w:rsid w:val="00170D3F"/>
    <w:rsid w:val="00171484"/>
    <w:rsid w:val="0017198D"/>
    <w:rsid w:val="00171C02"/>
    <w:rsid w:val="00171E99"/>
    <w:rsid w:val="001721AD"/>
    <w:rsid w:val="001728DF"/>
    <w:rsid w:val="00172A46"/>
    <w:rsid w:val="0017319B"/>
    <w:rsid w:val="001731F4"/>
    <w:rsid w:val="00173432"/>
    <w:rsid w:val="00173496"/>
    <w:rsid w:val="001735D2"/>
    <w:rsid w:val="0017388E"/>
    <w:rsid w:val="00173B9A"/>
    <w:rsid w:val="00173EFD"/>
    <w:rsid w:val="00174027"/>
    <w:rsid w:val="0017408E"/>
    <w:rsid w:val="001740DE"/>
    <w:rsid w:val="001748E1"/>
    <w:rsid w:val="00174991"/>
    <w:rsid w:val="00174C48"/>
    <w:rsid w:val="00174DFF"/>
    <w:rsid w:val="00174F99"/>
    <w:rsid w:val="00175047"/>
    <w:rsid w:val="00175094"/>
    <w:rsid w:val="001751B8"/>
    <w:rsid w:val="00175408"/>
    <w:rsid w:val="001755F8"/>
    <w:rsid w:val="00175904"/>
    <w:rsid w:val="001761AB"/>
    <w:rsid w:val="00176871"/>
    <w:rsid w:val="00176F0C"/>
    <w:rsid w:val="00177716"/>
    <w:rsid w:val="00177816"/>
    <w:rsid w:val="00177913"/>
    <w:rsid w:val="00177A69"/>
    <w:rsid w:val="00177D4E"/>
    <w:rsid w:val="00180052"/>
    <w:rsid w:val="00180507"/>
    <w:rsid w:val="00180C4F"/>
    <w:rsid w:val="00180EF3"/>
    <w:rsid w:val="001811EE"/>
    <w:rsid w:val="00181482"/>
    <w:rsid w:val="001814C9"/>
    <w:rsid w:val="001815E8"/>
    <w:rsid w:val="00181D97"/>
    <w:rsid w:val="0018263E"/>
    <w:rsid w:val="00182D68"/>
    <w:rsid w:val="00182EA0"/>
    <w:rsid w:val="00182FD8"/>
    <w:rsid w:val="00183089"/>
    <w:rsid w:val="00183653"/>
    <w:rsid w:val="00183AEB"/>
    <w:rsid w:val="00183DA4"/>
    <w:rsid w:val="00184AFB"/>
    <w:rsid w:val="00184E2A"/>
    <w:rsid w:val="00184F17"/>
    <w:rsid w:val="00185152"/>
    <w:rsid w:val="0018537A"/>
    <w:rsid w:val="001853D2"/>
    <w:rsid w:val="0018558F"/>
    <w:rsid w:val="00185B9B"/>
    <w:rsid w:val="00185DE1"/>
    <w:rsid w:val="001860B2"/>
    <w:rsid w:val="0018674F"/>
    <w:rsid w:val="00186B08"/>
    <w:rsid w:val="00186B5C"/>
    <w:rsid w:val="00186CC1"/>
    <w:rsid w:val="0018790E"/>
    <w:rsid w:val="00187A01"/>
    <w:rsid w:val="00187A2F"/>
    <w:rsid w:val="00187ACD"/>
    <w:rsid w:val="00187F16"/>
    <w:rsid w:val="001901EB"/>
    <w:rsid w:val="0019028D"/>
    <w:rsid w:val="00190539"/>
    <w:rsid w:val="00190F51"/>
    <w:rsid w:val="00190F7A"/>
    <w:rsid w:val="00190FBD"/>
    <w:rsid w:val="001911C4"/>
    <w:rsid w:val="00191B7D"/>
    <w:rsid w:val="0019209D"/>
    <w:rsid w:val="001921F0"/>
    <w:rsid w:val="001922A1"/>
    <w:rsid w:val="001927FA"/>
    <w:rsid w:val="0019325E"/>
    <w:rsid w:val="0019333D"/>
    <w:rsid w:val="001937FC"/>
    <w:rsid w:val="00194A49"/>
    <w:rsid w:val="00194F6C"/>
    <w:rsid w:val="0019507E"/>
    <w:rsid w:val="0019533F"/>
    <w:rsid w:val="00195762"/>
    <w:rsid w:val="001958A6"/>
    <w:rsid w:val="00196695"/>
    <w:rsid w:val="00196AA4"/>
    <w:rsid w:val="00196CC7"/>
    <w:rsid w:val="00197360"/>
    <w:rsid w:val="00197570"/>
    <w:rsid w:val="0019769E"/>
    <w:rsid w:val="00197C4D"/>
    <w:rsid w:val="001A0185"/>
    <w:rsid w:val="001A0884"/>
    <w:rsid w:val="001A0933"/>
    <w:rsid w:val="001A0A52"/>
    <w:rsid w:val="001A0C9E"/>
    <w:rsid w:val="001A0D7D"/>
    <w:rsid w:val="001A14F7"/>
    <w:rsid w:val="001A163F"/>
    <w:rsid w:val="001A1AF7"/>
    <w:rsid w:val="001A1C87"/>
    <w:rsid w:val="001A1DD6"/>
    <w:rsid w:val="001A24A3"/>
    <w:rsid w:val="001A2642"/>
    <w:rsid w:val="001A36F9"/>
    <w:rsid w:val="001A4A63"/>
    <w:rsid w:val="001A4CD0"/>
    <w:rsid w:val="001A50F7"/>
    <w:rsid w:val="001A51F0"/>
    <w:rsid w:val="001A52DC"/>
    <w:rsid w:val="001A5401"/>
    <w:rsid w:val="001A55EF"/>
    <w:rsid w:val="001A5683"/>
    <w:rsid w:val="001A5B5F"/>
    <w:rsid w:val="001A5CEF"/>
    <w:rsid w:val="001A60CE"/>
    <w:rsid w:val="001A62C1"/>
    <w:rsid w:val="001A6452"/>
    <w:rsid w:val="001A6538"/>
    <w:rsid w:val="001A69F4"/>
    <w:rsid w:val="001A6D34"/>
    <w:rsid w:val="001A6E5B"/>
    <w:rsid w:val="001A7B5F"/>
    <w:rsid w:val="001A7C12"/>
    <w:rsid w:val="001B0D76"/>
    <w:rsid w:val="001B1011"/>
    <w:rsid w:val="001B1071"/>
    <w:rsid w:val="001B12B7"/>
    <w:rsid w:val="001B1585"/>
    <w:rsid w:val="001B18DD"/>
    <w:rsid w:val="001B198E"/>
    <w:rsid w:val="001B27A6"/>
    <w:rsid w:val="001B2BBE"/>
    <w:rsid w:val="001B30FE"/>
    <w:rsid w:val="001B33D4"/>
    <w:rsid w:val="001B3988"/>
    <w:rsid w:val="001B3FAC"/>
    <w:rsid w:val="001B4083"/>
    <w:rsid w:val="001B4084"/>
    <w:rsid w:val="001B40DE"/>
    <w:rsid w:val="001B44C4"/>
    <w:rsid w:val="001B4618"/>
    <w:rsid w:val="001B467B"/>
    <w:rsid w:val="001B546E"/>
    <w:rsid w:val="001B5517"/>
    <w:rsid w:val="001B5BAF"/>
    <w:rsid w:val="001B5C17"/>
    <w:rsid w:val="001B60AC"/>
    <w:rsid w:val="001B6189"/>
    <w:rsid w:val="001B6A57"/>
    <w:rsid w:val="001B71B0"/>
    <w:rsid w:val="001B71EE"/>
    <w:rsid w:val="001B7460"/>
    <w:rsid w:val="001B75C6"/>
    <w:rsid w:val="001B78A5"/>
    <w:rsid w:val="001B7FF7"/>
    <w:rsid w:val="001C0E0F"/>
    <w:rsid w:val="001C1243"/>
    <w:rsid w:val="001C1626"/>
    <w:rsid w:val="001C17C9"/>
    <w:rsid w:val="001C1AE5"/>
    <w:rsid w:val="001C1B63"/>
    <w:rsid w:val="001C1E46"/>
    <w:rsid w:val="001C2211"/>
    <w:rsid w:val="001C2251"/>
    <w:rsid w:val="001C2573"/>
    <w:rsid w:val="001C2CCA"/>
    <w:rsid w:val="001C2DA0"/>
    <w:rsid w:val="001C2DE7"/>
    <w:rsid w:val="001C3111"/>
    <w:rsid w:val="001C32A2"/>
    <w:rsid w:val="001C35E4"/>
    <w:rsid w:val="001C3B8D"/>
    <w:rsid w:val="001C3BBE"/>
    <w:rsid w:val="001C3EB0"/>
    <w:rsid w:val="001C40E6"/>
    <w:rsid w:val="001C45B3"/>
    <w:rsid w:val="001C4CAD"/>
    <w:rsid w:val="001C4E17"/>
    <w:rsid w:val="001C54CF"/>
    <w:rsid w:val="001C5A58"/>
    <w:rsid w:val="001C5DB4"/>
    <w:rsid w:val="001C5E34"/>
    <w:rsid w:val="001C5FAD"/>
    <w:rsid w:val="001C65E8"/>
    <w:rsid w:val="001C6ACE"/>
    <w:rsid w:val="001C6F07"/>
    <w:rsid w:val="001C719B"/>
    <w:rsid w:val="001C7522"/>
    <w:rsid w:val="001C7624"/>
    <w:rsid w:val="001C77D4"/>
    <w:rsid w:val="001C794F"/>
    <w:rsid w:val="001C7E6C"/>
    <w:rsid w:val="001D0205"/>
    <w:rsid w:val="001D0717"/>
    <w:rsid w:val="001D0B95"/>
    <w:rsid w:val="001D1356"/>
    <w:rsid w:val="001D18E8"/>
    <w:rsid w:val="001D1A68"/>
    <w:rsid w:val="001D1B06"/>
    <w:rsid w:val="001D2620"/>
    <w:rsid w:val="001D3151"/>
    <w:rsid w:val="001D3594"/>
    <w:rsid w:val="001D39BE"/>
    <w:rsid w:val="001D48F4"/>
    <w:rsid w:val="001D4B2B"/>
    <w:rsid w:val="001D4D66"/>
    <w:rsid w:val="001D5076"/>
    <w:rsid w:val="001D52BF"/>
    <w:rsid w:val="001D53CD"/>
    <w:rsid w:val="001D54A7"/>
    <w:rsid w:val="001D56F5"/>
    <w:rsid w:val="001D5832"/>
    <w:rsid w:val="001D5990"/>
    <w:rsid w:val="001D5A63"/>
    <w:rsid w:val="001D657F"/>
    <w:rsid w:val="001D663C"/>
    <w:rsid w:val="001D6F7D"/>
    <w:rsid w:val="001D7083"/>
    <w:rsid w:val="001D7364"/>
    <w:rsid w:val="001D7991"/>
    <w:rsid w:val="001D79DB"/>
    <w:rsid w:val="001D7B2A"/>
    <w:rsid w:val="001D7B31"/>
    <w:rsid w:val="001D7C93"/>
    <w:rsid w:val="001E02CC"/>
    <w:rsid w:val="001E0446"/>
    <w:rsid w:val="001E0CFC"/>
    <w:rsid w:val="001E0EE8"/>
    <w:rsid w:val="001E0F8B"/>
    <w:rsid w:val="001E176A"/>
    <w:rsid w:val="001E1A44"/>
    <w:rsid w:val="001E1C7C"/>
    <w:rsid w:val="001E1D6F"/>
    <w:rsid w:val="001E246B"/>
    <w:rsid w:val="001E35DD"/>
    <w:rsid w:val="001E3747"/>
    <w:rsid w:val="001E3A36"/>
    <w:rsid w:val="001E3B49"/>
    <w:rsid w:val="001E3BF1"/>
    <w:rsid w:val="001E3E34"/>
    <w:rsid w:val="001E4440"/>
    <w:rsid w:val="001E4529"/>
    <w:rsid w:val="001E50A0"/>
    <w:rsid w:val="001E52D8"/>
    <w:rsid w:val="001E53C8"/>
    <w:rsid w:val="001E5526"/>
    <w:rsid w:val="001E60DE"/>
    <w:rsid w:val="001E6282"/>
    <w:rsid w:val="001E646E"/>
    <w:rsid w:val="001E67BB"/>
    <w:rsid w:val="001E6867"/>
    <w:rsid w:val="001E689A"/>
    <w:rsid w:val="001E6952"/>
    <w:rsid w:val="001E6E4A"/>
    <w:rsid w:val="001E73FD"/>
    <w:rsid w:val="001E760A"/>
    <w:rsid w:val="001F057E"/>
    <w:rsid w:val="001F05C9"/>
    <w:rsid w:val="001F0BC2"/>
    <w:rsid w:val="001F0C3A"/>
    <w:rsid w:val="001F116E"/>
    <w:rsid w:val="001F1E43"/>
    <w:rsid w:val="001F2290"/>
    <w:rsid w:val="001F2F3B"/>
    <w:rsid w:val="001F312A"/>
    <w:rsid w:val="001F31B9"/>
    <w:rsid w:val="001F339C"/>
    <w:rsid w:val="001F34A4"/>
    <w:rsid w:val="001F3864"/>
    <w:rsid w:val="001F399B"/>
    <w:rsid w:val="001F3BEF"/>
    <w:rsid w:val="001F4228"/>
    <w:rsid w:val="001F44FA"/>
    <w:rsid w:val="001F46C4"/>
    <w:rsid w:val="001F4AB1"/>
    <w:rsid w:val="001F4E0F"/>
    <w:rsid w:val="001F4E4F"/>
    <w:rsid w:val="001F5250"/>
    <w:rsid w:val="001F5308"/>
    <w:rsid w:val="001F56E3"/>
    <w:rsid w:val="001F5713"/>
    <w:rsid w:val="001F5A01"/>
    <w:rsid w:val="001F5E47"/>
    <w:rsid w:val="001F5F8E"/>
    <w:rsid w:val="001F608C"/>
    <w:rsid w:val="001F622E"/>
    <w:rsid w:val="001F65FC"/>
    <w:rsid w:val="001F6C8D"/>
    <w:rsid w:val="001F72B4"/>
    <w:rsid w:val="001F76FB"/>
    <w:rsid w:val="001F7B3A"/>
    <w:rsid w:val="001F7B46"/>
    <w:rsid w:val="001F7C60"/>
    <w:rsid w:val="00200064"/>
    <w:rsid w:val="0020067F"/>
    <w:rsid w:val="0020084A"/>
    <w:rsid w:val="00200BE4"/>
    <w:rsid w:val="0020116D"/>
    <w:rsid w:val="00201B72"/>
    <w:rsid w:val="00201D99"/>
    <w:rsid w:val="00201E49"/>
    <w:rsid w:val="00201F5E"/>
    <w:rsid w:val="002023FC"/>
    <w:rsid w:val="0020269A"/>
    <w:rsid w:val="00202B12"/>
    <w:rsid w:val="00202CDB"/>
    <w:rsid w:val="00202D91"/>
    <w:rsid w:val="00203007"/>
    <w:rsid w:val="0020329D"/>
    <w:rsid w:val="002032D6"/>
    <w:rsid w:val="002035D0"/>
    <w:rsid w:val="0020379F"/>
    <w:rsid w:val="00203FFB"/>
    <w:rsid w:val="002046E4"/>
    <w:rsid w:val="0020473B"/>
    <w:rsid w:val="002047A0"/>
    <w:rsid w:val="00204C63"/>
    <w:rsid w:val="002053EA"/>
    <w:rsid w:val="00205C43"/>
    <w:rsid w:val="00205D64"/>
    <w:rsid w:val="00206387"/>
    <w:rsid w:val="00206520"/>
    <w:rsid w:val="00206A34"/>
    <w:rsid w:val="00206A52"/>
    <w:rsid w:val="00207272"/>
    <w:rsid w:val="0020744B"/>
    <w:rsid w:val="002075B2"/>
    <w:rsid w:val="002077A1"/>
    <w:rsid w:val="0020790E"/>
    <w:rsid w:val="002079E7"/>
    <w:rsid w:val="00207E64"/>
    <w:rsid w:val="0021031C"/>
    <w:rsid w:val="002106FF"/>
    <w:rsid w:val="0021071F"/>
    <w:rsid w:val="0021073D"/>
    <w:rsid w:val="00210800"/>
    <w:rsid w:val="0021089C"/>
    <w:rsid w:val="0021107C"/>
    <w:rsid w:val="002111FA"/>
    <w:rsid w:val="0021135B"/>
    <w:rsid w:val="00211632"/>
    <w:rsid w:val="002117CE"/>
    <w:rsid w:val="00211AA2"/>
    <w:rsid w:val="00212286"/>
    <w:rsid w:val="00212613"/>
    <w:rsid w:val="00212632"/>
    <w:rsid w:val="002126D5"/>
    <w:rsid w:val="002127A8"/>
    <w:rsid w:val="002128EA"/>
    <w:rsid w:val="00213690"/>
    <w:rsid w:val="00213730"/>
    <w:rsid w:val="00213812"/>
    <w:rsid w:val="00213825"/>
    <w:rsid w:val="00213D3F"/>
    <w:rsid w:val="00214A79"/>
    <w:rsid w:val="00214E23"/>
    <w:rsid w:val="00215249"/>
    <w:rsid w:val="00215354"/>
    <w:rsid w:val="0021561E"/>
    <w:rsid w:val="00215AA4"/>
    <w:rsid w:val="00215C3A"/>
    <w:rsid w:val="002165EA"/>
    <w:rsid w:val="00216897"/>
    <w:rsid w:val="00216FE2"/>
    <w:rsid w:val="00217390"/>
    <w:rsid w:val="00217B0B"/>
    <w:rsid w:val="00217B4A"/>
    <w:rsid w:val="00217D12"/>
    <w:rsid w:val="00217E03"/>
    <w:rsid w:val="002201BC"/>
    <w:rsid w:val="002203F3"/>
    <w:rsid w:val="00220642"/>
    <w:rsid w:val="00220A40"/>
    <w:rsid w:val="00220C24"/>
    <w:rsid w:val="00221C42"/>
    <w:rsid w:val="002224BC"/>
    <w:rsid w:val="002224F6"/>
    <w:rsid w:val="0022268C"/>
    <w:rsid w:val="002227A5"/>
    <w:rsid w:val="00222A8C"/>
    <w:rsid w:val="00222B59"/>
    <w:rsid w:val="00223402"/>
    <w:rsid w:val="002234B4"/>
    <w:rsid w:val="002235C3"/>
    <w:rsid w:val="00223CBB"/>
    <w:rsid w:val="00223FCA"/>
    <w:rsid w:val="002242BF"/>
    <w:rsid w:val="002243CB"/>
    <w:rsid w:val="00224630"/>
    <w:rsid w:val="00224CBC"/>
    <w:rsid w:val="002251BA"/>
    <w:rsid w:val="00225376"/>
    <w:rsid w:val="00225589"/>
    <w:rsid w:val="002259FD"/>
    <w:rsid w:val="00225C26"/>
    <w:rsid w:val="00225E26"/>
    <w:rsid w:val="00225F5D"/>
    <w:rsid w:val="0022613E"/>
    <w:rsid w:val="0022696E"/>
    <w:rsid w:val="002269E8"/>
    <w:rsid w:val="00226EF6"/>
    <w:rsid w:val="00227335"/>
    <w:rsid w:val="00227365"/>
    <w:rsid w:val="002277BB"/>
    <w:rsid w:val="002277C9"/>
    <w:rsid w:val="00227B5F"/>
    <w:rsid w:val="00227C72"/>
    <w:rsid w:val="00227DAD"/>
    <w:rsid w:val="0023024B"/>
    <w:rsid w:val="0023025A"/>
    <w:rsid w:val="0023083B"/>
    <w:rsid w:val="00230924"/>
    <w:rsid w:val="0023099E"/>
    <w:rsid w:val="00230D12"/>
    <w:rsid w:val="00230DF2"/>
    <w:rsid w:val="00230E01"/>
    <w:rsid w:val="0023157D"/>
    <w:rsid w:val="00231968"/>
    <w:rsid w:val="00232326"/>
    <w:rsid w:val="002324B1"/>
    <w:rsid w:val="002326F2"/>
    <w:rsid w:val="002329B1"/>
    <w:rsid w:val="00232B44"/>
    <w:rsid w:val="00233244"/>
    <w:rsid w:val="00233AC9"/>
    <w:rsid w:val="00233C12"/>
    <w:rsid w:val="00233DBB"/>
    <w:rsid w:val="00233E66"/>
    <w:rsid w:val="002340AD"/>
    <w:rsid w:val="002340AE"/>
    <w:rsid w:val="002345E8"/>
    <w:rsid w:val="00234C41"/>
    <w:rsid w:val="00234DBB"/>
    <w:rsid w:val="0023538C"/>
    <w:rsid w:val="002353FC"/>
    <w:rsid w:val="00235ED0"/>
    <w:rsid w:val="002360FB"/>
    <w:rsid w:val="00236A7B"/>
    <w:rsid w:val="00237505"/>
    <w:rsid w:val="00237E9B"/>
    <w:rsid w:val="0024032D"/>
    <w:rsid w:val="00240388"/>
    <w:rsid w:val="002405D1"/>
    <w:rsid w:val="002406DE"/>
    <w:rsid w:val="00240EA4"/>
    <w:rsid w:val="002412FE"/>
    <w:rsid w:val="0024133A"/>
    <w:rsid w:val="00241A9C"/>
    <w:rsid w:val="00241B6B"/>
    <w:rsid w:val="00241BA8"/>
    <w:rsid w:val="00241BEE"/>
    <w:rsid w:val="00242358"/>
    <w:rsid w:val="0024243F"/>
    <w:rsid w:val="00242CAC"/>
    <w:rsid w:val="002431CB"/>
    <w:rsid w:val="0024327A"/>
    <w:rsid w:val="002434D9"/>
    <w:rsid w:val="00243E8C"/>
    <w:rsid w:val="002444F2"/>
    <w:rsid w:val="0024486B"/>
    <w:rsid w:val="00244901"/>
    <w:rsid w:val="00244A78"/>
    <w:rsid w:val="00244F72"/>
    <w:rsid w:val="00244F86"/>
    <w:rsid w:val="00244FF0"/>
    <w:rsid w:val="00245136"/>
    <w:rsid w:val="0024514D"/>
    <w:rsid w:val="002453CA"/>
    <w:rsid w:val="002453F8"/>
    <w:rsid w:val="002456EF"/>
    <w:rsid w:val="002456FC"/>
    <w:rsid w:val="002462D1"/>
    <w:rsid w:val="002465AA"/>
    <w:rsid w:val="00246B6D"/>
    <w:rsid w:val="00246F5E"/>
    <w:rsid w:val="0024792F"/>
    <w:rsid w:val="00247BDF"/>
    <w:rsid w:val="002501DB"/>
    <w:rsid w:val="002501E5"/>
    <w:rsid w:val="00250442"/>
    <w:rsid w:val="00250CCA"/>
    <w:rsid w:val="00251141"/>
    <w:rsid w:val="00251456"/>
    <w:rsid w:val="002516C4"/>
    <w:rsid w:val="0025178B"/>
    <w:rsid w:val="00251DEA"/>
    <w:rsid w:val="002522B7"/>
    <w:rsid w:val="0025247A"/>
    <w:rsid w:val="002524F4"/>
    <w:rsid w:val="00252B9B"/>
    <w:rsid w:val="00252BD7"/>
    <w:rsid w:val="00252EBA"/>
    <w:rsid w:val="00252F63"/>
    <w:rsid w:val="0025340C"/>
    <w:rsid w:val="00253720"/>
    <w:rsid w:val="00253A3E"/>
    <w:rsid w:val="00253B44"/>
    <w:rsid w:val="00253F92"/>
    <w:rsid w:val="0025406E"/>
    <w:rsid w:val="0025464C"/>
    <w:rsid w:val="00254937"/>
    <w:rsid w:val="00254D16"/>
    <w:rsid w:val="00255174"/>
    <w:rsid w:val="002554E8"/>
    <w:rsid w:val="00255715"/>
    <w:rsid w:val="002558CC"/>
    <w:rsid w:val="00255D62"/>
    <w:rsid w:val="002562A8"/>
    <w:rsid w:val="00256E17"/>
    <w:rsid w:val="002576A9"/>
    <w:rsid w:val="00257EA2"/>
    <w:rsid w:val="00260258"/>
    <w:rsid w:val="0026070E"/>
    <w:rsid w:val="00260D8A"/>
    <w:rsid w:val="002610A4"/>
    <w:rsid w:val="002613A9"/>
    <w:rsid w:val="00262764"/>
    <w:rsid w:val="00262A14"/>
    <w:rsid w:val="00262BFC"/>
    <w:rsid w:val="00262E46"/>
    <w:rsid w:val="0026309A"/>
    <w:rsid w:val="00263161"/>
    <w:rsid w:val="0026326F"/>
    <w:rsid w:val="00263384"/>
    <w:rsid w:val="002636FE"/>
    <w:rsid w:val="0026385D"/>
    <w:rsid w:val="002639F1"/>
    <w:rsid w:val="00263D19"/>
    <w:rsid w:val="00263DB5"/>
    <w:rsid w:val="00263F02"/>
    <w:rsid w:val="002641F3"/>
    <w:rsid w:val="00264518"/>
    <w:rsid w:val="00264B4F"/>
    <w:rsid w:val="00264B68"/>
    <w:rsid w:val="002650D8"/>
    <w:rsid w:val="00265A9E"/>
    <w:rsid w:val="00265DD2"/>
    <w:rsid w:val="002663AB"/>
    <w:rsid w:val="002664EB"/>
    <w:rsid w:val="00266598"/>
    <w:rsid w:val="002666CD"/>
    <w:rsid w:val="00266931"/>
    <w:rsid w:val="00266C35"/>
    <w:rsid w:val="00266E1E"/>
    <w:rsid w:val="00267C2E"/>
    <w:rsid w:val="00267C2F"/>
    <w:rsid w:val="0027075C"/>
    <w:rsid w:val="0027097C"/>
    <w:rsid w:val="002713B4"/>
    <w:rsid w:val="0027168D"/>
    <w:rsid w:val="002718CA"/>
    <w:rsid w:val="00271FB4"/>
    <w:rsid w:val="0027230B"/>
    <w:rsid w:val="00272632"/>
    <w:rsid w:val="002728F9"/>
    <w:rsid w:val="00272A2A"/>
    <w:rsid w:val="0027335F"/>
    <w:rsid w:val="00273553"/>
    <w:rsid w:val="0027367A"/>
    <w:rsid w:val="00273874"/>
    <w:rsid w:val="00273E0B"/>
    <w:rsid w:val="0027443E"/>
    <w:rsid w:val="002744AF"/>
    <w:rsid w:val="00274601"/>
    <w:rsid w:val="00274BA8"/>
    <w:rsid w:val="00275130"/>
    <w:rsid w:val="0027549C"/>
    <w:rsid w:val="00275B61"/>
    <w:rsid w:val="00275E3B"/>
    <w:rsid w:val="00276BD9"/>
    <w:rsid w:val="002772E0"/>
    <w:rsid w:val="00277915"/>
    <w:rsid w:val="00277A21"/>
    <w:rsid w:val="00277A8C"/>
    <w:rsid w:val="00280068"/>
    <w:rsid w:val="002800FB"/>
    <w:rsid w:val="0028017F"/>
    <w:rsid w:val="002805B5"/>
    <w:rsid w:val="0028076C"/>
    <w:rsid w:val="002808A6"/>
    <w:rsid w:val="00280E7D"/>
    <w:rsid w:val="00280FF7"/>
    <w:rsid w:val="0028132C"/>
    <w:rsid w:val="00281387"/>
    <w:rsid w:val="00281722"/>
    <w:rsid w:val="002819A2"/>
    <w:rsid w:val="00281A97"/>
    <w:rsid w:val="00281DC8"/>
    <w:rsid w:val="00282280"/>
    <w:rsid w:val="0028230B"/>
    <w:rsid w:val="00282915"/>
    <w:rsid w:val="00282C13"/>
    <w:rsid w:val="002840F4"/>
    <w:rsid w:val="00284223"/>
    <w:rsid w:val="00284A76"/>
    <w:rsid w:val="00284D4A"/>
    <w:rsid w:val="00285597"/>
    <w:rsid w:val="00285954"/>
    <w:rsid w:val="00285B06"/>
    <w:rsid w:val="00285F80"/>
    <w:rsid w:val="0028622A"/>
    <w:rsid w:val="00286553"/>
    <w:rsid w:val="0028672F"/>
    <w:rsid w:val="00286B29"/>
    <w:rsid w:val="00286D91"/>
    <w:rsid w:val="00287006"/>
    <w:rsid w:val="00287683"/>
    <w:rsid w:val="00287728"/>
    <w:rsid w:val="002877BB"/>
    <w:rsid w:val="0028796B"/>
    <w:rsid w:val="00287B6E"/>
    <w:rsid w:val="00287EDF"/>
    <w:rsid w:val="00287FEC"/>
    <w:rsid w:val="00290454"/>
    <w:rsid w:val="00290592"/>
    <w:rsid w:val="002907BC"/>
    <w:rsid w:val="00290BF9"/>
    <w:rsid w:val="00290E1B"/>
    <w:rsid w:val="00291564"/>
    <w:rsid w:val="002915B1"/>
    <w:rsid w:val="002919CC"/>
    <w:rsid w:val="00292F5E"/>
    <w:rsid w:val="00293177"/>
    <w:rsid w:val="002932DD"/>
    <w:rsid w:val="00293432"/>
    <w:rsid w:val="0029374E"/>
    <w:rsid w:val="00293D1B"/>
    <w:rsid w:val="002949B4"/>
    <w:rsid w:val="00294C45"/>
    <w:rsid w:val="00294C5B"/>
    <w:rsid w:val="00294F75"/>
    <w:rsid w:val="002953F7"/>
    <w:rsid w:val="002957CD"/>
    <w:rsid w:val="00295F12"/>
    <w:rsid w:val="002963E0"/>
    <w:rsid w:val="00296600"/>
    <w:rsid w:val="00296703"/>
    <w:rsid w:val="00296C02"/>
    <w:rsid w:val="00296DF9"/>
    <w:rsid w:val="0029712C"/>
    <w:rsid w:val="00297225"/>
    <w:rsid w:val="0029759C"/>
    <w:rsid w:val="002975F6"/>
    <w:rsid w:val="00297BFD"/>
    <w:rsid w:val="00297C73"/>
    <w:rsid w:val="00297D44"/>
    <w:rsid w:val="00297DC9"/>
    <w:rsid w:val="002A0267"/>
    <w:rsid w:val="002A04A0"/>
    <w:rsid w:val="002A04F5"/>
    <w:rsid w:val="002A050E"/>
    <w:rsid w:val="002A05EC"/>
    <w:rsid w:val="002A08C5"/>
    <w:rsid w:val="002A0E16"/>
    <w:rsid w:val="002A12C1"/>
    <w:rsid w:val="002A16A0"/>
    <w:rsid w:val="002A18E3"/>
    <w:rsid w:val="002A2396"/>
    <w:rsid w:val="002A272C"/>
    <w:rsid w:val="002A2B88"/>
    <w:rsid w:val="002A3781"/>
    <w:rsid w:val="002A3DD6"/>
    <w:rsid w:val="002A448B"/>
    <w:rsid w:val="002A4546"/>
    <w:rsid w:val="002A4806"/>
    <w:rsid w:val="002A49C3"/>
    <w:rsid w:val="002A53C9"/>
    <w:rsid w:val="002A5556"/>
    <w:rsid w:val="002A56AA"/>
    <w:rsid w:val="002A57D7"/>
    <w:rsid w:val="002A5824"/>
    <w:rsid w:val="002A5E54"/>
    <w:rsid w:val="002A74DE"/>
    <w:rsid w:val="002A7558"/>
    <w:rsid w:val="002A781F"/>
    <w:rsid w:val="002A7857"/>
    <w:rsid w:val="002A7963"/>
    <w:rsid w:val="002A7965"/>
    <w:rsid w:val="002A7CF1"/>
    <w:rsid w:val="002A7FED"/>
    <w:rsid w:val="002B020C"/>
    <w:rsid w:val="002B11E5"/>
    <w:rsid w:val="002B1233"/>
    <w:rsid w:val="002B1476"/>
    <w:rsid w:val="002B16CE"/>
    <w:rsid w:val="002B171A"/>
    <w:rsid w:val="002B1CB1"/>
    <w:rsid w:val="002B1F5C"/>
    <w:rsid w:val="002B2059"/>
    <w:rsid w:val="002B2290"/>
    <w:rsid w:val="002B2511"/>
    <w:rsid w:val="002B2754"/>
    <w:rsid w:val="002B2B4C"/>
    <w:rsid w:val="002B310B"/>
    <w:rsid w:val="002B3601"/>
    <w:rsid w:val="002B3AAD"/>
    <w:rsid w:val="002B3BEC"/>
    <w:rsid w:val="002B44DF"/>
    <w:rsid w:val="002B4AE2"/>
    <w:rsid w:val="002B4B21"/>
    <w:rsid w:val="002B4D69"/>
    <w:rsid w:val="002B5262"/>
    <w:rsid w:val="002B52E8"/>
    <w:rsid w:val="002B53FD"/>
    <w:rsid w:val="002B5435"/>
    <w:rsid w:val="002B5690"/>
    <w:rsid w:val="002B5F8A"/>
    <w:rsid w:val="002B6076"/>
    <w:rsid w:val="002B6280"/>
    <w:rsid w:val="002B655A"/>
    <w:rsid w:val="002B65F8"/>
    <w:rsid w:val="002B660D"/>
    <w:rsid w:val="002B6668"/>
    <w:rsid w:val="002B68AE"/>
    <w:rsid w:val="002B6954"/>
    <w:rsid w:val="002B6AAD"/>
    <w:rsid w:val="002B6BA7"/>
    <w:rsid w:val="002B6E0A"/>
    <w:rsid w:val="002B6E1E"/>
    <w:rsid w:val="002B6EA8"/>
    <w:rsid w:val="002B6F3E"/>
    <w:rsid w:val="002B7DF2"/>
    <w:rsid w:val="002B7EFE"/>
    <w:rsid w:val="002B7F07"/>
    <w:rsid w:val="002C0164"/>
    <w:rsid w:val="002C0A03"/>
    <w:rsid w:val="002C0AC9"/>
    <w:rsid w:val="002C101A"/>
    <w:rsid w:val="002C1542"/>
    <w:rsid w:val="002C1F52"/>
    <w:rsid w:val="002C24B7"/>
    <w:rsid w:val="002C2AC3"/>
    <w:rsid w:val="002C2F4C"/>
    <w:rsid w:val="002C2F8A"/>
    <w:rsid w:val="002C3BDE"/>
    <w:rsid w:val="002C3DEF"/>
    <w:rsid w:val="002C3EB5"/>
    <w:rsid w:val="002C4248"/>
    <w:rsid w:val="002C4567"/>
    <w:rsid w:val="002C456C"/>
    <w:rsid w:val="002C46E3"/>
    <w:rsid w:val="002C5074"/>
    <w:rsid w:val="002C52D1"/>
    <w:rsid w:val="002C55B2"/>
    <w:rsid w:val="002C56E1"/>
    <w:rsid w:val="002C584A"/>
    <w:rsid w:val="002C5993"/>
    <w:rsid w:val="002C59E4"/>
    <w:rsid w:val="002C5ED9"/>
    <w:rsid w:val="002C5FDE"/>
    <w:rsid w:val="002C617E"/>
    <w:rsid w:val="002C6285"/>
    <w:rsid w:val="002C65A6"/>
    <w:rsid w:val="002C65AE"/>
    <w:rsid w:val="002C68E5"/>
    <w:rsid w:val="002C6B82"/>
    <w:rsid w:val="002C6D07"/>
    <w:rsid w:val="002C6EA4"/>
    <w:rsid w:val="002C719A"/>
    <w:rsid w:val="002C749E"/>
    <w:rsid w:val="002C78E7"/>
    <w:rsid w:val="002C7C3D"/>
    <w:rsid w:val="002D03F0"/>
    <w:rsid w:val="002D09BD"/>
    <w:rsid w:val="002D09E2"/>
    <w:rsid w:val="002D0F8C"/>
    <w:rsid w:val="002D148C"/>
    <w:rsid w:val="002D14CF"/>
    <w:rsid w:val="002D1860"/>
    <w:rsid w:val="002D1CCE"/>
    <w:rsid w:val="002D1DFA"/>
    <w:rsid w:val="002D1E23"/>
    <w:rsid w:val="002D1EEA"/>
    <w:rsid w:val="002D2026"/>
    <w:rsid w:val="002D322E"/>
    <w:rsid w:val="002D33B4"/>
    <w:rsid w:val="002D36F5"/>
    <w:rsid w:val="002D3700"/>
    <w:rsid w:val="002D38B4"/>
    <w:rsid w:val="002D4203"/>
    <w:rsid w:val="002D4A55"/>
    <w:rsid w:val="002D4A96"/>
    <w:rsid w:val="002D548C"/>
    <w:rsid w:val="002D54C3"/>
    <w:rsid w:val="002D5A50"/>
    <w:rsid w:val="002D5C8D"/>
    <w:rsid w:val="002D5E1C"/>
    <w:rsid w:val="002D7195"/>
    <w:rsid w:val="002D7207"/>
    <w:rsid w:val="002D72A9"/>
    <w:rsid w:val="002D74F5"/>
    <w:rsid w:val="002E10D5"/>
    <w:rsid w:val="002E1179"/>
    <w:rsid w:val="002E1221"/>
    <w:rsid w:val="002E1328"/>
    <w:rsid w:val="002E157A"/>
    <w:rsid w:val="002E1587"/>
    <w:rsid w:val="002E1668"/>
    <w:rsid w:val="002E17A9"/>
    <w:rsid w:val="002E182E"/>
    <w:rsid w:val="002E18A6"/>
    <w:rsid w:val="002E1C4D"/>
    <w:rsid w:val="002E1DC8"/>
    <w:rsid w:val="002E1E07"/>
    <w:rsid w:val="002E1E5D"/>
    <w:rsid w:val="002E2B9F"/>
    <w:rsid w:val="002E34FB"/>
    <w:rsid w:val="002E35BF"/>
    <w:rsid w:val="002E3CB3"/>
    <w:rsid w:val="002E4308"/>
    <w:rsid w:val="002E434E"/>
    <w:rsid w:val="002E4395"/>
    <w:rsid w:val="002E47CF"/>
    <w:rsid w:val="002E488F"/>
    <w:rsid w:val="002E4950"/>
    <w:rsid w:val="002E5077"/>
    <w:rsid w:val="002E5086"/>
    <w:rsid w:val="002E5702"/>
    <w:rsid w:val="002E59A8"/>
    <w:rsid w:val="002E612E"/>
    <w:rsid w:val="002E616A"/>
    <w:rsid w:val="002E64D2"/>
    <w:rsid w:val="002E654C"/>
    <w:rsid w:val="002E6720"/>
    <w:rsid w:val="002E6765"/>
    <w:rsid w:val="002E6876"/>
    <w:rsid w:val="002E68A9"/>
    <w:rsid w:val="002E6A1A"/>
    <w:rsid w:val="002E6F4E"/>
    <w:rsid w:val="002E7072"/>
    <w:rsid w:val="002E7B3C"/>
    <w:rsid w:val="002E7DD4"/>
    <w:rsid w:val="002E7F09"/>
    <w:rsid w:val="002F00F1"/>
    <w:rsid w:val="002F01D5"/>
    <w:rsid w:val="002F0BCF"/>
    <w:rsid w:val="002F12D8"/>
    <w:rsid w:val="002F14CD"/>
    <w:rsid w:val="002F1B94"/>
    <w:rsid w:val="002F1C79"/>
    <w:rsid w:val="002F1C93"/>
    <w:rsid w:val="002F1FE5"/>
    <w:rsid w:val="002F26DB"/>
    <w:rsid w:val="002F28C4"/>
    <w:rsid w:val="002F2939"/>
    <w:rsid w:val="002F3554"/>
    <w:rsid w:val="002F3776"/>
    <w:rsid w:val="002F3842"/>
    <w:rsid w:val="002F3A58"/>
    <w:rsid w:val="002F42BE"/>
    <w:rsid w:val="002F491C"/>
    <w:rsid w:val="002F556D"/>
    <w:rsid w:val="002F5BB5"/>
    <w:rsid w:val="002F5C3B"/>
    <w:rsid w:val="002F5CFA"/>
    <w:rsid w:val="002F5FB4"/>
    <w:rsid w:val="002F68D3"/>
    <w:rsid w:val="002F726A"/>
    <w:rsid w:val="002F7737"/>
    <w:rsid w:val="002F7783"/>
    <w:rsid w:val="002F7969"/>
    <w:rsid w:val="002F7A05"/>
    <w:rsid w:val="002F7C5A"/>
    <w:rsid w:val="002F7E2D"/>
    <w:rsid w:val="00300017"/>
    <w:rsid w:val="003000FD"/>
    <w:rsid w:val="0030048F"/>
    <w:rsid w:val="00300F7E"/>
    <w:rsid w:val="00301277"/>
    <w:rsid w:val="00301B5D"/>
    <w:rsid w:val="00302157"/>
    <w:rsid w:val="0030280D"/>
    <w:rsid w:val="00302B77"/>
    <w:rsid w:val="00302EC2"/>
    <w:rsid w:val="0030329A"/>
    <w:rsid w:val="00303872"/>
    <w:rsid w:val="0030396E"/>
    <w:rsid w:val="00303CB0"/>
    <w:rsid w:val="00303DB6"/>
    <w:rsid w:val="00303E11"/>
    <w:rsid w:val="003044AC"/>
    <w:rsid w:val="00304AAB"/>
    <w:rsid w:val="00304AAC"/>
    <w:rsid w:val="00304B1D"/>
    <w:rsid w:val="00305020"/>
    <w:rsid w:val="00305212"/>
    <w:rsid w:val="0030671B"/>
    <w:rsid w:val="00306885"/>
    <w:rsid w:val="0030694B"/>
    <w:rsid w:val="00306E0C"/>
    <w:rsid w:val="0030780E"/>
    <w:rsid w:val="003079CF"/>
    <w:rsid w:val="00307A27"/>
    <w:rsid w:val="00307AD8"/>
    <w:rsid w:val="00307B53"/>
    <w:rsid w:val="00310041"/>
    <w:rsid w:val="00310371"/>
    <w:rsid w:val="003104E0"/>
    <w:rsid w:val="00310932"/>
    <w:rsid w:val="00310EA8"/>
    <w:rsid w:val="0031130D"/>
    <w:rsid w:val="00311514"/>
    <w:rsid w:val="00311515"/>
    <w:rsid w:val="003116CA"/>
    <w:rsid w:val="00311903"/>
    <w:rsid w:val="00311AC4"/>
    <w:rsid w:val="00311F55"/>
    <w:rsid w:val="0031208F"/>
    <w:rsid w:val="00312364"/>
    <w:rsid w:val="003125A4"/>
    <w:rsid w:val="003128F3"/>
    <w:rsid w:val="00312980"/>
    <w:rsid w:val="00312E56"/>
    <w:rsid w:val="0031336B"/>
    <w:rsid w:val="0031340F"/>
    <w:rsid w:val="00313861"/>
    <w:rsid w:val="00313B45"/>
    <w:rsid w:val="00313EFF"/>
    <w:rsid w:val="00313F7E"/>
    <w:rsid w:val="00314148"/>
    <w:rsid w:val="00314B6E"/>
    <w:rsid w:val="00314C8B"/>
    <w:rsid w:val="0031513C"/>
    <w:rsid w:val="00315533"/>
    <w:rsid w:val="0031584E"/>
    <w:rsid w:val="00315877"/>
    <w:rsid w:val="00315C94"/>
    <w:rsid w:val="003165D7"/>
    <w:rsid w:val="003168FA"/>
    <w:rsid w:val="0031723E"/>
    <w:rsid w:val="003172FA"/>
    <w:rsid w:val="003174AC"/>
    <w:rsid w:val="00317562"/>
    <w:rsid w:val="00317AAE"/>
    <w:rsid w:val="00317ABF"/>
    <w:rsid w:val="00320A62"/>
    <w:rsid w:val="00320B8C"/>
    <w:rsid w:val="00321523"/>
    <w:rsid w:val="0032154D"/>
    <w:rsid w:val="00321EE4"/>
    <w:rsid w:val="003227FD"/>
    <w:rsid w:val="00322A5B"/>
    <w:rsid w:val="0032318F"/>
    <w:rsid w:val="00323993"/>
    <w:rsid w:val="00323C28"/>
    <w:rsid w:val="00323D18"/>
    <w:rsid w:val="003240A8"/>
    <w:rsid w:val="003246F3"/>
    <w:rsid w:val="00324C38"/>
    <w:rsid w:val="00324FDA"/>
    <w:rsid w:val="003252A1"/>
    <w:rsid w:val="00325307"/>
    <w:rsid w:val="00325408"/>
    <w:rsid w:val="003255A8"/>
    <w:rsid w:val="003255E8"/>
    <w:rsid w:val="00325A5F"/>
    <w:rsid w:val="00325E9D"/>
    <w:rsid w:val="003268BE"/>
    <w:rsid w:val="00326CC2"/>
    <w:rsid w:val="00326D8F"/>
    <w:rsid w:val="003274B6"/>
    <w:rsid w:val="0032774B"/>
    <w:rsid w:val="0032783A"/>
    <w:rsid w:val="003278B6"/>
    <w:rsid w:val="00327ABF"/>
    <w:rsid w:val="00327DDB"/>
    <w:rsid w:val="003301CC"/>
    <w:rsid w:val="0033035D"/>
    <w:rsid w:val="003310A6"/>
    <w:rsid w:val="003312A4"/>
    <w:rsid w:val="0033143F"/>
    <w:rsid w:val="003315CD"/>
    <w:rsid w:val="0033171F"/>
    <w:rsid w:val="00331D07"/>
    <w:rsid w:val="00331D11"/>
    <w:rsid w:val="0033217C"/>
    <w:rsid w:val="003321E5"/>
    <w:rsid w:val="00332381"/>
    <w:rsid w:val="003325B3"/>
    <w:rsid w:val="0033281C"/>
    <w:rsid w:val="003328E7"/>
    <w:rsid w:val="003330A3"/>
    <w:rsid w:val="003330E8"/>
    <w:rsid w:val="00333234"/>
    <w:rsid w:val="0033343B"/>
    <w:rsid w:val="003336A8"/>
    <w:rsid w:val="00333AF8"/>
    <w:rsid w:val="00333CC7"/>
    <w:rsid w:val="00334176"/>
    <w:rsid w:val="00334291"/>
    <w:rsid w:val="003342DD"/>
    <w:rsid w:val="003348FF"/>
    <w:rsid w:val="00334C44"/>
    <w:rsid w:val="00335743"/>
    <w:rsid w:val="003362DE"/>
    <w:rsid w:val="00336334"/>
    <w:rsid w:val="00336410"/>
    <w:rsid w:val="0033711A"/>
    <w:rsid w:val="00337356"/>
    <w:rsid w:val="00337507"/>
    <w:rsid w:val="00337734"/>
    <w:rsid w:val="00337A5B"/>
    <w:rsid w:val="00337C27"/>
    <w:rsid w:val="00337D30"/>
    <w:rsid w:val="003402DE"/>
    <w:rsid w:val="00340AB2"/>
    <w:rsid w:val="00340C7C"/>
    <w:rsid w:val="00340D15"/>
    <w:rsid w:val="00340F6C"/>
    <w:rsid w:val="00341379"/>
    <w:rsid w:val="00341A15"/>
    <w:rsid w:val="00341F15"/>
    <w:rsid w:val="0034209C"/>
    <w:rsid w:val="00342349"/>
    <w:rsid w:val="00342A43"/>
    <w:rsid w:val="00342C6C"/>
    <w:rsid w:val="00343627"/>
    <w:rsid w:val="00343912"/>
    <w:rsid w:val="00343938"/>
    <w:rsid w:val="003441DD"/>
    <w:rsid w:val="0034440A"/>
    <w:rsid w:val="00344589"/>
    <w:rsid w:val="00344C7B"/>
    <w:rsid w:val="00344E5A"/>
    <w:rsid w:val="003453DF"/>
    <w:rsid w:val="0034699F"/>
    <w:rsid w:val="00347174"/>
    <w:rsid w:val="0034726A"/>
    <w:rsid w:val="0034781D"/>
    <w:rsid w:val="00347D4C"/>
    <w:rsid w:val="00347E6C"/>
    <w:rsid w:val="00347FC8"/>
    <w:rsid w:val="003506C0"/>
    <w:rsid w:val="00350B2C"/>
    <w:rsid w:val="00350BCE"/>
    <w:rsid w:val="00350C72"/>
    <w:rsid w:val="00350DED"/>
    <w:rsid w:val="00350FF3"/>
    <w:rsid w:val="0035105F"/>
    <w:rsid w:val="00351164"/>
    <w:rsid w:val="003515B7"/>
    <w:rsid w:val="003519A7"/>
    <w:rsid w:val="00351A4F"/>
    <w:rsid w:val="00351AFF"/>
    <w:rsid w:val="00351CE3"/>
    <w:rsid w:val="00351CF8"/>
    <w:rsid w:val="00352157"/>
    <w:rsid w:val="00352351"/>
    <w:rsid w:val="00352C8F"/>
    <w:rsid w:val="0035385E"/>
    <w:rsid w:val="003538B8"/>
    <w:rsid w:val="00354186"/>
    <w:rsid w:val="00354A2C"/>
    <w:rsid w:val="003551F8"/>
    <w:rsid w:val="0035522A"/>
    <w:rsid w:val="0035546B"/>
    <w:rsid w:val="003554A5"/>
    <w:rsid w:val="00355802"/>
    <w:rsid w:val="00355A1F"/>
    <w:rsid w:val="00355CC0"/>
    <w:rsid w:val="00355E59"/>
    <w:rsid w:val="00355ED6"/>
    <w:rsid w:val="0035611C"/>
    <w:rsid w:val="0035716A"/>
    <w:rsid w:val="00357193"/>
    <w:rsid w:val="003571D6"/>
    <w:rsid w:val="003573D9"/>
    <w:rsid w:val="0035745B"/>
    <w:rsid w:val="0035748E"/>
    <w:rsid w:val="00357784"/>
    <w:rsid w:val="00357B2E"/>
    <w:rsid w:val="00360164"/>
    <w:rsid w:val="00360259"/>
    <w:rsid w:val="0036043E"/>
    <w:rsid w:val="00360600"/>
    <w:rsid w:val="003611CB"/>
    <w:rsid w:val="00361210"/>
    <w:rsid w:val="00361365"/>
    <w:rsid w:val="003617FE"/>
    <w:rsid w:val="00361C0F"/>
    <w:rsid w:val="003623EA"/>
    <w:rsid w:val="00362C1E"/>
    <w:rsid w:val="00362E37"/>
    <w:rsid w:val="00363CA4"/>
    <w:rsid w:val="00363FF2"/>
    <w:rsid w:val="0036416F"/>
    <w:rsid w:val="003642A1"/>
    <w:rsid w:val="00364303"/>
    <w:rsid w:val="00364320"/>
    <w:rsid w:val="0036455B"/>
    <w:rsid w:val="00364805"/>
    <w:rsid w:val="00364D3F"/>
    <w:rsid w:val="00364D4D"/>
    <w:rsid w:val="00364E94"/>
    <w:rsid w:val="003660CF"/>
    <w:rsid w:val="00366169"/>
    <w:rsid w:val="003661F8"/>
    <w:rsid w:val="003665A7"/>
    <w:rsid w:val="00366F7C"/>
    <w:rsid w:val="00366F8A"/>
    <w:rsid w:val="00367222"/>
    <w:rsid w:val="00367632"/>
    <w:rsid w:val="0036780D"/>
    <w:rsid w:val="00367D5D"/>
    <w:rsid w:val="00367D69"/>
    <w:rsid w:val="00367E01"/>
    <w:rsid w:val="003705B4"/>
    <w:rsid w:val="003709EF"/>
    <w:rsid w:val="00370C48"/>
    <w:rsid w:val="00371887"/>
    <w:rsid w:val="003722C7"/>
    <w:rsid w:val="003722CF"/>
    <w:rsid w:val="00372422"/>
    <w:rsid w:val="003726AD"/>
    <w:rsid w:val="003727FE"/>
    <w:rsid w:val="00372871"/>
    <w:rsid w:val="00372EFB"/>
    <w:rsid w:val="0037311B"/>
    <w:rsid w:val="00373122"/>
    <w:rsid w:val="00373A1C"/>
    <w:rsid w:val="00373AA9"/>
    <w:rsid w:val="00373C2C"/>
    <w:rsid w:val="00373E1F"/>
    <w:rsid w:val="00373F18"/>
    <w:rsid w:val="003741BA"/>
    <w:rsid w:val="0037455A"/>
    <w:rsid w:val="00374ABA"/>
    <w:rsid w:val="00374B89"/>
    <w:rsid w:val="0037521F"/>
    <w:rsid w:val="0037536F"/>
    <w:rsid w:val="00375461"/>
    <w:rsid w:val="00375B49"/>
    <w:rsid w:val="00375EF4"/>
    <w:rsid w:val="00375F3F"/>
    <w:rsid w:val="003771EA"/>
    <w:rsid w:val="00377497"/>
    <w:rsid w:val="003776E8"/>
    <w:rsid w:val="00377BE1"/>
    <w:rsid w:val="00380041"/>
    <w:rsid w:val="00380892"/>
    <w:rsid w:val="00380938"/>
    <w:rsid w:val="00380A98"/>
    <w:rsid w:val="00380FF7"/>
    <w:rsid w:val="00381010"/>
    <w:rsid w:val="003811EB"/>
    <w:rsid w:val="00381750"/>
    <w:rsid w:val="003819C6"/>
    <w:rsid w:val="00381A07"/>
    <w:rsid w:val="00381D3D"/>
    <w:rsid w:val="0038208F"/>
    <w:rsid w:val="00382281"/>
    <w:rsid w:val="003825EB"/>
    <w:rsid w:val="003827E5"/>
    <w:rsid w:val="003828C2"/>
    <w:rsid w:val="00382BCA"/>
    <w:rsid w:val="00382D71"/>
    <w:rsid w:val="00383D50"/>
    <w:rsid w:val="003842ED"/>
    <w:rsid w:val="003845FF"/>
    <w:rsid w:val="00384871"/>
    <w:rsid w:val="00384BB0"/>
    <w:rsid w:val="00384C87"/>
    <w:rsid w:val="00384EF7"/>
    <w:rsid w:val="00385120"/>
    <w:rsid w:val="00385385"/>
    <w:rsid w:val="003853AD"/>
    <w:rsid w:val="00385911"/>
    <w:rsid w:val="00385943"/>
    <w:rsid w:val="00385EA8"/>
    <w:rsid w:val="00385F4E"/>
    <w:rsid w:val="003860C6"/>
    <w:rsid w:val="00386568"/>
    <w:rsid w:val="00386589"/>
    <w:rsid w:val="0038673D"/>
    <w:rsid w:val="0038676C"/>
    <w:rsid w:val="00386AA3"/>
    <w:rsid w:val="00386BD1"/>
    <w:rsid w:val="00387294"/>
    <w:rsid w:val="00387667"/>
    <w:rsid w:val="00387705"/>
    <w:rsid w:val="00387734"/>
    <w:rsid w:val="0038774B"/>
    <w:rsid w:val="003877F8"/>
    <w:rsid w:val="00390777"/>
    <w:rsid w:val="003909F2"/>
    <w:rsid w:val="00390DEC"/>
    <w:rsid w:val="00390EBF"/>
    <w:rsid w:val="0039140A"/>
    <w:rsid w:val="00391452"/>
    <w:rsid w:val="00391919"/>
    <w:rsid w:val="0039197D"/>
    <w:rsid w:val="00391A0C"/>
    <w:rsid w:val="00391A9C"/>
    <w:rsid w:val="00391C4A"/>
    <w:rsid w:val="00392263"/>
    <w:rsid w:val="003924C4"/>
    <w:rsid w:val="003924FD"/>
    <w:rsid w:val="003925A2"/>
    <w:rsid w:val="00392763"/>
    <w:rsid w:val="00392B37"/>
    <w:rsid w:val="00392C53"/>
    <w:rsid w:val="003934FB"/>
    <w:rsid w:val="003938D1"/>
    <w:rsid w:val="0039402D"/>
    <w:rsid w:val="0039404D"/>
    <w:rsid w:val="003941FF"/>
    <w:rsid w:val="00394653"/>
    <w:rsid w:val="0039486B"/>
    <w:rsid w:val="00394A0A"/>
    <w:rsid w:val="00394B49"/>
    <w:rsid w:val="00395114"/>
    <w:rsid w:val="00395193"/>
    <w:rsid w:val="0039531B"/>
    <w:rsid w:val="0039584C"/>
    <w:rsid w:val="00395B36"/>
    <w:rsid w:val="00395D3F"/>
    <w:rsid w:val="003960FB"/>
    <w:rsid w:val="0039658B"/>
    <w:rsid w:val="00396762"/>
    <w:rsid w:val="00396920"/>
    <w:rsid w:val="00396CA9"/>
    <w:rsid w:val="0039702F"/>
    <w:rsid w:val="00397462"/>
    <w:rsid w:val="0039755E"/>
    <w:rsid w:val="003A022B"/>
    <w:rsid w:val="003A04D2"/>
    <w:rsid w:val="003A04D5"/>
    <w:rsid w:val="003A0732"/>
    <w:rsid w:val="003A13E2"/>
    <w:rsid w:val="003A1731"/>
    <w:rsid w:val="003A1C92"/>
    <w:rsid w:val="003A1D90"/>
    <w:rsid w:val="003A1E1B"/>
    <w:rsid w:val="003A1FEA"/>
    <w:rsid w:val="003A2216"/>
    <w:rsid w:val="003A278A"/>
    <w:rsid w:val="003A2AF7"/>
    <w:rsid w:val="003A2DFC"/>
    <w:rsid w:val="003A2F54"/>
    <w:rsid w:val="003A3129"/>
    <w:rsid w:val="003A3E4C"/>
    <w:rsid w:val="003A4647"/>
    <w:rsid w:val="003A4B98"/>
    <w:rsid w:val="003A4E55"/>
    <w:rsid w:val="003A51A0"/>
    <w:rsid w:val="003A559E"/>
    <w:rsid w:val="003A56CD"/>
    <w:rsid w:val="003A5913"/>
    <w:rsid w:val="003A5960"/>
    <w:rsid w:val="003A5970"/>
    <w:rsid w:val="003A59BB"/>
    <w:rsid w:val="003A59BE"/>
    <w:rsid w:val="003A6061"/>
    <w:rsid w:val="003A63F0"/>
    <w:rsid w:val="003A6CE0"/>
    <w:rsid w:val="003A6D1E"/>
    <w:rsid w:val="003A6E6F"/>
    <w:rsid w:val="003A6F5D"/>
    <w:rsid w:val="003A7107"/>
    <w:rsid w:val="003A7171"/>
    <w:rsid w:val="003A7A9C"/>
    <w:rsid w:val="003A7B49"/>
    <w:rsid w:val="003A7D22"/>
    <w:rsid w:val="003B0449"/>
    <w:rsid w:val="003B0854"/>
    <w:rsid w:val="003B0CE2"/>
    <w:rsid w:val="003B1011"/>
    <w:rsid w:val="003B1020"/>
    <w:rsid w:val="003B1888"/>
    <w:rsid w:val="003B1EE9"/>
    <w:rsid w:val="003B1F94"/>
    <w:rsid w:val="003B252E"/>
    <w:rsid w:val="003B2DEC"/>
    <w:rsid w:val="003B3401"/>
    <w:rsid w:val="003B3911"/>
    <w:rsid w:val="003B3BED"/>
    <w:rsid w:val="003B3C1F"/>
    <w:rsid w:val="003B3FC9"/>
    <w:rsid w:val="003B400B"/>
    <w:rsid w:val="003B43B1"/>
    <w:rsid w:val="003B43D0"/>
    <w:rsid w:val="003B43EA"/>
    <w:rsid w:val="003B467A"/>
    <w:rsid w:val="003B46CF"/>
    <w:rsid w:val="003B492A"/>
    <w:rsid w:val="003B4A6F"/>
    <w:rsid w:val="003B51A2"/>
    <w:rsid w:val="003B540B"/>
    <w:rsid w:val="003B5657"/>
    <w:rsid w:val="003B5AA4"/>
    <w:rsid w:val="003B5AAE"/>
    <w:rsid w:val="003B5EF3"/>
    <w:rsid w:val="003B5F77"/>
    <w:rsid w:val="003B613D"/>
    <w:rsid w:val="003B6514"/>
    <w:rsid w:val="003B6660"/>
    <w:rsid w:val="003B6D66"/>
    <w:rsid w:val="003B6E7D"/>
    <w:rsid w:val="003B6F06"/>
    <w:rsid w:val="003B7386"/>
    <w:rsid w:val="003B7B96"/>
    <w:rsid w:val="003C00C5"/>
    <w:rsid w:val="003C0590"/>
    <w:rsid w:val="003C064F"/>
    <w:rsid w:val="003C06C3"/>
    <w:rsid w:val="003C10EA"/>
    <w:rsid w:val="003C1700"/>
    <w:rsid w:val="003C1A96"/>
    <w:rsid w:val="003C1B92"/>
    <w:rsid w:val="003C1C53"/>
    <w:rsid w:val="003C1E31"/>
    <w:rsid w:val="003C2584"/>
    <w:rsid w:val="003C268E"/>
    <w:rsid w:val="003C2AA8"/>
    <w:rsid w:val="003C2DB0"/>
    <w:rsid w:val="003C31B6"/>
    <w:rsid w:val="003C38F1"/>
    <w:rsid w:val="003C3980"/>
    <w:rsid w:val="003C3D3E"/>
    <w:rsid w:val="003C3DAF"/>
    <w:rsid w:val="003C4129"/>
    <w:rsid w:val="003C4D44"/>
    <w:rsid w:val="003C4F97"/>
    <w:rsid w:val="003C51E1"/>
    <w:rsid w:val="003C543A"/>
    <w:rsid w:val="003C5543"/>
    <w:rsid w:val="003C5B84"/>
    <w:rsid w:val="003C5D35"/>
    <w:rsid w:val="003C5DA1"/>
    <w:rsid w:val="003C5F25"/>
    <w:rsid w:val="003C6701"/>
    <w:rsid w:val="003C6879"/>
    <w:rsid w:val="003C6CB3"/>
    <w:rsid w:val="003C6CC7"/>
    <w:rsid w:val="003C6D3F"/>
    <w:rsid w:val="003C6FBB"/>
    <w:rsid w:val="003C71C2"/>
    <w:rsid w:val="003C7267"/>
    <w:rsid w:val="003C79B6"/>
    <w:rsid w:val="003C7AD8"/>
    <w:rsid w:val="003D040E"/>
    <w:rsid w:val="003D10A6"/>
    <w:rsid w:val="003D1262"/>
    <w:rsid w:val="003D13F5"/>
    <w:rsid w:val="003D15F0"/>
    <w:rsid w:val="003D16DD"/>
    <w:rsid w:val="003D16E4"/>
    <w:rsid w:val="003D1788"/>
    <w:rsid w:val="003D1795"/>
    <w:rsid w:val="003D1D3B"/>
    <w:rsid w:val="003D295A"/>
    <w:rsid w:val="003D2B5B"/>
    <w:rsid w:val="003D2C6C"/>
    <w:rsid w:val="003D2C82"/>
    <w:rsid w:val="003D2DC6"/>
    <w:rsid w:val="003D4078"/>
    <w:rsid w:val="003D49D8"/>
    <w:rsid w:val="003D5098"/>
    <w:rsid w:val="003D5779"/>
    <w:rsid w:val="003D5BC8"/>
    <w:rsid w:val="003D5C86"/>
    <w:rsid w:val="003D5CFE"/>
    <w:rsid w:val="003D6042"/>
    <w:rsid w:val="003D6295"/>
    <w:rsid w:val="003D629A"/>
    <w:rsid w:val="003D646E"/>
    <w:rsid w:val="003D6653"/>
    <w:rsid w:val="003D695D"/>
    <w:rsid w:val="003D6CE2"/>
    <w:rsid w:val="003D71BD"/>
    <w:rsid w:val="003D7928"/>
    <w:rsid w:val="003D7A09"/>
    <w:rsid w:val="003D7AA7"/>
    <w:rsid w:val="003D7AD2"/>
    <w:rsid w:val="003D7BB9"/>
    <w:rsid w:val="003D7D4D"/>
    <w:rsid w:val="003D7EAB"/>
    <w:rsid w:val="003E0061"/>
    <w:rsid w:val="003E0134"/>
    <w:rsid w:val="003E0320"/>
    <w:rsid w:val="003E04EC"/>
    <w:rsid w:val="003E07E4"/>
    <w:rsid w:val="003E0CC8"/>
    <w:rsid w:val="003E1578"/>
    <w:rsid w:val="003E1A76"/>
    <w:rsid w:val="003E1B31"/>
    <w:rsid w:val="003E1B36"/>
    <w:rsid w:val="003E1C3A"/>
    <w:rsid w:val="003E20F6"/>
    <w:rsid w:val="003E2773"/>
    <w:rsid w:val="003E2779"/>
    <w:rsid w:val="003E2C31"/>
    <w:rsid w:val="003E2C48"/>
    <w:rsid w:val="003E33BF"/>
    <w:rsid w:val="003E34CA"/>
    <w:rsid w:val="003E37C7"/>
    <w:rsid w:val="003E3B3A"/>
    <w:rsid w:val="003E3DB6"/>
    <w:rsid w:val="003E419F"/>
    <w:rsid w:val="003E4449"/>
    <w:rsid w:val="003E4639"/>
    <w:rsid w:val="003E46E0"/>
    <w:rsid w:val="003E4713"/>
    <w:rsid w:val="003E4754"/>
    <w:rsid w:val="003E499F"/>
    <w:rsid w:val="003E4A1E"/>
    <w:rsid w:val="003E4F4B"/>
    <w:rsid w:val="003E5624"/>
    <w:rsid w:val="003E5B3A"/>
    <w:rsid w:val="003E5E31"/>
    <w:rsid w:val="003E6AC3"/>
    <w:rsid w:val="003E6EE7"/>
    <w:rsid w:val="003E70B3"/>
    <w:rsid w:val="003E725C"/>
    <w:rsid w:val="003E73EA"/>
    <w:rsid w:val="003E7500"/>
    <w:rsid w:val="003E7533"/>
    <w:rsid w:val="003E76A7"/>
    <w:rsid w:val="003E7724"/>
    <w:rsid w:val="003E7766"/>
    <w:rsid w:val="003E7884"/>
    <w:rsid w:val="003E7DAA"/>
    <w:rsid w:val="003E7EC7"/>
    <w:rsid w:val="003F008D"/>
    <w:rsid w:val="003F01E5"/>
    <w:rsid w:val="003F0306"/>
    <w:rsid w:val="003F0408"/>
    <w:rsid w:val="003F0785"/>
    <w:rsid w:val="003F0828"/>
    <w:rsid w:val="003F0DBF"/>
    <w:rsid w:val="003F1155"/>
    <w:rsid w:val="003F1290"/>
    <w:rsid w:val="003F153D"/>
    <w:rsid w:val="003F1770"/>
    <w:rsid w:val="003F1E14"/>
    <w:rsid w:val="003F1EF8"/>
    <w:rsid w:val="003F20EA"/>
    <w:rsid w:val="003F232C"/>
    <w:rsid w:val="003F2354"/>
    <w:rsid w:val="003F2855"/>
    <w:rsid w:val="003F2964"/>
    <w:rsid w:val="003F2A7E"/>
    <w:rsid w:val="003F2CD7"/>
    <w:rsid w:val="003F2D09"/>
    <w:rsid w:val="003F3382"/>
    <w:rsid w:val="003F34E7"/>
    <w:rsid w:val="003F353A"/>
    <w:rsid w:val="003F3866"/>
    <w:rsid w:val="003F3B40"/>
    <w:rsid w:val="003F3C6B"/>
    <w:rsid w:val="003F4104"/>
    <w:rsid w:val="003F48CD"/>
    <w:rsid w:val="003F4DB7"/>
    <w:rsid w:val="003F507D"/>
    <w:rsid w:val="003F5559"/>
    <w:rsid w:val="003F5568"/>
    <w:rsid w:val="003F57B3"/>
    <w:rsid w:val="003F58FC"/>
    <w:rsid w:val="003F593D"/>
    <w:rsid w:val="003F5968"/>
    <w:rsid w:val="003F59C8"/>
    <w:rsid w:val="003F5BC2"/>
    <w:rsid w:val="003F66EB"/>
    <w:rsid w:val="003F6A81"/>
    <w:rsid w:val="003F7398"/>
    <w:rsid w:val="003F7926"/>
    <w:rsid w:val="003F7A0C"/>
    <w:rsid w:val="003F7A67"/>
    <w:rsid w:val="003F7F37"/>
    <w:rsid w:val="003F7FE7"/>
    <w:rsid w:val="0040011E"/>
    <w:rsid w:val="004004CD"/>
    <w:rsid w:val="0040060A"/>
    <w:rsid w:val="00401018"/>
    <w:rsid w:val="0040129A"/>
    <w:rsid w:val="004012B9"/>
    <w:rsid w:val="00401482"/>
    <w:rsid w:val="004016EA"/>
    <w:rsid w:val="00401770"/>
    <w:rsid w:val="00401F27"/>
    <w:rsid w:val="00402379"/>
    <w:rsid w:val="004029F0"/>
    <w:rsid w:val="00402C9C"/>
    <w:rsid w:val="00402CED"/>
    <w:rsid w:val="00402ED7"/>
    <w:rsid w:val="00402F39"/>
    <w:rsid w:val="00403A8F"/>
    <w:rsid w:val="00403C6F"/>
    <w:rsid w:val="004041E6"/>
    <w:rsid w:val="00404497"/>
    <w:rsid w:val="004044C3"/>
    <w:rsid w:val="00404610"/>
    <w:rsid w:val="00404807"/>
    <w:rsid w:val="00404923"/>
    <w:rsid w:val="00404942"/>
    <w:rsid w:val="00404A44"/>
    <w:rsid w:val="00404AFF"/>
    <w:rsid w:val="00404B2E"/>
    <w:rsid w:val="00404B7B"/>
    <w:rsid w:val="00404CF8"/>
    <w:rsid w:val="00404D5D"/>
    <w:rsid w:val="004051EC"/>
    <w:rsid w:val="00405777"/>
    <w:rsid w:val="00405A26"/>
    <w:rsid w:val="00405B04"/>
    <w:rsid w:val="00405F61"/>
    <w:rsid w:val="004063B8"/>
    <w:rsid w:val="004063DB"/>
    <w:rsid w:val="00406563"/>
    <w:rsid w:val="004067DF"/>
    <w:rsid w:val="004067E7"/>
    <w:rsid w:val="00406B3B"/>
    <w:rsid w:val="00406E6B"/>
    <w:rsid w:val="00406FA1"/>
    <w:rsid w:val="00407219"/>
    <w:rsid w:val="004076C1"/>
    <w:rsid w:val="00407923"/>
    <w:rsid w:val="0040795D"/>
    <w:rsid w:val="00407DDF"/>
    <w:rsid w:val="00407FAF"/>
    <w:rsid w:val="004100C7"/>
    <w:rsid w:val="00410140"/>
    <w:rsid w:val="0041030C"/>
    <w:rsid w:val="00410EBD"/>
    <w:rsid w:val="00410ED9"/>
    <w:rsid w:val="00410F73"/>
    <w:rsid w:val="00411107"/>
    <w:rsid w:val="00411209"/>
    <w:rsid w:val="00411BA3"/>
    <w:rsid w:val="00412241"/>
    <w:rsid w:val="0041296E"/>
    <w:rsid w:val="00413287"/>
    <w:rsid w:val="00413832"/>
    <w:rsid w:val="00413EB8"/>
    <w:rsid w:val="004144FB"/>
    <w:rsid w:val="004148BC"/>
    <w:rsid w:val="00414B37"/>
    <w:rsid w:val="00414C11"/>
    <w:rsid w:val="00414EFD"/>
    <w:rsid w:val="00414FFA"/>
    <w:rsid w:val="00415178"/>
    <w:rsid w:val="004153AC"/>
    <w:rsid w:val="004156BE"/>
    <w:rsid w:val="004159C3"/>
    <w:rsid w:val="00415E30"/>
    <w:rsid w:val="00415F4E"/>
    <w:rsid w:val="004160C0"/>
    <w:rsid w:val="00416499"/>
    <w:rsid w:val="00416608"/>
    <w:rsid w:val="00416863"/>
    <w:rsid w:val="004201BB"/>
    <w:rsid w:val="00420389"/>
    <w:rsid w:val="00420503"/>
    <w:rsid w:val="00420663"/>
    <w:rsid w:val="00420E46"/>
    <w:rsid w:val="00420E90"/>
    <w:rsid w:val="004216C1"/>
    <w:rsid w:val="00421C81"/>
    <w:rsid w:val="004220CA"/>
    <w:rsid w:val="00422226"/>
    <w:rsid w:val="004222F2"/>
    <w:rsid w:val="004223B0"/>
    <w:rsid w:val="004223F1"/>
    <w:rsid w:val="0042240E"/>
    <w:rsid w:val="00422881"/>
    <w:rsid w:val="00422999"/>
    <w:rsid w:val="004231C0"/>
    <w:rsid w:val="004233A0"/>
    <w:rsid w:val="004234B8"/>
    <w:rsid w:val="0042354D"/>
    <w:rsid w:val="00423753"/>
    <w:rsid w:val="00423920"/>
    <w:rsid w:val="00423BDD"/>
    <w:rsid w:val="004244A3"/>
    <w:rsid w:val="004245FF"/>
    <w:rsid w:val="00424B27"/>
    <w:rsid w:val="00424B84"/>
    <w:rsid w:val="00424BCB"/>
    <w:rsid w:val="00424E8B"/>
    <w:rsid w:val="004252DB"/>
    <w:rsid w:val="00425F3D"/>
    <w:rsid w:val="00425FCE"/>
    <w:rsid w:val="00426387"/>
    <w:rsid w:val="004268C6"/>
    <w:rsid w:val="00426E5B"/>
    <w:rsid w:val="00426F5D"/>
    <w:rsid w:val="004272D8"/>
    <w:rsid w:val="00427722"/>
    <w:rsid w:val="004277E0"/>
    <w:rsid w:val="00427E22"/>
    <w:rsid w:val="00427E54"/>
    <w:rsid w:val="0043054F"/>
    <w:rsid w:val="00430B4D"/>
    <w:rsid w:val="0043144E"/>
    <w:rsid w:val="004316A3"/>
    <w:rsid w:val="00431F3A"/>
    <w:rsid w:val="00432276"/>
    <w:rsid w:val="00432950"/>
    <w:rsid w:val="00432B20"/>
    <w:rsid w:val="00432C9D"/>
    <w:rsid w:val="00432DA8"/>
    <w:rsid w:val="00432FAF"/>
    <w:rsid w:val="00433035"/>
    <w:rsid w:val="004331B8"/>
    <w:rsid w:val="004334C5"/>
    <w:rsid w:val="004334F4"/>
    <w:rsid w:val="00433C92"/>
    <w:rsid w:val="004340BB"/>
    <w:rsid w:val="00434A2A"/>
    <w:rsid w:val="00434B93"/>
    <w:rsid w:val="00434CBF"/>
    <w:rsid w:val="00435147"/>
    <w:rsid w:val="004358B0"/>
    <w:rsid w:val="004361CA"/>
    <w:rsid w:val="00436D15"/>
    <w:rsid w:val="00437626"/>
    <w:rsid w:val="0043763F"/>
    <w:rsid w:val="00437666"/>
    <w:rsid w:val="004376FC"/>
    <w:rsid w:val="00437988"/>
    <w:rsid w:val="004379DE"/>
    <w:rsid w:val="00437C28"/>
    <w:rsid w:val="00437D0D"/>
    <w:rsid w:val="004400AE"/>
    <w:rsid w:val="0044040C"/>
    <w:rsid w:val="00441296"/>
    <w:rsid w:val="004412E3"/>
    <w:rsid w:val="0044182F"/>
    <w:rsid w:val="00441BFF"/>
    <w:rsid w:val="0044221C"/>
    <w:rsid w:val="0044267D"/>
    <w:rsid w:val="00442A7B"/>
    <w:rsid w:val="00442D7D"/>
    <w:rsid w:val="00442E9B"/>
    <w:rsid w:val="00443337"/>
    <w:rsid w:val="0044336E"/>
    <w:rsid w:val="00443B87"/>
    <w:rsid w:val="00443C99"/>
    <w:rsid w:val="0044454D"/>
    <w:rsid w:val="00444CE4"/>
    <w:rsid w:val="00444D13"/>
    <w:rsid w:val="00444F05"/>
    <w:rsid w:val="00444F83"/>
    <w:rsid w:val="00445C51"/>
    <w:rsid w:val="004461C0"/>
    <w:rsid w:val="004468BA"/>
    <w:rsid w:val="00446911"/>
    <w:rsid w:val="00446C6A"/>
    <w:rsid w:val="00447218"/>
    <w:rsid w:val="0044735E"/>
    <w:rsid w:val="00447739"/>
    <w:rsid w:val="00447A8F"/>
    <w:rsid w:val="00447DFB"/>
    <w:rsid w:val="004502E0"/>
    <w:rsid w:val="00450772"/>
    <w:rsid w:val="0045080E"/>
    <w:rsid w:val="0045099A"/>
    <w:rsid w:val="00450CF3"/>
    <w:rsid w:val="00450E54"/>
    <w:rsid w:val="00451459"/>
    <w:rsid w:val="0045159E"/>
    <w:rsid w:val="004523E4"/>
    <w:rsid w:val="0045241C"/>
    <w:rsid w:val="004528A0"/>
    <w:rsid w:val="004531C1"/>
    <w:rsid w:val="004531F4"/>
    <w:rsid w:val="004532D9"/>
    <w:rsid w:val="004533A7"/>
    <w:rsid w:val="00454191"/>
    <w:rsid w:val="00454BD8"/>
    <w:rsid w:val="00455413"/>
    <w:rsid w:val="00455710"/>
    <w:rsid w:val="0045589A"/>
    <w:rsid w:val="00455BE3"/>
    <w:rsid w:val="00455C50"/>
    <w:rsid w:val="00455E24"/>
    <w:rsid w:val="00455ECA"/>
    <w:rsid w:val="00455ED3"/>
    <w:rsid w:val="004562E4"/>
    <w:rsid w:val="004563E4"/>
    <w:rsid w:val="004563F5"/>
    <w:rsid w:val="004571C3"/>
    <w:rsid w:val="004572B4"/>
    <w:rsid w:val="004574F8"/>
    <w:rsid w:val="00457744"/>
    <w:rsid w:val="0045788F"/>
    <w:rsid w:val="0045793B"/>
    <w:rsid w:val="00457B97"/>
    <w:rsid w:val="004601EE"/>
    <w:rsid w:val="004606F4"/>
    <w:rsid w:val="00460B2F"/>
    <w:rsid w:val="004610FD"/>
    <w:rsid w:val="00461CC8"/>
    <w:rsid w:val="00461F4B"/>
    <w:rsid w:val="004629A6"/>
    <w:rsid w:val="00462D2E"/>
    <w:rsid w:val="0046303D"/>
    <w:rsid w:val="00463AB6"/>
    <w:rsid w:val="00463BD1"/>
    <w:rsid w:val="00464014"/>
    <w:rsid w:val="00464FAD"/>
    <w:rsid w:val="004654D3"/>
    <w:rsid w:val="004657A8"/>
    <w:rsid w:val="00465816"/>
    <w:rsid w:val="00466130"/>
    <w:rsid w:val="0046640E"/>
    <w:rsid w:val="004665BB"/>
    <w:rsid w:val="00466BA5"/>
    <w:rsid w:val="004675A7"/>
    <w:rsid w:val="004675AF"/>
    <w:rsid w:val="004675E6"/>
    <w:rsid w:val="004677FF"/>
    <w:rsid w:val="00467ECB"/>
    <w:rsid w:val="00470149"/>
    <w:rsid w:val="00470203"/>
    <w:rsid w:val="004702B3"/>
    <w:rsid w:val="00470694"/>
    <w:rsid w:val="004706B2"/>
    <w:rsid w:val="004709B3"/>
    <w:rsid w:val="00470E49"/>
    <w:rsid w:val="0047134D"/>
    <w:rsid w:val="00471603"/>
    <w:rsid w:val="00471709"/>
    <w:rsid w:val="00471988"/>
    <w:rsid w:val="00471B2A"/>
    <w:rsid w:val="00472137"/>
    <w:rsid w:val="0047302F"/>
    <w:rsid w:val="004733A6"/>
    <w:rsid w:val="00473496"/>
    <w:rsid w:val="00473709"/>
    <w:rsid w:val="00473C29"/>
    <w:rsid w:val="00473F00"/>
    <w:rsid w:val="00473F9C"/>
    <w:rsid w:val="00474168"/>
    <w:rsid w:val="004742D8"/>
    <w:rsid w:val="00474483"/>
    <w:rsid w:val="00474D0B"/>
    <w:rsid w:val="00475368"/>
    <w:rsid w:val="00475F69"/>
    <w:rsid w:val="0047617B"/>
    <w:rsid w:val="004765BD"/>
    <w:rsid w:val="004769A4"/>
    <w:rsid w:val="00476C99"/>
    <w:rsid w:val="0047706D"/>
    <w:rsid w:val="00477ADD"/>
    <w:rsid w:val="00477B6C"/>
    <w:rsid w:val="00477FEE"/>
    <w:rsid w:val="00480392"/>
    <w:rsid w:val="00480C5C"/>
    <w:rsid w:val="00480DFA"/>
    <w:rsid w:val="00480DFC"/>
    <w:rsid w:val="00481097"/>
    <w:rsid w:val="004819DB"/>
    <w:rsid w:val="00481B2A"/>
    <w:rsid w:val="004821DF"/>
    <w:rsid w:val="004822AB"/>
    <w:rsid w:val="00482419"/>
    <w:rsid w:val="00482A4A"/>
    <w:rsid w:val="00482FEC"/>
    <w:rsid w:val="00483073"/>
    <w:rsid w:val="004831FE"/>
    <w:rsid w:val="0048331F"/>
    <w:rsid w:val="004835B4"/>
    <w:rsid w:val="00483931"/>
    <w:rsid w:val="00483A58"/>
    <w:rsid w:val="00483C24"/>
    <w:rsid w:val="004846A6"/>
    <w:rsid w:val="00484C02"/>
    <w:rsid w:val="004851E9"/>
    <w:rsid w:val="004851F8"/>
    <w:rsid w:val="00485356"/>
    <w:rsid w:val="00485B9A"/>
    <w:rsid w:val="00485E64"/>
    <w:rsid w:val="00486CCE"/>
    <w:rsid w:val="00487158"/>
    <w:rsid w:val="00487A76"/>
    <w:rsid w:val="004905A4"/>
    <w:rsid w:val="004906AB"/>
    <w:rsid w:val="0049073B"/>
    <w:rsid w:val="00490C60"/>
    <w:rsid w:val="004910CD"/>
    <w:rsid w:val="004912CB"/>
    <w:rsid w:val="004919BF"/>
    <w:rsid w:val="00491B09"/>
    <w:rsid w:val="00491C94"/>
    <w:rsid w:val="00491CDD"/>
    <w:rsid w:val="00491FDC"/>
    <w:rsid w:val="00492609"/>
    <w:rsid w:val="00492B80"/>
    <w:rsid w:val="00492F48"/>
    <w:rsid w:val="0049426E"/>
    <w:rsid w:val="004946A5"/>
    <w:rsid w:val="004946D3"/>
    <w:rsid w:val="00494B0C"/>
    <w:rsid w:val="0049511B"/>
    <w:rsid w:val="0049529B"/>
    <w:rsid w:val="004952E1"/>
    <w:rsid w:val="00495551"/>
    <w:rsid w:val="00496381"/>
    <w:rsid w:val="004963F4"/>
    <w:rsid w:val="00496483"/>
    <w:rsid w:val="00496DA4"/>
    <w:rsid w:val="00497145"/>
    <w:rsid w:val="0049722E"/>
    <w:rsid w:val="00497656"/>
    <w:rsid w:val="00497A69"/>
    <w:rsid w:val="00497BCC"/>
    <w:rsid w:val="00497C0E"/>
    <w:rsid w:val="004A07E3"/>
    <w:rsid w:val="004A08FC"/>
    <w:rsid w:val="004A0908"/>
    <w:rsid w:val="004A10BD"/>
    <w:rsid w:val="004A126C"/>
    <w:rsid w:val="004A1879"/>
    <w:rsid w:val="004A1994"/>
    <w:rsid w:val="004A1A52"/>
    <w:rsid w:val="004A1B21"/>
    <w:rsid w:val="004A1CE1"/>
    <w:rsid w:val="004A2236"/>
    <w:rsid w:val="004A22D8"/>
    <w:rsid w:val="004A2348"/>
    <w:rsid w:val="004A24C6"/>
    <w:rsid w:val="004A2776"/>
    <w:rsid w:val="004A29CF"/>
    <w:rsid w:val="004A2FB9"/>
    <w:rsid w:val="004A3441"/>
    <w:rsid w:val="004A3649"/>
    <w:rsid w:val="004A377C"/>
    <w:rsid w:val="004A3864"/>
    <w:rsid w:val="004A389E"/>
    <w:rsid w:val="004A414B"/>
    <w:rsid w:val="004A4337"/>
    <w:rsid w:val="004A4A70"/>
    <w:rsid w:val="004A4C6B"/>
    <w:rsid w:val="004A51D2"/>
    <w:rsid w:val="004A5389"/>
    <w:rsid w:val="004A5989"/>
    <w:rsid w:val="004A5AE4"/>
    <w:rsid w:val="004A64E0"/>
    <w:rsid w:val="004A6686"/>
    <w:rsid w:val="004A68C7"/>
    <w:rsid w:val="004A6983"/>
    <w:rsid w:val="004A6986"/>
    <w:rsid w:val="004A69A1"/>
    <w:rsid w:val="004A72CA"/>
    <w:rsid w:val="004A7581"/>
    <w:rsid w:val="004A789F"/>
    <w:rsid w:val="004A7C34"/>
    <w:rsid w:val="004A7E77"/>
    <w:rsid w:val="004A7E8A"/>
    <w:rsid w:val="004B0189"/>
    <w:rsid w:val="004B08CC"/>
    <w:rsid w:val="004B0951"/>
    <w:rsid w:val="004B11B3"/>
    <w:rsid w:val="004B15CE"/>
    <w:rsid w:val="004B17B5"/>
    <w:rsid w:val="004B1898"/>
    <w:rsid w:val="004B1D81"/>
    <w:rsid w:val="004B1EB4"/>
    <w:rsid w:val="004B247F"/>
    <w:rsid w:val="004B2BB8"/>
    <w:rsid w:val="004B2DFF"/>
    <w:rsid w:val="004B319D"/>
    <w:rsid w:val="004B32BE"/>
    <w:rsid w:val="004B3C3A"/>
    <w:rsid w:val="004B3E3C"/>
    <w:rsid w:val="004B4072"/>
    <w:rsid w:val="004B411A"/>
    <w:rsid w:val="004B4722"/>
    <w:rsid w:val="004B4C70"/>
    <w:rsid w:val="004B4DBC"/>
    <w:rsid w:val="004B507D"/>
    <w:rsid w:val="004B513F"/>
    <w:rsid w:val="004B52A0"/>
    <w:rsid w:val="004B53AE"/>
    <w:rsid w:val="004B573E"/>
    <w:rsid w:val="004B5C02"/>
    <w:rsid w:val="004B6796"/>
    <w:rsid w:val="004B68BE"/>
    <w:rsid w:val="004B6B4C"/>
    <w:rsid w:val="004B6E2F"/>
    <w:rsid w:val="004B75B7"/>
    <w:rsid w:val="004B79B1"/>
    <w:rsid w:val="004B79D7"/>
    <w:rsid w:val="004B7AAA"/>
    <w:rsid w:val="004B7CDD"/>
    <w:rsid w:val="004C01A8"/>
    <w:rsid w:val="004C0261"/>
    <w:rsid w:val="004C03A3"/>
    <w:rsid w:val="004C04FC"/>
    <w:rsid w:val="004C0587"/>
    <w:rsid w:val="004C0670"/>
    <w:rsid w:val="004C08D0"/>
    <w:rsid w:val="004C092B"/>
    <w:rsid w:val="004C0AE9"/>
    <w:rsid w:val="004C0E13"/>
    <w:rsid w:val="004C0F26"/>
    <w:rsid w:val="004C0FBB"/>
    <w:rsid w:val="004C111F"/>
    <w:rsid w:val="004C17E4"/>
    <w:rsid w:val="004C1BFB"/>
    <w:rsid w:val="004C2091"/>
    <w:rsid w:val="004C223B"/>
    <w:rsid w:val="004C23DA"/>
    <w:rsid w:val="004C3265"/>
    <w:rsid w:val="004C3484"/>
    <w:rsid w:val="004C367A"/>
    <w:rsid w:val="004C3731"/>
    <w:rsid w:val="004C4740"/>
    <w:rsid w:val="004C4C2E"/>
    <w:rsid w:val="004C4CFE"/>
    <w:rsid w:val="004C5082"/>
    <w:rsid w:val="004C5512"/>
    <w:rsid w:val="004C5C30"/>
    <w:rsid w:val="004C5DA1"/>
    <w:rsid w:val="004C6814"/>
    <w:rsid w:val="004C6E0F"/>
    <w:rsid w:val="004C770A"/>
    <w:rsid w:val="004C7792"/>
    <w:rsid w:val="004C7BE7"/>
    <w:rsid w:val="004C7E6B"/>
    <w:rsid w:val="004C7F42"/>
    <w:rsid w:val="004D03D6"/>
    <w:rsid w:val="004D0EC7"/>
    <w:rsid w:val="004D0EEF"/>
    <w:rsid w:val="004D106F"/>
    <w:rsid w:val="004D1706"/>
    <w:rsid w:val="004D19C4"/>
    <w:rsid w:val="004D1F6A"/>
    <w:rsid w:val="004D2110"/>
    <w:rsid w:val="004D2451"/>
    <w:rsid w:val="004D29F5"/>
    <w:rsid w:val="004D2B35"/>
    <w:rsid w:val="004D2D53"/>
    <w:rsid w:val="004D32F4"/>
    <w:rsid w:val="004D3518"/>
    <w:rsid w:val="004D3724"/>
    <w:rsid w:val="004D3812"/>
    <w:rsid w:val="004D3CF1"/>
    <w:rsid w:val="004D421C"/>
    <w:rsid w:val="004D43A9"/>
    <w:rsid w:val="004D47F8"/>
    <w:rsid w:val="004D50BC"/>
    <w:rsid w:val="004D523B"/>
    <w:rsid w:val="004D5421"/>
    <w:rsid w:val="004D5791"/>
    <w:rsid w:val="004D5886"/>
    <w:rsid w:val="004D5966"/>
    <w:rsid w:val="004D5B71"/>
    <w:rsid w:val="004D5CC7"/>
    <w:rsid w:val="004D5D36"/>
    <w:rsid w:val="004D6090"/>
    <w:rsid w:val="004D61B6"/>
    <w:rsid w:val="004D61E2"/>
    <w:rsid w:val="004D6502"/>
    <w:rsid w:val="004D654B"/>
    <w:rsid w:val="004D66A0"/>
    <w:rsid w:val="004D697D"/>
    <w:rsid w:val="004D6C67"/>
    <w:rsid w:val="004D6F2E"/>
    <w:rsid w:val="004D6FE0"/>
    <w:rsid w:val="004D71F6"/>
    <w:rsid w:val="004D7751"/>
    <w:rsid w:val="004D7CBE"/>
    <w:rsid w:val="004E01EA"/>
    <w:rsid w:val="004E07ED"/>
    <w:rsid w:val="004E0AA9"/>
    <w:rsid w:val="004E10D6"/>
    <w:rsid w:val="004E1572"/>
    <w:rsid w:val="004E1CF6"/>
    <w:rsid w:val="004E2C7F"/>
    <w:rsid w:val="004E2C98"/>
    <w:rsid w:val="004E3224"/>
    <w:rsid w:val="004E3443"/>
    <w:rsid w:val="004E37A5"/>
    <w:rsid w:val="004E3B12"/>
    <w:rsid w:val="004E3BBA"/>
    <w:rsid w:val="004E432D"/>
    <w:rsid w:val="004E43D6"/>
    <w:rsid w:val="004E4717"/>
    <w:rsid w:val="004E4B0B"/>
    <w:rsid w:val="004E4E62"/>
    <w:rsid w:val="004E5E64"/>
    <w:rsid w:val="004E6646"/>
    <w:rsid w:val="004E6819"/>
    <w:rsid w:val="004E6DB0"/>
    <w:rsid w:val="004E6FE5"/>
    <w:rsid w:val="004E761F"/>
    <w:rsid w:val="004E7817"/>
    <w:rsid w:val="004E79F3"/>
    <w:rsid w:val="004E7FBC"/>
    <w:rsid w:val="004F0135"/>
    <w:rsid w:val="004F0BF5"/>
    <w:rsid w:val="004F0C20"/>
    <w:rsid w:val="004F0E50"/>
    <w:rsid w:val="004F0EA6"/>
    <w:rsid w:val="004F0FDB"/>
    <w:rsid w:val="004F1115"/>
    <w:rsid w:val="004F1137"/>
    <w:rsid w:val="004F11EA"/>
    <w:rsid w:val="004F15C9"/>
    <w:rsid w:val="004F1A8D"/>
    <w:rsid w:val="004F1C03"/>
    <w:rsid w:val="004F1D13"/>
    <w:rsid w:val="004F21E2"/>
    <w:rsid w:val="004F28FB"/>
    <w:rsid w:val="004F293C"/>
    <w:rsid w:val="004F2A5E"/>
    <w:rsid w:val="004F2DBE"/>
    <w:rsid w:val="004F2F70"/>
    <w:rsid w:val="004F335B"/>
    <w:rsid w:val="004F3607"/>
    <w:rsid w:val="004F3974"/>
    <w:rsid w:val="004F39E3"/>
    <w:rsid w:val="004F39FB"/>
    <w:rsid w:val="004F3D7A"/>
    <w:rsid w:val="004F3ED6"/>
    <w:rsid w:val="004F46B7"/>
    <w:rsid w:val="004F46E9"/>
    <w:rsid w:val="004F48EF"/>
    <w:rsid w:val="004F4C0A"/>
    <w:rsid w:val="004F53BF"/>
    <w:rsid w:val="004F53DF"/>
    <w:rsid w:val="004F5540"/>
    <w:rsid w:val="004F5694"/>
    <w:rsid w:val="004F574A"/>
    <w:rsid w:val="004F5929"/>
    <w:rsid w:val="004F5B2A"/>
    <w:rsid w:val="004F5D98"/>
    <w:rsid w:val="004F6063"/>
    <w:rsid w:val="004F622B"/>
    <w:rsid w:val="004F6647"/>
    <w:rsid w:val="004F67B4"/>
    <w:rsid w:val="004F67DF"/>
    <w:rsid w:val="004F7389"/>
    <w:rsid w:val="00500368"/>
    <w:rsid w:val="00500678"/>
    <w:rsid w:val="005007DC"/>
    <w:rsid w:val="00500920"/>
    <w:rsid w:val="00500924"/>
    <w:rsid w:val="00500A6D"/>
    <w:rsid w:val="005010E2"/>
    <w:rsid w:val="005015F7"/>
    <w:rsid w:val="00501710"/>
    <w:rsid w:val="00501C60"/>
    <w:rsid w:val="00502436"/>
    <w:rsid w:val="00503430"/>
    <w:rsid w:val="0050386A"/>
    <w:rsid w:val="00504218"/>
    <w:rsid w:val="00504412"/>
    <w:rsid w:val="00504447"/>
    <w:rsid w:val="0050471B"/>
    <w:rsid w:val="00504A5A"/>
    <w:rsid w:val="00505727"/>
    <w:rsid w:val="0050574E"/>
    <w:rsid w:val="00506E8A"/>
    <w:rsid w:val="005071D5"/>
    <w:rsid w:val="00507739"/>
    <w:rsid w:val="00507B23"/>
    <w:rsid w:val="00507B91"/>
    <w:rsid w:val="00507EF0"/>
    <w:rsid w:val="00510149"/>
    <w:rsid w:val="0051017D"/>
    <w:rsid w:val="0051077D"/>
    <w:rsid w:val="00510A82"/>
    <w:rsid w:val="00511E75"/>
    <w:rsid w:val="00511ECB"/>
    <w:rsid w:val="00511F14"/>
    <w:rsid w:val="00512445"/>
    <w:rsid w:val="0051274A"/>
    <w:rsid w:val="005129E9"/>
    <w:rsid w:val="00512CE5"/>
    <w:rsid w:val="00512E13"/>
    <w:rsid w:val="00513367"/>
    <w:rsid w:val="005134A1"/>
    <w:rsid w:val="00513654"/>
    <w:rsid w:val="005137BD"/>
    <w:rsid w:val="00513F3C"/>
    <w:rsid w:val="00513FC2"/>
    <w:rsid w:val="00514492"/>
    <w:rsid w:val="005147F3"/>
    <w:rsid w:val="00514A45"/>
    <w:rsid w:val="00514D48"/>
    <w:rsid w:val="00514E24"/>
    <w:rsid w:val="00515131"/>
    <w:rsid w:val="00515146"/>
    <w:rsid w:val="00515BBE"/>
    <w:rsid w:val="005161F5"/>
    <w:rsid w:val="00516567"/>
    <w:rsid w:val="00516A73"/>
    <w:rsid w:val="0051704B"/>
    <w:rsid w:val="005172E0"/>
    <w:rsid w:val="00517570"/>
    <w:rsid w:val="00517A60"/>
    <w:rsid w:val="00520033"/>
    <w:rsid w:val="00520140"/>
    <w:rsid w:val="00520789"/>
    <w:rsid w:val="00520AFD"/>
    <w:rsid w:val="005213A6"/>
    <w:rsid w:val="005215EC"/>
    <w:rsid w:val="00521780"/>
    <w:rsid w:val="00521B0D"/>
    <w:rsid w:val="005222CE"/>
    <w:rsid w:val="005226B4"/>
    <w:rsid w:val="0052274F"/>
    <w:rsid w:val="005227AF"/>
    <w:rsid w:val="0052281F"/>
    <w:rsid w:val="00522884"/>
    <w:rsid w:val="00522A9C"/>
    <w:rsid w:val="00523138"/>
    <w:rsid w:val="0052314D"/>
    <w:rsid w:val="0052381A"/>
    <w:rsid w:val="00523D5F"/>
    <w:rsid w:val="005241C7"/>
    <w:rsid w:val="00524616"/>
    <w:rsid w:val="00524617"/>
    <w:rsid w:val="005249E5"/>
    <w:rsid w:val="00524CF0"/>
    <w:rsid w:val="00524DFA"/>
    <w:rsid w:val="005252A3"/>
    <w:rsid w:val="00525628"/>
    <w:rsid w:val="00525CEA"/>
    <w:rsid w:val="00525DF9"/>
    <w:rsid w:val="0052601C"/>
    <w:rsid w:val="005260BB"/>
    <w:rsid w:val="005268B8"/>
    <w:rsid w:val="00526B39"/>
    <w:rsid w:val="005270C7"/>
    <w:rsid w:val="005278C5"/>
    <w:rsid w:val="00530280"/>
    <w:rsid w:val="0053035D"/>
    <w:rsid w:val="005306F5"/>
    <w:rsid w:val="005307A4"/>
    <w:rsid w:val="0053082C"/>
    <w:rsid w:val="00530FDE"/>
    <w:rsid w:val="005311DE"/>
    <w:rsid w:val="005315ED"/>
    <w:rsid w:val="0053178A"/>
    <w:rsid w:val="00531DFB"/>
    <w:rsid w:val="00532249"/>
    <w:rsid w:val="0053247F"/>
    <w:rsid w:val="00532AD6"/>
    <w:rsid w:val="00532B3C"/>
    <w:rsid w:val="00532DD5"/>
    <w:rsid w:val="00533083"/>
    <w:rsid w:val="00533147"/>
    <w:rsid w:val="005332B6"/>
    <w:rsid w:val="00533AC0"/>
    <w:rsid w:val="00533AFD"/>
    <w:rsid w:val="00533BA1"/>
    <w:rsid w:val="00533E1C"/>
    <w:rsid w:val="005341B1"/>
    <w:rsid w:val="005343CD"/>
    <w:rsid w:val="0053463F"/>
    <w:rsid w:val="00534AA0"/>
    <w:rsid w:val="00534B98"/>
    <w:rsid w:val="00534E1B"/>
    <w:rsid w:val="005353CA"/>
    <w:rsid w:val="005353D7"/>
    <w:rsid w:val="0053570B"/>
    <w:rsid w:val="005358D2"/>
    <w:rsid w:val="0053627A"/>
    <w:rsid w:val="005362BE"/>
    <w:rsid w:val="0053636F"/>
    <w:rsid w:val="00536C1A"/>
    <w:rsid w:val="00536F9B"/>
    <w:rsid w:val="0053703D"/>
    <w:rsid w:val="0053709C"/>
    <w:rsid w:val="00537D43"/>
    <w:rsid w:val="00537E72"/>
    <w:rsid w:val="00540237"/>
    <w:rsid w:val="005408F0"/>
    <w:rsid w:val="0054138D"/>
    <w:rsid w:val="005413A9"/>
    <w:rsid w:val="00541446"/>
    <w:rsid w:val="0054156F"/>
    <w:rsid w:val="005416DC"/>
    <w:rsid w:val="00541C6D"/>
    <w:rsid w:val="00542D4B"/>
    <w:rsid w:val="00543608"/>
    <w:rsid w:val="00543794"/>
    <w:rsid w:val="00543D69"/>
    <w:rsid w:val="00544068"/>
    <w:rsid w:val="0054407B"/>
    <w:rsid w:val="00544377"/>
    <w:rsid w:val="0054475C"/>
    <w:rsid w:val="00544B5A"/>
    <w:rsid w:val="00544D67"/>
    <w:rsid w:val="00544EEA"/>
    <w:rsid w:val="00545649"/>
    <w:rsid w:val="005457CF"/>
    <w:rsid w:val="00545F45"/>
    <w:rsid w:val="00546257"/>
    <w:rsid w:val="00546690"/>
    <w:rsid w:val="00546AC5"/>
    <w:rsid w:val="00547280"/>
    <w:rsid w:val="005476F9"/>
    <w:rsid w:val="00547DE4"/>
    <w:rsid w:val="00550066"/>
    <w:rsid w:val="005502A9"/>
    <w:rsid w:val="005503C8"/>
    <w:rsid w:val="005507DA"/>
    <w:rsid w:val="00550811"/>
    <w:rsid w:val="0055088E"/>
    <w:rsid w:val="00550BB9"/>
    <w:rsid w:val="00550C22"/>
    <w:rsid w:val="00550CF9"/>
    <w:rsid w:val="0055113E"/>
    <w:rsid w:val="0055147F"/>
    <w:rsid w:val="005514A6"/>
    <w:rsid w:val="0055155C"/>
    <w:rsid w:val="00551656"/>
    <w:rsid w:val="00551921"/>
    <w:rsid w:val="00551AE8"/>
    <w:rsid w:val="00551D47"/>
    <w:rsid w:val="005520D0"/>
    <w:rsid w:val="00552178"/>
    <w:rsid w:val="0055244C"/>
    <w:rsid w:val="005525D0"/>
    <w:rsid w:val="0055262C"/>
    <w:rsid w:val="005527B1"/>
    <w:rsid w:val="00552A39"/>
    <w:rsid w:val="00552B91"/>
    <w:rsid w:val="005530EF"/>
    <w:rsid w:val="005537A7"/>
    <w:rsid w:val="00553991"/>
    <w:rsid w:val="00553FA7"/>
    <w:rsid w:val="005540DB"/>
    <w:rsid w:val="00554185"/>
    <w:rsid w:val="00554267"/>
    <w:rsid w:val="00554612"/>
    <w:rsid w:val="00554957"/>
    <w:rsid w:val="00554EDF"/>
    <w:rsid w:val="00554F3A"/>
    <w:rsid w:val="00554F4D"/>
    <w:rsid w:val="00555061"/>
    <w:rsid w:val="00555131"/>
    <w:rsid w:val="00555143"/>
    <w:rsid w:val="005556D1"/>
    <w:rsid w:val="005561A8"/>
    <w:rsid w:val="005567C0"/>
    <w:rsid w:val="00556939"/>
    <w:rsid w:val="00556B11"/>
    <w:rsid w:val="00556C4C"/>
    <w:rsid w:val="00556E5B"/>
    <w:rsid w:val="00557074"/>
    <w:rsid w:val="00557160"/>
    <w:rsid w:val="005575CE"/>
    <w:rsid w:val="0056060A"/>
    <w:rsid w:val="00560AB7"/>
    <w:rsid w:val="00560C5C"/>
    <w:rsid w:val="00560CE6"/>
    <w:rsid w:val="00560FDA"/>
    <w:rsid w:val="00561229"/>
    <w:rsid w:val="00561390"/>
    <w:rsid w:val="0056143B"/>
    <w:rsid w:val="005615A5"/>
    <w:rsid w:val="005618C0"/>
    <w:rsid w:val="00561EBB"/>
    <w:rsid w:val="0056234B"/>
    <w:rsid w:val="005625DF"/>
    <w:rsid w:val="0056296E"/>
    <w:rsid w:val="00562B4D"/>
    <w:rsid w:val="00562CC7"/>
    <w:rsid w:val="00562D1B"/>
    <w:rsid w:val="005631B5"/>
    <w:rsid w:val="0056354F"/>
    <w:rsid w:val="00563573"/>
    <w:rsid w:val="00563A9D"/>
    <w:rsid w:val="0056458A"/>
    <w:rsid w:val="005645A6"/>
    <w:rsid w:val="0056461E"/>
    <w:rsid w:val="0056465B"/>
    <w:rsid w:val="00564D8F"/>
    <w:rsid w:val="00564DAC"/>
    <w:rsid w:val="00564E9E"/>
    <w:rsid w:val="00564EEF"/>
    <w:rsid w:val="005652B8"/>
    <w:rsid w:val="005652CC"/>
    <w:rsid w:val="00566085"/>
    <w:rsid w:val="00566120"/>
    <w:rsid w:val="005667B9"/>
    <w:rsid w:val="00567264"/>
    <w:rsid w:val="00567AE3"/>
    <w:rsid w:val="00567CE4"/>
    <w:rsid w:val="00567E95"/>
    <w:rsid w:val="00570008"/>
    <w:rsid w:val="00570A3C"/>
    <w:rsid w:val="00571050"/>
    <w:rsid w:val="005710C0"/>
    <w:rsid w:val="005712A4"/>
    <w:rsid w:val="00571F15"/>
    <w:rsid w:val="005724DA"/>
    <w:rsid w:val="00572921"/>
    <w:rsid w:val="00572A6A"/>
    <w:rsid w:val="005730BD"/>
    <w:rsid w:val="00573A82"/>
    <w:rsid w:val="00573B6D"/>
    <w:rsid w:val="00573D9E"/>
    <w:rsid w:val="005745C3"/>
    <w:rsid w:val="00574F22"/>
    <w:rsid w:val="005759DF"/>
    <w:rsid w:val="00576156"/>
    <w:rsid w:val="00576170"/>
    <w:rsid w:val="00576535"/>
    <w:rsid w:val="0057657A"/>
    <w:rsid w:val="005765BA"/>
    <w:rsid w:val="00576600"/>
    <w:rsid w:val="0057665E"/>
    <w:rsid w:val="005769BA"/>
    <w:rsid w:val="00576E52"/>
    <w:rsid w:val="00577108"/>
    <w:rsid w:val="005776A2"/>
    <w:rsid w:val="00577809"/>
    <w:rsid w:val="005778B6"/>
    <w:rsid w:val="005779A3"/>
    <w:rsid w:val="00577E25"/>
    <w:rsid w:val="00580014"/>
    <w:rsid w:val="00580110"/>
    <w:rsid w:val="00580FA7"/>
    <w:rsid w:val="0058106F"/>
    <w:rsid w:val="005816CA"/>
    <w:rsid w:val="00581723"/>
    <w:rsid w:val="0058193F"/>
    <w:rsid w:val="00581BA2"/>
    <w:rsid w:val="00581D27"/>
    <w:rsid w:val="00581EFB"/>
    <w:rsid w:val="005822DF"/>
    <w:rsid w:val="00582430"/>
    <w:rsid w:val="00582747"/>
    <w:rsid w:val="0058285B"/>
    <w:rsid w:val="005828E3"/>
    <w:rsid w:val="00583366"/>
    <w:rsid w:val="00583446"/>
    <w:rsid w:val="005836DA"/>
    <w:rsid w:val="00583978"/>
    <w:rsid w:val="00583A21"/>
    <w:rsid w:val="00583EE0"/>
    <w:rsid w:val="00584325"/>
    <w:rsid w:val="00584DA3"/>
    <w:rsid w:val="00585050"/>
    <w:rsid w:val="005857D7"/>
    <w:rsid w:val="005859A5"/>
    <w:rsid w:val="00585AAC"/>
    <w:rsid w:val="00585AD2"/>
    <w:rsid w:val="00585DB6"/>
    <w:rsid w:val="00585ECF"/>
    <w:rsid w:val="0058605B"/>
    <w:rsid w:val="00586416"/>
    <w:rsid w:val="00586450"/>
    <w:rsid w:val="005864D8"/>
    <w:rsid w:val="00586841"/>
    <w:rsid w:val="005869CF"/>
    <w:rsid w:val="00586B65"/>
    <w:rsid w:val="00586D90"/>
    <w:rsid w:val="0058709D"/>
    <w:rsid w:val="00587241"/>
    <w:rsid w:val="005873EB"/>
    <w:rsid w:val="00587772"/>
    <w:rsid w:val="005877B9"/>
    <w:rsid w:val="00587C4A"/>
    <w:rsid w:val="00587CB8"/>
    <w:rsid w:val="005902B5"/>
    <w:rsid w:val="005906B8"/>
    <w:rsid w:val="005906C5"/>
    <w:rsid w:val="00591029"/>
    <w:rsid w:val="005912ED"/>
    <w:rsid w:val="005915B8"/>
    <w:rsid w:val="00591750"/>
    <w:rsid w:val="005917C3"/>
    <w:rsid w:val="00591F12"/>
    <w:rsid w:val="0059258A"/>
    <w:rsid w:val="005926CC"/>
    <w:rsid w:val="00592BAC"/>
    <w:rsid w:val="005936CA"/>
    <w:rsid w:val="005936EF"/>
    <w:rsid w:val="005936FC"/>
    <w:rsid w:val="0059408B"/>
    <w:rsid w:val="005940D6"/>
    <w:rsid w:val="00594762"/>
    <w:rsid w:val="00594B38"/>
    <w:rsid w:val="00594B7B"/>
    <w:rsid w:val="0059512F"/>
    <w:rsid w:val="00595816"/>
    <w:rsid w:val="00595A00"/>
    <w:rsid w:val="00595E17"/>
    <w:rsid w:val="00595E35"/>
    <w:rsid w:val="005960CC"/>
    <w:rsid w:val="00596170"/>
    <w:rsid w:val="005967D3"/>
    <w:rsid w:val="00596D42"/>
    <w:rsid w:val="00597004"/>
    <w:rsid w:val="005972C5"/>
    <w:rsid w:val="00597442"/>
    <w:rsid w:val="005974A6"/>
    <w:rsid w:val="005A0161"/>
    <w:rsid w:val="005A0274"/>
    <w:rsid w:val="005A02DB"/>
    <w:rsid w:val="005A0679"/>
    <w:rsid w:val="005A095A"/>
    <w:rsid w:val="005A0C59"/>
    <w:rsid w:val="005A12AB"/>
    <w:rsid w:val="005A19E5"/>
    <w:rsid w:val="005A1B02"/>
    <w:rsid w:val="005A1D8C"/>
    <w:rsid w:val="005A22D5"/>
    <w:rsid w:val="005A2485"/>
    <w:rsid w:val="005A27E5"/>
    <w:rsid w:val="005A28EF"/>
    <w:rsid w:val="005A299C"/>
    <w:rsid w:val="005A2B34"/>
    <w:rsid w:val="005A2C69"/>
    <w:rsid w:val="005A2FA6"/>
    <w:rsid w:val="005A30F1"/>
    <w:rsid w:val="005A38F8"/>
    <w:rsid w:val="005A3D34"/>
    <w:rsid w:val="005A41EE"/>
    <w:rsid w:val="005A43DE"/>
    <w:rsid w:val="005A4770"/>
    <w:rsid w:val="005A4961"/>
    <w:rsid w:val="005A5323"/>
    <w:rsid w:val="005A5AFA"/>
    <w:rsid w:val="005A5C4C"/>
    <w:rsid w:val="005A5D66"/>
    <w:rsid w:val="005A5DB6"/>
    <w:rsid w:val="005A63B0"/>
    <w:rsid w:val="005A6516"/>
    <w:rsid w:val="005A6815"/>
    <w:rsid w:val="005A685F"/>
    <w:rsid w:val="005A6E03"/>
    <w:rsid w:val="005A7094"/>
    <w:rsid w:val="005A70DA"/>
    <w:rsid w:val="005A75E2"/>
    <w:rsid w:val="005A78F8"/>
    <w:rsid w:val="005A79AB"/>
    <w:rsid w:val="005A7C1D"/>
    <w:rsid w:val="005B0814"/>
    <w:rsid w:val="005B09B8"/>
    <w:rsid w:val="005B0D76"/>
    <w:rsid w:val="005B1063"/>
    <w:rsid w:val="005B1596"/>
    <w:rsid w:val="005B1806"/>
    <w:rsid w:val="005B1C7A"/>
    <w:rsid w:val="005B21C7"/>
    <w:rsid w:val="005B2816"/>
    <w:rsid w:val="005B2B87"/>
    <w:rsid w:val="005B3056"/>
    <w:rsid w:val="005B3305"/>
    <w:rsid w:val="005B350D"/>
    <w:rsid w:val="005B3557"/>
    <w:rsid w:val="005B38EC"/>
    <w:rsid w:val="005B3E59"/>
    <w:rsid w:val="005B44ED"/>
    <w:rsid w:val="005B4BED"/>
    <w:rsid w:val="005B4D02"/>
    <w:rsid w:val="005B51F5"/>
    <w:rsid w:val="005B556F"/>
    <w:rsid w:val="005B56FF"/>
    <w:rsid w:val="005B5FA7"/>
    <w:rsid w:val="005B7601"/>
    <w:rsid w:val="005B78E7"/>
    <w:rsid w:val="005B797D"/>
    <w:rsid w:val="005B7C18"/>
    <w:rsid w:val="005C001A"/>
    <w:rsid w:val="005C0800"/>
    <w:rsid w:val="005C0853"/>
    <w:rsid w:val="005C0FE9"/>
    <w:rsid w:val="005C153B"/>
    <w:rsid w:val="005C18E0"/>
    <w:rsid w:val="005C1D8B"/>
    <w:rsid w:val="005C2408"/>
    <w:rsid w:val="005C2633"/>
    <w:rsid w:val="005C2E18"/>
    <w:rsid w:val="005C2F9C"/>
    <w:rsid w:val="005C2FB7"/>
    <w:rsid w:val="005C34AA"/>
    <w:rsid w:val="005C3516"/>
    <w:rsid w:val="005C3581"/>
    <w:rsid w:val="005C3864"/>
    <w:rsid w:val="005C3AE8"/>
    <w:rsid w:val="005C3B6A"/>
    <w:rsid w:val="005C3F9A"/>
    <w:rsid w:val="005C43D5"/>
    <w:rsid w:val="005C46DE"/>
    <w:rsid w:val="005C481A"/>
    <w:rsid w:val="005C4B8B"/>
    <w:rsid w:val="005C4BB6"/>
    <w:rsid w:val="005C4DDB"/>
    <w:rsid w:val="005C4F51"/>
    <w:rsid w:val="005C5298"/>
    <w:rsid w:val="005C5444"/>
    <w:rsid w:val="005C5B57"/>
    <w:rsid w:val="005C60F8"/>
    <w:rsid w:val="005C66BD"/>
    <w:rsid w:val="005C6D95"/>
    <w:rsid w:val="005C6F88"/>
    <w:rsid w:val="005C72A9"/>
    <w:rsid w:val="005C7585"/>
    <w:rsid w:val="005D01A8"/>
    <w:rsid w:val="005D0BB3"/>
    <w:rsid w:val="005D0E8B"/>
    <w:rsid w:val="005D1019"/>
    <w:rsid w:val="005D14B3"/>
    <w:rsid w:val="005D1540"/>
    <w:rsid w:val="005D196B"/>
    <w:rsid w:val="005D1BEA"/>
    <w:rsid w:val="005D1FDA"/>
    <w:rsid w:val="005D21AD"/>
    <w:rsid w:val="005D23F4"/>
    <w:rsid w:val="005D2887"/>
    <w:rsid w:val="005D2EF2"/>
    <w:rsid w:val="005D2F4D"/>
    <w:rsid w:val="005D3000"/>
    <w:rsid w:val="005D3183"/>
    <w:rsid w:val="005D327D"/>
    <w:rsid w:val="005D33A5"/>
    <w:rsid w:val="005D3552"/>
    <w:rsid w:val="005D3635"/>
    <w:rsid w:val="005D372C"/>
    <w:rsid w:val="005D40F5"/>
    <w:rsid w:val="005D4153"/>
    <w:rsid w:val="005D438D"/>
    <w:rsid w:val="005D4693"/>
    <w:rsid w:val="005D46AE"/>
    <w:rsid w:val="005D48B2"/>
    <w:rsid w:val="005D4A42"/>
    <w:rsid w:val="005D4AA4"/>
    <w:rsid w:val="005D4F75"/>
    <w:rsid w:val="005D5148"/>
    <w:rsid w:val="005D5158"/>
    <w:rsid w:val="005D6186"/>
    <w:rsid w:val="005D61A5"/>
    <w:rsid w:val="005D633A"/>
    <w:rsid w:val="005D6349"/>
    <w:rsid w:val="005D6424"/>
    <w:rsid w:val="005D67F8"/>
    <w:rsid w:val="005D6A20"/>
    <w:rsid w:val="005D6B25"/>
    <w:rsid w:val="005D6DA5"/>
    <w:rsid w:val="005D6EA1"/>
    <w:rsid w:val="005D744A"/>
    <w:rsid w:val="005D7693"/>
    <w:rsid w:val="005D7F40"/>
    <w:rsid w:val="005D7F47"/>
    <w:rsid w:val="005E091A"/>
    <w:rsid w:val="005E0C13"/>
    <w:rsid w:val="005E0F61"/>
    <w:rsid w:val="005E11D2"/>
    <w:rsid w:val="005E14C4"/>
    <w:rsid w:val="005E1573"/>
    <w:rsid w:val="005E184B"/>
    <w:rsid w:val="005E1CFA"/>
    <w:rsid w:val="005E1EF0"/>
    <w:rsid w:val="005E229B"/>
    <w:rsid w:val="005E2809"/>
    <w:rsid w:val="005E3216"/>
    <w:rsid w:val="005E3449"/>
    <w:rsid w:val="005E34EF"/>
    <w:rsid w:val="005E490F"/>
    <w:rsid w:val="005E497A"/>
    <w:rsid w:val="005E4B74"/>
    <w:rsid w:val="005E4DF8"/>
    <w:rsid w:val="005E4E5E"/>
    <w:rsid w:val="005E5022"/>
    <w:rsid w:val="005E525D"/>
    <w:rsid w:val="005E58BE"/>
    <w:rsid w:val="005E5968"/>
    <w:rsid w:val="005E5B39"/>
    <w:rsid w:val="005E6091"/>
    <w:rsid w:val="005E629E"/>
    <w:rsid w:val="005E6D45"/>
    <w:rsid w:val="005E731A"/>
    <w:rsid w:val="005E7438"/>
    <w:rsid w:val="005E769A"/>
    <w:rsid w:val="005E789F"/>
    <w:rsid w:val="005E79C0"/>
    <w:rsid w:val="005E79C9"/>
    <w:rsid w:val="005E7A19"/>
    <w:rsid w:val="005E7AAC"/>
    <w:rsid w:val="005E7FFE"/>
    <w:rsid w:val="005F09B3"/>
    <w:rsid w:val="005F144A"/>
    <w:rsid w:val="005F16EB"/>
    <w:rsid w:val="005F171A"/>
    <w:rsid w:val="005F1B29"/>
    <w:rsid w:val="005F1D4B"/>
    <w:rsid w:val="005F1E8F"/>
    <w:rsid w:val="005F2012"/>
    <w:rsid w:val="005F2377"/>
    <w:rsid w:val="005F23B0"/>
    <w:rsid w:val="005F2E99"/>
    <w:rsid w:val="005F2EA4"/>
    <w:rsid w:val="005F2EF4"/>
    <w:rsid w:val="005F2F62"/>
    <w:rsid w:val="005F30AC"/>
    <w:rsid w:val="005F3517"/>
    <w:rsid w:val="005F356B"/>
    <w:rsid w:val="005F3C02"/>
    <w:rsid w:val="005F406E"/>
    <w:rsid w:val="005F40FD"/>
    <w:rsid w:val="005F442D"/>
    <w:rsid w:val="005F471D"/>
    <w:rsid w:val="005F4935"/>
    <w:rsid w:val="005F4A25"/>
    <w:rsid w:val="005F4E74"/>
    <w:rsid w:val="005F5135"/>
    <w:rsid w:val="005F5651"/>
    <w:rsid w:val="005F5711"/>
    <w:rsid w:val="005F5F96"/>
    <w:rsid w:val="005F62E1"/>
    <w:rsid w:val="005F6314"/>
    <w:rsid w:val="005F65F6"/>
    <w:rsid w:val="005F6A3E"/>
    <w:rsid w:val="005F70E1"/>
    <w:rsid w:val="005F729E"/>
    <w:rsid w:val="005F7831"/>
    <w:rsid w:val="005F7E4B"/>
    <w:rsid w:val="005F7F42"/>
    <w:rsid w:val="006001F5"/>
    <w:rsid w:val="0060034C"/>
    <w:rsid w:val="0060079E"/>
    <w:rsid w:val="006007D9"/>
    <w:rsid w:val="006011FE"/>
    <w:rsid w:val="0060131D"/>
    <w:rsid w:val="00601340"/>
    <w:rsid w:val="00601A6E"/>
    <w:rsid w:val="00601E3D"/>
    <w:rsid w:val="006020AA"/>
    <w:rsid w:val="00602A1C"/>
    <w:rsid w:val="00602C00"/>
    <w:rsid w:val="00602DFD"/>
    <w:rsid w:val="00603E49"/>
    <w:rsid w:val="006041B4"/>
    <w:rsid w:val="006042B4"/>
    <w:rsid w:val="00604A62"/>
    <w:rsid w:val="00604D9D"/>
    <w:rsid w:val="00604EEA"/>
    <w:rsid w:val="006052CE"/>
    <w:rsid w:val="00605379"/>
    <w:rsid w:val="006053CC"/>
    <w:rsid w:val="00605444"/>
    <w:rsid w:val="0060552A"/>
    <w:rsid w:val="0060579F"/>
    <w:rsid w:val="00605C59"/>
    <w:rsid w:val="00605CFB"/>
    <w:rsid w:val="0060633F"/>
    <w:rsid w:val="006068BF"/>
    <w:rsid w:val="00606964"/>
    <w:rsid w:val="00606A9E"/>
    <w:rsid w:val="00606D11"/>
    <w:rsid w:val="00606E01"/>
    <w:rsid w:val="00606EA6"/>
    <w:rsid w:val="00606FEC"/>
    <w:rsid w:val="0060780C"/>
    <w:rsid w:val="0061027A"/>
    <w:rsid w:val="006104FD"/>
    <w:rsid w:val="00610881"/>
    <w:rsid w:val="00610DBC"/>
    <w:rsid w:val="006110FD"/>
    <w:rsid w:val="00611119"/>
    <w:rsid w:val="00611183"/>
    <w:rsid w:val="00611300"/>
    <w:rsid w:val="00611428"/>
    <w:rsid w:val="0061147D"/>
    <w:rsid w:val="006115CE"/>
    <w:rsid w:val="00611A9D"/>
    <w:rsid w:val="00612087"/>
    <w:rsid w:val="00612D96"/>
    <w:rsid w:val="00612EE2"/>
    <w:rsid w:val="00613114"/>
    <w:rsid w:val="006134E9"/>
    <w:rsid w:val="00613777"/>
    <w:rsid w:val="00613E51"/>
    <w:rsid w:val="00614178"/>
    <w:rsid w:val="00614880"/>
    <w:rsid w:val="00614930"/>
    <w:rsid w:val="00614B2E"/>
    <w:rsid w:val="00614D02"/>
    <w:rsid w:val="00615042"/>
    <w:rsid w:val="00615064"/>
    <w:rsid w:val="00615317"/>
    <w:rsid w:val="006156CB"/>
    <w:rsid w:val="00615748"/>
    <w:rsid w:val="00615F3A"/>
    <w:rsid w:val="0061611B"/>
    <w:rsid w:val="0061649C"/>
    <w:rsid w:val="0061652C"/>
    <w:rsid w:val="0061665B"/>
    <w:rsid w:val="00616D68"/>
    <w:rsid w:val="0061704A"/>
    <w:rsid w:val="0061768E"/>
    <w:rsid w:val="00617A29"/>
    <w:rsid w:val="00620697"/>
    <w:rsid w:val="00620D38"/>
    <w:rsid w:val="0062111A"/>
    <w:rsid w:val="00621626"/>
    <w:rsid w:val="006216C0"/>
    <w:rsid w:val="006216E8"/>
    <w:rsid w:val="00621B1E"/>
    <w:rsid w:val="006221DF"/>
    <w:rsid w:val="00622366"/>
    <w:rsid w:val="00622526"/>
    <w:rsid w:val="00622846"/>
    <w:rsid w:val="006229D0"/>
    <w:rsid w:val="00622A95"/>
    <w:rsid w:val="00622E0C"/>
    <w:rsid w:val="00623283"/>
    <w:rsid w:val="0062329C"/>
    <w:rsid w:val="00623381"/>
    <w:rsid w:val="006233A6"/>
    <w:rsid w:val="00623EF1"/>
    <w:rsid w:val="00623FA9"/>
    <w:rsid w:val="0062411D"/>
    <w:rsid w:val="006244B3"/>
    <w:rsid w:val="00624503"/>
    <w:rsid w:val="00624528"/>
    <w:rsid w:val="00624CAE"/>
    <w:rsid w:val="00624E48"/>
    <w:rsid w:val="00625A11"/>
    <w:rsid w:val="00625FAC"/>
    <w:rsid w:val="006261C8"/>
    <w:rsid w:val="00626267"/>
    <w:rsid w:val="00626659"/>
    <w:rsid w:val="00626812"/>
    <w:rsid w:val="0062698E"/>
    <w:rsid w:val="00626EF7"/>
    <w:rsid w:val="00626F8E"/>
    <w:rsid w:val="00627071"/>
    <w:rsid w:val="0062711F"/>
    <w:rsid w:val="006277F8"/>
    <w:rsid w:val="00627ABE"/>
    <w:rsid w:val="0063002B"/>
    <w:rsid w:val="0063038F"/>
    <w:rsid w:val="0063071E"/>
    <w:rsid w:val="006308D8"/>
    <w:rsid w:val="00630907"/>
    <w:rsid w:val="00630D73"/>
    <w:rsid w:val="006313F0"/>
    <w:rsid w:val="006316FB"/>
    <w:rsid w:val="00631C74"/>
    <w:rsid w:val="00631F3E"/>
    <w:rsid w:val="00632065"/>
    <w:rsid w:val="00632233"/>
    <w:rsid w:val="00632617"/>
    <w:rsid w:val="0063268E"/>
    <w:rsid w:val="00632D7F"/>
    <w:rsid w:val="00633142"/>
    <w:rsid w:val="00633449"/>
    <w:rsid w:val="006339EC"/>
    <w:rsid w:val="00633B3E"/>
    <w:rsid w:val="0063464B"/>
    <w:rsid w:val="006349D3"/>
    <w:rsid w:val="00634B4A"/>
    <w:rsid w:val="00634C4B"/>
    <w:rsid w:val="00635160"/>
    <w:rsid w:val="006359C5"/>
    <w:rsid w:val="00635E6F"/>
    <w:rsid w:val="00636132"/>
    <w:rsid w:val="00636507"/>
    <w:rsid w:val="006366EC"/>
    <w:rsid w:val="00636A4C"/>
    <w:rsid w:val="006370BA"/>
    <w:rsid w:val="006370C7"/>
    <w:rsid w:val="006378CC"/>
    <w:rsid w:val="00637E27"/>
    <w:rsid w:val="0064041A"/>
    <w:rsid w:val="0064090E"/>
    <w:rsid w:val="00640948"/>
    <w:rsid w:val="00640AB8"/>
    <w:rsid w:val="00640D0C"/>
    <w:rsid w:val="0064107D"/>
    <w:rsid w:val="00641293"/>
    <w:rsid w:val="006412C8"/>
    <w:rsid w:val="006415CB"/>
    <w:rsid w:val="00641E06"/>
    <w:rsid w:val="00641FB5"/>
    <w:rsid w:val="00642277"/>
    <w:rsid w:val="006424A3"/>
    <w:rsid w:val="00642B24"/>
    <w:rsid w:val="006430A9"/>
    <w:rsid w:val="00643171"/>
    <w:rsid w:val="006439B3"/>
    <w:rsid w:val="00643A5B"/>
    <w:rsid w:val="00643B2F"/>
    <w:rsid w:val="00644284"/>
    <w:rsid w:val="006449BE"/>
    <w:rsid w:val="00644A9F"/>
    <w:rsid w:val="00644D47"/>
    <w:rsid w:val="00644D4F"/>
    <w:rsid w:val="0064502F"/>
    <w:rsid w:val="006458DD"/>
    <w:rsid w:val="006460BC"/>
    <w:rsid w:val="0064697B"/>
    <w:rsid w:val="00646AC5"/>
    <w:rsid w:val="00647353"/>
    <w:rsid w:val="006473DB"/>
    <w:rsid w:val="00647D6F"/>
    <w:rsid w:val="006503AC"/>
    <w:rsid w:val="00650435"/>
    <w:rsid w:val="00650AA1"/>
    <w:rsid w:val="00650D4A"/>
    <w:rsid w:val="00650E9A"/>
    <w:rsid w:val="006516F5"/>
    <w:rsid w:val="0065191A"/>
    <w:rsid w:val="00651B3D"/>
    <w:rsid w:val="00651D0B"/>
    <w:rsid w:val="006526CD"/>
    <w:rsid w:val="006535AC"/>
    <w:rsid w:val="00654054"/>
    <w:rsid w:val="00654297"/>
    <w:rsid w:val="0065462C"/>
    <w:rsid w:val="00654858"/>
    <w:rsid w:val="00654B93"/>
    <w:rsid w:val="00654FDA"/>
    <w:rsid w:val="00655002"/>
    <w:rsid w:val="006550E8"/>
    <w:rsid w:val="006556AE"/>
    <w:rsid w:val="00655BA5"/>
    <w:rsid w:val="0065619C"/>
    <w:rsid w:val="006561B4"/>
    <w:rsid w:val="00656403"/>
    <w:rsid w:val="00656ACF"/>
    <w:rsid w:val="00656C5B"/>
    <w:rsid w:val="00656C65"/>
    <w:rsid w:val="00657104"/>
    <w:rsid w:val="00657630"/>
    <w:rsid w:val="00660B6D"/>
    <w:rsid w:val="0066146E"/>
    <w:rsid w:val="00661BE4"/>
    <w:rsid w:val="0066298E"/>
    <w:rsid w:val="00662DC1"/>
    <w:rsid w:val="00662F49"/>
    <w:rsid w:val="006633DB"/>
    <w:rsid w:val="006633F4"/>
    <w:rsid w:val="00663478"/>
    <w:rsid w:val="00663A70"/>
    <w:rsid w:val="00664DCA"/>
    <w:rsid w:val="00664E75"/>
    <w:rsid w:val="006651ED"/>
    <w:rsid w:val="00665B4D"/>
    <w:rsid w:val="00665B55"/>
    <w:rsid w:val="00665B94"/>
    <w:rsid w:val="00665BE5"/>
    <w:rsid w:val="00666106"/>
    <w:rsid w:val="00666617"/>
    <w:rsid w:val="00666DBB"/>
    <w:rsid w:val="006671D8"/>
    <w:rsid w:val="00667E62"/>
    <w:rsid w:val="00670128"/>
    <w:rsid w:val="0067028B"/>
    <w:rsid w:val="00670813"/>
    <w:rsid w:val="006710A1"/>
    <w:rsid w:val="00671341"/>
    <w:rsid w:val="00672025"/>
    <w:rsid w:val="006725F7"/>
    <w:rsid w:val="00672BFC"/>
    <w:rsid w:val="00672FD7"/>
    <w:rsid w:val="006730F3"/>
    <w:rsid w:val="00673265"/>
    <w:rsid w:val="0067356A"/>
    <w:rsid w:val="00673588"/>
    <w:rsid w:val="006735B5"/>
    <w:rsid w:val="00673888"/>
    <w:rsid w:val="00673D99"/>
    <w:rsid w:val="00674340"/>
    <w:rsid w:val="006743A4"/>
    <w:rsid w:val="0067470A"/>
    <w:rsid w:val="006756E1"/>
    <w:rsid w:val="0067581E"/>
    <w:rsid w:val="00675A33"/>
    <w:rsid w:val="00675BB8"/>
    <w:rsid w:val="00675EA5"/>
    <w:rsid w:val="00675F03"/>
    <w:rsid w:val="006760D0"/>
    <w:rsid w:val="0067637C"/>
    <w:rsid w:val="00676D0B"/>
    <w:rsid w:val="00676D23"/>
    <w:rsid w:val="00676F08"/>
    <w:rsid w:val="00676F2C"/>
    <w:rsid w:val="00677797"/>
    <w:rsid w:val="006778BE"/>
    <w:rsid w:val="00677D57"/>
    <w:rsid w:val="006805E3"/>
    <w:rsid w:val="00681281"/>
    <w:rsid w:val="0068133F"/>
    <w:rsid w:val="0068139D"/>
    <w:rsid w:val="00681713"/>
    <w:rsid w:val="00681E19"/>
    <w:rsid w:val="00681EF8"/>
    <w:rsid w:val="00681FC9"/>
    <w:rsid w:val="0068217D"/>
    <w:rsid w:val="0068229C"/>
    <w:rsid w:val="00682A40"/>
    <w:rsid w:val="006839B0"/>
    <w:rsid w:val="00683A14"/>
    <w:rsid w:val="00683AB6"/>
    <w:rsid w:val="00683BA2"/>
    <w:rsid w:val="00683D04"/>
    <w:rsid w:val="006845C3"/>
    <w:rsid w:val="00684A06"/>
    <w:rsid w:val="00684AD1"/>
    <w:rsid w:val="00684B45"/>
    <w:rsid w:val="00684F2E"/>
    <w:rsid w:val="00684F73"/>
    <w:rsid w:val="00685FC7"/>
    <w:rsid w:val="00686215"/>
    <w:rsid w:val="006862B6"/>
    <w:rsid w:val="00686338"/>
    <w:rsid w:val="0068686E"/>
    <w:rsid w:val="00686AB2"/>
    <w:rsid w:val="00686C83"/>
    <w:rsid w:val="0068706A"/>
    <w:rsid w:val="00687078"/>
    <w:rsid w:val="00687633"/>
    <w:rsid w:val="006878BB"/>
    <w:rsid w:val="0068798E"/>
    <w:rsid w:val="00687BF0"/>
    <w:rsid w:val="00687CB6"/>
    <w:rsid w:val="00687FB5"/>
    <w:rsid w:val="006901F0"/>
    <w:rsid w:val="00690896"/>
    <w:rsid w:val="00691085"/>
    <w:rsid w:val="0069144D"/>
    <w:rsid w:val="0069162F"/>
    <w:rsid w:val="006916FE"/>
    <w:rsid w:val="0069179E"/>
    <w:rsid w:val="00691E1E"/>
    <w:rsid w:val="00692B24"/>
    <w:rsid w:val="00692B5A"/>
    <w:rsid w:val="00692D79"/>
    <w:rsid w:val="00692DEF"/>
    <w:rsid w:val="00692E42"/>
    <w:rsid w:val="00693496"/>
    <w:rsid w:val="00693C67"/>
    <w:rsid w:val="0069437E"/>
    <w:rsid w:val="00694532"/>
    <w:rsid w:val="006946B8"/>
    <w:rsid w:val="0069479A"/>
    <w:rsid w:val="006948A4"/>
    <w:rsid w:val="006950AB"/>
    <w:rsid w:val="00695713"/>
    <w:rsid w:val="00695D98"/>
    <w:rsid w:val="00695F46"/>
    <w:rsid w:val="006963BE"/>
    <w:rsid w:val="0069695D"/>
    <w:rsid w:val="00696AFE"/>
    <w:rsid w:val="00696BD8"/>
    <w:rsid w:val="00697382"/>
    <w:rsid w:val="006977E1"/>
    <w:rsid w:val="00697BCC"/>
    <w:rsid w:val="00697C02"/>
    <w:rsid w:val="006A0A64"/>
    <w:rsid w:val="006A10A6"/>
    <w:rsid w:val="006A1263"/>
    <w:rsid w:val="006A130E"/>
    <w:rsid w:val="006A13D3"/>
    <w:rsid w:val="006A155B"/>
    <w:rsid w:val="006A1702"/>
    <w:rsid w:val="006A1704"/>
    <w:rsid w:val="006A1803"/>
    <w:rsid w:val="006A1806"/>
    <w:rsid w:val="006A1992"/>
    <w:rsid w:val="006A19AF"/>
    <w:rsid w:val="006A1A80"/>
    <w:rsid w:val="006A1E11"/>
    <w:rsid w:val="006A1E52"/>
    <w:rsid w:val="006A2001"/>
    <w:rsid w:val="006A258C"/>
    <w:rsid w:val="006A2962"/>
    <w:rsid w:val="006A36C7"/>
    <w:rsid w:val="006A3782"/>
    <w:rsid w:val="006A3933"/>
    <w:rsid w:val="006A3D75"/>
    <w:rsid w:val="006A3F77"/>
    <w:rsid w:val="006A43BB"/>
    <w:rsid w:val="006A4578"/>
    <w:rsid w:val="006A45DE"/>
    <w:rsid w:val="006A4AB8"/>
    <w:rsid w:val="006A4BE2"/>
    <w:rsid w:val="006A4CCE"/>
    <w:rsid w:val="006A4E1D"/>
    <w:rsid w:val="006A5022"/>
    <w:rsid w:val="006A53A5"/>
    <w:rsid w:val="006A5636"/>
    <w:rsid w:val="006A5732"/>
    <w:rsid w:val="006A5955"/>
    <w:rsid w:val="006A5C21"/>
    <w:rsid w:val="006A5D95"/>
    <w:rsid w:val="006A5EE0"/>
    <w:rsid w:val="006A63DC"/>
    <w:rsid w:val="006A651B"/>
    <w:rsid w:val="006A6EC8"/>
    <w:rsid w:val="006A777A"/>
    <w:rsid w:val="006A7E65"/>
    <w:rsid w:val="006A7E79"/>
    <w:rsid w:val="006B0145"/>
    <w:rsid w:val="006B04AF"/>
    <w:rsid w:val="006B1143"/>
    <w:rsid w:val="006B1147"/>
    <w:rsid w:val="006B1683"/>
    <w:rsid w:val="006B1713"/>
    <w:rsid w:val="006B238E"/>
    <w:rsid w:val="006B25D7"/>
    <w:rsid w:val="006B299B"/>
    <w:rsid w:val="006B2E60"/>
    <w:rsid w:val="006B2FB2"/>
    <w:rsid w:val="006B325F"/>
    <w:rsid w:val="006B38A9"/>
    <w:rsid w:val="006B40A6"/>
    <w:rsid w:val="006B4488"/>
    <w:rsid w:val="006B46E7"/>
    <w:rsid w:val="006B4B3B"/>
    <w:rsid w:val="006B4D3A"/>
    <w:rsid w:val="006B4E20"/>
    <w:rsid w:val="006B554B"/>
    <w:rsid w:val="006B5798"/>
    <w:rsid w:val="006B59DC"/>
    <w:rsid w:val="006B6168"/>
    <w:rsid w:val="006B627C"/>
    <w:rsid w:val="006B62BE"/>
    <w:rsid w:val="006B6586"/>
    <w:rsid w:val="006B674A"/>
    <w:rsid w:val="006B6BEE"/>
    <w:rsid w:val="006B74CC"/>
    <w:rsid w:val="006B7598"/>
    <w:rsid w:val="006B76B4"/>
    <w:rsid w:val="006B77DC"/>
    <w:rsid w:val="006B7EC6"/>
    <w:rsid w:val="006C05E8"/>
    <w:rsid w:val="006C0AA5"/>
    <w:rsid w:val="006C0BD3"/>
    <w:rsid w:val="006C0BEA"/>
    <w:rsid w:val="006C0EBA"/>
    <w:rsid w:val="006C0ECE"/>
    <w:rsid w:val="006C1059"/>
    <w:rsid w:val="006C1183"/>
    <w:rsid w:val="006C1345"/>
    <w:rsid w:val="006C1448"/>
    <w:rsid w:val="006C156E"/>
    <w:rsid w:val="006C18C0"/>
    <w:rsid w:val="006C193D"/>
    <w:rsid w:val="006C1A20"/>
    <w:rsid w:val="006C1B69"/>
    <w:rsid w:val="006C2C66"/>
    <w:rsid w:val="006C2F53"/>
    <w:rsid w:val="006C31D6"/>
    <w:rsid w:val="006C3E0B"/>
    <w:rsid w:val="006C3E55"/>
    <w:rsid w:val="006C4796"/>
    <w:rsid w:val="006C4F1A"/>
    <w:rsid w:val="006C5B44"/>
    <w:rsid w:val="006C5DA4"/>
    <w:rsid w:val="006C5ED2"/>
    <w:rsid w:val="006C6109"/>
    <w:rsid w:val="006C61D4"/>
    <w:rsid w:val="006C6E58"/>
    <w:rsid w:val="006C72E5"/>
    <w:rsid w:val="006C75E0"/>
    <w:rsid w:val="006C7875"/>
    <w:rsid w:val="006C7A94"/>
    <w:rsid w:val="006C7F87"/>
    <w:rsid w:val="006D0423"/>
    <w:rsid w:val="006D0463"/>
    <w:rsid w:val="006D0B79"/>
    <w:rsid w:val="006D0D84"/>
    <w:rsid w:val="006D0EEE"/>
    <w:rsid w:val="006D1109"/>
    <w:rsid w:val="006D1226"/>
    <w:rsid w:val="006D1664"/>
    <w:rsid w:val="006D1762"/>
    <w:rsid w:val="006D1A7D"/>
    <w:rsid w:val="006D1A9E"/>
    <w:rsid w:val="006D23EE"/>
    <w:rsid w:val="006D24A6"/>
    <w:rsid w:val="006D26E8"/>
    <w:rsid w:val="006D29FC"/>
    <w:rsid w:val="006D2BA4"/>
    <w:rsid w:val="006D2CD3"/>
    <w:rsid w:val="006D3091"/>
    <w:rsid w:val="006D3A3B"/>
    <w:rsid w:val="006D3CE1"/>
    <w:rsid w:val="006D4695"/>
    <w:rsid w:val="006D4AD1"/>
    <w:rsid w:val="006D4BB8"/>
    <w:rsid w:val="006D568E"/>
    <w:rsid w:val="006D5A3C"/>
    <w:rsid w:val="006D5BAC"/>
    <w:rsid w:val="006D5D1E"/>
    <w:rsid w:val="006D636E"/>
    <w:rsid w:val="006D711E"/>
    <w:rsid w:val="006D7946"/>
    <w:rsid w:val="006D7BA8"/>
    <w:rsid w:val="006E0104"/>
    <w:rsid w:val="006E03EA"/>
    <w:rsid w:val="006E065B"/>
    <w:rsid w:val="006E0767"/>
    <w:rsid w:val="006E0C46"/>
    <w:rsid w:val="006E0F56"/>
    <w:rsid w:val="006E13EF"/>
    <w:rsid w:val="006E1B93"/>
    <w:rsid w:val="006E230A"/>
    <w:rsid w:val="006E249B"/>
    <w:rsid w:val="006E24F1"/>
    <w:rsid w:val="006E274B"/>
    <w:rsid w:val="006E2A96"/>
    <w:rsid w:val="006E314F"/>
    <w:rsid w:val="006E31B4"/>
    <w:rsid w:val="006E3E01"/>
    <w:rsid w:val="006E4247"/>
    <w:rsid w:val="006E4FB0"/>
    <w:rsid w:val="006E4FCD"/>
    <w:rsid w:val="006E5084"/>
    <w:rsid w:val="006E5523"/>
    <w:rsid w:val="006E5524"/>
    <w:rsid w:val="006E56C0"/>
    <w:rsid w:val="006E5914"/>
    <w:rsid w:val="006E5C3D"/>
    <w:rsid w:val="006E6AB8"/>
    <w:rsid w:val="006E6C9A"/>
    <w:rsid w:val="006E706D"/>
    <w:rsid w:val="006E7487"/>
    <w:rsid w:val="006E757D"/>
    <w:rsid w:val="006E75BB"/>
    <w:rsid w:val="006E779D"/>
    <w:rsid w:val="006E7B90"/>
    <w:rsid w:val="006E7C6D"/>
    <w:rsid w:val="006F0543"/>
    <w:rsid w:val="006F0624"/>
    <w:rsid w:val="006F0AC0"/>
    <w:rsid w:val="006F0BAF"/>
    <w:rsid w:val="006F127C"/>
    <w:rsid w:val="006F146E"/>
    <w:rsid w:val="006F16C8"/>
    <w:rsid w:val="006F1A09"/>
    <w:rsid w:val="006F1A33"/>
    <w:rsid w:val="006F1D4C"/>
    <w:rsid w:val="006F2C9B"/>
    <w:rsid w:val="006F2D1C"/>
    <w:rsid w:val="006F2DBD"/>
    <w:rsid w:val="006F2F5B"/>
    <w:rsid w:val="006F3139"/>
    <w:rsid w:val="006F36E7"/>
    <w:rsid w:val="006F3768"/>
    <w:rsid w:val="006F38F6"/>
    <w:rsid w:val="006F3910"/>
    <w:rsid w:val="006F3CE0"/>
    <w:rsid w:val="006F3D0F"/>
    <w:rsid w:val="006F3D9A"/>
    <w:rsid w:val="006F3EB8"/>
    <w:rsid w:val="006F43C1"/>
    <w:rsid w:val="006F45E9"/>
    <w:rsid w:val="006F4607"/>
    <w:rsid w:val="006F46BE"/>
    <w:rsid w:val="006F47D2"/>
    <w:rsid w:val="006F4F9D"/>
    <w:rsid w:val="006F560D"/>
    <w:rsid w:val="006F61DF"/>
    <w:rsid w:val="006F6336"/>
    <w:rsid w:val="006F672B"/>
    <w:rsid w:val="006F6A89"/>
    <w:rsid w:val="006F6DB2"/>
    <w:rsid w:val="006F72F9"/>
    <w:rsid w:val="006F74AC"/>
    <w:rsid w:val="006F753A"/>
    <w:rsid w:val="006F77FA"/>
    <w:rsid w:val="006F7988"/>
    <w:rsid w:val="006F7A19"/>
    <w:rsid w:val="006F7B24"/>
    <w:rsid w:val="006F7B2A"/>
    <w:rsid w:val="006F7E52"/>
    <w:rsid w:val="00700055"/>
    <w:rsid w:val="007004C3"/>
    <w:rsid w:val="00700D75"/>
    <w:rsid w:val="007014EE"/>
    <w:rsid w:val="0070151C"/>
    <w:rsid w:val="00701F20"/>
    <w:rsid w:val="0070231A"/>
    <w:rsid w:val="007024A5"/>
    <w:rsid w:val="0070296D"/>
    <w:rsid w:val="00702E19"/>
    <w:rsid w:val="00702E25"/>
    <w:rsid w:val="00702EDF"/>
    <w:rsid w:val="00703EC6"/>
    <w:rsid w:val="00703F26"/>
    <w:rsid w:val="00703F54"/>
    <w:rsid w:val="007040D7"/>
    <w:rsid w:val="0070460A"/>
    <w:rsid w:val="0070460B"/>
    <w:rsid w:val="007046BD"/>
    <w:rsid w:val="007048AF"/>
    <w:rsid w:val="00704EA2"/>
    <w:rsid w:val="00704F39"/>
    <w:rsid w:val="007056A4"/>
    <w:rsid w:val="007058D3"/>
    <w:rsid w:val="00705D5B"/>
    <w:rsid w:val="00705D61"/>
    <w:rsid w:val="00705FBB"/>
    <w:rsid w:val="0070608A"/>
    <w:rsid w:val="007066E5"/>
    <w:rsid w:val="00706764"/>
    <w:rsid w:val="007069FF"/>
    <w:rsid w:val="00706E21"/>
    <w:rsid w:val="00707388"/>
    <w:rsid w:val="0071041F"/>
    <w:rsid w:val="00710783"/>
    <w:rsid w:val="007107AE"/>
    <w:rsid w:val="00710E35"/>
    <w:rsid w:val="0071129C"/>
    <w:rsid w:val="007116B9"/>
    <w:rsid w:val="0071177C"/>
    <w:rsid w:val="00711BFF"/>
    <w:rsid w:val="00712901"/>
    <w:rsid w:val="00712BD1"/>
    <w:rsid w:val="00713122"/>
    <w:rsid w:val="007132C4"/>
    <w:rsid w:val="007133BA"/>
    <w:rsid w:val="00713485"/>
    <w:rsid w:val="007134A0"/>
    <w:rsid w:val="007136BF"/>
    <w:rsid w:val="00713D4B"/>
    <w:rsid w:val="00714074"/>
    <w:rsid w:val="00714292"/>
    <w:rsid w:val="00714521"/>
    <w:rsid w:val="007148C1"/>
    <w:rsid w:val="007148F3"/>
    <w:rsid w:val="00714A56"/>
    <w:rsid w:val="00714A9D"/>
    <w:rsid w:val="00715293"/>
    <w:rsid w:val="007153F2"/>
    <w:rsid w:val="007157B3"/>
    <w:rsid w:val="00715AD7"/>
    <w:rsid w:val="00715E98"/>
    <w:rsid w:val="00716216"/>
    <w:rsid w:val="007163B7"/>
    <w:rsid w:val="007168F4"/>
    <w:rsid w:val="0071704B"/>
    <w:rsid w:val="00717C69"/>
    <w:rsid w:val="00717CB9"/>
    <w:rsid w:val="00717CEF"/>
    <w:rsid w:val="00717E1B"/>
    <w:rsid w:val="007202B8"/>
    <w:rsid w:val="0072037E"/>
    <w:rsid w:val="00720449"/>
    <w:rsid w:val="0072110F"/>
    <w:rsid w:val="007216B4"/>
    <w:rsid w:val="00721BD2"/>
    <w:rsid w:val="00722406"/>
    <w:rsid w:val="00722577"/>
    <w:rsid w:val="007227B4"/>
    <w:rsid w:val="00723FA2"/>
    <w:rsid w:val="007240FA"/>
    <w:rsid w:val="00724304"/>
    <w:rsid w:val="007249AA"/>
    <w:rsid w:val="00724B56"/>
    <w:rsid w:val="007250D4"/>
    <w:rsid w:val="0072556F"/>
    <w:rsid w:val="007258EE"/>
    <w:rsid w:val="0072596F"/>
    <w:rsid w:val="00725B2A"/>
    <w:rsid w:val="00725C93"/>
    <w:rsid w:val="00725E29"/>
    <w:rsid w:val="00725E4E"/>
    <w:rsid w:val="00725F37"/>
    <w:rsid w:val="0072618D"/>
    <w:rsid w:val="0072672E"/>
    <w:rsid w:val="007267E4"/>
    <w:rsid w:val="00726BE5"/>
    <w:rsid w:val="00727B9E"/>
    <w:rsid w:val="0073035D"/>
    <w:rsid w:val="00730425"/>
    <w:rsid w:val="007306A0"/>
    <w:rsid w:val="007308A6"/>
    <w:rsid w:val="00730A0A"/>
    <w:rsid w:val="00731CB5"/>
    <w:rsid w:val="00731DFC"/>
    <w:rsid w:val="00731FDD"/>
    <w:rsid w:val="00732906"/>
    <w:rsid w:val="00732983"/>
    <w:rsid w:val="00732AF0"/>
    <w:rsid w:val="00732C13"/>
    <w:rsid w:val="00732F8A"/>
    <w:rsid w:val="0073349E"/>
    <w:rsid w:val="00733BAE"/>
    <w:rsid w:val="00733D73"/>
    <w:rsid w:val="00734473"/>
    <w:rsid w:val="007344FD"/>
    <w:rsid w:val="007346C5"/>
    <w:rsid w:val="007347A6"/>
    <w:rsid w:val="00734869"/>
    <w:rsid w:val="00734AF9"/>
    <w:rsid w:val="00734D2E"/>
    <w:rsid w:val="00735032"/>
    <w:rsid w:val="00735495"/>
    <w:rsid w:val="00735578"/>
    <w:rsid w:val="00735893"/>
    <w:rsid w:val="00735899"/>
    <w:rsid w:val="00735AF5"/>
    <w:rsid w:val="007360A4"/>
    <w:rsid w:val="0073647D"/>
    <w:rsid w:val="007376EC"/>
    <w:rsid w:val="0073775C"/>
    <w:rsid w:val="007402FF"/>
    <w:rsid w:val="00740530"/>
    <w:rsid w:val="00740896"/>
    <w:rsid w:val="007408A3"/>
    <w:rsid w:val="00740AE3"/>
    <w:rsid w:val="00740B9C"/>
    <w:rsid w:val="00740E60"/>
    <w:rsid w:val="007411B0"/>
    <w:rsid w:val="007418FD"/>
    <w:rsid w:val="00741B98"/>
    <w:rsid w:val="00742007"/>
    <w:rsid w:val="0074240B"/>
    <w:rsid w:val="007424CA"/>
    <w:rsid w:val="00742679"/>
    <w:rsid w:val="00742A8D"/>
    <w:rsid w:val="007432F5"/>
    <w:rsid w:val="0074379D"/>
    <w:rsid w:val="007439D3"/>
    <w:rsid w:val="00743DAD"/>
    <w:rsid w:val="00744675"/>
    <w:rsid w:val="00744755"/>
    <w:rsid w:val="00744DAC"/>
    <w:rsid w:val="00744FEE"/>
    <w:rsid w:val="0074571A"/>
    <w:rsid w:val="00745A2F"/>
    <w:rsid w:val="00745A66"/>
    <w:rsid w:val="00746022"/>
    <w:rsid w:val="00746784"/>
    <w:rsid w:val="007468DB"/>
    <w:rsid w:val="007470BD"/>
    <w:rsid w:val="00750286"/>
    <w:rsid w:val="00750333"/>
    <w:rsid w:val="007503BD"/>
    <w:rsid w:val="00750A06"/>
    <w:rsid w:val="00750A79"/>
    <w:rsid w:val="00750DEB"/>
    <w:rsid w:val="00751322"/>
    <w:rsid w:val="007516D2"/>
    <w:rsid w:val="00751AAE"/>
    <w:rsid w:val="00751DFE"/>
    <w:rsid w:val="00751E55"/>
    <w:rsid w:val="007524A6"/>
    <w:rsid w:val="0075260F"/>
    <w:rsid w:val="007527F8"/>
    <w:rsid w:val="00752A3B"/>
    <w:rsid w:val="00752CAE"/>
    <w:rsid w:val="007530EF"/>
    <w:rsid w:val="00753304"/>
    <w:rsid w:val="007533AF"/>
    <w:rsid w:val="00753553"/>
    <w:rsid w:val="007536D8"/>
    <w:rsid w:val="0075395F"/>
    <w:rsid w:val="00753F66"/>
    <w:rsid w:val="00753F72"/>
    <w:rsid w:val="007543AD"/>
    <w:rsid w:val="00754792"/>
    <w:rsid w:val="00754810"/>
    <w:rsid w:val="00754C1C"/>
    <w:rsid w:val="00754E78"/>
    <w:rsid w:val="0075545B"/>
    <w:rsid w:val="007556D2"/>
    <w:rsid w:val="00755727"/>
    <w:rsid w:val="00755847"/>
    <w:rsid w:val="0075606D"/>
    <w:rsid w:val="007563BC"/>
    <w:rsid w:val="00756679"/>
    <w:rsid w:val="0075696E"/>
    <w:rsid w:val="00756FFA"/>
    <w:rsid w:val="007575DD"/>
    <w:rsid w:val="007604C2"/>
    <w:rsid w:val="00760A35"/>
    <w:rsid w:val="00760D84"/>
    <w:rsid w:val="00761039"/>
    <w:rsid w:val="0076166D"/>
    <w:rsid w:val="007616F2"/>
    <w:rsid w:val="00761AEF"/>
    <w:rsid w:val="00761C5E"/>
    <w:rsid w:val="00761E37"/>
    <w:rsid w:val="00761E41"/>
    <w:rsid w:val="007620AA"/>
    <w:rsid w:val="00762292"/>
    <w:rsid w:val="0076281C"/>
    <w:rsid w:val="0076294F"/>
    <w:rsid w:val="00762C92"/>
    <w:rsid w:val="00762E00"/>
    <w:rsid w:val="007630F6"/>
    <w:rsid w:val="00763656"/>
    <w:rsid w:val="00763765"/>
    <w:rsid w:val="00763ECF"/>
    <w:rsid w:val="0076400B"/>
    <w:rsid w:val="00764062"/>
    <w:rsid w:val="0076484F"/>
    <w:rsid w:val="00764A3E"/>
    <w:rsid w:val="00764A68"/>
    <w:rsid w:val="00765050"/>
    <w:rsid w:val="00765086"/>
    <w:rsid w:val="007654F3"/>
    <w:rsid w:val="00765669"/>
    <w:rsid w:val="00765C06"/>
    <w:rsid w:val="00765E21"/>
    <w:rsid w:val="0076614F"/>
    <w:rsid w:val="00766454"/>
    <w:rsid w:val="007664F4"/>
    <w:rsid w:val="00766ED8"/>
    <w:rsid w:val="0076713B"/>
    <w:rsid w:val="00767199"/>
    <w:rsid w:val="007677E8"/>
    <w:rsid w:val="007700C7"/>
    <w:rsid w:val="00770115"/>
    <w:rsid w:val="00770881"/>
    <w:rsid w:val="00770AB5"/>
    <w:rsid w:val="00770DDC"/>
    <w:rsid w:val="00770E42"/>
    <w:rsid w:val="007718A4"/>
    <w:rsid w:val="00771F1E"/>
    <w:rsid w:val="007721F2"/>
    <w:rsid w:val="00772372"/>
    <w:rsid w:val="007728F0"/>
    <w:rsid w:val="00773060"/>
    <w:rsid w:val="00773096"/>
    <w:rsid w:val="007730D7"/>
    <w:rsid w:val="00773310"/>
    <w:rsid w:val="00773330"/>
    <w:rsid w:val="007735DB"/>
    <w:rsid w:val="00773658"/>
    <w:rsid w:val="00773AAA"/>
    <w:rsid w:val="00773AC3"/>
    <w:rsid w:val="00773DB0"/>
    <w:rsid w:val="00773DFD"/>
    <w:rsid w:val="00773FA5"/>
    <w:rsid w:val="0077413E"/>
    <w:rsid w:val="007743EF"/>
    <w:rsid w:val="00774781"/>
    <w:rsid w:val="00774ECF"/>
    <w:rsid w:val="0077557B"/>
    <w:rsid w:val="00775B63"/>
    <w:rsid w:val="00775BBF"/>
    <w:rsid w:val="00776148"/>
    <w:rsid w:val="00776335"/>
    <w:rsid w:val="0077677D"/>
    <w:rsid w:val="007768BB"/>
    <w:rsid w:val="00776AB8"/>
    <w:rsid w:val="00776C73"/>
    <w:rsid w:val="00776D03"/>
    <w:rsid w:val="00776ED2"/>
    <w:rsid w:val="00776F1C"/>
    <w:rsid w:val="00777A74"/>
    <w:rsid w:val="00780127"/>
    <w:rsid w:val="00780145"/>
    <w:rsid w:val="007806FC"/>
    <w:rsid w:val="00780BD3"/>
    <w:rsid w:val="00780D05"/>
    <w:rsid w:val="00780DF5"/>
    <w:rsid w:val="00780E28"/>
    <w:rsid w:val="00781087"/>
    <w:rsid w:val="007812B8"/>
    <w:rsid w:val="007813C4"/>
    <w:rsid w:val="00781557"/>
    <w:rsid w:val="00781570"/>
    <w:rsid w:val="00781768"/>
    <w:rsid w:val="00781F9D"/>
    <w:rsid w:val="00782B1D"/>
    <w:rsid w:val="00782BEE"/>
    <w:rsid w:val="00782BFC"/>
    <w:rsid w:val="00783314"/>
    <w:rsid w:val="00783379"/>
    <w:rsid w:val="0078365C"/>
    <w:rsid w:val="007843D7"/>
    <w:rsid w:val="007847E7"/>
    <w:rsid w:val="0078485D"/>
    <w:rsid w:val="00784998"/>
    <w:rsid w:val="00785A60"/>
    <w:rsid w:val="00785BA9"/>
    <w:rsid w:val="00785E5B"/>
    <w:rsid w:val="007861D5"/>
    <w:rsid w:val="007865AD"/>
    <w:rsid w:val="00786698"/>
    <w:rsid w:val="00786E3C"/>
    <w:rsid w:val="00786E82"/>
    <w:rsid w:val="0078710A"/>
    <w:rsid w:val="00787301"/>
    <w:rsid w:val="0078766B"/>
    <w:rsid w:val="00787C2A"/>
    <w:rsid w:val="00787D13"/>
    <w:rsid w:val="00787D39"/>
    <w:rsid w:val="00790045"/>
    <w:rsid w:val="007902C2"/>
    <w:rsid w:val="00790439"/>
    <w:rsid w:val="00790738"/>
    <w:rsid w:val="0079081B"/>
    <w:rsid w:val="00790A79"/>
    <w:rsid w:val="007910DD"/>
    <w:rsid w:val="007912E8"/>
    <w:rsid w:val="0079142D"/>
    <w:rsid w:val="007917B5"/>
    <w:rsid w:val="00791847"/>
    <w:rsid w:val="00791E5C"/>
    <w:rsid w:val="0079225D"/>
    <w:rsid w:val="007926BE"/>
    <w:rsid w:val="0079274C"/>
    <w:rsid w:val="007928CC"/>
    <w:rsid w:val="00792BD8"/>
    <w:rsid w:val="00792E17"/>
    <w:rsid w:val="00793CC2"/>
    <w:rsid w:val="00794111"/>
    <w:rsid w:val="007947B6"/>
    <w:rsid w:val="00794812"/>
    <w:rsid w:val="00795757"/>
    <w:rsid w:val="00795811"/>
    <w:rsid w:val="0079582C"/>
    <w:rsid w:val="007959EE"/>
    <w:rsid w:val="00795A27"/>
    <w:rsid w:val="00795B8A"/>
    <w:rsid w:val="00795D3C"/>
    <w:rsid w:val="007960CD"/>
    <w:rsid w:val="00796494"/>
    <w:rsid w:val="0079692F"/>
    <w:rsid w:val="00796B13"/>
    <w:rsid w:val="00797505"/>
    <w:rsid w:val="00797725"/>
    <w:rsid w:val="007A066E"/>
    <w:rsid w:val="007A093C"/>
    <w:rsid w:val="007A11F3"/>
    <w:rsid w:val="007A13F0"/>
    <w:rsid w:val="007A16CB"/>
    <w:rsid w:val="007A24B4"/>
    <w:rsid w:val="007A25D8"/>
    <w:rsid w:val="007A26AC"/>
    <w:rsid w:val="007A274F"/>
    <w:rsid w:val="007A2796"/>
    <w:rsid w:val="007A287F"/>
    <w:rsid w:val="007A28C8"/>
    <w:rsid w:val="007A29F5"/>
    <w:rsid w:val="007A2F0E"/>
    <w:rsid w:val="007A2FB0"/>
    <w:rsid w:val="007A300D"/>
    <w:rsid w:val="007A338D"/>
    <w:rsid w:val="007A3818"/>
    <w:rsid w:val="007A3981"/>
    <w:rsid w:val="007A3CAC"/>
    <w:rsid w:val="007A3D99"/>
    <w:rsid w:val="007A4251"/>
    <w:rsid w:val="007A445F"/>
    <w:rsid w:val="007A4B48"/>
    <w:rsid w:val="007A4BD0"/>
    <w:rsid w:val="007A4D98"/>
    <w:rsid w:val="007A5078"/>
    <w:rsid w:val="007A51C1"/>
    <w:rsid w:val="007A52B3"/>
    <w:rsid w:val="007A54C9"/>
    <w:rsid w:val="007A5C24"/>
    <w:rsid w:val="007A5F20"/>
    <w:rsid w:val="007A6290"/>
    <w:rsid w:val="007A62DC"/>
    <w:rsid w:val="007A6384"/>
    <w:rsid w:val="007A6449"/>
    <w:rsid w:val="007A6AFF"/>
    <w:rsid w:val="007A6C36"/>
    <w:rsid w:val="007A6EE1"/>
    <w:rsid w:val="007A7244"/>
    <w:rsid w:val="007A744C"/>
    <w:rsid w:val="007A7629"/>
    <w:rsid w:val="007A7932"/>
    <w:rsid w:val="007A7A4F"/>
    <w:rsid w:val="007A7DD9"/>
    <w:rsid w:val="007B03F0"/>
    <w:rsid w:val="007B0B6F"/>
    <w:rsid w:val="007B0D18"/>
    <w:rsid w:val="007B1045"/>
    <w:rsid w:val="007B1141"/>
    <w:rsid w:val="007B1142"/>
    <w:rsid w:val="007B13DF"/>
    <w:rsid w:val="007B1B6D"/>
    <w:rsid w:val="007B2052"/>
    <w:rsid w:val="007B2122"/>
    <w:rsid w:val="007B2404"/>
    <w:rsid w:val="007B413B"/>
    <w:rsid w:val="007B427E"/>
    <w:rsid w:val="007B44D1"/>
    <w:rsid w:val="007B46DA"/>
    <w:rsid w:val="007B4893"/>
    <w:rsid w:val="007B6299"/>
    <w:rsid w:val="007B67FA"/>
    <w:rsid w:val="007B6A2A"/>
    <w:rsid w:val="007B6D32"/>
    <w:rsid w:val="007B6E4F"/>
    <w:rsid w:val="007B6ECC"/>
    <w:rsid w:val="007B76BB"/>
    <w:rsid w:val="007B7A77"/>
    <w:rsid w:val="007B7ACD"/>
    <w:rsid w:val="007B7C65"/>
    <w:rsid w:val="007C026D"/>
    <w:rsid w:val="007C0407"/>
    <w:rsid w:val="007C04D3"/>
    <w:rsid w:val="007C0648"/>
    <w:rsid w:val="007C085B"/>
    <w:rsid w:val="007C08AF"/>
    <w:rsid w:val="007C10AA"/>
    <w:rsid w:val="007C11EC"/>
    <w:rsid w:val="007C1211"/>
    <w:rsid w:val="007C12B7"/>
    <w:rsid w:val="007C1BF0"/>
    <w:rsid w:val="007C1D49"/>
    <w:rsid w:val="007C247E"/>
    <w:rsid w:val="007C2E9F"/>
    <w:rsid w:val="007C3243"/>
    <w:rsid w:val="007C382B"/>
    <w:rsid w:val="007C3C60"/>
    <w:rsid w:val="007C403C"/>
    <w:rsid w:val="007C41C1"/>
    <w:rsid w:val="007C4B40"/>
    <w:rsid w:val="007C4F59"/>
    <w:rsid w:val="007C5887"/>
    <w:rsid w:val="007C58AF"/>
    <w:rsid w:val="007C6027"/>
    <w:rsid w:val="007C6537"/>
    <w:rsid w:val="007C6824"/>
    <w:rsid w:val="007C6A53"/>
    <w:rsid w:val="007C6A74"/>
    <w:rsid w:val="007C715E"/>
    <w:rsid w:val="007C794F"/>
    <w:rsid w:val="007D0190"/>
    <w:rsid w:val="007D0736"/>
    <w:rsid w:val="007D0A6D"/>
    <w:rsid w:val="007D0AA0"/>
    <w:rsid w:val="007D14BE"/>
    <w:rsid w:val="007D1515"/>
    <w:rsid w:val="007D175F"/>
    <w:rsid w:val="007D1B21"/>
    <w:rsid w:val="007D1B72"/>
    <w:rsid w:val="007D1DA0"/>
    <w:rsid w:val="007D28F3"/>
    <w:rsid w:val="007D2BC4"/>
    <w:rsid w:val="007D2EEE"/>
    <w:rsid w:val="007D2F07"/>
    <w:rsid w:val="007D315D"/>
    <w:rsid w:val="007D3351"/>
    <w:rsid w:val="007D3CDF"/>
    <w:rsid w:val="007D3D90"/>
    <w:rsid w:val="007D414D"/>
    <w:rsid w:val="007D4312"/>
    <w:rsid w:val="007D44FA"/>
    <w:rsid w:val="007D4754"/>
    <w:rsid w:val="007D4A9D"/>
    <w:rsid w:val="007D4B8C"/>
    <w:rsid w:val="007D4BAE"/>
    <w:rsid w:val="007D5843"/>
    <w:rsid w:val="007D5BBB"/>
    <w:rsid w:val="007D625E"/>
    <w:rsid w:val="007D6791"/>
    <w:rsid w:val="007D6E5D"/>
    <w:rsid w:val="007D6FFD"/>
    <w:rsid w:val="007D769E"/>
    <w:rsid w:val="007D7B36"/>
    <w:rsid w:val="007D7B51"/>
    <w:rsid w:val="007E023F"/>
    <w:rsid w:val="007E0758"/>
    <w:rsid w:val="007E07DD"/>
    <w:rsid w:val="007E0B3F"/>
    <w:rsid w:val="007E0FE0"/>
    <w:rsid w:val="007E140B"/>
    <w:rsid w:val="007E1773"/>
    <w:rsid w:val="007E1C76"/>
    <w:rsid w:val="007E24B3"/>
    <w:rsid w:val="007E2526"/>
    <w:rsid w:val="007E2A4B"/>
    <w:rsid w:val="007E2D80"/>
    <w:rsid w:val="007E34C6"/>
    <w:rsid w:val="007E3A18"/>
    <w:rsid w:val="007E3C9D"/>
    <w:rsid w:val="007E4540"/>
    <w:rsid w:val="007E45FE"/>
    <w:rsid w:val="007E47CD"/>
    <w:rsid w:val="007E4C13"/>
    <w:rsid w:val="007E4C54"/>
    <w:rsid w:val="007E4CD9"/>
    <w:rsid w:val="007E4E71"/>
    <w:rsid w:val="007E5190"/>
    <w:rsid w:val="007E52FC"/>
    <w:rsid w:val="007E54EA"/>
    <w:rsid w:val="007E5551"/>
    <w:rsid w:val="007E5A60"/>
    <w:rsid w:val="007E5C51"/>
    <w:rsid w:val="007E644C"/>
    <w:rsid w:val="007E792B"/>
    <w:rsid w:val="007E7A0B"/>
    <w:rsid w:val="007F0207"/>
    <w:rsid w:val="007F04B3"/>
    <w:rsid w:val="007F050A"/>
    <w:rsid w:val="007F0803"/>
    <w:rsid w:val="007F0DC0"/>
    <w:rsid w:val="007F10F7"/>
    <w:rsid w:val="007F13A1"/>
    <w:rsid w:val="007F1983"/>
    <w:rsid w:val="007F1FE0"/>
    <w:rsid w:val="007F2728"/>
    <w:rsid w:val="007F2BC0"/>
    <w:rsid w:val="007F2E54"/>
    <w:rsid w:val="007F31B2"/>
    <w:rsid w:val="007F3473"/>
    <w:rsid w:val="007F3AD0"/>
    <w:rsid w:val="007F3FA9"/>
    <w:rsid w:val="007F46F9"/>
    <w:rsid w:val="007F48E7"/>
    <w:rsid w:val="007F4EE0"/>
    <w:rsid w:val="007F5614"/>
    <w:rsid w:val="007F58E4"/>
    <w:rsid w:val="007F5AEA"/>
    <w:rsid w:val="007F5E39"/>
    <w:rsid w:val="007F6249"/>
    <w:rsid w:val="007F6398"/>
    <w:rsid w:val="007F6436"/>
    <w:rsid w:val="007F6B7A"/>
    <w:rsid w:val="007F6D0D"/>
    <w:rsid w:val="007F6D34"/>
    <w:rsid w:val="007F707A"/>
    <w:rsid w:val="007F7448"/>
    <w:rsid w:val="007F77DB"/>
    <w:rsid w:val="007F785E"/>
    <w:rsid w:val="007F7EC7"/>
    <w:rsid w:val="008001DE"/>
    <w:rsid w:val="00800700"/>
    <w:rsid w:val="00800B68"/>
    <w:rsid w:val="00800B97"/>
    <w:rsid w:val="00800F06"/>
    <w:rsid w:val="008013F1"/>
    <w:rsid w:val="008014A6"/>
    <w:rsid w:val="008014FD"/>
    <w:rsid w:val="00801571"/>
    <w:rsid w:val="00802267"/>
    <w:rsid w:val="0080255C"/>
    <w:rsid w:val="0080316B"/>
    <w:rsid w:val="00803707"/>
    <w:rsid w:val="00803AE2"/>
    <w:rsid w:val="00803B3B"/>
    <w:rsid w:val="00803BEB"/>
    <w:rsid w:val="0080448B"/>
    <w:rsid w:val="008044DA"/>
    <w:rsid w:val="00804CD2"/>
    <w:rsid w:val="0080523D"/>
    <w:rsid w:val="008053A7"/>
    <w:rsid w:val="00805405"/>
    <w:rsid w:val="00806406"/>
    <w:rsid w:val="00806571"/>
    <w:rsid w:val="00806A00"/>
    <w:rsid w:val="00806F3B"/>
    <w:rsid w:val="0080721D"/>
    <w:rsid w:val="00807776"/>
    <w:rsid w:val="00807782"/>
    <w:rsid w:val="00807888"/>
    <w:rsid w:val="00807D4F"/>
    <w:rsid w:val="00807F24"/>
    <w:rsid w:val="00810400"/>
    <w:rsid w:val="008105A5"/>
    <w:rsid w:val="0081085A"/>
    <w:rsid w:val="00810B41"/>
    <w:rsid w:val="00811400"/>
    <w:rsid w:val="0081145E"/>
    <w:rsid w:val="008117CB"/>
    <w:rsid w:val="0081235E"/>
    <w:rsid w:val="008129FB"/>
    <w:rsid w:val="00812C8B"/>
    <w:rsid w:val="008131D6"/>
    <w:rsid w:val="008139F4"/>
    <w:rsid w:val="00814855"/>
    <w:rsid w:val="00814C09"/>
    <w:rsid w:val="008152E3"/>
    <w:rsid w:val="0081540E"/>
    <w:rsid w:val="00815908"/>
    <w:rsid w:val="00815BC3"/>
    <w:rsid w:val="00816542"/>
    <w:rsid w:val="00816BAE"/>
    <w:rsid w:val="008177F9"/>
    <w:rsid w:val="00817896"/>
    <w:rsid w:val="0081795A"/>
    <w:rsid w:val="00817E3A"/>
    <w:rsid w:val="00817E3C"/>
    <w:rsid w:val="00817F55"/>
    <w:rsid w:val="008203E4"/>
    <w:rsid w:val="0082042E"/>
    <w:rsid w:val="008206C6"/>
    <w:rsid w:val="008207C0"/>
    <w:rsid w:val="00820A58"/>
    <w:rsid w:val="00820C2C"/>
    <w:rsid w:val="00820DFA"/>
    <w:rsid w:val="00821057"/>
    <w:rsid w:val="0082111A"/>
    <w:rsid w:val="00821285"/>
    <w:rsid w:val="008217EE"/>
    <w:rsid w:val="008219BA"/>
    <w:rsid w:val="00821ABC"/>
    <w:rsid w:val="00821C39"/>
    <w:rsid w:val="0082204C"/>
    <w:rsid w:val="0082209B"/>
    <w:rsid w:val="0082249C"/>
    <w:rsid w:val="0082293B"/>
    <w:rsid w:val="008229F3"/>
    <w:rsid w:val="00822A11"/>
    <w:rsid w:val="00823CD3"/>
    <w:rsid w:val="00824267"/>
    <w:rsid w:val="008246E9"/>
    <w:rsid w:val="008248DB"/>
    <w:rsid w:val="00824A4D"/>
    <w:rsid w:val="00824F5C"/>
    <w:rsid w:val="0082516A"/>
    <w:rsid w:val="00825845"/>
    <w:rsid w:val="00825FD1"/>
    <w:rsid w:val="0082638F"/>
    <w:rsid w:val="00826638"/>
    <w:rsid w:val="008267BA"/>
    <w:rsid w:val="0082695A"/>
    <w:rsid w:val="00826AD6"/>
    <w:rsid w:val="00826C08"/>
    <w:rsid w:val="008277CE"/>
    <w:rsid w:val="00827A4A"/>
    <w:rsid w:val="00827D11"/>
    <w:rsid w:val="0083001B"/>
    <w:rsid w:val="00830142"/>
    <w:rsid w:val="0083037F"/>
    <w:rsid w:val="00830A04"/>
    <w:rsid w:val="00831501"/>
    <w:rsid w:val="0083175D"/>
    <w:rsid w:val="00831D07"/>
    <w:rsid w:val="00831F66"/>
    <w:rsid w:val="0083209B"/>
    <w:rsid w:val="00832286"/>
    <w:rsid w:val="00832395"/>
    <w:rsid w:val="008323E7"/>
    <w:rsid w:val="00832501"/>
    <w:rsid w:val="0083273B"/>
    <w:rsid w:val="00832EE7"/>
    <w:rsid w:val="0083380B"/>
    <w:rsid w:val="00833844"/>
    <w:rsid w:val="00833BB0"/>
    <w:rsid w:val="00834172"/>
    <w:rsid w:val="0083427F"/>
    <w:rsid w:val="0083500D"/>
    <w:rsid w:val="00835356"/>
    <w:rsid w:val="0083548A"/>
    <w:rsid w:val="00835C67"/>
    <w:rsid w:val="00836203"/>
    <w:rsid w:val="00836226"/>
    <w:rsid w:val="00836542"/>
    <w:rsid w:val="0083655C"/>
    <w:rsid w:val="008365EF"/>
    <w:rsid w:val="00836622"/>
    <w:rsid w:val="00836668"/>
    <w:rsid w:val="00836970"/>
    <w:rsid w:val="00836D5A"/>
    <w:rsid w:val="00836D72"/>
    <w:rsid w:val="00837092"/>
    <w:rsid w:val="008371E6"/>
    <w:rsid w:val="00837282"/>
    <w:rsid w:val="008378A0"/>
    <w:rsid w:val="00837912"/>
    <w:rsid w:val="00837F6E"/>
    <w:rsid w:val="0084008B"/>
    <w:rsid w:val="0084013D"/>
    <w:rsid w:val="00841739"/>
    <w:rsid w:val="0084207B"/>
    <w:rsid w:val="0084225A"/>
    <w:rsid w:val="00842CAA"/>
    <w:rsid w:val="00843211"/>
    <w:rsid w:val="0084323C"/>
    <w:rsid w:val="00843B7B"/>
    <w:rsid w:val="00843D85"/>
    <w:rsid w:val="00843FDD"/>
    <w:rsid w:val="00843FFC"/>
    <w:rsid w:val="00844184"/>
    <w:rsid w:val="00844284"/>
    <w:rsid w:val="008446CA"/>
    <w:rsid w:val="00844740"/>
    <w:rsid w:val="008448C9"/>
    <w:rsid w:val="00844E09"/>
    <w:rsid w:val="00845582"/>
    <w:rsid w:val="00845A7C"/>
    <w:rsid w:val="00845BD0"/>
    <w:rsid w:val="00845DEC"/>
    <w:rsid w:val="00846149"/>
    <w:rsid w:val="0084641B"/>
    <w:rsid w:val="00846462"/>
    <w:rsid w:val="0084649A"/>
    <w:rsid w:val="0084672C"/>
    <w:rsid w:val="00846964"/>
    <w:rsid w:val="00846E8E"/>
    <w:rsid w:val="008470FE"/>
    <w:rsid w:val="0084777E"/>
    <w:rsid w:val="0084784B"/>
    <w:rsid w:val="00850061"/>
    <w:rsid w:val="00850426"/>
    <w:rsid w:val="00850576"/>
    <w:rsid w:val="00850BCD"/>
    <w:rsid w:val="00850D18"/>
    <w:rsid w:val="00850DF3"/>
    <w:rsid w:val="00850E4D"/>
    <w:rsid w:val="00850ECD"/>
    <w:rsid w:val="008511D3"/>
    <w:rsid w:val="0085124A"/>
    <w:rsid w:val="008514D0"/>
    <w:rsid w:val="00851791"/>
    <w:rsid w:val="00851886"/>
    <w:rsid w:val="0085194B"/>
    <w:rsid w:val="00851CFF"/>
    <w:rsid w:val="0085205C"/>
    <w:rsid w:val="0085211B"/>
    <w:rsid w:val="00852510"/>
    <w:rsid w:val="00852EE5"/>
    <w:rsid w:val="00853237"/>
    <w:rsid w:val="0085416A"/>
    <w:rsid w:val="008541F0"/>
    <w:rsid w:val="008547ED"/>
    <w:rsid w:val="00854A8C"/>
    <w:rsid w:val="00854B92"/>
    <w:rsid w:val="00854F62"/>
    <w:rsid w:val="00855257"/>
    <w:rsid w:val="0085566F"/>
    <w:rsid w:val="00855A2F"/>
    <w:rsid w:val="00855A97"/>
    <w:rsid w:val="00855B07"/>
    <w:rsid w:val="00855D76"/>
    <w:rsid w:val="00856948"/>
    <w:rsid w:val="008572AB"/>
    <w:rsid w:val="008572B7"/>
    <w:rsid w:val="00857740"/>
    <w:rsid w:val="00857940"/>
    <w:rsid w:val="00857A2B"/>
    <w:rsid w:val="00857ACE"/>
    <w:rsid w:val="00857D4B"/>
    <w:rsid w:val="0086003F"/>
    <w:rsid w:val="00860402"/>
    <w:rsid w:val="00860551"/>
    <w:rsid w:val="00860684"/>
    <w:rsid w:val="00860918"/>
    <w:rsid w:val="00860B58"/>
    <w:rsid w:val="00860E40"/>
    <w:rsid w:val="00861040"/>
    <w:rsid w:val="008610DF"/>
    <w:rsid w:val="0086119C"/>
    <w:rsid w:val="0086121F"/>
    <w:rsid w:val="00861822"/>
    <w:rsid w:val="00861BF3"/>
    <w:rsid w:val="00861DEF"/>
    <w:rsid w:val="00862793"/>
    <w:rsid w:val="00862AAA"/>
    <w:rsid w:val="008633CB"/>
    <w:rsid w:val="0086360F"/>
    <w:rsid w:val="0086384C"/>
    <w:rsid w:val="00863925"/>
    <w:rsid w:val="00863AD5"/>
    <w:rsid w:val="00864285"/>
    <w:rsid w:val="0086451F"/>
    <w:rsid w:val="008647DB"/>
    <w:rsid w:val="0086535E"/>
    <w:rsid w:val="00866C39"/>
    <w:rsid w:val="00866DD8"/>
    <w:rsid w:val="008674D0"/>
    <w:rsid w:val="0086794C"/>
    <w:rsid w:val="00867A0F"/>
    <w:rsid w:val="00867AE0"/>
    <w:rsid w:val="00867C15"/>
    <w:rsid w:val="00867E45"/>
    <w:rsid w:val="008702BE"/>
    <w:rsid w:val="00870BF8"/>
    <w:rsid w:val="00870E03"/>
    <w:rsid w:val="0087245C"/>
    <w:rsid w:val="0087247E"/>
    <w:rsid w:val="00872712"/>
    <w:rsid w:val="00872CCF"/>
    <w:rsid w:val="0087332B"/>
    <w:rsid w:val="0087358D"/>
    <w:rsid w:val="0087383B"/>
    <w:rsid w:val="00873B69"/>
    <w:rsid w:val="00873F47"/>
    <w:rsid w:val="008744FA"/>
    <w:rsid w:val="008745CD"/>
    <w:rsid w:val="00874F5A"/>
    <w:rsid w:val="00875EAE"/>
    <w:rsid w:val="00876034"/>
    <w:rsid w:val="00876038"/>
    <w:rsid w:val="0087643A"/>
    <w:rsid w:val="008767E8"/>
    <w:rsid w:val="008767F7"/>
    <w:rsid w:val="00876847"/>
    <w:rsid w:val="008768AF"/>
    <w:rsid w:val="008768F0"/>
    <w:rsid w:val="00876CEC"/>
    <w:rsid w:val="00876EFC"/>
    <w:rsid w:val="008771BC"/>
    <w:rsid w:val="00877235"/>
    <w:rsid w:val="008773E8"/>
    <w:rsid w:val="0087769F"/>
    <w:rsid w:val="00877DA0"/>
    <w:rsid w:val="00877FF5"/>
    <w:rsid w:val="00880142"/>
    <w:rsid w:val="00880694"/>
    <w:rsid w:val="008807BF"/>
    <w:rsid w:val="0088095D"/>
    <w:rsid w:val="008809CD"/>
    <w:rsid w:val="0088133C"/>
    <w:rsid w:val="00881676"/>
    <w:rsid w:val="008816BE"/>
    <w:rsid w:val="0088220D"/>
    <w:rsid w:val="0088294C"/>
    <w:rsid w:val="00882E8C"/>
    <w:rsid w:val="0088304C"/>
    <w:rsid w:val="008836DD"/>
    <w:rsid w:val="00883703"/>
    <w:rsid w:val="008839EA"/>
    <w:rsid w:val="00883D9E"/>
    <w:rsid w:val="0088419A"/>
    <w:rsid w:val="00885535"/>
    <w:rsid w:val="008858FD"/>
    <w:rsid w:val="0088591A"/>
    <w:rsid w:val="008862AC"/>
    <w:rsid w:val="00886A06"/>
    <w:rsid w:val="00886E2D"/>
    <w:rsid w:val="008873FC"/>
    <w:rsid w:val="00887814"/>
    <w:rsid w:val="00887919"/>
    <w:rsid w:val="00887C2E"/>
    <w:rsid w:val="00887D36"/>
    <w:rsid w:val="008904CF"/>
    <w:rsid w:val="00890D4B"/>
    <w:rsid w:val="00891012"/>
    <w:rsid w:val="0089145F"/>
    <w:rsid w:val="008919F9"/>
    <w:rsid w:val="00891B12"/>
    <w:rsid w:val="00891B70"/>
    <w:rsid w:val="0089272C"/>
    <w:rsid w:val="008928CE"/>
    <w:rsid w:val="00892FCF"/>
    <w:rsid w:val="00893097"/>
    <w:rsid w:val="008934D1"/>
    <w:rsid w:val="008938E8"/>
    <w:rsid w:val="008949F8"/>
    <w:rsid w:val="00894BA0"/>
    <w:rsid w:val="00895158"/>
    <w:rsid w:val="008955CE"/>
    <w:rsid w:val="00895E1F"/>
    <w:rsid w:val="00895EBC"/>
    <w:rsid w:val="008962AA"/>
    <w:rsid w:val="00896E86"/>
    <w:rsid w:val="00897022"/>
    <w:rsid w:val="0089724F"/>
    <w:rsid w:val="0089740F"/>
    <w:rsid w:val="008974C1"/>
    <w:rsid w:val="00897A93"/>
    <w:rsid w:val="00897D6D"/>
    <w:rsid w:val="00897E2E"/>
    <w:rsid w:val="00897E7F"/>
    <w:rsid w:val="008A0789"/>
    <w:rsid w:val="008A0AE2"/>
    <w:rsid w:val="008A0E02"/>
    <w:rsid w:val="008A0E71"/>
    <w:rsid w:val="008A1406"/>
    <w:rsid w:val="008A17AA"/>
    <w:rsid w:val="008A1FBC"/>
    <w:rsid w:val="008A2738"/>
    <w:rsid w:val="008A2A47"/>
    <w:rsid w:val="008A2C24"/>
    <w:rsid w:val="008A2CD6"/>
    <w:rsid w:val="008A34D3"/>
    <w:rsid w:val="008A3578"/>
    <w:rsid w:val="008A3930"/>
    <w:rsid w:val="008A3AB4"/>
    <w:rsid w:val="008A3AC3"/>
    <w:rsid w:val="008A3D39"/>
    <w:rsid w:val="008A40EF"/>
    <w:rsid w:val="008A41C5"/>
    <w:rsid w:val="008A4B11"/>
    <w:rsid w:val="008A4B33"/>
    <w:rsid w:val="008A4DB8"/>
    <w:rsid w:val="008A50B0"/>
    <w:rsid w:val="008A52DA"/>
    <w:rsid w:val="008A5C2F"/>
    <w:rsid w:val="008A6177"/>
    <w:rsid w:val="008A6197"/>
    <w:rsid w:val="008A63CC"/>
    <w:rsid w:val="008A65C0"/>
    <w:rsid w:val="008A69A2"/>
    <w:rsid w:val="008A6A50"/>
    <w:rsid w:val="008A7155"/>
    <w:rsid w:val="008A75FB"/>
    <w:rsid w:val="008A75FF"/>
    <w:rsid w:val="008A77E5"/>
    <w:rsid w:val="008A7A55"/>
    <w:rsid w:val="008A7E7B"/>
    <w:rsid w:val="008A7F45"/>
    <w:rsid w:val="008B011B"/>
    <w:rsid w:val="008B0179"/>
    <w:rsid w:val="008B057A"/>
    <w:rsid w:val="008B0722"/>
    <w:rsid w:val="008B077B"/>
    <w:rsid w:val="008B08D4"/>
    <w:rsid w:val="008B0AA1"/>
    <w:rsid w:val="008B0AFD"/>
    <w:rsid w:val="008B1689"/>
    <w:rsid w:val="008B1CC1"/>
    <w:rsid w:val="008B1CEC"/>
    <w:rsid w:val="008B2164"/>
    <w:rsid w:val="008B22A6"/>
    <w:rsid w:val="008B287F"/>
    <w:rsid w:val="008B2A87"/>
    <w:rsid w:val="008B2A88"/>
    <w:rsid w:val="008B2C8B"/>
    <w:rsid w:val="008B3214"/>
    <w:rsid w:val="008B3498"/>
    <w:rsid w:val="008B34EE"/>
    <w:rsid w:val="008B3A8C"/>
    <w:rsid w:val="008B413E"/>
    <w:rsid w:val="008B4694"/>
    <w:rsid w:val="008B5291"/>
    <w:rsid w:val="008B54C8"/>
    <w:rsid w:val="008B55FD"/>
    <w:rsid w:val="008B5705"/>
    <w:rsid w:val="008B6020"/>
    <w:rsid w:val="008B687C"/>
    <w:rsid w:val="008B6BCF"/>
    <w:rsid w:val="008B6E24"/>
    <w:rsid w:val="008B701B"/>
    <w:rsid w:val="008B7178"/>
    <w:rsid w:val="008B71B9"/>
    <w:rsid w:val="008B7257"/>
    <w:rsid w:val="008B73D6"/>
    <w:rsid w:val="008B7D8F"/>
    <w:rsid w:val="008B7EB6"/>
    <w:rsid w:val="008C0473"/>
    <w:rsid w:val="008C0762"/>
    <w:rsid w:val="008C18DA"/>
    <w:rsid w:val="008C2121"/>
    <w:rsid w:val="008C23E2"/>
    <w:rsid w:val="008C2788"/>
    <w:rsid w:val="008C2E53"/>
    <w:rsid w:val="008C2F92"/>
    <w:rsid w:val="008C3693"/>
    <w:rsid w:val="008C3A28"/>
    <w:rsid w:val="008C424B"/>
    <w:rsid w:val="008C43AE"/>
    <w:rsid w:val="008C4516"/>
    <w:rsid w:val="008C46E3"/>
    <w:rsid w:val="008C495C"/>
    <w:rsid w:val="008C4AF5"/>
    <w:rsid w:val="008C4C44"/>
    <w:rsid w:val="008C5079"/>
    <w:rsid w:val="008C5401"/>
    <w:rsid w:val="008C5974"/>
    <w:rsid w:val="008C6151"/>
    <w:rsid w:val="008C634A"/>
    <w:rsid w:val="008C68CA"/>
    <w:rsid w:val="008C68EE"/>
    <w:rsid w:val="008C6CD9"/>
    <w:rsid w:val="008C7121"/>
    <w:rsid w:val="008C7146"/>
    <w:rsid w:val="008C73B8"/>
    <w:rsid w:val="008C7429"/>
    <w:rsid w:val="008C77E9"/>
    <w:rsid w:val="008C7B22"/>
    <w:rsid w:val="008C7B80"/>
    <w:rsid w:val="008C7C1D"/>
    <w:rsid w:val="008C7D26"/>
    <w:rsid w:val="008C7D8C"/>
    <w:rsid w:val="008C7EC0"/>
    <w:rsid w:val="008D009D"/>
    <w:rsid w:val="008D0134"/>
    <w:rsid w:val="008D0346"/>
    <w:rsid w:val="008D03F5"/>
    <w:rsid w:val="008D053E"/>
    <w:rsid w:val="008D0CFB"/>
    <w:rsid w:val="008D10CE"/>
    <w:rsid w:val="008D137A"/>
    <w:rsid w:val="008D18B5"/>
    <w:rsid w:val="008D19C2"/>
    <w:rsid w:val="008D1FD9"/>
    <w:rsid w:val="008D2821"/>
    <w:rsid w:val="008D2AEF"/>
    <w:rsid w:val="008D31C5"/>
    <w:rsid w:val="008D36F3"/>
    <w:rsid w:val="008D3889"/>
    <w:rsid w:val="008D412A"/>
    <w:rsid w:val="008D4243"/>
    <w:rsid w:val="008D436F"/>
    <w:rsid w:val="008D4661"/>
    <w:rsid w:val="008D4BB2"/>
    <w:rsid w:val="008D4C8A"/>
    <w:rsid w:val="008D53D3"/>
    <w:rsid w:val="008D53DE"/>
    <w:rsid w:val="008D5A25"/>
    <w:rsid w:val="008D5A91"/>
    <w:rsid w:val="008D5B6E"/>
    <w:rsid w:val="008D5DA1"/>
    <w:rsid w:val="008D625B"/>
    <w:rsid w:val="008D6F83"/>
    <w:rsid w:val="008D7026"/>
    <w:rsid w:val="008E059C"/>
    <w:rsid w:val="008E09A6"/>
    <w:rsid w:val="008E0BF8"/>
    <w:rsid w:val="008E0EE7"/>
    <w:rsid w:val="008E1053"/>
    <w:rsid w:val="008E1A7D"/>
    <w:rsid w:val="008E1ABA"/>
    <w:rsid w:val="008E1B20"/>
    <w:rsid w:val="008E2071"/>
    <w:rsid w:val="008E22BD"/>
    <w:rsid w:val="008E23BC"/>
    <w:rsid w:val="008E2657"/>
    <w:rsid w:val="008E26F5"/>
    <w:rsid w:val="008E2811"/>
    <w:rsid w:val="008E329E"/>
    <w:rsid w:val="008E34C8"/>
    <w:rsid w:val="008E3C00"/>
    <w:rsid w:val="008E3DB2"/>
    <w:rsid w:val="008E443F"/>
    <w:rsid w:val="008E4676"/>
    <w:rsid w:val="008E49EC"/>
    <w:rsid w:val="008E4A97"/>
    <w:rsid w:val="008E4B57"/>
    <w:rsid w:val="008E4BBB"/>
    <w:rsid w:val="008E4C2D"/>
    <w:rsid w:val="008E5007"/>
    <w:rsid w:val="008E505B"/>
    <w:rsid w:val="008E53CD"/>
    <w:rsid w:val="008E5850"/>
    <w:rsid w:val="008E5B5B"/>
    <w:rsid w:val="008E60A4"/>
    <w:rsid w:val="008E6676"/>
    <w:rsid w:val="008E67D0"/>
    <w:rsid w:val="008E6986"/>
    <w:rsid w:val="008E7148"/>
    <w:rsid w:val="008E74DF"/>
    <w:rsid w:val="008E7614"/>
    <w:rsid w:val="008E789A"/>
    <w:rsid w:val="008F011C"/>
    <w:rsid w:val="008F0E42"/>
    <w:rsid w:val="008F1215"/>
    <w:rsid w:val="008F1235"/>
    <w:rsid w:val="008F1336"/>
    <w:rsid w:val="008F161A"/>
    <w:rsid w:val="008F16F8"/>
    <w:rsid w:val="008F1838"/>
    <w:rsid w:val="008F184D"/>
    <w:rsid w:val="008F1B20"/>
    <w:rsid w:val="008F1BC4"/>
    <w:rsid w:val="008F1F00"/>
    <w:rsid w:val="008F221A"/>
    <w:rsid w:val="008F28DF"/>
    <w:rsid w:val="008F2A9C"/>
    <w:rsid w:val="008F2DDA"/>
    <w:rsid w:val="008F2F36"/>
    <w:rsid w:val="008F373C"/>
    <w:rsid w:val="008F37AB"/>
    <w:rsid w:val="008F3839"/>
    <w:rsid w:val="008F3A1C"/>
    <w:rsid w:val="008F4A10"/>
    <w:rsid w:val="008F50B7"/>
    <w:rsid w:val="008F518F"/>
    <w:rsid w:val="008F5192"/>
    <w:rsid w:val="008F5465"/>
    <w:rsid w:val="008F58CE"/>
    <w:rsid w:val="008F59EF"/>
    <w:rsid w:val="008F5AE1"/>
    <w:rsid w:val="008F6175"/>
    <w:rsid w:val="008F61AD"/>
    <w:rsid w:val="008F62DB"/>
    <w:rsid w:val="008F659F"/>
    <w:rsid w:val="008F689F"/>
    <w:rsid w:val="008F69FE"/>
    <w:rsid w:val="008F6DC5"/>
    <w:rsid w:val="008F6E10"/>
    <w:rsid w:val="008F7199"/>
    <w:rsid w:val="008F738A"/>
    <w:rsid w:val="008F7AB5"/>
    <w:rsid w:val="008F7CE3"/>
    <w:rsid w:val="00900116"/>
    <w:rsid w:val="00900156"/>
    <w:rsid w:val="009001F8"/>
    <w:rsid w:val="00900491"/>
    <w:rsid w:val="009004CF"/>
    <w:rsid w:val="00900507"/>
    <w:rsid w:val="009005A9"/>
    <w:rsid w:val="00900D48"/>
    <w:rsid w:val="00900DAC"/>
    <w:rsid w:val="0090137E"/>
    <w:rsid w:val="009014CA"/>
    <w:rsid w:val="009017A9"/>
    <w:rsid w:val="00901CEA"/>
    <w:rsid w:val="00901CF1"/>
    <w:rsid w:val="00902271"/>
    <w:rsid w:val="00902279"/>
    <w:rsid w:val="0090236B"/>
    <w:rsid w:val="0090270B"/>
    <w:rsid w:val="00902885"/>
    <w:rsid w:val="00902F83"/>
    <w:rsid w:val="00902F88"/>
    <w:rsid w:val="00902FAD"/>
    <w:rsid w:val="00903175"/>
    <w:rsid w:val="009035FB"/>
    <w:rsid w:val="00903938"/>
    <w:rsid w:val="00904106"/>
    <w:rsid w:val="009046C1"/>
    <w:rsid w:val="00904D37"/>
    <w:rsid w:val="0090500B"/>
    <w:rsid w:val="0090531C"/>
    <w:rsid w:val="009056E9"/>
    <w:rsid w:val="00905820"/>
    <w:rsid w:val="009064FA"/>
    <w:rsid w:val="00906576"/>
    <w:rsid w:val="00906CEE"/>
    <w:rsid w:val="00907193"/>
    <w:rsid w:val="009073BD"/>
    <w:rsid w:val="00907BED"/>
    <w:rsid w:val="00907CCB"/>
    <w:rsid w:val="009100FE"/>
    <w:rsid w:val="00910355"/>
    <w:rsid w:val="00910C14"/>
    <w:rsid w:val="00910EE2"/>
    <w:rsid w:val="00911084"/>
    <w:rsid w:val="00911121"/>
    <w:rsid w:val="00911554"/>
    <w:rsid w:val="00911805"/>
    <w:rsid w:val="00912430"/>
    <w:rsid w:val="009124CB"/>
    <w:rsid w:val="00912A7E"/>
    <w:rsid w:val="0091330E"/>
    <w:rsid w:val="009135E1"/>
    <w:rsid w:val="00913793"/>
    <w:rsid w:val="0091381B"/>
    <w:rsid w:val="00913DCC"/>
    <w:rsid w:val="009141BF"/>
    <w:rsid w:val="00914408"/>
    <w:rsid w:val="0091483F"/>
    <w:rsid w:val="009148C2"/>
    <w:rsid w:val="00914AD0"/>
    <w:rsid w:val="00914CF6"/>
    <w:rsid w:val="00914EA2"/>
    <w:rsid w:val="00915B5E"/>
    <w:rsid w:val="00915CE0"/>
    <w:rsid w:val="00915FEC"/>
    <w:rsid w:val="00916315"/>
    <w:rsid w:val="0091645D"/>
    <w:rsid w:val="00916967"/>
    <w:rsid w:val="00916CCA"/>
    <w:rsid w:val="009170DC"/>
    <w:rsid w:val="009170DF"/>
    <w:rsid w:val="00917506"/>
    <w:rsid w:val="009177B5"/>
    <w:rsid w:val="009178CB"/>
    <w:rsid w:val="00917B2D"/>
    <w:rsid w:val="00917B7F"/>
    <w:rsid w:val="00920EF8"/>
    <w:rsid w:val="009210A6"/>
    <w:rsid w:val="0092134B"/>
    <w:rsid w:val="009214C4"/>
    <w:rsid w:val="00922060"/>
    <w:rsid w:val="009229AC"/>
    <w:rsid w:val="00922C4B"/>
    <w:rsid w:val="00922D11"/>
    <w:rsid w:val="00922D6E"/>
    <w:rsid w:val="00923104"/>
    <w:rsid w:val="00923813"/>
    <w:rsid w:val="00923A1F"/>
    <w:rsid w:val="00923B8B"/>
    <w:rsid w:val="0092417D"/>
    <w:rsid w:val="0092425D"/>
    <w:rsid w:val="00924261"/>
    <w:rsid w:val="0092428C"/>
    <w:rsid w:val="00924947"/>
    <w:rsid w:val="00924F23"/>
    <w:rsid w:val="0092505E"/>
    <w:rsid w:val="009250FC"/>
    <w:rsid w:val="00925112"/>
    <w:rsid w:val="009261AB"/>
    <w:rsid w:val="00926D43"/>
    <w:rsid w:val="00926D6E"/>
    <w:rsid w:val="00926F52"/>
    <w:rsid w:val="00927321"/>
    <w:rsid w:val="00927334"/>
    <w:rsid w:val="0092753A"/>
    <w:rsid w:val="0092770C"/>
    <w:rsid w:val="00930562"/>
    <w:rsid w:val="009306EF"/>
    <w:rsid w:val="00930A12"/>
    <w:rsid w:val="00930B4D"/>
    <w:rsid w:val="00930BC7"/>
    <w:rsid w:val="00931060"/>
    <w:rsid w:val="009311D7"/>
    <w:rsid w:val="00931445"/>
    <w:rsid w:val="00931739"/>
    <w:rsid w:val="009318A9"/>
    <w:rsid w:val="00931EB9"/>
    <w:rsid w:val="009322D7"/>
    <w:rsid w:val="009323C5"/>
    <w:rsid w:val="00932A94"/>
    <w:rsid w:val="00932B4D"/>
    <w:rsid w:val="0093309F"/>
    <w:rsid w:val="009335BF"/>
    <w:rsid w:val="0093382A"/>
    <w:rsid w:val="00933A0A"/>
    <w:rsid w:val="00933A8B"/>
    <w:rsid w:val="00933AFB"/>
    <w:rsid w:val="00933D4B"/>
    <w:rsid w:val="0093483B"/>
    <w:rsid w:val="0093484F"/>
    <w:rsid w:val="00934B4B"/>
    <w:rsid w:val="00934D28"/>
    <w:rsid w:val="009357CE"/>
    <w:rsid w:val="00935A29"/>
    <w:rsid w:val="00935F0F"/>
    <w:rsid w:val="0093658E"/>
    <w:rsid w:val="0093681C"/>
    <w:rsid w:val="009369FD"/>
    <w:rsid w:val="00936B9A"/>
    <w:rsid w:val="00936D81"/>
    <w:rsid w:val="0093781C"/>
    <w:rsid w:val="00937AAC"/>
    <w:rsid w:val="00940979"/>
    <w:rsid w:val="00940F3E"/>
    <w:rsid w:val="00941169"/>
    <w:rsid w:val="009412D0"/>
    <w:rsid w:val="009414C1"/>
    <w:rsid w:val="009414ED"/>
    <w:rsid w:val="00941671"/>
    <w:rsid w:val="0094190F"/>
    <w:rsid w:val="00942049"/>
    <w:rsid w:val="00942575"/>
    <w:rsid w:val="00942B87"/>
    <w:rsid w:val="00942F82"/>
    <w:rsid w:val="00943561"/>
    <w:rsid w:val="009436D5"/>
    <w:rsid w:val="0094381E"/>
    <w:rsid w:val="00943A10"/>
    <w:rsid w:val="009441C3"/>
    <w:rsid w:val="00944A14"/>
    <w:rsid w:val="00944CA1"/>
    <w:rsid w:val="00944D1C"/>
    <w:rsid w:val="00945084"/>
    <w:rsid w:val="00945215"/>
    <w:rsid w:val="00945837"/>
    <w:rsid w:val="0094589D"/>
    <w:rsid w:val="00945B91"/>
    <w:rsid w:val="00945EA9"/>
    <w:rsid w:val="009465A9"/>
    <w:rsid w:val="00946631"/>
    <w:rsid w:val="0094672B"/>
    <w:rsid w:val="009467FE"/>
    <w:rsid w:val="00947244"/>
    <w:rsid w:val="00947389"/>
    <w:rsid w:val="009473EC"/>
    <w:rsid w:val="00947647"/>
    <w:rsid w:val="0094781D"/>
    <w:rsid w:val="00947A59"/>
    <w:rsid w:val="00947BA4"/>
    <w:rsid w:val="00947BE5"/>
    <w:rsid w:val="00947DCA"/>
    <w:rsid w:val="00950A67"/>
    <w:rsid w:val="00950B15"/>
    <w:rsid w:val="009513C0"/>
    <w:rsid w:val="00951461"/>
    <w:rsid w:val="00951C7C"/>
    <w:rsid w:val="00951E21"/>
    <w:rsid w:val="00952216"/>
    <w:rsid w:val="00952571"/>
    <w:rsid w:val="0095285A"/>
    <w:rsid w:val="0095343E"/>
    <w:rsid w:val="0095368D"/>
    <w:rsid w:val="009537D8"/>
    <w:rsid w:val="009538CA"/>
    <w:rsid w:val="00953930"/>
    <w:rsid w:val="00953975"/>
    <w:rsid w:val="00953A18"/>
    <w:rsid w:val="00953B8F"/>
    <w:rsid w:val="00953BD4"/>
    <w:rsid w:val="00953EA0"/>
    <w:rsid w:val="00953F6C"/>
    <w:rsid w:val="009540C1"/>
    <w:rsid w:val="0095418A"/>
    <w:rsid w:val="00954378"/>
    <w:rsid w:val="0095442E"/>
    <w:rsid w:val="00954702"/>
    <w:rsid w:val="00954B35"/>
    <w:rsid w:val="00954DF6"/>
    <w:rsid w:val="00955054"/>
    <w:rsid w:val="009556D5"/>
    <w:rsid w:val="0095576C"/>
    <w:rsid w:val="00955BB4"/>
    <w:rsid w:val="00955DAD"/>
    <w:rsid w:val="00955E79"/>
    <w:rsid w:val="00956341"/>
    <w:rsid w:val="009566AB"/>
    <w:rsid w:val="00956A6D"/>
    <w:rsid w:val="00956ECB"/>
    <w:rsid w:val="00957117"/>
    <w:rsid w:val="00957DD8"/>
    <w:rsid w:val="00960183"/>
    <w:rsid w:val="009604C5"/>
    <w:rsid w:val="009608CB"/>
    <w:rsid w:val="009611D1"/>
    <w:rsid w:val="009613C3"/>
    <w:rsid w:val="00961D03"/>
    <w:rsid w:val="00961E84"/>
    <w:rsid w:val="0096205D"/>
    <w:rsid w:val="009622B9"/>
    <w:rsid w:val="00962329"/>
    <w:rsid w:val="00962557"/>
    <w:rsid w:val="0096279D"/>
    <w:rsid w:val="00962A56"/>
    <w:rsid w:val="00962C0E"/>
    <w:rsid w:val="00962C56"/>
    <w:rsid w:val="00962D7B"/>
    <w:rsid w:val="009635A7"/>
    <w:rsid w:val="009641E7"/>
    <w:rsid w:val="009642F1"/>
    <w:rsid w:val="00964421"/>
    <w:rsid w:val="00964515"/>
    <w:rsid w:val="009646D7"/>
    <w:rsid w:val="00964A2C"/>
    <w:rsid w:val="00964CEA"/>
    <w:rsid w:val="00964E02"/>
    <w:rsid w:val="0096504C"/>
    <w:rsid w:val="009650CF"/>
    <w:rsid w:val="009656A7"/>
    <w:rsid w:val="00965C66"/>
    <w:rsid w:val="00965D29"/>
    <w:rsid w:val="0096616C"/>
    <w:rsid w:val="00966481"/>
    <w:rsid w:val="0096684D"/>
    <w:rsid w:val="0096706C"/>
    <w:rsid w:val="009679A5"/>
    <w:rsid w:val="00967A04"/>
    <w:rsid w:val="00967F3C"/>
    <w:rsid w:val="00970044"/>
    <w:rsid w:val="00970339"/>
    <w:rsid w:val="00970413"/>
    <w:rsid w:val="00970899"/>
    <w:rsid w:val="009709AC"/>
    <w:rsid w:val="0097175E"/>
    <w:rsid w:val="00971D39"/>
    <w:rsid w:val="00971E95"/>
    <w:rsid w:val="00972177"/>
    <w:rsid w:val="009724BA"/>
    <w:rsid w:val="009727C5"/>
    <w:rsid w:val="00972E33"/>
    <w:rsid w:val="009734A4"/>
    <w:rsid w:val="00973611"/>
    <w:rsid w:val="009737E5"/>
    <w:rsid w:val="00973818"/>
    <w:rsid w:val="00973BC0"/>
    <w:rsid w:val="0097468E"/>
    <w:rsid w:val="00974741"/>
    <w:rsid w:val="009748FE"/>
    <w:rsid w:val="009749C1"/>
    <w:rsid w:val="00974C00"/>
    <w:rsid w:val="00974D54"/>
    <w:rsid w:val="0097553C"/>
    <w:rsid w:val="009756A1"/>
    <w:rsid w:val="009757FD"/>
    <w:rsid w:val="009759D9"/>
    <w:rsid w:val="009759E9"/>
    <w:rsid w:val="00975E0F"/>
    <w:rsid w:val="00975E7A"/>
    <w:rsid w:val="009764B3"/>
    <w:rsid w:val="00976648"/>
    <w:rsid w:val="009767A8"/>
    <w:rsid w:val="00976A31"/>
    <w:rsid w:val="00976AD7"/>
    <w:rsid w:val="00976C37"/>
    <w:rsid w:val="00976E46"/>
    <w:rsid w:val="00977443"/>
    <w:rsid w:val="00977986"/>
    <w:rsid w:val="00977A87"/>
    <w:rsid w:val="00977B1E"/>
    <w:rsid w:val="00977C8B"/>
    <w:rsid w:val="00977D7A"/>
    <w:rsid w:val="00980206"/>
    <w:rsid w:val="00980262"/>
    <w:rsid w:val="00980333"/>
    <w:rsid w:val="0098089E"/>
    <w:rsid w:val="00980D89"/>
    <w:rsid w:val="00980EBB"/>
    <w:rsid w:val="00980F4B"/>
    <w:rsid w:val="00980F99"/>
    <w:rsid w:val="00981323"/>
    <w:rsid w:val="0098197A"/>
    <w:rsid w:val="00981FDB"/>
    <w:rsid w:val="009821DC"/>
    <w:rsid w:val="009824B3"/>
    <w:rsid w:val="00982780"/>
    <w:rsid w:val="00982A80"/>
    <w:rsid w:val="00982BF5"/>
    <w:rsid w:val="00982C65"/>
    <w:rsid w:val="0098307D"/>
    <w:rsid w:val="00983290"/>
    <w:rsid w:val="009832C7"/>
    <w:rsid w:val="00983387"/>
    <w:rsid w:val="009834FD"/>
    <w:rsid w:val="00983898"/>
    <w:rsid w:val="009838BF"/>
    <w:rsid w:val="009839F8"/>
    <w:rsid w:val="00983ADF"/>
    <w:rsid w:val="00983D0B"/>
    <w:rsid w:val="0098426C"/>
    <w:rsid w:val="00984295"/>
    <w:rsid w:val="009849BB"/>
    <w:rsid w:val="00984F13"/>
    <w:rsid w:val="00985603"/>
    <w:rsid w:val="0098578E"/>
    <w:rsid w:val="009857E0"/>
    <w:rsid w:val="00986662"/>
    <w:rsid w:val="00986C77"/>
    <w:rsid w:val="00987560"/>
    <w:rsid w:val="009875AC"/>
    <w:rsid w:val="00987661"/>
    <w:rsid w:val="00987755"/>
    <w:rsid w:val="00987ABF"/>
    <w:rsid w:val="00987BCF"/>
    <w:rsid w:val="00990312"/>
    <w:rsid w:val="009903F8"/>
    <w:rsid w:val="00990746"/>
    <w:rsid w:val="0099078B"/>
    <w:rsid w:val="009909A4"/>
    <w:rsid w:val="00990A72"/>
    <w:rsid w:val="00990C57"/>
    <w:rsid w:val="00991558"/>
    <w:rsid w:val="00991679"/>
    <w:rsid w:val="00991A69"/>
    <w:rsid w:val="00991E41"/>
    <w:rsid w:val="00991F14"/>
    <w:rsid w:val="00991F7D"/>
    <w:rsid w:val="009921B3"/>
    <w:rsid w:val="00992D4F"/>
    <w:rsid w:val="00992F22"/>
    <w:rsid w:val="00993244"/>
    <w:rsid w:val="00993595"/>
    <w:rsid w:val="00993668"/>
    <w:rsid w:val="0099369F"/>
    <w:rsid w:val="009938B9"/>
    <w:rsid w:val="00993BF3"/>
    <w:rsid w:val="00993C84"/>
    <w:rsid w:val="00993D04"/>
    <w:rsid w:val="00993EB0"/>
    <w:rsid w:val="00994229"/>
    <w:rsid w:val="009943D1"/>
    <w:rsid w:val="009944EC"/>
    <w:rsid w:val="0099498C"/>
    <w:rsid w:val="00994FFC"/>
    <w:rsid w:val="00995105"/>
    <w:rsid w:val="0099511A"/>
    <w:rsid w:val="00995211"/>
    <w:rsid w:val="009952EB"/>
    <w:rsid w:val="00995393"/>
    <w:rsid w:val="00995597"/>
    <w:rsid w:val="00995632"/>
    <w:rsid w:val="00995757"/>
    <w:rsid w:val="00995D44"/>
    <w:rsid w:val="00995DF0"/>
    <w:rsid w:val="009963CD"/>
    <w:rsid w:val="00996688"/>
    <w:rsid w:val="00996910"/>
    <w:rsid w:val="009972A0"/>
    <w:rsid w:val="009973A7"/>
    <w:rsid w:val="0099740E"/>
    <w:rsid w:val="0099783B"/>
    <w:rsid w:val="009978A9"/>
    <w:rsid w:val="009979EB"/>
    <w:rsid w:val="00997CBB"/>
    <w:rsid w:val="00997E78"/>
    <w:rsid w:val="009A02A6"/>
    <w:rsid w:val="009A03A0"/>
    <w:rsid w:val="009A0611"/>
    <w:rsid w:val="009A0952"/>
    <w:rsid w:val="009A0A81"/>
    <w:rsid w:val="009A0E70"/>
    <w:rsid w:val="009A1003"/>
    <w:rsid w:val="009A158E"/>
    <w:rsid w:val="009A17B0"/>
    <w:rsid w:val="009A18CB"/>
    <w:rsid w:val="009A1932"/>
    <w:rsid w:val="009A1AE4"/>
    <w:rsid w:val="009A1B59"/>
    <w:rsid w:val="009A1B5A"/>
    <w:rsid w:val="009A2073"/>
    <w:rsid w:val="009A264B"/>
    <w:rsid w:val="009A2F5D"/>
    <w:rsid w:val="009A3666"/>
    <w:rsid w:val="009A40C8"/>
    <w:rsid w:val="009A40F9"/>
    <w:rsid w:val="009A41F9"/>
    <w:rsid w:val="009A43A3"/>
    <w:rsid w:val="009A51B8"/>
    <w:rsid w:val="009A5E55"/>
    <w:rsid w:val="009A6269"/>
    <w:rsid w:val="009A6CEE"/>
    <w:rsid w:val="009A777D"/>
    <w:rsid w:val="009A7A9E"/>
    <w:rsid w:val="009A7BC9"/>
    <w:rsid w:val="009A7FA8"/>
    <w:rsid w:val="009B0195"/>
    <w:rsid w:val="009B01D1"/>
    <w:rsid w:val="009B0282"/>
    <w:rsid w:val="009B08B4"/>
    <w:rsid w:val="009B0BAC"/>
    <w:rsid w:val="009B0E36"/>
    <w:rsid w:val="009B0FBC"/>
    <w:rsid w:val="009B1849"/>
    <w:rsid w:val="009B1927"/>
    <w:rsid w:val="009B21D1"/>
    <w:rsid w:val="009B222B"/>
    <w:rsid w:val="009B23B4"/>
    <w:rsid w:val="009B2950"/>
    <w:rsid w:val="009B302F"/>
    <w:rsid w:val="009B321A"/>
    <w:rsid w:val="009B3337"/>
    <w:rsid w:val="009B345C"/>
    <w:rsid w:val="009B36DC"/>
    <w:rsid w:val="009B45E7"/>
    <w:rsid w:val="009B5123"/>
    <w:rsid w:val="009B513A"/>
    <w:rsid w:val="009B5528"/>
    <w:rsid w:val="009B5753"/>
    <w:rsid w:val="009B5BC2"/>
    <w:rsid w:val="009B6891"/>
    <w:rsid w:val="009B6896"/>
    <w:rsid w:val="009B6A29"/>
    <w:rsid w:val="009B6C30"/>
    <w:rsid w:val="009B6E30"/>
    <w:rsid w:val="009B73A9"/>
    <w:rsid w:val="009B7527"/>
    <w:rsid w:val="009B76A5"/>
    <w:rsid w:val="009B785A"/>
    <w:rsid w:val="009C0158"/>
    <w:rsid w:val="009C033C"/>
    <w:rsid w:val="009C0DE4"/>
    <w:rsid w:val="009C0E5F"/>
    <w:rsid w:val="009C107D"/>
    <w:rsid w:val="009C14F3"/>
    <w:rsid w:val="009C1821"/>
    <w:rsid w:val="009C1974"/>
    <w:rsid w:val="009C1DE9"/>
    <w:rsid w:val="009C1FC9"/>
    <w:rsid w:val="009C27EE"/>
    <w:rsid w:val="009C2AA0"/>
    <w:rsid w:val="009C3307"/>
    <w:rsid w:val="009C33D0"/>
    <w:rsid w:val="009C35AB"/>
    <w:rsid w:val="009C3B0A"/>
    <w:rsid w:val="009C3B37"/>
    <w:rsid w:val="009C3B52"/>
    <w:rsid w:val="009C3E46"/>
    <w:rsid w:val="009C3EF5"/>
    <w:rsid w:val="009C433D"/>
    <w:rsid w:val="009C43C4"/>
    <w:rsid w:val="009C47AB"/>
    <w:rsid w:val="009C495A"/>
    <w:rsid w:val="009C4C4D"/>
    <w:rsid w:val="009C4E2A"/>
    <w:rsid w:val="009C4E74"/>
    <w:rsid w:val="009C4F3C"/>
    <w:rsid w:val="009C5494"/>
    <w:rsid w:val="009C5500"/>
    <w:rsid w:val="009C563B"/>
    <w:rsid w:val="009C5ABB"/>
    <w:rsid w:val="009C5B7C"/>
    <w:rsid w:val="009C5E03"/>
    <w:rsid w:val="009C5FF2"/>
    <w:rsid w:val="009C6858"/>
    <w:rsid w:val="009C68C7"/>
    <w:rsid w:val="009C73E4"/>
    <w:rsid w:val="009C7723"/>
    <w:rsid w:val="009D0699"/>
    <w:rsid w:val="009D0947"/>
    <w:rsid w:val="009D0E3E"/>
    <w:rsid w:val="009D1235"/>
    <w:rsid w:val="009D20E6"/>
    <w:rsid w:val="009D23CB"/>
    <w:rsid w:val="009D2795"/>
    <w:rsid w:val="009D2CAA"/>
    <w:rsid w:val="009D2E0B"/>
    <w:rsid w:val="009D2F23"/>
    <w:rsid w:val="009D346C"/>
    <w:rsid w:val="009D3527"/>
    <w:rsid w:val="009D38A6"/>
    <w:rsid w:val="009D4038"/>
    <w:rsid w:val="009D41DB"/>
    <w:rsid w:val="009D4E9C"/>
    <w:rsid w:val="009D50FC"/>
    <w:rsid w:val="009D5444"/>
    <w:rsid w:val="009D5E82"/>
    <w:rsid w:val="009D5F06"/>
    <w:rsid w:val="009D5FA4"/>
    <w:rsid w:val="009D737A"/>
    <w:rsid w:val="009D7408"/>
    <w:rsid w:val="009D7640"/>
    <w:rsid w:val="009D7658"/>
    <w:rsid w:val="009D7A22"/>
    <w:rsid w:val="009D7B0C"/>
    <w:rsid w:val="009D7EA6"/>
    <w:rsid w:val="009E062F"/>
    <w:rsid w:val="009E09AA"/>
    <w:rsid w:val="009E14D6"/>
    <w:rsid w:val="009E1563"/>
    <w:rsid w:val="009E17F0"/>
    <w:rsid w:val="009E1A2B"/>
    <w:rsid w:val="009E1AF5"/>
    <w:rsid w:val="009E1B9A"/>
    <w:rsid w:val="009E1DB6"/>
    <w:rsid w:val="009E3F95"/>
    <w:rsid w:val="009E41CB"/>
    <w:rsid w:val="009E444A"/>
    <w:rsid w:val="009E474E"/>
    <w:rsid w:val="009E4781"/>
    <w:rsid w:val="009E5286"/>
    <w:rsid w:val="009E53C3"/>
    <w:rsid w:val="009E5AC0"/>
    <w:rsid w:val="009E61C0"/>
    <w:rsid w:val="009E64D4"/>
    <w:rsid w:val="009E65B3"/>
    <w:rsid w:val="009E66F3"/>
    <w:rsid w:val="009E6875"/>
    <w:rsid w:val="009E6EA4"/>
    <w:rsid w:val="009E7C43"/>
    <w:rsid w:val="009F0029"/>
    <w:rsid w:val="009F0101"/>
    <w:rsid w:val="009F012F"/>
    <w:rsid w:val="009F025E"/>
    <w:rsid w:val="009F03DD"/>
    <w:rsid w:val="009F05EE"/>
    <w:rsid w:val="009F158E"/>
    <w:rsid w:val="009F1EAC"/>
    <w:rsid w:val="009F1EFF"/>
    <w:rsid w:val="009F213B"/>
    <w:rsid w:val="009F2B71"/>
    <w:rsid w:val="009F2C12"/>
    <w:rsid w:val="009F3499"/>
    <w:rsid w:val="009F361B"/>
    <w:rsid w:val="009F37F3"/>
    <w:rsid w:val="009F383B"/>
    <w:rsid w:val="009F3BF1"/>
    <w:rsid w:val="009F3C0A"/>
    <w:rsid w:val="009F3F7F"/>
    <w:rsid w:val="009F51EF"/>
    <w:rsid w:val="009F55E5"/>
    <w:rsid w:val="009F5737"/>
    <w:rsid w:val="009F655D"/>
    <w:rsid w:val="009F6763"/>
    <w:rsid w:val="009F72E4"/>
    <w:rsid w:val="009F77A5"/>
    <w:rsid w:val="009F77FF"/>
    <w:rsid w:val="009F7B28"/>
    <w:rsid w:val="009F7EF6"/>
    <w:rsid w:val="00A0017E"/>
    <w:rsid w:val="00A00511"/>
    <w:rsid w:val="00A0057D"/>
    <w:rsid w:val="00A008E8"/>
    <w:rsid w:val="00A00900"/>
    <w:rsid w:val="00A00A31"/>
    <w:rsid w:val="00A00BE3"/>
    <w:rsid w:val="00A00E6B"/>
    <w:rsid w:val="00A012FB"/>
    <w:rsid w:val="00A01504"/>
    <w:rsid w:val="00A017A6"/>
    <w:rsid w:val="00A01D7A"/>
    <w:rsid w:val="00A01E22"/>
    <w:rsid w:val="00A0233B"/>
    <w:rsid w:val="00A023D7"/>
    <w:rsid w:val="00A02673"/>
    <w:rsid w:val="00A0294B"/>
    <w:rsid w:val="00A02A46"/>
    <w:rsid w:val="00A02A7E"/>
    <w:rsid w:val="00A02C76"/>
    <w:rsid w:val="00A02EE4"/>
    <w:rsid w:val="00A031CD"/>
    <w:rsid w:val="00A03771"/>
    <w:rsid w:val="00A04633"/>
    <w:rsid w:val="00A04AA4"/>
    <w:rsid w:val="00A04AF5"/>
    <w:rsid w:val="00A057F7"/>
    <w:rsid w:val="00A05F22"/>
    <w:rsid w:val="00A0605D"/>
    <w:rsid w:val="00A0614E"/>
    <w:rsid w:val="00A062F6"/>
    <w:rsid w:val="00A067A2"/>
    <w:rsid w:val="00A068F8"/>
    <w:rsid w:val="00A06AF2"/>
    <w:rsid w:val="00A07013"/>
    <w:rsid w:val="00A07719"/>
    <w:rsid w:val="00A07CA6"/>
    <w:rsid w:val="00A07D25"/>
    <w:rsid w:val="00A1036C"/>
    <w:rsid w:val="00A104A5"/>
    <w:rsid w:val="00A10BC1"/>
    <w:rsid w:val="00A10DCA"/>
    <w:rsid w:val="00A1132A"/>
    <w:rsid w:val="00A115CC"/>
    <w:rsid w:val="00A116E5"/>
    <w:rsid w:val="00A11B4F"/>
    <w:rsid w:val="00A11DE3"/>
    <w:rsid w:val="00A1243B"/>
    <w:rsid w:val="00A124FE"/>
    <w:rsid w:val="00A12714"/>
    <w:rsid w:val="00A12B7C"/>
    <w:rsid w:val="00A12C85"/>
    <w:rsid w:val="00A132C3"/>
    <w:rsid w:val="00A133D1"/>
    <w:rsid w:val="00A13D60"/>
    <w:rsid w:val="00A13EB6"/>
    <w:rsid w:val="00A140DA"/>
    <w:rsid w:val="00A1422C"/>
    <w:rsid w:val="00A143FD"/>
    <w:rsid w:val="00A146C3"/>
    <w:rsid w:val="00A149DE"/>
    <w:rsid w:val="00A14A2F"/>
    <w:rsid w:val="00A14A3A"/>
    <w:rsid w:val="00A14AA6"/>
    <w:rsid w:val="00A14D8E"/>
    <w:rsid w:val="00A14DEE"/>
    <w:rsid w:val="00A15209"/>
    <w:rsid w:val="00A152B0"/>
    <w:rsid w:val="00A153FD"/>
    <w:rsid w:val="00A1555B"/>
    <w:rsid w:val="00A1678C"/>
    <w:rsid w:val="00A16AC0"/>
    <w:rsid w:val="00A16EAD"/>
    <w:rsid w:val="00A1710C"/>
    <w:rsid w:val="00A17464"/>
    <w:rsid w:val="00A175EF"/>
    <w:rsid w:val="00A17850"/>
    <w:rsid w:val="00A17A01"/>
    <w:rsid w:val="00A17E8E"/>
    <w:rsid w:val="00A201C7"/>
    <w:rsid w:val="00A207C7"/>
    <w:rsid w:val="00A21615"/>
    <w:rsid w:val="00A21A33"/>
    <w:rsid w:val="00A21CE4"/>
    <w:rsid w:val="00A2217E"/>
    <w:rsid w:val="00A222E8"/>
    <w:rsid w:val="00A2234E"/>
    <w:rsid w:val="00A22375"/>
    <w:rsid w:val="00A2269F"/>
    <w:rsid w:val="00A22717"/>
    <w:rsid w:val="00A22BFF"/>
    <w:rsid w:val="00A22CD2"/>
    <w:rsid w:val="00A22FBC"/>
    <w:rsid w:val="00A231E3"/>
    <w:rsid w:val="00A23ED2"/>
    <w:rsid w:val="00A24136"/>
    <w:rsid w:val="00A2444F"/>
    <w:rsid w:val="00A24764"/>
    <w:rsid w:val="00A248F4"/>
    <w:rsid w:val="00A24AEC"/>
    <w:rsid w:val="00A24E71"/>
    <w:rsid w:val="00A24EC9"/>
    <w:rsid w:val="00A251AE"/>
    <w:rsid w:val="00A254E5"/>
    <w:rsid w:val="00A25547"/>
    <w:rsid w:val="00A255EF"/>
    <w:rsid w:val="00A25B87"/>
    <w:rsid w:val="00A25F70"/>
    <w:rsid w:val="00A2628F"/>
    <w:rsid w:val="00A26416"/>
    <w:rsid w:val="00A269D2"/>
    <w:rsid w:val="00A26D8E"/>
    <w:rsid w:val="00A27422"/>
    <w:rsid w:val="00A27F12"/>
    <w:rsid w:val="00A27FA0"/>
    <w:rsid w:val="00A302F6"/>
    <w:rsid w:val="00A30982"/>
    <w:rsid w:val="00A30AE2"/>
    <w:rsid w:val="00A30F5E"/>
    <w:rsid w:val="00A30F8C"/>
    <w:rsid w:val="00A3116F"/>
    <w:rsid w:val="00A315FC"/>
    <w:rsid w:val="00A31CB5"/>
    <w:rsid w:val="00A31E46"/>
    <w:rsid w:val="00A31E5F"/>
    <w:rsid w:val="00A31F73"/>
    <w:rsid w:val="00A31FB7"/>
    <w:rsid w:val="00A327CA"/>
    <w:rsid w:val="00A3284B"/>
    <w:rsid w:val="00A32EF4"/>
    <w:rsid w:val="00A32F1D"/>
    <w:rsid w:val="00A33304"/>
    <w:rsid w:val="00A334B2"/>
    <w:rsid w:val="00A33506"/>
    <w:rsid w:val="00A33815"/>
    <w:rsid w:val="00A33C56"/>
    <w:rsid w:val="00A33E6D"/>
    <w:rsid w:val="00A3416F"/>
    <w:rsid w:val="00A345AD"/>
    <w:rsid w:val="00A34647"/>
    <w:rsid w:val="00A34668"/>
    <w:rsid w:val="00A353C5"/>
    <w:rsid w:val="00A35724"/>
    <w:rsid w:val="00A35746"/>
    <w:rsid w:val="00A35B87"/>
    <w:rsid w:val="00A35C1E"/>
    <w:rsid w:val="00A35E5D"/>
    <w:rsid w:val="00A35E92"/>
    <w:rsid w:val="00A35EBE"/>
    <w:rsid w:val="00A36580"/>
    <w:rsid w:val="00A36DDA"/>
    <w:rsid w:val="00A36FF5"/>
    <w:rsid w:val="00A371A9"/>
    <w:rsid w:val="00A3724F"/>
    <w:rsid w:val="00A37932"/>
    <w:rsid w:val="00A37B01"/>
    <w:rsid w:val="00A37B2B"/>
    <w:rsid w:val="00A37B44"/>
    <w:rsid w:val="00A37D93"/>
    <w:rsid w:val="00A37FAB"/>
    <w:rsid w:val="00A405AF"/>
    <w:rsid w:val="00A40CB0"/>
    <w:rsid w:val="00A40FC6"/>
    <w:rsid w:val="00A412F0"/>
    <w:rsid w:val="00A41686"/>
    <w:rsid w:val="00A41981"/>
    <w:rsid w:val="00A41CA0"/>
    <w:rsid w:val="00A4202B"/>
    <w:rsid w:val="00A427A0"/>
    <w:rsid w:val="00A42949"/>
    <w:rsid w:val="00A42AAA"/>
    <w:rsid w:val="00A42FF5"/>
    <w:rsid w:val="00A4310D"/>
    <w:rsid w:val="00A4342F"/>
    <w:rsid w:val="00A436A0"/>
    <w:rsid w:val="00A43738"/>
    <w:rsid w:val="00A43F78"/>
    <w:rsid w:val="00A44556"/>
    <w:rsid w:val="00A4464A"/>
    <w:rsid w:val="00A44D2E"/>
    <w:rsid w:val="00A44F2F"/>
    <w:rsid w:val="00A44FFB"/>
    <w:rsid w:val="00A45475"/>
    <w:rsid w:val="00A45FEB"/>
    <w:rsid w:val="00A46294"/>
    <w:rsid w:val="00A46308"/>
    <w:rsid w:val="00A46582"/>
    <w:rsid w:val="00A46898"/>
    <w:rsid w:val="00A47886"/>
    <w:rsid w:val="00A47A49"/>
    <w:rsid w:val="00A47DB2"/>
    <w:rsid w:val="00A50627"/>
    <w:rsid w:val="00A507E2"/>
    <w:rsid w:val="00A50819"/>
    <w:rsid w:val="00A5082E"/>
    <w:rsid w:val="00A50BE1"/>
    <w:rsid w:val="00A50DFE"/>
    <w:rsid w:val="00A51535"/>
    <w:rsid w:val="00A51A8D"/>
    <w:rsid w:val="00A51AA1"/>
    <w:rsid w:val="00A5217C"/>
    <w:rsid w:val="00A52C8E"/>
    <w:rsid w:val="00A52DE3"/>
    <w:rsid w:val="00A5357F"/>
    <w:rsid w:val="00A53642"/>
    <w:rsid w:val="00A53ACA"/>
    <w:rsid w:val="00A54508"/>
    <w:rsid w:val="00A54571"/>
    <w:rsid w:val="00A549E2"/>
    <w:rsid w:val="00A54C40"/>
    <w:rsid w:val="00A55A7F"/>
    <w:rsid w:val="00A56D10"/>
    <w:rsid w:val="00A57098"/>
    <w:rsid w:val="00A5729B"/>
    <w:rsid w:val="00A57BE9"/>
    <w:rsid w:val="00A57F15"/>
    <w:rsid w:val="00A605EB"/>
    <w:rsid w:val="00A6064C"/>
    <w:rsid w:val="00A60CC2"/>
    <w:rsid w:val="00A613AF"/>
    <w:rsid w:val="00A61A3E"/>
    <w:rsid w:val="00A61BBF"/>
    <w:rsid w:val="00A61D38"/>
    <w:rsid w:val="00A61DB7"/>
    <w:rsid w:val="00A61DC4"/>
    <w:rsid w:val="00A61ECA"/>
    <w:rsid w:val="00A61ED9"/>
    <w:rsid w:val="00A61EF5"/>
    <w:rsid w:val="00A6203D"/>
    <w:rsid w:val="00A622CE"/>
    <w:rsid w:val="00A628B4"/>
    <w:rsid w:val="00A62D4A"/>
    <w:rsid w:val="00A63306"/>
    <w:rsid w:val="00A63767"/>
    <w:rsid w:val="00A639AD"/>
    <w:rsid w:val="00A63B8B"/>
    <w:rsid w:val="00A64257"/>
    <w:rsid w:val="00A64470"/>
    <w:rsid w:val="00A64619"/>
    <w:rsid w:val="00A649F8"/>
    <w:rsid w:val="00A64A07"/>
    <w:rsid w:val="00A64DF8"/>
    <w:rsid w:val="00A64E7C"/>
    <w:rsid w:val="00A65072"/>
    <w:rsid w:val="00A65161"/>
    <w:rsid w:val="00A65175"/>
    <w:rsid w:val="00A651D2"/>
    <w:rsid w:val="00A6564F"/>
    <w:rsid w:val="00A656E2"/>
    <w:rsid w:val="00A657CA"/>
    <w:rsid w:val="00A65C47"/>
    <w:rsid w:val="00A65F26"/>
    <w:rsid w:val="00A65FDF"/>
    <w:rsid w:val="00A6614F"/>
    <w:rsid w:val="00A661E9"/>
    <w:rsid w:val="00A665EE"/>
    <w:rsid w:val="00A669A6"/>
    <w:rsid w:val="00A669FE"/>
    <w:rsid w:val="00A66FEC"/>
    <w:rsid w:val="00A66FF5"/>
    <w:rsid w:val="00A67D57"/>
    <w:rsid w:val="00A67F77"/>
    <w:rsid w:val="00A70036"/>
    <w:rsid w:val="00A705F0"/>
    <w:rsid w:val="00A708CF"/>
    <w:rsid w:val="00A716B1"/>
    <w:rsid w:val="00A717B3"/>
    <w:rsid w:val="00A717E5"/>
    <w:rsid w:val="00A71A5E"/>
    <w:rsid w:val="00A71AD7"/>
    <w:rsid w:val="00A71BD9"/>
    <w:rsid w:val="00A72117"/>
    <w:rsid w:val="00A72DE1"/>
    <w:rsid w:val="00A72F0A"/>
    <w:rsid w:val="00A72FC5"/>
    <w:rsid w:val="00A73628"/>
    <w:rsid w:val="00A73744"/>
    <w:rsid w:val="00A7388B"/>
    <w:rsid w:val="00A73948"/>
    <w:rsid w:val="00A739BF"/>
    <w:rsid w:val="00A74E88"/>
    <w:rsid w:val="00A74EED"/>
    <w:rsid w:val="00A75140"/>
    <w:rsid w:val="00A75DCA"/>
    <w:rsid w:val="00A75E2F"/>
    <w:rsid w:val="00A76179"/>
    <w:rsid w:val="00A76352"/>
    <w:rsid w:val="00A765BB"/>
    <w:rsid w:val="00A76679"/>
    <w:rsid w:val="00A76988"/>
    <w:rsid w:val="00A76E05"/>
    <w:rsid w:val="00A773B3"/>
    <w:rsid w:val="00A77BA3"/>
    <w:rsid w:val="00A80046"/>
    <w:rsid w:val="00A8024A"/>
    <w:rsid w:val="00A80AC9"/>
    <w:rsid w:val="00A81327"/>
    <w:rsid w:val="00A81F93"/>
    <w:rsid w:val="00A825DF"/>
    <w:rsid w:val="00A826F0"/>
    <w:rsid w:val="00A82892"/>
    <w:rsid w:val="00A82CDB"/>
    <w:rsid w:val="00A82FDC"/>
    <w:rsid w:val="00A8303F"/>
    <w:rsid w:val="00A83310"/>
    <w:rsid w:val="00A833CD"/>
    <w:rsid w:val="00A835A0"/>
    <w:rsid w:val="00A83861"/>
    <w:rsid w:val="00A843B2"/>
    <w:rsid w:val="00A84580"/>
    <w:rsid w:val="00A846B9"/>
    <w:rsid w:val="00A846E8"/>
    <w:rsid w:val="00A84D6A"/>
    <w:rsid w:val="00A8547D"/>
    <w:rsid w:val="00A85610"/>
    <w:rsid w:val="00A8570D"/>
    <w:rsid w:val="00A86211"/>
    <w:rsid w:val="00A86365"/>
    <w:rsid w:val="00A87284"/>
    <w:rsid w:val="00A872B0"/>
    <w:rsid w:val="00A87330"/>
    <w:rsid w:val="00A87B1F"/>
    <w:rsid w:val="00A87CC2"/>
    <w:rsid w:val="00A900BB"/>
    <w:rsid w:val="00A902F7"/>
    <w:rsid w:val="00A907AD"/>
    <w:rsid w:val="00A90F38"/>
    <w:rsid w:val="00A9152A"/>
    <w:rsid w:val="00A91C03"/>
    <w:rsid w:val="00A91F9B"/>
    <w:rsid w:val="00A92441"/>
    <w:rsid w:val="00A9282A"/>
    <w:rsid w:val="00A92D2D"/>
    <w:rsid w:val="00A92F78"/>
    <w:rsid w:val="00A94690"/>
    <w:rsid w:val="00A94867"/>
    <w:rsid w:val="00A94D23"/>
    <w:rsid w:val="00A94EC6"/>
    <w:rsid w:val="00A94F5F"/>
    <w:rsid w:val="00A95209"/>
    <w:rsid w:val="00A95458"/>
    <w:rsid w:val="00A95635"/>
    <w:rsid w:val="00A956BB"/>
    <w:rsid w:val="00A956F6"/>
    <w:rsid w:val="00A959D0"/>
    <w:rsid w:val="00A96015"/>
    <w:rsid w:val="00A965A2"/>
    <w:rsid w:val="00A96926"/>
    <w:rsid w:val="00A96A40"/>
    <w:rsid w:val="00A96BAF"/>
    <w:rsid w:val="00A97089"/>
    <w:rsid w:val="00A977D8"/>
    <w:rsid w:val="00A97839"/>
    <w:rsid w:val="00A97B8B"/>
    <w:rsid w:val="00A97FAE"/>
    <w:rsid w:val="00AA0099"/>
    <w:rsid w:val="00AA00C2"/>
    <w:rsid w:val="00AA1620"/>
    <w:rsid w:val="00AA1857"/>
    <w:rsid w:val="00AA2037"/>
    <w:rsid w:val="00AA20DA"/>
    <w:rsid w:val="00AA23AA"/>
    <w:rsid w:val="00AA265F"/>
    <w:rsid w:val="00AA27F4"/>
    <w:rsid w:val="00AA2A28"/>
    <w:rsid w:val="00AA2CFD"/>
    <w:rsid w:val="00AA2D4E"/>
    <w:rsid w:val="00AA32F0"/>
    <w:rsid w:val="00AA360A"/>
    <w:rsid w:val="00AA3BAC"/>
    <w:rsid w:val="00AA402C"/>
    <w:rsid w:val="00AA436C"/>
    <w:rsid w:val="00AA4399"/>
    <w:rsid w:val="00AA4D99"/>
    <w:rsid w:val="00AA4DE9"/>
    <w:rsid w:val="00AA5469"/>
    <w:rsid w:val="00AA553C"/>
    <w:rsid w:val="00AA58F9"/>
    <w:rsid w:val="00AA5937"/>
    <w:rsid w:val="00AA5979"/>
    <w:rsid w:val="00AA5E30"/>
    <w:rsid w:val="00AA65D7"/>
    <w:rsid w:val="00AA68A5"/>
    <w:rsid w:val="00AA694A"/>
    <w:rsid w:val="00AA6CD0"/>
    <w:rsid w:val="00AA6ED9"/>
    <w:rsid w:val="00AA7097"/>
    <w:rsid w:val="00AA72E6"/>
    <w:rsid w:val="00AA7606"/>
    <w:rsid w:val="00AB0495"/>
    <w:rsid w:val="00AB0575"/>
    <w:rsid w:val="00AB0680"/>
    <w:rsid w:val="00AB177A"/>
    <w:rsid w:val="00AB18FF"/>
    <w:rsid w:val="00AB21E6"/>
    <w:rsid w:val="00AB281C"/>
    <w:rsid w:val="00AB29FA"/>
    <w:rsid w:val="00AB2C97"/>
    <w:rsid w:val="00AB2CC1"/>
    <w:rsid w:val="00AB2CF8"/>
    <w:rsid w:val="00AB2D3E"/>
    <w:rsid w:val="00AB3391"/>
    <w:rsid w:val="00AB33E0"/>
    <w:rsid w:val="00AB362E"/>
    <w:rsid w:val="00AB39A3"/>
    <w:rsid w:val="00AB3DE1"/>
    <w:rsid w:val="00AB46D9"/>
    <w:rsid w:val="00AB48A7"/>
    <w:rsid w:val="00AB4EAE"/>
    <w:rsid w:val="00AB51B4"/>
    <w:rsid w:val="00AB545F"/>
    <w:rsid w:val="00AB5B66"/>
    <w:rsid w:val="00AB5C00"/>
    <w:rsid w:val="00AB6081"/>
    <w:rsid w:val="00AB63B8"/>
    <w:rsid w:val="00AB65B6"/>
    <w:rsid w:val="00AB67E2"/>
    <w:rsid w:val="00AB72CD"/>
    <w:rsid w:val="00AB774A"/>
    <w:rsid w:val="00AB7755"/>
    <w:rsid w:val="00AB7A27"/>
    <w:rsid w:val="00AC0AE3"/>
    <w:rsid w:val="00AC0D12"/>
    <w:rsid w:val="00AC1013"/>
    <w:rsid w:val="00AC11B4"/>
    <w:rsid w:val="00AC1236"/>
    <w:rsid w:val="00AC18E7"/>
    <w:rsid w:val="00AC1B54"/>
    <w:rsid w:val="00AC1CFD"/>
    <w:rsid w:val="00AC1DFB"/>
    <w:rsid w:val="00AC228D"/>
    <w:rsid w:val="00AC23DE"/>
    <w:rsid w:val="00AC2546"/>
    <w:rsid w:val="00AC25C3"/>
    <w:rsid w:val="00AC25FC"/>
    <w:rsid w:val="00AC2BAD"/>
    <w:rsid w:val="00AC2EF8"/>
    <w:rsid w:val="00AC2FC9"/>
    <w:rsid w:val="00AC37A0"/>
    <w:rsid w:val="00AC3B23"/>
    <w:rsid w:val="00AC41AC"/>
    <w:rsid w:val="00AC43D9"/>
    <w:rsid w:val="00AC537E"/>
    <w:rsid w:val="00AC53BE"/>
    <w:rsid w:val="00AC54A3"/>
    <w:rsid w:val="00AC5C9D"/>
    <w:rsid w:val="00AC621F"/>
    <w:rsid w:val="00AC6326"/>
    <w:rsid w:val="00AC6336"/>
    <w:rsid w:val="00AC6899"/>
    <w:rsid w:val="00AC6A22"/>
    <w:rsid w:val="00AC6B0F"/>
    <w:rsid w:val="00AC6ECA"/>
    <w:rsid w:val="00AC6F10"/>
    <w:rsid w:val="00AC6F6D"/>
    <w:rsid w:val="00AC74B6"/>
    <w:rsid w:val="00AC7604"/>
    <w:rsid w:val="00AC7977"/>
    <w:rsid w:val="00AC7A96"/>
    <w:rsid w:val="00AD01BF"/>
    <w:rsid w:val="00AD077A"/>
    <w:rsid w:val="00AD0F6D"/>
    <w:rsid w:val="00AD0FCE"/>
    <w:rsid w:val="00AD1261"/>
    <w:rsid w:val="00AD133A"/>
    <w:rsid w:val="00AD158C"/>
    <w:rsid w:val="00AD18C7"/>
    <w:rsid w:val="00AD2235"/>
    <w:rsid w:val="00AD22C4"/>
    <w:rsid w:val="00AD2733"/>
    <w:rsid w:val="00AD2DB9"/>
    <w:rsid w:val="00AD2E72"/>
    <w:rsid w:val="00AD32C9"/>
    <w:rsid w:val="00AD3BAD"/>
    <w:rsid w:val="00AD3C3A"/>
    <w:rsid w:val="00AD3E18"/>
    <w:rsid w:val="00AD464A"/>
    <w:rsid w:val="00AD476F"/>
    <w:rsid w:val="00AD4BC4"/>
    <w:rsid w:val="00AD5473"/>
    <w:rsid w:val="00AD54F4"/>
    <w:rsid w:val="00AD5646"/>
    <w:rsid w:val="00AD5A96"/>
    <w:rsid w:val="00AD5BB0"/>
    <w:rsid w:val="00AD5C9C"/>
    <w:rsid w:val="00AD6616"/>
    <w:rsid w:val="00AD6A0F"/>
    <w:rsid w:val="00AD6AC1"/>
    <w:rsid w:val="00AD6C8E"/>
    <w:rsid w:val="00AD6FC9"/>
    <w:rsid w:val="00AD6FCA"/>
    <w:rsid w:val="00AD7217"/>
    <w:rsid w:val="00AE0990"/>
    <w:rsid w:val="00AE0A5E"/>
    <w:rsid w:val="00AE0ADF"/>
    <w:rsid w:val="00AE158F"/>
    <w:rsid w:val="00AE18C2"/>
    <w:rsid w:val="00AE1AAF"/>
    <w:rsid w:val="00AE1CD4"/>
    <w:rsid w:val="00AE22D2"/>
    <w:rsid w:val="00AE24AA"/>
    <w:rsid w:val="00AE256D"/>
    <w:rsid w:val="00AE27A8"/>
    <w:rsid w:val="00AE3496"/>
    <w:rsid w:val="00AE3618"/>
    <w:rsid w:val="00AE39FC"/>
    <w:rsid w:val="00AE40CA"/>
    <w:rsid w:val="00AE454B"/>
    <w:rsid w:val="00AE45BB"/>
    <w:rsid w:val="00AE45CF"/>
    <w:rsid w:val="00AE4E67"/>
    <w:rsid w:val="00AE50F0"/>
    <w:rsid w:val="00AE5267"/>
    <w:rsid w:val="00AE563A"/>
    <w:rsid w:val="00AE566C"/>
    <w:rsid w:val="00AE58A2"/>
    <w:rsid w:val="00AE5CF8"/>
    <w:rsid w:val="00AE5E2A"/>
    <w:rsid w:val="00AE61FB"/>
    <w:rsid w:val="00AE643F"/>
    <w:rsid w:val="00AE6CE6"/>
    <w:rsid w:val="00AE6CEB"/>
    <w:rsid w:val="00AE71D3"/>
    <w:rsid w:val="00AE727C"/>
    <w:rsid w:val="00AE7302"/>
    <w:rsid w:val="00AE755C"/>
    <w:rsid w:val="00AE7B27"/>
    <w:rsid w:val="00AF012D"/>
    <w:rsid w:val="00AF0C1E"/>
    <w:rsid w:val="00AF13BA"/>
    <w:rsid w:val="00AF15A3"/>
    <w:rsid w:val="00AF1D88"/>
    <w:rsid w:val="00AF1E79"/>
    <w:rsid w:val="00AF2007"/>
    <w:rsid w:val="00AF202D"/>
    <w:rsid w:val="00AF2524"/>
    <w:rsid w:val="00AF28B4"/>
    <w:rsid w:val="00AF3B2C"/>
    <w:rsid w:val="00AF3C59"/>
    <w:rsid w:val="00AF3CF6"/>
    <w:rsid w:val="00AF3E08"/>
    <w:rsid w:val="00AF3E79"/>
    <w:rsid w:val="00AF43D9"/>
    <w:rsid w:val="00AF44F3"/>
    <w:rsid w:val="00AF4536"/>
    <w:rsid w:val="00AF45D6"/>
    <w:rsid w:val="00AF4C56"/>
    <w:rsid w:val="00AF4C7A"/>
    <w:rsid w:val="00AF4C87"/>
    <w:rsid w:val="00AF4CF8"/>
    <w:rsid w:val="00AF4CFD"/>
    <w:rsid w:val="00AF4DAD"/>
    <w:rsid w:val="00AF50FC"/>
    <w:rsid w:val="00AF52D3"/>
    <w:rsid w:val="00AF58F1"/>
    <w:rsid w:val="00AF5CB6"/>
    <w:rsid w:val="00AF5F9B"/>
    <w:rsid w:val="00AF6323"/>
    <w:rsid w:val="00AF6809"/>
    <w:rsid w:val="00AF682E"/>
    <w:rsid w:val="00AF79DA"/>
    <w:rsid w:val="00AF7B11"/>
    <w:rsid w:val="00B00374"/>
    <w:rsid w:val="00B005AB"/>
    <w:rsid w:val="00B01D64"/>
    <w:rsid w:val="00B01D8C"/>
    <w:rsid w:val="00B0224F"/>
    <w:rsid w:val="00B027CF"/>
    <w:rsid w:val="00B02FDC"/>
    <w:rsid w:val="00B031E6"/>
    <w:rsid w:val="00B03298"/>
    <w:rsid w:val="00B034B7"/>
    <w:rsid w:val="00B0401D"/>
    <w:rsid w:val="00B0469A"/>
    <w:rsid w:val="00B04741"/>
    <w:rsid w:val="00B04BE7"/>
    <w:rsid w:val="00B04D3D"/>
    <w:rsid w:val="00B06346"/>
    <w:rsid w:val="00B07454"/>
    <w:rsid w:val="00B076BA"/>
    <w:rsid w:val="00B0779D"/>
    <w:rsid w:val="00B07951"/>
    <w:rsid w:val="00B100A7"/>
    <w:rsid w:val="00B10B10"/>
    <w:rsid w:val="00B10E15"/>
    <w:rsid w:val="00B10EC0"/>
    <w:rsid w:val="00B113AE"/>
    <w:rsid w:val="00B114E7"/>
    <w:rsid w:val="00B116D3"/>
    <w:rsid w:val="00B1174A"/>
    <w:rsid w:val="00B11980"/>
    <w:rsid w:val="00B11CCD"/>
    <w:rsid w:val="00B120A2"/>
    <w:rsid w:val="00B122B9"/>
    <w:rsid w:val="00B12489"/>
    <w:rsid w:val="00B124A7"/>
    <w:rsid w:val="00B127A2"/>
    <w:rsid w:val="00B12A8D"/>
    <w:rsid w:val="00B131AE"/>
    <w:rsid w:val="00B1346E"/>
    <w:rsid w:val="00B13BA7"/>
    <w:rsid w:val="00B13C9B"/>
    <w:rsid w:val="00B14BE2"/>
    <w:rsid w:val="00B14F0E"/>
    <w:rsid w:val="00B1503E"/>
    <w:rsid w:val="00B151F4"/>
    <w:rsid w:val="00B1570B"/>
    <w:rsid w:val="00B15C9A"/>
    <w:rsid w:val="00B15F91"/>
    <w:rsid w:val="00B16509"/>
    <w:rsid w:val="00B170B0"/>
    <w:rsid w:val="00B17127"/>
    <w:rsid w:val="00B1737D"/>
    <w:rsid w:val="00B17468"/>
    <w:rsid w:val="00B17473"/>
    <w:rsid w:val="00B1788A"/>
    <w:rsid w:val="00B2022D"/>
    <w:rsid w:val="00B204F6"/>
    <w:rsid w:val="00B2065C"/>
    <w:rsid w:val="00B207DF"/>
    <w:rsid w:val="00B2141D"/>
    <w:rsid w:val="00B21996"/>
    <w:rsid w:val="00B21BF5"/>
    <w:rsid w:val="00B21C46"/>
    <w:rsid w:val="00B21E19"/>
    <w:rsid w:val="00B21E40"/>
    <w:rsid w:val="00B22194"/>
    <w:rsid w:val="00B22253"/>
    <w:rsid w:val="00B22977"/>
    <w:rsid w:val="00B23BC0"/>
    <w:rsid w:val="00B242E0"/>
    <w:rsid w:val="00B24319"/>
    <w:rsid w:val="00B24358"/>
    <w:rsid w:val="00B245B5"/>
    <w:rsid w:val="00B25008"/>
    <w:rsid w:val="00B25BD8"/>
    <w:rsid w:val="00B25E18"/>
    <w:rsid w:val="00B2619C"/>
    <w:rsid w:val="00B2647A"/>
    <w:rsid w:val="00B26E3D"/>
    <w:rsid w:val="00B26F11"/>
    <w:rsid w:val="00B30081"/>
    <w:rsid w:val="00B31F48"/>
    <w:rsid w:val="00B32093"/>
    <w:rsid w:val="00B322B9"/>
    <w:rsid w:val="00B3230B"/>
    <w:rsid w:val="00B326D2"/>
    <w:rsid w:val="00B32A7A"/>
    <w:rsid w:val="00B32DC9"/>
    <w:rsid w:val="00B32F78"/>
    <w:rsid w:val="00B33773"/>
    <w:rsid w:val="00B33B4C"/>
    <w:rsid w:val="00B33EBE"/>
    <w:rsid w:val="00B33ED6"/>
    <w:rsid w:val="00B3401E"/>
    <w:rsid w:val="00B34446"/>
    <w:rsid w:val="00B34699"/>
    <w:rsid w:val="00B346F2"/>
    <w:rsid w:val="00B34A25"/>
    <w:rsid w:val="00B34CBB"/>
    <w:rsid w:val="00B34D77"/>
    <w:rsid w:val="00B34F4B"/>
    <w:rsid w:val="00B352F5"/>
    <w:rsid w:val="00B35605"/>
    <w:rsid w:val="00B3565F"/>
    <w:rsid w:val="00B3631C"/>
    <w:rsid w:val="00B3654F"/>
    <w:rsid w:val="00B36AB5"/>
    <w:rsid w:val="00B36CAC"/>
    <w:rsid w:val="00B36DD7"/>
    <w:rsid w:val="00B36FAD"/>
    <w:rsid w:val="00B37A11"/>
    <w:rsid w:val="00B37B3B"/>
    <w:rsid w:val="00B40535"/>
    <w:rsid w:val="00B4095D"/>
    <w:rsid w:val="00B40ADE"/>
    <w:rsid w:val="00B40BA7"/>
    <w:rsid w:val="00B40D5A"/>
    <w:rsid w:val="00B40DE3"/>
    <w:rsid w:val="00B40DFA"/>
    <w:rsid w:val="00B41012"/>
    <w:rsid w:val="00B4174C"/>
    <w:rsid w:val="00B418C6"/>
    <w:rsid w:val="00B41C91"/>
    <w:rsid w:val="00B41EF3"/>
    <w:rsid w:val="00B42221"/>
    <w:rsid w:val="00B42346"/>
    <w:rsid w:val="00B4275F"/>
    <w:rsid w:val="00B42C50"/>
    <w:rsid w:val="00B42EB0"/>
    <w:rsid w:val="00B43117"/>
    <w:rsid w:val="00B43396"/>
    <w:rsid w:val="00B4390D"/>
    <w:rsid w:val="00B43DBF"/>
    <w:rsid w:val="00B440AA"/>
    <w:rsid w:val="00B44425"/>
    <w:rsid w:val="00B444D1"/>
    <w:rsid w:val="00B44D95"/>
    <w:rsid w:val="00B44F4C"/>
    <w:rsid w:val="00B44F8A"/>
    <w:rsid w:val="00B45B72"/>
    <w:rsid w:val="00B463AA"/>
    <w:rsid w:val="00B46513"/>
    <w:rsid w:val="00B46B88"/>
    <w:rsid w:val="00B46BC6"/>
    <w:rsid w:val="00B46ECA"/>
    <w:rsid w:val="00B47ABD"/>
    <w:rsid w:val="00B47BD7"/>
    <w:rsid w:val="00B47BEA"/>
    <w:rsid w:val="00B47D68"/>
    <w:rsid w:val="00B47F3D"/>
    <w:rsid w:val="00B506A2"/>
    <w:rsid w:val="00B5105C"/>
    <w:rsid w:val="00B51275"/>
    <w:rsid w:val="00B51326"/>
    <w:rsid w:val="00B51ABA"/>
    <w:rsid w:val="00B51E2E"/>
    <w:rsid w:val="00B52209"/>
    <w:rsid w:val="00B523D9"/>
    <w:rsid w:val="00B52B4B"/>
    <w:rsid w:val="00B52E84"/>
    <w:rsid w:val="00B52F3E"/>
    <w:rsid w:val="00B53050"/>
    <w:rsid w:val="00B530D8"/>
    <w:rsid w:val="00B53320"/>
    <w:rsid w:val="00B5343A"/>
    <w:rsid w:val="00B53510"/>
    <w:rsid w:val="00B5358B"/>
    <w:rsid w:val="00B537F3"/>
    <w:rsid w:val="00B53B14"/>
    <w:rsid w:val="00B53CEF"/>
    <w:rsid w:val="00B53FBA"/>
    <w:rsid w:val="00B545E0"/>
    <w:rsid w:val="00B546E1"/>
    <w:rsid w:val="00B5482D"/>
    <w:rsid w:val="00B54856"/>
    <w:rsid w:val="00B54940"/>
    <w:rsid w:val="00B54B45"/>
    <w:rsid w:val="00B551C3"/>
    <w:rsid w:val="00B5544F"/>
    <w:rsid w:val="00B5559B"/>
    <w:rsid w:val="00B555D7"/>
    <w:rsid w:val="00B55783"/>
    <w:rsid w:val="00B55BC5"/>
    <w:rsid w:val="00B562CD"/>
    <w:rsid w:val="00B567FF"/>
    <w:rsid w:val="00B56B3A"/>
    <w:rsid w:val="00B56D0E"/>
    <w:rsid w:val="00B56EF6"/>
    <w:rsid w:val="00B573DA"/>
    <w:rsid w:val="00B57652"/>
    <w:rsid w:val="00B579B6"/>
    <w:rsid w:val="00B57A23"/>
    <w:rsid w:val="00B57E65"/>
    <w:rsid w:val="00B57F75"/>
    <w:rsid w:val="00B601E7"/>
    <w:rsid w:val="00B60443"/>
    <w:rsid w:val="00B61802"/>
    <w:rsid w:val="00B618EF"/>
    <w:rsid w:val="00B61C11"/>
    <w:rsid w:val="00B61C95"/>
    <w:rsid w:val="00B61CA6"/>
    <w:rsid w:val="00B61E68"/>
    <w:rsid w:val="00B6247F"/>
    <w:rsid w:val="00B62615"/>
    <w:rsid w:val="00B631AC"/>
    <w:rsid w:val="00B635D8"/>
    <w:rsid w:val="00B63F2E"/>
    <w:rsid w:val="00B63F97"/>
    <w:rsid w:val="00B64788"/>
    <w:rsid w:val="00B64C2E"/>
    <w:rsid w:val="00B64E31"/>
    <w:rsid w:val="00B65858"/>
    <w:rsid w:val="00B671C9"/>
    <w:rsid w:val="00B6740D"/>
    <w:rsid w:val="00B67ABB"/>
    <w:rsid w:val="00B67B03"/>
    <w:rsid w:val="00B67D8C"/>
    <w:rsid w:val="00B67EF9"/>
    <w:rsid w:val="00B700ED"/>
    <w:rsid w:val="00B700FD"/>
    <w:rsid w:val="00B7045B"/>
    <w:rsid w:val="00B70873"/>
    <w:rsid w:val="00B7108E"/>
    <w:rsid w:val="00B7137A"/>
    <w:rsid w:val="00B71624"/>
    <w:rsid w:val="00B73503"/>
    <w:rsid w:val="00B7365B"/>
    <w:rsid w:val="00B739AE"/>
    <w:rsid w:val="00B73BB5"/>
    <w:rsid w:val="00B73C06"/>
    <w:rsid w:val="00B73CDE"/>
    <w:rsid w:val="00B740B5"/>
    <w:rsid w:val="00B7438E"/>
    <w:rsid w:val="00B747B2"/>
    <w:rsid w:val="00B750B6"/>
    <w:rsid w:val="00B751C9"/>
    <w:rsid w:val="00B753BA"/>
    <w:rsid w:val="00B75612"/>
    <w:rsid w:val="00B75870"/>
    <w:rsid w:val="00B75B43"/>
    <w:rsid w:val="00B75D4B"/>
    <w:rsid w:val="00B75F3B"/>
    <w:rsid w:val="00B76024"/>
    <w:rsid w:val="00B7641E"/>
    <w:rsid w:val="00B76CC7"/>
    <w:rsid w:val="00B76F42"/>
    <w:rsid w:val="00B770CF"/>
    <w:rsid w:val="00B77299"/>
    <w:rsid w:val="00B77373"/>
    <w:rsid w:val="00B774D3"/>
    <w:rsid w:val="00B77911"/>
    <w:rsid w:val="00B77B28"/>
    <w:rsid w:val="00B8004F"/>
    <w:rsid w:val="00B80051"/>
    <w:rsid w:val="00B80368"/>
    <w:rsid w:val="00B805E2"/>
    <w:rsid w:val="00B8070C"/>
    <w:rsid w:val="00B80D8D"/>
    <w:rsid w:val="00B80E83"/>
    <w:rsid w:val="00B81060"/>
    <w:rsid w:val="00B81D64"/>
    <w:rsid w:val="00B81DD0"/>
    <w:rsid w:val="00B82040"/>
    <w:rsid w:val="00B82844"/>
    <w:rsid w:val="00B8287F"/>
    <w:rsid w:val="00B82CCA"/>
    <w:rsid w:val="00B83090"/>
    <w:rsid w:val="00B830DE"/>
    <w:rsid w:val="00B83559"/>
    <w:rsid w:val="00B83C51"/>
    <w:rsid w:val="00B83EA3"/>
    <w:rsid w:val="00B84031"/>
    <w:rsid w:val="00B84074"/>
    <w:rsid w:val="00B8446A"/>
    <w:rsid w:val="00B8451B"/>
    <w:rsid w:val="00B846FE"/>
    <w:rsid w:val="00B8493A"/>
    <w:rsid w:val="00B84A6C"/>
    <w:rsid w:val="00B84A9F"/>
    <w:rsid w:val="00B84B33"/>
    <w:rsid w:val="00B84D2E"/>
    <w:rsid w:val="00B84EBC"/>
    <w:rsid w:val="00B85660"/>
    <w:rsid w:val="00B8572F"/>
    <w:rsid w:val="00B858BD"/>
    <w:rsid w:val="00B85B09"/>
    <w:rsid w:val="00B85CCF"/>
    <w:rsid w:val="00B86003"/>
    <w:rsid w:val="00B8666F"/>
    <w:rsid w:val="00B86995"/>
    <w:rsid w:val="00B86D66"/>
    <w:rsid w:val="00B86FA3"/>
    <w:rsid w:val="00B87E19"/>
    <w:rsid w:val="00B90035"/>
    <w:rsid w:val="00B900EE"/>
    <w:rsid w:val="00B90656"/>
    <w:rsid w:val="00B90955"/>
    <w:rsid w:val="00B90A94"/>
    <w:rsid w:val="00B90A99"/>
    <w:rsid w:val="00B90D15"/>
    <w:rsid w:val="00B90DEE"/>
    <w:rsid w:val="00B90F75"/>
    <w:rsid w:val="00B9114D"/>
    <w:rsid w:val="00B914F4"/>
    <w:rsid w:val="00B916A4"/>
    <w:rsid w:val="00B91A38"/>
    <w:rsid w:val="00B91B5A"/>
    <w:rsid w:val="00B925AD"/>
    <w:rsid w:val="00B92770"/>
    <w:rsid w:val="00B927A5"/>
    <w:rsid w:val="00B92877"/>
    <w:rsid w:val="00B929D6"/>
    <w:rsid w:val="00B92F94"/>
    <w:rsid w:val="00B930A3"/>
    <w:rsid w:val="00B935FB"/>
    <w:rsid w:val="00B93B3A"/>
    <w:rsid w:val="00B941BA"/>
    <w:rsid w:val="00B945F4"/>
    <w:rsid w:val="00B946DB"/>
    <w:rsid w:val="00B947A9"/>
    <w:rsid w:val="00B94970"/>
    <w:rsid w:val="00B94B86"/>
    <w:rsid w:val="00B95069"/>
    <w:rsid w:val="00B95234"/>
    <w:rsid w:val="00B95486"/>
    <w:rsid w:val="00B957AB"/>
    <w:rsid w:val="00B959E6"/>
    <w:rsid w:val="00B95E1D"/>
    <w:rsid w:val="00B96072"/>
    <w:rsid w:val="00B96117"/>
    <w:rsid w:val="00B961C1"/>
    <w:rsid w:val="00B9621E"/>
    <w:rsid w:val="00B963ED"/>
    <w:rsid w:val="00B97093"/>
    <w:rsid w:val="00B974DF"/>
    <w:rsid w:val="00B976F9"/>
    <w:rsid w:val="00BA05C6"/>
    <w:rsid w:val="00BA0858"/>
    <w:rsid w:val="00BA0B30"/>
    <w:rsid w:val="00BA0FF0"/>
    <w:rsid w:val="00BA110D"/>
    <w:rsid w:val="00BA152F"/>
    <w:rsid w:val="00BA17BC"/>
    <w:rsid w:val="00BA1A97"/>
    <w:rsid w:val="00BA1C57"/>
    <w:rsid w:val="00BA1EE3"/>
    <w:rsid w:val="00BA235B"/>
    <w:rsid w:val="00BA2436"/>
    <w:rsid w:val="00BA24B1"/>
    <w:rsid w:val="00BA289E"/>
    <w:rsid w:val="00BA3010"/>
    <w:rsid w:val="00BA3399"/>
    <w:rsid w:val="00BA386E"/>
    <w:rsid w:val="00BA3F6D"/>
    <w:rsid w:val="00BA455E"/>
    <w:rsid w:val="00BA4D9F"/>
    <w:rsid w:val="00BA4F97"/>
    <w:rsid w:val="00BA5426"/>
    <w:rsid w:val="00BA586E"/>
    <w:rsid w:val="00BA5885"/>
    <w:rsid w:val="00BA5A89"/>
    <w:rsid w:val="00BA5B3B"/>
    <w:rsid w:val="00BA628D"/>
    <w:rsid w:val="00BA658A"/>
    <w:rsid w:val="00BA68DC"/>
    <w:rsid w:val="00BA6DFA"/>
    <w:rsid w:val="00BA6E07"/>
    <w:rsid w:val="00BA6F2B"/>
    <w:rsid w:val="00BA7015"/>
    <w:rsid w:val="00BA71FB"/>
    <w:rsid w:val="00BA73F9"/>
    <w:rsid w:val="00BB03B1"/>
    <w:rsid w:val="00BB03E6"/>
    <w:rsid w:val="00BB045D"/>
    <w:rsid w:val="00BB0993"/>
    <w:rsid w:val="00BB0ADB"/>
    <w:rsid w:val="00BB0CEF"/>
    <w:rsid w:val="00BB0D86"/>
    <w:rsid w:val="00BB0EF7"/>
    <w:rsid w:val="00BB0F3A"/>
    <w:rsid w:val="00BB158D"/>
    <w:rsid w:val="00BB198D"/>
    <w:rsid w:val="00BB1EC4"/>
    <w:rsid w:val="00BB21A0"/>
    <w:rsid w:val="00BB23DC"/>
    <w:rsid w:val="00BB269A"/>
    <w:rsid w:val="00BB2867"/>
    <w:rsid w:val="00BB2956"/>
    <w:rsid w:val="00BB2C9D"/>
    <w:rsid w:val="00BB2F4E"/>
    <w:rsid w:val="00BB3219"/>
    <w:rsid w:val="00BB3267"/>
    <w:rsid w:val="00BB38C8"/>
    <w:rsid w:val="00BB406F"/>
    <w:rsid w:val="00BB4181"/>
    <w:rsid w:val="00BB4387"/>
    <w:rsid w:val="00BB44D5"/>
    <w:rsid w:val="00BB4680"/>
    <w:rsid w:val="00BB4711"/>
    <w:rsid w:val="00BB4886"/>
    <w:rsid w:val="00BB4E96"/>
    <w:rsid w:val="00BB4F84"/>
    <w:rsid w:val="00BB4F87"/>
    <w:rsid w:val="00BB5086"/>
    <w:rsid w:val="00BB5F96"/>
    <w:rsid w:val="00BB6610"/>
    <w:rsid w:val="00BB67DF"/>
    <w:rsid w:val="00BB6FA3"/>
    <w:rsid w:val="00BB754E"/>
    <w:rsid w:val="00BB7660"/>
    <w:rsid w:val="00BB7720"/>
    <w:rsid w:val="00BB79E3"/>
    <w:rsid w:val="00BB7F51"/>
    <w:rsid w:val="00BC0A89"/>
    <w:rsid w:val="00BC0DCA"/>
    <w:rsid w:val="00BC0EB3"/>
    <w:rsid w:val="00BC123E"/>
    <w:rsid w:val="00BC179A"/>
    <w:rsid w:val="00BC1E85"/>
    <w:rsid w:val="00BC1F4F"/>
    <w:rsid w:val="00BC2977"/>
    <w:rsid w:val="00BC2AEF"/>
    <w:rsid w:val="00BC2E0D"/>
    <w:rsid w:val="00BC3352"/>
    <w:rsid w:val="00BC3578"/>
    <w:rsid w:val="00BC36A9"/>
    <w:rsid w:val="00BC36CD"/>
    <w:rsid w:val="00BC37E7"/>
    <w:rsid w:val="00BC3B15"/>
    <w:rsid w:val="00BC3EEC"/>
    <w:rsid w:val="00BC4744"/>
    <w:rsid w:val="00BC4DD0"/>
    <w:rsid w:val="00BC541C"/>
    <w:rsid w:val="00BC5712"/>
    <w:rsid w:val="00BC5E7B"/>
    <w:rsid w:val="00BC603F"/>
    <w:rsid w:val="00BC608A"/>
    <w:rsid w:val="00BC613D"/>
    <w:rsid w:val="00BC646F"/>
    <w:rsid w:val="00BC661A"/>
    <w:rsid w:val="00BC68E6"/>
    <w:rsid w:val="00BC6C3A"/>
    <w:rsid w:val="00BC6F27"/>
    <w:rsid w:val="00BC707F"/>
    <w:rsid w:val="00BC7874"/>
    <w:rsid w:val="00BC788D"/>
    <w:rsid w:val="00BC7B47"/>
    <w:rsid w:val="00BC7DC4"/>
    <w:rsid w:val="00BC7E6B"/>
    <w:rsid w:val="00BC7EDC"/>
    <w:rsid w:val="00BC7EEE"/>
    <w:rsid w:val="00BD0610"/>
    <w:rsid w:val="00BD09AB"/>
    <w:rsid w:val="00BD0C05"/>
    <w:rsid w:val="00BD0E32"/>
    <w:rsid w:val="00BD0E86"/>
    <w:rsid w:val="00BD0FF7"/>
    <w:rsid w:val="00BD1548"/>
    <w:rsid w:val="00BD1717"/>
    <w:rsid w:val="00BD190F"/>
    <w:rsid w:val="00BD1FDC"/>
    <w:rsid w:val="00BD2436"/>
    <w:rsid w:val="00BD259F"/>
    <w:rsid w:val="00BD298B"/>
    <w:rsid w:val="00BD2AA2"/>
    <w:rsid w:val="00BD2EA1"/>
    <w:rsid w:val="00BD362D"/>
    <w:rsid w:val="00BD369A"/>
    <w:rsid w:val="00BD37B8"/>
    <w:rsid w:val="00BD38F4"/>
    <w:rsid w:val="00BD3F4D"/>
    <w:rsid w:val="00BD45D7"/>
    <w:rsid w:val="00BD4C20"/>
    <w:rsid w:val="00BD4C28"/>
    <w:rsid w:val="00BD4F82"/>
    <w:rsid w:val="00BD57B1"/>
    <w:rsid w:val="00BD57CA"/>
    <w:rsid w:val="00BD5DC9"/>
    <w:rsid w:val="00BD6328"/>
    <w:rsid w:val="00BD666E"/>
    <w:rsid w:val="00BD6B40"/>
    <w:rsid w:val="00BD6DF2"/>
    <w:rsid w:val="00BD70E7"/>
    <w:rsid w:val="00BD75AE"/>
    <w:rsid w:val="00BD75E3"/>
    <w:rsid w:val="00BD764E"/>
    <w:rsid w:val="00BE0EE8"/>
    <w:rsid w:val="00BE170E"/>
    <w:rsid w:val="00BE1795"/>
    <w:rsid w:val="00BE1831"/>
    <w:rsid w:val="00BE1C8C"/>
    <w:rsid w:val="00BE1D8A"/>
    <w:rsid w:val="00BE235C"/>
    <w:rsid w:val="00BE29A0"/>
    <w:rsid w:val="00BE2B26"/>
    <w:rsid w:val="00BE3334"/>
    <w:rsid w:val="00BE35FD"/>
    <w:rsid w:val="00BE3883"/>
    <w:rsid w:val="00BE3903"/>
    <w:rsid w:val="00BE3AE5"/>
    <w:rsid w:val="00BE3E6C"/>
    <w:rsid w:val="00BE4C7F"/>
    <w:rsid w:val="00BE5830"/>
    <w:rsid w:val="00BE5AA7"/>
    <w:rsid w:val="00BE5E7A"/>
    <w:rsid w:val="00BE5E88"/>
    <w:rsid w:val="00BE62E4"/>
    <w:rsid w:val="00BE6402"/>
    <w:rsid w:val="00BE66BC"/>
    <w:rsid w:val="00BE66DE"/>
    <w:rsid w:val="00BE6A82"/>
    <w:rsid w:val="00BE7205"/>
    <w:rsid w:val="00BE7613"/>
    <w:rsid w:val="00BF06AF"/>
    <w:rsid w:val="00BF0CB8"/>
    <w:rsid w:val="00BF113E"/>
    <w:rsid w:val="00BF1367"/>
    <w:rsid w:val="00BF14E2"/>
    <w:rsid w:val="00BF16AF"/>
    <w:rsid w:val="00BF19E8"/>
    <w:rsid w:val="00BF1A4F"/>
    <w:rsid w:val="00BF2637"/>
    <w:rsid w:val="00BF26BE"/>
    <w:rsid w:val="00BF27CD"/>
    <w:rsid w:val="00BF29B7"/>
    <w:rsid w:val="00BF2AAF"/>
    <w:rsid w:val="00BF2B6E"/>
    <w:rsid w:val="00BF2D5B"/>
    <w:rsid w:val="00BF2E18"/>
    <w:rsid w:val="00BF31A2"/>
    <w:rsid w:val="00BF31EE"/>
    <w:rsid w:val="00BF331C"/>
    <w:rsid w:val="00BF3536"/>
    <w:rsid w:val="00BF36FC"/>
    <w:rsid w:val="00BF3987"/>
    <w:rsid w:val="00BF3E57"/>
    <w:rsid w:val="00BF3F4D"/>
    <w:rsid w:val="00BF4259"/>
    <w:rsid w:val="00BF4753"/>
    <w:rsid w:val="00BF478A"/>
    <w:rsid w:val="00BF47C4"/>
    <w:rsid w:val="00BF50DB"/>
    <w:rsid w:val="00BF5131"/>
    <w:rsid w:val="00BF52CE"/>
    <w:rsid w:val="00BF54E1"/>
    <w:rsid w:val="00BF5971"/>
    <w:rsid w:val="00BF5AF8"/>
    <w:rsid w:val="00BF5D31"/>
    <w:rsid w:val="00BF63B9"/>
    <w:rsid w:val="00BF63BD"/>
    <w:rsid w:val="00BF654A"/>
    <w:rsid w:val="00BF6CA2"/>
    <w:rsid w:val="00BF6DF1"/>
    <w:rsid w:val="00BF6E68"/>
    <w:rsid w:val="00BF6F5F"/>
    <w:rsid w:val="00BF7B29"/>
    <w:rsid w:val="00C0030D"/>
    <w:rsid w:val="00C00A9C"/>
    <w:rsid w:val="00C00CED"/>
    <w:rsid w:val="00C00D5D"/>
    <w:rsid w:val="00C00DAD"/>
    <w:rsid w:val="00C00E2D"/>
    <w:rsid w:val="00C014E3"/>
    <w:rsid w:val="00C019F2"/>
    <w:rsid w:val="00C01AEB"/>
    <w:rsid w:val="00C01B63"/>
    <w:rsid w:val="00C02356"/>
    <w:rsid w:val="00C02EAB"/>
    <w:rsid w:val="00C03488"/>
    <w:rsid w:val="00C03496"/>
    <w:rsid w:val="00C038DF"/>
    <w:rsid w:val="00C03928"/>
    <w:rsid w:val="00C03AB3"/>
    <w:rsid w:val="00C03C39"/>
    <w:rsid w:val="00C04151"/>
    <w:rsid w:val="00C041B0"/>
    <w:rsid w:val="00C04961"/>
    <w:rsid w:val="00C04975"/>
    <w:rsid w:val="00C04A18"/>
    <w:rsid w:val="00C04A22"/>
    <w:rsid w:val="00C04D0A"/>
    <w:rsid w:val="00C04FF0"/>
    <w:rsid w:val="00C0514E"/>
    <w:rsid w:val="00C051F4"/>
    <w:rsid w:val="00C054EC"/>
    <w:rsid w:val="00C05AD0"/>
    <w:rsid w:val="00C05B9C"/>
    <w:rsid w:val="00C05E53"/>
    <w:rsid w:val="00C05F2B"/>
    <w:rsid w:val="00C06404"/>
    <w:rsid w:val="00C0650B"/>
    <w:rsid w:val="00C0664C"/>
    <w:rsid w:val="00C0673D"/>
    <w:rsid w:val="00C06B5F"/>
    <w:rsid w:val="00C06D68"/>
    <w:rsid w:val="00C07345"/>
    <w:rsid w:val="00C076B1"/>
    <w:rsid w:val="00C07887"/>
    <w:rsid w:val="00C07DA4"/>
    <w:rsid w:val="00C07FE7"/>
    <w:rsid w:val="00C1003E"/>
    <w:rsid w:val="00C10A8A"/>
    <w:rsid w:val="00C10D07"/>
    <w:rsid w:val="00C10D19"/>
    <w:rsid w:val="00C10DDC"/>
    <w:rsid w:val="00C10EC9"/>
    <w:rsid w:val="00C10EDF"/>
    <w:rsid w:val="00C113BE"/>
    <w:rsid w:val="00C115A7"/>
    <w:rsid w:val="00C11BF4"/>
    <w:rsid w:val="00C120AC"/>
    <w:rsid w:val="00C124CF"/>
    <w:rsid w:val="00C1296D"/>
    <w:rsid w:val="00C12A72"/>
    <w:rsid w:val="00C135D6"/>
    <w:rsid w:val="00C139F7"/>
    <w:rsid w:val="00C14152"/>
    <w:rsid w:val="00C1421D"/>
    <w:rsid w:val="00C14547"/>
    <w:rsid w:val="00C14669"/>
    <w:rsid w:val="00C149ED"/>
    <w:rsid w:val="00C14A7C"/>
    <w:rsid w:val="00C14E18"/>
    <w:rsid w:val="00C15076"/>
    <w:rsid w:val="00C151FA"/>
    <w:rsid w:val="00C1537F"/>
    <w:rsid w:val="00C15A43"/>
    <w:rsid w:val="00C15C46"/>
    <w:rsid w:val="00C15E85"/>
    <w:rsid w:val="00C1611D"/>
    <w:rsid w:val="00C16C61"/>
    <w:rsid w:val="00C17100"/>
    <w:rsid w:val="00C17506"/>
    <w:rsid w:val="00C17527"/>
    <w:rsid w:val="00C17805"/>
    <w:rsid w:val="00C17A3B"/>
    <w:rsid w:val="00C17B37"/>
    <w:rsid w:val="00C17F38"/>
    <w:rsid w:val="00C20592"/>
    <w:rsid w:val="00C20845"/>
    <w:rsid w:val="00C20F75"/>
    <w:rsid w:val="00C21072"/>
    <w:rsid w:val="00C211D3"/>
    <w:rsid w:val="00C21D46"/>
    <w:rsid w:val="00C21FDF"/>
    <w:rsid w:val="00C2212C"/>
    <w:rsid w:val="00C2265E"/>
    <w:rsid w:val="00C22745"/>
    <w:rsid w:val="00C2288B"/>
    <w:rsid w:val="00C22964"/>
    <w:rsid w:val="00C2329E"/>
    <w:rsid w:val="00C235AE"/>
    <w:rsid w:val="00C23C3B"/>
    <w:rsid w:val="00C23F5B"/>
    <w:rsid w:val="00C247A8"/>
    <w:rsid w:val="00C24CF4"/>
    <w:rsid w:val="00C2529E"/>
    <w:rsid w:val="00C2536C"/>
    <w:rsid w:val="00C254B1"/>
    <w:rsid w:val="00C26435"/>
    <w:rsid w:val="00C266AA"/>
    <w:rsid w:val="00C26ECE"/>
    <w:rsid w:val="00C27478"/>
    <w:rsid w:val="00C275F3"/>
    <w:rsid w:val="00C27648"/>
    <w:rsid w:val="00C27A1B"/>
    <w:rsid w:val="00C27CB1"/>
    <w:rsid w:val="00C302F0"/>
    <w:rsid w:val="00C303E4"/>
    <w:rsid w:val="00C30719"/>
    <w:rsid w:val="00C31042"/>
    <w:rsid w:val="00C3128B"/>
    <w:rsid w:val="00C312BF"/>
    <w:rsid w:val="00C31577"/>
    <w:rsid w:val="00C31603"/>
    <w:rsid w:val="00C3167E"/>
    <w:rsid w:val="00C31860"/>
    <w:rsid w:val="00C31D70"/>
    <w:rsid w:val="00C31E3B"/>
    <w:rsid w:val="00C31F13"/>
    <w:rsid w:val="00C321B5"/>
    <w:rsid w:val="00C32315"/>
    <w:rsid w:val="00C328AC"/>
    <w:rsid w:val="00C32AF3"/>
    <w:rsid w:val="00C32F57"/>
    <w:rsid w:val="00C33D29"/>
    <w:rsid w:val="00C33E49"/>
    <w:rsid w:val="00C33F4A"/>
    <w:rsid w:val="00C33FCF"/>
    <w:rsid w:val="00C340B9"/>
    <w:rsid w:val="00C3445C"/>
    <w:rsid w:val="00C3457C"/>
    <w:rsid w:val="00C3479E"/>
    <w:rsid w:val="00C3495B"/>
    <w:rsid w:val="00C34AC6"/>
    <w:rsid w:val="00C34C80"/>
    <w:rsid w:val="00C34CBD"/>
    <w:rsid w:val="00C34F62"/>
    <w:rsid w:val="00C34F83"/>
    <w:rsid w:val="00C35045"/>
    <w:rsid w:val="00C351EB"/>
    <w:rsid w:val="00C35476"/>
    <w:rsid w:val="00C358CE"/>
    <w:rsid w:val="00C35B10"/>
    <w:rsid w:val="00C35D16"/>
    <w:rsid w:val="00C36AA0"/>
    <w:rsid w:val="00C36BED"/>
    <w:rsid w:val="00C36CE1"/>
    <w:rsid w:val="00C36D7D"/>
    <w:rsid w:val="00C377C0"/>
    <w:rsid w:val="00C3788E"/>
    <w:rsid w:val="00C3791F"/>
    <w:rsid w:val="00C406ED"/>
    <w:rsid w:val="00C407A9"/>
    <w:rsid w:val="00C40964"/>
    <w:rsid w:val="00C40C44"/>
    <w:rsid w:val="00C411E6"/>
    <w:rsid w:val="00C41246"/>
    <w:rsid w:val="00C413A4"/>
    <w:rsid w:val="00C41425"/>
    <w:rsid w:val="00C41CEE"/>
    <w:rsid w:val="00C42CD6"/>
    <w:rsid w:val="00C42F62"/>
    <w:rsid w:val="00C4328C"/>
    <w:rsid w:val="00C434AE"/>
    <w:rsid w:val="00C438E4"/>
    <w:rsid w:val="00C4406D"/>
    <w:rsid w:val="00C440B0"/>
    <w:rsid w:val="00C443B4"/>
    <w:rsid w:val="00C44CE5"/>
    <w:rsid w:val="00C45217"/>
    <w:rsid w:val="00C45648"/>
    <w:rsid w:val="00C4572D"/>
    <w:rsid w:val="00C45CB1"/>
    <w:rsid w:val="00C45EA8"/>
    <w:rsid w:val="00C463CC"/>
    <w:rsid w:val="00C46DE6"/>
    <w:rsid w:val="00C46E77"/>
    <w:rsid w:val="00C46FA3"/>
    <w:rsid w:val="00C47F3F"/>
    <w:rsid w:val="00C504B2"/>
    <w:rsid w:val="00C50638"/>
    <w:rsid w:val="00C50763"/>
    <w:rsid w:val="00C51512"/>
    <w:rsid w:val="00C51689"/>
    <w:rsid w:val="00C5198F"/>
    <w:rsid w:val="00C51BC5"/>
    <w:rsid w:val="00C51BEB"/>
    <w:rsid w:val="00C51FFC"/>
    <w:rsid w:val="00C525E8"/>
    <w:rsid w:val="00C52A2C"/>
    <w:rsid w:val="00C52B67"/>
    <w:rsid w:val="00C52BE4"/>
    <w:rsid w:val="00C53047"/>
    <w:rsid w:val="00C535C2"/>
    <w:rsid w:val="00C537B7"/>
    <w:rsid w:val="00C53813"/>
    <w:rsid w:val="00C53995"/>
    <w:rsid w:val="00C53A24"/>
    <w:rsid w:val="00C53E5E"/>
    <w:rsid w:val="00C54007"/>
    <w:rsid w:val="00C54637"/>
    <w:rsid w:val="00C54712"/>
    <w:rsid w:val="00C54A5C"/>
    <w:rsid w:val="00C54D64"/>
    <w:rsid w:val="00C55B01"/>
    <w:rsid w:val="00C55EFA"/>
    <w:rsid w:val="00C56526"/>
    <w:rsid w:val="00C568D7"/>
    <w:rsid w:val="00C56FBA"/>
    <w:rsid w:val="00C57013"/>
    <w:rsid w:val="00C57574"/>
    <w:rsid w:val="00C5766A"/>
    <w:rsid w:val="00C57847"/>
    <w:rsid w:val="00C579B2"/>
    <w:rsid w:val="00C57AFF"/>
    <w:rsid w:val="00C57D1D"/>
    <w:rsid w:val="00C57E55"/>
    <w:rsid w:val="00C6079A"/>
    <w:rsid w:val="00C612A0"/>
    <w:rsid w:val="00C6177B"/>
    <w:rsid w:val="00C617E0"/>
    <w:rsid w:val="00C61D53"/>
    <w:rsid w:val="00C622FA"/>
    <w:rsid w:val="00C62755"/>
    <w:rsid w:val="00C62BCB"/>
    <w:rsid w:val="00C62DBF"/>
    <w:rsid w:val="00C62EB5"/>
    <w:rsid w:val="00C63409"/>
    <w:rsid w:val="00C63657"/>
    <w:rsid w:val="00C636AC"/>
    <w:rsid w:val="00C637AB"/>
    <w:rsid w:val="00C64442"/>
    <w:rsid w:val="00C6498E"/>
    <w:rsid w:val="00C649C8"/>
    <w:rsid w:val="00C65059"/>
    <w:rsid w:val="00C652E6"/>
    <w:rsid w:val="00C65789"/>
    <w:rsid w:val="00C65DA5"/>
    <w:rsid w:val="00C65F9B"/>
    <w:rsid w:val="00C65FAF"/>
    <w:rsid w:val="00C6615A"/>
    <w:rsid w:val="00C669D6"/>
    <w:rsid w:val="00C66B66"/>
    <w:rsid w:val="00C66D15"/>
    <w:rsid w:val="00C6743F"/>
    <w:rsid w:val="00C675A6"/>
    <w:rsid w:val="00C70284"/>
    <w:rsid w:val="00C70D22"/>
    <w:rsid w:val="00C70FBC"/>
    <w:rsid w:val="00C713E3"/>
    <w:rsid w:val="00C71773"/>
    <w:rsid w:val="00C71866"/>
    <w:rsid w:val="00C71E51"/>
    <w:rsid w:val="00C71F0F"/>
    <w:rsid w:val="00C72075"/>
    <w:rsid w:val="00C726B8"/>
    <w:rsid w:val="00C7275D"/>
    <w:rsid w:val="00C72C62"/>
    <w:rsid w:val="00C72C65"/>
    <w:rsid w:val="00C73443"/>
    <w:rsid w:val="00C73532"/>
    <w:rsid w:val="00C73E28"/>
    <w:rsid w:val="00C73F15"/>
    <w:rsid w:val="00C74075"/>
    <w:rsid w:val="00C741B7"/>
    <w:rsid w:val="00C74773"/>
    <w:rsid w:val="00C74B09"/>
    <w:rsid w:val="00C74EE8"/>
    <w:rsid w:val="00C75090"/>
    <w:rsid w:val="00C759DD"/>
    <w:rsid w:val="00C75A37"/>
    <w:rsid w:val="00C75A86"/>
    <w:rsid w:val="00C75C47"/>
    <w:rsid w:val="00C75E5B"/>
    <w:rsid w:val="00C75EF4"/>
    <w:rsid w:val="00C75FDB"/>
    <w:rsid w:val="00C76188"/>
    <w:rsid w:val="00C7691C"/>
    <w:rsid w:val="00C76B82"/>
    <w:rsid w:val="00C7728F"/>
    <w:rsid w:val="00C77BD6"/>
    <w:rsid w:val="00C800E4"/>
    <w:rsid w:val="00C8019D"/>
    <w:rsid w:val="00C80277"/>
    <w:rsid w:val="00C8084A"/>
    <w:rsid w:val="00C80BB4"/>
    <w:rsid w:val="00C81347"/>
    <w:rsid w:val="00C81377"/>
    <w:rsid w:val="00C81480"/>
    <w:rsid w:val="00C81A24"/>
    <w:rsid w:val="00C81AE4"/>
    <w:rsid w:val="00C81C42"/>
    <w:rsid w:val="00C81F3A"/>
    <w:rsid w:val="00C81F87"/>
    <w:rsid w:val="00C82F10"/>
    <w:rsid w:val="00C83879"/>
    <w:rsid w:val="00C83939"/>
    <w:rsid w:val="00C83D50"/>
    <w:rsid w:val="00C84168"/>
    <w:rsid w:val="00C841A0"/>
    <w:rsid w:val="00C842C4"/>
    <w:rsid w:val="00C84663"/>
    <w:rsid w:val="00C84B6B"/>
    <w:rsid w:val="00C857CA"/>
    <w:rsid w:val="00C85B52"/>
    <w:rsid w:val="00C860E7"/>
    <w:rsid w:val="00C863EE"/>
    <w:rsid w:val="00C86657"/>
    <w:rsid w:val="00C86997"/>
    <w:rsid w:val="00C86A59"/>
    <w:rsid w:val="00C8711E"/>
    <w:rsid w:val="00C8726C"/>
    <w:rsid w:val="00C872BA"/>
    <w:rsid w:val="00C87389"/>
    <w:rsid w:val="00C87A6C"/>
    <w:rsid w:val="00C87E2B"/>
    <w:rsid w:val="00C901B5"/>
    <w:rsid w:val="00C90204"/>
    <w:rsid w:val="00C90231"/>
    <w:rsid w:val="00C90922"/>
    <w:rsid w:val="00C90940"/>
    <w:rsid w:val="00C91287"/>
    <w:rsid w:val="00C916ED"/>
    <w:rsid w:val="00C91AEE"/>
    <w:rsid w:val="00C91CBE"/>
    <w:rsid w:val="00C9252F"/>
    <w:rsid w:val="00C92C73"/>
    <w:rsid w:val="00C92D1C"/>
    <w:rsid w:val="00C92EDB"/>
    <w:rsid w:val="00C9311C"/>
    <w:rsid w:val="00C935C3"/>
    <w:rsid w:val="00C93911"/>
    <w:rsid w:val="00C944EE"/>
    <w:rsid w:val="00C949FA"/>
    <w:rsid w:val="00C9517F"/>
    <w:rsid w:val="00C95193"/>
    <w:rsid w:val="00C95950"/>
    <w:rsid w:val="00C960DE"/>
    <w:rsid w:val="00C961C8"/>
    <w:rsid w:val="00C962D1"/>
    <w:rsid w:val="00C9635F"/>
    <w:rsid w:val="00C96716"/>
    <w:rsid w:val="00C967DE"/>
    <w:rsid w:val="00C96F77"/>
    <w:rsid w:val="00C9761D"/>
    <w:rsid w:val="00C97AF5"/>
    <w:rsid w:val="00CA014E"/>
    <w:rsid w:val="00CA015F"/>
    <w:rsid w:val="00CA0CA9"/>
    <w:rsid w:val="00CA12F3"/>
    <w:rsid w:val="00CA137B"/>
    <w:rsid w:val="00CA16C5"/>
    <w:rsid w:val="00CA1784"/>
    <w:rsid w:val="00CA1A71"/>
    <w:rsid w:val="00CA1FB9"/>
    <w:rsid w:val="00CA28F0"/>
    <w:rsid w:val="00CA2C1F"/>
    <w:rsid w:val="00CA2CA5"/>
    <w:rsid w:val="00CA2CC0"/>
    <w:rsid w:val="00CA2F88"/>
    <w:rsid w:val="00CA3073"/>
    <w:rsid w:val="00CA3190"/>
    <w:rsid w:val="00CA363E"/>
    <w:rsid w:val="00CA3795"/>
    <w:rsid w:val="00CA4366"/>
    <w:rsid w:val="00CA46C8"/>
    <w:rsid w:val="00CA4ACB"/>
    <w:rsid w:val="00CA4B86"/>
    <w:rsid w:val="00CA5197"/>
    <w:rsid w:val="00CA53ED"/>
    <w:rsid w:val="00CA54EB"/>
    <w:rsid w:val="00CA56E7"/>
    <w:rsid w:val="00CA5A5E"/>
    <w:rsid w:val="00CA6EC4"/>
    <w:rsid w:val="00CA7D2C"/>
    <w:rsid w:val="00CB00C8"/>
    <w:rsid w:val="00CB04DD"/>
    <w:rsid w:val="00CB06AC"/>
    <w:rsid w:val="00CB0ADF"/>
    <w:rsid w:val="00CB0B5C"/>
    <w:rsid w:val="00CB13D2"/>
    <w:rsid w:val="00CB14BB"/>
    <w:rsid w:val="00CB181D"/>
    <w:rsid w:val="00CB1989"/>
    <w:rsid w:val="00CB1C08"/>
    <w:rsid w:val="00CB1C4D"/>
    <w:rsid w:val="00CB1E36"/>
    <w:rsid w:val="00CB2110"/>
    <w:rsid w:val="00CB2366"/>
    <w:rsid w:val="00CB240F"/>
    <w:rsid w:val="00CB2527"/>
    <w:rsid w:val="00CB2A3C"/>
    <w:rsid w:val="00CB2AD6"/>
    <w:rsid w:val="00CB2BD6"/>
    <w:rsid w:val="00CB40B5"/>
    <w:rsid w:val="00CB42EA"/>
    <w:rsid w:val="00CB44F3"/>
    <w:rsid w:val="00CB498D"/>
    <w:rsid w:val="00CB4B39"/>
    <w:rsid w:val="00CB4ECF"/>
    <w:rsid w:val="00CB539A"/>
    <w:rsid w:val="00CB5A7F"/>
    <w:rsid w:val="00CB5ABB"/>
    <w:rsid w:val="00CB66E2"/>
    <w:rsid w:val="00CB67E0"/>
    <w:rsid w:val="00CB74A1"/>
    <w:rsid w:val="00CB75A3"/>
    <w:rsid w:val="00CB798B"/>
    <w:rsid w:val="00CB7AA2"/>
    <w:rsid w:val="00CB7DCF"/>
    <w:rsid w:val="00CB7FA5"/>
    <w:rsid w:val="00CC04C0"/>
    <w:rsid w:val="00CC08A8"/>
    <w:rsid w:val="00CC0A96"/>
    <w:rsid w:val="00CC0C60"/>
    <w:rsid w:val="00CC0DA7"/>
    <w:rsid w:val="00CC0DB6"/>
    <w:rsid w:val="00CC0FFC"/>
    <w:rsid w:val="00CC12BA"/>
    <w:rsid w:val="00CC14B0"/>
    <w:rsid w:val="00CC160E"/>
    <w:rsid w:val="00CC1D29"/>
    <w:rsid w:val="00CC21FB"/>
    <w:rsid w:val="00CC226F"/>
    <w:rsid w:val="00CC26EC"/>
    <w:rsid w:val="00CC28E4"/>
    <w:rsid w:val="00CC2CB4"/>
    <w:rsid w:val="00CC2CB5"/>
    <w:rsid w:val="00CC2F20"/>
    <w:rsid w:val="00CC3751"/>
    <w:rsid w:val="00CC3BBC"/>
    <w:rsid w:val="00CC4686"/>
    <w:rsid w:val="00CC496E"/>
    <w:rsid w:val="00CC49E3"/>
    <w:rsid w:val="00CC4B6E"/>
    <w:rsid w:val="00CC4C85"/>
    <w:rsid w:val="00CC4D5C"/>
    <w:rsid w:val="00CC4E1B"/>
    <w:rsid w:val="00CC503C"/>
    <w:rsid w:val="00CC5381"/>
    <w:rsid w:val="00CC5754"/>
    <w:rsid w:val="00CC5986"/>
    <w:rsid w:val="00CC5D7B"/>
    <w:rsid w:val="00CC5FA0"/>
    <w:rsid w:val="00CC61D2"/>
    <w:rsid w:val="00CC6B8B"/>
    <w:rsid w:val="00CC7272"/>
    <w:rsid w:val="00CC7355"/>
    <w:rsid w:val="00CC7676"/>
    <w:rsid w:val="00CC7BC6"/>
    <w:rsid w:val="00CD0D44"/>
    <w:rsid w:val="00CD12F9"/>
    <w:rsid w:val="00CD15CA"/>
    <w:rsid w:val="00CD18B6"/>
    <w:rsid w:val="00CD1C19"/>
    <w:rsid w:val="00CD28E7"/>
    <w:rsid w:val="00CD2BF3"/>
    <w:rsid w:val="00CD2DC2"/>
    <w:rsid w:val="00CD3212"/>
    <w:rsid w:val="00CD3305"/>
    <w:rsid w:val="00CD3811"/>
    <w:rsid w:val="00CD3BBB"/>
    <w:rsid w:val="00CD3CCF"/>
    <w:rsid w:val="00CD3CE8"/>
    <w:rsid w:val="00CD40CC"/>
    <w:rsid w:val="00CD434A"/>
    <w:rsid w:val="00CD4399"/>
    <w:rsid w:val="00CD43DE"/>
    <w:rsid w:val="00CD4691"/>
    <w:rsid w:val="00CD470A"/>
    <w:rsid w:val="00CD4E25"/>
    <w:rsid w:val="00CD5459"/>
    <w:rsid w:val="00CD5A98"/>
    <w:rsid w:val="00CD5BD9"/>
    <w:rsid w:val="00CD6D44"/>
    <w:rsid w:val="00CD733D"/>
    <w:rsid w:val="00CD74BF"/>
    <w:rsid w:val="00CD7653"/>
    <w:rsid w:val="00CD79A8"/>
    <w:rsid w:val="00CD7C3A"/>
    <w:rsid w:val="00CD7D5A"/>
    <w:rsid w:val="00CE00BB"/>
    <w:rsid w:val="00CE00D8"/>
    <w:rsid w:val="00CE0602"/>
    <w:rsid w:val="00CE0C8E"/>
    <w:rsid w:val="00CE1524"/>
    <w:rsid w:val="00CE1590"/>
    <w:rsid w:val="00CE176D"/>
    <w:rsid w:val="00CE2AAD"/>
    <w:rsid w:val="00CE2BAD"/>
    <w:rsid w:val="00CE2D6C"/>
    <w:rsid w:val="00CE3210"/>
    <w:rsid w:val="00CE3A16"/>
    <w:rsid w:val="00CE3A7C"/>
    <w:rsid w:val="00CE3BC8"/>
    <w:rsid w:val="00CE3BEC"/>
    <w:rsid w:val="00CE4DFB"/>
    <w:rsid w:val="00CE4FBA"/>
    <w:rsid w:val="00CE514E"/>
    <w:rsid w:val="00CE5C15"/>
    <w:rsid w:val="00CE5D5E"/>
    <w:rsid w:val="00CE5E3E"/>
    <w:rsid w:val="00CE619C"/>
    <w:rsid w:val="00CE6270"/>
    <w:rsid w:val="00CE66AC"/>
    <w:rsid w:val="00CE6900"/>
    <w:rsid w:val="00CE69BD"/>
    <w:rsid w:val="00CE6A0E"/>
    <w:rsid w:val="00CE6ACD"/>
    <w:rsid w:val="00CE6BDB"/>
    <w:rsid w:val="00CE6DEF"/>
    <w:rsid w:val="00CE7502"/>
    <w:rsid w:val="00CE7713"/>
    <w:rsid w:val="00CE7977"/>
    <w:rsid w:val="00CE7C02"/>
    <w:rsid w:val="00CE7E56"/>
    <w:rsid w:val="00CF064C"/>
    <w:rsid w:val="00CF07D5"/>
    <w:rsid w:val="00CF0969"/>
    <w:rsid w:val="00CF0E79"/>
    <w:rsid w:val="00CF0E83"/>
    <w:rsid w:val="00CF0FAC"/>
    <w:rsid w:val="00CF1275"/>
    <w:rsid w:val="00CF13E4"/>
    <w:rsid w:val="00CF1539"/>
    <w:rsid w:val="00CF1659"/>
    <w:rsid w:val="00CF1D9F"/>
    <w:rsid w:val="00CF1FB9"/>
    <w:rsid w:val="00CF2031"/>
    <w:rsid w:val="00CF2182"/>
    <w:rsid w:val="00CF23C1"/>
    <w:rsid w:val="00CF2520"/>
    <w:rsid w:val="00CF2607"/>
    <w:rsid w:val="00CF26D8"/>
    <w:rsid w:val="00CF271D"/>
    <w:rsid w:val="00CF2A2A"/>
    <w:rsid w:val="00CF2B2D"/>
    <w:rsid w:val="00CF2ECC"/>
    <w:rsid w:val="00CF2F8F"/>
    <w:rsid w:val="00CF3042"/>
    <w:rsid w:val="00CF30B6"/>
    <w:rsid w:val="00CF31B7"/>
    <w:rsid w:val="00CF347A"/>
    <w:rsid w:val="00CF3843"/>
    <w:rsid w:val="00CF3949"/>
    <w:rsid w:val="00CF3B00"/>
    <w:rsid w:val="00CF3C55"/>
    <w:rsid w:val="00CF439D"/>
    <w:rsid w:val="00CF4564"/>
    <w:rsid w:val="00CF4597"/>
    <w:rsid w:val="00CF467A"/>
    <w:rsid w:val="00CF47D0"/>
    <w:rsid w:val="00CF50E4"/>
    <w:rsid w:val="00CF51EC"/>
    <w:rsid w:val="00CF5EDB"/>
    <w:rsid w:val="00CF67AF"/>
    <w:rsid w:val="00CF6E02"/>
    <w:rsid w:val="00CF6EB2"/>
    <w:rsid w:val="00CF7374"/>
    <w:rsid w:val="00CF7396"/>
    <w:rsid w:val="00CF73A3"/>
    <w:rsid w:val="00CF73AF"/>
    <w:rsid w:val="00CF78A5"/>
    <w:rsid w:val="00CF7AD1"/>
    <w:rsid w:val="00CF7B8F"/>
    <w:rsid w:val="00CF7FC1"/>
    <w:rsid w:val="00D0019A"/>
    <w:rsid w:val="00D001B1"/>
    <w:rsid w:val="00D00A58"/>
    <w:rsid w:val="00D00C45"/>
    <w:rsid w:val="00D00C80"/>
    <w:rsid w:val="00D00F0D"/>
    <w:rsid w:val="00D01414"/>
    <w:rsid w:val="00D01465"/>
    <w:rsid w:val="00D01500"/>
    <w:rsid w:val="00D01684"/>
    <w:rsid w:val="00D019EB"/>
    <w:rsid w:val="00D02111"/>
    <w:rsid w:val="00D021C0"/>
    <w:rsid w:val="00D021C2"/>
    <w:rsid w:val="00D021D9"/>
    <w:rsid w:val="00D0255B"/>
    <w:rsid w:val="00D025E9"/>
    <w:rsid w:val="00D02665"/>
    <w:rsid w:val="00D02749"/>
    <w:rsid w:val="00D02795"/>
    <w:rsid w:val="00D02E7F"/>
    <w:rsid w:val="00D03216"/>
    <w:rsid w:val="00D0321A"/>
    <w:rsid w:val="00D03A17"/>
    <w:rsid w:val="00D03B7B"/>
    <w:rsid w:val="00D03FE7"/>
    <w:rsid w:val="00D03FF9"/>
    <w:rsid w:val="00D04930"/>
    <w:rsid w:val="00D04B06"/>
    <w:rsid w:val="00D04B76"/>
    <w:rsid w:val="00D04F40"/>
    <w:rsid w:val="00D05767"/>
    <w:rsid w:val="00D05CCF"/>
    <w:rsid w:val="00D05FAE"/>
    <w:rsid w:val="00D0608C"/>
    <w:rsid w:val="00D065A5"/>
    <w:rsid w:val="00D0672F"/>
    <w:rsid w:val="00D06D01"/>
    <w:rsid w:val="00D06EE4"/>
    <w:rsid w:val="00D07010"/>
    <w:rsid w:val="00D0709B"/>
    <w:rsid w:val="00D075E6"/>
    <w:rsid w:val="00D0799F"/>
    <w:rsid w:val="00D07F56"/>
    <w:rsid w:val="00D07F72"/>
    <w:rsid w:val="00D1093D"/>
    <w:rsid w:val="00D11000"/>
    <w:rsid w:val="00D111AF"/>
    <w:rsid w:val="00D1160C"/>
    <w:rsid w:val="00D119A6"/>
    <w:rsid w:val="00D119E8"/>
    <w:rsid w:val="00D11ADE"/>
    <w:rsid w:val="00D11B4C"/>
    <w:rsid w:val="00D11ED1"/>
    <w:rsid w:val="00D11F20"/>
    <w:rsid w:val="00D1211D"/>
    <w:rsid w:val="00D12480"/>
    <w:rsid w:val="00D1252D"/>
    <w:rsid w:val="00D125A8"/>
    <w:rsid w:val="00D12711"/>
    <w:rsid w:val="00D12B9F"/>
    <w:rsid w:val="00D13074"/>
    <w:rsid w:val="00D13315"/>
    <w:rsid w:val="00D137E5"/>
    <w:rsid w:val="00D13853"/>
    <w:rsid w:val="00D138A9"/>
    <w:rsid w:val="00D13CBF"/>
    <w:rsid w:val="00D13F14"/>
    <w:rsid w:val="00D14021"/>
    <w:rsid w:val="00D14171"/>
    <w:rsid w:val="00D14237"/>
    <w:rsid w:val="00D1425C"/>
    <w:rsid w:val="00D1452C"/>
    <w:rsid w:val="00D147C7"/>
    <w:rsid w:val="00D14C61"/>
    <w:rsid w:val="00D151F4"/>
    <w:rsid w:val="00D15BD2"/>
    <w:rsid w:val="00D15BF1"/>
    <w:rsid w:val="00D15CC0"/>
    <w:rsid w:val="00D15F0D"/>
    <w:rsid w:val="00D16559"/>
    <w:rsid w:val="00D17443"/>
    <w:rsid w:val="00D17871"/>
    <w:rsid w:val="00D2064D"/>
    <w:rsid w:val="00D206B4"/>
    <w:rsid w:val="00D21019"/>
    <w:rsid w:val="00D213BE"/>
    <w:rsid w:val="00D214D4"/>
    <w:rsid w:val="00D21C29"/>
    <w:rsid w:val="00D22139"/>
    <w:rsid w:val="00D22C38"/>
    <w:rsid w:val="00D22EC8"/>
    <w:rsid w:val="00D23010"/>
    <w:rsid w:val="00D2313D"/>
    <w:rsid w:val="00D231A9"/>
    <w:rsid w:val="00D232C3"/>
    <w:rsid w:val="00D23852"/>
    <w:rsid w:val="00D2393E"/>
    <w:rsid w:val="00D23B03"/>
    <w:rsid w:val="00D23EB3"/>
    <w:rsid w:val="00D24060"/>
    <w:rsid w:val="00D24BA8"/>
    <w:rsid w:val="00D2521A"/>
    <w:rsid w:val="00D257F1"/>
    <w:rsid w:val="00D258D3"/>
    <w:rsid w:val="00D259FA"/>
    <w:rsid w:val="00D25EBA"/>
    <w:rsid w:val="00D25EED"/>
    <w:rsid w:val="00D26EC8"/>
    <w:rsid w:val="00D26F4E"/>
    <w:rsid w:val="00D276EB"/>
    <w:rsid w:val="00D27B43"/>
    <w:rsid w:val="00D27B89"/>
    <w:rsid w:val="00D30064"/>
    <w:rsid w:val="00D300BD"/>
    <w:rsid w:val="00D30218"/>
    <w:rsid w:val="00D3035A"/>
    <w:rsid w:val="00D30701"/>
    <w:rsid w:val="00D3074E"/>
    <w:rsid w:val="00D30868"/>
    <w:rsid w:val="00D3092D"/>
    <w:rsid w:val="00D30EBE"/>
    <w:rsid w:val="00D311A6"/>
    <w:rsid w:val="00D311EA"/>
    <w:rsid w:val="00D3135B"/>
    <w:rsid w:val="00D31BA3"/>
    <w:rsid w:val="00D31D31"/>
    <w:rsid w:val="00D31D7A"/>
    <w:rsid w:val="00D31F89"/>
    <w:rsid w:val="00D32627"/>
    <w:rsid w:val="00D3324D"/>
    <w:rsid w:val="00D3328C"/>
    <w:rsid w:val="00D33889"/>
    <w:rsid w:val="00D339D8"/>
    <w:rsid w:val="00D33BCA"/>
    <w:rsid w:val="00D33DD5"/>
    <w:rsid w:val="00D33FBD"/>
    <w:rsid w:val="00D34950"/>
    <w:rsid w:val="00D34A80"/>
    <w:rsid w:val="00D34B4F"/>
    <w:rsid w:val="00D350D8"/>
    <w:rsid w:val="00D35170"/>
    <w:rsid w:val="00D351C9"/>
    <w:rsid w:val="00D354AC"/>
    <w:rsid w:val="00D35E40"/>
    <w:rsid w:val="00D36029"/>
    <w:rsid w:val="00D36112"/>
    <w:rsid w:val="00D363D6"/>
    <w:rsid w:val="00D367F3"/>
    <w:rsid w:val="00D369B0"/>
    <w:rsid w:val="00D36BAB"/>
    <w:rsid w:val="00D36BBC"/>
    <w:rsid w:val="00D36D43"/>
    <w:rsid w:val="00D36D59"/>
    <w:rsid w:val="00D373E5"/>
    <w:rsid w:val="00D3765B"/>
    <w:rsid w:val="00D4028E"/>
    <w:rsid w:val="00D404CA"/>
    <w:rsid w:val="00D40A42"/>
    <w:rsid w:val="00D416E0"/>
    <w:rsid w:val="00D422B9"/>
    <w:rsid w:val="00D42633"/>
    <w:rsid w:val="00D426A9"/>
    <w:rsid w:val="00D42797"/>
    <w:rsid w:val="00D42BF6"/>
    <w:rsid w:val="00D431F1"/>
    <w:rsid w:val="00D43276"/>
    <w:rsid w:val="00D432E2"/>
    <w:rsid w:val="00D43713"/>
    <w:rsid w:val="00D43763"/>
    <w:rsid w:val="00D4377E"/>
    <w:rsid w:val="00D43FF9"/>
    <w:rsid w:val="00D44415"/>
    <w:rsid w:val="00D44C71"/>
    <w:rsid w:val="00D45178"/>
    <w:rsid w:val="00D4556C"/>
    <w:rsid w:val="00D45604"/>
    <w:rsid w:val="00D45781"/>
    <w:rsid w:val="00D458A5"/>
    <w:rsid w:val="00D45AC2"/>
    <w:rsid w:val="00D45FCC"/>
    <w:rsid w:val="00D46DFB"/>
    <w:rsid w:val="00D471CF"/>
    <w:rsid w:val="00D473B3"/>
    <w:rsid w:val="00D4749B"/>
    <w:rsid w:val="00D47890"/>
    <w:rsid w:val="00D47B7A"/>
    <w:rsid w:val="00D47B7C"/>
    <w:rsid w:val="00D47E88"/>
    <w:rsid w:val="00D50186"/>
    <w:rsid w:val="00D50648"/>
    <w:rsid w:val="00D50837"/>
    <w:rsid w:val="00D508E3"/>
    <w:rsid w:val="00D50B59"/>
    <w:rsid w:val="00D519E5"/>
    <w:rsid w:val="00D51F92"/>
    <w:rsid w:val="00D52E06"/>
    <w:rsid w:val="00D52FD1"/>
    <w:rsid w:val="00D535FF"/>
    <w:rsid w:val="00D53A21"/>
    <w:rsid w:val="00D53B7A"/>
    <w:rsid w:val="00D5411F"/>
    <w:rsid w:val="00D54138"/>
    <w:rsid w:val="00D5432F"/>
    <w:rsid w:val="00D54458"/>
    <w:rsid w:val="00D5462F"/>
    <w:rsid w:val="00D54DA7"/>
    <w:rsid w:val="00D54E46"/>
    <w:rsid w:val="00D54F25"/>
    <w:rsid w:val="00D54FE1"/>
    <w:rsid w:val="00D552CD"/>
    <w:rsid w:val="00D5580C"/>
    <w:rsid w:val="00D55B00"/>
    <w:rsid w:val="00D55B45"/>
    <w:rsid w:val="00D55D30"/>
    <w:rsid w:val="00D5665D"/>
    <w:rsid w:val="00D567AE"/>
    <w:rsid w:val="00D56A91"/>
    <w:rsid w:val="00D56C48"/>
    <w:rsid w:val="00D56ED9"/>
    <w:rsid w:val="00D5707C"/>
    <w:rsid w:val="00D572FB"/>
    <w:rsid w:val="00D5779E"/>
    <w:rsid w:val="00D577E0"/>
    <w:rsid w:val="00D579EF"/>
    <w:rsid w:val="00D57F8E"/>
    <w:rsid w:val="00D6026A"/>
    <w:rsid w:val="00D60347"/>
    <w:rsid w:val="00D60555"/>
    <w:rsid w:val="00D60612"/>
    <w:rsid w:val="00D6072F"/>
    <w:rsid w:val="00D60827"/>
    <w:rsid w:val="00D60B9F"/>
    <w:rsid w:val="00D60F99"/>
    <w:rsid w:val="00D618BD"/>
    <w:rsid w:val="00D61A9B"/>
    <w:rsid w:val="00D61E65"/>
    <w:rsid w:val="00D62401"/>
    <w:rsid w:val="00D62BEB"/>
    <w:rsid w:val="00D631C9"/>
    <w:rsid w:val="00D6361E"/>
    <w:rsid w:val="00D6385A"/>
    <w:rsid w:val="00D639CE"/>
    <w:rsid w:val="00D63AD9"/>
    <w:rsid w:val="00D63E32"/>
    <w:rsid w:val="00D63F46"/>
    <w:rsid w:val="00D63F77"/>
    <w:rsid w:val="00D64141"/>
    <w:rsid w:val="00D648FB"/>
    <w:rsid w:val="00D64956"/>
    <w:rsid w:val="00D64EDD"/>
    <w:rsid w:val="00D653B5"/>
    <w:rsid w:val="00D6555A"/>
    <w:rsid w:val="00D65653"/>
    <w:rsid w:val="00D659B2"/>
    <w:rsid w:val="00D65A02"/>
    <w:rsid w:val="00D65EE9"/>
    <w:rsid w:val="00D6614D"/>
    <w:rsid w:val="00D6617C"/>
    <w:rsid w:val="00D661DB"/>
    <w:rsid w:val="00D663ED"/>
    <w:rsid w:val="00D66950"/>
    <w:rsid w:val="00D66CC2"/>
    <w:rsid w:val="00D66F0B"/>
    <w:rsid w:val="00D67253"/>
    <w:rsid w:val="00D677C7"/>
    <w:rsid w:val="00D67A67"/>
    <w:rsid w:val="00D67C91"/>
    <w:rsid w:val="00D70090"/>
    <w:rsid w:val="00D70103"/>
    <w:rsid w:val="00D7013B"/>
    <w:rsid w:val="00D70191"/>
    <w:rsid w:val="00D70623"/>
    <w:rsid w:val="00D70828"/>
    <w:rsid w:val="00D70914"/>
    <w:rsid w:val="00D709C0"/>
    <w:rsid w:val="00D71506"/>
    <w:rsid w:val="00D7199C"/>
    <w:rsid w:val="00D71AD5"/>
    <w:rsid w:val="00D7301E"/>
    <w:rsid w:val="00D732C1"/>
    <w:rsid w:val="00D734C4"/>
    <w:rsid w:val="00D734F6"/>
    <w:rsid w:val="00D73C6B"/>
    <w:rsid w:val="00D74574"/>
    <w:rsid w:val="00D74663"/>
    <w:rsid w:val="00D74818"/>
    <w:rsid w:val="00D7487F"/>
    <w:rsid w:val="00D74D01"/>
    <w:rsid w:val="00D74F67"/>
    <w:rsid w:val="00D75135"/>
    <w:rsid w:val="00D75612"/>
    <w:rsid w:val="00D75AED"/>
    <w:rsid w:val="00D76420"/>
    <w:rsid w:val="00D76889"/>
    <w:rsid w:val="00D76B54"/>
    <w:rsid w:val="00D76D23"/>
    <w:rsid w:val="00D76EEA"/>
    <w:rsid w:val="00D76F5B"/>
    <w:rsid w:val="00D76F9D"/>
    <w:rsid w:val="00D7747E"/>
    <w:rsid w:val="00D77D7D"/>
    <w:rsid w:val="00D77E53"/>
    <w:rsid w:val="00D80461"/>
    <w:rsid w:val="00D804D1"/>
    <w:rsid w:val="00D8059D"/>
    <w:rsid w:val="00D8090B"/>
    <w:rsid w:val="00D80B6E"/>
    <w:rsid w:val="00D80CC4"/>
    <w:rsid w:val="00D80FB7"/>
    <w:rsid w:val="00D81072"/>
    <w:rsid w:val="00D810D4"/>
    <w:rsid w:val="00D8120A"/>
    <w:rsid w:val="00D8134B"/>
    <w:rsid w:val="00D81928"/>
    <w:rsid w:val="00D81BDD"/>
    <w:rsid w:val="00D81F55"/>
    <w:rsid w:val="00D820D9"/>
    <w:rsid w:val="00D82E2D"/>
    <w:rsid w:val="00D830CE"/>
    <w:rsid w:val="00D8346B"/>
    <w:rsid w:val="00D83657"/>
    <w:rsid w:val="00D83D11"/>
    <w:rsid w:val="00D83DCB"/>
    <w:rsid w:val="00D83F1F"/>
    <w:rsid w:val="00D842BF"/>
    <w:rsid w:val="00D84760"/>
    <w:rsid w:val="00D84772"/>
    <w:rsid w:val="00D84ED3"/>
    <w:rsid w:val="00D84F6B"/>
    <w:rsid w:val="00D85138"/>
    <w:rsid w:val="00D85EB2"/>
    <w:rsid w:val="00D85F4E"/>
    <w:rsid w:val="00D86D1C"/>
    <w:rsid w:val="00D872E5"/>
    <w:rsid w:val="00D8751D"/>
    <w:rsid w:val="00D87A91"/>
    <w:rsid w:val="00D87F5E"/>
    <w:rsid w:val="00D90104"/>
    <w:rsid w:val="00D90204"/>
    <w:rsid w:val="00D903C4"/>
    <w:rsid w:val="00D90502"/>
    <w:rsid w:val="00D9059C"/>
    <w:rsid w:val="00D90C9F"/>
    <w:rsid w:val="00D90D2E"/>
    <w:rsid w:val="00D91408"/>
    <w:rsid w:val="00D91468"/>
    <w:rsid w:val="00D92010"/>
    <w:rsid w:val="00D92490"/>
    <w:rsid w:val="00D92A22"/>
    <w:rsid w:val="00D92C5E"/>
    <w:rsid w:val="00D93417"/>
    <w:rsid w:val="00D934B9"/>
    <w:rsid w:val="00D93DF8"/>
    <w:rsid w:val="00D941F9"/>
    <w:rsid w:val="00D94323"/>
    <w:rsid w:val="00D943F8"/>
    <w:rsid w:val="00D94497"/>
    <w:rsid w:val="00D946D1"/>
    <w:rsid w:val="00D9493E"/>
    <w:rsid w:val="00D94E84"/>
    <w:rsid w:val="00D94F6E"/>
    <w:rsid w:val="00D95059"/>
    <w:rsid w:val="00D9517B"/>
    <w:rsid w:val="00D9522C"/>
    <w:rsid w:val="00D9529E"/>
    <w:rsid w:val="00D95372"/>
    <w:rsid w:val="00D95521"/>
    <w:rsid w:val="00D95868"/>
    <w:rsid w:val="00D95A07"/>
    <w:rsid w:val="00D962D5"/>
    <w:rsid w:val="00D964BA"/>
    <w:rsid w:val="00D9652F"/>
    <w:rsid w:val="00D969C7"/>
    <w:rsid w:val="00D96C81"/>
    <w:rsid w:val="00D96EBA"/>
    <w:rsid w:val="00D96FA0"/>
    <w:rsid w:val="00D9706E"/>
    <w:rsid w:val="00D97203"/>
    <w:rsid w:val="00DA017D"/>
    <w:rsid w:val="00DA01EA"/>
    <w:rsid w:val="00DA034F"/>
    <w:rsid w:val="00DA0395"/>
    <w:rsid w:val="00DA07BA"/>
    <w:rsid w:val="00DA10A0"/>
    <w:rsid w:val="00DA1974"/>
    <w:rsid w:val="00DA1B44"/>
    <w:rsid w:val="00DA1C06"/>
    <w:rsid w:val="00DA2527"/>
    <w:rsid w:val="00DA2541"/>
    <w:rsid w:val="00DA2800"/>
    <w:rsid w:val="00DA2E8D"/>
    <w:rsid w:val="00DA3480"/>
    <w:rsid w:val="00DA3B2E"/>
    <w:rsid w:val="00DA4507"/>
    <w:rsid w:val="00DA4D57"/>
    <w:rsid w:val="00DA4E45"/>
    <w:rsid w:val="00DA50E0"/>
    <w:rsid w:val="00DA52C7"/>
    <w:rsid w:val="00DA594E"/>
    <w:rsid w:val="00DA5CDC"/>
    <w:rsid w:val="00DA61AC"/>
    <w:rsid w:val="00DA62EF"/>
    <w:rsid w:val="00DA6739"/>
    <w:rsid w:val="00DA7077"/>
    <w:rsid w:val="00DA7841"/>
    <w:rsid w:val="00DB0178"/>
    <w:rsid w:val="00DB06B1"/>
    <w:rsid w:val="00DB0EF7"/>
    <w:rsid w:val="00DB0FA4"/>
    <w:rsid w:val="00DB137E"/>
    <w:rsid w:val="00DB17F6"/>
    <w:rsid w:val="00DB1949"/>
    <w:rsid w:val="00DB1A55"/>
    <w:rsid w:val="00DB1AC3"/>
    <w:rsid w:val="00DB1F2C"/>
    <w:rsid w:val="00DB290C"/>
    <w:rsid w:val="00DB356B"/>
    <w:rsid w:val="00DB36FD"/>
    <w:rsid w:val="00DB3A59"/>
    <w:rsid w:val="00DB3E6F"/>
    <w:rsid w:val="00DB4807"/>
    <w:rsid w:val="00DB4AA1"/>
    <w:rsid w:val="00DB4C5E"/>
    <w:rsid w:val="00DB5193"/>
    <w:rsid w:val="00DB5723"/>
    <w:rsid w:val="00DB58A3"/>
    <w:rsid w:val="00DB5969"/>
    <w:rsid w:val="00DB5A37"/>
    <w:rsid w:val="00DB5C27"/>
    <w:rsid w:val="00DB62BD"/>
    <w:rsid w:val="00DB62E1"/>
    <w:rsid w:val="00DB6369"/>
    <w:rsid w:val="00DB63E1"/>
    <w:rsid w:val="00DB6B50"/>
    <w:rsid w:val="00DB6D54"/>
    <w:rsid w:val="00DB6DBF"/>
    <w:rsid w:val="00DB7142"/>
    <w:rsid w:val="00DB7DCC"/>
    <w:rsid w:val="00DC00BF"/>
    <w:rsid w:val="00DC0133"/>
    <w:rsid w:val="00DC02E1"/>
    <w:rsid w:val="00DC04C8"/>
    <w:rsid w:val="00DC0A27"/>
    <w:rsid w:val="00DC0A83"/>
    <w:rsid w:val="00DC0F47"/>
    <w:rsid w:val="00DC13FD"/>
    <w:rsid w:val="00DC1674"/>
    <w:rsid w:val="00DC1B95"/>
    <w:rsid w:val="00DC1DF5"/>
    <w:rsid w:val="00DC20AD"/>
    <w:rsid w:val="00DC21D5"/>
    <w:rsid w:val="00DC25EE"/>
    <w:rsid w:val="00DC27B9"/>
    <w:rsid w:val="00DC285E"/>
    <w:rsid w:val="00DC289B"/>
    <w:rsid w:val="00DC2E60"/>
    <w:rsid w:val="00DC35FE"/>
    <w:rsid w:val="00DC43DA"/>
    <w:rsid w:val="00DC4EA0"/>
    <w:rsid w:val="00DC515C"/>
    <w:rsid w:val="00DC51A7"/>
    <w:rsid w:val="00DC536C"/>
    <w:rsid w:val="00DC553E"/>
    <w:rsid w:val="00DC57D6"/>
    <w:rsid w:val="00DC57E3"/>
    <w:rsid w:val="00DC5AEF"/>
    <w:rsid w:val="00DC5B38"/>
    <w:rsid w:val="00DC5D82"/>
    <w:rsid w:val="00DC6D9C"/>
    <w:rsid w:val="00DC6F70"/>
    <w:rsid w:val="00DC71DA"/>
    <w:rsid w:val="00DC72B2"/>
    <w:rsid w:val="00DC72FC"/>
    <w:rsid w:val="00DC7722"/>
    <w:rsid w:val="00DD003F"/>
    <w:rsid w:val="00DD0528"/>
    <w:rsid w:val="00DD0A9E"/>
    <w:rsid w:val="00DD0CD1"/>
    <w:rsid w:val="00DD0EAA"/>
    <w:rsid w:val="00DD0F69"/>
    <w:rsid w:val="00DD1179"/>
    <w:rsid w:val="00DD1445"/>
    <w:rsid w:val="00DD18AF"/>
    <w:rsid w:val="00DD2032"/>
    <w:rsid w:val="00DD2290"/>
    <w:rsid w:val="00DD241A"/>
    <w:rsid w:val="00DD2C50"/>
    <w:rsid w:val="00DD2DDB"/>
    <w:rsid w:val="00DD2F2B"/>
    <w:rsid w:val="00DD30E6"/>
    <w:rsid w:val="00DD3107"/>
    <w:rsid w:val="00DD3823"/>
    <w:rsid w:val="00DD3A3C"/>
    <w:rsid w:val="00DD3A9E"/>
    <w:rsid w:val="00DD4AC8"/>
    <w:rsid w:val="00DD4E5B"/>
    <w:rsid w:val="00DD4F8E"/>
    <w:rsid w:val="00DD4FC6"/>
    <w:rsid w:val="00DD50F5"/>
    <w:rsid w:val="00DD52D0"/>
    <w:rsid w:val="00DD5922"/>
    <w:rsid w:val="00DD697C"/>
    <w:rsid w:val="00DD6EA8"/>
    <w:rsid w:val="00DD70BB"/>
    <w:rsid w:val="00DD70C0"/>
    <w:rsid w:val="00DD710C"/>
    <w:rsid w:val="00DD72DB"/>
    <w:rsid w:val="00DD7B30"/>
    <w:rsid w:val="00DD7F0D"/>
    <w:rsid w:val="00DE07AE"/>
    <w:rsid w:val="00DE0913"/>
    <w:rsid w:val="00DE1B2D"/>
    <w:rsid w:val="00DE1C52"/>
    <w:rsid w:val="00DE35D7"/>
    <w:rsid w:val="00DE38EB"/>
    <w:rsid w:val="00DE3B4D"/>
    <w:rsid w:val="00DE3D63"/>
    <w:rsid w:val="00DE3FE3"/>
    <w:rsid w:val="00DE51FB"/>
    <w:rsid w:val="00DE561A"/>
    <w:rsid w:val="00DE5B25"/>
    <w:rsid w:val="00DE5C56"/>
    <w:rsid w:val="00DE5CFA"/>
    <w:rsid w:val="00DE5DF3"/>
    <w:rsid w:val="00DE5F49"/>
    <w:rsid w:val="00DE60F5"/>
    <w:rsid w:val="00DE6892"/>
    <w:rsid w:val="00DE6958"/>
    <w:rsid w:val="00DE71AE"/>
    <w:rsid w:val="00DE77CC"/>
    <w:rsid w:val="00DE7948"/>
    <w:rsid w:val="00DE7B58"/>
    <w:rsid w:val="00DE7DE0"/>
    <w:rsid w:val="00DF01ED"/>
    <w:rsid w:val="00DF047C"/>
    <w:rsid w:val="00DF0854"/>
    <w:rsid w:val="00DF13F9"/>
    <w:rsid w:val="00DF1484"/>
    <w:rsid w:val="00DF207F"/>
    <w:rsid w:val="00DF286E"/>
    <w:rsid w:val="00DF2AA2"/>
    <w:rsid w:val="00DF34DC"/>
    <w:rsid w:val="00DF389A"/>
    <w:rsid w:val="00DF3EC8"/>
    <w:rsid w:val="00DF42B1"/>
    <w:rsid w:val="00DF491A"/>
    <w:rsid w:val="00DF49F6"/>
    <w:rsid w:val="00DF4EA5"/>
    <w:rsid w:val="00DF556A"/>
    <w:rsid w:val="00DF5856"/>
    <w:rsid w:val="00DF5DFF"/>
    <w:rsid w:val="00DF6D71"/>
    <w:rsid w:val="00DF7361"/>
    <w:rsid w:val="00DF73A2"/>
    <w:rsid w:val="00DF77E2"/>
    <w:rsid w:val="00DF79CB"/>
    <w:rsid w:val="00DF7D6A"/>
    <w:rsid w:val="00DF7DAE"/>
    <w:rsid w:val="00E001AC"/>
    <w:rsid w:val="00E005D9"/>
    <w:rsid w:val="00E00697"/>
    <w:rsid w:val="00E007D9"/>
    <w:rsid w:val="00E015C5"/>
    <w:rsid w:val="00E015DF"/>
    <w:rsid w:val="00E01C62"/>
    <w:rsid w:val="00E02165"/>
    <w:rsid w:val="00E022E8"/>
    <w:rsid w:val="00E0251A"/>
    <w:rsid w:val="00E0271E"/>
    <w:rsid w:val="00E02745"/>
    <w:rsid w:val="00E0283F"/>
    <w:rsid w:val="00E029D7"/>
    <w:rsid w:val="00E02D83"/>
    <w:rsid w:val="00E03B5C"/>
    <w:rsid w:val="00E03F52"/>
    <w:rsid w:val="00E04147"/>
    <w:rsid w:val="00E04513"/>
    <w:rsid w:val="00E057F5"/>
    <w:rsid w:val="00E058F6"/>
    <w:rsid w:val="00E05900"/>
    <w:rsid w:val="00E059D4"/>
    <w:rsid w:val="00E05A08"/>
    <w:rsid w:val="00E05A17"/>
    <w:rsid w:val="00E05AC7"/>
    <w:rsid w:val="00E05FC7"/>
    <w:rsid w:val="00E06090"/>
    <w:rsid w:val="00E06212"/>
    <w:rsid w:val="00E0652C"/>
    <w:rsid w:val="00E065DF"/>
    <w:rsid w:val="00E06919"/>
    <w:rsid w:val="00E06DDA"/>
    <w:rsid w:val="00E06E7D"/>
    <w:rsid w:val="00E07368"/>
    <w:rsid w:val="00E074EA"/>
    <w:rsid w:val="00E0763F"/>
    <w:rsid w:val="00E07AF5"/>
    <w:rsid w:val="00E07BD1"/>
    <w:rsid w:val="00E07DDC"/>
    <w:rsid w:val="00E07E6B"/>
    <w:rsid w:val="00E07F1A"/>
    <w:rsid w:val="00E07F6B"/>
    <w:rsid w:val="00E10071"/>
    <w:rsid w:val="00E103D1"/>
    <w:rsid w:val="00E10795"/>
    <w:rsid w:val="00E1080D"/>
    <w:rsid w:val="00E10BD0"/>
    <w:rsid w:val="00E10EB2"/>
    <w:rsid w:val="00E111C0"/>
    <w:rsid w:val="00E111EF"/>
    <w:rsid w:val="00E11DCA"/>
    <w:rsid w:val="00E121DC"/>
    <w:rsid w:val="00E122CD"/>
    <w:rsid w:val="00E1243E"/>
    <w:rsid w:val="00E1254E"/>
    <w:rsid w:val="00E12553"/>
    <w:rsid w:val="00E12573"/>
    <w:rsid w:val="00E12BAE"/>
    <w:rsid w:val="00E130B6"/>
    <w:rsid w:val="00E131B0"/>
    <w:rsid w:val="00E13230"/>
    <w:rsid w:val="00E13294"/>
    <w:rsid w:val="00E135DE"/>
    <w:rsid w:val="00E1375C"/>
    <w:rsid w:val="00E13864"/>
    <w:rsid w:val="00E13D73"/>
    <w:rsid w:val="00E13FBF"/>
    <w:rsid w:val="00E143E7"/>
    <w:rsid w:val="00E143E9"/>
    <w:rsid w:val="00E144FE"/>
    <w:rsid w:val="00E148B1"/>
    <w:rsid w:val="00E1504D"/>
    <w:rsid w:val="00E15846"/>
    <w:rsid w:val="00E15918"/>
    <w:rsid w:val="00E15D19"/>
    <w:rsid w:val="00E164ED"/>
    <w:rsid w:val="00E1667E"/>
    <w:rsid w:val="00E16E17"/>
    <w:rsid w:val="00E16E1E"/>
    <w:rsid w:val="00E17002"/>
    <w:rsid w:val="00E171D5"/>
    <w:rsid w:val="00E1723F"/>
    <w:rsid w:val="00E17351"/>
    <w:rsid w:val="00E17D3D"/>
    <w:rsid w:val="00E17EF8"/>
    <w:rsid w:val="00E200AA"/>
    <w:rsid w:val="00E203A6"/>
    <w:rsid w:val="00E20D6F"/>
    <w:rsid w:val="00E21A0E"/>
    <w:rsid w:val="00E21C7F"/>
    <w:rsid w:val="00E222DA"/>
    <w:rsid w:val="00E22BD5"/>
    <w:rsid w:val="00E22F20"/>
    <w:rsid w:val="00E22F99"/>
    <w:rsid w:val="00E232DF"/>
    <w:rsid w:val="00E23574"/>
    <w:rsid w:val="00E238E9"/>
    <w:rsid w:val="00E23E7E"/>
    <w:rsid w:val="00E24165"/>
    <w:rsid w:val="00E2423D"/>
    <w:rsid w:val="00E2429E"/>
    <w:rsid w:val="00E2439E"/>
    <w:rsid w:val="00E24913"/>
    <w:rsid w:val="00E25237"/>
    <w:rsid w:val="00E25747"/>
    <w:rsid w:val="00E25BEE"/>
    <w:rsid w:val="00E26392"/>
    <w:rsid w:val="00E26680"/>
    <w:rsid w:val="00E26E4A"/>
    <w:rsid w:val="00E275F2"/>
    <w:rsid w:val="00E2795F"/>
    <w:rsid w:val="00E301F1"/>
    <w:rsid w:val="00E313D3"/>
    <w:rsid w:val="00E315FB"/>
    <w:rsid w:val="00E319AD"/>
    <w:rsid w:val="00E31D47"/>
    <w:rsid w:val="00E320B0"/>
    <w:rsid w:val="00E327E1"/>
    <w:rsid w:val="00E32B76"/>
    <w:rsid w:val="00E32BD2"/>
    <w:rsid w:val="00E32D3C"/>
    <w:rsid w:val="00E33CB9"/>
    <w:rsid w:val="00E33CDE"/>
    <w:rsid w:val="00E343A4"/>
    <w:rsid w:val="00E34FBC"/>
    <w:rsid w:val="00E35224"/>
    <w:rsid w:val="00E3538A"/>
    <w:rsid w:val="00E354FE"/>
    <w:rsid w:val="00E35855"/>
    <w:rsid w:val="00E35924"/>
    <w:rsid w:val="00E359F1"/>
    <w:rsid w:val="00E35A61"/>
    <w:rsid w:val="00E35A74"/>
    <w:rsid w:val="00E35D4B"/>
    <w:rsid w:val="00E35FAA"/>
    <w:rsid w:val="00E360A4"/>
    <w:rsid w:val="00E364D9"/>
    <w:rsid w:val="00E36777"/>
    <w:rsid w:val="00E3696A"/>
    <w:rsid w:val="00E36FD8"/>
    <w:rsid w:val="00E37071"/>
    <w:rsid w:val="00E37510"/>
    <w:rsid w:val="00E37903"/>
    <w:rsid w:val="00E4025A"/>
    <w:rsid w:val="00E40385"/>
    <w:rsid w:val="00E4039A"/>
    <w:rsid w:val="00E40640"/>
    <w:rsid w:val="00E407A6"/>
    <w:rsid w:val="00E40CAC"/>
    <w:rsid w:val="00E40F94"/>
    <w:rsid w:val="00E414B8"/>
    <w:rsid w:val="00E41647"/>
    <w:rsid w:val="00E418BB"/>
    <w:rsid w:val="00E419E3"/>
    <w:rsid w:val="00E41E80"/>
    <w:rsid w:val="00E420A1"/>
    <w:rsid w:val="00E422B3"/>
    <w:rsid w:val="00E42680"/>
    <w:rsid w:val="00E42A2F"/>
    <w:rsid w:val="00E42F1B"/>
    <w:rsid w:val="00E4360F"/>
    <w:rsid w:val="00E43724"/>
    <w:rsid w:val="00E4417B"/>
    <w:rsid w:val="00E443D7"/>
    <w:rsid w:val="00E4444A"/>
    <w:rsid w:val="00E444B9"/>
    <w:rsid w:val="00E444DB"/>
    <w:rsid w:val="00E445F2"/>
    <w:rsid w:val="00E44C71"/>
    <w:rsid w:val="00E44D28"/>
    <w:rsid w:val="00E44FA4"/>
    <w:rsid w:val="00E4515E"/>
    <w:rsid w:val="00E45A9A"/>
    <w:rsid w:val="00E461F0"/>
    <w:rsid w:val="00E46483"/>
    <w:rsid w:val="00E46540"/>
    <w:rsid w:val="00E46726"/>
    <w:rsid w:val="00E46A14"/>
    <w:rsid w:val="00E46BBE"/>
    <w:rsid w:val="00E46E5E"/>
    <w:rsid w:val="00E47176"/>
    <w:rsid w:val="00E47523"/>
    <w:rsid w:val="00E4766B"/>
    <w:rsid w:val="00E47A37"/>
    <w:rsid w:val="00E47E8A"/>
    <w:rsid w:val="00E50253"/>
    <w:rsid w:val="00E502A8"/>
    <w:rsid w:val="00E5057A"/>
    <w:rsid w:val="00E5067C"/>
    <w:rsid w:val="00E508FB"/>
    <w:rsid w:val="00E5093A"/>
    <w:rsid w:val="00E5156D"/>
    <w:rsid w:val="00E515FB"/>
    <w:rsid w:val="00E521C3"/>
    <w:rsid w:val="00E528DE"/>
    <w:rsid w:val="00E52A9B"/>
    <w:rsid w:val="00E52DE5"/>
    <w:rsid w:val="00E52E80"/>
    <w:rsid w:val="00E52EFB"/>
    <w:rsid w:val="00E53335"/>
    <w:rsid w:val="00E53942"/>
    <w:rsid w:val="00E5395A"/>
    <w:rsid w:val="00E543BF"/>
    <w:rsid w:val="00E547C4"/>
    <w:rsid w:val="00E54978"/>
    <w:rsid w:val="00E54BA2"/>
    <w:rsid w:val="00E54BB5"/>
    <w:rsid w:val="00E54E0D"/>
    <w:rsid w:val="00E550D5"/>
    <w:rsid w:val="00E5511A"/>
    <w:rsid w:val="00E55AC7"/>
    <w:rsid w:val="00E5617B"/>
    <w:rsid w:val="00E5638A"/>
    <w:rsid w:val="00E57268"/>
    <w:rsid w:val="00E57656"/>
    <w:rsid w:val="00E576FD"/>
    <w:rsid w:val="00E57C7C"/>
    <w:rsid w:val="00E57CCA"/>
    <w:rsid w:val="00E57D47"/>
    <w:rsid w:val="00E60B54"/>
    <w:rsid w:val="00E60C30"/>
    <w:rsid w:val="00E60C99"/>
    <w:rsid w:val="00E60E2B"/>
    <w:rsid w:val="00E61422"/>
    <w:rsid w:val="00E616F9"/>
    <w:rsid w:val="00E61D28"/>
    <w:rsid w:val="00E61FE9"/>
    <w:rsid w:val="00E6225D"/>
    <w:rsid w:val="00E6247E"/>
    <w:rsid w:val="00E625D3"/>
    <w:rsid w:val="00E62C9B"/>
    <w:rsid w:val="00E62CCE"/>
    <w:rsid w:val="00E62E6B"/>
    <w:rsid w:val="00E62E72"/>
    <w:rsid w:val="00E62F1E"/>
    <w:rsid w:val="00E631BB"/>
    <w:rsid w:val="00E632A4"/>
    <w:rsid w:val="00E6362B"/>
    <w:rsid w:val="00E63C82"/>
    <w:rsid w:val="00E63ED7"/>
    <w:rsid w:val="00E64FE7"/>
    <w:rsid w:val="00E65211"/>
    <w:rsid w:val="00E6588E"/>
    <w:rsid w:val="00E65BE6"/>
    <w:rsid w:val="00E65FD6"/>
    <w:rsid w:val="00E66231"/>
    <w:rsid w:val="00E6643E"/>
    <w:rsid w:val="00E666F3"/>
    <w:rsid w:val="00E668EC"/>
    <w:rsid w:val="00E66AF9"/>
    <w:rsid w:val="00E66BCC"/>
    <w:rsid w:val="00E66CFD"/>
    <w:rsid w:val="00E675D6"/>
    <w:rsid w:val="00E67720"/>
    <w:rsid w:val="00E67890"/>
    <w:rsid w:val="00E67931"/>
    <w:rsid w:val="00E67EA3"/>
    <w:rsid w:val="00E67EE6"/>
    <w:rsid w:val="00E7051A"/>
    <w:rsid w:val="00E70524"/>
    <w:rsid w:val="00E705A2"/>
    <w:rsid w:val="00E707A5"/>
    <w:rsid w:val="00E708B4"/>
    <w:rsid w:val="00E70B50"/>
    <w:rsid w:val="00E70B8D"/>
    <w:rsid w:val="00E70D71"/>
    <w:rsid w:val="00E70E5F"/>
    <w:rsid w:val="00E70F70"/>
    <w:rsid w:val="00E7103A"/>
    <w:rsid w:val="00E71783"/>
    <w:rsid w:val="00E722ED"/>
    <w:rsid w:val="00E723E5"/>
    <w:rsid w:val="00E72BA0"/>
    <w:rsid w:val="00E72DFC"/>
    <w:rsid w:val="00E72E24"/>
    <w:rsid w:val="00E735F9"/>
    <w:rsid w:val="00E73B1F"/>
    <w:rsid w:val="00E73D4C"/>
    <w:rsid w:val="00E73DFE"/>
    <w:rsid w:val="00E74237"/>
    <w:rsid w:val="00E7449C"/>
    <w:rsid w:val="00E753C8"/>
    <w:rsid w:val="00E7575E"/>
    <w:rsid w:val="00E75786"/>
    <w:rsid w:val="00E75E06"/>
    <w:rsid w:val="00E75EC5"/>
    <w:rsid w:val="00E75F17"/>
    <w:rsid w:val="00E75FA5"/>
    <w:rsid w:val="00E76169"/>
    <w:rsid w:val="00E7664C"/>
    <w:rsid w:val="00E766C8"/>
    <w:rsid w:val="00E76AEE"/>
    <w:rsid w:val="00E76C05"/>
    <w:rsid w:val="00E773B6"/>
    <w:rsid w:val="00E7787B"/>
    <w:rsid w:val="00E77B68"/>
    <w:rsid w:val="00E77E07"/>
    <w:rsid w:val="00E8070E"/>
    <w:rsid w:val="00E80891"/>
    <w:rsid w:val="00E80DFD"/>
    <w:rsid w:val="00E8100D"/>
    <w:rsid w:val="00E81AA9"/>
    <w:rsid w:val="00E81C4D"/>
    <w:rsid w:val="00E81E3C"/>
    <w:rsid w:val="00E81E85"/>
    <w:rsid w:val="00E82136"/>
    <w:rsid w:val="00E8220D"/>
    <w:rsid w:val="00E8225B"/>
    <w:rsid w:val="00E8250A"/>
    <w:rsid w:val="00E82934"/>
    <w:rsid w:val="00E82B94"/>
    <w:rsid w:val="00E82BC6"/>
    <w:rsid w:val="00E833E6"/>
    <w:rsid w:val="00E839A6"/>
    <w:rsid w:val="00E839C7"/>
    <w:rsid w:val="00E83C3A"/>
    <w:rsid w:val="00E84478"/>
    <w:rsid w:val="00E845EE"/>
    <w:rsid w:val="00E84722"/>
    <w:rsid w:val="00E8497A"/>
    <w:rsid w:val="00E8498C"/>
    <w:rsid w:val="00E84A67"/>
    <w:rsid w:val="00E85073"/>
    <w:rsid w:val="00E85CC6"/>
    <w:rsid w:val="00E862F9"/>
    <w:rsid w:val="00E86398"/>
    <w:rsid w:val="00E86BEF"/>
    <w:rsid w:val="00E86C10"/>
    <w:rsid w:val="00E876E0"/>
    <w:rsid w:val="00E90268"/>
    <w:rsid w:val="00E90307"/>
    <w:rsid w:val="00E90602"/>
    <w:rsid w:val="00E90DCC"/>
    <w:rsid w:val="00E9164D"/>
    <w:rsid w:val="00E917F4"/>
    <w:rsid w:val="00E91A7D"/>
    <w:rsid w:val="00E91B08"/>
    <w:rsid w:val="00E91B1A"/>
    <w:rsid w:val="00E91C55"/>
    <w:rsid w:val="00E9238D"/>
    <w:rsid w:val="00E92BDC"/>
    <w:rsid w:val="00E92F9C"/>
    <w:rsid w:val="00E9306C"/>
    <w:rsid w:val="00E931E1"/>
    <w:rsid w:val="00E9343E"/>
    <w:rsid w:val="00E937A4"/>
    <w:rsid w:val="00E938EC"/>
    <w:rsid w:val="00E93E51"/>
    <w:rsid w:val="00E94009"/>
    <w:rsid w:val="00E941C0"/>
    <w:rsid w:val="00E94350"/>
    <w:rsid w:val="00E948A3"/>
    <w:rsid w:val="00E9492B"/>
    <w:rsid w:val="00E94A41"/>
    <w:rsid w:val="00E94B39"/>
    <w:rsid w:val="00E94FAE"/>
    <w:rsid w:val="00E95252"/>
    <w:rsid w:val="00E95602"/>
    <w:rsid w:val="00E957F4"/>
    <w:rsid w:val="00E958BE"/>
    <w:rsid w:val="00E958BF"/>
    <w:rsid w:val="00E95D06"/>
    <w:rsid w:val="00E95EDD"/>
    <w:rsid w:val="00E960FD"/>
    <w:rsid w:val="00E96C17"/>
    <w:rsid w:val="00E96C64"/>
    <w:rsid w:val="00E9705E"/>
    <w:rsid w:val="00E9744C"/>
    <w:rsid w:val="00E977F9"/>
    <w:rsid w:val="00E97AAD"/>
    <w:rsid w:val="00E97B70"/>
    <w:rsid w:val="00E97F38"/>
    <w:rsid w:val="00EA0170"/>
    <w:rsid w:val="00EA01F5"/>
    <w:rsid w:val="00EA078D"/>
    <w:rsid w:val="00EA0B13"/>
    <w:rsid w:val="00EA0C63"/>
    <w:rsid w:val="00EA0D8F"/>
    <w:rsid w:val="00EA11EC"/>
    <w:rsid w:val="00EA1343"/>
    <w:rsid w:val="00EA1717"/>
    <w:rsid w:val="00EA194F"/>
    <w:rsid w:val="00EA1B7E"/>
    <w:rsid w:val="00EA21C4"/>
    <w:rsid w:val="00EA2259"/>
    <w:rsid w:val="00EA282A"/>
    <w:rsid w:val="00EA3546"/>
    <w:rsid w:val="00EA35B3"/>
    <w:rsid w:val="00EA38FF"/>
    <w:rsid w:val="00EA4174"/>
    <w:rsid w:val="00EA47FA"/>
    <w:rsid w:val="00EA48AA"/>
    <w:rsid w:val="00EA4C58"/>
    <w:rsid w:val="00EA4E51"/>
    <w:rsid w:val="00EA5115"/>
    <w:rsid w:val="00EA5153"/>
    <w:rsid w:val="00EA52DD"/>
    <w:rsid w:val="00EA5366"/>
    <w:rsid w:val="00EA53E8"/>
    <w:rsid w:val="00EA565F"/>
    <w:rsid w:val="00EA568F"/>
    <w:rsid w:val="00EA5859"/>
    <w:rsid w:val="00EA5EE1"/>
    <w:rsid w:val="00EA62ED"/>
    <w:rsid w:val="00EA63B2"/>
    <w:rsid w:val="00EA683D"/>
    <w:rsid w:val="00EA79D7"/>
    <w:rsid w:val="00EB011F"/>
    <w:rsid w:val="00EB0146"/>
    <w:rsid w:val="00EB0478"/>
    <w:rsid w:val="00EB05D1"/>
    <w:rsid w:val="00EB089B"/>
    <w:rsid w:val="00EB0983"/>
    <w:rsid w:val="00EB0AFB"/>
    <w:rsid w:val="00EB0D85"/>
    <w:rsid w:val="00EB11E5"/>
    <w:rsid w:val="00EB128E"/>
    <w:rsid w:val="00EB13DD"/>
    <w:rsid w:val="00EB1861"/>
    <w:rsid w:val="00EB193B"/>
    <w:rsid w:val="00EB1FD7"/>
    <w:rsid w:val="00EB21E2"/>
    <w:rsid w:val="00EB2403"/>
    <w:rsid w:val="00EB2435"/>
    <w:rsid w:val="00EB24DE"/>
    <w:rsid w:val="00EB24F8"/>
    <w:rsid w:val="00EB2818"/>
    <w:rsid w:val="00EB283D"/>
    <w:rsid w:val="00EB2BFC"/>
    <w:rsid w:val="00EB2C5D"/>
    <w:rsid w:val="00EB348F"/>
    <w:rsid w:val="00EB3779"/>
    <w:rsid w:val="00EB4F04"/>
    <w:rsid w:val="00EB511B"/>
    <w:rsid w:val="00EB5265"/>
    <w:rsid w:val="00EB54D3"/>
    <w:rsid w:val="00EB5501"/>
    <w:rsid w:val="00EB55C4"/>
    <w:rsid w:val="00EB5641"/>
    <w:rsid w:val="00EB5645"/>
    <w:rsid w:val="00EB5AB5"/>
    <w:rsid w:val="00EB5E15"/>
    <w:rsid w:val="00EB5EA6"/>
    <w:rsid w:val="00EB6044"/>
    <w:rsid w:val="00EB6307"/>
    <w:rsid w:val="00EB6461"/>
    <w:rsid w:val="00EB64E2"/>
    <w:rsid w:val="00EB6829"/>
    <w:rsid w:val="00EB6BDD"/>
    <w:rsid w:val="00EB6E2A"/>
    <w:rsid w:val="00EB6FE9"/>
    <w:rsid w:val="00EB770D"/>
    <w:rsid w:val="00EB78A5"/>
    <w:rsid w:val="00EB79A1"/>
    <w:rsid w:val="00EB7CC7"/>
    <w:rsid w:val="00EC0453"/>
    <w:rsid w:val="00EC075E"/>
    <w:rsid w:val="00EC1104"/>
    <w:rsid w:val="00EC1284"/>
    <w:rsid w:val="00EC1BA2"/>
    <w:rsid w:val="00EC22F6"/>
    <w:rsid w:val="00EC2679"/>
    <w:rsid w:val="00EC2805"/>
    <w:rsid w:val="00EC2DA3"/>
    <w:rsid w:val="00EC38BF"/>
    <w:rsid w:val="00EC3DB7"/>
    <w:rsid w:val="00EC4330"/>
    <w:rsid w:val="00EC45A3"/>
    <w:rsid w:val="00EC467B"/>
    <w:rsid w:val="00EC4713"/>
    <w:rsid w:val="00EC4C8C"/>
    <w:rsid w:val="00EC4D65"/>
    <w:rsid w:val="00EC4EA0"/>
    <w:rsid w:val="00EC5148"/>
    <w:rsid w:val="00EC591A"/>
    <w:rsid w:val="00EC59DE"/>
    <w:rsid w:val="00EC5A1B"/>
    <w:rsid w:val="00EC5E7B"/>
    <w:rsid w:val="00EC64A6"/>
    <w:rsid w:val="00EC6625"/>
    <w:rsid w:val="00EC6D35"/>
    <w:rsid w:val="00EC73BB"/>
    <w:rsid w:val="00EC79C0"/>
    <w:rsid w:val="00EC7F99"/>
    <w:rsid w:val="00ED072B"/>
    <w:rsid w:val="00ED0AD7"/>
    <w:rsid w:val="00ED108F"/>
    <w:rsid w:val="00ED198B"/>
    <w:rsid w:val="00ED1C6D"/>
    <w:rsid w:val="00ED1FEE"/>
    <w:rsid w:val="00ED2156"/>
    <w:rsid w:val="00ED251A"/>
    <w:rsid w:val="00ED2842"/>
    <w:rsid w:val="00ED2981"/>
    <w:rsid w:val="00ED2A10"/>
    <w:rsid w:val="00ED2A49"/>
    <w:rsid w:val="00ED3213"/>
    <w:rsid w:val="00ED32E5"/>
    <w:rsid w:val="00ED35EE"/>
    <w:rsid w:val="00ED3B1E"/>
    <w:rsid w:val="00ED4457"/>
    <w:rsid w:val="00ED44E3"/>
    <w:rsid w:val="00ED4B97"/>
    <w:rsid w:val="00ED5150"/>
    <w:rsid w:val="00ED55F1"/>
    <w:rsid w:val="00ED5E90"/>
    <w:rsid w:val="00ED6114"/>
    <w:rsid w:val="00ED622F"/>
    <w:rsid w:val="00ED6A68"/>
    <w:rsid w:val="00ED74A4"/>
    <w:rsid w:val="00ED760B"/>
    <w:rsid w:val="00ED7966"/>
    <w:rsid w:val="00ED7C85"/>
    <w:rsid w:val="00EE0506"/>
    <w:rsid w:val="00EE05F5"/>
    <w:rsid w:val="00EE0605"/>
    <w:rsid w:val="00EE0772"/>
    <w:rsid w:val="00EE0AF0"/>
    <w:rsid w:val="00EE0EB9"/>
    <w:rsid w:val="00EE0EDC"/>
    <w:rsid w:val="00EE11D4"/>
    <w:rsid w:val="00EE1673"/>
    <w:rsid w:val="00EE1706"/>
    <w:rsid w:val="00EE17BF"/>
    <w:rsid w:val="00EE1841"/>
    <w:rsid w:val="00EE1B30"/>
    <w:rsid w:val="00EE1E29"/>
    <w:rsid w:val="00EE1E4A"/>
    <w:rsid w:val="00EE24CF"/>
    <w:rsid w:val="00EE268A"/>
    <w:rsid w:val="00EE2A4B"/>
    <w:rsid w:val="00EE2A4E"/>
    <w:rsid w:val="00EE2C91"/>
    <w:rsid w:val="00EE2E5F"/>
    <w:rsid w:val="00EE2EF7"/>
    <w:rsid w:val="00EE2FFF"/>
    <w:rsid w:val="00EE3209"/>
    <w:rsid w:val="00EE3349"/>
    <w:rsid w:val="00EE3948"/>
    <w:rsid w:val="00EE39B7"/>
    <w:rsid w:val="00EE39DC"/>
    <w:rsid w:val="00EE3DD0"/>
    <w:rsid w:val="00EE3EE0"/>
    <w:rsid w:val="00EE4A72"/>
    <w:rsid w:val="00EE532C"/>
    <w:rsid w:val="00EE57FE"/>
    <w:rsid w:val="00EE5A9E"/>
    <w:rsid w:val="00EE5F8E"/>
    <w:rsid w:val="00EE69A7"/>
    <w:rsid w:val="00EE715C"/>
    <w:rsid w:val="00EE7B5E"/>
    <w:rsid w:val="00EE7C96"/>
    <w:rsid w:val="00EF0152"/>
    <w:rsid w:val="00EF0492"/>
    <w:rsid w:val="00EF058B"/>
    <w:rsid w:val="00EF058D"/>
    <w:rsid w:val="00EF0BA6"/>
    <w:rsid w:val="00EF0C38"/>
    <w:rsid w:val="00EF1156"/>
    <w:rsid w:val="00EF1279"/>
    <w:rsid w:val="00EF179F"/>
    <w:rsid w:val="00EF2379"/>
    <w:rsid w:val="00EF249C"/>
    <w:rsid w:val="00EF2677"/>
    <w:rsid w:val="00EF2C71"/>
    <w:rsid w:val="00EF3166"/>
    <w:rsid w:val="00EF328E"/>
    <w:rsid w:val="00EF334F"/>
    <w:rsid w:val="00EF34D3"/>
    <w:rsid w:val="00EF385B"/>
    <w:rsid w:val="00EF3D18"/>
    <w:rsid w:val="00EF3F3C"/>
    <w:rsid w:val="00EF42D5"/>
    <w:rsid w:val="00EF449D"/>
    <w:rsid w:val="00EF4D73"/>
    <w:rsid w:val="00EF4DF9"/>
    <w:rsid w:val="00EF4EF1"/>
    <w:rsid w:val="00EF504A"/>
    <w:rsid w:val="00EF66D7"/>
    <w:rsid w:val="00EF6F14"/>
    <w:rsid w:val="00EF6F32"/>
    <w:rsid w:val="00EF708D"/>
    <w:rsid w:val="00EF7668"/>
    <w:rsid w:val="00EF76CA"/>
    <w:rsid w:val="00EF79B7"/>
    <w:rsid w:val="00EF7DC6"/>
    <w:rsid w:val="00F001F2"/>
    <w:rsid w:val="00F0050C"/>
    <w:rsid w:val="00F00789"/>
    <w:rsid w:val="00F00BA9"/>
    <w:rsid w:val="00F01085"/>
    <w:rsid w:val="00F018F3"/>
    <w:rsid w:val="00F01A33"/>
    <w:rsid w:val="00F0266C"/>
    <w:rsid w:val="00F02702"/>
    <w:rsid w:val="00F028E8"/>
    <w:rsid w:val="00F02AA9"/>
    <w:rsid w:val="00F02F73"/>
    <w:rsid w:val="00F038AA"/>
    <w:rsid w:val="00F03BE6"/>
    <w:rsid w:val="00F03C0B"/>
    <w:rsid w:val="00F03F46"/>
    <w:rsid w:val="00F03F5D"/>
    <w:rsid w:val="00F041F1"/>
    <w:rsid w:val="00F043D0"/>
    <w:rsid w:val="00F04B3A"/>
    <w:rsid w:val="00F05009"/>
    <w:rsid w:val="00F05086"/>
    <w:rsid w:val="00F05431"/>
    <w:rsid w:val="00F05522"/>
    <w:rsid w:val="00F05C2E"/>
    <w:rsid w:val="00F05C44"/>
    <w:rsid w:val="00F060F0"/>
    <w:rsid w:val="00F0618C"/>
    <w:rsid w:val="00F0659D"/>
    <w:rsid w:val="00F066A7"/>
    <w:rsid w:val="00F068B7"/>
    <w:rsid w:val="00F06A43"/>
    <w:rsid w:val="00F06D15"/>
    <w:rsid w:val="00F07308"/>
    <w:rsid w:val="00F0787F"/>
    <w:rsid w:val="00F07895"/>
    <w:rsid w:val="00F07A10"/>
    <w:rsid w:val="00F07AB2"/>
    <w:rsid w:val="00F10BF3"/>
    <w:rsid w:val="00F1136D"/>
    <w:rsid w:val="00F1174D"/>
    <w:rsid w:val="00F117D1"/>
    <w:rsid w:val="00F1189A"/>
    <w:rsid w:val="00F11CC7"/>
    <w:rsid w:val="00F11D8B"/>
    <w:rsid w:val="00F12314"/>
    <w:rsid w:val="00F12535"/>
    <w:rsid w:val="00F1253D"/>
    <w:rsid w:val="00F12633"/>
    <w:rsid w:val="00F12BD4"/>
    <w:rsid w:val="00F12F16"/>
    <w:rsid w:val="00F13129"/>
    <w:rsid w:val="00F132AB"/>
    <w:rsid w:val="00F13312"/>
    <w:rsid w:val="00F13925"/>
    <w:rsid w:val="00F13E77"/>
    <w:rsid w:val="00F14060"/>
    <w:rsid w:val="00F143F9"/>
    <w:rsid w:val="00F14447"/>
    <w:rsid w:val="00F14AC2"/>
    <w:rsid w:val="00F14D27"/>
    <w:rsid w:val="00F14E86"/>
    <w:rsid w:val="00F14F4D"/>
    <w:rsid w:val="00F15133"/>
    <w:rsid w:val="00F151DB"/>
    <w:rsid w:val="00F1534E"/>
    <w:rsid w:val="00F15E2A"/>
    <w:rsid w:val="00F1608C"/>
    <w:rsid w:val="00F16355"/>
    <w:rsid w:val="00F16AF2"/>
    <w:rsid w:val="00F17DAF"/>
    <w:rsid w:val="00F20138"/>
    <w:rsid w:val="00F20C70"/>
    <w:rsid w:val="00F20EE0"/>
    <w:rsid w:val="00F216C1"/>
    <w:rsid w:val="00F21B9C"/>
    <w:rsid w:val="00F21D99"/>
    <w:rsid w:val="00F21EC9"/>
    <w:rsid w:val="00F21F6A"/>
    <w:rsid w:val="00F221A7"/>
    <w:rsid w:val="00F2225A"/>
    <w:rsid w:val="00F2225B"/>
    <w:rsid w:val="00F22A6D"/>
    <w:rsid w:val="00F23110"/>
    <w:rsid w:val="00F231A4"/>
    <w:rsid w:val="00F23516"/>
    <w:rsid w:val="00F235AA"/>
    <w:rsid w:val="00F235D5"/>
    <w:rsid w:val="00F23649"/>
    <w:rsid w:val="00F236C2"/>
    <w:rsid w:val="00F23C1D"/>
    <w:rsid w:val="00F23E29"/>
    <w:rsid w:val="00F243FA"/>
    <w:rsid w:val="00F244F0"/>
    <w:rsid w:val="00F24579"/>
    <w:rsid w:val="00F248D0"/>
    <w:rsid w:val="00F24B58"/>
    <w:rsid w:val="00F25275"/>
    <w:rsid w:val="00F2550E"/>
    <w:rsid w:val="00F25BFA"/>
    <w:rsid w:val="00F26524"/>
    <w:rsid w:val="00F266E1"/>
    <w:rsid w:val="00F2695F"/>
    <w:rsid w:val="00F26E12"/>
    <w:rsid w:val="00F26ED4"/>
    <w:rsid w:val="00F27A1A"/>
    <w:rsid w:val="00F27E18"/>
    <w:rsid w:val="00F27F20"/>
    <w:rsid w:val="00F27F30"/>
    <w:rsid w:val="00F303D2"/>
    <w:rsid w:val="00F30597"/>
    <w:rsid w:val="00F307A4"/>
    <w:rsid w:val="00F30A42"/>
    <w:rsid w:val="00F30A4B"/>
    <w:rsid w:val="00F30E2B"/>
    <w:rsid w:val="00F30F7E"/>
    <w:rsid w:val="00F3123E"/>
    <w:rsid w:val="00F31B14"/>
    <w:rsid w:val="00F31B65"/>
    <w:rsid w:val="00F31D3D"/>
    <w:rsid w:val="00F31D46"/>
    <w:rsid w:val="00F3201E"/>
    <w:rsid w:val="00F32947"/>
    <w:rsid w:val="00F32B3F"/>
    <w:rsid w:val="00F33509"/>
    <w:rsid w:val="00F33859"/>
    <w:rsid w:val="00F3393C"/>
    <w:rsid w:val="00F339FE"/>
    <w:rsid w:val="00F33B28"/>
    <w:rsid w:val="00F34233"/>
    <w:rsid w:val="00F343FF"/>
    <w:rsid w:val="00F34917"/>
    <w:rsid w:val="00F34C18"/>
    <w:rsid w:val="00F34D46"/>
    <w:rsid w:val="00F35148"/>
    <w:rsid w:val="00F35284"/>
    <w:rsid w:val="00F35729"/>
    <w:rsid w:val="00F3597D"/>
    <w:rsid w:val="00F35EF4"/>
    <w:rsid w:val="00F362A9"/>
    <w:rsid w:val="00F363D1"/>
    <w:rsid w:val="00F36704"/>
    <w:rsid w:val="00F36711"/>
    <w:rsid w:val="00F36799"/>
    <w:rsid w:val="00F36945"/>
    <w:rsid w:val="00F36C98"/>
    <w:rsid w:val="00F37193"/>
    <w:rsid w:val="00F377BC"/>
    <w:rsid w:val="00F37ABA"/>
    <w:rsid w:val="00F37DB8"/>
    <w:rsid w:val="00F4065F"/>
    <w:rsid w:val="00F40813"/>
    <w:rsid w:val="00F40A94"/>
    <w:rsid w:val="00F40B21"/>
    <w:rsid w:val="00F40F88"/>
    <w:rsid w:val="00F411FD"/>
    <w:rsid w:val="00F41321"/>
    <w:rsid w:val="00F41377"/>
    <w:rsid w:val="00F416B5"/>
    <w:rsid w:val="00F42232"/>
    <w:rsid w:val="00F42CDB"/>
    <w:rsid w:val="00F42CF3"/>
    <w:rsid w:val="00F43AF7"/>
    <w:rsid w:val="00F43EDE"/>
    <w:rsid w:val="00F43F09"/>
    <w:rsid w:val="00F446B1"/>
    <w:rsid w:val="00F448E3"/>
    <w:rsid w:val="00F44A4C"/>
    <w:rsid w:val="00F44D88"/>
    <w:rsid w:val="00F45413"/>
    <w:rsid w:val="00F45444"/>
    <w:rsid w:val="00F45BD3"/>
    <w:rsid w:val="00F46889"/>
    <w:rsid w:val="00F477A7"/>
    <w:rsid w:val="00F47888"/>
    <w:rsid w:val="00F47BC6"/>
    <w:rsid w:val="00F47E6F"/>
    <w:rsid w:val="00F5096B"/>
    <w:rsid w:val="00F50C33"/>
    <w:rsid w:val="00F514B2"/>
    <w:rsid w:val="00F5162C"/>
    <w:rsid w:val="00F51845"/>
    <w:rsid w:val="00F51996"/>
    <w:rsid w:val="00F51AC8"/>
    <w:rsid w:val="00F51C6C"/>
    <w:rsid w:val="00F51C7C"/>
    <w:rsid w:val="00F5208D"/>
    <w:rsid w:val="00F5247A"/>
    <w:rsid w:val="00F52B82"/>
    <w:rsid w:val="00F52ED5"/>
    <w:rsid w:val="00F532CF"/>
    <w:rsid w:val="00F53661"/>
    <w:rsid w:val="00F53716"/>
    <w:rsid w:val="00F5394C"/>
    <w:rsid w:val="00F53CB2"/>
    <w:rsid w:val="00F54404"/>
    <w:rsid w:val="00F544FA"/>
    <w:rsid w:val="00F54757"/>
    <w:rsid w:val="00F54BF3"/>
    <w:rsid w:val="00F54C06"/>
    <w:rsid w:val="00F54D44"/>
    <w:rsid w:val="00F54DCE"/>
    <w:rsid w:val="00F550EC"/>
    <w:rsid w:val="00F5585C"/>
    <w:rsid w:val="00F558FE"/>
    <w:rsid w:val="00F55ADB"/>
    <w:rsid w:val="00F55B9E"/>
    <w:rsid w:val="00F55D19"/>
    <w:rsid w:val="00F55D44"/>
    <w:rsid w:val="00F55D85"/>
    <w:rsid w:val="00F562CC"/>
    <w:rsid w:val="00F5693B"/>
    <w:rsid w:val="00F56C63"/>
    <w:rsid w:val="00F5774D"/>
    <w:rsid w:val="00F5777A"/>
    <w:rsid w:val="00F57D49"/>
    <w:rsid w:val="00F60257"/>
    <w:rsid w:val="00F6026C"/>
    <w:rsid w:val="00F60783"/>
    <w:rsid w:val="00F607E9"/>
    <w:rsid w:val="00F60823"/>
    <w:rsid w:val="00F60988"/>
    <w:rsid w:val="00F60DAD"/>
    <w:rsid w:val="00F6100E"/>
    <w:rsid w:val="00F61165"/>
    <w:rsid w:val="00F614C6"/>
    <w:rsid w:val="00F6192B"/>
    <w:rsid w:val="00F619F9"/>
    <w:rsid w:val="00F61CE6"/>
    <w:rsid w:val="00F61E7D"/>
    <w:rsid w:val="00F6264B"/>
    <w:rsid w:val="00F62C87"/>
    <w:rsid w:val="00F633F5"/>
    <w:rsid w:val="00F636F2"/>
    <w:rsid w:val="00F63898"/>
    <w:rsid w:val="00F63A55"/>
    <w:rsid w:val="00F63BCC"/>
    <w:rsid w:val="00F63D15"/>
    <w:rsid w:val="00F64048"/>
    <w:rsid w:val="00F64414"/>
    <w:rsid w:val="00F6461B"/>
    <w:rsid w:val="00F646C1"/>
    <w:rsid w:val="00F648C2"/>
    <w:rsid w:val="00F6490D"/>
    <w:rsid w:val="00F6497F"/>
    <w:rsid w:val="00F649BC"/>
    <w:rsid w:val="00F64B04"/>
    <w:rsid w:val="00F64DCB"/>
    <w:rsid w:val="00F656E0"/>
    <w:rsid w:val="00F660CE"/>
    <w:rsid w:val="00F6680B"/>
    <w:rsid w:val="00F66C21"/>
    <w:rsid w:val="00F66F20"/>
    <w:rsid w:val="00F66F42"/>
    <w:rsid w:val="00F6722B"/>
    <w:rsid w:val="00F677FB"/>
    <w:rsid w:val="00F67C67"/>
    <w:rsid w:val="00F67E07"/>
    <w:rsid w:val="00F67E37"/>
    <w:rsid w:val="00F70177"/>
    <w:rsid w:val="00F706BF"/>
    <w:rsid w:val="00F70821"/>
    <w:rsid w:val="00F70997"/>
    <w:rsid w:val="00F70C0E"/>
    <w:rsid w:val="00F7199F"/>
    <w:rsid w:val="00F71A09"/>
    <w:rsid w:val="00F71D6F"/>
    <w:rsid w:val="00F72BC7"/>
    <w:rsid w:val="00F73377"/>
    <w:rsid w:val="00F73646"/>
    <w:rsid w:val="00F736ED"/>
    <w:rsid w:val="00F73DE2"/>
    <w:rsid w:val="00F742B9"/>
    <w:rsid w:val="00F742F3"/>
    <w:rsid w:val="00F7453A"/>
    <w:rsid w:val="00F74544"/>
    <w:rsid w:val="00F74B61"/>
    <w:rsid w:val="00F74C6F"/>
    <w:rsid w:val="00F75060"/>
    <w:rsid w:val="00F75382"/>
    <w:rsid w:val="00F7543C"/>
    <w:rsid w:val="00F7566F"/>
    <w:rsid w:val="00F75D54"/>
    <w:rsid w:val="00F766F1"/>
    <w:rsid w:val="00F7681F"/>
    <w:rsid w:val="00F768F5"/>
    <w:rsid w:val="00F7698E"/>
    <w:rsid w:val="00F76CF9"/>
    <w:rsid w:val="00F76E8B"/>
    <w:rsid w:val="00F7723A"/>
    <w:rsid w:val="00F7735A"/>
    <w:rsid w:val="00F8030E"/>
    <w:rsid w:val="00F803C6"/>
    <w:rsid w:val="00F80772"/>
    <w:rsid w:val="00F80CA6"/>
    <w:rsid w:val="00F8100D"/>
    <w:rsid w:val="00F81038"/>
    <w:rsid w:val="00F8160D"/>
    <w:rsid w:val="00F8239D"/>
    <w:rsid w:val="00F826FE"/>
    <w:rsid w:val="00F83B96"/>
    <w:rsid w:val="00F83D26"/>
    <w:rsid w:val="00F84130"/>
    <w:rsid w:val="00F8436B"/>
    <w:rsid w:val="00F8440D"/>
    <w:rsid w:val="00F84706"/>
    <w:rsid w:val="00F84F08"/>
    <w:rsid w:val="00F85A1A"/>
    <w:rsid w:val="00F85BD9"/>
    <w:rsid w:val="00F85E64"/>
    <w:rsid w:val="00F860B1"/>
    <w:rsid w:val="00F86915"/>
    <w:rsid w:val="00F86AE5"/>
    <w:rsid w:val="00F86C18"/>
    <w:rsid w:val="00F870AE"/>
    <w:rsid w:val="00F874D9"/>
    <w:rsid w:val="00F874DF"/>
    <w:rsid w:val="00F87BFE"/>
    <w:rsid w:val="00F87D49"/>
    <w:rsid w:val="00F87F0C"/>
    <w:rsid w:val="00F90599"/>
    <w:rsid w:val="00F90630"/>
    <w:rsid w:val="00F90D6C"/>
    <w:rsid w:val="00F914D7"/>
    <w:rsid w:val="00F91B99"/>
    <w:rsid w:val="00F91DB7"/>
    <w:rsid w:val="00F91E68"/>
    <w:rsid w:val="00F925A7"/>
    <w:rsid w:val="00F93C12"/>
    <w:rsid w:val="00F93EE7"/>
    <w:rsid w:val="00F94192"/>
    <w:rsid w:val="00F944D1"/>
    <w:rsid w:val="00F94FE7"/>
    <w:rsid w:val="00F95102"/>
    <w:rsid w:val="00F959EC"/>
    <w:rsid w:val="00F95F02"/>
    <w:rsid w:val="00F96056"/>
    <w:rsid w:val="00F96621"/>
    <w:rsid w:val="00F96794"/>
    <w:rsid w:val="00F972B0"/>
    <w:rsid w:val="00F978CC"/>
    <w:rsid w:val="00F97901"/>
    <w:rsid w:val="00F97FF3"/>
    <w:rsid w:val="00FA02D3"/>
    <w:rsid w:val="00FA0F8F"/>
    <w:rsid w:val="00FA10CB"/>
    <w:rsid w:val="00FA1487"/>
    <w:rsid w:val="00FA1528"/>
    <w:rsid w:val="00FA1B05"/>
    <w:rsid w:val="00FA1C11"/>
    <w:rsid w:val="00FA2405"/>
    <w:rsid w:val="00FA2453"/>
    <w:rsid w:val="00FA2868"/>
    <w:rsid w:val="00FA29EC"/>
    <w:rsid w:val="00FA2D49"/>
    <w:rsid w:val="00FA342D"/>
    <w:rsid w:val="00FA37C4"/>
    <w:rsid w:val="00FA3936"/>
    <w:rsid w:val="00FA3A21"/>
    <w:rsid w:val="00FA3B27"/>
    <w:rsid w:val="00FA3BC6"/>
    <w:rsid w:val="00FA3C99"/>
    <w:rsid w:val="00FA3F1F"/>
    <w:rsid w:val="00FA3F3C"/>
    <w:rsid w:val="00FA46A0"/>
    <w:rsid w:val="00FA46AA"/>
    <w:rsid w:val="00FA51C4"/>
    <w:rsid w:val="00FA5538"/>
    <w:rsid w:val="00FA5A16"/>
    <w:rsid w:val="00FA5C44"/>
    <w:rsid w:val="00FA5CF9"/>
    <w:rsid w:val="00FA5F6A"/>
    <w:rsid w:val="00FA5F71"/>
    <w:rsid w:val="00FA6165"/>
    <w:rsid w:val="00FA65FB"/>
    <w:rsid w:val="00FA7226"/>
    <w:rsid w:val="00FA723B"/>
    <w:rsid w:val="00FA79B6"/>
    <w:rsid w:val="00FB00A9"/>
    <w:rsid w:val="00FB00C6"/>
    <w:rsid w:val="00FB02D5"/>
    <w:rsid w:val="00FB0655"/>
    <w:rsid w:val="00FB0A8D"/>
    <w:rsid w:val="00FB11BC"/>
    <w:rsid w:val="00FB1977"/>
    <w:rsid w:val="00FB1BBE"/>
    <w:rsid w:val="00FB1F87"/>
    <w:rsid w:val="00FB25BB"/>
    <w:rsid w:val="00FB25FD"/>
    <w:rsid w:val="00FB2602"/>
    <w:rsid w:val="00FB2874"/>
    <w:rsid w:val="00FB2A04"/>
    <w:rsid w:val="00FB2E8D"/>
    <w:rsid w:val="00FB38E7"/>
    <w:rsid w:val="00FB3A0B"/>
    <w:rsid w:val="00FB3BAC"/>
    <w:rsid w:val="00FB3D00"/>
    <w:rsid w:val="00FB40C6"/>
    <w:rsid w:val="00FB4261"/>
    <w:rsid w:val="00FB4294"/>
    <w:rsid w:val="00FB43AC"/>
    <w:rsid w:val="00FB46CB"/>
    <w:rsid w:val="00FB553B"/>
    <w:rsid w:val="00FB5825"/>
    <w:rsid w:val="00FB5971"/>
    <w:rsid w:val="00FB5A94"/>
    <w:rsid w:val="00FB5CC4"/>
    <w:rsid w:val="00FB5DD2"/>
    <w:rsid w:val="00FB5DEE"/>
    <w:rsid w:val="00FB5F64"/>
    <w:rsid w:val="00FB60C7"/>
    <w:rsid w:val="00FB64C5"/>
    <w:rsid w:val="00FB65E7"/>
    <w:rsid w:val="00FB6C50"/>
    <w:rsid w:val="00FB71EA"/>
    <w:rsid w:val="00FB78E1"/>
    <w:rsid w:val="00FB7ACA"/>
    <w:rsid w:val="00FB7C07"/>
    <w:rsid w:val="00FB7D61"/>
    <w:rsid w:val="00FB7F92"/>
    <w:rsid w:val="00FB7FD0"/>
    <w:rsid w:val="00FC00A7"/>
    <w:rsid w:val="00FC02FD"/>
    <w:rsid w:val="00FC0E71"/>
    <w:rsid w:val="00FC0E7B"/>
    <w:rsid w:val="00FC0ECA"/>
    <w:rsid w:val="00FC103A"/>
    <w:rsid w:val="00FC112B"/>
    <w:rsid w:val="00FC1269"/>
    <w:rsid w:val="00FC1BCB"/>
    <w:rsid w:val="00FC214A"/>
    <w:rsid w:val="00FC24E7"/>
    <w:rsid w:val="00FC263E"/>
    <w:rsid w:val="00FC29F9"/>
    <w:rsid w:val="00FC2C98"/>
    <w:rsid w:val="00FC2E73"/>
    <w:rsid w:val="00FC2FEE"/>
    <w:rsid w:val="00FC303B"/>
    <w:rsid w:val="00FC309A"/>
    <w:rsid w:val="00FC32C7"/>
    <w:rsid w:val="00FC34D0"/>
    <w:rsid w:val="00FC36A7"/>
    <w:rsid w:val="00FC37A0"/>
    <w:rsid w:val="00FC38B9"/>
    <w:rsid w:val="00FC3D7F"/>
    <w:rsid w:val="00FC3E57"/>
    <w:rsid w:val="00FC3EBB"/>
    <w:rsid w:val="00FC407E"/>
    <w:rsid w:val="00FC4291"/>
    <w:rsid w:val="00FC4396"/>
    <w:rsid w:val="00FC4532"/>
    <w:rsid w:val="00FC4E49"/>
    <w:rsid w:val="00FC4EDC"/>
    <w:rsid w:val="00FC513E"/>
    <w:rsid w:val="00FC52D0"/>
    <w:rsid w:val="00FC588D"/>
    <w:rsid w:val="00FC616F"/>
    <w:rsid w:val="00FC67E7"/>
    <w:rsid w:val="00FC6917"/>
    <w:rsid w:val="00FC69C9"/>
    <w:rsid w:val="00FC74C2"/>
    <w:rsid w:val="00FC7A67"/>
    <w:rsid w:val="00FC7EAA"/>
    <w:rsid w:val="00FD03E4"/>
    <w:rsid w:val="00FD03FE"/>
    <w:rsid w:val="00FD0605"/>
    <w:rsid w:val="00FD06B1"/>
    <w:rsid w:val="00FD0768"/>
    <w:rsid w:val="00FD084F"/>
    <w:rsid w:val="00FD0D05"/>
    <w:rsid w:val="00FD105F"/>
    <w:rsid w:val="00FD15B5"/>
    <w:rsid w:val="00FD1B5A"/>
    <w:rsid w:val="00FD1D6D"/>
    <w:rsid w:val="00FD210B"/>
    <w:rsid w:val="00FD22CB"/>
    <w:rsid w:val="00FD2595"/>
    <w:rsid w:val="00FD2BFA"/>
    <w:rsid w:val="00FD2E5D"/>
    <w:rsid w:val="00FD31FC"/>
    <w:rsid w:val="00FD32B4"/>
    <w:rsid w:val="00FD3412"/>
    <w:rsid w:val="00FD3582"/>
    <w:rsid w:val="00FD366B"/>
    <w:rsid w:val="00FD3E45"/>
    <w:rsid w:val="00FD4431"/>
    <w:rsid w:val="00FD49DF"/>
    <w:rsid w:val="00FD55DF"/>
    <w:rsid w:val="00FD5767"/>
    <w:rsid w:val="00FD5B6E"/>
    <w:rsid w:val="00FD5E32"/>
    <w:rsid w:val="00FD5EEF"/>
    <w:rsid w:val="00FD63CC"/>
    <w:rsid w:val="00FD6687"/>
    <w:rsid w:val="00FD66AB"/>
    <w:rsid w:val="00FD67BA"/>
    <w:rsid w:val="00FD67C0"/>
    <w:rsid w:val="00FD6AF5"/>
    <w:rsid w:val="00FD6F6E"/>
    <w:rsid w:val="00FD7500"/>
    <w:rsid w:val="00FD773A"/>
    <w:rsid w:val="00FD78F7"/>
    <w:rsid w:val="00FD7B02"/>
    <w:rsid w:val="00FE02F4"/>
    <w:rsid w:val="00FE0896"/>
    <w:rsid w:val="00FE0AB4"/>
    <w:rsid w:val="00FE0DDF"/>
    <w:rsid w:val="00FE0F2D"/>
    <w:rsid w:val="00FE1747"/>
    <w:rsid w:val="00FE1845"/>
    <w:rsid w:val="00FE1B44"/>
    <w:rsid w:val="00FE1B6E"/>
    <w:rsid w:val="00FE1D10"/>
    <w:rsid w:val="00FE1FCD"/>
    <w:rsid w:val="00FE293E"/>
    <w:rsid w:val="00FE2A7E"/>
    <w:rsid w:val="00FE2BBC"/>
    <w:rsid w:val="00FE2E00"/>
    <w:rsid w:val="00FE3281"/>
    <w:rsid w:val="00FE3BFA"/>
    <w:rsid w:val="00FE3C91"/>
    <w:rsid w:val="00FE3DAD"/>
    <w:rsid w:val="00FE42D9"/>
    <w:rsid w:val="00FE4D5D"/>
    <w:rsid w:val="00FE50D6"/>
    <w:rsid w:val="00FE510F"/>
    <w:rsid w:val="00FE5903"/>
    <w:rsid w:val="00FE5F31"/>
    <w:rsid w:val="00FE6385"/>
    <w:rsid w:val="00FE65FA"/>
    <w:rsid w:val="00FE6802"/>
    <w:rsid w:val="00FE6B58"/>
    <w:rsid w:val="00FE6C49"/>
    <w:rsid w:val="00FE711F"/>
    <w:rsid w:val="00FE72E8"/>
    <w:rsid w:val="00FE7591"/>
    <w:rsid w:val="00FE76C1"/>
    <w:rsid w:val="00FE79E2"/>
    <w:rsid w:val="00FE7E00"/>
    <w:rsid w:val="00FE7F76"/>
    <w:rsid w:val="00FF026D"/>
    <w:rsid w:val="00FF07E2"/>
    <w:rsid w:val="00FF0D87"/>
    <w:rsid w:val="00FF10EA"/>
    <w:rsid w:val="00FF1152"/>
    <w:rsid w:val="00FF12C7"/>
    <w:rsid w:val="00FF16A6"/>
    <w:rsid w:val="00FF1BDF"/>
    <w:rsid w:val="00FF1EFF"/>
    <w:rsid w:val="00FF2DB7"/>
    <w:rsid w:val="00FF37BD"/>
    <w:rsid w:val="00FF3851"/>
    <w:rsid w:val="00FF39D1"/>
    <w:rsid w:val="00FF3D4D"/>
    <w:rsid w:val="00FF3E9C"/>
    <w:rsid w:val="00FF3F30"/>
    <w:rsid w:val="00FF4512"/>
    <w:rsid w:val="00FF4828"/>
    <w:rsid w:val="00FF4EE3"/>
    <w:rsid w:val="00FF4F0B"/>
    <w:rsid w:val="00FF529A"/>
    <w:rsid w:val="00FF56D9"/>
    <w:rsid w:val="00FF5911"/>
    <w:rsid w:val="00FF5B7C"/>
    <w:rsid w:val="00FF5CE6"/>
    <w:rsid w:val="00FF5EAA"/>
    <w:rsid w:val="00FF61FF"/>
    <w:rsid w:val="00FF6F75"/>
    <w:rsid w:val="00FF7431"/>
    <w:rsid w:val="00FF751F"/>
    <w:rsid w:val="00FF7A3A"/>
    <w:rsid w:val="00FF7A69"/>
    <w:rsid w:val="00FF7D5A"/>
    <w:rsid w:val="00FF7FB4"/>
    <w:rsid w:val="01065618"/>
    <w:rsid w:val="010C4B85"/>
    <w:rsid w:val="011E4C36"/>
    <w:rsid w:val="011E6242"/>
    <w:rsid w:val="012A7A02"/>
    <w:rsid w:val="012B0C16"/>
    <w:rsid w:val="012B2788"/>
    <w:rsid w:val="014100FF"/>
    <w:rsid w:val="01467D06"/>
    <w:rsid w:val="01470592"/>
    <w:rsid w:val="014A1387"/>
    <w:rsid w:val="014C3C24"/>
    <w:rsid w:val="016D21CA"/>
    <w:rsid w:val="017372A3"/>
    <w:rsid w:val="017D7FC3"/>
    <w:rsid w:val="018E7BA8"/>
    <w:rsid w:val="01BF054B"/>
    <w:rsid w:val="01DD419D"/>
    <w:rsid w:val="01E054F3"/>
    <w:rsid w:val="01E513EC"/>
    <w:rsid w:val="01F44DE6"/>
    <w:rsid w:val="01FC2F15"/>
    <w:rsid w:val="01FE3327"/>
    <w:rsid w:val="021367C7"/>
    <w:rsid w:val="02212B52"/>
    <w:rsid w:val="024B0BFA"/>
    <w:rsid w:val="024F2F93"/>
    <w:rsid w:val="025514C8"/>
    <w:rsid w:val="02621FA7"/>
    <w:rsid w:val="026D1077"/>
    <w:rsid w:val="0296791B"/>
    <w:rsid w:val="02AA03A0"/>
    <w:rsid w:val="02B134B0"/>
    <w:rsid w:val="02BA1FFF"/>
    <w:rsid w:val="02D672D1"/>
    <w:rsid w:val="02EB79F1"/>
    <w:rsid w:val="02EE648C"/>
    <w:rsid w:val="032C313C"/>
    <w:rsid w:val="0339368B"/>
    <w:rsid w:val="033A3760"/>
    <w:rsid w:val="035D504E"/>
    <w:rsid w:val="036B50F9"/>
    <w:rsid w:val="037344A8"/>
    <w:rsid w:val="037B16DA"/>
    <w:rsid w:val="03990B36"/>
    <w:rsid w:val="03C22193"/>
    <w:rsid w:val="03D72AD4"/>
    <w:rsid w:val="03E04306"/>
    <w:rsid w:val="04407D40"/>
    <w:rsid w:val="04433F55"/>
    <w:rsid w:val="04497CD5"/>
    <w:rsid w:val="04986E16"/>
    <w:rsid w:val="04CB553C"/>
    <w:rsid w:val="04D15EEE"/>
    <w:rsid w:val="04F64424"/>
    <w:rsid w:val="04FC27FA"/>
    <w:rsid w:val="04FF70C1"/>
    <w:rsid w:val="0520355B"/>
    <w:rsid w:val="052455DE"/>
    <w:rsid w:val="054E591A"/>
    <w:rsid w:val="0568161A"/>
    <w:rsid w:val="05817A54"/>
    <w:rsid w:val="05951439"/>
    <w:rsid w:val="059C7C33"/>
    <w:rsid w:val="05AE10C3"/>
    <w:rsid w:val="05C65CC1"/>
    <w:rsid w:val="060C433C"/>
    <w:rsid w:val="062F575E"/>
    <w:rsid w:val="06566B2C"/>
    <w:rsid w:val="06572315"/>
    <w:rsid w:val="06641632"/>
    <w:rsid w:val="06821872"/>
    <w:rsid w:val="06A04B7E"/>
    <w:rsid w:val="06B424E2"/>
    <w:rsid w:val="06D72FCC"/>
    <w:rsid w:val="06F86842"/>
    <w:rsid w:val="070A50D4"/>
    <w:rsid w:val="0713088C"/>
    <w:rsid w:val="07167AFD"/>
    <w:rsid w:val="071A51B2"/>
    <w:rsid w:val="07276D85"/>
    <w:rsid w:val="073E27D3"/>
    <w:rsid w:val="0748768E"/>
    <w:rsid w:val="074D5CD5"/>
    <w:rsid w:val="07591A7E"/>
    <w:rsid w:val="076607F1"/>
    <w:rsid w:val="076E56CD"/>
    <w:rsid w:val="077F6A02"/>
    <w:rsid w:val="07832C07"/>
    <w:rsid w:val="07B870E5"/>
    <w:rsid w:val="07CB0852"/>
    <w:rsid w:val="07D92D36"/>
    <w:rsid w:val="07DA092C"/>
    <w:rsid w:val="07F0352F"/>
    <w:rsid w:val="07FD274E"/>
    <w:rsid w:val="080A41FF"/>
    <w:rsid w:val="081E24C8"/>
    <w:rsid w:val="08243FCB"/>
    <w:rsid w:val="083E1E24"/>
    <w:rsid w:val="08497E4A"/>
    <w:rsid w:val="085B6A84"/>
    <w:rsid w:val="085D531E"/>
    <w:rsid w:val="08965EB8"/>
    <w:rsid w:val="08A81525"/>
    <w:rsid w:val="08AA4DD6"/>
    <w:rsid w:val="08B61F33"/>
    <w:rsid w:val="08DA32FC"/>
    <w:rsid w:val="08EA00A6"/>
    <w:rsid w:val="09124345"/>
    <w:rsid w:val="094A7BC8"/>
    <w:rsid w:val="094C42C4"/>
    <w:rsid w:val="09516183"/>
    <w:rsid w:val="09535966"/>
    <w:rsid w:val="097D5C10"/>
    <w:rsid w:val="0987116A"/>
    <w:rsid w:val="0996434B"/>
    <w:rsid w:val="09A15535"/>
    <w:rsid w:val="09AF3493"/>
    <w:rsid w:val="09BC5935"/>
    <w:rsid w:val="09BF738B"/>
    <w:rsid w:val="09DA1875"/>
    <w:rsid w:val="09DD6FFC"/>
    <w:rsid w:val="09E13DBD"/>
    <w:rsid w:val="0A121FDD"/>
    <w:rsid w:val="0A2B4B14"/>
    <w:rsid w:val="0A5A6B99"/>
    <w:rsid w:val="0A666248"/>
    <w:rsid w:val="0A810B19"/>
    <w:rsid w:val="0A87350D"/>
    <w:rsid w:val="0A8B5E08"/>
    <w:rsid w:val="0A942026"/>
    <w:rsid w:val="0AA05E26"/>
    <w:rsid w:val="0AA817EC"/>
    <w:rsid w:val="0AB2521E"/>
    <w:rsid w:val="0AD34F92"/>
    <w:rsid w:val="0AD53A3A"/>
    <w:rsid w:val="0AEB23EB"/>
    <w:rsid w:val="0AF00AFF"/>
    <w:rsid w:val="0AF52D97"/>
    <w:rsid w:val="0B11074B"/>
    <w:rsid w:val="0B1902C2"/>
    <w:rsid w:val="0B3A012E"/>
    <w:rsid w:val="0B3E4084"/>
    <w:rsid w:val="0B4E4A73"/>
    <w:rsid w:val="0B5602AF"/>
    <w:rsid w:val="0B5712FF"/>
    <w:rsid w:val="0B681AFC"/>
    <w:rsid w:val="0B68205E"/>
    <w:rsid w:val="0B683091"/>
    <w:rsid w:val="0B7460D3"/>
    <w:rsid w:val="0B7F6F14"/>
    <w:rsid w:val="0B8459BE"/>
    <w:rsid w:val="0B8C6696"/>
    <w:rsid w:val="0B9343C9"/>
    <w:rsid w:val="0BAA27C7"/>
    <w:rsid w:val="0BC37254"/>
    <w:rsid w:val="0BD7000C"/>
    <w:rsid w:val="0BDD412E"/>
    <w:rsid w:val="0BEA06D9"/>
    <w:rsid w:val="0BFD2C98"/>
    <w:rsid w:val="0BFF485C"/>
    <w:rsid w:val="0C0128BB"/>
    <w:rsid w:val="0C1E0FE6"/>
    <w:rsid w:val="0C411230"/>
    <w:rsid w:val="0C52169C"/>
    <w:rsid w:val="0C6C3117"/>
    <w:rsid w:val="0C7417CD"/>
    <w:rsid w:val="0CA57429"/>
    <w:rsid w:val="0CB91868"/>
    <w:rsid w:val="0CD81037"/>
    <w:rsid w:val="0CE8484A"/>
    <w:rsid w:val="0CF11F65"/>
    <w:rsid w:val="0CF2212D"/>
    <w:rsid w:val="0D0055AF"/>
    <w:rsid w:val="0D0342D4"/>
    <w:rsid w:val="0D2105D7"/>
    <w:rsid w:val="0D3015D6"/>
    <w:rsid w:val="0D426782"/>
    <w:rsid w:val="0D43377F"/>
    <w:rsid w:val="0D4537A2"/>
    <w:rsid w:val="0D566B62"/>
    <w:rsid w:val="0D632B90"/>
    <w:rsid w:val="0D76560E"/>
    <w:rsid w:val="0D882406"/>
    <w:rsid w:val="0D9836D0"/>
    <w:rsid w:val="0DB552F1"/>
    <w:rsid w:val="0DB63099"/>
    <w:rsid w:val="0DCC3211"/>
    <w:rsid w:val="0DDA18BC"/>
    <w:rsid w:val="0DEA66AE"/>
    <w:rsid w:val="0DF06BAE"/>
    <w:rsid w:val="0E061B97"/>
    <w:rsid w:val="0E121614"/>
    <w:rsid w:val="0E176704"/>
    <w:rsid w:val="0E1B5DF5"/>
    <w:rsid w:val="0E2F1230"/>
    <w:rsid w:val="0E4045AB"/>
    <w:rsid w:val="0E445E1F"/>
    <w:rsid w:val="0E5D50EC"/>
    <w:rsid w:val="0E847BF3"/>
    <w:rsid w:val="0E9643A3"/>
    <w:rsid w:val="0E9679B5"/>
    <w:rsid w:val="0EBB3687"/>
    <w:rsid w:val="0ECD1615"/>
    <w:rsid w:val="0ED400FE"/>
    <w:rsid w:val="0ED53A26"/>
    <w:rsid w:val="0ED6254D"/>
    <w:rsid w:val="0EDF33E9"/>
    <w:rsid w:val="0EEE3616"/>
    <w:rsid w:val="0F0A7B77"/>
    <w:rsid w:val="0F1D36A2"/>
    <w:rsid w:val="0F214D6D"/>
    <w:rsid w:val="0F6374EA"/>
    <w:rsid w:val="0F697658"/>
    <w:rsid w:val="0F8134E9"/>
    <w:rsid w:val="0F9717C5"/>
    <w:rsid w:val="0FD23C89"/>
    <w:rsid w:val="0FDD6B30"/>
    <w:rsid w:val="0FE67C65"/>
    <w:rsid w:val="0FF400B2"/>
    <w:rsid w:val="0FF53925"/>
    <w:rsid w:val="0FF83C78"/>
    <w:rsid w:val="0FF840AC"/>
    <w:rsid w:val="101714AF"/>
    <w:rsid w:val="1017620C"/>
    <w:rsid w:val="104E2C6A"/>
    <w:rsid w:val="1054168C"/>
    <w:rsid w:val="106D3EE5"/>
    <w:rsid w:val="1086159B"/>
    <w:rsid w:val="109101C8"/>
    <w:rsid w:val="10D606E9"/>
    <w:rsid w:val="10DF5626"/>
    <w:rsid w:val="10EF78B9"/>
    <w:rsid w:val="110C2291"/>
    <w:rsid w:val="11156F2A"/>
    <w:rsid w:val="11255A61"/>
    <w:rsid w:val="112A4CED"/>
    <w:rsid w:val="112D0F0A"/>
    <w:rsid w:val="1149462A"/>
    <w:rsid w:val="114C3977"/>
    <w:rsid w:val="11516CA2"/>
    <w:rsid w:val="115B0BB5"/>
    <w:rsid w:val="11684C8B"/>
    <w:rsid w:val="117206F9"/>
    <w:rsid w:val="11756B55"/>
    <w:rsid w:val="117A74E6"/>
    <w:rsid w:val="11904635"/>
    <w:rsid w:val="11BE54A9"/>
    <w:rsid w:val="11D05409"/>
    <w:rsid w:val="12010633"/>
    <w:rsid w:val="12042EF3"/>
    <w:rsid w:val="121832D4"/>
    <w:rsid w:val="12217EA0"/>
    <w:rsid w:val="12231100"/>
    <w:rsid w:val="124344F2"/>
    <w:rsid w:val="12553E4F"/>
    <w:rsid w:val="12770321"/>
    <w:rsid w:val="12A52CFA"/>
    <w:rsid w:val="12BB58FB"/>
    <w:rsid w:val="12BC4AEB"/>
    <w:rsid w:val="12C13759"/>
    <w:rsid w:val="12D6360C"/>
    <w:rsid w:val="12E17956"/>
    <w:rsid w:val="12E846CB"/>
    <w:rsid w:val="12F01751"/>
    <w:rsid w:val="12F57116"/>
    <w:rsid w:val="12F865B5"/>
    <w:rsid w:val="131219AF"/>
    <w:rsid w:val="13222928"/>
    <w:rsid w:val="132C5203"/>
    <w:rsid w:val="133E25C6"/>
    <w:rsid w:val="13451F12"/>
    <w:rsid w:val="13524396"/>
    <w:rsid w:val="135608FB"/>
    <w:rsid w:val="136628C2"/>
    <w:rsid w:val="13816990"/>
    <w:rsid w:val="13855974"/>
    <w:rsid w:val="1388761B"/>
    <w:rsid w:val="13AF2C20"/>
    <w:rsid w:val="13BC70D9"/>
    <w:rsid w:val="13C94F97"/>
    <w:rsid w:val="13CB3644"/>
    <w:rsid w:val="13D060AE"/>
    <w:rsid w:val="13D55019"/>
    <w:rsid w:val="13E87C0D"/>
    <w:rsid w:val="141019E3"/>
    <w:rsid w:val="14130F58"/>
    <w:rsid w:val="14155247"/>
    <w:rsid w:val="14167F1C"/>
    <w:rsid w:val="141E74E7"/>
    <w:rsid w:val="143B7221"/>
    <w:rsid w:val="144456F3"/>
    <w:rsid w:val="14524328"/>
    <w:rsid w:val="145F52AB"/>
    <w:rsid w:val="147F58E2"/>
    <w:rsid w:val="148F5289"/>
    <w:rsid w:val="1493632E"/>
    <w:rsid w:val="149E67C8"/>
    <w:rsid w:val="14B93F7F"/>
    <w:rsid w:val="14C72C32"/>
    <w:rsid w:val="14D141C7"/>
    <w:rsid w:val="14D3026E"/>
    <w:rsid w:val="14D92355"/>
    <w:rsid w:val="14DF3A38"/>
    <w:rsid w:val="14F352C0"/>
    <w:rsid w:val="150677B9"/>
    <w:rsid w:val="15073F2D"/>
    <w:rsid w:val="15076546"/>
    <w:rsid w:val="150D56CA"/>
    <w:rsid w:val="151323FD"/>
    <w:rsid w:val="15495B99"/>
    <w:rsid w:val="154D2D2D"/>
    <w:rsid w:val="154E4234"/>
    <w:rsid w:val="156D5990"/>
    <w:rsid w:val="15714C0A"/>
    <w:rsid w:val="157D22DC"/>
    <w:rsid w:val="158D53B8"/>
    <w:rsid w:val="15911A35"/>
    <w:rsid w:val="15A14603"/>
    <w:rsid w:val="15AB550A"/>
    <w:rsid w:val="15BB46D9"/>
    <w:rsid w:val="15C32DD5"/>
    <w:rsid w:val="15D84C9E"/>
    <w:rsid w:val="15E20AF3"/>
    <w:rsid w:val="15FF76FF"/>
    <w:rsid w:val="160205C6"/>
    <w:rsid w:val="161626F2"/>
    <w:rsid w:val="161E091B"/>
    <w:rsid w:val="16272960"/>
    <w:rsid w:val="162D11A6"/>
    <w:rsid w:val="162D4A22"/>
    <w:rsid w:val="163F2027"/>
    <w:rsid w:val="164F1375"/>
    <w:rsid w:val="166469C4"/>
    <w:rsid w:val="1671788F"/>
    <w:rsid w:val="16887E63"/>
    <w:rsid w:val="168B35A5"/>
    <w:rsid w:val="168C17AA"/>
    <w:rsid w:val="16901991"/>
    <w:rsid w:val="16A31672"/>
    <w:rsid w:val="16D05467"/>
    <w:rsid w:val="16F02776"/>
    <w:rsid w:val="17023FD4"/>
    <w:rsid w:val="171E45CD"/>
    <w:rsid w:val="173075C1"/>
    <w:rsid w:val="173D4C7B"/>
    <w:rsid w:val="173F2559"/>
    <w:rsid w:val="17616286"/>
    <w:rsid w:val="178B1C40"/>
    <w:rsid w:val="178B5030"/>
    <w:rsid w:val="178D0D91"/>
    <w:rsid w:val="17B4676F"/>
    <w:rsid w:val="17B972F1"/>
    <w:rsid w:val="17C744BC"/>
    <w:rsid w:val="17DA11CE"/>
    <w:rsid w:val="17F63CC2"/>
    <w:rsid w:val="180B63F7"/>
    <w:rsid w:val="1816278F"/>
    <w:rsid w:val="18196BCD"/>
    <w:rsid w:val="1835589F"/>
    <w:rsid w:val="183E5059"/>
    <w:rsid w:val="18402079"/>
    <w:rsid w:val="187B2C33"/>
    <w:rsid w:val="187E1BE2"/>
    <w:rsid w:val="18AF2D0B"/>
    <w:rsid w:val="18B132C3"/>
    <w:rsid w:val="18B352A1"/>
    <w:rsid w:val="18BD7A5B"/>
    <w:rsid w:val="18DE19E0"/>
    <w:rsid w:val="18E54158"/>
    <w:rsid w:val="19057BCF"/>
    <w:rsid w:val="19087AC4"/>
    <w:rsid w:val="1915046D"/>
    <w:rsid w:val="191F64D5"/>
    <w:rsid w:val="192F5B56"/>
    <w:rsid w:val="19361DFA"/>
    <w:rsid w:val="193C6CE3"/>
    <w:rsid w:val="194A21F9"/>
    <w:rsid w:val="19603FDD"/>
    <w:rsid w:val="196573C9"/>
    <w:rsid w:val="1978403F"/>
    <w:rsid w:val="19850F42"/>
    <w:rsid w:val="198A076E"/>
    <w:rsid w:val="198C435D"/>
    <w:rsid w:val="198E4394"/>
    <w:rsid w:val="198F5DB6"/>
    <w:rsid w:val="199048E9"/>
    <w:rsid w:val="199F4FAC"/>
    <w:rsid w:val="19A43F09"/>
    <w:rsid w:val="19E34A12"/>
    <w:rsid w:val="19E403A1"/>
    <w:rsid w:val="19FE2738"/>
    <w:rsid w:val="1A0E7E65"/>
    <w:rsid w:val="1A132797"/>
    <w:rsid w:val="1A19303E"/>
    <w:rsid w:val="1A1C7D38"/>
    <w:rsid w:val="1A4F4D29"/>
    <w:rsid w:val="1A5720FA"/>
    <w:rsid w:val="1A644AF2"/>
    <w:rsid w:val="1A6F4AA7"/>
    <w:rsid w:val="1A72319E"/>
    <w:rsid w:val="1A8348E6"/>
    <w:rsid w:val="1A8827A4"/>
    <w:rsid w:val="1A897CEC"/>
    <w:rsid w:val="1A8C3146"/>
    <w:rsid w:val="1A931C7A"/>
    <w:rsid w:val="1AAC090B"/>
    <w:rsid w:val="1AB1329C"/>
    <w:rsid w:val="1AC03AD6"/>
    <w:rsid w:val="1ACB5367"/>
    <w:rsid w:val="1AD13CAD"/>
    <w:rsid w:val="1B1A7776"/>
    <w:rsid w:val="1B1E69B6"/>
    <w:rsid w:val="1B3464BF"/>
    <w:rsid w:val="1B3A510D"/>
    <w:rsid w:val="1B3C3637"/>
    <w:rsid w:val="1B4D5DED"/>
    <w:rsid w:val="1B5259EF"/>
    <w:rsid w:val="1B606C52"/>
    <w:rsid w:val="1B8046A1"/>
    <w:rsid w:val="1B9037C8"/>
    <w:rsid w:val="1B977887"/>
    <w:rsid w:val="1B9F4CEB"/>
    <w:rsid w:val="1BAF1E18"/>
    <w:rsid w:val="1BCE4534"/>
    <w:rsid w:val="1BD1581C"/>
    <w:rsid w:val="1BD867B2"/>
    <w:rsid w:val="1BDE5793"/>
    <w:rsid w:val="1BDE6437"/>
    <w:rsid w:val="1C042F22"/>
    <w:rsid w:val="1C17511B"/>
    <w:rsid w:val="1C34608B"/>
    <w:rsid w:val="1C8B2C14"/>
    <w:rsid w:val="1CA97C5A"/>
    <w:rsid w:val="1CB012C9"/>
    <w:rsid w:val="1CD13547"/>
    <w:rsid w:val="1CF00009"/>
    <w:rsid w:val="1CFF4E39"/>
    <w:rsid w:val="1D0046F6"/>
    <w:rsid w:val="1D096C71"/>
    <w:rsid w:val="1D0C1CD8"/>
    <w:rsid w:val="1D1F4B8B"/>
    <w:rsid w:val="1D2E3752"/>
    <w:rsid w:val="1D323D60"/>
    <w:rsid w:val="1D464B05"/>
    <w:rsid w:val="1D5D038A"/>
    <w:rsid w:val="1D605C5C"/>
    <w:rsid w:val="1D92646C"/>
    <w:rsid w:val="1DA37D78"/>
    <w:rsid w:val="1DBE4B5D"/>
    <w:rsid w:val="1DD96305"/>
    <w:rsid w:val="1DEB145E"/>
    <w:rsid w:val="1E01430C"/>
    <w:rsid w:val="1E08777F"/>
    <w:rsid w:val="1E10008F"/>
    <w:rsid w:val="1E156C1A"/>
    <w:rsid w:val="1E175E15"/>
    <w:rsid w:val="1E26635F"/>
    <w:rsid w:val="1E305EC3"/>
    <w:rsid w:val="1E382DA5"/>
    <w:rsid w:val="1E390C89"/>
    <w:rsid w:val="1E3C5D1F"/>
    <w:rsid w:val="1E4531BA"/>
    <w:rsid w:val="1E46121E"/>
    <w:rsid w:val="1E69703E"/>
    <w:rsid w:val="1E711F62"/>
    <w:rsid w:val="1E9A784B"/>
    <w:rsid w:val="1EA056B5"/>
    <w:rsid w:val="1EA50A19"/>
    <w:rsid w:val="1EAD0E90"/>
    <w:rsid w:val="1EB148AE"/>
    <w:rsid w:val="1EDC3EB4"/>
    <w:rsid w:val="1EE46C56"/>
    <w:rsid w:val="1EF03D8D"/>
    <w:rsid w:val="1EF44F94"/>
    <w:rsid w:val="1EF758F3"/>
    <w:rsid w:val="1F0131EB"/>
    <w:rsid w:val="1F1E55EE"/>
    <w:rsid w:val="1F353A96"/>
    <w:rsid w:val="1F35446A"/>
    <w:rsid w:val="1F3E29A1"/>
    <w:rsid w:val="1F567254"/>
    <w:rsid w:val="1F5E5D16"/>
    <w:rsid w:val="1F661057"/>
    <w:rsid w:val="1F675385"/>
    <w:rsid w:val="1F792FA7"/>
    <w:rsid w:val="1F7C771C"/>
    <w:rsid w:val="1F8F49E4"/>
    <w:rsid w:val="1F906D69"/>
    <w:rsid w:val="1FC14152"/>
    <w:rsid w:val="1FCA7D77"/>
    <w:rsid w:val="1FE23884"/>
    <w:rsid w:val="1FE86413"/>
    <w:rsid w:val="1FEF4480"/>
    <w:rsid w:val="20235AF1"/>
    <w:rsid w:val="202C049C"/>
    <w:rsid w:val="202E0826"/>
    <w:rsid w:val="20505255"/>
    <w:rsid w:val="205A62D8"/>
    <w:rsid w:val="205E4DE3"/>
    <w:rsid w:val="20CE010A"/>
    <w:rsid w:val="20D4423B"/>
    <w:rsid w:val="20D556E6"/>
    <w:rsid w:val="20D96B66"/>
    <w:rsid w:val="20E125FF"/>
    <w:rsid w:val="2108194B"/>
    <w:rsid w:val="210E6DFE"/>
    <w:rsid w:val="2117530E"/>
    <w:rsid w:val="211F6E98"/>
    <w:rsid w:val="2129669F"/>
    <w:rsid w:val="21345D58"/>
    <w:rsid w:val="216C4052"/>
    <w:rsid w:val="21705C6C"/>
    <w:rsid w:val="217A47D2"/>
    <w:rsid w:val="218A57CB"/>
    <w:rsid w:val="21A124D0"/>
    <w:rsid w:val="21A52FE7"/>
    <w:rsid w:val="21B06047"/>
    <w:rsid w:val="21CA1AAF"/>
    <w:rsid w:val="21D40724"/>
    <w:rsid w:val="22240BBD"/>
    <w:rsid w:val="22284311"/>
    <w:rsid w:val="22553FAA"/>
    <w:rsid w:val="225F3A09"/>
    <w:rsid w:val="226C0535"/>
    <w:rsid w:val="227111E0"/>
    <w:rsid w:val="229721FB"/>
    <w:rsid w:val="229B0E5B"/>
    <w:rsid w:val="22B775C3"/>
    <w:rsid w:val="22B819FF"/>
    <w:rsid w:val="22D71E64"/>
    <w:rsid w:val="22DF1692"/>
    <w:rsid w:val="23233DE7"/>
    <w:rsid w:val="232E0BC8"/>
    <w:rsid w:val="233D6EA7"/>
    <w:rsid w:val="233E7A84"/>
    <w:rsid w:val="235E3674"/>
    <w:rsid w:val="23716743"/>
    <w:rsid w:val="237B0B8A"/>
    <w:rsid w:val="238813D2"/>
    <w:rsid w:val="23887D13"/>
    <w:rsid w:val="23A3584F"/>
    <w:rsid w:val="23A9651E"/>
    <w:rsid w:val="23AC23E9"/>
    <w:rsid w:val="23D31450"/>
    <w:rsid w:val="23D47B81"/>
    <w:rsid w:val="23E97E74"/>
    <w:rsid w:val="23ED2A25"/>
    <w:rsid w:val="23EE1D1A"/>
    <w:rsid w:val="23F310C3"/>
    <w:rsid w:val="23F95DB1"/>
    <w:rsid w:val="24000279"/>
    <w:rsid w:val="24037DC1"/>
    <w:rsid w:val="241E2F47"/>
    <w:rsid w:val="242A36EA"/>
    <w:rsid w:val="242C7684"/>
    <w:rsid w:val="242E0DB1"/>
    <w:rsid w:val="24300BAF"/>
    <w:rsid w:val="243624EB"/>
    <w:rsid w:val="24522D7C"/>
    <w:rsid w:val="246E445C"/>
    <w:rsid w:val="246E5CA8"/>
    <w:rsid w:val="246F0A29"/>
    <w:rsid w:val="2478102C"/>
    <w:rsid w:val="24924A3B"/>
    <w:rsid w:val="249C52A4"/>
    <w:rsid w:val="24BE6883"/>
    <w:rsid w:val="24E94664"/>
    <w:rsid w:val="24EC7AFB"/>
    <w:rsid w:val="24F82F34"/>
    <w:rsid w:val="24F84BC5"/>
    <w:rsid w:val="2529491C"/>
    <w:rsid w:val="2535011A"/>
    <w:rsid w:val="254250C5"/>
    <w:rsid w:val="25545A5C"/>
    <w:rsid w:val="255533BD"/>
    <w:rsid w:val="255D0801"/>
    <w:rsid w:val="25663588"/>
    <w:rsid w:val="25663D45"/>
    <w:rsid w:val="25851A22"/>
    <w:rsid w:val="258E4192"/>
    <w:rsid w:val="25B4765B"/>
    <w:rsid w:val="25C659E7"/>
    <w:rsid w:val="260F5131"/>
    <w:rsid w:val="260F7546"/>
    <w:rsid w:val="261A34EB"/>
    <w:rsid w:val="262D0F83"/>
    <w:rsid w:val="26396150"/>
    <w:rsid w:val="263A7A41"/>
    <w:rsid w:val="26410643"/>
    <w:rsid w:val="26521438"/>
    <w:rsid w:val="26555894"/>
    <w:rsid w:val="265F6FC3"/>
    <w:rsid w:val="267D107C"/>
    <w:rsid w:val="26886C79"/>
    <w:rsid w:val="2689076F"/>
    <w:rsid w:val="269B4D7D"/>
    <w:rsid w:val="26CF20B3"/>
    <w:rsid w:val="26F70327"/>
    <w:rsid w:val="26F87ADA"/>
    <w:rsid w:val="2720354C"/>
    <w:rsid w:val="272D1BD5"/>
    <w:rsid w:val="272D6C45"/>
    <w:rsid w:val="27426EA2"/>
    <w:rsid w:val="27490AF0"/>
    <w:rsid w:val="27683DC2"/>
    <w:rsid w:val="277C7FE4"/>
    <w:rsid w:val="27902C84"/>
    <w:rsid w:val="279D67F1"/>
    <w:rsid w:val="27B123F9"/>
    <w:rsid w:val="27C9450F"/>
    <w:rsid w:val="27F33712"/>
    <w:rsid w:val="27FD036B"/>
    <w:rsid w:val="282678BE"/>
    <w:rsid w:val="28432D83"/>
    <w:rsid w:val="287010F4"/>
    <w:rsid w:val="28845396"/>
    <w:rsid w:val="28A1557F"/>
    <w:rsid w:val="28A66B51"/>
    <w:rsid w:val="28AE58A7"/>
    <w:rsid w:val="28F50F2F"/>
    <w:rsid w:val="28FF1E0B"/>
    <w:rsid w:val="29071F51"/>
    <w:rsid w:val="29124016"/>
    <w:rsid w:val="291753D3"/>
    <w:rsid w:val="291A75FD"/>
    <w:rsid w:val="294110D0"/>
    <w:rsid w:val="29453454"/>
    <w:rsid w:val="29463EF9"/>
    <w:rsid w:val="29480D92"/>
    <w:rsid w:val="294C4CAC"/>
    <w:rsid w:val="294E7EFB"/>
    <w:rsid w:val="29540652"/>
    <w:rsid w:val="29556815"/>
    <w:rsid w:val="29640375"/>
    <w:rsid w:val="29675FA6"/>
    <w:rsid w:val="29784E61"/>
    <w:rsid w:val="29852DD4"/>
    <w:rsid w:val="299B477C"/>
    <w:rsid w:val="29AE25C5"/>
    <w:rsid w:val="29B5075F"/>
    <w:rsid w:val="29C128CE"/>
    <w:rsid w:val="29C67290"/>
    <w:rsid w:val="2A4A6E28"/>
    <w:rsid w:val="2A693589"/>
    <w:rsid w:val="2A771505"/>
    <w:rsid w:val="2A9E3236"/>
    <w:rsid w:val="2AC72B6A"/>
    <w:rsid w:val="2AC93C81"/>
    <w:rsid w:val="2AF40D76"/>
    <w:rsid w:val="2B0465BA"/>
    <w:rsid w:val="2B08009E"/>
    <w:rsid w:val="2B0F2A0A"/>
    <w:rsid w:val="2B112A06"/>
    <w:rsid w:val="2B1A1874"/>
    <w:rsid w:val="2B2B07C3"/>
    <w:rsid w:val="2B2C06EA"/>
    <w:rsid w:val="2B4508F6"/>
    <w:rsid w:val="2B5A1BD4"/>
    <w:rsid w:val="2B794CE4"/>
    <w:rsid w:val="2B923417"/>
    <w:rsid w:val="2B9D0FA0"/>
    <w:rsid w:val="2B9F7984"/>
    <w:rsid w:val="2BA52767"/>
    <w:rsid w:val="2BAC3F86"/>
    <w:rsid w:val="2BB16496"/>
    <w:rsid w:val="2BB63B58"/>
    <w:rsid w:val="2BC600F5"/>
    <w:rsid w:val="2BC601D9"/>
    <w:rsid w:val="2BC856B5"/>
    <w:rsid w:val="2BD71696"/>
    <w:rsid w:val="2BDF672F"/>
    <w:rsid w:val="2BEA2A53"/>
    <w:rsid w:val="2BF24D97"/>
    <w:rsid w:val="2BF430A5"/>
    <w:rsid w:val="2C0A7029"/>
    <w:rsid w:val="2C165AEB"/>
    <w:rsid w:val="2C3157D5"/>
    <w:rsid w:val="2C5351E0"/>
    <w:rsid w:val="2C6B3ABE"/>
    <w:rsid w:val="2C7648CD"/>
    <w:rsid w:val="2C78614E"/>
    <w:rsid w:val="2CA258D2"/>
    <w:rsid w:val="2CAB4950"/>
    <w:rsid w:val="2CAF0922"/>
    <w:rsid w:val="2CC54188"/>
    <w:rsid w:val="2CD248B9"/>
    <w:rsid w:val="2CEE3F72"/>
    <w:rsid w:val="2CF60064"/>
    <w:rsid w:val="2D0F2E37"/>
    <w:rsid w:val="2D1149BC"/>
    <w:rsid w:val="2D2D5710"/>
    <w:rsid w:val="2D3C1B96"/>
    <w:rsid w:val="2D444B78"/>
    <w:rsid w:val="2D520027"/>
    <w:rsid w:val="2D5A2A4F"/>
    <w:rsid w:val="2D637C15"/>
    <w:rsid w:val="2D650027"/>
    <w:rsid w:val="2D7A1862"/>
    <w:rsid w:val="2D8E68D9"/>
    <w:rsid w:val="2D932506"/>
    <w:rsid w:val="2DA57F1B"/>
    <w:rsid w:val="2DAF1300"/>
    <w:rsid w:val="2DB46CE9"/>
    <w:rsid w:val="2DC00185"/>
    <w:rsid w:val="2DC27AB7"/>
    <w:rsid w:val="2DEE0E61"/>
    <w:rsid w:val="2DF5208F"/>
    <w:rsid w:val="2DF61957"/>
    <w:rsid w:val="2E15673A"/>
    <w:rsid w:val="2E2C0A12"/>
    <w:rsid w:val="2E46448C"/>
    <w:rsid w:val="2E4A73E5"/>
    <w:rsid w:val="2E4E2609"/>
    <w:rsid w:val="2E700831"/>
    <w:rsid w:val="2E8C3FF9"/>
    <w:rsid w:val="2E942657"/>
    <w:rsid w:val="2E9E2360"/>
    <w:rsid w:val="2EB14000"/>
    <w:rsid w:val="2EB31924"/>
    <w:rsid w:val="2EC202B6"/>
    <w:rsid w:val="2ECC3616"/>
    <w:rsid w:val="2EDE4C70"/>
    <w:rsid w:val="2EE20DFC"/>
    <w:rsid w:val="2EE6118A"/>
    <w:rsid w:val="2EF12FBB"/>
    <w:rsid w:val="2EFB5953"/>
    <w:rsid w:val="2EFD7E79"/>
    <w:rsid w:val="2F28433B"/>
    <w:rsid w:val="2F3C6A04"/>
    <w:rsid w:val="2F3E203B"/>
    <w:rsid w:val="2F4D02D5"/>
    <w:rsid w:val="2F6A47EF"/>
    <w:rsid w:val="2F766FC7"/>
    <w:rsid w:val="2F900406"/>
    <w:rsid w:val="2FAA3921"/>
    <w:rsid w:val="2FDF150D"/>
    <w:rsid w:val="2FF700CA"/>
    <w:rsid w:val="2FFF28F6"/>
    <w:rsid w:val="30061EC0"/>
    <w:rsid w:val="30162FAA"/>
    <w:rsid w:val="302C7EB3"/>
    <w:rsid w:val="304D4E18"/>
    <w:rsid w:val="30566F6B"/>
    <w:rsid w:val="305D6B4A"/>
    <w:rsid w:val="30615413"/>
    <w:rsid w:val="306F0162"/>
    <w:rsid w:val="30733E49"/>
    <w:rsid w:val="30865AAE"/>
    <w:rsid w:val="30967B8C"/>
    <w:rsid w:val="309A40D5"/>
    <w:rsid w:val="30D06C6D"/>
    <w:rsid w:val="30DD7F98"/>
    <w:rsid w:val="30E1562F"/>
    <w:rsid w:val="30EA4D28"/>
    <w:rsid w:val="30F5034B"/>
    <w:rsid w:val="315038E5"/>
    <w:rsid w:val="31525631"/>
    <w:rsid w:val="31553042"/>
    <w:rsid w:val="316110A1"/>
    <w:rsid w:val="31707C1F"/>
    <w:rsid w:val="31A574CC"/>
    <w:rsid w:val="31BD7C36"/>
    <w:rsid w:val="31BF77D9"/>
    <w:rsid w:val="31CF7BD5"/>
    <w:rsid w:val="31D25C3C"/>
    <w:rsid w:val="31E83275"/>
    <w:rsid w:val="31FA35A6"/>
    <w:rsid w:val="321E32C5"/>
    <w:rsid w:val="322F3828"/>
    <w:rsid w:val="324760DD"/>
    <w:rsid w:val="32477122"/>
    <w:rsid w:val="32537B02"/>
    <w:rsid w:val="325A7B58"/>
    <w:rsid w:val="325C4908"/>
    <w:rsid w:val="32622ED3"/>
    <w:rsid w:val="32660204"/>
    <w:rsid w:val="3281412D"/>
    <w:rsid w:val="328D5CD7"/>
    <w:rsid w:val="328E76D5"/>
    <w:rsid w:val="328F297F"/>
    <w:rsid w:val="32937CB3"/>
    <w:rsid w:val="32B26606"/>
    <w:rsid w:val="32D14A00"/>
    <w:rsid w:val="32E16AE2"/>
    <w:rsid w:val="32FD00D2"/>
    <w:rsid w:val="33144259"/>
    <w:rsid w:val="33275911"/>
    <w:rsid w:val="332B20B2"/>
    <w:rsid w:val="3333087C"/>
    <w:rsid w:val="33333FED"/>
    <w:rsid w:val="334969C5"/>
    <w:rsid w:val="334C1C32"/>
    <w:rsid w:val="335D33C2"/>
    <w:rsid w:val="335F6518"/>
    <w:rsid w:val="33996F34"/>
    <w:rsid w:val="33A234E1"/>
    <w:rsid w:val="33B85644"/>
    <w:rsid w:val="33E54173"/>
    <w:rsid w:val="33F31EB4"/>
    <w:rsid w:val="33F96B27"/>
    <w:rsid w:val="34117F48"/>
    <w:rsid w:val="342A5BAB"/>
    <w:rsid w:val="34461509"/>
    <w:rsid w:val="34475A3C"/>
    <w:rsid w:val="345D2620"/>
    <w:rsid w:val="346D717B"/>
    <w:rsid w:val="348001D7"/>
    <w:rsid w:val="34824EA6"/>
    <w:rsid w:val="34971813"/>
    <w:rsid w:val="34A62CF9"/>
    <w:rsid w:val="34B94859"/>
    <w:rsid w:val="34BF679A"/>
    <w:rsid w:val="34C91399"/>
    <w:rsid w:val="34E44D30"/>
    <w:rsid w:val="34EB14B6"/>
    <w:rsid w:val="34FD27E1"/>
    <w:rsid w:val="34FF1AAF"/>
    <w:rsid w:val="350B03A4"/>
    <w:rsid w:val="35206877"/>
    <w:rsid w:val="3522722C"/>
    <w:rsid w:val="35237834"/>
    <w:rsid w:val="35350C51"/>
    <w:rsid w:val="355C528E"/>
    <w:rsid w:val="355F6C3D"/>
    <w:rsid w:val="356223BE"/>
    <w:rsid w:val="35672847"/>
    <w:rsid w:val="35705D0E"/>
    <w:rsid w:val="3577310B"/>
    <w:rsid w:val="357B355D"/>
    <w:rsid w:val="3588188F"/>
    <w:rsid w:val="3596578F"/>
    <w:rsid w:val="35B37F8E"/>
    <w:rsid w:val="35B857FA"/>
    <w:rsid w:val="35CE2AAE"/>
    <w:rsid w:val="35D3384A"/>
    <w:rsid w:val="36174090"/>
    <w:rsid w:val="36257055"/>
    <w:rsid w:val="362744B9"/>
    <w:rsid w:val="362B0FE4"/>
    <w:rsid w:val="362F4ED6"/>
    <w:rsid w:val="36354D47"/>
    <w:rsid w:val="3640688F"/>
    <w:rsid w:val="36586D78"/>
    <w:rsid w:val="366751A1"/>
    <w:rsid w:val="368F5919"/>
    <w:rsid w:val="36A45BEF"/>
    <w:rsid w:val="36AA42EF"/>
    <w:rsid w:val="36AE4D1E"/>
    <w:rsid w:val="36FA2D1F"/>
    <w:rsid w:val="370B5AB1"/>
    <w:rsid w:val="37427AB6"/>
    <w:rsid w:val="37593EBD"/>
    <w:rsid w:val="3774150B"/>
    <w:rsid w:val="37802C8E"/>
    <w:rsid w:val="378F3DC5"/>
    <w:rsid w:val="37B27913"/>
    <w:rsid w:val="37EF2195"/>
    <w:rsid w:val="38113996"/>
    <w:rsid w:val="38262A70"/>
    <w:rsid w:val="38347BEF"/>
    <w:rsid w:val="3844014F"/>
    <w:rsid w:val="384779DD"/>
    <w:rsid w:val="38546FE4"/>
    <w:rsid w:val="38553AB6"/>
    <w:rsid w:val="387B2F39"/>
    <w:rsid w:val="38864213"/>
    <w:rsid w:val="388D1CEE"/>
    <w:rsid w:val="389442A8"/>
    <w:rsid w:val="38A304E1"/>
    <w:rsid w:val="38B63535"/>
    <w:rsid w:val="38CC3B8F"/>
    <w:rsid w:val="38CD6958"/>
    <w:rsid w:val="38CF52B7"/>
    <w:rsid w:val="38D05BE2"/>
    <w:rsid w:val="38D31209"/>
    <w:rsid w:val="38DB30F5"/>
    <w:rsid w:val="38E52097"/>
    <w:rsid w:val="38F527EA"/>
    <w:rsid w:val="38FF0E1A"/>
    <w:rsid w:val="39012C6C"/>
    <w:rsid w:val="39062B46"/>
    <w:rsid w:val="39084AD1"/>
    <w:rsid w:val="391955EA"/>
    <w:rsid w:val="391A4206"/>
    <w:rsid w:val="392114D6"/>
    <w:rsid w:val="39393AA8"/>
    <w:rsid w:val="39396E7F"/>
    <w:rsid w:val="39473CF1"/>
    <w:rsid w:val="39483C27"/>
    <w:rsid w:val="394966B4"/>
    <w:rsid w:val="395E77B5"/>
    <w:rsid w:val="39640803"/>
    <w:rsid w:val="39670A19"/>
    <w:rsid w:val="398E2006"/>
    <w:rsid w:val="399574F8"/>
    <w:rsid w:val="39A56627"/>
    <w:rsid w:val="39B53860"/>
    <w:rsid w:val="39B77767"/>
    <w:rsid w:val="39B83F08"/>
    <w:rsid w:val="39BC10B6"/>
    <w:rsid w:val="39BC2F85"/>
    <w:rsid w:val="39F2246D"/>
    <w:rsid w:val="3A220819"/>
    <w:rsid w:val="3A29645F"/>
    <w:rsid w:val="3A2B2BC2"/>
    <w:rsid w:val="3A2E1D35"/>
    <w:rsid w:val="3A360440"/>
    <w:rsid w:val="3A4212E0"/>
    <w:rsid w:val="3A503632"/>
    <w:rsid w:val="3A5129D2"/>
    <w:rsid w:val="3A563C88"/>
    <w:rsid w:val="3A5C4991"/>
    <w:rsid w:val="3A62423F"/>
    <w:rsid w:val="3A673008"/>
    <w:rsid w:val="3A6A62C9"/>
    <w:rsid w:val="3A930C2A"/>
    <w:rsid w:val="3A977085"/>
    <w:rsid w:val="3AA2501F"/>
    <w:rsid w:val="3AA4130A"/>
    <w:rsid w:val="3AB36276"/>
    <w:rsid w:val="3AB632F2"/>
    <w:rsid w:val="3ABF0898"/>
    <w:rsid w:val="3AC827FA"/>
    <w:rsid w:val="3AD300D7"/>
    <w:rsid w:val="3ADA1D40"/>
    <w:rsid w:val="3AEA6E62"/>
    <w:rsid w:val="3AF863F4"/>
    <w:rsid w:val="3B1F1C90"/>
    <w:rsid w:val="3B2C3864"/>
    <w:rsid w:val="3B495CBF"/>
    <w:rsid w:val="3B652A44"/>
    <w:rsid w:val="3B6675A6"/>
    <w:rsid w:val="3B8D58CB"/>
    <w:rsid w:val="3BA14F0A"/>
    <w:rsid w:val="3BB87204"/>
    <w:rsid w:val="3BBF614B"/>
    <w:rsid w:val="3BC06C8F"/>
    <w:rsid w:val="3BC37544"/>
    <w:rsid w:val="3BD56969"/>
    <w:rsid w:val="3BDB19AB"/>
    <w:rsid w:val="3BFA7E44"/>
    <w:rsid w:val="3BFB30B8"/>
    <w:rsid w:val="3BFF295A"/>
    <w:rsid w:val="3C0E4B8C"/>
    <w:rsid w:val="3C261C6D"/>
    <w:rsid w:val="3C3920FE"/>
    <w:rsid w:val="3C3D0EE8"/>
    <w:rsid w:val="3C4F2A00"/>
    <w:rsid w:val="3C5A6C6D"/>
    <w:rsid w:val="3C653064"/>
    <w:rsid w:val="3C776F7B"/>
    <w:rsid w:val="3C7C059B"/>
    <w:rsid w:val="3C7E6B7A"/>
    <w:rsid w:val="3C837AD9"/>
    <w:rsid w:val="3C932C5C"/>
    <w:rsid w:val="3CC748B2"/>
    <w:rsid w:val="3CE4455C"/>
    <w:rsid w:val="3CF45330"/>
    <w:rsid w:val="3D0C1BDC"/>
    <w:rsid w:val="3D240A3B"/>
    <w:rsid w:val="3D26354E"/>
    <w:rsid w:val="3D2B1262"/>
    <w:rsid w:val="3D53613D"/>
    <w:rsid w:val="3D6F2CDB"/>
    <w:rsid w:val="3D782AA4"/>
    <w:rsid w:val="3D81372E"/>
    <w:rsid w:val="3D94560D"/>
    <w:rsid w:val="3DB0793E"/>
    <w:rsid w:val="3DB97080"/>
    <w:rsid w:val="3DD16B1B"/>
    <w:rsid w:val="3DE57AEB"/>
    <w:rsid w:val="3DE6568E"/>
    <w:rsid w:val="3DF7631C"/>
    <w:rsid w:val="3E036817"/>
    <w:rsid w:val="3E166287"/>
    <w:rsid w:val="3E257D12"/>
    <w:rsid w:val="3E367E88"/>
    <w:rsid w:val="3E45374D"/>
    <w:rsid w:val="3E6523E7"/>
    <w:rsid w:val="3E801755"/>
    <w:rsid w:val="3E836089"/>
    <w:rsid w:val="3E942BA8"/>
    <w:rsid w:val="3EA83E97"/>
    <w:rsid w:val="3EB65C35"/>
    <w:rsid w:val="3ED050FE"/>
    <w:rsid w:val="3ED22CDD"/>
    <w:rsid w:val="3EDC0B41"/>
    <w:rsid w:val="3EDC3B12"/>
    <w:rsid w:val="3EE00395"/>
    <w:rsid w:val="3EE244FC"/>
    <w:rsid w:val="3EE866A9"/>
    <w:rsid w:val="3F010CE5"/>
    <w:rsid w:val="3F091E80"/>
    <w:rsid w:val="3F0A3501"/>
    <w:rsid w:val="3F0B6D9F"/>
    <w:rsid w:val="3F1E1A58"/>
    <w:rsid w:val="3F2E1F47"/>
    <w:rsid w:val="3F332096"/>
    <w:rsid w:val="3F3C61CD"/>
    <w:rsid w:val="3F3D3DB9"/>
    <w:rsid w:val="3F4A28B6"/>
    <w:rsid w:val="3F4D6C6F"/>
    <w:rsid w:val="3F527213"/>
    <w:rsid w:val="3F544A8D"/>
    <w:rsid w:val="3F5F1E13"/>
    <w:rsid w:val="3F8465BB"/>
    <w:rsid w:val="3F9F7071"/>
    <w:rsid w:val="3FA74FA9"/>
    <w:rsid w:val="3FAB2A7A"/>
    <w:rsid w:val="3FAC1A39"/>
    <w:rsid w:val="3FC012D8"/>
    <w:rsid w:val="3FCD3684"/>
    <w:rsid w:val="3FD23B23"/>
    <w:rsid w:val="3FD331DC"/>
    <w:rsid w:val="3FEB2894"/>
    <w:rsid w:val="3FF50A83"/>
    <w:rsid w:val="40157C64"/>
    <w:rsid w:val="401652A2"/>
    <w:rsid w:val="40262346"/>
    <w:rsid w:val="402B1D6A"/>
    <w:rsid w:val="403045FB"/>
    <w:rsid w:val="40551D96"/>
    <w:rsid w:val="405F2EA2"/>
    <w:rsid w:val="405F6B1A"/>
    <w:rsid w:val="40652CE5"/>
    <w:rsid w:val="407C123A"/>
    <w:rsid w:val="407E6E41"/>
    <w:rsid w:val="409F1F49"/>
    <w:rsid w:val="40B551F6"/>
    <w:rsid w:val="40C32538"/>
    <w:rsid w:val="40D626FB"/>
    <w:rsid w:val="40DA03A8"/>
    <w:rsid w:val="40E853F8"/>
    <w:rsid w:val="40F06B25"/>
    <w:rsid w:val="40F42991"/>
    <w:rsid w:val="4110719F"/>
    <w:rsid w:val="412F3335"/>
    <w:rsid w:val="41467869"/>
    <w:rsid w:val="41486242"/>
    <w:rsid w:val="414A18CB"/>
    <w:rsid w:val="41511607"/>
    <w:rsid w:val="415D1093"/>
    <w:rsid w:val="418418FE"/>
    <w:rsid w:val="418523B9"/>
    <w:rsid w:val="41A15F36"/>
    <w:rsid w:val="41A41813"/>
    <w:rsid w:val="41A843E8"/>
    <w:rsid w:val="41EC2A81"/>
    <w:rsid w:val="41EF0771"/>
    <w:rsid w:val="42180462"/>
    <w:rsid w:val="421B67E5"/>
    <w:rsid w:val="423A11E8"/>
    <w:rsid w:val="424B40DD"/>
    <w:rsid w:val="42683075"/>
    <w:rsid w:val="42777EEE"/>
    <w:rsid w:val="429D0986"/>
    <w:rsid w:val="429E68F0"/>
    <w:rsid w:val="42BB31A3"/>
    <w:rsid w:val="42BC6B45"/>
    <w:rsid w:val="42CE7EA0"/>
    <w:rsid w:val="42E51E25"/>
    <w:rsid w:val="42F62BFB"/>
    <w:rsid w:val="430A3D9F"/>
    <w:rsid w:val="433211CD"/>
    <w:rsid w:val="434C6F50"/>
    <w:rsid w:val="436A0EC4"/>
    <w:rsid w:val="43B903DF"/>
    <w:rsid w:val="43C35EEE"/>
    <w:rsid w:val="43DD3CE9"/>
    <w:rsid w:val="43DE0513"/>
    <w:rsid w:val="43F405CA"/>
    <w:rsid w:val="44205EA6"/>
    <w:rsid w:val="443F74A4"/>
    <w:rsid w:val="44652AEF"/>
    <w:rsid w:val="4468439C"/>
    <w:rsid w:val="4476764A"/>
    <w:rsid w:val="4479185F"/>
    <w:rsid w:val="44813784"/>
    <w:rsid w:val="44A85C95"/>
    <w:rsid w:val="44E77163"/>
    <w:rsid w:val="45021CD3"/>
    <w:rsid w:val="450658DE"/>
    <w:rsid w:val="451C0A0A"/>
    <w:rsid w:val="45333972"/>
    <w:rsid w:val="45532F03"/>
    <w:rsid w:val="4564582F"/>
    <w:rsid w:val="45825106"/>
    <w:rsid w:val="45841230"/>
    <w:rsid w:val="458C1CC8"/>
    <w:rsid w:val="458D53C4"/>
    <w:rsid w:val="45906632"/>
    <w:rsid w:val="459A27DD"/>
    <w:rsid w:val="459B2CB4"/>
    <w:rsid w:val="459F1D1D"/>
    <w:rsid w:val="45A40477"/>
    <w:rsid w:val="45AA7832"/>
    <w:rsid w:val="45AB33C5"/>
    <w:rsid w:val="45AD1CB3"/>
    <w:rsid w:val="45B9418D"/>
    <w:rsid w:val="45BD3D33"/>
    <w:rsid w:val="45FE7B40"/>
    <w:rsid w:val="46064FA8"/>
    <w:rsid w:val="46143C54"/>
    <w:rsid w:val="461F6CBD"/>
    <w:rsid w:val="46260744"/>
    <w:rsid w:val="462E4D0B"/>
    <w:rsid w:val="465D10B1"/>
    <w:rsid w:val="46641B92"/>
    <w:rsid w:val="466B6A8B"/>
    <w:rsid w:val="468370A5"/>
    <w:rsid w:val="46885F43"/>
    <w:rsid w:val="46AB0402"/>
    <w:rsid w:val="46E80E76"/>
    <w:rsid w:val="46F06DA8"/>
    <w:rsid w:val="46F26636"/>
    <w:rsid w:val="46F328DC"/>
    <w:rsid w:val="46F94D88"/>
    <w:rsid w:val="4702050B"/>
    <w:rsid w:val="47074882"/>
    <w:rsid w:val="473007A4"/>
    <w:rsid w:val="473665DD"/>
    <w:rsid w:val="4741407F"/>
    <w:rsid w:val="47523A7C"/>
    <w:rsid w:val="47695A64"/>
    <w:rsid w:val="476F3D09"/>
    <w:rsid w:val="47711A63"/>
    <w:rsid w:val="47764639"/>
    <w:rsid w:val="47784DC1"/>
    <w:rsid w:val="478A575C"/>
    <w:rsid w:val="479119AD"/>
    <w:rsid w:val="479124FD"/>
    <w:rsid w:val="4796372F"/>
    <w:rsid w:val="479F3B6B"/>
    <w:rsid w:val="47B962D1"/>
    <w:rsid w:val="48042A67"/>
    <w:rsid w:val="480D2231"/>
    <w:rsid w:val="481378E8"/>
    <w:rsid w:val="481A6132"/>
    <w:rsid w:val="481A75E6"/>
    <w:rsid w:val="481B12C4"/>
    <w:rsid w:val="4824661D"/>
    <w:rsid w:val="48341BC4"/>
    <w:rsid w:val="483C4382"/>
    <w:rsid w:val="483C7775"/>
    <w:rsid w:val="48416FA1"/>
    <w:rsid w:val="484F5307"/>
    <w:rsid w:val="4859075A"/>
    <w:rsid w:val="488B1F42"/>
    <w:rsid w:val="48A92B6D"/>
    <w:rsid w:val="48B0567E"/>
    <w:rsid w:val="48C53AED"/>
    <w:rsid w:val="48D07341"/>
    <w:rsid w:val="48D53C82"/>
    <w:rsid w:val="48DA5A4F"/>
    <w:rsid w:val="49234376"/>
    <w:rsid w:val="492A547E"/>
    <w:rsid w:val="492F2B83"/>
    <w:rsid w:val="497E222E"/>
    <w:rsid w:val="49913AB6"/>
    <w:rsid w:val="499B52F1"/>
    <w:rsid w:val="49D0764B"/>
    <w:rsid w:val="49D24472"/>
    <w:rsid w:val="49D60EDC"/>
    <w:rsid w:val="49F24C13"/>
    <w:rsid w:val="4A223A1A"/>
    <w:rsid w:val="4A2D65C2"/>
    <w:rsid w:val="4A5C125E"/>
    <w:rsid w:val="4A6D1278"/>
    <w:rsid w:val="4A7A6656"/>
    <w:rsid w:val="4A9555FB"/>
    <w:rsid w:val="4A9626ED"/>
    <w:rsid w:val="4A9D5D27"/>
    <w:rsid w:val="4AB22F9B"/>
    <w:rsid w:val="4ABA7868"/>
    <w:rsid w:val="4ACC209D"/>
    <w:rsid w:val="4AD05D68"/>
    <w:rsid w:val="4AD15EA8"/>
    <w:rsid w:val="4AD40AA9"/>
    <w:rsid w:val="4AD60A1B"/>
    <w:rsid w:val="4ADE6A2A"/>
    <w:rsid w:val="4B001C67"/>
    <w:rsid w:val="4B1F6703"/>
    <w:rsid w:val="4B394C07"/>
    <w:rsid w:val="4B5E4E21"/>
    <w:rsid w:val="4B653EE8"/>
    <w:rsid w:val="4B685392"/>
    <w:rsid w:val="4B6E2147"/>
    <w:rsid w:val="4B744FC7"/>
    <w:rsid w:val="4B7B6AD7"/>
    <w:rsid w:val="4B971437"/>
    <w:rsid w:val="4BC2721C"/>
    <w:rsid w:val="4BD13446"/>
    <w:rsid w:val="4BDB3A2E"/>
    <w:rsid w:val="4BDE4E26"/>
    <w:rsid w:val="4BE77940"/>
    <w:rsid w:val="4BF71990"/>
    <w:rsid w:val="4BFA4D67"/>
    <w:rsid w:val="4BFD2B6A"/>
    <w:rsid w:val="4BFD692A"/>
    <w:rsid w:val="4BFF634C"/>
    <w:rsid w:val="4C3409AD"/>
    <w:rsid w:val="4C5E5B1B"/>
    <w:rsid w:val="4C747441"/>
    <w:rsid w:val="4C9D6C64"/>
    <w:rsid w:val="4CA36148"/>
    <w:rsid w:val="4CAA3694"/>
    <w:rsid w:val="4CB40E35"/>
    <w:rsid w:val="4CBF5833"/>
    <w:rsid w:val="4CCF1D26"/>
    <w:rsid w:val="4CD16DEA"/>
    <w:rsid w:val="4CDB745A"/>
    <w:rsid w:val="4CE67532"/>
    <w:rsid w:val="4CEF0613"/>
    <w:rsid w:val="4CF90D94"/>
    <w:rsid w:val="4CF96CA0"/>
    <w:rsid w:val="4D0425BB"/>
    <w:rsid w:val="4D1E5F82"/>
    <w:rsid w:val="4D2070C3"/>
    <w:rsid w:val="4D24644E"/>
    <w:rsid w:val="4D246D4E"/>
    <w:rsid w:val="4D295462"/>
    <w:rsid w:val="4D2B6233"/>
    <w:rsid w:val="4D3C4D13"/>
    <w:rsid w:val="4D417741"/>
    <w:rsid w:val="4D442703"/>
    <w:rsid w:val="4D543545"/>
    <w:rsid w:val="4D58312A"/>
    <w:rsid w:val="4D5A6343"/>
    <w:rsid w:val="4D5F5F49"/>
    <w:rsid w:val="4D780E4B"/>
    <w:rsid w:val="4D804050"/>
    <w:rsid w:val="4D985F67"/>
    <w:rsid w:val="4DA8369F"/>
    <w:rsid w:val="4DAF3206"/>
    <w:rsid w:val="4DB07CC3"/>
    <w:rsid w:val="4DE21435"/>
    <w:rsid w:val="4DFB3B84"/>
    <w:rsid w:val="4E102C9D"/>
    <w:rsid w:val="4E2A2D57"/>
    <w:rsid w:val="4E2F6877"/>
    <w:rsid w:val="4E301F3C"/>
    <w:rsid w:val="4E32702F"/>
    <w:rsid w:val="4E3F1A76"/>
    <w:rsid w:val="4E3F4B6B"/>
    <w:rsid w:val="4E4E6716"/>
    <w:rsid w:val="4E537E62"/>
    <w:rsid w:val="4E550D6D"/>
    <w:rsid w:val="4E59784C"/>
    <w:rsid w:val="4E5E6AA6"/>
    <w:rsid w:val="4E773FF4"/>
    <w:rsid w:val="4E785257"/>
    <w:rsid w:val="4E7964E6"/>
    <w:rsid w:val="4E865B44"/>
    <w:rsid w:val="4E881E07"/>
    <w:rsid w:val="4E9F0A13"/>
    <w:rsid w:val="4ECA6F20"/>
    <w:rsid w:val="4ECC03DA"/>
    <w:rsid w:val="4EE941FB"/>
    <w:rsid w:val="4F033E1A"/>
    <w:rsid w:val="4F10677C"/>
    <w:rsid w:val="4F20191D"/>
    <w:rsid w:val="4F2528A8"/>
    <w:rsid w:val="4F2B14C9"/>
    <w:rsid w:val="4F515827"/>
    <w:rsid w:val="4F575DDE"/>
    <w:rsid w:val="4F5F418D"/>
    <w:rsid w:val="4F784764"/>
    <w:rsid w:val="4F7C4A23"/>
    <w:rsid w:val="4F9352C0"/>
    <w:rsid w:val="4F9C0B27"/>
    <w:rsid w:val="4F9C6DC0"/>
    <w:rsid w:val="4FD12BC7"/>
    <w:rsid w:val="4FE44A2A"/>
    <w:rsid w:val="50093181"/>
    <w:rsid w:val="5018066D"/>
    <w:rsid w:val="501A51A0"/>
    <w:rsid w:val="503775A2"/>
    <w:rsid w:val="503B287B"/>
    <w:rsid w:val="5052413B"/>
    <w:rsid w:val="505B3891"/>
    <w:rsid w:val="50780850"/>
    <w:rsid w:val="509B5E3E"/>
    <w:rsid w:val="509F6218"/>
    <w:rsid w:val="50A57C86"/>
    <w:rsid w:val="50B7272F"/>
    <w:rsid w:val="50BC01EA"/>
    <w:rsid w:val="50C879D0"/>
    <w:rsid w:val="50CD28E6"/>
    <w:rsid w:val="50E25F65"/>
    <w:rsid w:val="50F05BB6"/>
    <w:rsid w:val="50F32D38"/>
    <w:rsid w:val="50FB31D8"/>
    <w:rsid w:val="51140065"/>
    <w:rsid w:val="51387BBE"/>
    <w:rsid w:val="5142796F"/>
    <w:rsid w:val="51460193"/>
    <w:rsid w:val="51553EF2"/>
    <w:rsid w:val="5156675E"/>
    <w:rsid w:val="515F7FDB"/>
    <w:rsid w:val="516E0C67"/>
    <w:rsid w:val="516E7EFB"/>
    <w:rsid w:val="5172727C"/>
    <w:rsid w:val="517626B9"/>
    <w:rsid w:val="518E1F43"/>
    <w:rsid w:val="51957525"/>
    <w:rsid w:val="51A15403"/>
    <w:rsid w:val="51BB4CC9"/>
    <w:rsid w:val="51CC3A56"/>
    <w:rsid w:val="51DD64B7"/>
    <w:rsid w:val="51E519B4"/>
    <w:rsid w:val="51EC741D"/>
    <w:rsid w:val="51F973B9"/>
    <w:rsid w:val="51FF02DE"/>
    <w:rsid w:val="5207492A"/>
    <w:rsid w:val="521F4E30"/>
    <w:rsid w:val="521F635B"/>
    <w:rsid w:val="52252CE4"/>
    <w:rsid w:val="52265D28"/>
    <w:rsid w:val="522B1D64"/>
    <w:rsid w:val="522E04F0"/>
    <w:rsid w:val="522F54EB"/>
    <w:rsid w:val="52300298"/>
    <w:rsid w:val="528A1816"/>
    <w:rsid w:val="52961A0E"/>
    <w:rsid w:val="52A0341D"/>
    <w:rsid w:val="52AB7C60"/>
    <w:rsid w:val="52B151D9"/>
    <w:rsid w:val="52B17466"/>
    <w:rsid w:val="52B554BB"/>
    <w:rsid w:val="52C12735"/>
    <w:rsid w:val="52D20A1E"/>
    <w:rsid w:val="52E34BE4"/>
    <w:rsid w:val="52FA757A"/>
    <w:rsid w:val="52FB5201"/>
    <w:rsid w:val="52FE2F9F"/>
    <w:rsid w:val="5303375C"/>
    <w:rsid w:val="53183EFA"/>
    <w:rsid w:val="531F33F1"/>
    <w:rsid w:val="53260771"/>
    <w:rsid w:val="533613E9"/>
    <w:rsid w:val="5338387D"/>
    <w:rsid w:val="533F02BA"/>
    <w:rsid w:val="533F42AD"/>
    <w:rsid w:val="53425EED"/>
    <w:rsid w:val="535443B5"/>
    <w:rsid w:val="53612DD7"/>
    <w:rsid w:val="536554D5"/>
    <w:rsid w:val="53762564"/>
    <w:rsid w:val="537B354A"/>
    <w:rsid w:val="53946582"/>
    <w:rsid w:val="539913A2"/>
    <w:rsid w:val="53C13711"/>
    <w:rsid w:val="53C84B4C"/>
    <w:rsid w:val="53F0370E"/>
    <w:rsid w:val="54014261"/>
    <w:rsid w:val="540425B9"/>
    <w:rsid w:val="5408303C"/>
    <w:rsid w:val="541124F5"/>
    <w:rsid w:val="54492DDC"/>
    <w:rsid w:val="54580775"/>
    <w:rsid w:val="547840B9"/>
    <w:rsid w:val="54943560"/>
    <w:rsid w:val="549C0B11"/>
    <w:rsid w:val="54AF5CAF"/>
    <w:rsid w:val="54BF5696"/>
    <w:rsid w:val="5512049C"/>
    <w:rsid w:val="5514659C"/>
    <w:rsid w:val="55177DBE"/>
    <w:rsid w:val="552A39C3"/>
    <w:rsid w:val="552C390C"/>
    <w:rsid w:val="55313F67"/>
    <w:rsid w:val="553451A3"/>
    <w:rsid w:val="554117DA"/>
    <w:rsid w:val="5563280E"/>
    <w:rsid w:val="558230BE"/>
    <w:rsid w:val="55835612"/>
    <w:rsid w:val="558D2B64"/>
    <w:rsid w:val="5599459E"/>
    <w:rsid w:val="55AA0243"/>
    <w:rsid w:val="55B650F9"/>
    <w:rsid w:val="55B772BA"/>
    <w:rsid w:val="55BF7CD7"/>
    <w:rsid w:val="55D14F0B"/>
    <w:rsid w:val="55D644DB"/>
    <w:rsid w:val="55DE536A"/>
    <w:rsid w:val="55ED35D2"/>
    <w:rsid w:val="5609320D"/>
    <w:rsid w:val="56233C83"/>
    <w:rsid w:val="5629511C"/>
    <w:rsid w:val="5632175D"/>
    <w:rsid w:val="56357976"/>
    <w:rsid w:val="56393B4D"/>
    <w:rsid w:val="56593C9B"/>
    <w:rsid w:val="56600C9C"/>
    <w:rsid w:val="566C30F5"/>
    <w:rsid w:val="567916D2"/>
    <w:rsid w:val="567B2446"/>
    <w:rsid w:val="56807095"/>
    <w:rsid w:val="56896545"/>
    <w:rsid w:val="568A083A"/>
    <w:rsid w:val="56A06DCC"/>
    <w:rsid w:val="56C00CAD"/>
    <w:rsid w:val="56DD1477"/>
    <w:rsid w:val="56E35F93"/>
    <w:rsid w:val="56E6081C"/>
    <w:rsid w:val="5713595B"/>
    <w:rsid w:val="57247118"/>
    <w:rsid w:val="57582F02"/>
    <w:rsid w:val="576C1F33"/>
    <w:rsid w:val="5786706D"/>
    <w:rsid w:val="578B4E4A"/>
    <w:rsid w:val="57AC074F"/>
    <w:rsid w:val="57AE2EEB"/>
    <w:rsid w:val="57B840AD"/>
    <w:rsid w:val="57BD533B"/>
    <w:rsid w:val="57DA5967"/>
    <w:rsid w:val="57DF31A7"/>
    <w:rsid w:val="57E351E4"/>
    <w:rsid w:val="57E72DC6"/>
    <w:rsid w:val="57F27E8B"/>
    <w:rsid w:val="57F72985"/>
    <w:rsid w:val="58211046"/>
    <w:rsid w:val="582F553C"/>
    <w:rsid w:val="58351431"/>
    <w:rsid w:val="584913A2"/>
    <w:rsid w:val="58590650"/>
    <w:rsid w:val="585F152F"/>
    <w:rsid w:val="586C69E1"/>
    <w:rsid w:val="58810249"/>
    <w:rsid w:val="588F1717"/>
    <w:rsid w:val="5892339C"/>
    <w:rsid w:val="58A41ED1"/>
    <w:rsid w:val="58AE5714"/>
    <w:rsid w:val="58DF278A"/>
    <w:rsid w:val="58E66AA4"/>
    <w:rsid w:val="58EB3010"/>
    <w:rsid w:val="58EE5D3F"/>
    <w:rsid w:val="595F269C"/>
    <w:rsid w:val="597717DF"/>
    <w:rsid w:val="59AA3CF4"/>
    <w:rsid w:val="59BA0EEF"/>
    <w:rsid w:val="59E57BB8"/>
    <w:rsid w:val="5A013C7B"/>
    <w:rsid w:val="5A04134C"/>
    <w:rsid w:val="5A27224B"/>
    <w:rsid w:val="5A385037"/>
    <w:rsid w:val="5A4F5CDF"/>
    <w:rsid w:val="5A545FA0"/>
    <w:rsid w:val="5A7D69DE"/>
    <w:rsid w:val="5A7D7F73"/>
    <w:rsid w:val="5A866CD6"/>
    <w:rsid w:val="5A887E11"/>
    <w:rsid w:val="5A8A785A"/>
    <w:rsid w:val="5A901ED1"/>
    <w:rsid w:val="5A930AED"/>
    <w:rsid w:val="5AAC0148"/>
    <w:rsid w:val="5ABD5DCB"/>
    <w:rsid w:val="5AC879A5"/>
    <w:rsid w:val="5AE465BE"/>
    <w:rsid w:val="5AEE25D7"/>
    <w:rsid w:val="5AFA5C4A"/>
    <w:rsid w:val="5B054323"/>
    <w:rsid w:val="5B075410"/>
    <w:rsid w:val="5B10487B"/>
    <w:rsid w:val="5B1643ED"/>
    <w:rsid w:val="5B204C1E"/>
    <w:rsid w:val="5B2E1A00"/>
    <w:rsid w:val="5B2F176D"/>
    <w:rsid w:val="5B362E1E"/>
    <w:rsid w:val="5B3D3F9B"/>
    <w:rsid w:val="5B6F5004"/>
    <w:rsid w:val="5B7165B3"/>
    <w:rsid w:val="5B727416"/>
    <w:rsid w:val="5B91406E"/>
    <w:rsid w:val="5B925A1A"/>
    <w:rsid w:val="5BA13FB8"/>
    <w:rsid w:val="5BA1526A"/>
    <w:rsid w:val="5BBA7192"/>
    <w:rsid w:val="5BBF79EC"/>
    <w:rsid w:val="5BC7047F"/>
    <w:rsid w:val="5BCD4BF8"/>
    <w:rsid w:val="5BD93111"/>
    <w:rsid w:val="5BF569A9"/>
    <w:rsid w:val="5C041632"/>
    <w:rsid w:val="5C0540D3"/>
    <w:rsid w:val="5C0A7D24"/>
    <w:rsid w:val="5C122F56"/>
    <w:rsid w:val="5C18611B"/>
    <w:rsid w:val="5C233261"/>
    <w:rsid w:val="5C23636D"/>
    <w:rsid w:val="5C427F42"/>
    <w:rsid w:val="5C4B491E"/>
    <w:rsid w:val="5C4C7BE3"/>
    <w:rsid w:val="5C524BE6"/>
    <w:rsid w:val="5C59021C"/>
    <w:rsid w:val="5C840CAC"/>
    <w:rsid w:val="5C904438"/>
    <w:rsid w:val="5C9B592C"/>
    <w:rsid w:val="5CAA08C6"/>
    <w:rsid w:val="5CBA12C4"/>
    <w:rsid w:val="5CBA3C5B"/>
    <w:rsid w:val="5CBB61B6"/>
    <w:rsid w:val="5CD66CCF"/>
    <w:rsid w:val="5D065C6B"/>
    <w:rsid w:val="5D095A65"/>
    <w:rsid w:val="5D144AC6"/>
    <w:rsid w:val="5D220395"/>
    <w:rsid w:val="5D2541DE"/>
    <w:rsid w:val="5D326E32"/>
    <w:rsid w:val="5D436028"/>
    <w:rsid w:val="5D4460A8"/>
    <w:rsid w:val="5D4E2DDD"/>
    <w:rsid w:val="5D582521"/>
    <w:rsid w:val="5D9D19FA"/>
    <w:rsid w:val="5DA6258B"/>
    <w:rsid w:val="5DBE52A9"/>
    <w:rsid w:val="5DC574BD"/>
    <w:rsid w:val="5DD11987"/>
    <w:rsid w:val="5DE33E58"/>
    <w:rsid w:val="5DE43C1C"/>
    <w:rsid w:val="5DF47437"/>
    <w:rsid w:val="5DFC7E1C"/>
    <w:rsid w:val="5E051B85"/>
    <w:rsid w:val="5E0C7CD7"/>
    <w:rsid w:val="5E0F0388"/>
    <w:rsid w:val="5E204451"/>
    <w:rsid w:val="5E223213"/>
    <w:rsid w:val="5E294729"/>
    <w:rsid w:val="5E3210F3"/>
    <w:rsid w:val="5E4F03E7"/>
    <w:rsid w:val="5E5A1BD3"/>
    <w:rsid w:val="5E5A3BFA"/>
    <w:rsid w:val="5E8C72EA"/>
    <w:rsid w:val="5E9C28F6"/>
    <w:rsid w:val="5EA30917"/>
    <w:rsid w:val="5EB563DF"/>
    <w:rsid w:val="5EBB7E43"/>
    <w:rsid w:val="5EC00277"/>
    <w:rsid w:val="5EC34EE6"/>
    <w:rsid w:val="5ED04856"/>
    <w:rsid w:val="5EDF70F5"/>
    <w:rsid w:val="5EEF225F"/>
    <w:rsid w:val="5EFC3082"/>
    <w:rsid w:val="5F033ADA"/>
    <w:rsid w:val="5F036602"/>
    <w:rsid w:val="5F165439"/>
    <w:rsid w:val="5F257415"/>
    <w:rsid w:val="5F395B52"/>
    <w:rsid w:val="5F3E3F62"/>
    <w:rsid w:val="5F5042FF"/>
    <w:rsid w:val="5F534046"/>
    <w:rsid w:val="5F555D47"/>
    <w:rsid w:val="5F5E654A"/>
    <w:rsid w:val="5F6771DD"/>
    <w:rsid w:val="5F871A2C"/>
    <w:rsid w:val="5F942373"/>
    <w:rsid w:val="5F9B6543"/>
    <w:rsid w:val="5FAC43DB"/>
    <w:rsid w:val="5FB70525"/>
    <w:rsid w:val="5FDC7715"/>
    <w:rsid w:val="5FF97377"/>
    <w:rsid w:val="600305F8"/>
    <w:rsid w:val="601041FC"/>
    <w:rsid w:val="601A7D61"/>
    <w:rsid w:val="601F6462"/>
    <w:rsid w:val="60443BAF"/>
    <w:rsid w:val="60567F2C"/>
    <w:rsid w:val="606306B2"/>
    <w:rsid w:val="6065268E"/>
    <w:rsid w:val="606F13D2"/>
    <w:rsid w:val="608F7B0C"/>
    <w:rsid w:val="60C232EE"/>
    <w:rsid w:val="60C76B6A"/>
    <w:rsid w:val="60D768FD"/>
    <w:rsid w:val="60EF2FA3"/>
    <w:rsid w:val="60FC649C"/>
    <w:rsid w:val="61026A43"/>
    <w:rsid w:val="610677D5"/>
    <w:rsid w:val="610E5E10"/>
    <w:rsid w:val="6110390B"/>
    <w:rsid w:val="611A3094"/>
    <w:rsid w:val="6120717B"/>
    <w:rsid w:val="612264DA"/>
    <w:rsid w:val="61340747"/>
    <w:rsid w:val="614066E7"/>
    <w:rsid w:val="615C6CF2"/>
    <w:rsid w:val="616268E7"/>
    <w:rsid w:val="616B00F8"/>
    <w:rsid w:val="616B03B1"/>
    <w:rsid w:val="617D1F7F"/>
    <w:rsid w:val="618449C1"/>
    <w:rsid w:val="619A44CD"/>
    <w:rsid w:val="61BC1A5F"/>
    <w:rsid w:val="61E059B2"/>
    <w:rsid w:val="61EA5AEF"/>
    <w:rsid w:val="62045980"/>
    <w:rsid w:val="621E6211"/>
    <w:rsid w:val="62301FCD"/>
    <w:rsid w:val="62470CE2"/>
    <w:rsid w:val="624D717D"/>
    <w:rsid w:val="625503BB"/>
    <w:rsid w:val="62554C56"/>
    <w:rsid w:val="62670967"/>
    <w:rsid w:val="626A522C"/>
    <w:rsid w:val="626B3F97"/>
    <w:rsid w:val="627A57E9"/>
    <w:rsid w:val="628B03DF"/>
    <w:rsid w:val="629A4AF2"/>
    <w:rsid w:val="629D4807"/>
    <w:rsid w:val="629E1423"/>
    <w:rsid w:val="62BE6B86"/>
    <w:rsid w:val="62E90ED6"/>
    <w:rsid w:val="630571AA"/>
    <w:rsid w:val="63103F8B"/>
    <w:rsid w:val="6327084D"/>
    <w:rsid w:val="633D32C6"/>
    <w:rsid w:val="634A75A9"/>
    <w:rsid w:val="636A1FA3"/>
    <w:rsid w:val="63726763"/>
    <w:rsid w:val="63742704"/>
    <w:rsid w:val="637632A7"/>
    <w:rsid w:val="638B5B88"/>
    <w:rsid w:val="63985349"/>
    <w:rsid w:val="64071E3A"/>
    <w:rsid w:val="640F2FA2"/>
    <w:rsid w:val="642E4E7D"/>
    <w:rsid w:val="64375230"/>
    <w:rsid w:val="643D4405"/>
    <w:rsid w:val="64447DD9"/>
    <w:rsid w:val="644842FE"/>
    <w:rsid w:val="64611937"/>
    <w:rsid w:val="64631745"/>
    <w:rsid w:val="646F19A1"/>
    <w:rsid w:val="64701117"/>
    <w:rsid w:val="64722FBB"/>
    <w:rsid w:val="647732AB"/>
    <w:rsid w:val="648F00BD"/>
    <w:rsid w:val="64946053"/>
    <w:rsid w:val="64961944"/>
    <w:rsid w:val="64AD327B"/>
    <w:rsid w:val="64B0262D"/>
    <w:rsid w:val="64DD1AC6"/>
    <w:rsid w:val="64F25DA7"/>
    <w:rsid w:val="65377905"/>
    <w:rsid w:val="65436EE7"/>
    <w:rsid w:val="655B34F7"/>
    <w:rsid w:val="65762A68"/>
    <w:rsid w:val="658225B4"/>
    <w:rsid w:val="659F2CB0"/>
    <w:rsid w:val="65AD4BE8"/>
    <w:rsid w:val="65BA4974"/>
    <w:rsid w:val="65C22E4E"/>
    <w:rsid w:val="65F742E0"/>
    <w:rsid w:val="65F81427"/>
    <w:rsid w:val="66062936"/>
    <w:rsid w:val="66107D8F"/>
    <w:rsid w:val="661720AF"/>
    <w:rsid w:val="6617603D"/>
    <w:rsid w:val="66214677"/>
    <w:rsid w:val="66260A4B"/>
    <w:rsid w:val="6634309B"/>
    <w:rsid w:val="663F7F11"/>
    <w:rsid w:val="665D4532"/>
    <w:rsid w:val="666312C4"/>
    <w:rsid w:val="6681601B"/>
    <w:rsid w:val="668C3222"/>
    <w:rsid w:val="66925D0F"/>
    <w:rsid w:val="669E0EEC"/>
    <w:rsid w:val="66BE0BCD"/>
    <w:rsid w:val="66DC4891"/>
    <w:rsid w:val="66E90337"/>
    <w:rsid w:val="66FA5570"/>
    <w:rsid w:val="67092700"/>
    <w:rsid w:val="67214311"/>
    <w:rsid w:val="676C5CD0"/>
    <w:rsid w:val="67A774F3"/>
    <w:rsid w:val="67B75ACD"/>
    <w:rsid w:val="67BB4C73"/>
    <w:rsid w:val="67BB6747"/>
    <w:rsid w:val="67DD1735"/>
    <w:rsid w:val="67DE2599"/>
    <w:rsid w:val="67FC3E2B"/>
    <w:rsid w:val="68070702"/>
    <w:rsid w:val="68152C38"/>
    <w:rsid w:val="681B065B"/>
    <w:rsid w:val="68222A52"/>
    <w:rsid w:val="68263798"/>
    <w:rsid w:val="68321253"/>
    <w:rsid w:val="68321F3B"/>
    <w:rsid w:val="68685C54"/>
    <w:rsid w:val="686D0439"/>
    <w:rsid w:val="687301B7"/>
    <w:rsid w:val="68753606"/>
    <w:rsid w:val="688F6127"/>
    <w:rsid w:val="6898058C"/>
    <w:rsid w:val="68A9544C"/>
    <w:rsid w:val="68AE6F6F"/>
    <w:rsid w:val="68B73644"/>
    <w:rsid w:val="68C605ED"/>
    <w:rsid w:val="68C82183"/>
    <w:rsid w:val="68D33DD0"/>
    <w:rsid w:val="68E8365A"/>
    <w:rsid w:val="68FF03D2"/>
    <w:rsid w:val="690443C3"/>
    <w:rsid w:val="690C7F9C"/>
    <w:rsid w:val="691A4B74"/>
    <w:rsid w:val="691C1C0D"/>
    <w:rsid w:val="692374FA"/>
    <w:rsid w:val="693277D2"/>
    <w:rsid w:val="695F399B"/>
    <w:rsid w:val="696E1717"/>
    <w:rsid w:val="69797761"/>
    <w:rsid w:val="699521A6"/>
    <w:rsid w:val="69A2433A"/>
    <w:rsid w:val="69A763A4"/>
    <w:rsid w:val="69AE65D8"/>
    <w:rsid w:val="69C403E7"/>
    <w:rsid w:val="69C96D4E"/>
    <w:rsid w:val="69CA38F5"/>
    <w:rsid w:val="69CD517D"/>
    <w:rsid w:val="69DA713F"/>
    <w:rsid w:val="69E4039B"/>
    <w:rsid w:val="69EC7822"/>
    <w:rsid w:val="69F03633"/>
    <w:rsid w:val="6A0825E9"/>
    <w:rsid w:val="6A10322D"/>
    <w:rsid w:val="6A2A0858"/>
    <w:rsid w:val="6A2A3509"/>
    <w:rsid w:val="6A302EF9"/>
    <w:rsid w:val="6A307763"/>
    <w:rsid w:val="6A5F07DE"/>
    <w:rsid w:val="6A63135B"/>
    <w:rsid w:val="6A6C5DF3"/>
    <w:rsid w:val="6A7639AD"/>
    <w:rsid w:val="6A8408A2"/>
    <w:rsid w:val="6A897E47"/>
    <w:rsid w:val="6A8E3F8C"/>
    <w:rsid w:val="6A996974"/>
    <w:rsid w:val="6A9F5FDC"/>
    <w:rsid w:val="6AA80235"/>
    <w:rsid w:val="6AA9466E"/>
    <w:rsid w:val="6AB168BB"/>
    <w:rsid w:val="6AB53E13"/>
    <w:rsid w:val="6ABB2167"/>
    <w:rsid w:val="6ACD1080"/>
    <w:rsid w:val="6AD73A15"/>
    <w:rsid w:val="6ADC5946"/>
    <w:rsid w:val="6AE53B71"/>
    <w:rsid w:val="6AEA55F8"/>
    <w:rsid w:val="6AFB4024"/>
    <w:rsid w:val="6AFC4914"/>
    <w:rsid w:val="6B055F30"/>
    <w:rsid w:val="6B1A135C"/>
    <w:rsid w:val="6B2E08F7"/>
    <w:rsid w:val="6B3F48C0"/>
    <w:rsid w:val="6B42090F"/>
    <w:rsid w:val="6B481770"/>
    <w:rsid w:val="6B681B58"/>
    <w:rsid w:val="6B6D5735"/>
    <w:rsid w:val="6B705FBB"/>
    <w:rsid w:val="6B741911"/>
    <w:rsid w:val="6B7A2EE3"/>
    <w:rsid w:val="6B835F65"/>
    <w:rsid w:val="6B85737E"/>
    <w:rsid w:val="6B8C3147"/>
    <w:rsid w:val="6B901C0C"/>
    <w:rsid w:val="6BA77A3E"/>
    <w:rsid w:val="6BAD2632"/>
    <w:rsid w:val="6BDF546D"/>
    <w:rsid w:val="6BE83A83"/>
    <w:rsid w:val="6BE90EB4"/>
    <w:rsid w:val="6BEB3022"/>
    <w:rsid w:val="6BF61C94"/>
    <w:rsid w:val="6C0F59F4"/>
    <w:rsid w:val="6C124245"/>
    <w:rsid w:val="6C131E26"/>
    <w:rsid w:val="6C14337E"/>
    <w:rsid w:val="6C3C5458"/>
    <w:rsid w:val="6C4E594A"/>
    <w:rsid w:val="6C5F1650"/>
    <w:rsid w:val="6C67217F"/>
    <w:rsid w:val="6C9A3241"/>
    <w:rsid w:val="6C9B34A3"/>
    <w:rsid w:val="6C9C1CDD"/>
    <w:rsid w:val="6CC26D51"/>
    <w:rsid w:val="6CC84BF6"/>
    <w:rsid w:val="6CDF2CE1"/>
    <w:rsid w:val="6CFF49A8"/>
    <w:rsid w:val="6D14389C"/>
    <w:rsid w:val="6D1D6A73"/>
    <w:rsid w:val="6D39290F"/>
    <w:rsid w:val="6D48544B"/>
    <w:rsid w:val="6D500AE0"/>
    <w:rsid w:val="6D72771C"/>
    <w:rsid w:val="6D772F9C"/>
    <w:rsid w:val="6D8D407D"/>
    <w:rsid w:val="6D8E7797"/>
    <w:rsid w:val="6D8F4C4A"/>
    <w:rsid w:val="6D96521F"/>
    <w:rsid w:val="6D9A1401"/>
    <w:rsid w:val="6DC805BF"/>
    <w:rsid w:val="6DDF2A88"/>
    <w:rsid w:val="6DEC7BAB"/>
    <w:rsid w:val="6E0545C9"/>
    <w:rsid w:val="6E102D95"/>
    <w:rsid w:val="6E534E32"/>
    <w:rsid w:val="6E5F376C"/>
    <w:rsid w:val="6E9B02EE"/>
    <w:rsid w:val="6EB64EEC"/>
    <w:rsid w:val="6EC44281"/>
    <w:rsid w:val="6ED91BBE"/>
    <w:rsid w:val="6EF55ABC"/>
    <w:rsid w:val="6EF81A31"/>
    <w:rsid w:val="6F15543E"/>
    <w:rsid w:val="6F3B7666"/>
    <w:rsid w:val="6F4D1AD6"/>
    <w:rsid w:val="6F584873"/>
    <w:rsid w:val="6F5A0355"/>
    <w:rsid w:val="6F620A3C"/>
    <w:rsid w:val="6F6817AA"/>
    <w:rsid w:val="6F76697E"/>
    <w:rsid w:val="6F834D46"/>
    <w:rsid w:val="6F910FD8"/>
    <w:rsid w:val="6FE8725A"/>
    <w:rsid w:val="7000538D"/>
    <w:rsid w:val="7004434E"/>
    <w:rsid w:val="700B082A"/>
    <w:rsid w:val="700B126B"/>
    <w:rsid w:val="701F3698"/>
    <w:rsid w:val="70235007"/>
    <w:rsid w:val="704E046C"/>
    <w:rsid w:val="705538A8"/>
    <w:rsid w:val="707529AB"/>
    <w:rsid w:val="70816560"/>
    <w:rsid w:val="709118DF"/>
    <w:rsid w:val="709542D7"/>
    <w:rsid w:val="709667F3"/>
    <w:rsid w:val="70A35890"/>
    <w:rsid w:val="70AC6C55"/>
    <w:rsid w:val="70AE1569"/>
    <w:rsid w:val="70BB0024"/>
    <w:rsid w:val="70E53C46"/>
    <w:rsid w:val="712D2DDB"/>
    <w:rsid w:val="71373D44"/>
    <w:rsid w:val="71657831"/>
    <w:rsid w:val="7175335A"/>
    <w:rsid w:val="718F16CB"/>
    <w:rsid w:val="71916D35"/>
    <w:rsid w:val="719F60D2"/>
    <w:rsid w:val="71A326CB"/>
    <w:rsid w:val="71AF6D29"/>
    <w:rsid w:val="71B01520"/>
    <w:rsid w:val="71C978BA"/>
    <w:rsid w:val="71F431B4"/>
    <w:rsid w:val="71FD7D3F"/>
    <w:rsid w:val="72007752"/>
    <w:rsid w:val="725D32E5"/>
    <w:rsid w:val="725F01C9"/>
    <w:rsid w:val="72711F98"/>
    <w:rsid w:val="727A65E9"/>
    <w:rsid w:val="727F52C5"/>
    <w:rsid w:val="729330E0"/>
    <w:rsid w:val="72AC4040"/>
    <w:rsid w:val="72BF4C43"/>
    <w:rsid w:val="72D10E95"/>
    <w:rsid w:val="72D36B62"/>
    <w:rsid w:val="72D92B8E"/>
    <w:rsid w:val="72E04BD3"/>
    <w:rsid w:val="72E20D4E"/>
    <w:rsid w:val="72E25110"/>
    <w:rsid w:val="72EB5F90"/>
    <w:rsid w:val="72F5224F"/>
    <w:rsid w:val="72F76424"/>
    <w:rsid w:val="72F96B42"/>
    <w:rsid w:val="72FA2C65"/>
    <w:rsid w:val="731E764C"/>
    <w:rsid w:val="732451A4"/>
    <w:rsid w:val="73306335"/>
    <w:rsid w:val="73426BC8"/>
    <w:rsid w:val="734E21B8"/>
    <w:rsid w:val="736C21F6"/>
    <w:rsid w:val="737776E4"/>
    <w:rsid w:val="73820859"/>
    <w:rsid w:val="73B74611"/>
    <w:rsid w:val="73BA1757"/>
    <w:rsid w:val="73CD2B63"/>
    <w:rsid w:val="73D1735E"/>
    <w:rsid w:val="73DE28C8"/>
    <w:rsid w:val="73F453AC"/>
    <w:rsid w:val="73FB1E40"/>
    <w:rsid w:val="740524DA"/>
    <w:rsid w:val="74274609"/>
    <w:rsid w:val="74276562"/>
    <w:rsid w:val="742D5EA6"/>
    <w:rsid w:val="743761D6"/>
    <w:rsid w:val="744E01EB"/>
    <w:rsid w:val="74552B5A"/>
    <w:rsid w:val="74713881"/>
    <w:rsid w:val="747524F1"/>
    <w:rsid w:val="74757794"/>
    <w:rsid w:val="74797AD0"/>
    <w:rsid w:val="74952BFE"/>
    <w:rsid w:val="749C2EFB"/>
    <w:rsid w:val="74A9391D"/>
    <w:rsid w:val="74BB7A0E"/>
    <w:rsid w:val="74C911C1"/>
    <w:rsid w:val="74D90BD6"/>
    <w:rsid w:val="74F33E77"/>
    <w:rsid w:val="751704FF"/>
    <w:rsid w:val="752363AF"/>
    <w:rsid w:val="75484D72"/>
    <w:rsid w:val="75505153"/>
    <w:rsid w:val="75515095"/>
    <w:rsid w:val="75662FFC"/>
    <w:rsid w:val="75950953"/>
    <w:rsid w:val="759B0264"/>
    <w:rsid w:val="759F4364"/>
    <w:rsid w:val="75AB160F"/>
    <w:rsid w:val="75AC3775"/>
    <w:rsid w:val="75B93C8A"/>
    <w:rsid w:val="75C33E01"/>
    <w:rsid w:val="75EE66BE"/>
    <w:rsid w:val="760467F0"/>
    <w:rsid w:val="760703E4"/>
    <w:rsid w:val="760C2382"/>
    <w:rsid w:val="760E203C"/>
    <w:rsid w:val="76205124"/>
    <w:rsid w:val="763361D7"/>
    <w:rsid w:val="76364750"/>
    <w:rsid w:val="764F5BCB"/>
    <w:rsid w:val="7673108D"/>
    <w:rsid w:val="769A08C7"/>
    <w:rsid w:val="769E519C"/>
    <w:rsid w:val="76A65D8E"/>
    <w:rsid w:val="76C601EE"/>
    <w:rsid w:val="76D20908"/>
    <w:rsid w:val="76DF7AE5"/>
    <w:rsid w:val="76E11597"/>
    <w:rsid w:val="77015F9C"/>
    <w:rsid w:val="770B7914"/>
    <w:rsid w:val="770D7E0D"/>
    <w:rsid w:val="773150F6"/>
    <w:rsid w:val="77424EED"/>
    <w:rsid w:val="77500DF0"/>
    <w:rsid w:val="77545019"/>
    <w:rsid w:val="77586810"/>
    <w:rsid w:val="77592917"/>
    <w:rsid w:val="775C13BB"/>
    <w:rsid w:val="7760130B"/>
    <w:rsid w:val="77643B5B"/>
    <w:rsid w:val="777327D7"/>
    <w:rsid w:val="777619AD"/>
    <w:rsid w:val="778D0EB0"/>
    <w:rsid w:val="778E121E"/>
    <w:rsid w:val="77901934"/>
    <w:rsid w:val="77906B07"/>
    <w:rsid w:val="77D84FD7"/>
    <w:rsid w:val="77E22B0F"/>
    <w:rsid w:val="77E762F6"/>
    <w:rsid w:val="780146A1"/>
    <w:rsid w:val="7810281B"/>
    <w:rsid w:val="78384FD5"/>
    <w:rsid w:val="784A3964"/>
    <w:rsid w:val="78635A04"/>
    <w:rsid w:val="786B6887"/>
    <w:rsid w:val="786C384A"/>
    <w:rsid w:val="787A10A5"/>
    <w:rsid w:val="78813A58"/>
    <w:rsid w:val="788C5F2E"/>
    <w:rsid w:val="789F4521"/>
    <w:rsid w:val="78A413AE"/>
    <w:rsid w:val="78AA29B2"/>
    <w:rsid w:val="78BE440E"/>
    <w:rsid w:val="78D26D14"/>
    <w:rsid w:val="78D33975"/>
    <w:rsid w:val="78D94426"/>
    <w:rsid w:val="78ED3ABB"/>
    <w:rsid w:val="791138BD"/>
    <w:rsid w:val="79410617"/>
    <w:rsid w:val="795D28CA"/>
    <w:rsid w:val="797B0C4A"/>
    <w:rsid w:val="797E48BD"/>
    <w:rsid w:val="79964377"/>
    <w:rsid w:val="79A02457"/>
    <w:rsid w:val="79BA102C"/>
    <w:rsid w:val="79D56496"/>
    <w:rsid w:val="79D866E8"/>
    <w:rsid w:val="79E052FB"/>
    <w:rsid w:val="79E20C0B"/>
    <w:rsid w:val="79E82594"/>
    <w:rsid w:val="79F17877"/>
    <w:rsid w:val="79FD1662"/>
    <w:rsid w:val="7A031B60"/>
    <w:rsid w:val="7A0D2075"/>
    <w:rsid w:val="7A2248B8"/>
    <w:rsid w:val="7A2F0A5C"/>
    <w:rsid w:val="7A522637"/>
    <w:rsid w:val="7A615F33"/>
    <w:rsid w:val="7A6212AB"/>
    <w:rsid w:val="7A6875F8"/>
    <w:rsid w:val="7ABF4536"/>
    <w:rsid w:val="7AF46517"/>
    <w:rsid w:val="7AFB129C"/>
    <w:rsid w:val="7AFD7EDB"/>
    <w:rsid w:val="7B056F98"/>
    <w:rsid w:val="7B06190A"/>
    <w:rsid w:val="7B0D78B6"/>
    <w:rsid w:val="7B1A1F96"/>
    <w:rsid w:val="7B230A1C"/>
    <w:rsid w:val="7B235431"/>
    <w:rsid w:val="7B2603B4"/>
    <w:rsid w:val="7B2F5E7E"/>
    <w:rsid w:val="7B466F2F"/>
    <w:rsid w:val="7B504A21"/>
    <w:rsid w:val="7B5509A6"/>
    <w:rsid w:val="7B5B21AB"/>
    <w:rsid w:val="7B606E4C"/>
    <w:rsid w:val="7B6B04A4"/>
    <w:rsid w:val="7B7C0A84"/>
    <w:rsid w:val="7BC93E35"/>
    <w:rsid w:val="7BD5140B"/>
    <w:rsid w:val="7BE557BE"/>
    <w:rsid w:val="7BEA1CF4"/>
    <w:rsid w:val="7C09210E"/>
    <w:rsid w:val="7C1632FC"/>
    <w:rsid w:val="7C2A359A"/>
    <w:rsid w:val="7C335171"/>
    <w:rsid w:val="7C3C2F58"/>
    <w:rsid w:val="7C4367BE"/>
    <w:rsid w:val="7C471F62"/>
    <w:rsid w:val="7C492E57"/>
    <w:rsid w:val="7C5A0067"/>
    <w:rsid w:val="7C6475FD"/>
    <w:rsid w:val="7C79710D"/>
    <w:rsid w:val="7C823A37"/>
    <w:rsid w:val="7CC23E74"/>
    <w:rsid w:val="7CCB0ABE"/>
    <w:rsid w:val="7CEA68EF"/>
    <w:rsid w:val="7D265643"/>
    <w:rsid w:val="7D3F5BAA"/>
    <w:rsid w:val="7D45560E"/>
    <w:rsid w:val="7D596CCA"/>
    <w:rsid w:val="7D622838"/>
    <w:rsid w:val="7D6B3C34"/>
    <w:rsid w:val="7D870B8B"/>
    <w:rsid w:val="7DA54057"/>
    <w:rsid w:val="7DA55DCE"/>
    <w:rsid w:val="7DB9117E"/>
    <w:rsid w:val="7DC347BF"/>
    <w:rsid w:val="7DCE5DF3"/>
    <w:rsid w:val="7DD90427"/>
    <w:rsid w:val="7DDD6C38"/>
    <w:rsid w:val="7DE24FC2"/>
    <w:rsid w:val="7E0D7796"/>
    <w:rsid w:val="7E102F70"/>
    <w:rsid w:val="7E295FEA"/>
    <w:rsid w:val="7E4E0349"/>
    <w:rsid w:val="7E70490F"/>
    <w:rsid w:val="7E752534"/>
    <w:rsid w:val="7E8F4CE3"/>
    <w:rsid w:val="7EAA41CA"/>
    <w:rsid w:val="7EB54D7D"/>
    <w:rsid w:val="7EB916F3"/>
    <w:rsid w:val="7EC128D4"/>
    <w:rsid w:val="7EE91EE6"/>
    <w:rsid w:val="7EEB6771"/>
    <w:rsid w:val="7EFE6482"/>
    <w:rsid w:val="7F1343EA"/>
    <w:rsid w:val="7F162D24"/>
    <w:rsid w:val="7F2E7E95"/>
    <w:rsid w:val="7F340924"/>
    <w:rsid w:val="7F496CBE"/>
    <w:rsid w:val="7F557F56"/>
    <w:rsid w:val="7F7845A3"/>
    <w:rsid w:val="7F796119"/>
    <w:rsid w:val="7F7B1BC3"/>
    <w:rsid w:val="7F8C6F13"/>
    <w:rsid w:val="7F8D199D"/>
    <w:rsid w:val="7FAD4D02"/>
    <w:rsid w:val="7FB46AB7"/>
    <w:rsid w:val="7FC40915"/>
    <w:rsid w:val="7FC641B5"/>
    <w:rsid w:val="7FD84CA3"/>
    <w:rsid w:val="7FE676D2"/>
    <w:rsid w:val="7FFB30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qFormat="1" w:unhideWhenUsed="0" w:uiPriority="0" w:name="table of figures"/>
    <w:lsdException w:qFormat="1" w:unhideWhenUsed="0" w:uiPriority="0" w:semiHidden="0" w:name="envelope address"/>
    <w:lsdException w:qFormat="1" w:unhideWhenUsed="0" w:uiPriority="0" w:semiHidden="0" w:name="envelope return"/>
    <w:lsdException w:qFormat="1" w:unhideWhenUsed="0" w:uiPriority="99"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99" w:semiHidden="0" w:name="Balloon Text"/>
    <w:lsdException w:qFormat="1" w:unhideWhenUsed="0" w:uiPriority="59" w:semiHidden="0" w:name="Table Grid"/>
    <w:lsdException w:qFormat="1" w:unhideWhenUsed="0" w:uiPriority="0" w:semiHidden="0" w:name="Table Theme"/>
    <w:lsdException w:qFormat="1"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qFormat="1"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jc w:val="both"/>
    </w:pPr>
    <w:rPr>
      <w:rFonts w:ascii="Times New Roman" w:hAnsi="Times New Roman" w:eastAsia="宋体" w:cs="Times New Roman"/>
      <w:sz w:val="24"/>
      <w:szCs w:val="24"/>
      <w:lang w:val="en-US" w:eastAsia="zh-CN" w:bidi="ar-SA"/>
    </w:rPr>
  </w:style>
  <w:style w:type="paragraph" w:styleId="2">
    <w:name w:val="heading 1"/>
    <w:basedOn w:val="1"/>
    <w:next w:val="1"/>
    <w:link w:val="137"/>
    <w:qFormat/>
    <w:uiPriority w:val="0"/>
    <w:pPr>
      <w:widowControl w:val="0"/>
      <w:spacing w:before="100" w:beforeLines="100" w:after="100" w:afterLines="100"/>
      <w:ind w:firstLine="0" w:firstLineChars="0"/>
      <w:outlineLvl w:val="0"/>
    </w:pPr>
    <w:rPr>
      <w:rFonts w:eastAsia="黑体"/>
      <w:sz w:val="32"/>
    </w:rPr>
  </w:style>
  <w:style w:type="paragraph" w:styleId="3">
    <w:name w:val="heading 2"/>
    <w:basedOn w:val="1"/>
    <w:next w:val="1"/>
    <w:link w:val="138"/>
    <w:qFormat/>
    <w:uiPriority w:val="0"/>
    <w:pPr>
      <w:widowControl w:val="0"/>
      <w:spacing w:before="120" w:after="120"/>
      <w:ind w:firstLine="0" w:firstLineChars="0"/>
      <w:outlineLvl w:val="1"/>
    </w:pPr>
    <w:rPr>
      <w:rFonts w:eastAsia="黑体"/>
      <w:sz w:val="28"/>
      <w:szCs w:val="32"/>
    </w:rPr>
  </w:style>
  <w:style w:type="paragraph" w:styleId="4">
    <w:name w:val="heading 3"/>
    <w:basedOn w:val="1"/>
    <w:next w:val="1"/>
    <w:link w:val="139"/>
    <w:qFormat/>
    <w:uiPriority w:val="0"/>
    <w:pPr>
      <w:widowControl w:val="0"/>
      <w:spacing w:before="120" w:after="120"/>
      <w:outlineLvl w:val="2"/>
    </w:pPr>
    <w:rPr>
      <w:rFonts w:eastAsiaTheme="minorEastAsia"/>
      <w:szCs w:val="32"/>
    </w:rPr>
  </w:style>
  <w:style w:type="paragraph" w:styleId="5">
    <w:name w:val="heading 4"/>
    <w:basedOn w:val="1"/>
    <w:next w:val="1"/>
    <w:link w:val="140"/>
    <w:qFormat/>
    <w:uiPriority w:val="0"/>
    <w:pPr>
      <w:keepNext/>
      <w:keepLines/>
      <w:widowControl w:val="0"/>
      <w:jc w:val="center"/>
      <w:outlineLvl w:val="3"/>
    </w:pPr>
    <w:rPr>
      <w:rFonts w:ascii="Cambria" w:hAnsi="Cambria"/>
      <w:b/>
      <w:bCs/>
      <w:kern w:val="2"/>
      <w:sz w:val="23"/>
      <w:szCs w:val="28"/>
    </w:rPr>
  </w:style>
  <w:style w:type="paragraph" w:styleId="6">
    <w:name w:val="heading 5"/>
    <w:basedOn w:val="1"/>
    <w:next w:val="1"/>
    <w:link w:val="141"/>
    <w:qFormat/>
    <w:uiPriority w:val="0"/>
    <w:pPr>
      <w:keepNext/>
      <w:keepLines/>
      <w:spacing w:before="120" w:after="120"/>
      <w:ind w:firstLine="0" w:firstLineChars="0"/>
      <w:outlineLvl w:val="4"/>
    </w:pPr>
    <w:rPr>
      <w:bCs/>
      <w:szCs w:val="28"/>
    </w:rPr>
  </w:style>
  <w:style w:type="paragraph" w:styleId="7">
    <w:name w:val="heading 6"/>
    <w:basedOn w:val="1"/>
    <w:next w:val="1"/>
    <w:link w:val="142"/>
    <w:qFormat/>
    <w:uiPriority w:val="0"/>
    <w:pPr>
      <w:keepNext/>
      <w:keepLines/>
      <w:widowControl w:val="0"/>
      <w:spacing w:before="240" w:after="64" w:line="320" w:lineRule="auto"/>
      <w:ind w:left="1152" w:hanging="1152"/>
      <w:outlineLvl w:val="5"/>
    </w:pPr>
    <w:rPr>
      <w:rFonts w:ascii="Cambria" w:hAnsi="Cambria"/>
      <w:b/>
      <w:bCs/>
      <w:kern w:val="2"/>
    </w:rPr>
  </w:style>
  <w:style w:type="paragraph" w:styleId="8">
    <w:name w:val="heading 7"/>
    <w:basedOn w:val="1"/>
    <w:next w:val="1"/>
    <w:link w:val="143"/>
    <w:qFormat/>
    <w:uiPriority w:val="0"/>
    <w:pPr>
      <w:keepNext/>
      <w:keepLines/>
      <w:widowControl w:val="0"/>
      <w:spacing w:before="240" w:after="64" w:line="320" w:lineRule="auto"/>
      <w:ind w:left="1296" w:hanging="1296"/>
      <w:outlineLvl w:val="6"/>
    </w:pPr>
    <w:rPr>
      <w:b/>
      <w:bCs/>
      <w:kern w:val="2"/>
    </w:rPr>
  </w:style>
  <w:style w:type="paragraph" w:styleId="9">
    <w:name w:val="heading 8"/>
    <w:basedOn w:val="1"/>
    <w:next w:val="1"/>
    <w:link w:val="144"/>
    <w:qFormat/>
    <w:uiPriority w:val="0"/>
    <w:pPr>
      <w:keepNext/>
      <w:keepLines/>
      <w:widowControl w:val="0"/>
      <w:spacing w:before="240" w:after="64" w:line="320" w:lineRule="auto"/>
      <w:ind w:left="1440" w:hanging="1440"/>
      <w:outlineLvl w:val="7"/>
    </w:pPr>
    <w:rPr>
      <w:rFonts w:ascii="Cambria" w:hAnsi="Cambria"/>
      <w:kern w:val="2"/>
    </w:rPr>
  </w:style>
  <w:style w:type="paragraph" w:styleId="10">
    <w:name w:val="heading 9"/>
    <w:basedOn w:val="1"/>
    <w:next w:val="1"/>
    <w:link w:val="145"/>
    <w:qFormat/>
    <w:uiPriority w:val="0"/>
    <w:pPr>
      <w:keepNext/>
      <w:keepLines/>
      <w:widowControl w:val="0"/>
      <w:spacing w:before="240" w:after="64" w:line="320" w:lineRule="auto"/>
      <w:ind w:left="1584" w:hanging="1584"/>
      <w:outlineLvl w:val="8"/>
    </w:pPr>
    <w:rPr>
      <w:rFonts w:ascii="Cambria" w:hAnsi="Cambria"/>
      <w:kern w:val="2"/>
      <w:szCs w:val="21"/>
    </w:rPr>
  </w:style>
  <w:style w:type="character" w:default="1" w:styleId="120">
    <w:name w:val="Default Paragraph Font"/>
    <w:semiHidden/>
    <w:unhideWhenUsed/>
    <w:qFormat/>
    <w:uiPriority w:val="1"/>
  </w:style>
  <w:style w:type="table" w:default="1" w:styleId="74">
    <w:name w:val="Normal Table"/>
    <w:semiHidden/>
    <w:unhideWhenUsed/>
    <w:qFormat/>
    <w:uiPriority w:val="99"/>
    <w:tblPr>
      <w:tblLayout w:type="fixed"/>
      <w:tblCellMar>
        <w:top w:w="0" w:type="dxa"/>
        <w:left w:w="108" w:type="dxa"/>
        <w:bottom w:w="0" w:type="dxa"/>
        <w:right w:w="108" w:type="dxa"/>
      </w:tblCellMar>
    </w:tblPr>
  </w:style>
  <w:style w:type="paragraph" w:styleId="11">
    <w:name w:val="List 3"/>
    <w:basedOn w:val="1"/>
    <w:qFormat/>
    <w:uiPriority w:val="0"/>
    <w:pPr>
      <w:widowControl w:val="0"/>
      <w:spacing w:line="400" w:lineRule="exact"/>
      <w:ind w:left="100" w:leftChars="400" w:hanging="200" w:hangingChars="200"/>
    </w:pPr>
    <w:rPr>
      <w:kern w:val="2"/>
    </w:rPr>
  </w:style>
  <w:style w:type="paragraph" w:styleId="12">
    <w:name w:val="toc 7"/>
    <w:basedOn w:val="1"/>
    <w:next w:val="1"/>
    <w:qFormat/>
    <w:uiPriority w:val="39"/>
    <w:pPr>
      <w:ind w:left="1440"/>
    </w:pPr>
    <w:rPr>
      <w:szCs w:val="21"/>
    </w:rPr>
  </w:style>
  <w:style w:type="paragraph" w:styleId="13">
    <w:name w:val="List Number 2"/>
    <w:basedOn w:val="1"/>
    <w:qFormat/>
    <w:uiPriority w:val="0"/>
    <w:pPr>
      <w:widowControl w:val="0"/>
      <w:numPr>
        <w:ilvl w:val="0"/>
        <w:numId w:val="1"/>
      </w:numPr>
      <w:spacing w:line="400" w:lineRule="exact"/>
    </w:pPr>
    <w:rPr>
      <w:kern w:val="2"/>
    </w:rPr>
  </w:style>
  <w:style w:type="paragraph" w:styleId="14">
    <w:name w:val="Note Heading"/>
    <w:basedOn w:val="1"/>
    <w:next w:val="1"/>
    <w:link w:val="568"/>
    <w:qFormat/>
    <w:uiPriority w:val="0"/>
    <w:pPr>
      <w:widowControl w:val="0"/>
      <w:spacing w:line="400" w:lineRule="exact"/>
      <w:ind w:firstLine="0" w:firstLineChars="0"/>
      <w:jc w:val="center"/>
    </w:pPr>
    <w:rPr>
      <w:kern w:val="2"/>
    </w:rPr>
  </w:style>
  <w:style w:type="paragraph" w:styleId="15">
    <w:name w:val="List Bullet 4"/>
    <w:basedOn w:val="1"/>
    <w:qFormat/>
    <w:uiPriority w:val="0"/>
    <w:pPr>
      <w:widowControl w:val="0"/>
      <w:numPr>
        <w:ilvl w:val="0"/>
        <w:numId w:val="2"/>
      </w:numPr>
      <w:spacing w:line="400" w:lineRule="exact"/>
    </w:pPr>
    <w:rPr>
      <w:kern w:val="2"/>
    </w:rPr>
  </w:style>
  <w:style w:type="paragraph" w:styleId="16">
    <w:name w:val="E-mail Signature"/>
    <w:basedOn w:val="1"/>
    <w:link w:val="559"/>
    <w:qFormat/>
    <w:uiPriority w:val="0"/>
    <w:pPr>
      <w:widowControl w:val="0"/>
      <w:spacing w:line="400" w:lineRule="exact"/>
      <w:ind w:firstLine="0" w:firstLineChars="0"/>
    </w:pPr>
    <w:rPr>
      <w:kern w:val="2"/>
    </w:rPr>
  </w:style>
  <w:style w:type="paragraph" w:styleId="17">
    <w:name w:val="List Number"/>
    <w:basedOn w:val="1"/>
    <w:qFormat/>
    <w:uiPriority w:val="0"/>
    <w:pPr>
      <w:widowControl w:val="0"/>
      <w:numPr>
        <w:ilvl w:val="0"/>
        <w:numId w:val="3"/>
      </w:numPr>
      <w:spacing w:line="400" w:lineRule="exact"/>
    </w:pPr>
    <w:rPr>
      <w:kern w:val="2"/>
    </w:rPr>
  </w:style>
  <w:style w:type="paragraph" w:styleId="18">
    <w:name w:val="Normal Indent"/>
    <w:basedOn w:val="1"/>
    <w:qFormat/>
    <w:uiPriority w:val="0"/>
    <w:pPr>
      <w:widowControl w:val="0"/>
      <w:spacing w:line="400" w:lineRule="exact"/>
      <w:ind w:firstLine="420"/>
    </w:pPr>
    <w:rPr>
      <w:kern w:val="2"/>
    </w:rPr>
  </w:style>
  <w:style w:type="paragraph" w:styleId="19">
    <w:name w:val="caption"/>
    <w:basedOn w:val="1"/>
    <w:next w:val="1"/>
    <w:link w:val="555"/>
    <w:qFormat/>
    <w:uiPriority w:val="0"/>
    <w:rPr>
      <w:rFonts w:ascii="Calibri" w:hAnsi="Calibri"/>
      <w:b/>
      <w:bCs/>
      <w:color w:val="4F81BD"/>
      <w:sz w:val="18"/>
      <w:szCs w:val="18"/>
      <w:lang w:eastAsia="en-US"/>
    </w:rPr>
  </w:style>
  <w:style w:type="paragraph" w:styleId="20">
    <w:name w:val="List Bullet"/>
    <w:basedOn w:val="1"/>
    <w:qFormat/>
    <w:uiPriority w:val="0"/>
    <w:pPr>
      <w:widowControl w:val="0"/>
      <w:numPr>
        <w:ilvl w:val="0"/>
        <w:numId w:val="4"/>
      </w:numPr>
      <w:spacing w:line="400" w:lineRule="exact"/>
    </w:pPr>
    <w:rPr>
      <w:kern w:val="2"/>
    </w:rPr>
  </w:style>
  <w:style w:type="paragraph" w:styleId="21">
    <w:name w:val="envelope address"/>
    <w:basedOn w:val="1"/>
    <w:qFormat/>
    <w:uiPriority w:val="0"/>
    <w:pPr>
      <w:framePr w:w="7920" w:h="1980" w:hRule="exact" w:hSpace="180" w:wrap="around" w:vAnchor="margin" w:hAnchor="page" w:xAlign="center" w:yAlign="bottom"/>
      <w:widowControl w:val="0"/>
      <w:snapToGrid w:val="0"/>
      <w:spacing w:line="400" w:lineRule="exact"/>
      <w:ind w:left="100" w:leftChars="1400" w:firstLine="0" w:firstLineChars="0"/>
    </w:pPr>
    <w:rPr>
      <w:rFonts w:ascii="Arial" w:hAnsi="Arial" w:cs="Arial"/>
      <w:kern w:val="2"/>
    </w:rPr>
  </w:style>
  <w:style w:type="paragraph" w:styleId="22">
    <w:name w:val="Document Map"/>
    <w:basedOn w:val="1"/>
    <w:link w:val="155"/>
    <w:qFormat/>
    <w:uiPriority w:val="0"/>
    <w:rPr>
      <w:rFonts w:ascii="宋体"/>
      <w:sz w:val="18"/>
      <w:szCs w:val="18"/>
    </w:rPr>
  </w:style>
  <w:style w:type="paragraph" w:styleId="23">
    <w:name w:val="annotation text"/>
    <w:basedOn w:val="1"/>
    <w:link w:val="165"/>
    <w:qFormat/>
    <w:uiPriority w:val="0"/>
    <w:pPr>
      <w:widowControl w:val="0"/>
    </w:pPr>
    <w:rPr>
      <w:rFonts w:ascii="Calibri" w:hAnsi="Calibri"/>
      <w:kern w:val="2"/>
      <w:sz w:val="23"/>
      <w:szCs w:val="22"/>
    </w:rPr>
  </w:style>
  <w:style w:type="paragraph" w:styleId="24">
    <w:name w:val="Salutation"/>
    <w:basedOn w:val="1"/>
    <w:next w:val="1"/>
    <w:link w:val="558"/>
    <w:qFormat/>
    <w:uiPriority w:val="0"/>
    <w:pPr>
      <w:widowControl w:val="0"/>
      <w:spacing w:line="400" w:lineRule="exact"/>
      <w:ind w:firstLine="0" w:firstLineChars="0"/>
    </w:pPr>
    <w:rPr>
      <w:kern w:val="2"/>
    </w:rPr>
  </w:style>
  <w:style w:type="paragraph" w:styleId="25">
    <w:name w:val="Body Text 3"/>
    <w:basedOn w:val="1"/>
    <w:link w:val="565"/>
    <w:qFormat/>
    <w:uiPriority w:val="0"/>
    <w:pPr>
      <w:widowControl w:val="0"/>
    </w:pPr>
    <w:rPr>
      <w:b/>
      <w:bCs/>
      <w:i/>
      <w:iCs/>
      <w:color w:val="FF0000"/>
      <w:kern w:val="2"/>
    </w:rPr>
  </w:style>
  <w:style w:type="paragraph" w:styleId="26">
    <w:name w:val="Closing"/>
    <w:basedOn w:val="1"/>
    <w:link w:val="560"/>
    <w:qFormat/>
    <w:uiPriority w:val="0"/>
    <w:pPr>
      <w:widowControl w:val="0"/>
      <w:spacing w:line="400" w:lineRule="exact"/>
      <w:ind w:left="100" w:leftChars="2100" w:firstLine="0" w:firstLineChars="0"/>
    </w:pPr>
    <w:rPr>
      <w:kern w:val="2"/>
    </w:rPr>
  </w:style>
  <w:style w:type="paragraph" w:styleId="27">
    <w:name w:val="List Bullet 3"/>
    <w:basedOn w:val="1"/>
    <w:qFormat/>
    <w:uiPriority w:val="0"/>
    <w:pPr>
      <w:widowControl w:val="0"/>
      <w:numPr>
        <w:ilvl w:val="0"/>
        <w:numId w:val="5"/>
      </w:numPr>
      <w:spacing w:line="400" w:lineRule="exact"/>
    </w:pPr>
    <w:rPr>
      <w:kern w:val="2"/>
    </w:rPr>
  </w:style>
  <w:style w:type="paragraph" w:styleId="28">
    <w:name w:val="Body Text"/>
    <w:basedOn w:val="1"/>
    <w:link w:val="149"/>
    <w:qFormat/>
    <w:uiPriority w:val="0"/>
    <w:rPr>
      <w:sz w:val="21"/>
    </w:rPr>
  </w:style>
  <w:style w:type="paragraph" w:styleId="29">
    <w:name w:val="Body Text Indent"/>
    <w:basedOn w:val="1"/>
    <w:link w:val="147"/>
    <w:qFormat/>
    <w:uiPriority w:val="0"/>
    <w:pPr>
      <w:ind w:firstLine="420"/>
    </w:pPr>
    <w:rPr>
      <w:sz w:val="21"/>
    </w:rPr>
  </w:style>
  <w:style w:type="paragraph" w:styleId="30">
    <w:name w:val="List Number 3"/>
    <w:basedOn w:val="1"/>
    <w:qFormat/>
    <w:uiPriority w:val="0"/>
    <w:pPr>
      <w:tabs>
        <w:tab w:val="left" w:pos="1200"/>
      </w:tabs>
    </w:pPr>
    <w:rPr>
      <w:rFonts w:cs="Plotter"/>
      <w:szCs w:val="20"/>
      <w:lang w:eastAsia="en-US"/>
    </w:rPr>
  </w:style>
  <w:style w:type="paragraph" w:styleId="31">
    <w:name w:val="List 2"/>
    <w:basedOn w:val="1"/>
    <w:qFormat/>
    <w:uiPriority w:val="0"/>
    <w:pPr>
      <w:widowControl w:val="0"/>
      <w:spacing w:line="400" w:lineRule="exact"/>
      <w:ind w:left="100" w:leftChars="200" w:hanging="200" w:hangingChars="200"/>
    </w:pPr>
    <w:rPr>
      <w:kern w:val="2"/>
    </w:rPr>
  </w:style>
  <w:style w:type="paragraph" w:styleId="32">
    <w:name w:val="List Continue"/>
    <w:basedOn w:val="1"/>
    <w:qFormat/>
    <w:uiPriority w:val="0"/>
    <w:pPr>
      <w:widowControl w:val="0"/>
      <w:spacing w:after="120" w:line="400" w:lineRule="exact"/>
      <w:ind w:left="420" w:leftChars="200" w:firstLine="0" w:firstLineChars="0"/>
    </w:pPr>
    <w:rPr>
      <w:kern w:val="2"/>
    </w:rPr>
  </w:style>
  <w:style w:type="paragraph" w:styleId="33">
    <w:name w:val="Block Text"/>
    <w:basedOn w:val="1"/>
    <w:qFormat/>
    <w:uiPriority w:val="0"/>
    <w:pPr>
      <w:widowControl w:val="0"/>
      <w:spacing w:after="120" w:line="400" w:lineRule="exact"/>
      <w:ind w:left="1440" w:leftChars="700" w:right="1440" w:rightChars="700" w:firstLine="0" w:firstLineChars="0"/>
    </w:pPr>
    <w:rPr>
      <w:kern w:val="2"/>
    </w:rPr>
  </w:style>
  <w:style w:type="paragraph" w:styleId="34">
    <w:name w:val="List Bullet 2"/>
    <w:basedOn w:val="1"/>
    <w:qFormat/>
    <w:uiPriority w:val="0"/>
    <w:pPr>
      <w:widowControl w:val="0"/>
      <w:numPr>
        <w:ilvl w:val="0"/>
        <w:numId w:val="6"/>
      </w:numPr>
      <w:spacing w:line="400" w:lineRule="exact"/>
    </w:pPr>
    <w:rPr>
      <w:kern w:val="2"/>
    </w:rPr>
  </w:style>
  <w:style w:type="paragraph" w:styleId="35">
    <w:name w:val="HTML Address"/>
    <w:basedOn w:val="1"/>
    <w:link w:val="556"/>
    <w:qFormat/>
    <w:uiPriority w:val="0"/>
    <w:pPr>
      <w:widowControl w:val="0"/>
      <w:spacing w:line="400" w:lineRule="exact"/>
      <w:ind w:firstLine="0" w:firstLineChars="0"/>
    </w:pPr>
    <w:rPr>
      <w:i/>
      <w:iCs/>
      <w:kern w:val="2"/>
    </w:rPr>
  </w:style>
  <w:style w:type="paragraph" w:styleId="36">
    <w:name w:val="toc 5"/>
    <w:basedOn w:val="1"/>
    <w:next w:val="1"/>
    <w:qFormat/>
    <w:uiPriority w:val="39"/>
    <w:pPr>
      <w:ind w:left="960"/>
    </w:pPr>
    <w:rPr>
      <w:szCs w:val="21"/>
    </w:rPr>
  </w:style>
  <w:style w:type="paragraph" w:styleId="37">
    <w:name w:val="toc 3"/>
    <w:basedOn w:val="1"/>
    <w:next w:val="1"/>
    <w:qFormat/>
    <w:uiPriority w:val="39"/>
    <w:pPr>
      <w:ind w:left="482" w:firstLine="100" w:firstLineChars="100"/>
    </w:pPr>
    <w:rPr>
      <w:iCs/>
    </w:rPr>
  </w:style>
  <w:style w:type="paragraph" w:styleId="38">
    <w:name w:val="Plain Text"/>
    <w:basedOn w:val="1"/>
    <w:link w:val="150"/>
    <w:qFormat/>
    <w:uiPriority w:val="0"/>
    <w:pPr>
      <w:widowControl w:val="0"/>
    </w:pPr>
    <w:rPr>
      <w:rFonts w:ascii="宋体" w:hAnsi="Courier New"/>
      <w:kern w:val="2"/>
      <w:sz w:val="21"/>
      <w:szCs w:val="20"/>
    </w:rPr>
  </w:style>
  <w:style w:type="paragraph" w:styleId="39">
    <w:name w:val="List Bullet 5"/>
    <w:basedOn w:val="1"/>
    <w:qFormat/>
    <w:uiPriority w:val="0"/>
    <w:pPr>
      <w:widowControl w:val="0"/>
      <w:numPr>
        <w:ilvl w:val="0"/>
        <w:numId w:val="7"/>
      </w:numPr>
      <w:spacing w:line="400" w:lineRule="exact"/>
    </w:pPr>
    <w:rPr>
      <w:kern w:val="2"/>
    </w:rPr>
  </w:style>
  <w:style w:type="paragraph" w:styleId="40">
    <w:name w:val="List Number 4"/>
    <w:basedOn w:val="1"/>
    <w:qFormat/>
    <w:uiPriority w:val="0"/>
    <w:pPr>
      <w:widowControl w:val="0"/>
      <w:numPr>
        <w:ilvl w:val="0"/>
        <w:numId w:val="8"/>
      </w:numPr>
      <w:spacing w:line="400" w:lineRule="exact"/>
    </w:pPr>
    <w:rPr>
      <w:kern w:val="2"/>
    </w:rPr>
  </w:style>
  <w:style w:type="paragraph" w:styleId="41">
    <w:name w:val="toc 8"/>
    <w:basedOn w:val="1"/>
    <w:next w:val="1"/>
    <w:qFormat/>
    <w:uiPriority w:val="39"/>
    <w:pPr>
      <w:ind w:left="1680"/>
    </w:pPr>
    <w:rPr>
      <w:szCs w:val="21"/>
    </w:rPr>
  </w:style>
  <w:style w:type="paragraph" w:styleId="42">
    <w:name w:val="Date"/>
    <w:basedOn w:val="1"/>
    <w:next w:val="1"/>
    <w:link w:val="146"/>
    <w:qFormat/>
    <w:uiPriority w:val="0"/>
    <w:pPr>
      <w:ind w:left="100" w:leftChars="2500"/>
    </w:pPr>
  </w:style>
  <w:style w:type="paragraph" w:styleId="43">
    <w:name w:val="Body Text Indent 2"/>
    <w:basedOn w:val="1"/>
    <w:link w:val="566"/>
    <w:qFormat/>
    <w:uiPriority w:val="0"/>
    <w:pPr>
      <w:widowControl w:val="0"/>
      <w:ind w:firstLine="420"/>
    </w:pPr>
    <w:rPr>
      <w:kern w:val="2"/>
      <w:sz w:val="21"/>
    </w:rPr>
  </w:style>
  <w:style w:type="paragraph" w:styleId="44">
    <w:name w:val="List Continue 5"/>
    <w:basedOn w:val="1"/>
    <w:qFormat/>
    <w:uiPriority w:val="0"/>
    <w:pPr>
      <w:widowControl w:val="0"/>
      <w:spacing w:after="120" w:line="400" w:lineRule="exact"/>
      <w:ind w:left="2100" w:leftChars="1000" w:firstLine="0" w:firstLineChars="0"/>
    </w:pPr>
    <w:rPr>
      <w:kern w:val="2"/>
    </w:rPr>
  </w:style>
  <w:style w:type="paragraph" w:styleId="45">
    <w:name w:val="Balloon Text"/>
    <w:basedOn w:val="1"/>
    <w:link w:val="159"/>
    <w:qFormat/>
    <w:uiPriority w:val="99"/>
    <w:pPr>
      <w:widowControl w:val="0"/>
    </w:pPr>
    <w:rPr>
      <w:kern w:val="2"/>
      <w:sz w:val="18"/>
      <w:szCs w:val="18"/>
    </w:rPr>
  </w:style>
  <w:style w:type="paragraph" w:styleId="46">
    <w:name w:val="footer"/>
    <w:basedOn w:val="1"/>
    <w:link w:val="151"/>
    <w:qFormat/>
    <w:uiPriority w:val="99"/>
    <w:pPr>
      <w:widowControl w:val="0"/>
      <w:tabs>
        <w:tab w:val="center" w:pos="4153"/>
        <w:tab w:val="right" w:pos="8306"/>
      </w:tabs>
      <w:snapToGrid w:val="0"/>
    </w:pPr>
    <w:rPr>
      <w:kern w:val="2"/>
      <w:sz w:val="18"/>
      <w:szCs w:val="18"/>
    </w:rPr>
  </w:style>
  <w:style w:type="paragraph" w:styleId="47">
    <w:name w:val="envelope return"/>
    <w:basedOn w:val="1"/>
    <w:qFormat/>
    <w:uiPriority w:val="0"/>
    <w:pPr>
      <w:widowControl w:val="0"/>
      <w:snapToGrid w:val="0"/>
      <w:spacing w:line="400" w:lineRule="exact"/>
      <w:ind w:firstLine="0" w:firstLineChars="0"/>
    </w:pPr>
    <w:rPr>
      <w:rFonts w:ascii="Arial" w:hAnsi="Arial" w:cs="Arial"/>
      <w:kern w:val="2"/>
    </w:rPr>
  </w:style>
  <w:style w:type="paragraph" w:styleId="48">
    <w:name w:val="header"/>
    <w:basedOn w:val="1"/>
    <w:link w:val="154"/>
    <w:qFormat/>
    <w:uiPriority w:val="99"/>
    <w:pPr>
      <w:pBdr>
        <w:bottom w:val="single" w:color="auto" w:sz="6" w:space="1"/>
      </w:pBdr>
      <w:tabs>
        <w:tab w:val="center" w:pos="4153"/>
        <w:tab w:val="right" w:pos="8306"/>
      </w:tabs>
      <w:snapToGrid w:val="0"/>
      <w:jc w:val="center"/>
    </w:pPr>
    <w:rPr>
      <w:sz w:val="18"/>
      <w:szCs w:val="18"/>
    </w:rPr>
  </w:style>
  <w:style w:type="paragraph" w:styleId="49">
    <w:name w:val="Signature"/>
    <w:basedOn w:val="1"/>
    <w:link w:val="561"/>
    <w:qFormat/>
    <w:uiPriority w:val="0"/>
    <w:pPr>
      <w:widowControl w:val="0"/>
      <w:spacing w:line="400" w:lineRule="exact"/>
      <w:ind w:left="100" w:leftChars="2100" w:firstLine="0" w:firstLineChars="0"/>
    </w:pPr>
    <w:rPr>
      <w:kern w:val="2"/>
    </w:rPr>
  </w:style>
  <w:style w:type="paragraph" w:styleId="50">
    <w:name w:val="toc 1"/>
    <w:basedOn w:val="1"/>
    <w:next w:val="1"/>
    <w:qFormat/>
    <w:uiPriority w:val="39"/>
    <w:pPr>
      <w:tabs>
        <w:tab w:val="left" w:pos="482"/>
        <w:tab w:val="right" w:leader="dot" w:pos="8296"/>
      </w:tabs>
      <w:spacing w:before="120" w:after="120"/>
      <w:ind w:firstLine="0" w:firstLineChars="0"/>
      <w:jc w:val="center"/>
    </w:pPr>
    <w:rPr>
      <w:b/>
      <w:bCs/>
      <w:caps/>
      <w:sz w:val="28"/>
    </w:rPr>
  </w:style>
  <w:style w:type="paragraph" w:styleId="51">
    <w:name w:val="List Continue 4"/>
    <w:basedOn w:val="1"/>
    <w:qFormat/>
    <w:uiPriority w:val="0"/>
    <w:pPr>
      <w:widowControl w:val="0"/>
      <w:spacing w:after="120" w:line="400" w:lineRule="exact"/>
      <w:ind w:left="1680" w:leftChars="800" w:firstLine="0" w:firstLineChars="0"/>
    </w:pPr>
    <w:rPr>
      <w:kern w:val="2"/>
    </w:rPr>
  </w:style>
  <w:style w:type="paragraph" w:styleId="52">
    <w:name w:val="toc 4"/>
    <w:basedOn w:val="1"/>
    <w:next w:val="1"/>
    <w:qFormat/>
    <w:uiPriority w:val="39"/>
    <w:pPr>
      <w:ind w:left="720"/>
    </w:pPr>
    <w:rPr>
      <w:szCs w:val="21"/>
    </w:rPr>
  </w:style>
  <w:style w:type="paragraph" w:styleId="53">
    <w:name w:val="Subtitle"/>
    <w:basedOn w:val="1"/>
    <w:next w:val="1"/>
    <w:link w:val="529"/>
    <w:qFormat/>
    <w:uiPriority w:val="0"/>
    <w:pPr>
      <w:spacing w:after="60"/>
      <w:jc w:val="center"/>
      <w:outlineLvl w:val="1"/>
    </w:pPr>
    <w:rPr>
      <w:rFonts w:ascii="Cambria" w:hAnsi="Cambria"/>
      <w:sz w:val="23"/>
      <w:lang w:eastAsia="en-US"/>
    </w:rPr>
  </w:style>
  <w:style w:type="paragraph" w:styleId="54">
    <w:name w:val="List Number 5"/>
    <w:basedOn w:val="1"/>
    <w:qFormat/>
    <w:uiPriority w:val="0"/>
    <w:pPr>
      <w:widowControl w:val="0"/>
      <w:numPr>
        <w:ilvl w:val="0"/>
        <w:numId w:val="9"/>
      </w:numPr>
      <w:spacing w:line="400" w:lineRule="exact"/>
    </w:pPr>
    <w:rPr>
      <w:kern w:val="2"/>
    </w:rPr>
  </w:style>
  <w:style w:type="paragraph" w:styleId="55">
    <w:name w:val="List"/>
    <w:basedOn w:val="1"/>
    <w:qFormat/>
    <w:uiPriority w:val="0"/>
    <w:pPr>
      <w:widowControl w:val="0"/>
      <w:spacing w:line="400" w:lineRule="exact"/>
      <w:ind w:left="200" w:hanging="200" w:hangingChars="200"/>
    </w:pPr>
    <w:rPr>
      <w:kern w:val="2"/>
    </w:rPr>
  </w:style>
  <w:style w:type="paragraph" w:styleId="56">
    <w:name w:val="footnote text"/>
    <w:basedOn w:val="1"/>
    <w:link w:val="177"/>
    <w:qFormat/>
    <w:uiPriority w:val="99"/>
    <w:pPr>
      <w:widowControl w:val="0"/>
      <w:snapToGrid w:val="0"/>
    </w:pPr>
    <w:rPr>
      <w:rFonts w:ascii="Calibri" w:hAnsi="Calibri"/>
      <w:kern w:val="2"/>
      <w:sz w:val="18"/>
      <w:szCs w:val="18"/>
    </w:rPr>
  </w:style>
  <w:style w:type="paragraph" w:styleId="57">
    <w:name w:val="toc 6"/>
    <w:basedOn w:val="1"/>
    <w:next w:val="1"/>
    <w:qFormat/>
    <w:uiPriority w:val="39"/>
    <w:pPr>
      <w:ind w:left="1200"/>
    </w:pPr>
    <w:rPr>
      <w:szCs w:val="21"/>
    </w:rPr>
  </w:style>
  <w:style w:type="paragraph" w:styleId="58">
    <w:name w:val="List 5"/>
    <w:basedOn w:val="1"/>
    <w:qFormat/>
    <w:uiPriority w:val="0"/>
    <w:pPr>
      <w:widowControl w:val="0"/>
      <w:spacing w:line="400" w:lineRule="exact"/>
      <w:ind w:left="100" w:leftChars="800" w:hanging="200" w:hangingChars="200"/>
    </w:pPr>
    <w:rPr>
      <w:kern w:val="2"/>
    </w:rPr>
  </w:style>
  <w:style w:type="paragraph" w:styleId="59">
    <w:name w:val="Body Text Indent 3"/>
    <w:basedOn w:val="1"/>
    <w:link w:val="567"/>
    <w:qFormat/>
    <w:uiPriority w:val="0"/>
    <w:pPr>
      <w:ind w:firstLine="480"/>
    </w:pPr>
  </w:style>
  <w:style w:type="paragraph" w:styleId="60">
    <w:name w:val="table of figures"/>
    <w:basedOn w:val="1"/>
    <w:next w:val="1"/>
    <w:semiHidden/>
    <w:qFormat/>
    <w:uiPriority w:val="0"/>
    <w:pPr>
      <w:ind w:left="840" w:leftChars="200" w:hanging="420" w:hangingChars="200"/>
    </w:pPr>
  </w:style>
  <w:style w:type="paragraph" w:styleId="61">
    <w:name w:val="toc 2"/>
    <w:basedOn w:val="1"/>
    <w:next w:val="1"/>
    <w:qFormat/>
    <w:uiPriority w:val="39"/>
    <w:pPr>
      <w:ind w:left="238" w:firstLine="50" w:firstLineChars="50"/>
    </w:pPr>
    <w:rPr>
      <w:smallCaps/>
    </w:rPr>
  </w:style>
  <w:style w:type="paragraph" w:styleId="62">
    <w:name w:val="toc 9"/>
    <w:basedOn w:val="1"/>
    <w:next w:val="1"/>
    <w:qFormat/>
    <w:uiPriority w:val="39"/>
    <w:pPr>
      <w:ind w:left="1920"/>
    </w:pPr>
    <w:rPr>
      <w:szCs w:val="21"/>
    </w:rPr>
  </w:style>
  <w:style w:type="paragraph" w:styleId="63">
    <w:name w:val="Body Text 2"/>
    <w:basedOn w:val="1"/>
    <w:link w:val="564"/>
    <w:qFormat/>
    <w:uiPriority w:val="0"/>
    <w:pPr>
      <w:widowControl w:val="0"/>
      <w:spacing w:after="120" w:line="480" w:lineRule="auto"/>
      <w:ind w:firstLine="0" w:firstLineChars="0"/>
    </w:pPr>
    <w:rPr>
      <w:kern w:val="2"/>
    </w:rPr>
  </w:style>
  <w:style w:type="paragraph" w:styleId="64">
    <w:name w:val="List 4"/>
    <w:basedOn w:val="1"/>
    <w:qFormat/>
    <w:uiPriority w:val="0"/>
    <w:pPr>
      <w:widowControl w:val="0"/>
      <w:spacing w:line="400" w:lineRule="exact"/>
      <w:ind w:left="100" w:leftChars="600" w:hanging="200" w:hangingChars="200"/>
    </w:pPr>
    <w:rPr>
      <w:kern w:val="2"/>
    </w:rPr>
  </w:style>
  <w:style w:type="paragraph" w:styleId="65">
    <w:name w:val="List Continue 2"/>
    <w:basedOn w:val="1"/>
    <w:qFormat/>
    <w:uiPriority w:val="0"/>
    <w:pPr>
      <w:widowControl w:val="0"/>
      <w:spacing w:after="120" w:line="400" w:lineRule="exact"/>
      <w:ind w:left="840" w:leftChars="400" w:firstLine="0" w:firstLineChars="0"/>
    </w:pPr>
    <w:rPr>
      <w:kern w:val="2"/>
    </w:rPr>
  </w:style>
  <w:style w:type="paragraph" w:styleId="66">
    <w:name w:val="Message Header"/>
    <w:basedOn w:val="1"/>
    <w:link w:val="562"/>
    <w:qFormat/>
    <w:uiPriority w:val="0"/>
    <w:pPr>
      <w:widowControl w:val="0"/>
      <w:pBdr>
        <w:top w:val="single" w:color="auto" w:sz="6" w:space="1"/>
        <w:left w:val="single" w:color="auto" w:sz="6" w:space="1"/>
        <w:bottom w:val="single" w:color="auto" w:sz="6" w:space="1"/>
        <w:right w:val="single" w:color="auto" w:sz="6" w:space="1"/>
      </w:pBdr>
      <w:shd w:val="pct20" w:color="auto" w:fill="auto"/>
      <w:spacing w:line="400" w:lineRule="exact"/>
      <w:ind w:left="1080" w:leftChars="500" w:hanging="1080" w:hangingChars="500"/>
    </w:pPr>
    <w:rPr>
      <w:rFonts w:ascii="Arial" w:hAnsi="Arial" w:cs="Arial"/>
      <w:kern w:val="2"/>
    </w:rPr>
  </w:style>
  <w:style w:type="paragraph" w:styleId="67">
    <w:name w:val="HTML Preformatted"/>
    <w:basedOn w:val="1"/>
    <w:link w:val="557"/>
    <w:qFormat/>
    <w:uiPriority w:val="99"/>
    <w:pPr>
      <w:widowControl w:val="0"/>
      <w:spacing w:line="400" w:lineRule="exact"/>
      <w:ind w:firstLine="0" w:firstLineChars="0"/>
    </w:pPr>
    <w:rPr>
      <w:rFonts w:ascii="Courier New" w:hAnsi="Courier New" w:cs="Courier New"/>
      <w:kern w:val="2"/>
      <w:sz w:val="20"/>
      <w:szCs w:val="20"/>
    </w:rPr>
  </w:style>
  <w:style w:type="paragraph" w:styleId="68">
    <w:name w:val="Normal (Web)"/>
    <w:basedOn w:val="1"/>
    <w:qFormat/>
    <w:uiPriority w:val="99"/>
    <w:pPr>
      <w:widowControl w:val="0"/>
      <w:spacing w:line="400" w:lineRule="exact"/>
      <w:ind w:firstLine="0" w:firstLineChars="0"/>
    </w:pPr>
    <w:rPr>
      <w:kern w:val="2"/>
    </w:rPr>
  </w:style>
  <w:style w:type="paragraph" w:styleId="69">
    <w:name w:val="List Continue 3"/>
    <w:basedOn w:val="1"/>
    <w:qFormat/>
    <w:uiPriority w:val="0"/>
    <w:pPr>
      <w:widowControl w:val="0"/>
      <w:spacing w:after="120" w:line="400" w:lineRule="exact"/>
      <w:ind w:left="1260" w:leftChars="600" w:firstLine="0" w:firstLineChars="0"/>
    </w:pPr>
    <w:rPr>
      <w:kern w:val="2"/>
    </w:rPr>
  </w:style>
  <w:style w:type="paragraph" w:styleId="70">
    <w:name w:val="Title"/>
    <w:basedOn w:val="1"/>
    <w:link w:val="148"/>
    <w:qFormat/>
    <w:uiPriority w:val="0"/>
    <w:pPr>
      <w:jc w:val="center"/>
    </w:pPr>
    <w:rPr>
      <w:b/>
      <w:bCs/>
      <w:sz w:val="18"/>
    </w:rPr>
  </w:style>
  <w:style w:type="paragraph" w:styleId="71">
    <w:name w:val="annotation subject"/>
    <w:basedOn w:val="23"/>
    <w:next w:val="23"/>
    <w:link w:val="166"/>
    <w:qFormat/>
    <w:uiPriority w:val="0"/>
    <w:rPr>
      <w:b/>
      <w:bCs/>
    </w:rPr>
  </w:style>
  <w:style w:type="paragraph" w:styleId="72">
    <w:name w:val="Body Text First Indent"/>
    <w:basedOn w:val="28"/>
    <w:link w:val="563"/>
    <w:qFormat/>
    <w:uiPriority w:val="0"/>
    <w:pPr>
      <w:widowControl w:val="0"/>
      <w:spacing w:after="120" w:line="400" w:lineRule="exact"/>
      <w:ind w:firstLine="420" w:firstLineChars="100"/>
    </w:pPr>
    <w:rPr>
      <w:kern w:val="2"/>
      <w:sz w:val="24"/>
    </w:rPr>
  </w:style>
  <w:style w:type="paragraph" w:styleId="73">
    <w:name w:val="Body Text First Indent 2"/>
    <w:basedOn w:val="29"/>
    <w:link w:val="549"/>
    <w:qFormat/>
    <w:uiPriority w:val="0"/>
    <w:pPr>
      <w:spacing w:after="120"/>
      <w:ind w:left="420" w:leftChars="200"/>
    </w:pPr>
    <w:rPr>
      <w:sz w:val="24"/>
    </w:rPr>
  </w:style>
  <w:style w:type="table" w:styleId="75">
    <w:name w:val="Table Grid"/>
    <w:basedOn w:val="74"/>
    <w:qFormat/>
    <w:uiPriority w:val="5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76">
    <w:name w:val="Table Theme"/>
    <w:basedOn w:val="74"/>
    <w:qFormat/>
    <w:uiPriority w:val="0"/>
    <w:pPr>
      <w:widowControl w:val="0"/>
      <w:spacing w:line="4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77">
    <w:name w:val="Table Colorful 1"/>
    <w:basedOn w:val="74"/>
    <w:qFormat/>
    <w:uiPriority w:val="0"/>
    <w:pPr>
      <w:widowControl w:val="0"/>
      <w:spacing w:line="40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Pr>
    <w:tcPr>
      <w:shd w:val="solid" w:color="008080" w:fill="FFFFFF"/>
    </w:tcPr>
    <w:tblStylePr w:type="firstRow">
      <w:rPr>
        <w:b/>
        <w:bCs/>
        <w:i/>
        <w:iCs/>
      </w:rPr>
      <w:tblPr>
        <w:tblLayout w:type="fixed"/>
      </w:tblPr>
      <w:tcPr>
        <w:tcBorders>
          <w:tl2br w:val="nil"/>
          <w:tr2bl w:val="nil"/>
        </w:tcBorders>
        <w:shd w:val="solid" w:color="000000" w:fill="FFFFFF"/>
      </w:tcPr>
    </w:tblStylePr>
    <w:tblStylePr w:type="firstCol">
      <w:rPr>
        <w:b/>
        <w:bCs/>
        <w:i/>
        <w:iCs/>
      </w:rPr>
      <w:tblPr>
        <w:tblLayout w:type="fixed"/>
      </w:tblPr>
      <w:tcPr>
        <w:tcBorders>
          <w:tl2br w:val="nil"/>
          <w:tr2bl w:val="nil"/>
        </w:tcBorders>
        <w:shd w:val="solid" w:color="000080" w:fill="FFFFFF"/>
      </w:tcPr>
    </w:tblStylePr>
    <w:tblStylePr w:type="nwCell">
      <w:tblPr>
        <w:tblLayout w:type="fixed"/>
      </w:tblPr>
      <w:tcPr>
        <w:tcBorders>
          <w:tl2br w:val="nil"/>
          <w:tr2bl w:val="nil"/>
        </w:tcBorders>
        <w:shd w:val="solid" w:color="000000" w:fill="FFFFFF"/>
      </w:tcPr>
    </w:tblStylePr>
    <w:tblStylePr w:type="swCell">
      <w:rPr>
        <w:b/>
        <w:bCs/>
        <w:i w:val="0"/>
        <w:iCs w:val="0"/>
      </w:rPr>
      <w:tblPr>
        <w:tblLayout w:type="fixed"/>
      </w:tblPr>
      <w:tcPr>
        <w:tcBorders>
          <w:tl2br w:val="nil"/>
          <w:tr2bl w:val="nil"/>
        </w:tcBorders>
      </w:tcPr>
    </w:tblStylePr>
  </w:style>
  <w:style w:type="table" w:styleId="78">
    <w:name w:val="Table Colorful 2"/>
    <w:basedOn w:val="74"/>
    <w:qFormat/>
    <w:uiPriority w:val="0"/>
    <w:pPr>
      <w:widowControl w:val="0"/>
      <w:spacing w:line="400" w:lineRule="exact"/>
      <w:jc w:val="both"/>
    </w:pPr>
    <w:tblPr>
      <w:tblBorders>
        <w:bottom w:val="single" w:color="000000" w:sz="12" w:space="0"/>
      </w:tblBorders>
      <w:tblLayout w:type="fixed"/>
    </w:tblPr>
    <w:tcPr>
      <w:shd w:val="pct20" w:color="FFFF00" w:fill="FFFFFF"/>
    </w:tcPr>
    <w:tblStylePr w:type="firstRow">
      <w:rPr>
        <w:b/>
        <w:bCs/>
        <w:i/>
        <w:iCs/>
        <w:color w:val="FFFFFF"/>
      </w:rPr>
      <w:tblPr>
        <w:tblLayout w:type="fixed"/>
      </w:tblPr>
      <w:tcPr>
        <w:tcBorders>
          <w:bottom w:val="single" w:color="000000" w:sz="12" w:space="0"/>
          <w:tl2br w:val="nil"/>
          <w:tr2bl w:val="nil"/>
        </w:tcBorders>
        <w:shd w:val="solid" w:color="800000" w:fill="FFFFFF"/>
      </w:tcPr>
    </w:tblStylePr>
    <w:tblStylePr w:type="firstCol">
      <w:rPr>
        <w:b/>
        <w:bCs/>
        <w:i/>
        <w:iCs/>
      </w:rPr>
      <w:tblPr>
        <w:tblLayout w:type="fixed"/>
      </w:tblPr>
      <w:tcPr>
        <w:tcBorders>
          <w:tl2br w:val="nil"/>
          <w:tr2bl w:val="nil"/>
        </w:tcBorders>
      </w:tcPr>
    </w:tblStylePr>
    <w:tblStylePr w:type="lastCol">
      <w:tblPr>
        <w:tblLayout w:type="fixed"/>
      </w:tblPr>
      <w:tcPr>
        <w:tcBorders>
          <w:tl2br w:val="nil"/>
          <w:tr2bl w:val="nil"/>
        </w:tcBorders>
        <w:shd w:val="solid" w:color="C0C0C0" w:fill="FFFFFF"/>
      </w:tcPr>
    </w:tblStylePr>
    <w:tblStylePr w:type="swCell">
      <w:rPr>
        <w:b/>
        <w:bCs/>
        <w:i w:val="0"/>
        <w:iCs w:val="0"/>
      </w:rPr>
      <w:tblPr>
        <w:tblLayout w:type="fixed"/>
      </w:tblPr>
      <w:tcPr>
        <w:tcBorders>
          <w:tl2br w:val="nil"/>
          <w:tr2bl w:val="nil"/>
        </w:tcBorders>
      </w:tcPr>
    </w:tblStylePr>
  </w:style>
  <w:style w:type="table" w:styleId="79">
    <w:name w:val="Table Colorful 3"/>
    <w:basedOn w:val="74"/>
    <w:qFormat/>
    <w:uiPriority w:val="0"/>
    <w:pPr>
      <w:widowControl w:val="0"/>
      <w:spacing w:line="40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Pr>
    <w:tcPr>
      <w:shd w:val="pct25" w:color="008080" w:fill="FFFFFF"/>
    </w:tcPr>
    <w:tblStylePr w:type="firstRow">
      <w:tblPr>
        <w:tblLayout w:type="fixed"/>
      </w:tblPr>
      <w:tcPr>
        <w:tcBorders>
          <w:bottom w:val="single" w:color="000000" w:sz="6" w:space="0"/>
          <w:tl2br w:val="nil"/>
          <w:tr2bl w:val="nil"/>
        </w:tcBorders>
        <w:shd w:val="solid" w:color="008080" w:fill="FFFFFF"/>
      </w:tcPr>
    </w:tblStylePr>
    <w:tblStylePr w:type="firstCol">
      <w:tblPr>
        <w:tblLayout w:type="fixed"/>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blLayout w:type="fixed"/>
      </w:tblPr>
      <w:tcPr>
        <w:tcBorders>
          <w:tl2br w:val="nil"/>
          <w:tr2bl w:val="nil"/>
        </w:tcBorders>
        <w:shd w:val="solid" w:color="000000" w:fill="FFFFFF"/>
      </w:tcPr>
    </w:tblStylePr>
  </w:style>
  <w:style w:type="table" w:styleId="80">
    <w:name w:val="Table Elegant"/>
    <w:basedOn w:val="74"/>
    <w:qFormat/>
    <w:uiPriority w:val="0"/>
    <w:pPr>
      <w:widowControl w:val="0"/>
      <w:spacing w:line="400" w:lineRule="exact"/>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l2br w:val="nil"/>
          <w:tr2bl w:val="nil"/>
        </w:tcBorders>
      </w:tcPr>
    </w:tblStylePr>
  </w:style>
  <w:style w:type="table" w:styleId="81">
    <w:name w:val="Table Classic 1"/>
    <w:basedOn w:val="74"/>
    <w:qFormat/>
    <w:uiPriority w:val="0"/>
    <w:pPr>
      <w:widowControl w:val="0"/>
      <w:spacing w:line="400" w:lineRule="exact"/>
      <w:jc w:val="both"/>
    </w:pPr>
    <w:tblPr>
      <w:tblBorders>
        <w:top w:val="single" w:color="000000" w:sz="12" w:space="0"/>
        <w:bottom w:val="single" w:color="000000" w:sz="12" w:space="0"/>
      </w:tblBorders>
      <w:tblLayout w:type="fixed"/>
    </w:tblPr>
    <w:tcPr>
      <w:shd w:val="clear" w:color="auto" w:fill="auto"/>
    </w:tcPr>
    <w:tblStylePr w:type="firstRow">
      <w:rPr>
        <w:i/>
        <w:iCs/>
      </w:rPr>
      <w:tblPr>
        <w:tblLayout w:type="fixed"/>
      </w:tblPr>
      <w:tcPr>
        <w:tcBorders>
          <w:bottom w:val="single" w:color="000000" w:sz="6" w:space="0"/>
          <w:tl2br w:val="nil"/>
          <w:tr2bl w:val="nil"/>
        </w:tcBorders>
      </w:tcPr>
    </w:tblStylePr>
    <w:tblStylePr w:type="lastRow">
      <w:rPr>
        <w:color w:val="auto"/>
      </w:rPr>
      <w:tblPr>
        <w:tblLayout w:type="fixed"/>
      </w:tblPr>
      <w:tcPr>
        <w:tcBorders>
          <w:top w:val="single" w:color="000000" w:sz="6" w:space="0"/>
          <w:tl2br w:val="nil"/>
          <w:tr2bl w:val="nil"/>
        </w:tcBorders>
      </w:tcPr>
    </w:tblStylePr>
    <w:tblStylePr w:type="firstCol">
      <w:tblPr>
        <w:tblLayout w:type="fixed"/>
      </w:tblPr>
      <w:tcPr>
        <w:tcBorders>
          <w:right w:val="single" w:color="000000" w:sz="6" w:space="0"/>
          <w:tl2br w:val="nil"/>
          <w:tr2bl w:val="nil"/>
        </w:tcBorders>
      </w:tcPr>
    </w:tblStylePr>
    <w:tblStylePr w:type="neCell">
      <w:rPr>
        <w:b/>
        <w:bCs/>
        <w:i w:val="0"/>
        <w:iCs w:val="0"/>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82">
    <w:name w:val="Table Classic 2"/>
    <w:basedOn w:val="74"/>
    <w:qFormat/>
    <w:uiPriority w:val="0"/>
    <w:pPr>
      <w:widowControl w:val="0"/>
      <w:spacing w:line="400" w:lineRule="exact"/>
      <w:jc w:val="both"/>
    </w:pPr>
    <w:tblPr>
      <w:tblBorders>
        <w:top w:val="single" w:color="000000" w:sz="12" w:space="0"/>
        <w:bottom w:val="single" w:color="000000" w:sz="12" w:space="0"/>
      </w:tblBorders>
      <w:tblLayout w:type="fixed"/>
    </w:tblPr>
    <w:tcPr>
      <w:shd w:val="clear" w:color="auto" w:fill="auto"/>
    </w:tcPr>
    <w:tblStylePr w:type="firstRow">
      <w:rPr>
        <w:color w:val="FFFFFF"/>
      </w:rPr>
      <w:tblPr>
        <w:tblLayout w:type="fixed"/>
      </w:tblPr>
      <w:tcPr>
        <w:tcBorders>
          <w:bottom w:val="single" w:color="000000" w:sz="6" w:space="0"/>
          <w:tl2br w:val="nil"/>
          <w:tr2bl w:val="nil"/>
        </w:tcBorders>
        <w:shd w:val="solid" w:color="800080" w:fill="FFFFFF"/>
      </w:tcPr>
    </w:tblStylePr>
    <w:tblStylePr w:type="lastRow">
      <w:tblPr>
        <w:tblLayout w:type="fixed"/>
      </w:tblPr>
      <w:tcPr>
        <w:tcBorders>
          <w:top w:val="single" w:color="000000" w:sz="6" w:space="0"/>
          <w:tl2br w:val="nil"/>
          <w:tr2bl w:val="nil"/>
        </w:tcBorders>
      </w:tcPr>
    </w:tblStylePr>
    <w:tblStylePr w:type="firstCol">
      <w:rPr>
        <w:b/>
        <w:bCs/>
      </w:rPr>
      <w:tblPr>
        <w:tblLayout w:type="fixed"/>
      </w:tblPr>
      <w:tcPr>
        <w:tcBorders>
          <w:tl2br w:val="nil"/>
          <w:tr2bl w:val="nil"/>
        </w:tcBorders>
        <w:shd w:val="solid" w:color="C0C0C0" w:fill="FFFFFF"/>
      </w:tcPr>
    </w:tblStylePr>
    <w:tblStylePr w:type="neCell">
      <w:rPr>
        <w:b/>
        <w:bCs/>
      </w:rPr>
      <w:tblPr>
        <w:tblLayout w:type="fixed"/>
      </w:tblPr>
      <w:tcPr>
        <w:tcBorders>
          <w:tl2br w:val="nil"/>
          <w:tr2bl w:val="nil"/>
        </w:tcBorders>
      </w:tcPr>
    </w:tblStylePr>
    <w:tblStylePr w:type="nwCell">
      <w:tblPr>
        <w:tblLayout w:type="fixed"/>
      </w:tblPr>
      <w:tcPr>
        <w:tcBorders>
          <w:tl2br w:val="nil"/>
          <w:tr2bl w:val="nil"/>
        </w:tcBorders>
        <w:shd w:val="solid" w:color="800080" w:fill="FFFFFF"/>
      </w:tcPr>
    </w:tblStylePr>
    <w:tblStylePr w:type="swCell">
      <w:rPr>
        <w:color w:val="000080"/>
      </w:rPr>
      <w:tblPr>
        <w:tblLayout w:type="fixed"/>
      </w:tblPr>
      <w:tcPr>
        <w:tcBorders>
          <w:tl2br w:val="nil"/>
          <w:tr2bl w:val="nil"/>
        </w:tcBorders>
      </w:tcPr>
    </w:tblStylePr>
  </w:style>
  <w:style w:type="table" w:styleId="83">
    <w:name w:val="Table Classic 3"/>
    <w:basedOn w:val="74"/>
    <w:qFormat/>
    <w:uiPriority w:val="0"/>
    <w:pPr>
      <w:widowControl w:val="0"/>
      <w:spacing w:line="400" w:lineRule="exact"/>
      <w:jc w:val="both"/>
    </w:pPr>
    <w:rPr>
      <w:color w:val="000080"/>
    </w:rPr>
    <w:tblPr>
      <w:tblBorders>
        <w:top w:val="single" w:color="000000" w:sz="12" w:space="0"/>
        <w:left w:val="single" w:color="000000" w:sz="12" w:space="0"/>
        <w:bottom w:val="single" w:color="000000" w:sz="12" w:space="0"/>
        <w:right w:val="single" w:color="000000" w:sz="12" w:space="0"/>
      </w:tblBorders>
      <w:tblLayout w:type="fixed"/>
    </w:tblPr>
    <w:tcPr>
      <w:shd w:val="solid" w:color="C0C0C0" w:fill="FFFFFF"/>
    </w:tcPr>
    <w:tblStylePr w:type="firstRow">
      <w:rPr>
        <w:b/>
        <w:bCs/>
        <w:i/>
        <w:iCs/>
        <w:color w:val="FFFFFF"/>
      </w:rPr>
      <w:tblPr>
        <w:tblLayout w:type="fixed"/>
      </w:tblPr>
      <w:tcPr>
        <w:tcBorders>
          <w:bottom w:val="single" w:color="000000" w:sz="6" w:space="0"/>
          <w:tl2br w:val="nil"/>
          <w:tr2bl w:val="nil"/>
        </w:tcBorders>
        <w:shd w:val="solid" w:color="000080" w:fill="FFFFFF"/>
      </w:tcPr>
    </w:tblStylePr>
    <w:tblStylePr w:type="lastRow">
      <w:rPr>
        <w:color w:val="000080"/>
      </w:rPr>
      <w:tblPr>
        <w:tblLayout w:type="fixed"/>
      </w:tblPr>
      <w:tcPr>
        <w:tcBorders>
          <w:top w:val="single" w:color="000000" w:sz="12" w:space="0"/>
          <w:tl2br w:val="nil"/>
          <w:tr2bl w:val="nil"/>
        </w:tcBorders>
        <w:shd w:val="solid" w:color="FFFFFF" w:fill="FFFFFF"/>
      </w:tcPr>
    </w:tblStylePr>
    <w:tblStylePr w:type="firstCol">
      <w:rPr>
        <w:b/>
        <w:bCs/>
        <w:color w:val="000000"/>
      </w:rPr>
      <w:tblPr>
        <w:tblLayout w:type="fixed"/>
      </w:tblPr>
      <w:tcPr>
        <w:tcBorders>
          <w:tl2br w:val="nil"/>
          <w:tr2bl w:val="nil"/>
        </w:tcBorders>
      </w:tcPr>
    </w:tblStylePr>
  </w:style>
  <w:style w:type="table" w:styleId="84">
    <w:name w:val="Table Classic 4"/>
    <w:basedOn w:val="74"/>
    <w:qFormat/>
    <w:uiPriority w:val="0"/>
    <w:pPr>
      <w:widowControl w:val="0"/>
      <w:spacing w:line="400" w:lineRule="exact"/>
      <w:jc w:val="both"/>
    </w:pPr>
    <w:tblPr>
      <w:tblBorders>
        <w:top w:val="single" w:color="000000" w:sz="12" w:space="0"/>
        <w:left w:val="single" w:color="000000" w:sz="6" w:space="0"/>
        <w:bottom w:val="single" w:color="000000" w:sz="12" w:space="0"/>
        <w:right w:val="single" w:color="000000" w:sz="6" w:space="0"/>
      </w:tblBorders>
      <w:tblLayout w:type="fixed"/>
    </w:tblPr>
    <w:tcPr>
      <w:shd w:val="clear" w:color="auto" w:fill="auto"/>
    </w:tcPr>
    <w:tblStylePr w:type="firstRow">
      <w:rPr>
        <w:b/>
        <w:bCs/>
        <w:i/>
        <w:iCs/>
        <w:color w:val="FFFFFF"/>
      </w:rPr>
      <w:tblPr>
        <w:tblLayout w:type="fixed"/>
      </w:tblPr>
      <w:tcPr>
        <w:tcBorders>
          <w:bottom w:val="single" w:color="000000" w:sz="6" w:space="0"/>
          <w:tl2br w:val="nil"/>
          <w:tr2bl w:val="nil"/>
        </w:tcBorders>
        <w:shd w:val="pct50" w:color="000080" w:fill="FFFFFF"/>
      </w:tcPr>
    </w:tblStylePr>
    <w:tblStylePr w:type="lastRow">
      <w:rPr>
        <w:color w:val="000080"/>
      </w:rPr>
      <w:tblPr>
        <w:tblLayout w:type="fixed"/>
      </w:tblPr>
      <w:tcPr>
        <w:tcBorders>
          <w:bottom w:val="single" w:color="000000" w:sz="6" w:space="0"/>
          <w:tl2br w:val="nil"/>
          <w:tr2bl w:val="nil"/>
        </w:tcBorders>
        <w:shd w:val="pct50" w:color="000000" w:fill="FFFFFF"/>
      </w:tcPr>
    </w:tblStylePr>
    <w:tblStylePr w:type="firstCol">
      <w:rPr>
        <w:b/>
        <w:bCs/>
      </w:rPr>
      <w:tblPr>
        <w:tblLayout w:type="fixed"/>
      </w:tblPr>
      <w:tcPr>
        <w:tcBorders>
          <w:tl2br w:val="nil"/>
          <w:tr2bl w:val="nil"/>
        </w:tcBorders>
      </w:tcPr>
    </w:tblStylePr>
    <w:tblStylePr w:type="nwCell">
      <w:rPr>
        <w:b/>
        <w:bCs/>
      </w:rPr>
      <w:tblPr>
        <w:tblLayout w:type="fixed"/>
      </w:tblPr>
      <w:tcPr>
        <w:tcBorders>
          <w:tl2br w:val="nil"/>
          <w:tr2bl w:val="nil"/>
        </w:tcBorders>
      </w:tcPr>
    </w:tblStylePr>
    <w:tblStylePr w:type="swCell">
      <w:rPr>
        <w:color w:val="000080"/>
      </w:rPr>
      <w:tblPr>
        <w:tblLayout w:type="fixed"/>
      </w:tblPr>
      <w:tcPr>
        <w:tcBorders>
          <w:tl2br w:val="nil"/>
          <w:tr2bl w:val="nil"/>
        </w:tcBorders>
      </w:tcPr>
    </w:tblStylePr>
  </w:style>
  <w:style w:type="table" w:styleId="85">
    <w:name w:val="Table Simple 1"/>
    <w:basedOn w:val="74"/>
    <w:qFormat/>
    <w:uiPriority w:val="0"/>
    <w:pPr>
      <w:widowControl w:val="0"/>
      <w:spacing w:line="400" w:lineRule="exact"/>
      <w:jc w:val="both"/>
    </w:pPr>
    <w:tblPr>
      <w:tblBorders>
        <w:top w:val="single" w:color="008000" w:sz="12" w:space="0"/>
        <w:bottom w:val="single" w:color="008000" w:sz="12" w:space="0"/>
      </w:tblBorders>
      <w:tblLayout w:type="fixed"/>
    </w:tblPr>
    <w:tcPr>
      <w:shd w:val="clear" w:color="auto" w:fill="auto"/>
    </w:tcPr>
    <w:tblStylePr w:type="firstRow">
      <w:tblPr>
        <w:tblLayout w:type="fixed"/>
      </w:tblPr>
      <w:tcPr>
        <w:tcBorders>
          <w:bottom w:val="single" w:color="008000" w:sz="6" w:space="0"/>
          <w:tl2br w:val="nil"/>
          <w:tr2bl w:val="nil"/>
        </w:tcBorders>
      </w:tcPr>
    </w:tblStylePr>
    <w:tblStylePr w:type="lastRow">
      <w:tblPr>
        <w:tblLayout w:type="fixed"/>
      </w:tblPr>
      <w:tcPr>
        <w:tcBorders>
          <w:top w:val="single" w:color="008000" w:sz="6" w:space="0"/>
          <w:tl2br w:val="nil"/>
          <w:tr2bl w:val="nil"/>
        </w:tcBorders>
      </w:tcPr>
    </w:tblStylePr>
  </w:style>
  <w:style w:type="table" w:styleId="86">
    <w:name w:val="Table Simple 2"/>
    <w:basedOn w:val="74"/>
    <w:qFormat/>
    <w:uiPriority w:val="0"/>
    <w:pPr>
      <w:widowControl w:val="0"/>
      <w:spacing w:line="400" w:lineRule="exact"/>
      <w:jc w:val="both"/>
    </w:pPr>
    <w:tblPr>
      <w:tblLayout w:type="fixed"/>
    </w:tblPr>
    <w:tblStylePr w:type="firstRow">
      <w:rPr>
        <w:b/>
        <w:bCs/>
      </w:rPr>
      <w:tblPr>
        <w:tblLayout w:type="fixed"/>
      </w:tblPr>
      <w:tcPr>
        <w:tcBorders>
          <w:bottom w:val="single" w:color="000000" w:sz="12" w:space="0"/>
          <w:tl2br w:val="nil"/>
          <w:tr2bl w:val="nil"/>
        </w:tcBorders>
      </w:tcPr>
    </w:tblStylePr>
    <w:tblStylePr w:type="lastRow">
      <w:rPr>
        <w:b/>
        <w:bCs/>
        <w:color w:val="auto"/>
      </w:rPr>
      <w:tblPr>
        <w:tblLayout w:type="fixed"/>
      </w:tblPr>
      <w:tcPr>
        <w:tcBorders>
          <w:top w:val="single" w:color="000000" w:sz="6" w:space="0"/>
          <w:tl2br w:val="nil"/>
          <w:tr2bl w:val="nil"/>
        </w:tcBorders>
      </w:tcPr>
    </w:tblStylePr>
    <w:tblStylePr w:type="firstCol">
      <w:rPr>
        <w:b/>
        <w:bCs/>
      </w:rPr>
      <w:tblPr>
        <w:tblLayout w:type="fixed"/>
      </w:tblPr>
      <w:tcPr>
        <w:tcBorders>
          <w:right w:val="single" w:color="000000" w:sz="12" w:space="0"/>
          <w:tl2br w:val="nil"/>
          <w:tr2bl w:val="nil"/>
        </w:tcBorders>
      </w:tcPr>
    </w:tblStylePr>
    <w:tblStylePr w:type="lastCol">
      <w:rPr>
        <w:b/>
        <w:bCs/>
      </w:rPr>
      <w:tblPr>
        <w:tblLayout w:type="fixed"/>
      </w:tblPr>
      <w:tcPr>
        <w:tcBorders>
          <w:left w:val="single" w:color="000000" w:sz="6" w:space="0"/>
          <w:tl2br w:val="nil"/>
          <w:tr2bl w:val="nil"/>
        </w:tcBorders>
      </w:tcPr>
    </w:tblStylePr>
    <w:tblStylePr w:type="neCell">
      <w:rPr>
        <w:b/>
        <w:bCs/>
      </w:rPr>
      <w:tblPr>
        <w:tblLayout w:type="fixed"/>
      </w:tblPr>
      <w:tcPr>
        <w:tcBorders>
          <w:left w:val="nil"/>
          <w:tl2br w:val="nil"/>
          <w:tr2bl w:val="nil"/>
        </w:tcBorders>
      </w:tcPr>
    </w:tblStylePr>
    <w:tblStylePr w:type="swCell">
      <w:rPr>
        <w:b/>
        <w:bCs/>
      </w:rPr>
      <w:tblPr>
        <w:tblLayout w:type="fixed"/>
      </w:tblPr>
      <w:tcPr>
        <w:tcBorders>
          <w:top w:val="nil"/>
          <w:tl2br w:val="nil"/>
          <w:tr2bl w:val="nil"/>
        </w:tcBorders>
      </w:tcPr>
    </w:tblStylePr>
  </w:style>
  <w:style w:type="table" w:styleId="87">
    <w:name w:val="Table Simple 3"/>
    <w:basedOn w:val="74"/>
    <w:qFormat/>
    <w:uiPriority w:val="0"/>
    <w:pPr>
      <w:widowControl w:val="0"/>
      <w:spacing w:line="400" w:lineRule="exact"/>
      <w:jc w:val="both"/>
    </w:pPr>
    <w:tblPr>
      <w:tblBorders>
        <w:top w:val="single" w:color="000000" w:sz="12" w:space="0"/>
        <w:left w:val="single" w:color="000000" w:sz="12" w:space="0"/>
        <w:bottom w:val="single" w:color="000000" w:sz="12" w:space="0"/>
        <w:right w:val="single" w:color="000000" w:sz="12" w:space="0"/>
      </w:tblBorders>
      <w:tblLayout w:type="fixed"/>
    </w:tblPr>
    <w:tcPr>
      <w:shd w:val="clear" w:color="auto" w:fill="auto"/>
    </w:tcPr>
    <w:tblStylePr w:type="firstRow">
      <w:rPr>
        <w:b/>
        <w:bCs/>
        <w:color w:val="FFFFFF"/>
      </w:rPr>
      <w:tblPr>
        <w:tblLayout w:type="fixed"/>
      </w:tblPr>
      <w:tcPr>
        <w:tcBorders>
          <w:tl2br w:val="nil"/>
          <w:tr2bl w:val="nil"/>
        </w:tcBorders>
        <w:shd w:val="solid" w:color="000000" w:fill="FFFFFF"/>
      </w:tcPr>
    </w:tblStylePr>
  </w:style>
  <w:style w:type="table" w:styleId="88">
    <w:name w:val="Table Subtle 1"/>
    <w:basedOn w:val="74"/>
    <w:qFormat/>
    <w:uiPriority w:val="0"/>
    <w:pPr>
      <w:widowControl w:val="0"/>
      <w:spacing w:line="400" w:lineRule="exact"/>
      <w:jc w:val="both"/>
    </w:pPr>
    <w:tblPr>
      <w:tblLayout w:type="fixed"/>
    </w:tblPr>
    <w:tblStylePr w:type="firstRow">
      <w:tblPr>
        <w:tblLayout w:type="fixed"/>
      </w:tblPr>
      <w:tcPr>
        <w:tcBorders>
          <w:top w:val="single" w:color="000000" w:sz="6" w:space="0"/>
          <w:bottom w:val="single" w:color="000000" w:sz="12" w:space="0"/>
          <w:tl2br w:val="nil"/>
          <w:tr2bl w:val="nil"/>
        </w:tcBorders>
      </w:tcPr>
    </w:tblStylePr>
    <w:tblStylePr w:type="lastRow">
      <w:tblPr>
        <w:tblLayout w:type="fixed"/>
      </w:tblPr>
      <w:tcPr>
        <w:tcBorders>
          <w:top w:val="single" w:color="000000" w:sz="12" w:space="0"/>
          <w:tl2br w:val="nil"/>
          <w:tr2bl w:val="nil"/>
        </w:tcBorders>
        <w:shd w:val="pct25" w:color="800080" w:fill="FFFFFF"/>
      </w:tcPr>
    </w:tblStylePr>
    <w:tblStylePr w:type="firstCol">
      <w:tblPr>
        <w:tblLayout w:type="fixed"/>
      </w:tblPr>
      <w:tcPr>
        <w:tcBorders>
          <w:right w:val="single" w:color="000000" w:sz="12" w:space="0"/>
          <w:tl2br w:val="nil"/>
          <w:tr2bl w:val="nil"/>
        </w:tcBorders>
      </w:tcPr>
    </w:tblStylePr>
    <w:tblStylePr w:type="lastCol">
      <w:tblPr>
        <w:tblLayout w:type="fixed"/>
      </w:tblPr>
      <w:tcPr>
        <w:tcBorders>
          <w:left w:val="single" w:color="000000" w:sz="12" w:space="0"/>
          <w:tl2br w:val="nil"/>
          <w:tr2bl w:val="nil"/>
        </w:tcBorders>
      </w:tcPr>
    </w:tblStylePr>
    <w:tblStylePr w:type="band1Horz">
      <w:tblPr>
        <w:tblLayout w:type="fixed"/>
      </w:tblPr>
      <w:tcPr>
        <w:tcBorders>
          <w:bottom w:val="single" w:color="000000" w:sz="6" w:space="0"/>
          <w:tl2br w:val="nil"/>
          <w:tr2bl w:val="nil"/>
        </w:tcBorders>
        <w:shd w:val="pct25" w:color="808000" w:fill="FFFFFF"/>
      </w:tcPr>
    </w:tblStylePr>
    <w:tblStylePr w:type="neCell">
      <w:rPr>
        <w:b/>
        <w:bCs/>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89">
    <w:name w:val="Table Subtle 2"/>
    <w:basedOn w:val="74"/>
    <w:qFormat/>
    <w:uiPriority w:val="0"/>
    <w:pPr>
      <w:widowControl w:val="0"/>
      <w:spacing w:line="400" w:lineRule="exact"/>
      <w:jc w:val="both"/>
    </w:pPr>
    <w:tblPr>
      <w:tblBorders>
        <w:left w:val="single" w:color="000000" w:sz="6" w:space="0"/>
        <w:right w:val="single" w:color="000000" w:sz="6" w:space="0"/>
      </w:tblBorders>
      <w:tblLayout w:type="fixed"/>
    </w:tblPr>
    <w:tblStylePr w:type="firstRow">
      <w:tblPr>
        <w:tblLayout w:type="fixed"/>
      </w:tblPr>
      <w:tcPr>
        <w:tcBorders>
          <w:bottom w:val="single" w:color="000000" w:sz="12" w:space="0"/>
          <w:tl2br w:val="nil"/>
          <w:tr2bl w:val="nil"/>
        </w:tcBorders>
      </w:tcPr>
    </w:tblStylePr>
    <w:tblStylePr w:type="lastRow">
      <w:tblPr>
        <w:tblLayout w:type="fixed"/>
      </w:tblPr>
      <w:tcPr>
        <w:tcBorders>
          <w:top w:val="single" w:color="000000" w:sz="12" w:space="0"/>
          <w:tl2br w:val="nil"/>
          <w:tr2bl w:val="nil"/>
        </w:tcBorders>
      </w:tcPr>
    </w:tblStylePr>
    <w:tblStylePr w:type="firstCol">
      <w:tblPr>
        <w:tblLayout w:type="fixed"/>
      </w:tblPr>
      <w:tcPr>
        <w:tcBorders>
          <w:right w:val="single" w:color="000000" w:sz="12" w:space="0"/>
          <w:tl2br w:val="nil"/>
          <w:tr2bl w:val="nil"/>
        </w:tcBorders>
        <w:shd w:val="pct25" w:color="008000" w:fill="FFFFFF"/>
      </w:tcPr>
    </w:tblStylePr>
    <w:tblStylePr w:type="lastCol">
      <w:tblPr>
        <w:tblLayout w:type="fixed"/>
      </w:tblPr>
      <w:tcPr>
        <w:tcBorders>
          <w:left w:val="single" w:color="000000" w:sz="12" w:space="0"/>
          <w:tl2br w:val="nil"/>
          <w:tr2bl w:val="nil"/>
        </w:tcBorders>
        <w:shd w:val="pct25" w:color="808000" w:fill="FFFFFF"/>
      </w:tcPr>
    </w:tblStylePr>
    <w:tblStylePr w:type="neCell">
      <w:rPr>
        <w:b/>
        <w:bCs/>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90">
    <w:name w:val="Table 3D effects 1"/>
    <w:basedOn w:val="74"/>
    <w:qFormat/>
    <w:uiPriority w:val="0"/>
    <w:pPr>
      <w:widowControl w:val="0"/>
      <w:spacing w:line="400" w:lineRule="exact"/>
      <w:jc w:val="both"/>
    </w:pPr>
    <w:tblPr>
      <w:tblLayout w:type="fixed"/>
    </w:tblPr>
    <w:tcPr>
      <w:shd w:val="solid" w:color="C0C0C0" w:fill="FFFFFF"/>
    </w:tcPr>
    <w:tblStylePr w:type="firstRow">
      <w:rPr>
        <w:b/>
        <w:bCs/>
        <w:color w:val="800080"/>
      </w:rPr>
      <w:tblPr>
        <w:tblLayout w:type="fixed"/>
      </w:tblPr>
      <w:tcPr>
        <w:tcBorders>
          <w:bottom w:val="single" w:color="808080" w:sz="6" w:space="0"/>
          <w:tl2br w:val="nil"/>
          <w:tr2bl w:val="nil"/>
        </w:tcBorders>
      </w:tcPr>
    </w:tblStylePr>
    <w:tblStylePr w:type="lastRow">
      <w:tblPr>
        <w:tblLayout w:type="fixed"/>
      </w:tblPr>
      <w:tcPr>
        <w:tcBorders>
          <w:top w:val="single" w:color="FFFFFF" w:sz="6" w:space="0"/>
          <w:tl2br w:val="nil"/>
          <w:tr2bl w:val="nil"/>
        </w:tcBorders>
      </w:tcPr>
    </w:tblStylePr>
    <w:tblStylePr w:type="firstCol">
      <w:rPr>
        <w:b/>
        <w:bCs/>
      </w:rPr>
      <w:tblPr>
        <w:tblLayout w:type="fixed"/>
      </w:tblPr>
      <w:tcPr>
        <w:tcBorders>
          <w:right w:val="single" w:color="808080" w:sz="6" w:space="0"/>
          <w:tl2br w:val="nil"/>
          <w:tr2bl w:val="nil"/>
        </w:tcBorders>
      </w:tcPr>
    </w:tblStylePr>
    <w:tblStylePr w:type="lastCol">
      <w:tblPr>
        <w:tblLayout w:type="fixed"/>
      </w:tblPr>
      <w:tcPr>
        <w:tcBorders>
          <w:left w:val="single" w:color="FFFFFF" w:sz="6" w:space="0"/>
          <w:tl2br w:val="nil"/>
          <w:tr2bl w:val="nil"/>
        </w:tcBorders>
      </w:tcPr>
    </w:tblStylePr>
    <w:tblStylePr w:type="neCell">
      <w:tblPr>
        <w:tblLayout w:type="fixed"/>
      </w:tblPr>
      <w:tcPr>
        <w:tcBorders>
          <w:left w:val="nil"/>
          <w:bottom w:val="nil"/>
          <w:tl2br w:val="nil"/>
          <w:tr2bl w:val="nil"/>
        </w:tcBorders>
      </w:tcPr>
    </w:tblStylePr>
    <w:tblStylePr w:type="nwCell">
      <w:tblPr>
        <w:tblLayout w:type="fixed"/>
      </w:tblPr>
      <w:tcPr>
        <w:tcBorders>
          <w:bottom w:val="nil"/>
          <w:right w:val="nil"/>
          <w:tl2br w:val="nil"/>
          <w:tr2bl w:val="nil"/>
        </w:tcBorders>
      </w:tcPr>
    </w:tblStylePr>
    <w:tblStylePr w:type="seCell">
      <w:tblPr>
        <w:tblLayout w:type="fixed"/>
      </w:tblPr>
      <w:tcPr>
        <w:tcBorders>
          <w:top w:val="nil"/>
          <w:left w:val="nil"/>
          <w:tl2br w:val="nil"/>
          <w:tr2bl w:val="nil"/>
        </w:tcBorders>
      </w:tcPr>
    </w:tblStylePr>
    <w:tblStylePr w:type="swCell">
      <w:rPr>
        <w:color w:val="000080"/>
      </w:rPr>
      <w:tblPr>
        <w:tblLayout w:type="fixed"/>
      </w:tblPr>
      <w:tcPr>
        <w:tcBorders>
          <w:top w:val="nil"/>
          <w:right w:val="nil"/>
          <w:tl2br w:val="nil"/>
          <w:tr2bl w:val="nil"/>
        </w:tcBorders>
      </w:tcPr>
    </w:tblStylePr>
  </w:style>
  <w:style w:type="table" w:styleId="91">
    <w:name w:val="Table 3D effects 2"/>
    <w:basedOn w:val="74"/>
    <w:qFormat/>
    <w:uiPriority w:val="0"/>
    <w:pPr>
      <w:widowControl w:val="0"/>
      <w:spacing w:line="400" w:lineRule="exact"/>
      <w:jc w:val="both"/>
    </w:pPr>
    <w:tblPr>
      <w:tblLayout w:type="fixed"/>
    </w:tblPr>
    <w:tcPr>
      <w:shd w:val="solid" w:color="C0C0C0" w:fill="FFFFFF"/>
    </w:tcPr>
    <w:tblStylePr w:type="firstRow">
      <w:rPr>
        <w:b/>
        <w:bCs/>
      </w:rPr>
      <w:tblPr>
        <w:tblLayout w:type="fixed"/>
      </w:tblPr>
      <w:tcPr>
        <w:tcBorders>
          <w:tl2br w:val="nil"/>
          <w:tr2bl w:val="nil"/>
        </w:tcBorders>
      </w:tcPr>
    </w:tblStylePr>
    <w:tblStylePr w:type="firstCol">
      <w:tblPr>
        <w:tblLayout w:type="fixed"/>
      </w:tblPr>
      <w:tcPr>
        <w:tcBorders>
          <w:top w:val="nil"/>
          <w:bottom w:val="nil"/>
          <w:right w:val="single" w:color="808080" w:sz="6" w:space="0"/>
          <w:tl2br w:val="nil"/>
          <w:tr2bl w:val="nil"/>
        </w:tcBorders>
      </w:tcPr>
    </w:tblStylePr>
    <w:tblStylePr w:type="lastCol">
      <w:tblPr>
        <w:tblLayout w:type="fixed"/>
      </w:tblPr>
      <w:tcPr>
        <w:tcBorders>
          <w:right w:val="single" w:color="FFFFFF" w:sz="6" w:space="0"/>
          <w:tl2br w:val="nil"/>
          <w:tr2bl w:val="nil"/>
        </w:tcBorders>
      </w:tcPr>
    </w:tblStylePr>
    <w:tblStylePr w:type="band1Horz">
      <w:tblPr>
        <w:tblLayout w:type="fixed"/>
      </w:tblPr>
      <w:tcPr>
        <w:tcBorders>
          <w:top w:val="single" w:color="808080" w:sz="6" w:space="0"/>
          <w:bottom w:val="single" w:color="FFFFFF" w:sz="6" w:space="0"/>
          <w:tl2br w:val="nil"/>
          <w:tr2bl w:val="nil"/>
        </w:tcBorders>
      </w:tcPr>
    </w:tblStylePr>
    <w:tblStylePr w:type="swCell">
      <w:rPr>
        <w:b/>
        <w:bCs/>
      </w:rPr>
      <w:tblPr>
        <w:tblLayout w:type="fixed"/>
      </w:tblPr>
      <w:tcPr>
        <w:tcBorders>
          <w:tl2br w:val="nil"/>
          <w:tr2bl w:val="nil"/>
        </w:tcBorders>
      </w:tcPr>
    </w:tblStylePr>
  </w:style>
  <w:style w:type="table" w:styleId="92">
    <w:name w:val="Table 3D effects 3"/>
    <w:basedOn w:val="74"/>
    <w:qFormat/>
    <w:uiPriority w:val="0"/>
    <w:pPr>
      <w:widowControl w:val="0"/>
      <w:spacing w:line="400" w:lineRule="exact"/>
      <w:jc w:val="both"/>
    </w:pPr>
    <w:tblPr>
      <w:tblLayout w:type="fixed"/>
    </w:tblPr>
    <w:tblStylePr w:type="firstRow">
      <w:rPr>
        <w:b/>
        <w:bCs/>
      </w:rPr>
      <w:tblPr>
        <w:tblLayout w:type="fixed"/>
      </w:tblPr>
      <w:tcPr>
        <w:tcBorders>
          <w:tl2br w:val="nil"/>
          <w:tr2bl w:val="nil"/>
        </w:tcBorders>
      </w:tcPr>
    </w:tblStylePr>
    <w:tblStylePr w:type="firstCol">
      <w:tblPr>
        <w:tblLayout w:type="fixed"/>
      </w:tblPr>
      <w:tcPr>
        <w:tcBorders>
          <w:top w:val="nil"/>
          <w:bottom w:val="nil"/>
          <w:right w:val="single" w:color="808080" w:sz="6" w:space="0"/>
          <w:tl2br w:val="nil"/>
          <w:tr2bl w:val="nil"/>
        </w:tcBorders>
      </w:tcPr>
    </w:tblStylePr>
    <w:tblStylePr w:type="lastCol">
      <w:tblPr>
        <w:tblLayout w:type="fixed"/>
      </w:tblPr>
      <w:tcPr>
        <w:tcBorders>
          <w:right w:val="single" w:color="FFFFFF" w:sz="6" w:space="0"/>
          <w:tl2br w:val="nil"/>
          <w:tr2bl w:val="nil"/>
        </w:tcBorders>
      </w:tcPr>
    </w:tblStylePr>
    <w:tblStylePr w:type="band1Vert">
      <w:rPr>
        <w:color w:val="auto"/>
      </w:rPr>
      <w:tblPr>
        <w:tblLayout w:type="fixed"/>
      </w:tblPr>
      <w:tcPr>
        <w:shd w:val="solid" w:color="C0C0C0" w:fill="FFFFFF"/>
      </w:tcPr>
    </w:tblStylePr>
    <w:tblStylePr w:type="band2Vert">
      <w:rPr>
        <w:color w:val="auto"/>
      </w:rPr>
      <w:tblPr>
        <w:tblLayout w:type="fixed"/>
      </w:tblPr>
      <w:tcPr>
        <w:shd w:val="pct50" w:color="C0C0C0" w:fill="FFFFFF"/>
      </w:tcPr>
    </w:tblStylePr>
    <w:tblStylePr w:type="band1Horz">
      <w:tblPr>
        <w:tblLayout w:type="fixed"/>
      </w:tblPr>
      <w:tcPr>
        <w:tcBorders>
          <w:top w:val="single" w:color="808080" w:sz="6" w:space="0"/>
          <w:bottom w:val="single" w:color="FFFFFF" w:sz="6" w:space="0"/>
          <w:tl2br w:val="nil"/>
          <w:tr2bl w:val="nil"/>
        </w:tcBorders>
      </w:tcPr>
    </w:tblStylePr>
    <w:tblStylePr w:type="swCell">
      <w:rPr>
        <w:b/>
        <w:bCs/>
      </w:rPr>
      <w:tblPr>
        <w:tblLayout w:type="fixed"/>
      </w:tblPr>
      <w:tcPr>
        <w:tcBorders>
          <w:tl2br w:val="nil"/>
          <w:tr2bl w:val="nil"/>
        </w:tcBorders>
      </w:tcPr>
    </w:tblStylePr>
  </w:style>
  <w:style w:type="table" w:styleId="93">
    <w:name w:val="Table List 1"/>
    <w:basedOn w:val="74"/>
    <w:qFormat/>
    <w:uiPriority w:val="0"/>
    <w:pPr>
      <w:widowControl w:val="0"/>
      <w:spacing w:line="400" w:lineRule="exact"/>
      <w:jc w:val="both"/>
    </w:pPr>
    <w:tblPr>
      <w:tblBorders>
        <w:top w:val="single" w:color="008080" w:sz="12" w:space="0"/>
        <w:left w:val="single" w:color="008080" w:sz="6" w:space="0"/>
        <w:bottom w:val="single" w:color="008080" w:sz="12" w:space="0"/>
        <w:right w:val="single" w:color="008080" w:sz="6" w:space="0"/>
      </w:tblBorders>
      <w:tblLayout w:type="fixed"/>
    </w:tblPr>
    <w:tblStylePr w:type="firstRow">
      <w:rPr>
        <w:b/>
        <w:bCs/>
        <w:i/>
        <w:iCs/>
        <w:color w:val="800000"/>
      </w:rPr>
      <w:tblPr>
        <w:tblLayout w:type="fixed"/>
      </w:tblPr>
      <w:tcPr>
        <w:tcBorders>
          <w:bottom w:val="single" w:color="000000" w:sz="6" w:space="0"/>
          <w:tl2br w:val="nil"/>
          <w:tr2bl w:val="nil"/>
        </w:tcBorders>
        <w:shd w:val="solid" w:color="C0C0C0" w:fill="FFFFFF"/>
      </w:tcPr>
    </w:tblStylePr>
    <w:tblStylePr w:type="lastRow">
      <w:tblPr>
        <w:tblLayout w:type="fixed"/>
      </w:tblPr>
      <w:tcPr>
        <w:tcBorders>
          <w:top w:val="single" w:color="000000" w:sz="6" w:space="0"/>
          <w:tl2br w:val="nil"/>
          <w:tr2bl w:val="nil"/>
        </w:tcBorders>
      </w:tcPr>
    </w:tblStylePr>
    <w:tblStylePr w:type="band1Horz">
      <w:rPr>
        <w:color w:val="auto"/>
      </w:rPr>
      <w:tblPr>
        <w:tblLayout w:type="fixed"/>
      </w:tblPr>
      <w:tcPr>
        <w:tcBorders>
          <w:tl2br w:val="nil"/>
          <w:tr2bl w:val="nil"/>
        </w:tcBorders>
        <w:shd w:val="solid" w:color="C0C0C0" w:fill="FFFFFF"/>
      </w:tcPr>
    </w:tblStylePr>
    <w:tblStylePr w:type="band2Horz">
      <w:rPr>
        <w:color w:val="auto"/>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94">
    <w:name w:val="Table List 2"/>
    <w:basedOn w:val="74"/>
    <w:qFormat/>
    <w:uiPriority w:val="0"/>
    <w:pPr>
      <w:widowControl w:val="0"/>
      <w:spacing w:line="400" w:lineRule="exact"/>
      <w:jc w:val="both"/>
    </w:pPr>
    <w:tblPr>
      <w:tblBorders>
        <w:bottom w:val="single" w:color="808080" w:sz="12" w:space="0"/>
      </w:tblBorders>
      <w:tblLayout w:type="fixed"/>
    </w:tblPr>
    <w:tblStylePr w:type="firstRow">
      <w:rPr>
        <w:b/>
        <w:bCs/>
        <w:color w:val="FFFFFF"/>
      </w:rPr>
      <w:tblPr>
        <w:tblLayout w:type="fixed"/>
      </w:tblPr>
      <w:tcPr>
        <w:tcBorders>
          <w:bottom w:val="single" w:color="000000" w:sz="6" w:space="0"/>
          <w:tl2br w:val="nil"/>
          <w:tr2bl w:val="nil"/>
        </w:tcBorders>
        <w:shd w:val="pct75" w:color="008080" w:fill="008000"/>
      </w:tcPr>
    </w:tblStylePr>
    <w:tblStylePr w:type="lastRow">
      <w:tblPr>
        <w:tblLayout w:type="fixed"/>
      </w:tblPr>
      <w:tcPr>
        <w:tcBorders>
          <w:top w:val="single" w:color="000000" w:sz="6" w:space="0"/>
          <w:tl2br w:val="nil"/>
          <w:tr2bl w:val="nil"/>
        </w:tcBorders>
      </w:tcPr>
    </w:tblStylePr>
    <w:tblStylePr w:type="band1Horz">
      <w:rPr>
        <w:color w:val="auto"/>
      </w:rPr>
      <w:tblPr>
        <w:tblLayout w:type="fixed"/>
      </w:tblPr>
      <w:tcPr>
        <w:tcBorders>
          <w:tl2br w:val="nil"/>
          <w:tr2bl w:val="nil"/>
        </w:tcBorders>
        <w:shd w:val="pct20" w:color="00FF00" w:fill="FFFFFF"/>
      </w:tcPr>
    </w:tblStylePr>
    <w:tblStylePr w:type="band2Horz">
      <w:rPr>
        <w:color w:val="auto"/>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95">
    <w:name w:val="Table List 3"/>
    <w:basedOn w:val="74"/>
    <w:qFormat/>
    <w:uiPriority w:val="0"/>
    <w:pPr>
      <w:widowControl w:val="0"/>
      <w:spacing w:line="400" w:lineRule="exact"/>
      <w:jc w:val="both"/>
    </w:pPr>
    <w:tblPr>
      <w:tblBorders>
        <w:top w:val="single" w:color="000000" w:sz="12" w:space="0"/>
        <w:bottom w:val="single" w:color="000000" w:sz="12" w:space="0"/>
        <w:insideH w:val="single" w:color="000000" w:sz="6" w:space="0"/>
      </w:tblBorders>
      <w:tblLayout w:type="fixed"/>
    </w:tblPr>
    <w:tcPr>
      <w:shd w:val="clear" w:color="auto" w:fill="auto"/>
    </w:tcPr>
    <w:tblStylePr w:type="firstRow">
      <w:rPr>
        <w:b/>
        <w:bCs/>
        <w:color w:val="000080"/>
      </w:rPr>
      <w:tblPr>
        <w:tblLayout w:type="fixed"/>
      </w:tblPr>
      <w:tcPr>
        <w:tcBorders>
          <w:bottom w:val="single" w:color="000000" w:sz="12" w:space="0"/>
          <w:tl2br w:val="nil"/>
          <w:tr2bl w:val="nil"/>
        </w:tcBorders>
      </w:tcPr>
    </w:tblStylePr>
    <w:tblStylePr w:type="lastRow">
      <w:tblPr>
        <w:tblLayout w:type="fixed"/>
      </w:tblPr>
      <w:tcPr>
        <w:tcBorders>
          <w:top w:val="single" w:color="000000" w:sz="12" w:space="0"/>
          <w:tl2br w:val="nil"/>
          <w:tr2bl w:val="nil"/>
        </w:tcBorders>
      </w:tcPr>
    </w:tblStylePr>
    <w:tblStylePr w:type="swCell">
      <w:rPr>
        <w:i/>
        <w:iCs/>
        <w:color w:val="000080"/>
      </w:rPr>
      <w:tblPr>
        <w:tblLayout w:type="fixed"/>
      </w:tblPr>
      <w:tcPr>
        <w:tcBorders>
          <w:tl2br w:val="nil"/>
          <w:tr2bl w:val="nil"/>
        </w:tcBorders>
      </w:tcPr>
    </w:tblStylePr>
  </w:style>
  <w:style w:type="table" w:styleId="96">
    <w:name w:val="Table List 4"/>
    <w:basedOn w:val="74"/>
    <w:qFormat/>
    <w:uiPriority w:val="0"/>
    <w:pPr>
      <w:widowControl w:val="0"/>
      <w:spacing w:line="400" w:lineRule="exact"/>
      <w:jc w:val="both"/>
    </w:pPr>
    <w:tblPr>
      <w:tblBorders>
        <w:top w:val="single" w:color="000000" w:sz="12" w:space="0"/>
        <w:left w:val="single" w:color="000000" w:sz="12" w:space="0"/>
        <w:bottom w:val="single" w:color="000000" w:sz="12" w:space="0"/>
        <w:right w:val="single" w:color="000000" w:sz="12" w:space="0"/>
        <w:insideH w:val="single" w:color="000000" w:sz="6" w:space="0"/>
      </w:tblBorders>
      <w:tblLayout w:type="fixed"/>
    </w:tblPr>
    <w:tcPr>
      <w:shd w:val="clear" w:color="auto" w:fill="auto"/>
    </w:tcPr>
    <w:tblStylePr w:type="firstRow">
      <w:rPr>
        <w:b/>
        <w:bCs/>
        <w:color w:val="FFFFFF"/>
      </w:rPr>
      <w:tblPr>
        <w:tblLayout w:type="fixed"/>
      </w:tblPr>
      <w:tcPr>
        <w:tcBorders>
          <w:bottom w:val="single" w:color="000000" w:sz="12" w:space="0"/>
          <w:tl2br w:val="nil"/>
          <w:tr2bl w:val="nil"/>
        </w:tcBorders>
        <w:shd w:val="solid" w:color="808080" w:fill="FFFFFF"/>
      </w:tcPr>
    </w:tblStylePr>
  </w:style>
  <w:style w:type="table" w:styleId="97">
    <w:name w:val="Table List 5"/>
    <w:basedOn w:val="74"/>
    <w:qFormat/>
    <w:uiPriority w:val="0"/>
    <w:pPr>
      <w:widowControl w:val="0"/>
      <w:spacing w:line="40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Pr>
    <w:tcPr>
      <w:shd w:val="clear" w:color="auto" w:fill="auto"/>
    </w:tcPr>
    <w:tblStylePr w:type="firstRow">
      <w:rPr>
        <w:b/>
        <w:bCs/>
      </w:rPr>
      <w:tblPr>
        <w:tblLayout w:type="fixed"/>
      </w:tblPr>
      <w:tcPr>
        <w:tcBorders>
          <w:bottom w:val="single" w:color="000000" w:sz="12" w:space="0"/>
          <w:tl2br w:val="nil"/>
          <w:tr2bl w:val="nil"/>
        </w:tcBorders>
      </w:tcPr>
    </w:tblStylePr>
    <w:tblStylePr w:type="firstCol">
      <w:rPr>
        <w:b/>
        <w:bCs/>
      </w:rPr>
      <w:tblPr>
        <w:tblLayout w:type="fixed"/>
      </w:tblPr>
      <w:tcPr>
        <w:tcBorders>
          <w:tl2br w:val="nil"/>
          <w:tr2bl w:val="nil"/>
        </w:tcBorders>
      </w:tcPr>
    </w:tblStylePr>
  </w:style>
  <w:style w:type="table" w:styleId="98">
    <w:name w:val="Table List 6"/>
    <w:basedOn w:val="74"/>
    <w:qFormat/>
    <w:uiPriority w:val="0"/>
    <w:pPr>
      <w:widowControl w:val="0"/>
      <w:spacing w:line="400" w:lineRule="exact"/>
      <w:jc w:val="both"/>
    </w:pPr>
    <w:tblPr>
      <w:tblBorders>
        <w:top w:val="single" w:color="000000" w:sz="6" w:space="0"/>
        <w:left w:val="single" w:color="000000" w:sz="6" w:space="0"/>
        <w:bottom w:val="single" w:color="000000" w:sz="6" w:space="0"/>
        <w:right w:val="single" w:color="000000" w:sz="6" w:space="0"/>
      </w:tblBorders>
      <w:tblLayout w:type="fixed"/>
    </w:tblPr>
    <w:tcPr>
      <w:shd w:val="pct50" w:color="000000" w:fill="FFFFFF"/>
    </w:tcPr>
    <w:tblStylePr w:type="firstRow">
      <w:rPr>
        <w:b/>
        <w:bCs/>
      </w:rPr>
      <w:tblPr>
        <w:tblLayout w:type="fixed"/>
      </w:tblPr>
      <w:tcPr>
        <w:tcBorders>
          <w:bottom w:val="single" w:color="000000" w:sz="12" w:space="0"/>
          <w:tl2br w:val="nil"/>
          <w:tr2bl w:val="nil"/>
        </w:tcBorders>
      </w:tcPr>
    </w:tblStylePr>
    <w:tblStylePr w:type="firstCol">
      <w:rPr>
        <w:b/>
        <w:bCs/>
      </w:rPr>
      <w:tblPr>
        <w:tblLayout w:type="fixed"/>
      </w:tblPr>
      <w:tcPr>
        <w:tcBorders>
          <w:right w:val="single" w:color="000000" w:sz="12" w:space="0"/>
          <w:tl2br w:val="nil"/>
          <w:tr2bl w:val="nil"/>
        </w:tcBorders>
      </w:tcPr>
    </w:tblStylePr>
    <w:tblStylePr w:type="band1Horz">
      <w:tblPr>
        <w:tblLayout w:type="fixed"/>
      </w:tblPr>
      <w:tcPr>
        <w:tcBorders>
          <w:tl2br w:val="nil"/>
          <w:tr2bl w:val="nil"/>
        </w:tcBorders>
        <w:shd w:val="pct25" w:color="000000" w:fill="FFFFFF"/>
      </w:tcPr>
    </w:tblStylePr>
    <w:tblStylePr w:type="nwCell">
      <w:tblPr>
        <w:tblLayout w:type="fixed"/>
      </w:tblPr>
      <w:tcPr>
        <w:tcBorders>
          <w:tl2br w:val="single" w:color="000000" w:sz="6" w:space="0"/>
          <w:tr2bl w:val="nil"/>
        </w:tcBorders>
      </w:tcPr>
    </w:tblStylePr>
  </w:style>
  <w:style w:type="table" w:styleId="99">
    <w:name w:val="Table List 7"/>
    <w:basedOn w:val="74"/>
    <w:qFormat/>
    <w:uiPriority w:val="0"/>
    <w:pPr>
      <w:widowControl w:val="0"/>
      <w:spacing w:line="400" w:lineRule="exact"/>
      <w:jc w:val="both"/>
    </w:pPr>
    <w:tblPr>
      <w:tblBorders>
        <w:top w:val="single" w:color="008000" w:sz="12" w:space="0"/>
        <w:left w:val="single" w:color="008000" w:sz="6" w:space="0"/>
        <w:bottom w:val="single" w:color="008000" w:sz="12" w:space="0"/>
        <w:right w:val="single" w:color="008000" w:sz="6" w:space="0"/>
        <w:insideH w:val="single" w:color="000000" w:sz="6" w:space="0"/>
      </w:tblBorders>
      <w:tblLayout w:type="fixed"/>
    </w:tblPr>
    <w:tblStylePr w:type="firstRow">
      <w:rPr>
        <w:b/>
        <w:bCs/>
      </w:rPr>
      <w:tblPr>
        <w:tblLayout w:type="fixed"/>
      </w:tblPr>
      <w:tcPr>
        <w:tcBorders>
          <w:bottom w:val="single" w:color="008000" w:sz="12" w:space="0"/>
          <w:tl2br w:val="nil"/>
          <w:tr2bl w:val="nil"/>
        </w:tcBorders>
        <w:shd w:val="solid" w:color="C0C0C0" w:fill="FFFFFF"/>
      </w:tcPr>
    </w:tblStylePr>
    <w:tblStylePr w:type="lastRow">
      <w:rPr>
        <w:b/>
        <w:bCs/>
      </w:rPr>
      <w:tblPr>
        <w:tblLayout w:type="fixed"/>
      </w:tblPr>
      <w:tcPr>
        <w:tcBorders>
          <w:top w:val="single" w:color="008000" w:sz="12" w:space="0"/>
          <w:tl2br w:val="nil"/>
          <w:tr2bl w:val="nil"/>
        </w:tcBorders>
      </w:tcPr>
    </w:tblStylePr>
    <w:tblStylePr w:type="firstCol">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band1Horz">
      <w:rPr>
        <w:color w:val="auto"/>
      </w:rPr>
      <w:tblPr>
        <w:tblLayout w:type="fixed"/>
      </w:tblPr>
      <w:tcPr>
        <w:tcBorders>
          <w:tl2br w:val="nil"/>
          <w:tr2bl w:val="nil"/>
        </w:tcBorders>
        <w:shd w:val="pct20" w:color="000000" w:fill="FFFFFF"/>
      </w:tcPr>
    </w:tblStylePr>
    <w:tblStylePr w:type="band2Horz">
      <w:tblPr>
        <w:tblLayout w:type="fixed"/>
      </w:tblPr>
      <w:tcPr>
        <w:tcBorders>
          <w:tl2br w:val="nil"/>
          <w:tr2bl w:val="nil"/>
        </w:tcBorders>
        <w:shd w:val="pct25" w:color="FFFF00" w:fill="FFFFFF"/>
      </w:tcPr>
    </w:tblStylePr>
  </w:style>
  <w:style w:type="table" w:styleId="100">
    <w:name w:val="Table List 8"/>
    <w:basedOn w:val="74"/>
    <w:qFormat/>
    <w:uiPriority w:val="0"/>
    <w:pPr>
      <w:widowControl w:val="0"/>
      <w:spacing w:line="400" w:lineRule="exact"/>
      <w:jc w:val="both"/>
    </w:pPr>
    <w:tblPr>
      <w:tblBorders>
        <w:top w:val="single" w:color="000000" w:sz="6" w:space="0"/>
        <w:left w:val="single" w:color="000000" w:sz="6" w:space="0"/>
        <w:bottom w:val="single" w:color="000000" w:sz="6" w:space="0"/>
        <w:right w:val="single" w:color="000000" w:sz="6" w:space="0"/>
        <w:insideV w:val="single" w:color="000000" w:sz="6" w:space="0"/>
      </w:tblBorders>
      <w:tblLayout w:type="fixed"/>
    </w:tblPr>
    <w:tblStylePr w:type="firstRow">
      <w:rPr>
        <w:b/>
        <w:bCs/>
        <w:i/>
        <w:iCs/>
      </w:rPr>
      <w:tblPr>
        <w:tblLayout w:type="fixed"/>
      </w:tblPr>
      <w:tcPr>
        <w:tcBorders>
          <w:bottom w:val="single" w:color="000000" w:sz="6" w:space="0"/>
          <w:tl2br w:val="nil"/>
          <w:tr2bl w:val="nil"/>
        </w:tcBorders>
        <w:shd w:val="solid" w:color="FFFF00" w:fill="FFFFFF"/>
      </w:tcPr>
    </w:tblStylePr>
    <w:tblStylePr w:type="lastRow">
      <w:rPr>
        <w:b/>
        <w:bCs/>
      </w:rPr>
      <w:tblPr>
        <w:tblLayout w:type="fixed"/>
      </w:tblPr>
      <w:tcPr>
        <w:tcBorders>
          <w:top w:val="single" w:color="000000" w:sz="6" w:space="0"/>
          <w:tl2br w:val="nil"/>
          <w:tr2bl w:val="nil"/>
        </w:tcBorders>
      </w:tcPr>
    </w:tblStylePr>
    <w:tblStylePr w:type="firstCol">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band1Horz">
      <w:rPr>
        <w:color w:val="auto"/>
      </w:rPr>
      <w:tblPr>
        <w:tblLayout w:type="fixed"/>
      </w:tblPr>
      <w:tcPr>
        <w:tcBorders>
          <w:tl2br w:val="nil"/>
          <w:tr2bl w:val="nil"/>
        </w:tcBorders>
        <w:shd w:val="pct25" w:color="FFFF00" w:fill="FFFFFF"/>
      </w:tcPr>
    </w:tblStylePr>
    <w:tblStylePr w:type="band2Horz">
      <w:tblPr>
        <w:tblLayout w:type="fixed"/>
      </w:tblPr>
      <w:tcPr>
        <w:tcBorders>
          <w:tl2br w:val="nil"/>
          <w:tr2bl w:val="nil"/>
        </w:tcBorders>
        <w:shd w:val="pct50" w:color="FF0000" w:fill="FFFFFF"/>
      </w:tcPr>
    </w:tblStylePr>
    <w:tblStylePr w:type="nwCell">
      <w:tblPr>
        <w:tblLayout w:type="fixed"/>
      </w:tblPr>
      <w:tcPr>
        <w:tcBorders>
          <w:tl2br w:val="single" w:color="auto" w:sz="6" w:space="0"/>
          <w:tr2bl w:val="nil"/>
        </w:tcBorders>
      </w:tcPr>
    </w:tblStylePr>
  </w:style>
  <w:style w:type="table" w:styleId="101">
    <w:name w:val="Table Contemporary"/>
    <w:basedOn w:val="74"/>
    <w:qFormat/>
    <w:uiPriority w:val="0"/>
    <w:pPr>
      <w:widowControl w:val="0"/>
      <w:spacing w:line="400" w:lineRule="exact"/>
      <w:jc w:val="both"/>
    </w:pPr>
    <w:tblPr>
      <w:tblBorders>
        <w:insideH w:val="single" w:color="FFFFFF" w:sz="18" w:space="0"/>
        <w:insideV w:val="single" w:color="FFFFFF" w:sz="18" w:space="0"/>
      </w:tblBorders>
      <w:tblLayout w:type="fixed"/>
    </w:tblPr>
    <w:tblStylePr w:type="firstRow">
      <w:rPr>
        <w:b/>
        <w:bCs/>
        <w:color w:val="auto"/>
      </w:rPr>
      <w:tblPr>
        <w:tblLayout w:type="fixed"/>
      </w:tblPr>
      <w:tcPr>
        <w:tcBorders>
          <w:tl2br w:val="nil"/>
          <w:tr2bl w:val="nil"/>
        </w:tcBorders>
        <w:shd w:val="pct20" w:color="000000" w:fill="FFFFFF"/>
      </w:tcPr>
    </w:tblStylePr>
    <w:tblStylePr w:type="band1Horz">
      <w:rPr>
        <w:color w:val="auto"/>
      </w:rPr>
      <w:tblPr>
        <w:tblLayout w:type="fixed"/>
      </w:tblPr>
      <w:tcPr>
        <w:tcBorders>
          <w:tl2br w:val="nil"/>
          <w:tr2bl w:val="nil"/>
        </w:tcBorders>
        <w:shd w:val="pct5" w:color="000000" w:fill="FFFFFF"/>
      </w:tcPr>
    </w:tblStylePr>
    <w:tblStylePr w:type="band2Horz">
      <w:rPr>
        <w:color w:val="auto"/>
      </w:rPr>
      <w:tblPr>
        <w:tblLayout w:type="fixed"/>
      </w:tblPr>
      <w:tcPr>
        <w:tcBorders>
          <w:tl2br w:val="nil"/>
          <w:tr2bl w:val="nil"/>
        </w:tcBorders>
        <w:shd w:val="pct20" w:color="000000" w:fill="FFFFFF"/>
      </w:tcPr>
    </w:tblStylePr>
  </w:style>
  <w:style w:type="table" w:styleId="102">
    <w:name w:val="Table Columns 1"/>
    <w:basedOn w:val="74"/>
    <w:qFormat/>
    <w:uiPriority w:val="0"/>
    <w:pPr>
      <w:widowControl w:val="0"/>
      <w:spacing w:line="400" w:lineRule="exact"/>
      <w:jc w:val="both"/>
    </w:pPr>
    <w:rPr>
      <w:b/>
      <w:bCs/>
    </w:rPr>
    <w:tblPr>
      <w:tblBorders>
        <w:top w:val="single" w:color="000000" w:sz="12" w:space="0"/>
        <w:left w:val="single" w:color="000000" w:sz="12" w:space="0"/>
        <w:bottom w:val="single" w:color="000000" w:sz="12" w:space="0"/>
        <w:right w:val="single" w:color="000000" w:sz="12" w:space="0"/>
      </w:tblBorders>
      <w:tblLayout w:type="fixed"/>
    </w:tblPr>
    <w:tblStylePr w:type="firstRow">
      <w:rPr>
        <w:b w:val="0"/>
        <w:bCs w:val="0"/>
      </w:rPr>
      <w:tblPr>
        <w:tblLayout w:type="fixed"/>
      </w:tblPr>
      <w:tcPr>
        <w:tcBorders>
          <w:bottom w:val="double" w:color="000000" w:sz="6" w:space="0"/>
          <w:tl2br w:val="nil"/>
          <w:tr2bl w:val="nil"/>
        </w:tcBorders>
      </w:tcPr>
    </w:tblStylePr>
    <w:tblStylePr w:type="lastRow">
      <w:rPr>
        <w:b w:val="0"/>
        <w:bCs w:val="0"/>
      </w:rPr>
      <w:tblPr>
        <w:tblLayout w:type="fixed"/>
      </w:tblPr>
      <w:tcPr>
        <w:tcBorders>
          <w:tl2br w:val="nil"/>
          <w:tr2bl w:val="nil"/>
        </w:tcBorders>
      </w:tcPr>
    </w:tblStylePr>
    <w:tblStylePr w:type="firstCol">
      <w:rPr>
        <w:b w:val="0"/>
        <w:bCs w:val="0"/>
      </w:rPr>
      <w:tblPr>
        <w:tblLayout w:type="fixed"/>
      </w:tblPr>
      <w:tcPr>
        <w:tcBorders>
          <w:tl2br w:val="nil"/>
          <w:tr2bl w:val="nil"/>
        </w:tcBorders>
      </w:tcPr>
    </w:tblStylePr>
    <w:tblStylePr w:type="lastCol">
      <w:rPr>
        <w:b w:val="0"/>
        <w:bCs w:val="0"/>
      </w:rPr>
      <w:tblPr>
        <w:tblLayout w:type="fixed"/>
      </w:tblPr>
      <w:tcPr>
        <w:tcBorders>
          <w:tl2br w:val="nil"/>
          <w:tr2bl w:val="nil"/>
        </w:tcBorders>
      </w:tcPr>
    </w:tblStylePr>
    <w:tblStylePr w:type="band1Vert">
      <w:rPr>
        <w:color w:val="auto"/>
      </w:rPr>
      <w:tblPr>
        <w:tblLayout w:type="fixed"/>
      </w:tblPr>
      <w:tcPr>
        <w:shd w:val="pct25" w:color="000000" w:fill="FFFFFF"/>
      </w:tcPr>
    </w:tblStylePr>
    <w:tblStylePr w:type="band2Vert">
      <w:rPr>
        <w:color w:val="auto"/>
      </w:rPr>
      <w:tblPr>
        <w:tblLayout w:type="fixed"/>
      </w:tblPr>
      <w:tcPr>
        <w:shd w:val="pct25" w:color="FFFF00" w:fill="FFFFFF"/>
      </w:tcPr>
    </w:tblStylePr>
    <w:tblStylePr w:type="neCell">
      <w:rPr>
        <w:b/>
        <w:bCs/>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03">
    <w:name w:val="Table Columns 2"/>
    <w:basedOn w:val="74"/>
    <w:qFormat/>
    <w:uiPriority w:val="0"/>
    <w:pPr>
      <w:widowControl w:val="0"/>
      <w:spacing w:line="400" w:lineRule="exact"/>
      <w:jc w:val="both"/>
    </w:pPr>
    <w:rPr>
      <w:b/>
      <w:bCs/>
    </w:rPr>
    <w:tblPr>
      <w:tblLayout w:type="fixed"/>
    </w:tblPr>
    <w:tblStylePr w:type="firstRow">
      <w:rPr>
        <w:color w:val="FFFFFF"/>
      </w:rPr>
      <w:tblPr>
        <w:tblLayout w:type="fixed"/>
      </w:tblPr>
      <w:tcPr>
        <w:tcBorders>
          <w:tl2br w:val="nil"/>
          <w:tr2bl w:val="nil"/>
        </w:tcBorders>
        <w:shd w:val="solid" w:color="000080" w:fill="FFFFFF"/>
      </w:tcPr>
    </w:tblStylePr>
    <w:tblStylePr w:type="lastRow">
      <w:rPr>
        <w:b w:val="0"/>
        <w:bCs w:val="0"/>
      </w:rPr>
      <w:tblPr>
        <w:tblLayout w:type="fixed"/>
      </w:tblPr>
      <w:tcPr>
        <w:tcBorders>
          <w:tl2br w:val="nil"/>
          <w:tr2bl w:val="nil"/>
        </w:tcBorders>
      </w:tcPr>
    </w:tblStylePr>
    <w:tblStylePr w:type="firstCol">
      <w:rPr>
        <w:b w:val="0"/>
        <w:bCs w:val="0"/>
        <w:color w:val="000000"/>
      </w:rPr>
      <w:tblPr>
        <w:tblLayout w:type="fixed"/>
      </w:tblPr>
      <w:tcPr>
        <w:tcBorders>
          <w:tl2br w:val="nil"/>
          <w:tr2bl w:val="nil"/>
        </w:tcBorders>
      </w:tcPr>
    </w:tblStylePr>
    <w:tblStylePr w:type="lastCol">
      <w:rPr>
        <w:b w:val="0"/>
        <w:bCs w:val="0"/>
      </w:rPr>
      <w:tblPr>
        <w:tblLayout w:type="fixed"/>
      </w:tblPr>
      <w:tcPr>
        <w:tcBorders>
          <w:tl2br w:val="nil"/>
          <w:tr2bl w:val="nil"/>
        </w:tcBorders>
      </w:tcPr>
    </w:tblStylePr>
    <w:tblStylePr w:type="band1Vert">
      <w:rPr>
        <w:color w:val="auto"/>
      </w:rPr>
      <w:tblPr>
        <w:tblLayout w:type="fixed"/>
      </w:tblPr>
      <w:tcPr>
        <w:shd w:val="pct30" w:color="000000" w:fill="FFFFFF"/>
      </w:tcPr>
    </w:tblStylePr>
    <w:tblStylePr w:type="band2Vert">
      <w:rPr>
        <w:color w:val="auto"/>
      </w:rPr>
      <w:tblPr>
        <w:tblLayout w:type="fixed"/>
      </w:tblPr>
      <w:tcPr>
        <w:shd w:val="pct25" w:color="00FF00" w:fill="FFFFFF"/>
      </w:tcPr>
    </w:tblStylePr>
    <w:tblStylePr w:type="neCell">
      <w:rPr>
        <w:b/>
        <w:bCs/>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04">
    <w:name w:val="Table Columns 3"/>
    <w:basedOn w:val="74"/>
    <w:qFormat/>
    <w:uiPriority w:val="0"/>
    <w:pPr>
      <w:widowControl w:val="0"/>
      <w:spacing w:line="400" w:lineRule="exact"/>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Layout w:type="fixed"/>
    </w:tblPr>
    <w:tblStylePr w:type="firstRow">
      <w:rPr>
        <w:color w:val="FFFFFF"/>
      </w:rPr>
      <w:tblPr>
        <w:tblLayout w:type="fixed"/>
      </w:tblPr>
      <w:tcPr>
        <w:tcBorders>
          <w:tl2br w:val="nil"/>
          <w:tr2bl w:val="nil"/>
        </w:tcBorders>
        <w:shd w:val="solid" w:color="000080" w:fill="FFFFFF"/>
      </w:tcPr>
    </w:tblStylePr>
    <w:tblStylePr w:type="lastRow">
      <w:rPr>
        <w:b w:val="0"/>
        <w:bCs w:val="0"/>
      </w:rPr>
      <w:tblPr>
        <w:tblLayout w:type="fixed"/>
      </w:tblPr>
      <w:tcPr>
        <w:tcBorders>
          <w:top w:val="single" w:color="000080" w:sz="6" w:space="0"/>
          <w:tl2br w:val="nil"/>
          <w:tr2bl w:val="nil"/>
        </w:tcBorders>
      </w:tcPr>
    </w:tblStylePr>
    <w:tblStylePr w:type="firstCol">
      <w:rPr>
        <w:b w:val="0"/>
        <w:bCs w:val="0"/>
      </w:rPr>
      <w:tblPr>
        <w:tblLayout w:type="fixed"/>
      </w:tblPr>
      <w:tcPr>
        <w:tcBorders>
          <w:tl2br w:val="nil"/>
          <w:tr2bl w:val="nil"/>
        </w:tcBorders>
      </w:tcPr>
    </w:tblStylePr>
    <w:tblStylePr w:type="lastCol">
      <w:rPr>
        <w:b w:val="0"/>
        <w:bCs w:val="0"/>
      </w:rPr>
      <w:tblPr>
        <w:tblLayout w:type="fixed"/>
      </w:tblPr>
      <w:tcPr>
        <w:tcBorders>
          <w:tl2br w:val="nil"/>
          <w:tr2bl w:val="nil"/>
        </w:tcBorders>
      </w:tcPr>
    </w:tblStylePr>
    <w:tblStylePr w:type="band1Vert">
      <w:rPr>
        <w:color w:val="auto"/>
      </w:rPr>
      <w:tblPr>
        <w:tblLayout w:type="fixed"/>
      </w:tblPr>
      <w:tcPr>
        <w:shd w:val="solid" w:color="C0C0C0" w:fill="FFFFFF"/>
      </w:tcPr>
    </w:tblStylePr>
    <w:tblStylePr w:type="band2Vert">
      <w:rPr>
        <w:color w:val="auto"/>
      </w:rPr>
      <w:tblPr>
        <w:tblLayout w:type="fixed"/>
      </w:tblPr>
      <w:tcPr>
        <w:shd w:val="pct10" w:color="000000" w:fill="FFFFFF"/>
      </w:tcPr>
    </w:tblStylePr>
    <w:tblStylePr w:type="neCell">
      <w:rPr>
        <w:b/>
        <w:bCs/>
      </w:rPr>
      <w:tblPr>
        <w:tblLayout w:type="fixed"/>
      </w:tblPr>
      <w:tcPr>
        <w:tcBorders>
          <w:tl2br w:val="nil"/>
          <w:tr2bl w:val="nil"/>
        </w:tcBorders>
      </w:tcPr>
    </w:tblStylePr>
  </w:style>
  <w:style w:type="table" w:styleId="105">
    <w:name w:val="Table Columns 4"/>
    <w:basedOn w:val="74"/>
    <w:qFormat/>
    <w:uiPriority w:val="0"/>
    <w:pPr>
      <w:widowControl w:val="0"/>
      <w:spacing w:line="400" w:lineRule="exact"/>
      <w:jc w:val="both"/>
    </w:pPr>
    <w:tblPr>
      <w:tblLayout w:type="fixed"/>
    </w:tblPr>
    <w:tblStylePr w:type="firstRow">
      <w:rPr>
        <w:color w:val="FFFFFF"/>
      </w:rPr>
      <w:tblPr>
        <w:tblLayout w:type="fixed"/>
      </w:tblPr>
      <w:tcPr>
        <w:tcBorders>
          <w:tl2br w:val="nil"/>
          <w:tr2bl w:val="nil"/>
        </w:tcBorders>
        <w:shd w:val="solid" w:color="000000" w:fill="FFFFFF"/>
      </w:tcPr>
    </w:tblStylePr>
    <w:tblStylePr w:type="lastRow">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band1Vert">
      <w:rPr>
        <w:color w:val="auto"/>
      </w:rPr>
      <w:tblPr>
        <w:tblLayout w:type="fixed"/>
      </w:tblPr>
      <w:tcPr>
        <w:shd w:val="pct50" w:color="008080" w:fill="FFFFFF"/>
      </w:tcPr>
    </w:tblStylePr>
    <w:tblStylePr w:type="band2Vert">
      <w:rPr>
        <w:color w:val="auto"/>
      </w:rPr>
      <w:tblPr>
        <w:tblLayout w:type="fixed"/>
      </w:tblPr>
      <w:tcPr>
        <w:shd w:val="pct10" w:color="000000" w:fill="FFFFFF"/>
      </w:tcPr>
    </w:tblStylePr>
  </w:style>
  <w:style w:type="table" w:styleId="106">
    <w:name w:val="Table Columns 5"/>
    <w:basedOn w:val="74"/>
    <w:qFormat/>
    <w:uiPriority w:val="0"/>
    <w:pPr>
      <w:widowControl w:val="0"/>
      <w:spacing w:line="400" w:lineRule="exact"/>
      <w:jc w:val="both"/>
    </w:pPr>
    <w:tblPr>
      <w:tblBorders>
        <w:top w:val="single" w:color="808080" w:sz="12" w:space="0"/>
        <w:left w:val="single" w:color="808080" w:sz="12" w:space="0"/>
        <w:bottom w:val="single" w:color="808080" w:sz="12" w:space="0"/>
        <w:right w:val="single" w:color="808080" w:sz="12" w:space="0"/>
        <w:insideV w:val="single" w:color="C0C0C0" w:sz="6" w:space="0"/>
      </w:tblBorders>
      <w:tblLayout w:type="fixed"/>
    </w:tblPr>
    <w:tblStylePr w:type="firstRow">
      <w:rPr>
        <w:b/>
        <w:bCs/>
        <w:i/>
        <w:iCs/>
      </w:rPr>
      <w:tblPr>
        <w:tblLayout w:type="fixed"/>
      </w:tblPr>
      <w:tcPr>
        <w:tcBorders>
          <w:bottom w:val="single" w:color="808080" w:sz="6" w:space="0"/>
          <w:tl2br w:val="nil"/>
          <w:tr2bl w:val="nil"/>
        </w:tcBorders>
      </w:tcPr>
    </w:tblStylePr>
    <w:tblStylePr w:type="lastRow">
      <w:rPr>
        <w:b/>
        <w:bCs/>
      </w:rPr>
      <w:tblPr>
        <w:tblLayout w:type="fixed"/>
      </w:tblPr>
      <w:tcPr>
        <w:tcBorders>
          <w:top w:val="single" w:color="808080" w:sz="6" w:space="0"/>
          <w:tl2br w:val="nil"/>
          <w:tr2bl w:val="nil"/>
        </w:tcBorders>
      </w:tcPr>
    </w:tblStylePr>
    <w:tblStylePr w:type="firstCol">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band1Vert">
      <w:rPr>
        <w:color w:val="auto"/>
      </w:rPr>
      <w:tblPr>
        <w:tblLayout w:type="fixed"/>
      </w:tblPr>
      <w:tcPr>
        <w:shd w:val="solid" w:color="C0C0C0" w:fill="FFFFFF"/>
      </w:tcPr>
    </w:tblStylePr>
    <w:tblStylePr w:type="band2Vert">
      <w:rPr>
        <w:color w:val="auto"/>
      </w:rPr>
    </w:tblStylePr>
  </w:style>
  <w:style w:type="table" w:styleId="107">
    <w:name w:val="Table Grid 1"/>
    <w:basedOn w:val="74"/>
    <w:qFormat/>
    <w:uiPriority w:val="0"/>
    <w:pPr>
      <w:widowControl w:val="0"/>
      <w:spacing w:line="400" w:lineRule="exact"/>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cPr>
      <w:shd w:val="clear" w:color="auto" w:fill="auto"/>
    </w:tcPr>
    <w:tblStylePr w:type="lastRow">
      <w:rPr>
        <w:i/>
        <w:iCs/>
      </w:rPr>
      <w:tblPr>
        <w:tblLayout w:type="fixed"/>
      </w:tblPr>
      <w:tcPr>
        <w:tcBorders>
          <w:tl2br w:val="nil"/>
          <w:tr2bl w:val="nil"/>
        </w:tcBorders>
      </w:tcPr>
    </w:tblStylePr>
    <w:tblStylePr w:type="lastCol">
      <w:rPr>
        <w:i/>
        <w:i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108">
    <w:name w:val="Table Grid 2"/>
    <w:basedOn w:val="74"/>
    <w:qFormat/>
    <w:uiPriority w:val="0"/>
    <w:pPr>
      <w:widowControl w:val="0"/>
      <w:spacing w:line="400" w:lineRule="exact"/>
      <w:jc w:val="both"/>
    </w:pPr>
    <w:tblPr>
      <w:tblBorders>
        <w:insideH w:val="single" w:color="000000" w:sz="6" w:space="0"/>
        <w:insideV w:val="single" w:color="000000" w:sz="6" w:space="0"/>
      </w:tblBorders>
      <w:tblLayout w:type="fixed"/>
    </w:tblPr>
    <w:tcPr>
      <w:shd w:val="clear" w:color="auto" w:fill="auto"/>
    </w:tcPr>
    <w:tblStylePr w:type="firstRow">
      <w:rPr>
        <w:b/>
        <w:bCs/>
      </w:rPr>
      <w:tblPr>
        <w:tblLayout w:type="fixed"/>
      </w:tblPr>
      <w:tcPr>
        <w:tcBorders>
          <w:tl2br w:val="nil"/>
          <w:tr2bl w:val="nil"/>
        </w:tcBorders>
      </w:tcPr>
    </w:tblStylePr>
    <w:tblStylePr w:type="lastRow">
      <w:rPr>
        <w:b/>
        <w:bCs/>
      </w:rPr>
      <w:tblPr>
        <w:tblLayout w:type="fixed"/>
      </w:tblPr>
      <w:tcPr>
        <w:tcBorders>
          <w:top w:val="single" w:color="000000" w:sz="6" w:space="0"/>
          <w:tl2br w:val="nil"/>
          <w:tr2bl w:val="nil"/>
        </w:tcBorders>
      </w:tcPr>
    </w:tblStylePr>
    <w:tblStylePr w:type="firstCol">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style>
  <w:style w:type="table" w:styleId="109">
    <w:name w:val="Table Grid 3"/>
    <w:basedOn w:val="74"/>
    <w:qFormat/>
    <w:uiPriority w:val="0"/>
    <w:pPr>
      <w:widowControl w:val="0"/>
      <w:spacing w:line="400" w:lineRule="exact"/>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Pr>
    <w:tcPr>
      <w:shd w:val="clear" w:color="auto" w:fill="auto"/>
    </w:tcPr>
    <w:tblStylePr w:type="firstRow">
      <w:tblPr>
        <w:tblLayout w:type="fixed"/>
      </w:tblPr>
      <w:tcPr>
        <w:tcBorders>
          <w:bottom w:val="single" w:color="000000" w:sz="6" w:space="0"/>
          <w:tl2br w:val="nil"/>
          <w:tr2bl w:val="nil"/>
        </w:tcBorders>
        <w:shd w:val="pct30" w:color="FFFF00" w:fill="FFFFFF"/>
      </w:tcPr>
    </w:tblStylePr>
    <w:tblStylePr w:type="lastRow">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110">
    <w:name w:val="Table Grid 4"/>
    <w:basedOn w:val="74"/>
    <w:qFormat/>
    <w:uiPriority w:val="0"/>
    <w:pPr>
      <w:widowControl w:val="0"/>
      <w:spacing w:line="400" w:lineRule="exact"/>
      <w:jc w:val="both"/>
    </w:pPr>
    <w:tblPr>
      <w:tblBorders>
        <w:left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rPr>
        <w:color w:val="auto"/>
      </w:rPr>
      <w:tblPr>
        <w:tblLayout w:type="fixed"/>
      </w:tblPr>
      <w:tcPr>
        <w:tcBorders>
          <w:bottom w:val="single" w:color="000000" w:sz="6" w:space="0"/>
          <w:tl2br w:val="nil"/>
          <w:tr2bl w:val="nil"/>
        </w:tcBorders>
        <w:shd w:val="pct30" w:color="FFFF00" w:fill="FFFFFF"/>
      </w:tcPr>
    </w:tblStylePr>
    <w:tblStylePr w:type="lastRow">
      <w:rPr>
        <w:b/>
        <w:bCs/>
        <w:color w:val="auto"/>
      </w:rPr>
      <w:tblPr>
        <w:tblLayout w:type="fixed"/>
      </w:tblPr>
      <w:tcPr>
        <w:tcBorders>
          <w:top w:val="single" w:color="000000" w:sz="6" w:space="0"/>
          <w:tl2br w:val="nil"/>
          <w:tr2bl w:val="nil"/>
        </w:tcBorders>
        <w:shd w:val="pct30" w:color="FFFF00" w:fill="FFFFFF"/>
      </w:tcPr>
    </w:tblStylePr>
    <w:tblStylePr w:type="lastCol">
      <w:rPr>
        <w:b/>
        <w:bCs/>
        <w:color w:val="auto"/>
      </w:rPr>
      <w:tblPr>
        <w:tblLayout w:type="fixed"/>
      </w:tblPr>
      <w:tcPr>
        <w:tcBorders>
          <w:tl2br w:val="nil"/>
          <w:tr2bl w:val="nil"/>
        </w:tcBorders>
      </w:tcPr>
    </w:tblStylePr>
  </w:style>
  <w:style w:type="table" w:styleId="111">
    <w:name w:val="Table Grid 5"/>
    <w:basedOn w:val="74"/>
    <w:qFormat/>
    <w:uiPriority w:val="0"/>
    <w:pPr>
      <w:widowControl w:val="0"/>
      <w:spacing w:line="400" w:lineRule="exact"/>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tblPr>
        <w:tblLayout w:type="fixed"/>
      </w:tblPr>
      <w:tcPr>
        <w:tcBorders>
          <w:bottom w:val="single" w:color="000000" w:sz="12" w:space="0"/>
          <w:tl2br w:val="nil"/>
          <w:tr2bl w:val="nil"/>
        </w:tcBorders>
      </w:tcPr>
    </w:tblStylePr>
    <w:tblStylePr w:type="lastRow">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112">
    <w:name w:val="Table Grid 6"/>
    <w:basedOn w:val="74"/>
    <w:qFormat/>
    <w:uiPriority w:val="0"/>
    <w:pPr>
      <w:widowControl w:val="0"/>
      <w:spacing w:line="400" w:lineRule="exact"/>
      <w:jc w:val="both"/>
    </w:pPr>
    <w:tblPr>
      <w:tblBorders>
        <w:top w:val="single" w:color="000000" w:sz="12" w:space="0"/>
        <w:left w:val="single" w:color="000000" w:sz="12" w:space="0"/>
        <w:bottom w:val="single" w:color="000000" w:sz="12" w:space="0"/>
        <w:right w:val="single" w:color="000000" w:sz="12" w:space="0"/>
        <w:insideV w:val="single" w:color="000000" w:sz="6" w:space="0"/>
      </w:tblBorders>
      <w:tblLayout w:type="fixed"/>
    </w:tblPr>
    <w:tcPr>
      <w:shd w:val="clear" w:color="auto" w:fill="auto"/>
    </w:tcPr>
    <w:tblStylePr w:type="firstRow">
      <w:rPr>
        <w:b/>
        <w:bCs/>
      </w:rPr>
      <w:tblPr>
        <w:tblLayout w:type="fixed"/>
      </w:tblPr>
      <w:tcPr>
        <w:tcBorders>
          <w:bottom w:val="single" w:color="000000" w:sz="6" w:space="0"/>
          <w:tl2br w:val="nil"/>
          <w:tr2bl w:val="nil"/>
        </w:tcBorders>
      </w:tcPr>
    </w:tblStylePr>
    <w:tblStylePr w:type="lastRow">
      <w:rPr>
        <w:color w:val="auto"/>
      </w:rPr>
      <w:tblPr>
        <w:tblLayout w:type="fixed"/>
      </w:tblPr>
      <w:tcPr>
        <w:tcBorders>
          <w:top w:val="single" w:color="000000" w:sz="6" w:space="0"/>
          <w:tl2br w:val="nil"/>
          <w:tr2bl w:val="nil"/>
        </w:tcBorders>
      </w:tcPr>
    </w:tblStylePr>
    <w:tblStylePr w:type="firstCol">
      <w:rPr>
        <w:b/>
        <w:b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113">
    <w:name w:val="Table Grid 7"/>
    <w:basedOn w:val="74"/>
    <w:qFormat/>
    <w:uiPriority w:val="0"/>
    <w:pPr>
      <w:widowControl w:val="0"/>
      <w:spacing w:line="400" w:lineRule="exact"/>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rPr>
        <w:b w:val="0"/>
        <w:bCs w:val="0"/>
      </w:rPr>
      <w:tblPr>
        <w:tblLayout w:type="fixed"/>
      </w:tblPr>
      <w:tcPr>
        <w:tcBorders>
          <w:bottom w:val="single" w:color="000000" w:sz="12" w:space="0"/>
          <w:tl2br w:val="nil"/>
          <w:tr2bl w:val="nil"/>
        </w:tcBorders>
      </w:tcPr>
    </w:tblStylePr>
    <w:tblStylePr w:type="lastRow">
      <w:rPr>
        <w:b w:val="0"/>
        <w:bCs w:val="0"/>
      </w:rPr>
      <w:tblPr>
        <w:tblLayout w:type="fixed"/>
      </w:tblPr>
      <w:tcPr>
        <w:tcBorders>
          <w:top w:val="single" w:color="000000" w:sz="6" w:space="0"/>
          <w:tl2br w:val="nil"/>
          <w:tr2bl w:val="nil"/>
        </w:tcBorders>
      </w:tcPr>
    </w:tblStylePr>
    <w:tblStylePr w:type="firstCol">
      <w:rPr>
        <w:b w:val="0"/>
        <w:bCs w:val="0"/>
      </w:rPr>
      <w:tblPr>
        <w:tblLayout w:type="fixed"/>
      </w:tblPr>
      <w:tcPr>
        <w:tcBorders>
          <w:tl2br w:val="nil"/>
          <w:tr2bl w:val="nil"/>
        </w:tcBorders>
      </w:tcPr>
    </w:tblStylePr>
    <w:tblStylePr w:type="lastCol">
      <w:rPr>
        <w:b w:val="0"/>
        <w:bCs w:val="0"/>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114">
    <w:name w:val="Table Grid 8"/>
    <w:basedOn w:val="74"/>
    <w:qFormat/>
    <w:uiPriority w:val="0"/>
    <w:pPr>
      <w:widowControl w:val="0"/>
      <w:spacing w:line="40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Pr>
    <w:tcPr>
      <w:shd w:val="clear" w:color="auto" w:fill="auto"/>
    </w:tcPr>
    <w:tblStylePr w:type="firstRow">
      <w:rPr>
        <w:b/>
        <w:bCs/>
        <w:color w:val="FFFFFF"/>
      </w:rPr>
      <w:tblPr>
        <w:tblLayout w:type="fixed"/>
      </w:tblPr>
      <w:tcPr>
        <w:tcBorders>
          <w:tl2br w:val="nil"/>
          <w:tr2bl w:val="nil"/>
        </w:tcBorders>
        <w:shd w:val="solid" w:color="000080" w:fill="FFFFFF"/>
      </w:tcPr>
    </w:tblStylePr>
    <w:tblStylePr w:type="lastRow">
      <w:rPr>
        <w:b/>
        <w:bCs/>
        <w:color w:val="auto"/>
      </w:rPr>
      <w:tblPr>
        <w:tblLayout w:type="fixed"/>
      </w:tblPr>
      <w:tcPr>
        <w:tcBorders>
          <w:tl2br w:val="nil"/>
          <w:tr2bl w:val="nil"/>
        </w:tcBorders>
      </w:tcPr>
    </w:tblStylePr>
    <w:tblStylePr w:type="lastCol">
      <w:rPr>
        <w:b/>
        <w:bCs/>
        <w:color w:val="auto"/>
      </w:rPr>
      <w:tblPr>
        <w:tblLayout w:type="fixed"/>
      </w:tblPr>
      <w:tcPr>
        <w:tcBorders>
          <w:tl2br w:val="nil"/>
          <w:tr2bl w:val="nil"/>
        </w:tcBorders>
      </w:tcPr>
    </w:tblStylePr>
  </w:style>
  <w:style w:type="table" w:styleId="115">
    <w:name w:val="Table Web 1"/>
    <w:basedOn w:val="74"/>
    <w:qFormat/>
    <w:uiPriority w:val="0"/>
    <w:pPr>
      <w:widowControl w:val="0"/>
      <w:spacing w:line="400" w:lineRule="exact"/>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
    <w:trPr>
      <w:tblCellSpacing w:w="20" w:type="dxa"/>
    </w:trPr>
    <w:tcPr>
      <w:shd w:val="clear" w:color="auto" w:fill="auto"/>
    </w:tcPr>
    <w:tblStylePr w:type="firstRow">
      <w:rPr>
        <w:color w:val="auto"/>
      </w:rPr>
      <w:tblPr>
        <w:tblLayout w:type="fixed"/>
      </w:tblPr>
      <w:tcPr>
        <w:tcBorders>
          <w:tl2br w:val="nil"/>
          <w:tr2bl w:val="nil"/>
        </w:tcBorders>
      </w:tcPr>
    </w:tblStylePr>
  </w:style>
  <w:style w:type="table" w:styleId="116">
    <w:name w:val="Table Web 2"/>
    <w:basedOn w:val="74"/>
    <w:qFormat/>
    <w:uiPriority w:val="0"/>
    <w:pPr>
      <w:widowControl w:val="0"/>
      <w:spacing w:line="400" w:lineRule="exact"/>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Pr>
    <w:trPr>
      <w:tblCellSpacing w:w="20" w:type="dxa"/>
    </w:trPr>
    <w:tcPr>
      <w:shd w:val="clear" w:color="auto" w:fill="auto"/>
    </w:tcPr>
    <w:tblStylePr w:type="firstRow">
      <w:rPr>
        <w:color w:val="auto"/>
      </w:rPr>
      <w:tblPr>
        <w:tblLayout w:type="fixed"/>
      </w:tblPr>
      <w:tcPr>
        <w:tcBorders>
          <w:tl2br w:val="nil"/>
          <w:tr2bl w:val="nil"/>
        </w:tcBorders>
      </w:tcPr>
    </w:tblStylePr>
  </w:style>
  <w:style w:type="table" w:styleId="117">
    <w:name w:val="Table Web 3"/>
    <w:basedOn w:val="74"/>
    <w:qFormat/>
    <w:uiPriority w:val="0"/>
    <w:pPr>
      <w:widowControl w:val="0"/>
      <w:spacing w:line="400" w:lineRule="exact"/>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Pr>
    <w:trPr>
      <w:tblCellSpacing w:w="20" w:type="dxa"/>
    </w:trPr>
    <w:tcPr>
      <w:shd w:val="clear" w:color="auto" w:fill="auto"/>
    </w:tcPr>
    <w:tblStylePr w:type="firstRow">
      <w:rPr>
        <w:color w:val="auto"/>
      </w:rPr>
      <w:tblPr>
        <w:tblLayout w:type="fixed"/>
      </w:tblPr>
      <w:tcPr>
        <w:tcBorders>
          <w:tl2br w:val="nil"/>
          <w:tr2bl w:val="nil"/>
        </w:tcBorders>
      </w:tcPr>
    </w:tblStylePr>
  </w:style>
  <w:style w:type="table" w:styleId="118">
    <w:name w:val="Table Professional"/>
    <w:basedOn w:val="74"/>
    <w:qFormat/>
    <w:uiPriority w:val="0"/>
    <w:pPr>
      <w:widowControl w:val="0"/>
      <w:spacing w:line="400" w:lineRule="exact"/>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cPr>
      <w:shd w:val="clear" w:color="auto" w:fill="auto"/>
    </w:tcPr>
    <w:tblStylePr w:type="firstRow">
      <w:rPr>
        <w:b/>
        <w:bCs/>
        <w:color w:val="auto"/>
      </w:rPr>
      <w:tblPr>
        <w:tblLayout w:type="fixed"/>
      </w:tblPr>
      <w:tcPr>
        <w:tcBorders>
          <w:tl2br w:val="nil"/>
          <w:tr2bl w:val="nil"/>
        </w:tcBorders>
        <w:shd w:val="solid" w:color="000000" w:fill="FFFFFF"/>
      </w:tcPr>
    </w:tblStylePr>
  </w:style>
  <w:style w:type="table" w:styleId="119">
    <w:name w:val="Light Grid Accent 1"/>
    <w:basedOn w:val="74"/>
    <w:qFormat/>
    <w:uiPriority w:val="62"/>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Layout w:type="fixed"/>
    </w:tblPr>
    <w:tblStylePr w:type="firstRow">
      <w:pPr>
        <w:spacing w:before="0" w:beforeLines="0" w:beforeAutospacing="0" w:after="0" w:afterLines="0" w:afterAutospacing="0" w:line="240" w:lineRule="auto"/>
      </w:pPr>
      <w:rPr>
        <w:rFonts w:hint="default" w:asciiTheme="majorHAnsi" w:hAnsiTheme="majorHAnsi" w:eastAsiaTheme="majorEastAsia" w:cstheme="majorBidi"/>
        <w:b/>
        <w:bCs/>
      </w:rPr>
      <w:tblPr>
        <w:tblLayout w:type="fixed"/>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beforeLines="0" w:beforeAutospacing="0" w:after="0" w:afterLines="0" w:afterAutospacing="0" w:line="240" w:lineRule="auto"/>
      </w:pPr>
      <w:rPr>
        <w:rFonts w:hint="default" w:asciiTheme="majorHAnsi" w:hAnsiTheme="majorHAnsi" w:eastAsiaTheme="majorEastAsia" w:cstheme="majorBidi"/>
        <w:b/>
        <w:bCs/>
      </w:rPr>
      <w:tblPr>
        <w:tblLayout w:type="fixed"/>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hint="default" w:asciiTheme="majorHAnsi" w:hAnsiTheme="majorHAnsi" w:eastAsiaTheme="majorEastAsia" w:cstheme="majorBidi"/>
        <w:b/>
        <w:bCs/>
      </w:rPr>
    </w:tblStylePr>
    <w:tblStylePr w:type="lastCol">
      <w:rPr>
        <w:rFonts w:hint="default" w:asciiTheme="majorHAnsi" w:hAnsiTheme="majorHAnsi" w:eastAsiaTheme="majorEastAsia" w:cstheme="majorBidi"/>
        <w:b/>
        <w:bCs/>
      </w:rPr>
      <w:tblPr>
        <w:tblLayout w:type="fixed"/>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blLayout w:type="fixed"/>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blLayout w:type="fixed"/>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blLayout w:type="fixed"/>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character" w:styleId="121">
    <w:name w:val="Strong"/>
    <w:basedOn w:val="120"/>
    <w:qFormat/>
    <w:uiPriority w:val="0"/>
    <w:rPr>
      <w:rFonts w:cs="Times New Roman"/>
      <w:b/>
      <w:bCs/>
    </w:rPr>
  </w:style>
  <w:style w:type="character" w:styleId="122">
    <w:name w:val="page number"/>
    <w:basedOn w:val="120"/>
    <w:qFormat/>
    <w:uiPriority w:val="0"/>
  </w:style>
  <w:style w:type="character" w:styleId="123">
    <w:name w:val="FollowedHyperlink"/>
    <w:qFormat/>
    <w:uiPriority w:val="99"/>
    <w:rPr>
      <w:color w:val="800080"/>
      <w:u w:val="single"/>
    </w:rPr>
  </w:style>
  <w:style w:type="character" w:styleId="124">
    <w:name w:val="Emphasis"/>
    <w:basedOn w:val="120"/>
    <w:qFormat/>
    <w:uiPriority w:val="0"/>
    <w:rPr>
      <w:rFonts w:cs="Times New Roman"/>
      <w:color w:val="CC0033"/>
    </w:rPr>
  </w:style>
  <w:style w:type="character" w:styleId="125">
    <w:name w:val="line number"/>
    <w:basedOn w:val="120"/>
    <w:qFormat/>
    <w:uiPriority w:val="0"/>
  </w:style>
  <w:style w:type="character" w:styleId="126">
    <w:name w:val="HTML Definition"/>
    <w:qFormat/>
    <w:uiPriority w:val="0"/>
    <w:rPr>
      <w:i/>
      <w:iCs/>
    </w:rPr>
  </w:style>
  <w:style w:type="character" w:styleId="127">
    <w:name w:val="HTML Typewriter"/>
    <w:qFormat/>
    <w:uiPriority w:val="0"/>
    <w:rPr>
      <w:rFonts w:ascii="Courier New" w:hAnsi="Courier New" w:cs="Courier New"/>
      <w:sz w:val="20"/>
      <w:szCs w:val="20"/>
    </w:rPr>
  </w:style>
  <w:style w:type="character" w:styleId="128">
    <w:name w:val="HTML Acronym"/>
    <w:basedOn w:val="120"/>
    <w:qFormat/>
    <w:uiPriority w:val="0"/>
  </w:style>
  <w:style w:type="character" w:styleId="129">
    <w:name w:val="HTML Variable"/>
    <w:qFormat/>
    <w:uiPriority w:val="0"/>
    <w:rPr>
      <w:i/>
      <w:iCs/>
    </w:rPr>
  </w:style>
  <w:style w:type="character" w:styleId="130">
    <w:name w:val="Hyperlink"/>
    <w:basedOn w:val="120"/>
    <w:qFormat/>
    <w:uiPriority w:val="99"/>
    <w:rPr>
      <w:color w:val="0000FF"/>
      <w:u w:val="single"/>
    </w:rPr>
  </w:style>
  <w:style w:type="character" w:styleId="131">
    <w:name w:val="HTML Code"/>
    <w:qFormat/>
    <w:uiPriority w:val="0"/>
    <w:rPr>
      <w:rFonts w:ascii="Courier New" w:hAnsi="Courier New" w:cs="Courier New"/>
      <w:sz w:val="20"/>
      <w:szCs w:val="20"/>
    </w:rPr>
  </w:style>
  <w:style w:type="character" w:styleId="132">
    <w:name w:val="annotation reference"/>
    <w:basedOn w:val="120"/>
    <w:qFormat/>
    <w:uiPriority w:val="0"/>
    <w:rPr>
      <w:rFonts w:cs="Times New Roman"/>
      <w:sz w:val="21"/>
      <w:szCs w:val="21"/>
    </w:rPr>
  </w:style>
  <w:style w:type="character" w:styleId="133">
    <w:name w:val="HTML Cite"/>
    <w:qFormat/>
    <w:uiPriority w:val="0"/>
    <w:rPr>
      <w:i/>
      <w:iCs/>
    </w:rPr>
  </w:style>
  <w:style w:type="character" w:styleId="134">
    <w:name w:val="footnote reference"/>
    <w:basedOn w:val="120"/>
    <w:qFormat/>
    <w:uiPriority w:val="99"/>
    <w:rPr>
      <w:rFonts w:cs="Times New Roman"/>
      <w:vertAlign w:val="superscript"/>
    </w:rPr>
  </w:style>
  <w:style w:type="character" w:styleId="135">
    <w:name w:val="HTML Keyboard"/>
    <w:qFormat/>
    <w:uiPriority w:val="0"/>
    <w:rPr>
      <w:rFonts w:ascii="Courier New" w:hAnsi="Courier New" w:cs="Courier New"/>
      <w:sz w:val="20"/>
      <w:szCs w:val="20"/>
    </w:rPr>
  </w:style>
  <w:style w:type="character" w:styleId="136">
    <w:name w:val="HTML Sample"/>
    <w:qFormat/>
    <w:uiPriority w:val="0"/>
    <w:rPr>
      <w:rFonts w:ascii="Courier New" w:hAnsi="Courier New" w:cs="Courier New"/>
    </w:rPr>
  </w:style>
  <w:style w:type="character" w:customStyle="1" w:styleId="137">
    <w:name w:val="标题 1 字符"/>
    <w:basedOn w:val="120"/>
    <w:link w:val="2"/>
    <w:qFormat/>
    <w:locked/>
    <w:uiPriority w:val="0"/>
    <w:rPr>
      <w:rFonts w:eastAsia="黑体"/>
      <w:sz w:val="32"/>
      <w:szCs w:val="24"/>
    </w:rPr>
  </w:style>
  <w:style w:type="character" w:customStyle="1" w:styleId="138">
    <w:name w:val="标题 2 字符"/>
    <w:basedOn w:val="120"/>
    <w:link w:val="3"/>
    <w:qFormat/>
    <w:locked/>
    <w:uiPriority w:val="0"/>
    <w:rPr>
      <w:rFonts w:eastAsia="黑体"/>
      <w:sz w:val="28"/>
      <w:szCs w:val="32"/>
    </w:rPr>
  </w:style>
  <w:style w:type="character" w:customStyle="1" w:styleId="139">
    <w:name w:val="标题 3 字符"/>
    <w:basedOn w:val="120"/>
    <w:link w:val="4"/>
    <w:qFormat/>
    <w:locked/>
    <w:uiPriority w:val="0"/>
    <w:rPr>
      <w:rFonts w:eastAsiaTheme="minorEastAsia"/>
      <w:sz w:val="24"/>
      <w:szCs w:val="32"/>
    </w:rPr>
  </w:style>
  <w:style w:type="character" w:customStyle="1" w:styleId="140">
    <w:name w:val="标题 4 字符"/>
    <w:basedOn w:val="120"/>
    <w:link w:val="5"/>
    <w:qFormat/>
    <w:uiPriority w:val="0"/>
    <w:rPr>
      <w:rFonts w:ascii="Cambria" w:hAnsi="Cambria"/>
      <w:b/>
      <w:bCs/>
      <w:kern w:val="2"/>
      <w:sz w:val="23"/>
      <w:szCs w:val="28"/>
    </w:rPr>
  </w:style>
  <w:style w:type="character" w:customStyle="1" w:styleId="141">
    <w:name w:val="标题 5 字符"/>
    <w:basedOn w:val="120"/>
    <w:link w:val="6"/>
    <w:qFormat/>
    <w:uiPriority w:val="0"/>
    <w:rPr>
      <w:bCs/>
      <w:sz w:val="24"/>
      <w:szCs w:val="28"/>
    </w:rPr>
  </w:style>
  <w:style w:type="character" w:customStyle="1" w:styleId="142">
    <w:name w:val="标题 6 字符"/>
    <w:basedOn w:val="120"/>
    <w:link w:val="7"/>
    <w:qFormat/>
    <w:uiPriority w:val="0"/>
    <w:rPr>
      <w:rFonts w:ascii="Cambria" w:hAnsi="Cambria"/>
      <w:b/>
      <w:bCs/>
      <w:kern w:val="2"/>
      <w:sz w:val="24"/>
      <w:szCs w:val="24"/>
    </w:rPr>
  </w:style>
  <w:style w:type="character" w:customStyle="1" w:styleId="143">
    <w:name w:val="标题 7 字符"/>
    <w:basedOn w:val="120"/>
    <w:link w:val="8"/>
    <w:qFormat/>
    <w:uiPriority w:val="0"/>
    <w:rPr>
      <w:b/>
      <w:bCs/>
      <w:kern w:val="2"/>
      <w:sz w:val="24"/>
      <w:szCs w:val="24"/>
    </w:rPr>
  </w:style>
  <w:style w:type="character" w:customStyle="1" w:styleId="144">
    <w:name w:val="标题 8 字符"/>
    <w:basedOn w:val="120"/>
    <w:link w:val="9"/>
    <w:qFormat/>
    <w:uiPriority w:val="0"/>
    <w:rPr>
      <w:rFonts w:ascii="Cambria" w:hAnsi="Cambria"/>
      <w:kern w:val="2"/>
      <w:sz w:val="24"/>
      <w:szCs w:val="24"/>
    </w:rPr>
  </w:style>
  <w:style w:type="character" w:customStyle="1" w:styleId="145">
    <w:name w:val="标题 9 字符"/>
    <w:basedOn w:val="120"/>
    <w:link w:val="10"/>
    <w:qFormat/>
    <w:uiPriority w:val="0"/>
    <w:rPr>
      <w:rFonts w:ascii="Cambria" w:hAnsi="Cambria"/>
      <w:kern w:val="2"/>
      <w:sz w:val="24"/>
      <w:szCs w:val="21"/>
    </w:rPr>
  </w:style>
  <w:style w:type="character" w:customStyle="1" w:styleId="146">
    <w:name w:val="日期 字符"/>
    <w:basedOn w:val="120"/>
    <w:link w:val="42"/>
    <w:qFormat/>
    <w:locked/>
    <w:uiPriority w:val="0"/>
    <w:rPr>
      <w:sz w:val="24"/>
      <w:szCs w:val="24"/>
    </w:rPr>
  </w:style>
  <w:style w:type="character" w:customStyle="1" w:styleId="147">
    <w:name w:val="正文文本缩进 字符"/>
    <w:basedOn w:val="120"/>
    <w:link w:val="29"/>
    <w:qFormat/>
    <w:locked/>
    <w:uiPriority w:val="0"/>
    <w:rPr>
      <w:sz w:val="21"/>
      <w:szCs w:val="24"/>
    </w:rPr>
  </w:style>
  <w:style w:type="character" w:customStyle="1" w:styleId="148">
    <w:name w:val="标题 字符"/>
    <w:basedOn w:val="120"/>
    <w:link w:val="70"/>
    <w:qFormat/>
    <w:locked/>
    <w:uiPriority w:val="0"/>
    <w:rPr>
      <w:b/>
      <w:bCs/>
      <w:sz w:val="18"/>
      <w:szCs w:val="24"/>
    </w:rPr>
  </w:style>
  <w:style w:type="character" w:customStyle="1" w:styleId="149">
    <w:name w:val="正文文本 字符"/>
    <w:basedOn w:val="120"/>
    <w:link w:val="28"/>
    <w:qFormat/>
    <w:locked/>
    <w:uiPriority w:val="0"/>
    <w:rPr>
      <w:sz w:val="21"/>
      <w:szCs w:val="24"/>
    </w:rPr>
  </w:style>
  <w:style w:type="character" w:customStyle="1" w:styleId="150">
    <w:name w:val="纯文本 字符"/>
    <w:basedOn w:val="120"/>
    <w:link w:val="38"/>
    <w:qFormat/>
    <w:locked/>
    <w:uiPriority w:val="0"/>
    <w:rPr>
      <w:rFonts w:ascii="宋体" w:hAnsi="Courier New"/>
      <w:kern w:val="2"/>
      <w:sz w:val="21"/>
    </w:rPr>
  </w:style>
  <w:style w:type="character" w:customStyle="1" w:styleId="151">
    <w:name w:val="页脚 字符"/>
    <w:basedOn w:val="120"/>
    <w:link w:val="46"/>
    <w:qFormat/>
    <w:locked/>
    <w:uiPriority w:val="99"/>
    <w:rPr>
      <w:kern w:val="2"/>
      <w:sz w:val="18"/>
      <w:szCs w:val="18"/>
    </w:rPr>
  </w:style>
  <w:style w:type="character" w:customStyle="1" w:styleId="152">
    <w:name w:val="medblacktext"/>
    <w:basedOn w:val="120"/>
    <w:qFormat/>
    <w:uiPriority w:val="0"/>
  </w:style>
  <w:style w:type="paragraph" w:customStyle="1" w:styleId="153">
    <w:name w:val="正文A"/>
    <w:qFormat/>
    <w:uiPriority w:val="99"/>
    <w:pPr>
      <w:tabs>
        <w:tab w:val="left" w:pos="0"/>
      </w:tabs>
      <w:adjustRightInd w:val="0"/>
      <w:spacing w:before="120" w:line="360" w:lineRule="auto"/>
      <w:ind w:firstLine="480"/>
      <w:jc w:val="both"/>
    </w:pPr>
    <w:rPr>
      <w:rFonts w:ascii="Times New Roman" w:hAnsi="Times New Roman" w:eastAsia="宋体" w:cs="Times New Roman"/>
      <w:snapToGrid w:val="0"/>
      <w:sz w:val="24"/>
      <w:lang w:val="en-US" w:eastAsia="zh-CN" w:bidi="ar-SA"/>
    </w:rPr>
  </w:style>
  <w:style w:type="character" w:customStyle="1" w:styleId="154">
    <w:name w:val="页眉 字符"/>
    <w:basedOn w:val="120"/>
    <w:link w:val="48"/>
    <w:qFormat/>
    <w:locked/>
    <w:uiPriority w:val="99"/>
    <w:rPr>
      <w:sz w:val="18"/>
      <w:szCs w:val="18"/>
    </w:rPr>
  </w:style>
  <w:style w:type="character" w:customStyle="1" w:styleId="155">
    <w:name w:val="文档结构图 字符"/>
    <w:basedOn w:val="120"/>
    <w:link w:val="22"/>
    <w:qFormat/>
    <w:uiPriority w:val="0"/>
    <w:rPr>
      <w:rFonts w:ascii="宋体"/>
      <w:sz w:val="18"/>
      <w:szCs w:val="18"/>
    </w:rPr>
  </w:style>
  <w:style w:type="paragraph" w:customStyle="1" w:styleId="156">
    <w:name w:val="MTDisplayEquation"/>
    <w:basedOn w:val="1"/>
    <w:next w:val="1"/>
    <w:link w:val="157"/>
    <w:qFormat/>
    <w:uiPriority w:val="99"/>
    <w:pPr>
      <w:widowControl w:val="0"/>
      <w:tabs>
        <w:tab w:val="center" w:pos="4160"/>
        <w:tab w:val="right" w:pos="8300"/>
      </w:tabs>
      <w:ind w:firstLine="405"/>
    </w:pPr>
    <w:rPr>
      <w:rFonts w:ascii="宋体" w:hAnsi="宋体"/>
      <w:kern w:val="2"/>
      <w:sz w:val="23"/>
      <w:szCs w:val="22"/>
    </w:rPr>
  </w:style>
  <w:style w:type="character" w:customStyle="1" w:styleId="157">
    <w:name w:val="MTDisplayEquation Char"/>
    <w:basedOn w:val="120"/>
    <w:link w:val="156"/>
    <w:qFormat/>
    <w:locked/>
    <w:uiPriority w:val="99"/>
    <w:rPr>
      <w:rFonts w:ascii="宋体" w:hAnsi="宋体"/>
      <w:kern w:val="2"/>
      <w:sz w:val="23"/>
      <w:szCs w:val="22"/>
    </w:rPr>
  </w:style>
  <w:style w:type="paragraph" w:styleId="158">
    <w:name w:val="List Paragraph"/>
    <w:basedOn w:val="1"/>
    <w:qFormat/>
    <w:uiPriority w:val="1"/>
    <w:pPr>
      <w:widowControl w:val="0"/>
      <w:jc w:val="center"/>
    </w:pPr>
    <w:rPr>
      <w:rFonts w:ascii="黑体" w:hAnsi="Calibri" w:eastAsia="黑体"/>
      <w:kern w:val="2"/>
      <w:sz w:val="28"/>
      <w:szCs w:val="28"/>
    </w:rPr>
  </w:style>
  <w:style w:type="character" w:customStyle="1" w:styleId="159">
    <w:name w:val="批注框文本 字符"/>
    <w:basedOn w:val="120"/>
    <w:link w:val="45"/>
    <w:qFormat/>
    <w:uiPriority w:val="99"/>
    <w:rPr>
      <w:kern w:val="2"/>
      <w:sz w:val="18"/>
      <w:szCs w:val="18"/>
    </w:rPr>
  </w:style>
  <w:style w:type="paragraph" w:styleId="160">
    <w:name w:val="No Spacing"/>
    <w:link w:val="161"/>
    <w:qFormat/>
    <w:uiPriority w:val="99"/>
    <w:pPr>
      <w:widowControl w:val="0"/>
      <w:jc w:val="both"/>
    </w:pPr>
    <w:rPr>
      <w:rFonts w:ascii="Calibri" w:hAnsi="Calibri" w:eastAsia="宋体" w:cs="Times New Roman"/>
      <w:kern w:val="2"/>
      <w:sz w:val="21"/>
      <w:szCs w:val="22"/>
      <w:lang w:val="en-US" w:eastAsia="zh-CN" w:bidi="ar-SA"/>
    </w:rPr>
  </w:style>
  <w:style w:type="character" w:customStyle="1" w:styleId="161">
    <w:name w:val="无间隔 字符"/>
    <w:basedOn w:val="120"/>
    <w:link w:val="160"/>
    <w:qFormat/>
    <w:locked/>
    <w:uiPriority w:val="99"/>
    <w:rPr>
      <w:rFonts w:ascii="Calibri" w:hAnsi="Calibri"/>
      <w:kern w:val="2"/>
      <w:sz w:val="21"/>
      <w:szCs w:val="22"/>
      <w:lang w:val="en-US" w:eastAsia="zh-CN" w:bidi="ar-SA"/>
    </w:rPr>
  </w:style>
  <w:style w:type="paragraph" w:customStyle="1" w:styleId="162">
    <w:name w:val="TOC 标题1"/>
    <w:basedOn w:val="2"/>
    <w:next w:val="1"/>
    <w:qFormat/>
    <w:uiPriority w:val="39"/>
    <w:pPr>
      <w:keepLines/>
      <w:spacing w:beforeLines="0" w:afterLines="0" w:line="276" w:lineRule="auto"/>
      <w:jc w:val="left"/>
      <w:outlineLvl w:val="9"/>
    </w:pPr>
    <w:rPr>
      <w:rFonts w:ascii="Cambria" w:hAnsi="Cambria" w:eastAsia="宋体"/>
      <w:b/>
      <w:bCs/>
      <w:color w:val="365F91"/>
      <w:sz w:val="28"/>
      <w:szCs w:val="28"/>
    </w:rPr>
  </w:style>
  <w:style w:type="paragraph" w:customStyle="1" w:styleId="163">
    <w:name w:val="表格文字"/>
    <w:link w:val="164"/>
    <w:qFormat/>
    <w:uiPriority w:val="99"/>
    <w:pPr>
      <w:jc w:val="center"/>
    </w:pPr>
    <w:rPr>
      <w:rFonts w:ascii="Times New Roman" w:hAnsi="Times New Roman" w:eastAsia="宋体" w:cs="Times New Roman"/>
      <w:sz w:val="18"/>
      <w:lang w:val="en-GB" w:eastAsia="zh-CN" w:bidi="ar-SA"/>
    </w:rPr>
  </w:style>
  <w:style w:type="character" w:customStyle="1" w:styleId="164">
    <w:name w:val="表格文字 Char"/>
    <w:basedOn w:val="120"/>
    <w:link w:val="163"/>
    <w:qFormat/>
    <w:locked/>
    <w:uiPriority w:val="99"/>
    <w:rPr>
      <w:sz w:val="18"/>
      <w:lang w:val="en-GB" w:eastAsia="zh-CN" w:bidi="ar-SA"/>
    </w:rPr>
  </w:style>
  <w:style w:type="character" w:customStyle="1" w:styleId="165">
    <w:name w:val="批注文字 字符"/>
    <w:basedOn w:val="120"/>
    <w:link w:val="23"/>
    <w:qFormat/>
    <w:uiPriority w:val="0"/>
    <w:rPr>
      <w:rFonts w:ascii="Calibri" w:hAnsi="Calibri"/>
      <w:kern w:val="2"/>
      <w:sz w:val="23"/>
      <w:szCs w:val="22"/>
    </w:rPr>
  </w:style>
  <w:style w:type="character" w:customStyle="1" w:styleId="166">
    <w:name w:val="批注主题 字符"/>
    <w:basedOn w:val="165"/>
    <w:link w:val="71"/>
    <w:qFormat/>
    <w:uiPriority w:val="0"/>
    <w:rPr>
      <w:rFonts w:ascii="Calibri" w:hAnsi="Calibri"/>
      <w:b/>
      <w:bCs/>
      <w:kern w:val="2"/>
      <w:sz w:val="23"/>
      <w:szCs w:val="22"/>
    </w:rPr>
  </w:style>
  <w:style w:type="paragraph" w:customStyle="1" w:styleId="167">
    <w:name w:val="自定义-正文的文本"/>
    <w:basedOn w:val="1"/>
    <w:link w:val="168"/>
    <w:qFormat/>
    <w:uiPriority w:val="99"/>
    <w:pPr>
      <w:widowControl w:val="0"/>
      <w:spacing w:line="400" w:lineRule="exact"/>
      <w:ind w:firstLine="480"/>
    </w:pPr>
    <w:rPr>
      <w:rFonts w:ascii="宋体" w:hAnsi="宋体"/>
      <w:kern w:val="2"/>
    </w:rPr>
  </w:style>
  <w:style w:type="character" w:customStyle="1" w:styleId="168">
    <w:name w:val="自定义-正文的文本 Char"/>
    <w:basedOn w:val="120"/>
    <w:link w:val="167"/>
    <w:qFormat/>
    <w:locked/>
    <w:uiPriority w:val="99"/>
    <w:rPr>
      <w:rFonts w:ascii="宋体" w:hAnsi="宋体"/>
      <w:kern w:val="2"/>
      <w:sz w:val="24"/>
      <w:szCs w:val="24"/>
    </w:rPr>
  </w:style>
  <w:style w:type="paragraph" w:customStyle="1" w:styleId="169">
    <w:name w:val="表格内容"/>
    <w:next w:val="1"/>
    <w:link w:val="170"/>
    <w:qFormat/>
    <w:uiPriority w:val="0"/>
    <w:pPr>
      <w:jc w:val="center"/>
    </w:pPr>
    <w:rPr>
      <w:rFonts w:ascii="Times New Roman" w:hAnsi="Times New Roman" w:eastAsia="宋体" w:cs="Times New Roman"/>
      <w:kern w:val="2"/>
      <w:sz w:val="21"/>
      <w:szCs w:val="22"/>
      <w:lang w:val="en-US" w:eastAsia="zh-CN" w:bidi="ar-SA"/>
    </w:rPr>
  </w:style>
  <w:style w:type="character" w:customStyle="1" w:styleId="170">
    <w:name w:val="表格内容 Char"/>
    <w:link w:val="169"/>
    <w:qFormat/>
    <w:locked/>
    <w:uiPriority w:val="0"/>
    <w:rPr>
      <w:kern w:val="2"/>
      <w:sz w:val="21"/>
      <w:szCs w:val="22"/>
      <w:lang w:bidi="ar-SA"/>
    </w:rPr>
  </w:style>
  <w:style w:type="paragraph" w:customStyle="1" w:styleId="171">
    <w:name w:val="表头自定义"/>
    <w:next w:val="1"/>
    <w:link w:val="172"/>
    <w:qFormat/>
    <w:uiPriority w:val="99"/>
    <w:pPr>
      <w:spacing w:before="120" w:after="120"/>
      <w:jc w:val="center"/>
    </w:pPr>
    <w:rPr>
      <w:rFonts w:ascii="Cambria" w:hAnsi="Cambria" w:eastAsia="黑体" w:cs="Times New Roman"/>
      <w:kern w:val="2"/>
      <w:sz w:val="21"/>
      <w:szCs w:val="22"/>
      <w:lang w:val="en-US" w:eastAsia="zh-CN" w:bidi="ar-SA"/>
    </w:rPr>
  </w:style>
  <w:style w:type="character" w:customStyle="1" w:styleId="172">
    <w:name w:val="表头自定义 Char"/>
    <w:link w:val="171"/>
    <w:qFormat/>
    <w:locked/>
    <w:uiPriority w:val="99"/>
    <w:rPr>
      <w:rFonts w:ascii="Cambria" w:hAnsi="Cambria" w:eastAsia="黑体"/>
      <w:kern w:val="2"/>
      <w:sz w:val="21"/>
      <w:szCs w:val="22"/>
      <w:lang w:bidi="ar-SA"/>
    </w:rPr>
  </w:style>
  <w:style w:type="paragraph" w:customStyle="1" w:styleId="173">
    <w:name w:val="图片"/>
    <w:basedOn w:val="1"/>
    <w:next w:val="1"/>
    <w:qFormat/>
    <w:uiPriority w:val="99"/>
    <w:pPr>
      <w:widowControl w:val="0"/>
      <w:adjustRightInd w:val="0"/>
      <w:jc w:val="center"/>
    </w:pPr>
    <w:rPr>
      <w:kern w:val="2"/>
    </w:rPr>
  </w:style>
  <w:style w:type="paragraph" w:customStyle="1" w:styleId="174">
    <w:name w:val="图2.1插图标题"/>
    <w:next w:val="1"/>
    <w:qFormat/>
    <w:uiPriority w:val="99"/>
    <w:pPr>
      <w:numPr>
        <w:ilvl w:val="0"/>
        <w:numId w:val="10"/>
      </w:numPr>
      <w:jc w:val="center"/>
    </w:pPr>
    <w:rPr>
      <w:rFonts w:ascii="Times New Roman" w:hAnsi="Times New Roman" w:eastAsia="宋体" w:cs="Times New Roman"/>
      <w:sz w:val="24"/>
      <w:szCs w:val="24"/>
      <w:lang w:val="en-US" w:eastAsia="zh-CN" w:bidi="ar-SA"/>
    </w:rPr>
  </w:style>
  <w:style w:type="paragraph" w:customStyle="1" w:styleId="175">
    <w:name w:val="插图标题1"/>
    <w:basedOn w:val="1"/>
    <w:next w:val="1"/>
    <w:qFormat/>
    <w:uiPriority w:val="99"/>
    <w:pPr>
      <w:widowControl w:val="0"/>
      <w:tabs>
        <w:tab w:val="left" w:pos="630"/>
      </w:tabs>
      <w:jc w:val="center"/>
    </w:pPr>
    <w:rPr>
      <w:rFonts w:eastAsia="黑体"/>
      <w:sz w:val="23"/>
      <w:szCs w:val="21"/>
      <w:lang w:val="en-GB"/>
    </w:rPr>
  </w:style>
  <w:style w:type="paragraph" w:customStyle="1" w:styleId="176">
    <w:name w:val="公式"/>
    <w:basedOn w:val="1"/>
    <w:next w:val="1"/>
    <w:qFormat/>
    <w:uiPriority w:val="99"/>
    <w:pPr>
      <w:widowControl w:val="0"/>
      <w:adjustRightInd w:val="0"/>
      <w:ind w:firstLine="482"/>
      <w:jc w:val="right"/>
    </w:pPr>
    <w:rPr>
      <w:szCs w:val="20"/>
      <w:lang w:val="en-GB"/>
    </w:rPr>
  </w:style>
  <w:style w:type="character" w:customStyle="1" w:styleId="177">
    <w:name w:val="脚注文本 字符"/>
    <w:basedOn w:val="120"/>
    <w:link w:val="56"/>
    <w:qFormat/>
    <w:uiPriority w:val="99"/>
    <w:rPr>
      <w:rFonts w:ascii="Calibri" w:hAnsi="Calibri"/>
      <w:kern w:val="2"/>
      <w:sz w:val="18"/>
      <w:szCs w:val="18"/>
    </w:rPr>
  </w:style>
  <w:style w:type="paragraph" w:customStyle="1" w:styleId="178">
    <w:name w:val="759127A2943647F8AF2D3FC6F7DC3341"/>
    <w:qFormat/>
    <w:uiPriority w:val="99"/>
    <w:pPr>
      <w:spacing w:after="200" w:line="276" w:lineRule="auto"/>
    </w:pPr>
    <w:rPr>
      <w:rFonts w:ascii="Calibri" w:hAnsi="Calibri" w:eastAsia="宋体" w:cs="Times New Roman"/>
      <w:sz w:val="22"/>
      <w:szCs w:val="22"/>
      <w:lang w:val="en-US" w:eastAsia="en-US" w:bidi="ar-SA"/>
    </w:rPr>
  </w:style>
  <w:style w:type="paragraph" w:customStyle="1" w:styleId="179">
    <w:name w:val="8595A71431B84F609A33760DCFC02109"/>
    <w:qFormat/>
    <w:uiPriority w:val="99"/>
    <w:pPr>
      <w:spacing w:after="200" w:line="276" w:lineRule="auto"/>
    </w:pPr>
    <w:rPr>
      <w:rFonts w:ascii="Calibri" w:hAnsi="Calibri" w:eastAsia="宋体" w:cs="Times New Roman"/>
      <w:sz w:val="22"/>
      <w:szCs w:val="22"/>
      <w:lang w:val="en-US" w:eastAsia="en-US" w:bidi="ar-SA"/>
    </w:rPr>
  </w:style>
  <w:style w:type="paragraph" w:customStyle="1" w:styleId="180">
    <w:name w:val="DEB0AA375AA448A5B00E3FF23BFBE12D"/>
    <w:qFormat/>
    <w:uiPriority w:val="99"/>
    <w:pPr>
      <w:spacing w:after="200" w:line="276" w:lineRule="auto"/>
    </w:pPr>
    <w:rPr>
      <w:rFonts w:ascii="Calibri" w:hAnsi="Calibri" w:eastAsia="宋体" w:cs="Times New Roman"/>
      <w:sz w:val="22"/>
      <w:szCs w:val="22"/>
      <w:lang w:val="en-US" w:eastAsia="en-US" w:bidi="ar-SA"/>
    </w:rPr>
  </w:style>
  <w:style w:type="paragraph" w:customStyle="1" w:styleId="181">
    <w:name w:val="68BAF9E1919946E38FBF9403D0201D18"/>
    <w:qFormat/>
    <w:uiPriority w:val="99"/>
    <w:pPr>
      <w:spacing w:after="200" w:line="276" w:lineRule="auto"/>
    </w:pPr>
    <w:rPr>
      <w:rFonts w:ascii="Calibri" w:hAnsi="Calibri" w:eastAsia="宋体" w:cs="Times New Roman"/>
      <w:sz w:val="22"/>
      <w:szCs w:val="22"/>
      <w:lang w:val="en-US" w:eastAsia="en-US" w:bidi="ar-SA"/>
    </w:rPr>
  </w:style>
  <w:style w:type="paragraph" w:customStyle="1" w:styleId="182">
    <w:name w:val="00A22CA0A97E43DFAE7D411128C20064"/>
    <w:qFormat/>
    <w:uiPriority w:val="99"/>
    <w:pPr>
      <w:spacing w:after="200" w:line="276" w:lineRule="auto"/>
    </w:pPr>
    <w:rPr>
      <w:rFonts w:ascii="Calibri" w:hAnsi="Calibri" w:eastAsia="宋体" w:cs="Times New Roman"/>
      <w:sz w:val="22"/>
      <w:szCs w:val="22"/>
      <w:lang w:val="en-US" w:eastAsia="en-US" w:bidi="ar-SA"/>
    </w:rPr>
  </w:style>
  <w:style w:type="paragraph" w:customStyle="1" w:styleId="183">
    <w:name w:val="3BF083863B084D478F010C775FB0ACE4"/>
    <w:qFormat/>
    <w:uiPriority w:val="99"/>
    <w:pPr>
      <w:spacing w:after="200" w:line="276" w:lineRule="auto"/>
    </w:pPr>
    <w:rPr>
      <w:rFonts w:ascii="Calibri" w:hAnsi="Calibri" w:eastAsia="宋体" w:cs="Times New Roman"/>
      <w:sz w:val="22"/>
      <w:szCs w:val="22"/>
      <w:lang w:val="en-US" w:eastAsia="en-US" w:bidi="ar-SA"/>
    </w:rPr>
  </w:style>
  <w:style w:type="paragraph" w:customStyle="1" w:styleId="184">
    <w:name w:val="B4209DF655124A0A941069F8EC429A91"/>
    <w:qFormat/>
    <w:uiPriority w:val="99"/>
    <w:pPr>
      <w:spacing w:after="200" w:line="276" w:lineRule="auto"/>
    </w:pPr>
    <w:rPr>
      <w:rFonts w:ascii="Calibri" w:hAnsi="Calibri" w:eastAsia="宋体" w:cs="Times New Roman"/>
      <w:sz w:val="22"/>
      <w:szCs w:val="22"/>
      <w:lang w:val="en-US" w:eastAsia="en-US" w:bidi="ar-SA"/>
    </w:rPr>
  </w:style>
  <w:style w:type="paragraph" w:customStyle="1" w:styleId="185">
    <w:name w:val="5E8A942B92774C978FFC2A16BCB09EA4"/>
    <w:qFormat/>
    <w:uiPriority w:val="99"/>
    <w:pPr>
      <w:spacing w:after="200" w:line="276" w:lineRule="auto"/>
    </w:pPr>
    <w:rPr>
      <w:rFonts w:ascii="Calibri" w:hAnsi="Calibri" w:eastAsia="宋体" w:cs="Times New Roman"/>
      <w:sz w:val="22"/>
      <w:szCs w:val="22"/>
      <w:lang w:val="en-US" w:eastAsia="en-US" w:bidi="ar-SA"/>
    </w:rPr>
  </w:style>
  <w:style w:type="paragraph" w:customStyle="1" w:styleId="186">
    <w:name w:val="502B958ADD7E4C0BBC632EA464AE7F26"/>
    <w:qFormat/>
    <w:uiPriority w:val="99"/>
    <w:pPr>
      <w:spacing w:after="200" w:line="276" w:lineRule="auto"/>
    </w:pPr>
    <w:rPr>
      <w:rFonts w:ascii="Calibri" w:hAnsi="Calibri" w:eastAsia="宋体" w:cs="Times New Roman"/>
      <w:sz w:val="22"/>
      <w:szCs w:val="22"/>
      <w:lang w:val="en-US" w:eastAsia="en-US" w:bidi="ar-SA"/>
    </w:rPr>
  </w:style>
  <w:style w:type="paragraph" w:customStyle="1" w:styleId="187">
    <w:name w:val="0212C4BB51FB4486A54D473CB99779F3"/>
    <w:qFormat/>
    <w:uiPriority w:val="99"/>
    <w:pPr>
      <w:spacing w:after="200" w:line="276" w:lineRule="auto"/>
    </w:pPr>
    <w:rPr>
      <w:rFonts w:ascii="Calibri" w:hAnsi="Calibri" w:eastAsia="宋体" w:cs="Times New Roman"/>
      <w:sz w:val="22"/>
      <w:szCs w:val="22"/>
      <w:lang w:val="en-US" w:eastAsia="en-US" w:bidi="ar-SA"/>
    </w:rPr>
  </w:style>
  <w:style w:type="paragraph" w:customStyle="1" w:styleId="188">
    <w:name w:val="1180CBB1CA754916ADE01832B3862B2E"/>
    <w:qFormat/>
    <w:uiPriority w:val="99"/>
    <w:pPr>
      <w:spacing w:after="200" w:line="276" w:lineRule="auto"/>
    </w:pPr>
    <w:rPr>
      <w:rFonts w:ascii="Calibri" w:hAnsi="Calibri" w:eastAsia="宋体" w:cs="Times New Roman"/>
      <w:sz w:val="22"/>
      <w:szCs w:val="22"/>
      <w:lang w:val="en-US" w:eastAsia="en-US" w:bidi="ar-SA"/>
    </w:rPr>
  </w:style>
  <w:style w:type="paragraph" w:customStyle="1" w:styleId="189">
    <w:name w:val="38B6C04F3F5D4DAEAD25F1B3548B1705"/>
    <w:qFormat/>
    <w:uiPriority w:val="99"/>
    <w:pPr>
      <w:spacing w:after="200" w:line="276" w:lineRule="auto"/>
    </w:pPr>
    <w:rPr>
      <w:rFonts w:ascii="Calibri" w:hAnsi="Calibri" w:eastAsia="宋体" w:cs="Times New Roman"/>
      <w:sz w:val="22"/>
      <w:szCs w:val="22"/>
      <w:lang w:val="en-US" w:eastAsia="en-US" w:bidi="ar-SA"/>
    </w:rPr>
  </w:style>
  <w:style w:type="paragraph" w:customStyle="1" w:styleId="190">
    <w:name w:val="BCDDE9ABABFE460AAF8A1CFF4CFA4596"/>
    <w:qFormat/>
    <w:uiPriority w:val="99"/>
    <w:pPr>
      <w:spacing w:after="200" w:line="276" w:lineRule="auto"/>
    </w:pPr>
    <w:rPr>
      <w:rFonts w:ascii="Calibri" w:hAnsi="Calibri" w:eastAsia="宋体" w:cs="Times New Roman"/>
      <w:sz w:val="22"/>
      <w:szCs w:val="22"/>
      <w:lang w:val="en-US" w:eastAsia="en-US" w:bidi="ar-SA"/>
    </w:rPr>
  </w:style>
  <w:style w:type="paragraph" w:customStyle="1" w:styleId="191">
    <w:name w:val="6AE78B3643DD4987A7BC90F412BB57A5"/>
    <w:qFormat/>
    <w:uiPriority w:val="99"/>
    <w:pPr>
      <w:spacing w:after="200" w:line="276" w:lineRule="auto"/>
    </w:pPr>
    <w:rPr>
      <w:rFonts w:ascii="Calibri" w:hAnsi="Calibri" w:eastAsia="宋体" w:cs="Times New Roman"/>
      <w:sz w:val="22"/>
      <w:szCs w:val="22"/>
      <w:lang w:val="en-US" w:eastAsia="en-US" w:bidi="ar-SA"/>
    </w:rPr>
  </w:style>
  <w:style w:type="paragraph" w:customStyle="1" w:styleId="192">
    <w:name w:val="1D0CE17065A54F3FB3862E5AC4D52F48"/>
    <w:qFormat/>
    <w:uiPriority w:val="99"/>
    <w:pPr>
      <w:spacing w:after="200" w:line="276" w:lineRule="auto"/>
    </w:pPr>
    <w:rPr>
      <w:rFonts w:ascii="Calibri" w:hAnsi="Calibri" w:eastAsia="宋体" w:cs="Times New Roman"/>
      <w:sz w:val="22"/>
      <w:szCs w:val="22"/>
      <w:lang w:val="en-US" w:eastAsia="en-US" w:bidi="ar-SA"/>
    </w:rPr>
  </w:style>
  <w:style w:type="paragraph" w:customStyle="1" w:styleId="193">
    <w:name w:val="FDE21B788D38428EBB88308E46662AE9"/>
    <w:qFormat/>
    <w:uiPriority w:val="99"/>
    <w:pPr>
      <w:spacing w:after="200" w:line="276" w:lineRule="auto"/>
    </w:pPr>
    <w:rPr>
      <w:rFonts w:ascii="Calibri" w:hAnsi="Calibri" w:eastAsia="宋体" w:cs="Times New Roman"/>
      <w:sz w:val="22"/>
      <w:szCs w:val="22"/>
      <w:lang w:val="en-US" w:eastAsia="en-US" w:bidi="ar-SA"/>
    </w:rPr>
  </w:style>
  <w:style w:type="paragraph" w:customStyle="1" w:styleId="194">
    <w:name w:val="61F1699061294B4FAAA703D98A833B1C"/>
    <w:qFormat/>
    <w:uiPriority w:val="99"/>
    <w:pPr>
      <w:spacing w:after="200" w:line="276" w:lineRule="auto"/>
    </w:pPr>
    <w:rPr>
      <w:rFonts w:ascii="Calibri" w:hAnsi="Calibri" w:eastAsia="宋体" w:cs="Times New Roman"/>
      <w:sz w:val="22"/>
      <w:szCs w:val="22"/>
      <w:lang w:val="en-US" w:eastAsia="en-US" w:bidi="ar-SA"/>
    </w:rPr>
  </w:style>
  <w:style w:type="paragraph" w:customStyle="1" w:styleId="195">
    <w:name w:val="0486A6F124DD4F49B89D80E0FAC79CBF"/>
    <w:qFormat/>
    <w:uiPriority w:val="99"/>
    <w:pPr>
      <w:spacing w:after="200" w:line="276" w:lineRule="auto"/>
    </w:pPr>
    <w:rPr>
      <w:rFonts w:ascii="Calibri" w:hAnsi="Calibri" w:eastAsia="宋体" w:cs="Times New Roman"/>
      <w:sz w:val="22"/>
      <w:szCs w:val="22"/>
      <w:lang w:val="en-US" w:eastAsia="en-US" w:bidi="ar-SA"/>
    </w:rPr>
  </w:style>
  <w:style w:type="paragraph" w:customStyle="1" w:styleId="196">
    <w:name w:val="6EBFC0455A974C5E8C5D489E4386FD38"/>
    <w:qFormat/>
    <w:uiPriority w:val="99"/>
    <w:pPr>
      <w:spacing w:after="200" w:line="276" w:lineRule="auto"/>
    </w:pPr>
    <w:rPr>
      <w:rFonts w:ascii="Calibri" w:hAnsi="Calibri" w:eastAsia="宋体" w:cs="Times New Roman"/>
      <w:sz w:val="22"/>
      <w:szCs w:val="22"/>
      <w:lang w:val="en-US" w:eastAsia="en-US" w:bidi="ar-SA"/>
    </w:rPr>
  </w:style>
  <w:style w:type="paragraph" w:customStyle="1" w:styleId="197">
    <w:name w:val="3761E84A00C04894881C218FFB92E41B"/>
    <w:qFormat/>
    <w:uiPriority w:val="99"/>
    <w:pPr>
      <w:spacing w:after="200" w:line="276" w:lineRule="auto"/>
    </w:pPr>
    <w:rPr>
      <w:rFonts w:ascii="Calibri" w:hAnsi="Calibri" w:eastAsia="宋体" w:cs="Times New Roman"/>
      <w:sz w:val="22"/>
      <w:szCs w:val="22"/>
      <w:lang w:val="en-US" w:eastAsia="en-US" w:bidi="ar-SA"/>
    </w:rPr>
  </w:style>
  <w:style w:type="paragraph" w:customStyle="1" w:styleId="198">
    <w:name w:val="467D52EF42A4486A90FEFFB267C38740"/>
    <w:qFormat/>
    <w:uiPriority w:val="99"/>
    <w:pPr>
      <w:spacing w:after="200" w:line="276" w:lineRule="auto"/>
    </w:pPr>
    <w:rPr>
      <w:rFonts w:ascii="Calibri" w:hAnsi="Calibri" w:eastAsia="宋体" w:cs="Times New Roman"/>
      <w:sz w:val="22"/>
      <w:szCs w:val="22"/>
      <w:lang w:val="en-US" w:eastAsia="en-US" w:bidi="ar-SA"/>
    </w:rPr>
  </w:style>
  <w:style w:type="paragraph" w:customStyle="1" w:styleId="199">
    <w:name w:val="9769ABB7344E4DA8A80BF56CACFDA1DC"/>
    <w:qFormat/>
    <w:uiPriority w:val="99"/>
    <w:pPr>
      <w:spacing w:after="200" w:line="276" w:lineRule="auto"/>
    </w:pPr>
    <w:rPr>
      <w:rFonts w:ascii="Calibri" w:hAnsi="Calibri" w:eastAsia="宋体" w:cs="Times New Roman"/>
      <w:sz w:val="22"/>
      <w:szCs w:val="22"/>
      <w:lang w:val="en-US" w:eastAsia="en-US" w:bidi="ar-SA"/>
    </w:rPr>
  </w:style>
  <w:style w:type="paragraph" w:customStyle="1" w:styleId="200">
    <w:name w:val="DB4CB73DC6DE4D1C91CC9795A5C1FE49"/>
    <w:qFormat/>
    <w:uiPriority w:val="99"/>
    <w:pPr>
      <w:spacing w:after="200" w:line="276" w:lineRule="auto"/>
    </w:pPr>
    <w:rPr>
      <w:rFonts w:ascii="Calibri" w:hAnsi="Calibri" w:eastAsia="宋体" w:cs="Times New Roman"/>
      <w:sz w:val="22"/>
      <w:szCs w:val="22"/>
      <w:lang w:val="en-US" w:eastAsia="en-US" w:bidi="ar-SA"/>
    </w:rPr>
  </w:style>
  <w:style w:type="paragraph" w:customStyle="1" w:styleId="201">
    <w:name w:val="D464D14BFD3C41918D4DA1DE0F48D666"/>
    <w:qFormat/>
    <w:uiPriority w:val="99"/>
    <w:pPr>
      <w:spacing w:after="200" w:line="276" w:lineRule="auto"/>
    </w:pPr>
    <w:rPr>
      <w:rFonts w:ascii="Calibri" w:hAnsi="Calibri" w:eastAsia="宋体" w:cs="Times New Roman"/>
      <w:sz w:val="22"/>
      <w:szCs w:val="22"/>
      <w:lang w:val="en-US" w:eastAsia="en-US" w:bidi="ar-SA"/>
    </w:rPr>
  </w:style>
  <w:style w:type="paragraph" w:customStyle="1" w:styleId="202">
    <w:name w:val="7E82FF1F1BAC484EA3BC388F7AE1D4EC"/>
    <w:qFormat/>
    <w:uiPriority w:val="99"/>
    <w:pPr>
      <w:spacing w:after="200" w:line="276" w:lineRule="auto"/>
    </w:pPr>
    <w:rPr>
      <w:rFonts w:ascii="Calibri" w:hAnsi="Calibri" w:eastAsia="宋体" w:cs="Times New Roman"/>
      <w:sz w:val="22"/>
      <w:szCs w:val="22"/>
      <w:lang w:val="en-US" w:eastAsia="en-US" w:bidi="ar-SA"/>
    </w:rPr>
  </w:style>
  <w:style w:type="paragraph" w:customStyle="1" w:styleId="203">
    <w:name w:val="1583B571B67F4AA19F2320FDE63BB009"/>
    <w:qFormat/>
    <w:uiPriority w:val="99"/>
    <w:pPr>
      <w:spacing w:after="200" w:line="276" w:lineRule="auto"/>
    </w:pPr>
    <w:rPr>
      <w:rFonts w:ascii="Calibri" w:hAnsi="Calibri" w:eastAsia="宋体" w:cs="Times New Roman"/>
      <w:sz w:val="22"/>
      <w:szCs w:val="22"/>
      <w:lang w:val="en-US" w:eastAsia="en-US" w:bidi="ar-SA"/>
    </w:rPr>
  </w:style>
  <w:style w:type="paragraph" w:customStyle="1" w:styleId="204">
    <w:name w:val="80979BF0A20E44A199A68C1EFDAA2221"/>
    <w:qFormat/>
    <w:uiPriority w:val="99"/>
    <w:pPr>
      <w:spacing w:after="200" w:line="276" w:lineRule="auto"/>
    </w:pPr>
    <w:rPr>
      <w:rFonts w:ascii="Calibri" w:hAnsi="Calibri" w:eastAsia="宋体" w:cs="Times New Roman"/>
      <w:sz w:val="22"/>
      <w:szCs w:val="22"/>
      <w:lang w:val="en-US" w:eastAsia="en-US" w:bidi="ar-SA"/>
    </w:rPr>
  </w:style>
  <w:style w:type="paragraph" w:customStyle="1" w:styleId="205">
    <w:name w:val="2B70926E84294DE4875F69CC8C4B9580"/>
    <w:qFormat/>
    <w:uiPriority w:val="99"/>
    <w:pPr>
      <w:spacing w:after="200" w:line="276" w:lineRule="auto"/>
    </w:pPr>
    <w:rPr>
      <w:rFonts w:ascii="Calibri" w:hAnsi="Calibri" w:eastAsia="宋体" w:cs="Times New Roman"/>
      <w:sz w:val="22"/>
      <w:szCs w:val="22"/>
      <w:lang w:val="en-US" w:eastAsia="en-US" w:bidi="ar-SA"/>
    </w:rPr>
  </w:style>
  <w:style w:type="paragraph" w:customStyle="1" w:styleId="206">
    <w:name w:val="4A70C42AE6C044898F59FE86510F186A"/>
    <w:qFormat/>
    <w:uiPriority w:val="99"/>
    <w:pPr>
      <w:spacing w:after="200" w:line="276" w:lineRule="auto"/>
    </w:pPr>
    <w:rPr>
      <w:rFonts w:ascii="Calibri" w:hAnsi="Calibri" w:eastAsia="宋体" w:cs="Times New Roman"/>
      <w:sz w:val="22"/>
      <w:szCs w:val="22"/>
      <w:lang w:val="en-US" w:eastAsia="en-US" w:bidi="ar-SA"/>
    </w:rPr>
  </w:style>
  <w:style w:type="paragraph" w:customStyle="1" w:styleId="207">
    <w:name w:val="72AF67DA99C34649B0B04195DCC65478"/>
    <w:qFormat/>
    <w:uiPriority w:val="99"/>
    <w:pPr>
      <w:spacing w:after="200" w:line="276" w:lineRule="auto"/>
    </w:pPr>
    <w:rPr>
      <w:rFonts w:ascii="Calibri" w:hAnsi="Calibri" w:eastAsia="宋体" w:cs="Times New Roman"/>
      <w:sz w:val="22"/>
      <w:szCs w:val="22"/>
      <w:lang w:val="en-US" w:eastAsia="en-US" w:bidi="ar-SA"/>
    </w:rPr>
  </w:style>
  <w:style w:type="paragraph" w:customStyle="1" w:styleId="208">
    <w:name w:val="55B9F400E1AA473FAA516B684DBDF7B3"/>
    <w:qFormat/>
    <w:uiPriority w:val="99"/>
    <w:pPr>
      <w:spacing w:after="200" w:line="276" w:lineRule="auto"/>
    </w:pPr>
    <w:rPr>
      <w:rFonts w:ascii="Calibri" w:hAnsi="Calibri" w:eastAsia="宋体" w:cs="Times New Roman"/>
      <w:sz w:val="22"/>
      <w:szCs w:val="22"/>
      <w:lang w:val="en-US" w:eastAsia="en-US" w:bidi="ar-SA"/>
    </w:rPr>
  </w:style>
  <w:style w:type="paragraph" w:customStyle="1" w:styleId="209">
    <w:name w:val="85F7C67048BB493DBB83D105582093E0"/>
    <w:qFormat/>
    <w:uiPriority w:val="99"/>
    <w:pPr>
      <w:spacing w:after="200" w:line="276" w:lineRule="auto"/>
    </w:pPr>
    <w:rPr>
      <w:rFonts w:ascii="Calibri" w:hAnsi="Calibri" w:eastAsia="宋体" w:cs="Times New Roman"/>
      <w:sz w:val="22"/>
      <w:szCs w:val="22"/>
      <w:lang w:val="en-US" w:eastAsia="en-US" w:bidi="ar-SA"/>
    </w:rPr>
  </w:style>
  <w:style w:type="paragraph" w:customStyle="1" w:styleId="210">
    <w:name w:val="126F79FBDD6843619076DD3A19BD6A6C"/>
    <w:qFormat/>
    <w:uiPriority w:val="99"/>
    <w:pPr>
      <w:spacing w:after="200" w:line="276" w:lineRule="auto"/>
    </w:pPr>
    <w:rPr>
      <w:rFonts w:ascii="Calibri" w:hAnsi="Calibri" w:eastAsia="宋体" w:cs="Times New Roman"/>
      <w:sz w:val="22"/>
      <w:szCs w:val="22"/>
      <w:lang w:val="en-US" w:eastAsia="en-US" w:bidi="ar-SA"/>
    </w:rPr>
  </w:style>
  <w:style w:type="paragraph" w:customStyle="1" w:styleId="211">
    <w:name w:val="F003B95880B542B9BE8F051F7F66E3A4"/>
    <w:qFormat/>
    <w:uiPriority w:val="99"/>
    <w:pPr>
      <w:spacing w:after="200" w:line="276" w:lineRule="auto"/>
    </w:pPr>
    <w:rPr>
      <w:rFonts w:ascii="Calibri" w:hAnsi="Calibri" w:eastAsia="宋体" w:cs="Times New Roman"/>
      <w:sz w:val="22"/>
      <w:szCs w:val="22"/>
      <w:lang w:val="en-US" w:eastAsia="en-US" w:bidi="ar-SA"/>
    </w:rPr>
  </w:style>
  <w:style w:type="paragraph" w:customStyle="1" w:styleId="212">
    <w:name w:val="AB43573ABA5A4A5BA0F6B17B9C2A4F09"/>
    <w:qFormat/>
    <w:uiPriority w:val="99"/>
    <w:pPr>
      <w:spacing w:after="200" w:line="276" w:lineRule="auto"/>
    </w:pPr>
    <w:rPr>
      <w:rFonts w:ascii="Calibri" w:hAnsi="Calibri" w:eastAsia="宋体" w:cs="Times New Roman"/>
      <w:sz w:val="22"/>
      <w:szCs w:val="22"/>
      <w:lang w:val="en-US" w:eastAsia="en-US" w:bidi="ar-SA"/>
    </w:rPr>
  </w:style>
  <w:style w:type="paragraph" w:customStyle="1" w:styleId="213">
    <w:name w:val="89E7A41D6FA14BAAA27E9018BC4B9D6F"/>
    <w:qFormat/>
    <w:uiPriority w:val="99"/>
    <w:pPr>
      <w:spacing w:after="200" w:line="276" w:lineRule="auto"/>
    </w:pPr>
    <w:rPr>
      <w:rFonts w:ascii="Calibri" w:hAnsi="Calibri" w:eastAsia="宋体" w:cs="Times New Roman"/>
      <w:sz w:val="22"/>
      <w:szCs w:val="22"/>
      <w:lang w:val="en-US" w:eastAsia="en-US" w:bidi="ar-SA"/>
    </w:rPr>
  </w:style>
  <w:style w:type="paragraph" w:customStyle="1" w:styleId="214">
    <w:name w:val="F5E063AF29A2482EA9F0906FC7C6E272"/>
    <w:qFormat/>
    <w:uiPriority w:val="99"/>
    <w:pPr>
      <w:spacing w:after="200" w:line="276" w:lineRule="auto"/>
    </w:pPr>
    <w:rPr>
      <w:rFonts w:ascii="Calibri" w:hAnsi="Calibri" w:eastAsia="宋体" w:cs="Times New Roman"/>
      <w:sz w:val="22"/>
      <w:szCs w:val="22"/>
      <w:lang w:val="en-US" w:eastAsia="en-US" w:bidi="ar-SA"/>
    </w:rPr>
  </w:style>
  <w:style w:type="paragraph" w:customStyle="1" w:styleId="215">
    <w:name w:val="DA4B1E4DBA9C4FF491B1260221B2A7BA"/>
    <w:qFormat/>
    <w:uiPriority w:val="99"/>
    <w:pPr>
      <w:spacing w:after="200" w:line="276" w:lineRule="auto"/>
    </w:pPr>
    <w:rPr>
      <w:rFonts w:ascii="Calibri" w:hAnsi="Calibri" w:eastAsia="宋体" w:cs="Times New Roman"/>
      <w:sz w:val="22"/>
      <w:szCs w:val="22"/>
      <w:lang w:val="en-US" w:eastAsia="en-US" w:bidi="ar-SA"/>
    </w:rPr>
  </w:style>
  <w:style w:type="paragraph" w:customStyle="1" w:styleId="216">
    <w:name w:val="37EA8CFD9F844FF6AC29CC46054276E9"/>
    <w:qFormat/>
    <w:uiPriority w:val="99"/>
    <w:pPr>
      <w:spacing w:after="200" w:line="276" w:lineRule="auto"/>
    </w:pPr>
    <w:rPr>
      <w:rFonts w:ascii="Calibri" w:hAnsi="Calibri" w:eastAsia="宋体" w:cs="Times New Roman"/>
      <w:sz w:val="22"/>
      <w:szCs w:val="22"/>
      <w:lang w:val="en-US" w:eastAsia="en-US" w:bidi="ar-SA"/>
    </w:rPr>
  </w:style>
  <w:style w:type="paragraph" w:customStyle="1" w:styleId="217">
    <w:name w:val="E7BDA70970CD4F1B92CBEB9A7157D804"/>
    <w:qFormat/>
    <w:uiPriority w:val="99"/>
    <w:pPr>
      <w:spacing w:after="200" w:line="276" w:lineRule="auto"/>
    </w:pPr>
    <w:rPr>
      <w:rFonts w:ascii="Calibri" w:hAnsi="Calibri" w:eastAsia="宋体" w:cs="Times New Roman"/>
      <w:sz w:val="22"/>
      <w:szCs w:val="22"/>
      <w:lang w:val="en-US" w:eastAsia="en-US" w:bidi="ar-SA"/>
    </w:rPr>
  </w:style>
  <w:style w:type="paragraph" w:customStyle="1" w:styleId="218">
    <w:name w:val="A990B0173D3546F890DF96035F8B3221"/>
    <w:qFormat/>
    <w:uiPriority w:val="99"/>
    <w:pPr>
      <w:spacing w:after="200" w:line="276" w:lineRule="auto"/>
    </w:pPr>
    <w:rPr>
      <w:rFonts w:ascii="Calibri" w:hAnsi="Calibri" w:eastAsia="宋体" w:cs="Times New Roman"/>
      <w:sz w:val="22"/>
      <w:szCs w:val="22"/>
      <w:lang w:val="en-US" w:eastAsia="en-US" w:bidi="ar-SA"/>
    </w:rPr>
  </w:style>
  <w:style w:type="paragraph" w:customStyle="1" w:styleId="219">
    <w:name w:val="6E1EF81EB07B4DDEB4E2ACF1AFB230C0"/>
    <w:qFormat/>
    <w:uiPriority w:val="99"/>
    <w:pPr>
      <w:spacing w:after="200" w:line="276" w:lineRule="auto"/>
    </w:pPr>
    <w:rPr>
      <w:rFonts w:ascii="Calibri" w:hAnsi="Calibri" w:eastAsia="宋体" w:cs="Times New Roman"/>
      <w:sz w:val="22"/>
      <w:szCs w:val="22"/>
      <w:lang w:val="en-US" w:eastAsia="en-US" w:bidi="ar-SA"/>
    </w:rPr>
  </w:style>
  <w:style w:type="paragraph" w:customStyle="1" w:styleId="220">
    <w:name w:val="C54C23360C8D4284A76B3C64CA76F3E8"/>
    <w:qFormat/>
    <w:uiPriority w:val="99"/>
    <w:pPr>
      <w:spacing w:after="200" w:line="276" w:lineRule="auto"/>
    </w:pPr>
    <w:rPr>
      <w:rFonts w:ascii="Calibri" w:hAnsi="Calibri" w:eastAsia="宋体" w:cs="Times New Roman"/>
      <w:sz w:val="22"/>
      <w:szCs w:val="22"/>
      <w:lang w:val="en-US" w:eastAsia="en-US" w:bidi="ar-SA"/>
    </w:rPr>
  </w:style>
  <w:style w:type="paragraph" w:customStyle="1" w:styleId="221">
    <w:name w:val="7AB5F74500E048D4B9BBBD9DC8C79AA1"/>
    <w:qFormat/>
    <w:uiPriority w:val="99"/>
    <w:pPr>
      <w:spacing w:after="200" w:line="276" w:lineRule="auto"/>
    </w:pPr>
    <w:rPr>
      <w:rFonts w:ascii="Calibri" w:hAnsi="Calibri" w:eastAsia="宋体" w:cs="Times New Roman"/>
      <w:sz w:val="22"/>
      <w:szCs w:val="22"/>
      <w:lang w:val="en-US" w:eastAsia="en-US" w:bidi="ar-SA"/>
    </w:rPr>
  </w:style>
  <w:style w:type="paragraph" w:customStyle="1" w:styleId="222">
    <w:name w:val="BFEDD3D13BA844D085699E5AD44A2E32"/>
    <w:qFormat/>
    <w:uiPriority w:val="99"/>
    <w:pPr>
      <w:spacing w:after="200" w:line="276" w:lineRule="auto"/>
    </w:pPr>
    <w:rPr>
      <w:rFonts w:ascii="Calibri" w:hAnsi="Calibri" w:eastAsia="宋体" w:cs="Times New Roman"/>
      <w:sz w:val="22"/>
      <w:szCs w:val="22"/>
      <w:lang w:val="en-US" w:eastAsia="en-US" w:bidi="ar-SA"/>
    </w:rPr>
  </w:style>
  <w:style w:type="paragraph" w:customStyle="1" w:styleId="223">
    <w:name w:val="C681C91C11114F0AAAB15393B79A0538"/>
    <w:qFormat/>
    <w:uiPriority w:val="99"/>
    <w:pPr>
      <w:spacing w:after="200" w:line="276" w:lineRule="auto"/>
    </w:pPr>
    <w:rPr>
      <w:rFonts w:ascii="Calibri" w:hAnsi="Calibri" w:eastAsia="宋体" w:cs="Times New Roman"/>
      <w:sz w:val="22"/>
      <w:szCs w:val="22"/>
      <w:lang w:val="en-US" w:eastAsia="en-US" w:bidi="ar-SA"/>
    </w:rPr>
  </w:style>
  <w:style w:type="paragraph" w:customStyle="1" w:styleId="224">
    <w:name w:val="0F0F715F3A8144758A0751798035833E"/>
    <w:qFormat/>
    <w:uiPriority w:val="99"/>
    <w:pPr>
      <w:spacing w:after="200" w:line="276" w:lineRule="auto"/>
    </w:pPr>
    <w:rPr>
      <w:rFonts w:ascii="Calibri" w:hAnsi="Calibri" w:eastAsia="宋体" w:cs="Times New Roman"/>
      <w:sz w:val="22"/>
      <w:szCs w:val="22"/>
      <w:lang w:val="en-US" w:eastAsia="en-US" w:bidi="ar-SA"/>
    </w:rPr>
  </w:style>
  <w:style w:type="paragraph" w:customStyle="1" w:styleId="225">
    <w:name w:val="8D0616015B0F4768961DF1C09DD48CA1"/>
    <w:qFormat/>
    <w:uiPriority w:val="99"/>
    <w:pPr>
      <w:spacing w:after="200" w:line="276" w:lineRule="auto"/>
    </w:pPr>
    <w:rPr>
      <w:rFonts w:ascii="Calibri" w:hAnsi="Calibri" w:eastAsia="宋体" w:cs="Times New Roman"/>
      <w:sz w:val="22"/>
      <w:szCs w:val="22"/>
      <w:lang w:val="en-US" w:eastAsia="en-US" w:bidi="ar-SA"/>
    </w:rPr>
  </w:style>
  <w:style w:type="paragraph" w:customStyle="1" w:styleId="226">
    <w:name w:val="飞越型"/>
    <w:qFormat/>
    <w:uiPriority w:val="99"/>
    <w:pPr>
      <w:spacing w:after="200" w:line="276" w:lineRule="auto"/>
    </w:pPr>
    <w:rPr>
      <w:rFonts w:ascii="Calibri" w:hAnsi="Calibri" w:eastAsia="宋体" w:cs="Times New Roman"/>
      <w:sz w:val="22"/>
      <w:szCs w:val="22"/>
      <w:lang w:val="en-US" w:eastAsia="zh-CN" w:bidi="ar-SA"/>
    </w:rPr>
  </w:style>
  <w:style w:type="paragraph" w:customStyle="1" w:styleId="227">
    <w:name w:val="B27BD9FE2F444F9CBDDCFB6E74B8B353"/>
    <w:qFormat/>
    <w:uiPriority w:val="99"/>
    <w:pPr>
      <w:spacing w:after="200" w:line="276" w:lineRule="auto"/>
    </w:pPr>
    <w:rPr>
      <w:rFonts w:ascii="Calibri" w:hAnsi="Calibri" w:eastAsia="宋体" w:cs="Times New Roman"/>
      <w:sz w:val="22"/>
      <w:szCs w:val="22"/>
      <w:lang w:val="en-US" w:eastAsia="en-US" w:bidi="ar-SA"/>
    </w:rPr>
  </w:style>
  <w:style w:type="paragraph" w:customStyle="1" w:styleId="228">
    <w:name w:val="5908F51516E14609967E77AEE7FBACE3"/>
    <w:qFormat/>
    <w:uiPriority w:val="99"/>
    <w:pPr>
      <w:spacing w:after="200" w:line="276" w:lineRule="auto"/>
    </w:pPr>
    <w:rPr>
      <w:rFonts w:ascii="Calibri" w:hAnsi="Calibri" w:eastAsia="宋体" w:cs="Times New Roman"/>
      <w:sz w:val="22"/>
      <w:szCs w:val="22"/>
      <w:lang w:val="en-US" w:eastAsia="en-US" w:bidi="ar-SA"/>
    </w:rPr>
  </w:style>
  <w:style w:type="paragraph" w:customStyle="1" w:styleId="229">
    <w:name w:val="8A730B846A4F490A97418F9385A5F108"/>
    <w:qFormat/>
    <w:uiPriority w:val="99"/>
    <w:pPr>
      <w:spacing w:after="200" w:line="276" w:lineRule="auto"/>
    </w:pPr>
    <w:rPr>
      <w:rFonts w:ascii="Calibri" w:hAnsi="Calibri" w:eastAsia="宋体" w:cs="Times New Roman"/>
      <w:sz w:val="22"/>
      <w:szCs w:val="22"/>
      <w:lang w:val="en-US" w:eastAsia="en-US" w:bidi="ar-SA"/>
    </w:rPr>
  </w:style>
  <w:style w:type="paragraph" w:customStyle="1" w:styleId="230">
    <w:name w:val="F9D19C50F322430ABA42882F7F015334"/>
    <w:qFormat/>
    <w:uiPriority w:val="99"/>
    <w:pPr>
      <w:spacing w:after="200" w:line="276" w:lineRule="auto"/>
    </w:pPr>
    <w:rPr>
      <w:rFonts w:ascii="Calibri" w:hAnsi="Calibri" w:eastAsia="宋体" w:cs="Times New Roman"/>
      <w:sz w:val="22"/>
      <w:szCs w:val="22"/>
      <w:lang w:val="en-US" w:eastAsia="en-US" w:bidi="ar-SA"/>
    </w:rPr>
  </w:style>
  <w:style w:type="paragraph" w:customStyle="1" w:styleId="231">
    <w:name w:val="EB7E9E79C6074904853FEFA406C70606"/>
    <w:qFormat/>
    <w:uiPriority w:val="99"/>
    <w:pPr>
      <w:spacing w:after="200" w:line="276" w:lineRule="auto"/>
    </w:pPr>
    <w:rPr>
      <w:rFonts w:ascii="Calibri" w:hAnsi="Calibri" w:eastAsia="宋体" w:cs="Times New Roman"/>
      <w:sz w:val="22"/>
      <w:szCs w:val="22"/>
      <w:lang w:val="en-US" w:eastAsia="en-US" w:bidi="ar-SA"/>
    </w:rPr>
  </w:style>
  <w:style w:type="paragraph" w:customStyle="1" w:styleId="232">
    <w:name w:val="26C683081399483B9462277CD7C46A28"/>
    <w:qFormat/>
    <w:uiPriority w:val="99"/>
    <w:pPr>
      <w:spacing w:after="200" w:line="276" w:lineRule="auto"/>
    </w:pPr>
    <w:rPr>
      <w:rFonts w:ascii="Calibri" w:hAnsi="Calibri" w:eastAsia="宋体" w:cs="Times New Roman"/>
      <w:sz w:val="22"/>
      <w:szCs w:val="22"/>
      <w:lang w:val="en-US" w:eastAsia="en-US" w:bidi="ar-SA"/>
    </w:rPr>
  </w:style>
  <w:style w:type="paragraph" w:customStyle="1" w:styleId="233">
    <w:name w:val="93FABA56D26A4C5A868956E9B1547D4C"/>
    <w:qFormat/>
    <w:uiPriority w:val="99"/>
    <w:pPr>
      <w:spacing w:after="200" w:line="276" w:lineRule="auto"/>
    </w:pPr>
    <w:rPr>
      <w:rFonts w:ascii="Calibri" w:hAnsi="Calibri" w:eastAsia="宋体" w:cs="Times New Roman"/>
      <w:sz w:val="22"/>
      <w:szCs w:val="22"/>
      <w:lang w:val="en-US" w:eastAsia="en-US" w:bidi="ar-SA"/>
    </w:rPr>
  </w:style>
  <w:style w:type="paragraph" w:customStyle="1" w:styleId="234">
    <w:name w:val="E5549A11629D4831B9F3A17B25195C23"/>
    <w:qFormat/>
    <w:uiPriority w:val="99"/>
    <w:pPr>
      <w:spacing w:after="200" w:line="276" w:lineRule="auto"/>
    </w:pPr>
    <w:rPr>
      <w:rFonts w:ascii="Calibri" w:hAnsi="Calibri" w:eastAsia="宋体" w:cs="Times New Roman"/>
      <w:sz w:val="22"/>
      <w:szCs w:val="22"/>
      <w:lang w:val="en-US" w:eastAsia="en-US" w:bidi="ar-SA"/>
    </w:rPr>
  </w:style>
  <w:style w:type="paragraph" w:customStyle="1" w:styleId="235">
    <w:name w:val="DED568BBB9834E9984C6E2DDE23F9A20"/>
    <w:qFormat/>
    <w:uiPriority w:val="99"/>
    <w:pPr>
      <w:spacing w:after="200" w:line="276" w:lineRule="auto"/>
    </w:pPr>
    <w:rPr>
      <w:rFonts w:ascii="Calibri" w:hAnsi="Calibri" w:eastAsia="宋体" w:cs="Times New Roman"/>
      <w:sz w:val="22"/>
      <w:szCs w:val="22"/>
      <w:lang w:val="en-US" w:eastAsia="en-US" w:bidi="ar-SA"/>
    </w:rPr>
  </w:style>
  <w:style w:type="paragraph" w:customStyle="1" w:styleId="236">
    <w:name w:val="2B5428D357EC4647AAC032D30D3D5EDD"/>
    <w:qFormat/>
    <w:uiPriority w:val="99"/>
    <w:pPr>
      <w:spacing w:after="200" w:line="276" w:lineRule="auto"/>
    </w:pPr>
    <w:rPr>
      <w:rFonts w:ascii="Calibri" w:hAnsi="Calibri" w:eastAsia="宋体" w:cs="Times New Roman"/>
      <w:sz w:val="22"/>
      <w:szCs w:val="22"/>
      <w:lang w:val="en-US" w:eastAsia="en-US" w:bidi="ar-SA"/>
    </w:rPr>
  </w:style>
  <w:style w:type="paragraph" w:customStyle="1" w:styleId="237">
    <w:name w:val="EBF80329AC1D4638BD408C5058D8ECD0"/>
    <w:qFormat/>
    <w:uiPriority w:val="99"/>
    <w:pPr>
      <w:spacing w:after="200" w:line="276" w:lineRule="auto"/>
    </w:pPr>
    <w:rPr>
      <w:rFonts w:ascii="Calibri" w:hAnsi="Calibri" w:eastAsia="宋体" w:cs="Times New Roman"/>
      <w:sz w:val="22"/>
      <w:szCs w:val="22"/>
      <w:lang w:val="en-US" w:eastAsia="en-US" w:bidi="ar-SA"/>
    </w:rPr>
  </w:style>
  <w:style w:type="paragraph" w:customStyle="1" w:styleId="238">
    <w:name w:val="E011C4E08799445682D61EC80D965B2B"/>
    <w:qFormat/>
    <w:uiPriority w:val="99"/>
    <w:pPr>
      <w:spacing w:after="200" w:line="276" w:lineRule="auto"/>
    </w:pPr>
    <w:rPr>
      <w:rFonts w:ascii="Calibri" w:hAnsi="Calibri" w:eastAsia="宋体" w:cs="Times New Roman"/>
      <w:sz w:val="22"/>
      <w:szCs w:val="22"/>
      <w:lang w:val="en-US" w:eastAsia="en-US" w:bidi="ar-SA"/>
    </w:rPr>
  </w:style>
  <w:style w:type="paragraph" w:customStyle="1" w:styleId="239">
    <w:name w:val="0FCB4D5B2C9043ED84E86352A2984B97"/>
    <w:qFormat/>
    <w:uiPriority w:val="99"/>
    <w:pPr>
      <w:spacing w:after="200" w:line="276" w:lineRule="auto"/>
    </w:pPr>
    <w:rPr>
      <w:rFonts w:ascii="Calibri" w:hAnsi="Calibri" w:eastAsia="宋体" w:cs="Times New Roman"/>
      <w:sz w:val="22"/>
      <w:szCs w:val="22"/>
      <w:lang w:val="en-US" w:eastAsia="en-US" w:bidi="ar-SA"/>
    </w:rPr>
  </w:style>
  <w:style w:type="paragraph" w:customStyle="1" w:styleId="240">
    <w:name w:val="F93B1DF91EE344F5AF11EC15D8B02EC3"/>
    <w:qFormat/>
    <w:uiPriority w:val="99"/>
    <w:pPr>
      <w:spacing w:after="200" w:line="276" w:lineRule="auto"/>
    </w:pPr>
    <w:rPr>
      <w:rFonts w:ascii="Calibri" w:hAnsi="Calibri" w:eastAsia="宋体" w:cs="Times New Roman"/>
      <w:sz w:val="22"/>
      <w:szCs w:val="22"/>
      <w:lang w:val="en-US" w:eastAsia="en-US" w:bidi="ar-SA"/>
    </w:rPr>
  </w:style>
  <w:style w:type="paragraph" w:customStyle="1" w:styleId="241">
    <w:name w:val="C58B3397898A4024B59F50E127175F55"/>
    <w:qFormat/>
    <w:uiPriority w:val="99"/>
    <w:pPr>
      <w:spacing w:after="200" w:line="276" w:lineRule="auto"/>
    </w:pPr>
    <w:rPr>
      <w:rFonts w:ascii="Calibri" w:hAnsi="Calibri" w:eastAsia="宋体" w:cs="Times New Roman"/>
      <w:sz w:val="22"/>
      <w:szCs w:val="22"/>
      <w:lang w:val="en-US" w:eastAsia="en-US" w:bidi="ar-SA"/>
    </w:rPr>
  </w:style>
  <w:style w:type="paragraph" w:customStyle="1" w:styleId="242">
    <w:name w:val="97A6CAA7B3F44C36A1444782D4B3BF8C"/>
    <w:qFormat/>
    <w:uiPriority w:val="99"/>
    <w:pPr>
      <w:spacing w:after="200" w:line="276" w:lineRule="auto"/>
    </w:pPr>
    <w:rPr>
      <w:rFonts w:ascii="Calibri" w:hAnsi="Calibri" w:eastAsia="宋体" w:cs="Times New Roman"/>
      <w:sz w:val="22"/>
      <w:szCs w:val="22"/>
      <w:lang w:val="en-US" w:eastAsia="en-US" w:bidi="ar-SA"/>
    </w:rPr>
  </w:style>
  <w:style w:type="paragraph" w:customStyle="1" w:styleId="243">
    <w:name w:val="2A860CD6366B437C8964F08E6B451E21"/>
    <w:qFormat/>
    <w:uiPriority w:val="99"/>
    <w:pPr>
      <w:spacing w:after="200" w:line="276" w:lineRule="auto"/>
    </w:pPr>
    <w:rPr>
      <w:rFonts w:ascii="Calibri" w:hAnsi="Calibri" w:eastAsia="宋体" w:cs="Times New Roman"/>
      <w:sz w:val="22"/>
      <w:szCs w:val="22"/>
      <w:lang w:val="en-US" w:eastAsia="en-US" w:bidi="ar-SA"/>
    </w:rPr>
  </w:style>
  <w:style w:type="paragraph" w:customStyle="1" w:styleId="244">
    <w:name w:val="B867FFDBCA6347168D17A4AEF0E9F582"/>
    <w:qFormat/>
    <w:uiPriority w:val="99"/>
    <w:pPr>
      <w:spacing w:after="200" w:line="276" w:lineRule="auto"/>
    </w:pPr>
    <w:rPr>
      <w:rFonts w:ascii="Calibri" w:hAnsi="Calibri" w:eastAsia="宋体" w:cs="Times New Roman"/>
      <w:sz w:val="22"/>
      <w:szCs w:val="22"/>
      <w:lang w:val="en-US" w:eastAsia="en-US" w:bidi="ar-SA"/>
    </w:rPr>
  </w:style>
  <w:style w:type="paragraph" w:customStyle="1" w:styleId="245">
    <w:name w:val="6FCF56C457A14DF9B7FA32C375AFBF16"/>
    <w:qFormat/>
    <w:uiPriority w:val="99"/>
    <w:pPr>
      <w:spacing w:after="200" w:line="276" w:lineRule="auto"/>
    </w:pPr>
    <w:rPr>
      <w:rFonts w:ascii="Calibri" w:hAnsi="Calibri" w:eastAsia="宋体" w:cs="Times New Roman"/>
      <w:sz w:val="22"/>
      <w:szCs w:val="22"/>
      <w:lang w:val="en-US" w:eastAsia="en-US" w:bidi="ar-SA"/>
    </w:rPr>
  </w:style>
  <w:style w:type="paragraph" w:customStyle="1" w:styleId="246">
    <w:name w:val="A5023D3FDE6244F680CDCD79F173E6DB"/>
    <w:qFormat/>
    <w:uiPriority w:val="99"/>
    <w:pPr>
      <w:spacing w:after="200" w:line="276" w:lineRule="auto"/>
    </w:pPr>
    <w:rPr>
      <w:rFonts w:ascii="Calibri" w:hAnsi="Calibri" w:eastAsia="宋体" w:cs="Times New Roman"/>
      <w:sz w:val="22"/>
      <w:szCs w:val="22"/>
      <w:lang w:val="en-US" w:eastAsia="en-US" w:bidi="ar-SA"/>
    </w:rPr>
  </w:style>
  <w:style w:type="paragraph" w:customStyle="1" w:styleId="247">
    <w:name w:val="运动型"/>
    <w:qFormat/>
    <w:uiPriority w:val="99"/>
    <w:pPr>
      <w:spacing w:after="200" w:line="276" w:lineRule="auto"/>
    </w:pPr>
    <w:rPr>
      <w:rFonts w:ascii="Calibri" w:hAnsi="Calibri" w:eastAsia="宋体" w:cs="Times New Roman"/>
      <w:sz w:val="22"/>
      <w:szCs w:val="22"/>
      <w:lang w:val="en-US" w:eastAsia="zh-CN" w:bidi="ar-SA"/>
    </w:rPr>
  </w:style>
  <w:style w:type="paragraph" w:customStyle="1" w:styleId="248">
    <w:name w:val="46331C2D95BB4B448C49BF03A63A050E"/>
    <w:qFormat/>
    <w:uiPriority w:val="99"/>
    <w:pPr>
      <w:spacing w:after="200" w:line="276" w:lineRule="auto"/>
    </w:pPr>
    <w:rPr>
      <w:rFonts w:ascii="Calibri" w:hAnsi="Calibri" w:eastAsia="宋体" w:cs="Times New Roman"/>
      <w:sz w:val="22"/>
      <w:szCs w:val="22"/>
      <w:lang w:val="en-US" w:eastAsia="en-US" w:bidi="ar-SA"/>
    </w:rPr>
  </w:style>
  <w:style w:type="paragraph" w:customStyle="1" w:styleId="249">
    <w:name w:val="E71904A169384AAE80203F08B292246B"/>
    <w:qFormat/>
    <w:uiPriority w:val="99"/>
    <w:pPr>
      <w:spacing w:after="200" w:line="276" w:lineRule="auto"/>
    </w:pPr>
    <w:rPr>
      <w:rFonts w:ascii="Calibri" w:hAnsi="Calibri" w:eastAsia="宋体" w:cs="Times New Roman"/>
      <w:sz w:val="22"/>
      <w:szCs w:val="22"/>
      <w:lang w:val="en-US" w:eastAsia="en-US" w:bidi="ar-SA"/>
    </w:rPr>
  </w:style>
  <w:style w:type="paragraph" w:customStyle="1" w:styleId="250">
    <w:name w:val="A37BA33023494B14A427EB1462F08DF5"/>
    <w:qFormat/>
    <w:uiPriority w:val="99"/>
    <w:pPr>
      <w:spacing w:after="200" w:line="276" w:lineRule="auto"/>
    </w:pPr>
    <w:rPr>
      <w:rFonts w:ascii="Calibri" w:hAnsi="Calibri" w:eastAsia="宋体" w:cs="Times New Roman"/>
      <w:sz w:val="22"/>
      <w:szCs w:val="22"/>
      <w:lang w:val="en-US" w:eastAsia="en-US" w:bidi="ar-SA"/>
    </w:rPr>
  </w:style>
  <w:style w:type="paragraph" w:customStyle="1" w:styleId="251">
    <w:name w:val="FF93DA4689E54EDDB75C1E445EC58C22"/>
    <w:qFormat/>
    <w:uiPriority w:val="99"/>
    <w:pPr>
      <w:spacing w:after="200" w:line="276" w:lineRule="auto"/>
    </w:pPr>
    <w:rPr>
      <w:rFonts w:ascii="Calibri" w:hAnsi="Calibri" w:eastAsia="宋体" w:cs="Times New Roman"/>
      <w:sz w:val="22"/>
      <w:szCs w:val="22"/>
      <w:lang w:val="en-US" w:eastAsia="en-US" w:bidi="ar-SA"/>
    </w:rPr>
  </w:style>
  <w:style w:type="paragraph" w:customStyle="1" w:styleId="252">
    <w:name w:val="41242E0734C24BC1A0B21CE2DFFA720E"/>
    <w:qFormat/>
    <w:uiPriority w:val="99"/>
    <w:pPr>
      <w:spacing w:after="200" w:line="276" w:lineRule="auto"/>
    </w:pPr>
    <w:rPr>
      <w:rFonts w:ascii="Calibri" w:hAnsi="Calibri" w:eastAsia="宋体" w:cs="Times New Roman"/>
      <w:sz w:val="22"/>
      <w:szCs w:val="22"/>
      <w:lang w:val="en-US" w:eastAsia="en-US" w:bidi="ar-SA"/>
    </w:rPr>
  </w:style>
  <w:style w:type="paragraph" w:customStyle="1" w:styleId="253">
    <w:name w:val="0859368C30F2436281F865212DEE40A6"/>
    <w:qFormat/>
    <w:uiPriority w:val="99"/>
    <w:pPr>
      <w:spacing w:after="200" w:line="276" w:lineRule="auto"/>
    </w:pPr>
    <w:rPr>
      <w:rFonts w:ascii="Calibri" w:hAnsi="Calibri" w:eastAsia="宋体" w:cs="Times New Roman"/>
      <w:sz w:val="22"/>
      <w:szCs w:val="22"/>
      <w:lang w:val="en-US" w:eastAsia="en-US" w:bidi="ar-SA"/>
    </w:rPr>
  </w:style>
  <w:style w:type="paragraph" w:customStyle="1" w:styleId="254">
    <w:name w:val="F0EF68CB19EA4A5192E4DB5F9A13B6BA"/>
    <w:qFormat/>
    <w:uiPriority w:val="99"/>
    <w:pPr>
      <w:spacing w:after="200" w:line="276" w:lineRule="auto"/>
    </w:pPr>
    <w:rPr>
      <w:rFonts w:ascii="Calibri" w:hAnsi="Calibri" w:eastAsia="宋体" w:cs="Times New Roman"/>
      <w:sz w:val="22"/>
      <w:szCs w:val="22"/>
      <w:lang w:val="en-US" w:eastAsia="en-US" w:bidi="ar-SA"/>
    </w:rPr>
  </w:style>
  <w:style w:type="paragraph" w:customStyle="1" w:styleId="255">
    <w:name w:val="47C1A441432045AFB29D72550A92B256"/>
    <w:qFormat/>
    <w:uiPriority w:val="99"/>
    <w:pPr>
      <w:spacing w:after="200" w:line="276" w:lineRule="auto"/>
    </w:pPr>
    <w:rPr>
      <w:rFonts w:ascii="Calibri" w:hAnsi="Calibri" w:eastAsia="宋体" w:cs="Times New Roman"/>
      <w:sz w:val="22"/>
      <w:szCs w:val="22"/>
      <w:lang w:val="en-US" w:eastAsia="en-US" w:bidi="ar-SA"/>
    </w:rPr>
  </w:style>
  <w:style w:type="paragraph" w:customStyle="1" w:styleId="256">
    <w:name w:val="1A84B115EF4C49C9BBECDF59D99D682E"/>
    <w:qFormat/>
    <w:uiPriority w:val="99"/>
    <w:pPr>
      <w:spacing w:after="200" w:line="276" w:lineRule="auto"/>
    </w:pPr>
    <w:rPr>
      <w:rFonts w:ascii="Calibri" w:hAnsi="Calibri" w:eastAsia="宋体" w:cs="Times New Roman"/>
      <w:sz w:val="22"/>
      <w:szCs w:val="22"/>
      <w:lang w:val="en-US" w:eastAsia="en-US" w:bidi="ar-SA"/>
    </w:rPr>
  </w:style>
  <w:style w:type="paragraph" w:customStyle="1" w:styleId="257">
    <w:name w:val="A0B6C0523BA640B181830AA1B99C040D"/>
    <w:qFormat/>
    <w:uiPriority w:val="99"/>
    <w:pPr>
      <w:spacing w:after="200" w:line="276" w:lineRule="auto"/>
    </w:pPr>
    <w:rPr>
      <w:rFonts w:ascii="Calibri" w:hAnsi="Calibri" w:eastAsia="宋体" w:cs="Times New Roman"/>
      <w:sz w:val="22"/>
      <w:szCs w:val="22"/>
      <w:lang w:val="en-US" w:eastAsia="en-US" w:bidi="ar-SA"/>
    </w:rPr>
  </w:style>
  <w:style w:type="paragraph" w:customStyle="1" w:styleId="258">
    <w:name w:val="6CE4A24F6E6F4BFF8311D88BEC25E304"/>
    <w:qFormat/>
    <w:uiPriority w:val="99"/>
    <w:pPr>
      <w:spacing w:after="200" w:line="276" w:lineRule="auto"/>
    </w:pPr>
    <w:rPr>
      <w:rFonts w:ascii="Calibri" w:hAnsi="Calibri" w:eastAsia="宋体" w:cs="Times New Roman"/>
      <w:sz w:val="22"/>
      <w:szCs w:val="22"/>
      <w:lang w:val="en-US" w:eastAsia="en-US" w:bidi="ar-SA"/>
    </w:rPr>
  </w:style>
  <w:style w:type="paragraph" w:customStyle="1" w:styleId="259">
    <w:name w:val="AAE269F622A44E71882A490F8781B544"/>
    <w:qFormat/>
    <w:uiPriority w:val="99"/>
    <w:pPr>
      <w:spacing w:after="200" w:line="276" w:lineRule="auto"/>
    </w:pPr>
    <w:rPr>
      <w:rFonts w:ascii="Calibri" w:hAnsi="Calibri" w:eastAsia="宋体" w:cs="Times New Roman"/>
      <w:sz w:val="22"/>
      <w:szCs w:val="22"/>
      <w:lang w:val="en-US" w:eastAsia="en-US" w:bidi="ar-SA"/>
    </w:rPr>
  </w:style>
  <w:style w:type="paragraph" w:customStyle="1" w:styleId="260">
    <w:name w:val="5F0A8AA768FC4A718E57FA5AAC0CB846"/>
    <w:qFormat/>
    <w:uiPriority w:val="99"/>
    <w:pPr>
      <w:spacing w:after="200" w:line="276" w:lineRule="auto"/>
    </w:pPr>
    <w:rPr>
      <w:rFonts w:ascii="Calibri" w:hAnsi="Calibri" w:eastAsia="宋体" w:cs="Times New Roman"/>
      <w:sz w:val="22"/>
      <w:szCs w:val="22"/>
      <w:lang w:val="en-US" w:eastAsia="en-US" w:bidi="ar-SA"/>
    </w:rPr>
  </w:style>
  <w:style w:type="paragraph" w:customStyle="1" w:styleId="261">
    <w:name w:val="CB6B986A1E394600B4A38ACB2AD8005F"/>
    <w:qFormat/>
    <w:uiPriority w:val="99"/>
    <w:pPr>
      <w:spacing w:after="200" w:line="276" w:lineRule="auto"/>
    </w:pPr>
    <w:rPr>
      <w:rFonts w:ascii="Calibri" w:hAnsi="Calibri" w:eastAsia="宋体" w:cs="Times New Roman"/>
      <w:sz w:val="22"/>
      <w:szCs w:val="22"/>
      <w:lang w:val="en-US" w:eastAsia="en-US" w:bidi="ar-SA"/>
    </w:rPr>
  </w:style>
  <w:style w:type="paragraph" w:customStyle="1" w:styleId="262">
    <w:name w:val="圆的面积"/>
    <w:qFormat/>
    <w:uiPriority w:val="99"/>
    <w:pPr>
      <w:spacing w:after="200" w:line="276" w:lineRule="auto"/>
    </w:pPr>
    <w:rPr>
      <w:rFonts w:ascii="Calibri" w:hAnsi="Calibri" w:eastAsia="宋体" w:cs="Times New Roman"/>
      <w:sz w:val="22"/>
      <w:szCs w:val="22"/>
      <w:lang w:val="en-US" w:eastAsia="zh-CN" w:bidi="ar-SA"/>
    </w:rPr>
  </w:style>
  <w:style w:type="paragraph" w:customStyle="1" w:styleId="263">
    <w:name w:val="二项式定理"/>
    <w:qFormat/>
    <w:uiPriority w:val="99"/>
    <w:pPr>
      <w:spacing w:after="200" w:line="276" w:lineRule="auto"/>
    </w:pPr>
    <w:rPr>
      <w:rFonts w:ascii="Calibri" w:hAnsi="Calibri" w:eastAsia="宋体" w:cs="Times New Roman"/>
      <w:sz w:val="22"/>
      <w:szCs w:val="22"/>
      <w:lang w:val="en-US" w:eastAsia="zh-CN" w:bidi="ar-SA"/>
    </w:rPr>
  </w:style>
  <w:style w:type="paragraph" w:customStyle="1" w:styleId="264">
    <w:name w:val="和的展开式"/>
    <w:qFormat/>
    <w:uiPriority w:val="99"/>
    <w:pPr>
      <w:spacing w:after="200" w:line="276" w:lineRule="auto"/>
    </w:pPr>
    <w:rPr>
      <w:rFonts w:ascii="Calibri" w:hAnsi="Calibri" w:eastAsia="宋体" w:cs="Times New Roman"/>
      <w:sz w:val="22"/>
      <w:szCs w:val="22"/>
      <w:lang w:val="en-US" w:eastAsia="zh-CN" w:bidi="ar-SA"/>
    </w:rPr>
  </w:style>
  <w:style w:type="paragraph" w:customStyle="1" w:styleId="265">
    <w:name w:val="傅立叶级数"/>
    <w:qFormat/>
    <w:uiPriority w:val="99"/>
    <w:pPr>
      <w:spacing w:after="200" w:line="276" w:lineRule="auto"/>
    </w:pPr>
    <w:rPr>
      <w:rFonts w:ascii="Calibri" w:hAnsi="Calibri" w:eastAsia="宋体" w:cs="Times New Roman"/>
      <w:sz w:val="22"/>
      <w:szCs w:val="22"/>
      <w:lang w:val="en-US" w:eastAsia="zh-CN" w:bidi="ar-SA"/>
    </w:rPr>
  </w:style>
  <w:style w:type="paragraph" w:customStyle="1" w:styleId="266">
    <w:name w:val="勾股定理"/>
    <w:qFormat/>
    <w:uiPriority w:val="99"/>
    <w:pPr>
      <w:spacing w:after="200" w:line="276" w:lineRule="auto"/>
    </w:pPr>
    <w:rPr>
      <w:rFonts w:ascii="Calibri" w:hAnsi="Calibri" w:eastAsia="宋体" w:cs="Times New Roman"/>
      <w:sz w:val="22"/>
      <w:szCs w:val="22"/>
      <w:lang w:val="en-US" w:eastAsia="zh-CN" w:bidi="ar-SA"/>
    </w:rPr>
  </w:style>
  <w:style w:type="paragraph" w:customStyle="1" w:styleId="267">
    <w:name w:val="二次公式"/>
    <w:qFormat/>
    <w:uiPriority w:val="99"/>
    <w:pPr>
      <w:spacing w:after="200" w:line="276" w:lineRule="auto"/>
    </w:pPr>
    <w:rPr>
      <w:rFonts w:ascii="Calibri" w:hAnsi="Calibri" w:eastAsia="宋体" w:cs="Times New Roman"/>
      <w:sz w:val="22"/>
      <w:szCs w:val="22"/>
      <w:lang w:val="en-US" w:eastAsia="zh-CN" w:bidi="ar-SA"/>
    </w:rPr>
  </w:style>
  <w:style w:type="paragraph" w:customStyle="1" w:styleId="268">
    <w:name w:val="泰勒展开式"/>
    <w:qFormat/>
    <w:uiPriority w:val="99"/>
    <w:pPr>
      <w:spacing w:after="200" w:line="276" w:lineRule="auto"/>
    </w:pPr>
    <w:rPr>
      <w:rFonts w:ascii="Calibri" w:hAnsi="Calibri" w:eastAsia="宋体" w:cs="Times New Roman"/>
      <w:sz w:val="22"/>
      <w:szCs w:val="22"/>
      <w:lang w:val="en-US" w:eastAsia="zh-CN" w:bidi="ar-SA"/>
    </w:rPr>
  </w:style>
  <w:style w:type="paragraph" w:customStyle="1" w:styleId="269">
    <w:name w:val="三角恒等式 1"/>
    <w:qFormat/>
    <w:uiPriority w:val="99"/>
    <w:pPr>
      <w:spacing w:after="200" w:line="276" w:lineRule="auto"/>
    </w:pPr>
    <w:rPr>
      <w:rFonts w:ascii="Calibri" w:hAnsi="Calibri" w:eastAsia="宋体" w:cs="Times New Roman"/>
      <w:sz w:val="22"/>
      <w:szCs w:val="22"/>
      <w:lang w:val="en-US" w:eastAsia="zh-CN" w:bidi="ar-SA"/>
    </w:rPr>
  </w:style>
  <w:style w:type="paragraph" w:customStyle="1" w:styleId="270">
    <w:name w:val="三角恒等式 2"/>
    <w:qFormat/>
    <w:uiPriority w:val="99"/>
    <w:pPr>
      <w:spacing w:after="200" w:line="276" w:lineRule="auto"/>
    </w:pPr>
    <w:rPr>
      <w:rFonts w:ascii="Calibri" w:hAnsi="Calibri" w:eastAsia="宋体" w:cs="Times New Roman"/>
      <w:sz w:val="22"/>
      <w:szCs w:val="22"/>
      <w:lang w:val="en-US" w:eastAsia="zh-CN" w:bidi="ar-SA"/>
    </w:rPr>
  </w:style>
  <w:style w:type="paragraph" w:customStyle="1" w:styleId="271">
    <w:name w:val="20C8B209955741FCBC50EA56277B951E"/>
    <w:qFormat/>
    <w:uiPriority w:val="99"/>
    <w:pPr>
      <w:spacing w:after="200" w:line="276" w:lineRule="auto"/>
    </w:pPr>
    <w:rPr>
      <w:rFonts w:ascii="Calibri" w:hAnsi="Calibri" w:eastAsia="宋体" w:cs="Times New Roman"/>
      <w:sz w:val="22"/>
      <w:szCs w:val="22"/>
      <w:lang w:val="en-US" w:eastAsia="en-US" w:bidi="ar-SA"/>
    </w:rPr>
  </w:style>
  <w:style w:type="paragraph" w:customStyle="1" w:styleId="272">
    <w:name w:val="A21BF22EA53F4F8E8EDF386D56159617"/>
    <w:qFormat/>
    <w:uiPriority w:val="99"/>
    <w:pPr>
      <w:spacing w:after="200" w:line="276" w:lineRule="auto"/>
    </w:pPr>
    <w:rPr>
      <w:rFonts w:ascii="Calibri" w:hAnsi="Calibri" w:eastAsia="宋体" w:cs="Times New Roman"/>
      <w:sz w:val="22"/>
      <w:szCs w:val="22"/>
      <w:lang w:val="en-US" w:eastAsia="en-US" w:bidi="ar-SA"/>
    </w:rPr>
  </w:style>
  <w:style w:type="paragraph" w:customStyle="1" w:styleId="273">
    <w:name w:val="D811E79D5D934C66A6FA2E1CE7983967"/>
    <w:qFormat/>
    <w:uiPriority w:val="99"/>
    <w:pPr>
      <w:spacing w:after="200" w:line="276" w:lineRule="auto"/>
    </w:pPr>
    <w:rPr>
      <w:rFonts w:ascii="Calibri" w:hAnsi="Calibri" w:eastAsia="宋体" w:cs="Times New Roman"/>
      <w:sz w:val="22"/>
      <w:szCs w:val="22"/>
      <w:lang w:val="en-US" w:eastAsia="en-US" w:bidi="ar-SA"/>
    </w:rPr>
  </w:style>
  <w:style w:type="paragraph" w:customStyle="1" w:styleId="274">
    <w:name w:val="9AA95C8DD2D946B580117B445A347205"/>
    <w:qFormat/>
    <w:uiPriority w:val="99"/>
    <w:pPr>
      <w:spacing w:after="200" w:line="276" w:lineRule="auto"/>
    </w:pPr>
    <w:rPr>
      <w:rFonts w:ascii="Calibri" w:hAnsi="Calibri" w:eastAsia="宋体" w:cs="Times New Roman"/>
      <w:sz w:val="22"/>
      <w:szCs w:val="22"/>
      <w:lang w:val="en-US" w:eastAsia="en-US" w:bidi="ar-SA"/>
    </w:rPr>
  </w:style>
  <w:style w:type="paragraph" w:customStyle="1" w:styleId="275">
    <w:name w:val="8778FC3C20C440D29659E254DE7A37C0"/>
    <w:qFormat/>
    <w:uiPriority w:val="99"/>
    <w:pPr>
      <w:spacing w:after="200" w:line="276" w:lineRule="auto"/>
    </w:pPr>
    <w:rPr>
      <w:rFonts w:ascii="Calibri" w:hAnsi="Calibri" w:eastAsia="宋体" w:cs="Times New Roman"/>
      <w:sz w:val="22"/>
      <w:szCs w:val="22"/>
      <w:lang w:val="en-US" w:eastAsia="en-US" w:bidi="ar-SA"/>
    </w:rPr>
  </w:style>
  <w:style w:type="paragraph" w:customStyle="1" w:styleId="276">
    <w:name w:val="90E7E03434E04C7F809F87A890E4D828"/>
    <w:qFormat/>
    <w:uiPriority w:val="99"/>
    <w:pPr>
      <w:spacing w:after="200" w:line="276" w:lineRule="auto"/>
    </w:pPr>
    <w:rPr>
      <w:rFonts w:ascii="Calibri" w:hAnsi="Calibri" w:eastAsia="宋体" w:cs="Times New Roman"/>
      <w:sz w:val="22"/>
      <w:szCs w:val="22"/>
      <w:lang w:val="en-US" w:eastAsia="en-US" w:bidi="ar-SA"/>
    </w:rPr>
  </w:style>
  <w:style w:type="paragraph" w:customStyle="1" w:styleId="277">
    <w:name w:val="B3FB710184544E4DA8CBB08888682B33"/>
    <w:qFormat/>
    <w:uiPriority w:val="99"/>
    <w:pPr>
      <w:spacing w:after="200" w:line="276" w:lineRule="auto"/>
    </w:pPr>
    <w:rPr>
      <w:rFonts w:ascii="Calibri" w:hAnsi="Calibri" w:eastAsia="宋体" w:cs="Times New Roman"/>
      <w:sz w:val="22"/>
      <w:szCs w:val="22"/>
      <w:lang w:val="en-US" w:eastAsia="en-US" w:bidi="ar-SA"/>
    </w:rPr>
  </w:style>
  <w:style w:type="paragraph" w:customStyle="1" w:styleId="278">
    <w:name w:val="5EC7A74B7D194A9190C39C8BF020015C"/>
    <w:qFormat/>
    <w:uiPriority w:val="99"/>
    <w:pPr>
      <w:spacing w:after="200" w:line="276" w:lineRule="auto"/>
    </w:pPr>
    <w:rPr>
      <w:rFonts w:ascii="Calibri" w:hAnsi="Calibri" w:eastAsia="宋体" w:cs="Times New Roman"/>
      <w:sz w:val="22"/>
      <w:szCs w:val="22"/>
      <w:lang w:val="en-US" w:eastAsia="en-US" w:bidi="ar-SA"/>
    </w:rPr>
  </w:style>
  <w:style w:type="paragraph" w:customStyle="1" w:styleId="279">
    <w:name w:val="现代型(偶数页)"/>
    <w:qFormat/>
    <w:uiPriority w:val="99"/>
    <w:pPr>
      <w:tabs>
        <w:tab w:val="center" w:pos="4320"/>
        <w:tab w:val="right" w:pos="8640"/>
      </w:tabs>
      <w:spacing w:after="200" w:line="276" w:lineRule="auto"/>
    </w:pPr>
    <w:rPr>
      <w:rFonts w:ascii="Calibri" w:hAnsi="Calibri" w:eastAsia="宋体" w:cs="Times New Roman"/>
      <w:sz w:val="22"/>
      <w:szCs w:val="22"/>
      <w:lang w:val="en-US" w:eastAsia="zh-CN" w:bidi="ar-SA"/>
    </w:rPr>
  </w:style>
  <w:style w:type="paragraph" w:customStyle="1" w:styleId="280">
    <w:name w:val="现代型(奇数页)"/>
    <w:qFormat/>
    <w:uiPriority w:val="99"/>
    <w:pPr>
      <w:tabs>
        <w:tab w:val="center" w:pos="4320"/>
        <w:tab w:val="right" w:pos="8640"/>
      </w:tabs>
      <w:spacing w:after="200" w:line="276" w:lineRule="auto"/>
    </w:pPr>
    <w:rPr>
      <w:rFonts w:ascii="Calibri" w:hAnsi="Calibri" w:eastAsia="宋体" w:cs="Times New Roman"/>
      <w:sz w:val="22"/>
      <w:szCs w:val="22"/>
      <w:lang w:val="en-US" w:eastAsia="zh-CN" w:bidi="ar-SA"/>
    </w:rPr>
  </w:style>
  <w:style w:type="paragraph" w:customStyle="1" w:styleId="281">
    <w:name w:val="2DA1F6B7BF3A409491B673CB6D5FAE11"/>
    <w:qFormat/>
    <w:uiPriority w:val="99"/>
    <w:pPr>
      <w:spacing w:after="200" w:line="276" w:lineRule="auto"/>
    </w:pPr>
    <w:rPr>
      <w:rFonts w:ascii="Calibri" w:hAnsi="Calibri" w:eastAsia="宋体" w:cs="Times New Roman"/>
      <w:sz w:val="22"/>
      <w:szCs w:val="22"/>
      <w:lang w:val="en-US" w:eastAsia="en-US" w:bidi="ar-SA"/>
    </w:rPr>
  </w:style>
  <w:style w:type="paragraph" w:customStyle="1" w:styleId="282">
    <w:name w:val="条纹型"/>
    <w:qFormat/>
    <w:uiPriority w:val="99"/>
    <w:pPr>
      <w:tabs>
        <w:tab w:val="center" w:pos="4680"/>
        <w:tab w:val="right" w:pos="9360"/>
      </w:tabs>
    </w:pPr>
    <w:rPr>
      <w:rFonts w:ascii="Calibri" w:hAnsi="Calibri" w:eastAsia="宋体" w:cs="Times New Roman"/>
      <w:sz w:val="22"/>
      <w:szCs w:val="22"/>
      <w:lang w:val="en-US" w:eastAsia="zh-CN" w:bidi="ar-SA"/>
    </w:rPr>
  </w:style>
  <w:style w:type="paragraph" w:customStyle="1" w:styleId="283">
    <w:name w:val="BDAD28D14BA54D72A8BF62B5176561F3"/>
    <w:qFormat/>
    <w:uiPriority w:val="99"/>
    <w:pPr>
      <w:spacing w:after="200" w:line="276" w:lineRule="auto"/>
    </w:pPr>
    <w:rPr>
      <w:rFonts w:ascii="Calibri" w:hAnsi="Calibri" w:eastAsia="宋体" w:cs="Times New Roman"/>
      <w:sz w:val="22"/>
      <w:szCs w:val="22"/>
      <w:lang w:val="en-US" w:eastAsia="en-US" w:bidi="ar-SA"/>
    </w:rPr>
  </w:style>
  <w:style w:type="paragraph" w:customStyle="1" w:styleId="284">
    <w:name w:val="B63CC66DD6D54435A4C41D68525F750A"/>
    <w:qFormat/>
    <w:uiPriority w:val="99"/>
    <w:pPr>
      <w:spacing w:after="200" w:line="276" w:lineRule="auto"/>
    </w:pPr>
    <w:rPr>
      <w:rFonts w:ascii="Calibri" w:hAnsi="Calibri" w:eastAsia="宋体" w:cs="Times New Roman"/>
      <w:sz w:val="22"/>
      <w:szCs w:val="22"/>
      <w:lang w:val="en-US" w:eastAsia="en-US" w:bidi="ar-SA"/>
    </w:rPr>
  </w:style>
  <w:style w:type="paragraph" w:customStyle="1" w:styleId="285">
    <w:name w:val="8278023A40F24508A4195F513E6AB3C9"/>
    <w:qFormat/>
    <w:uiPriority w:val="99"/>
    <w:pPr>
      <w:spacing w:after="200" w:line="276" w:lineRule="auto"/>
    </w:pPr>
    <w:rPr>
      <w:rFonts w:ascii="Calibri" w:hAnsi="Calibri" w:eastAsia="宋体" w:cs="Times New Roman"/>
      <w:sz w:val="22"/>
      <w:szCs w:val="22"/>
      <w:lang w:val="en-US" w:eastAsia="en-US" w:bidi="ar-SA"/>
    </w:rPr>
  </w:style>
  <w:style w:type="paragraph" w:customStyle="1" w:styleId="286">
    <w:name w:val="运动型(偶数页)"/>
    <w:qFormat/>
    <w:uiPriority w:val="99"/>
    <w:pPr>
      <w:tabs>
        <w:tab w:val="center" w:pos="4680"/>
        <w:tab w:val="right" w:pos="9360"/>
      </w:tabs>
    </w:pPr>
    <w:rPr>
      <w:rFonts w:ascii="Calibri" w:hAnsi="Calibri" w:eastAsia="宋体" w:cs="Times New Roman"/>
      <w:sz w:val="22"/>
      <w:szCs w:val="22"/>
      <w:lang w:val="en-US" w:eastAsia="zh-CN" w:bidi="ar-SA"/>
    </w:rPr>
  </w:style>
  <w:style w:type="paragraph" w:customStyle="1" w:styleId="287">
    <w:name w:val="28CD904390274BA4AB8C1FE3E55861C4"/>
    <w:qFormat/>
    <w:uiPriority w:val="99"/>
    <w:pPr>
      <w:spacing w:after="200" w:line="276" w:lineRule="auto"/>
    </w:pPr>
    <w:rPr>
      <w:rFonts w:ascii="Calibri" w:hAnsi="Calibri" w:eastAsia="宋体" w:cs="Times New Roman"/>
      <w:sz w:val="22"/>
      <w:szCs w:val="22"/>
      <w:lang w:val="en-US" w:eastAsia="en-US" w:bidi="ar-SA"/>
    </w:rPr>
  </w:style>
  <w:style w:type="paragraph" w:customStyle="1" w:styleId="288">
    <w:name w:val="运动型(奇数页)"/>
    <w:qFormat/>
    <w:uiPriority w:val="99"/>
    <w:pPr>
      <w:tabs>
        <w:tab w:val="center" w:pos="4680"/>
        <w:tab w:val="right" w:pos="9360"/>
      </w:tabs>
    </w:pPr>
    <w:rPr>
      <w:rFonts w:ascii="Calibri" w:hAnsi="Calibri" w:eastAsia="宋体" w:cs="Times New Roman"/>
      <w:sz w:val="22"/>
      <w:szCs w:val="22"/>
      <w:lang w:val="en-US" w:eastAsia="zh-CN" w:bidi="ar-SA"/>
    </w:rPr>
  </w:style>
  <w:style w:type="paragraph" w:customStyle="1" w:styleId="289">
    <w:name w:val="DCAF7A472D494B55933635A3A7D70E92"/>
    <w:qFormat/>
    <w:uiPriority w:val="99"/>
    <w:pPr>
      <w:spacing w:after="200" w:line="276" w:lineRule="auto"/>
    </w:pPr>
    <w:rPr>
      <w:rFonts w:ascii="Calibri" w:hAnsi="Calibri" w:eastAsia="宋体" w:cs="Times New Roman"/>
      <w:sz w:val="22"/>
      <w:szCs w:val="22"/>
      <w:lang w:val="en-US" w:eastAsia="en-US" w:bidi="ar-SA"/>
    </w:rPr>
  </w:style>
  <w:style w:type="paragraph" w:customStyle="1" w:styleId="290">
    <w:name w:val="瓷砖型"/>
    <w:qFormat/>
    <w:uiPriority w:val="99"/>
    <w:pPr>
      <w:tabs>
        <w:tab w:val="center" w:pos="4680"/>
        <w:tab w:val="right" w:pos="9360"/>
      </w:tabs>
    </w:pPr>
    <w:rPr>
      <w:rFonts w:ascii="Calibri" w:hAnsi="Calibri" w:eastAsia="宋体" w:cs="Times New Roman"/>
      <w:sz w:val="22"/>
      <w:szCs w:val="22"/>
      <w:lang w:val="en-US" w:eastAsia="zh-CN" w:bidi="ar-SA"/>
    </w:rPr>
  </w:style>
  <w:style w:type="paragraph" w:customStyle="1" w:styleId="291">
    <w:name w:val="4CD8896B7B8844F0851450730E28A88C"/>
    <w:qFormat/>
    <w:uiPriority w:val="99"/>
    <w:pPr>
      <w:spacing w:after="200" w:line="276" w:lineRule="auto"/>
    </w:pPr>
    <w:rPr>
      <w:rFonts w:ascii="Calibri" w:hAnsi="Calibri" w:eastAsia="宋体" w:cs="Times New Roman"/>
      <w:sz w:val="22"/>
      <w:szCs w:val="22"/>
      <w:lang w:val="en-US" w:eastAsia="en-US" w:bidi="ar-SA"/>
    </w:rPr>
  </w:style>
  <w:style w:type="paragraph" w:customStyle="1" w:styleId="292">
    <w:name w:val="反差型(偶数页)"/>
    <w:qFormat/>
    <w:uiPriority w:val="99"/>
    <w:pPr>
      <w:tabs>
        <w:tab w:val="center" w:pos="4680"/>
        <w:tab w:val="right" w:pos="9360"/>
      </w:tabs>
    </w:pPr>
    <w:rPr>
      <w:rFonts w:ascii="Calibri" w:hAnsi="Calibri" w:eastAsia="宋体" w:cs="Times New Roman"/>
      <w:sz w:val="22"/>
      <w:szCs w:val="22"/>
      <w:lang w:val="en-US" w:eastAsia="zh-CN" w:bidi="ar-SA"/>
    </w:rPr>
  </w:style>
  <w:style w:type="paragraph" w:customStyle="1" w:styleId="293">
    <w:name w:val="EB7A09B0C2354C9E8E853DF18D83BECB"/>
    <w:qFormat/>
    <w:uiPriority w:val="99"/>
    <w:pPr>
      <w:spacing w:after="200" w:line="276" w:lineRule="auto"/>
    </w:pPr>
    <w:rPr>
      <w:rFonts w:ascii="Calibri" w:hAnsi="Calibri" w:eastAsia="宋体" w:cs="Times New Roman"/>
      <w:sz w:val="22"/>
      <w:szCs w:val="22"/>
      <w:lang w:val="en-US" w:eastAsia="en-US" w:bidi="ar-SA"/>
    </w:rPr>
  </w:style>
  <w:style w:type="paragraph" w:customStyle="1" w:styleId="294">
    <w:name w:val="反差型(奇数页)"/>
    <w:qFormat/>
    <w:uiPriority w:val="99"/>
    <w:pPr>
      <w:tabs>
        <w:tab w:val="center" w:pos="4680"/>
        <w:tab w:val="right" w:pos="9360"/>
      </w:tabs>
    </w:pPr>
    <w:rPr>
      <w:rFonts w:ascii="Calibri" w:hAnsi="Calibri" w:eastAsia="宋体" w:cs="Times New Roman"/>
      <w:sz w:val="22"/>
      <w:szCs w:val="22"/>
      <w:lang w:val="en-US" w:eastAsia="zh-CN" w:bidi="ar-SA"/>
    </w:rPr>
  </w:style>
  <w:style w:type="paragraph" w:customStyle="1" w:styleId="295">
    <w:name w:val="2E807CA30A844CA6A18A64C346ACD61A"/>
    <w:qFormat/>
    <w:uiPriority w:val="99"/>
    <w:pPr>
      <w:spacing w:after="200" w:line="276" w:lineRule="auto"/>
    </w:pPr>
    <w:rPr>
      <w:rFonts w:ascii="Calibri" w:hAnsi="Calibri" w:eastAsia="宋体" w:cs="Times New Roman"/>
      <w:sz w:val="22"/>
      <w:szCs w:val="22"/>
      <w:lang w:val="en-US" w:eastAsia="en-US" w:bidi="ar-SA"/>
    </w:rPr>
  </w:style>
  <w:style w:type="paragraph" w:customStyle="1" w:styleId="296">
    <w:name w:val="02993E176E3049AF925F3C0717059687"/>
    <w:qFormat/>
    <w:uiPriority w:val="99"/>
    <w:pPr>
      <w:spacing w:after="200" w:line="276" w:lineRule="auto"/>
    </w:pPr>
    <w:rPr>
      <w:rFonts w:ascii="Calibri" w:hAnsi="Calibri" w:eastAsia="宋体" w:cs="Times New Roman"/>
      <w:sz w:val="22"/>
      <w:szCs w:val="22"/>
      <w:lang w:val="en-US" w:eastAsia="en-US" w:bidi="ar-SA"/>
    </w:rPr>
  </w:style>
  <w:style w:type="paragraph" w:customStyle="1" w:styleId="297">
    <w:name w:val="9C479F3C90EB4FF8955A4246B7A5D03E"/>
    <w:qFormat/>
    <w:uiPriority w:val="99"/>
    <w:pPr>
      <w:spacing w:after="200" w:line="276" w:lineRule="auto"/>
    </w:pPr>
    <w:rPr>
      <w:rFonts w:ascii="Calibri" w:hAnsi="Calibri" w:eastAsia="宋体" w:cs="Times New Roman"/>
      <w:sz w:val="22"/>
      <w:szCs w:val="22"/>
      <w:lang w:val="en-US" w:eastAsia="en-US" w:bidi="ar-SA"/>
    </w:rPr>
  </w:style>
  <w:style w:type="paragraph" w:customStyle="1" w:styleId="298">
    <w:name w:val="76875A5014DD4C7AB3071855AAD072FA"/>
    <w:qFormat/>
    <w:uiPriority w:val="99"/>
    <w:pPr>
      <w:spacing w:after="200" w:line="276" w:lineRule="auto"/>
    </w:pPr>
    <w:rPr>
      <w:rFonts w:ascii="Calibri" w:hAnsi="Calibri" w:eastAsia="宋体" w:cs="Times New Roman"/>
      <w:sz w:val="22"/>
      <w:szCs w:val="22"/>
      <w:lang w:val="en-US" w:eastAsia="en-US" w:bidi="ar-SA"/>
    </w:rPr>
  </w:style>
  <w:style w:type="paragraph" w:customStyle="1" w:styleId="299">
    <w:name w:val="空白(三栏)"/>
    <w:qFormat/>
    <w:uiPriority w:val="99"/>
    <w:pPr>
      <w:tabs>
        <w:tab w:val="center" w:pos="4680"/>
        <w:tab w:val="right" w:pos="9360"/>
      </w:tabs>
    </w:pPr>
    <w:rPr>
      <w:rFonts w:ascii="Calibri" w:hAnsi="Calibri" w:eastAsia="宋体" w:cs="Times New Roman"/>
      <w:sz w:val="22"/>
      <w:szCs w:val="22"/>
      <w:lang w:val="en-US" w:eastAsia="zh-CN" w:bidi="ar-SA"/>
    </w:rPr>
  </w:style>
  <w:style w:type="paragraph" w:customStyle="1" w:styleId="300">
    <w:name w:val="AA984008E79348DCBB1A11C133477F07"/>
    <w:qFormat/>
    <w:uiPriority w:val="99"/>
    <w:pPr>
      <w:spacing w:after="200" w:line="276" w:lineRule="auto"/>
    </w:pPr>
    <w:rPr>
      <w:rFonts w:ascii="Calibri" w:hAnsi="Calibri" w:eastAsia="宋体" w:cs="Times New Roman"/>
      <w:sz w:val="22"/>
      <w:szCs w:val="22"/>
      <w:lang w:val="en-US" w:eastAsia="en-US" w:bidi="ar-SA"/>
    </w:rPr>
  </w:style>
  <w:style w:type="paragraph" w:customStyle="1" w:styleId="301">
    <w:name w:val="838BF14986B14F0F88E1F81B2F0B3DE9"/>
    <w:qFormat/>
    <w:uiPriority w:val="99"/>
    <w:pPr>
      <w:spacing w:after="200" w:line="276" w:lineRule="auto"/>
    </w:pPr>
    <w:rPr>
      <w:rFonts w:ascii="Calibri" w:hAnsi="Calibri" w:eastAsia="宋体" w:cs="Times New Roman"/>
      <w:sz w:val="22"/>
      <w:szCs w:val="22"/>
      <w:lang w:val="en-US" w:eastAsia="en-US" w:bidi="ar-SA"/>
    </w:rPr>
  </w:style>
  <w:style w:type="paragraph" w:customStyle="1" w:styleId="302">
    <w:name w:val="7F82A4FBB3774BE092E0478D25B2FC74"/>
    <w:qFormat/>
    <w:uiPriority w:val="99"/>
    <w:pPr>
      <w:spacing w:after="200" w:line="276" w:lineRule="auto"/>
    </w:pPr>
    <w:rPr>
      <w:rFonts w:ascii="Calibri" w:hAnsi="Calibri" w:eastAsia="宋体" w:cs="Times New Roman"/>
      <w:sz w:val="22"/>
      <w:szCs w:val="22"/>
      <w:lang w:val="en-US" w:eastAsia="en-US" w:bidi="ar-SA"/>
    </w:rPr>
  </w:style>
  <w:style w:type="paragraph" w:customStyle="1" w:styleId="303">
    <w:name w:val="1335CC572C174141BD9EDD9BE32E4400"/>
    <w:qFormat/>
    <w:uiPriority w:val="99"/>
    <w:pPr>
      <w:spacing w:after="200" w:line="276" w:lineRule="auto"/>
    </w:pPr>
    <w:rPr>
      <w:rFonts w:ascii="Calibri" w:hAnsi="Calibri" w:eastAsia="宋体" w:cs="Times New Roman"/>
      <w:sz w:val="22"/>
      <w:szCs w:val="22"/>
      <w:lang w:val="en-US" w:eastAsia="en-US" w:bidi="ar-SA"/>
    </w:rPr>
  </w:style>
  <w:style w:type="paragraph" w:customStyle="1" w:styleId="304">
    <w:name w:val="2FC08363847841A48EDF0EDF1CDB3E95"/>
    <w:qFormat/>
    <w:uiPriority w:val="99"/>
    <w:pPr>
      <w:spacing w:after="200" w:line="276" w:lineRule="auto"/>
    </w:pPr>
    <w:rPr>
      <w:rFonts w:ascii="Calibri" w:hAnsi="Calibri" w:eastAsia="宋体" w:cs="Times New Roman"/>
      <w:sz w:val="22"/>
      <w:szCs w:val="22"/>
      <w:lang w:val="en-US" w:eastAsia="en-US" w:bidi="ar-SA"/>
    </w:rPr>
  </w:style>
  <w:style w:type="paragraph" w:customStyle="1" w:styleId="305">
    <w:name w:val="5009028179EB4215B7ECF4B014D690EF"/>
    <w:qFormat/>
    <w:uiPriority w:val="99"/>
    <w:pPr>
      <w:spacing w:after="200" w:line="276" w:lineRule="auto"/>
    </w:pPr>
    <w:rPr>
      <w:rFonts w:ascii="Calibri" w:hAnsi="Calibri" w:eastAsia="宋体" w:cs="Times New Roman"/>
      <w:sz w:val="22"/>
      <w:szCs w:val="22"/>
      <w:lang w:val="en-US" w:eastAsia="en-US" w:bidi="ar-SA"/>
    </w:rPr>
  </w:style>
  <w:style w:type="paragraph" w:customStyle="1" w:styleId="306">
    <w:name w:val="0B4F4D1CD8114323A07A4CC47F4CA85C"/>
    <w:qFormat/>
    <w:uiPriority w:val="99"/>
    <w:pPr>
      <w:spacing w:after="200" w:line="276" w:lineRule="auto"/>
    </w:pPr>
    <w:rPr>
      <w:rFonts w:ascii="Calibri" w:hAnsi="Calibri" w:eastAsia="宋体" w:cs="Times New Roman"/>
      <w:sz w:val="22"/>
      <w:szCs w:val="22"/>
      <w:lang w:val="en-US" w:eastAsia="en-US" w:bidi="ar-SA"/>
    </w:rPr>
  </w:style>
  <w:style w:type="paragraph" w:customStyle="1" w:styleId="307">
    <w:name w:val="6FBB80E33D104F0AA46CBF77B01403EF"/>
    <w:qFormat/>
    <w:uiPriority w:val="99"/>
    <w:pPr>
      <w:spacing w:after="200" w:line="276" w:lineRule="auto"/>
    </w:pPr>
    <w:rPr>
      <w:rFonts w:ascii="Calibri" w:hAnsi="Calibri" w:eastAsia="宋体" w:cs="Times New Roman"/>
      <w:sz w:val="22"/>
      <w:szCs w:val="22"/>
      <w:lang w:val="en-US" w:eastAsia="en-US" w:bidi="ar-SA"/>
    </w:rPr>
  </w:style>
  <w:style w:type="paragraph" w:customStyle="1" w:styleId="308">
    <w:name w:val="E615EFFB1253432EA6F3A4D28518F9E8"/>
    <w:qFormat/>
    <w:uiPriority w:val="99"/>
    <w:pPr>
      <w:spacing w:after="200" w:line="276" w:lineRule="auto"/>
    </w:pPr>
    <w:rPr>
      <w:rFonts w:ascii="Calibri" w:hAnsi="Calibri" w:eastAsia="宋体" w:cs="Times New Roman"/>
      <w:sz w:val="22"/>
      <w:szCs w:val="22"/>
      <w:lang w:val="en-US" w:eastAsia="en-US" w:bidi="ar-SA"/>
    </w:rPr>
  </w:style>
  <w:style w:type="paragraph" w:customStyle="1" w:styleId="309">
    <w:name w:val="A5481E12BDBF4780BAD59C112016986E"/>
    <w:qFormat/>
    <w:uiPriority w:val="99"/>
    <w:pPr>
      <w:spacing w:after="200" w:line="276" w:lineRule="auto"/>
    </w:pPr>
    <w:rPr>
      <w:rFonts w:ascii="Calibri" w:hAnsi="Calibri" w:eastAsia="宋体" w:cs="Times New Roman"/>
      <w:sz w:val="22"/>
      <w:szCs w:val="22"/>
      <w:lang w:val="en-US" w:eastAsia="en-US" w:bidi="ar-SA"/>
    </w:rPr>
  </w:style>
  <w:style w:type="paragraph" w:customStyle="1" w:styleId="310">
    <w:name w:val="CC7B87DFFF884927B4D9710F47515428"/>
    <w:qFormat/>
    <w:uiPriority w:val="99"/>
    <w:pPr>
      <w:spacing w:after="200" w:line="276" w:lineRule="auto"/>
    </w:pPr>
    <w:rPr>
      <w:rFonts w:ascii="Calibri" w:hAnsi="Calibri" w:eastAsia="宋体" w:cs="Times New Roman"/>
      <w:sz w:val="22"/>
      <w:szCs w:val="22"/>
      <w:lang w:val="en-US" w:eastAsia="en-US" w:bidi="ar-SA"/>
    </w:rPr>
  </w:style>
  <w:style w:type="paragraph" w:customStyle="1" w:styleId="311">
    <w:name w:val="DC7B4D59A27549A79124B56BE4EE7A74"/>
    <w:qFormat/>
    <w:uiPriority w:val="99"/>
    <w:pPr>
      <w:spacing w:after="200" w:line="276" w:lineRule="auto"/>
    </w:pPr>
    <w:rPr>
      <w:rFonts w:ascii="Calibri" w:hAnsi="Calibri" w:eastAsia="宋体" w:cs="Times New Roman"/>
      <w:sz w:val="22"/>
      <w:szCs w:val="22"/>
      <w:lang w:val="en-US" w:eastAsia="en-US" w:bidi="ar-SA"/>
    </w:rPr>
  </w:style>
  <w:style w:type="paragraph" w:customStyle="1" w:styleId="312">
    <w:name w:val="E0A73C59C11245D59ED59717BBEFCADA"/>
    <w:qFormat/>
    <w:uiPriority w:val="99"/>
    <w:pPr>
      <w:spacing w:after="200" w:line="276" w:lineRule="auto"/>
    </w:pPr>
    <w:rPr>
      <w:rFonts w:ascii="Calibri" w:hAnsi="Calibri" w:eastAsia="宋体" w:cs="Times New Roman"/>
      <w:sz w:val="22"/>
      <w:szCs w:val="22"/>
      <w:lang w:val="en-US" w:eastAsia="en-US" w:bidi="ar-SA"/>
    </w:rPr>
  </w:style>
  <w:style w:type="paragraph" w:customStyle="1" w:styleId="313">
    <w:name w:val="7392FFF2A99B412380F8FEF3A25D511A"/>
    <w:qFormat/>
    <w:uiPriority w:val="99"/>
    <w:pPr>
      <w:spacing w:after="200" w:line="276" w:lineRule="auto"/>
    </w:pPr>
    <w:rPr>
      <w:rFonts w:ascii="Calibri" w:hAnsi="Calibri" w:eastAsia="宋体" w:cs="Times New Roman"/>
      <w:sz w:val="22"/>
      <w:szCs w:val="22"/>
      <w:lang w:val="en-US" w:eastAsia="en-US" w:bidi="ar-SA"/>
    </w:rPr>
  </w:style>
  <w:style w:type="paragraph" w:customStyle="1" w:styleId="314">
    <w:name w:val="8C238DBD48394F36A345AC0B5CE3E6F0"/>
    <w:qFormat/>
    <w:uiPriority w:val="99"/>
    <w:pPr>
      <w:spacing w:after="200" w:line="276" w:lineRule="auto"/>
    </w:pPr>
    <w:rPr>
      <w:rFonts w:ascii="Calibri" w:hAnsi="Calibri" w:eastAsia="宋体" w:cs="Times New Roman"/>
      <w:sz w:val="22"/>
      <w:szCs w:val="22"/>
      <w:lang w:val="en-US" w:eastAsia="en-US" w:bidi="ar-SA"/>
    </w:rPr>
  </w:style>
  <w:style w:type="paragraph" w:customStyle="1" w:styleId="315">
    <w:name w:val="753CB35BCE7340739DDE2CE324B2EB41"/>
    <w:qFormat/>
    <w:uiPriority w:val="99"/>
    <w:pPr>
      <w:spacing w:after="200" w:line="276" w:lineRule="auto"/>
    </w:pPr>
    <w:rPr>
      <w:rFonts w:ascii="Calibri" w:hAnsi="Calibri" w:eastAsia="宋体" w:cs="Times New Roman"/>
      <w:sz w:val="22"/>
      <w:szCs w:val="22"/>
      <w:lang w:val="en-US" w:eastAsia="en-US" w:bidi="ar-SA"/>
    </w:rPr>
  </w:style>
  <w:style w:type="paragraph" w:customStyle="1" w:styleId="316">
    <w:name w:val="AE03699F606F4DF18D223C72E93942E5"/>
    <w:qFormat/>
    <w:uiPriority w:val="99"/>
    <w:pPr>
      <w:spacing w:after="200" w:line="276" w:lineRule="auto"/>
    </w:pPr>
    <w:rPr>
      <w:rFonts w:ascii="Calibri" w:hAnsi="Calibri" w:eastAsia="宋体" w:cs="Times New Roman"/>
      <w:sz w:val="22"/>
      <w:szCs w:val="22"/>
      <w:lang w:val="en-US" w:eastAsia="en-US" w:bidi="ar-SA"/>
    </w:rPr>
  </w:style>
  <w:style w:type="paragraph" w:customStyle="1" w:styleId="317">
    <w:name w:val="64CD02B0D13B4F4D9E92661AA7CCEFF8"/>
    <w:qFormat/>
    <w:uiPriority w:val="99"/>
    <w:pPr>
      <w:spacing w:after="200" w:line="276" w:lineRule="auto"/>
    </w:pPr>
    <w:rPr>
      <w:rFonts w:ascii="Calibri" w:hAnsi="Calibri" w:eastAsia="宋体" w:cs="Times New Roman"/>
      <w:sz w:val="22"/>
      <w:szCs w:val="22"/>
      <w:lang w:val="en-US" w:eastAsia="en-US" w:bidi="ar-SA"/>
    </w:rPr>
  </w:style>
  <w:style w:type="paragraph" w:customStyle="1" w:styleId="318">
    <w:name w:val="4CF912E0411E4D3CB34DCD426B646C0A"/>
    <w:qFormat/>
    <w:uiPriority w:val="99"/>
    <w:pPr>
      <w:spacing w:after="200" w:line="276" w:lineRule="auto"/>
    </w:pPr>
    <w:rPr>
      <w:rFonts w:ascii="Calibri" w:hAnsi="Calibri" w:eastAsia="宋体" w:cs="Times New Roman"/>
      <w:sz w:val="22"/>
      <w:szCs w:val="22"/>
      <w:lang w:val="en-US" w:eastAsia="en-US" w:bidi="ar-SA"/>
    </w:rPr>
  </w:style>
  <w:style w:type="paragraph" w:customStyle="1" w:styleId="319">
    <w:name w:val="00F8E1E544B34D4C9851D774F635F7D8"/>
    <w:qFormat/>
    <w:uiPriority w:val="99"/>
    <w:pPr>
      <w:spacing w:after="200" w:line="276" w:lineRule="auto"/>
    </w:pPr>
    <w:rPr>
      <w:rFonts w:ascii="Calibri" w:hAnsi="Calibri" w:eastAsia="宋体" w:cs="Times New Roman"/>
      <w:sz w:val="22"/>
      <w:szCs w:val="22"/>
      <w:lang w:val="en-US" w:eastAsia="en-US" w:bidi="ar-SA"/>
    </w:rPr>
  </w:style>
  <w:style w:type="paragraph" w:customStyle="1" w:styleId="320">
    <w:name w:val="FA1BF5CC0D494C3E8C133103EA1498DB"/>
    <w:qFormat/>
    <w:uiPriority w:val="99"/>
    <w:pPr>
      <w:spacing w:after="200" w:line="276" w:lineRule="auto"/>
    </w:pPr>
    <w:rPr>
      <w:rFonts w:ascii="Calibri" w:hAnsi="Calibri" w:eastAsia="宋体" w:cs="Times New Roman"/>
      <w:sz w:val="22"/>
      <w:szCs w:val="22"/>
      <w:lang w:val="en-US" w:eastAsia="en-US" w:bidi="ar-SA"/>
    </w:rPr>
  </w:style>
  <w:style w:type="paragraph" w:customStyle="1" w:styleId="321">
    <w:name w:val="6E9263EB931D448F88DF3EF121640D9B"/>
    <w:qFormat/>
    <w:uiPriority w:val="99"/>
    <w:pPr>
      <w:spacing w:after="200" w:line="276" w:lineRule="auto"/>
    </w:pPr>
    <w:rPr>
      <w:rFonts w:ascii="Calibri" w:hAnsi="Calibri" w:eastAsia="宋体" w:cs="Times New Roman"/>
      <w:sz w:val="22"/>
      <w:szCs w:val="22"/>
      <w:lang w:val="en-US" w:eastAsia="en-US" w:bidi="ar-SA"/>
    </w:rPr>
  </w:style>
  <w:style w:type="paragraph" w:customStyle="1" w:styleId="322">
    <w:name w:val="条纹型1"/>
    <w:qFormat/>
    <w:uiPriority w:val="99"/>
    <w:pPr>
      <w:tabs>
        <w:tab w:val="center" w:pos="4680"/>
        <w:tab w:val="right" w:pos="9360"/>
      </w:tabs>
    </w:pPr>
    <w:rPr>
      <w:rFonts w:ascii="Calibri" w:hAnsi="Calibri" w:eastAsia="宋体" w:cs="Times New Roman"/>
      <w:sz w:val="22"/>
      <w:szCs w:val="22"/>
      <w:lang w:val="en-US" w:eastAsia="zh-CN" w:bidi="ar-SA"/>
    </w:rPr>
  </w:style>
  <w:style w:type="paragraph" w:customStyle="1" w:styleId="323">
    <w:name w:val="A35D688F792345B0882E15D6F34F24D5"/>
    <w:qFormat/>
    <w:uiPriority w:val="99"/>
    <w:pPr>
      <w:spacing w:after="200" w:line="276" w:lineRule="auto"/>
    </w:pPr>
    <w:rPr>
      <w:rFonts w:ascii="Calibri" w:hAnsi="Calibri" w:eastAsia="宋体" w:cs="Times New Roman"/>
      <w:sz w:val="22"/>
      <w:szCs w:val="22"/>
      <w:lang w:val="en-US" w:eastAsia="en-US" w:bidi="ar-SA"/>
    </w:rPr>
  </w:style>
  <w:style w:type="paragraph" w:customStyle="1" w:styleId="324">
    <w:name w:val="40F3000325E545A2BD0E036C9A49E945"/>
    <w:qFormat/>
    <w:uiPriority w:val="99"/>
    <w:pPr>
      <w:spacing w:after="200" w:line="276" w:lineRule="auto"/>
    </w:pPr>
    <w:rPr>
      <w:rFonts w:ascii="Calibri" w:hAnsi="Calibri" w:eastAsia="宋体" w:cs="Times New Roman"/>
      <w:sz w:val="22"/>
      <w:szCs w:val="22"/>
      <w:lang w:val="en-US" w:eastAsia="en-US" w:bidi="ar-SA"/>
    </w:rPr>
  </w:style>
  <w:style w:type="paragraph" w:customStyle="1" w:styleId="325">
    <w:name w:val="FDB53E1FF4ED412FA89AAC78518ED38F"/>
    <w:qFormat/>
    <w:uiPriority w:val="99"/>
    <w:pPr>
      <w:spacing w:after="200" w:line="276" w:lineRule="auto"/>
    </w:pPr>
    <w:rPr>
      <w:rFonts w:ascii="Calibri" w:hAnsi="Calibri" w:eastAsia="宋体" w:cs="Times New Roman"/>
      <w:sz w:val="22"/>
      <w:szCs w:val="22"/>
      <w:lang w:val="en-US" w:eastAsia="en-US" w:bidi="ar-SA"/>
    </w:rPr>
  </w:style>
  <w:style w:type="paragraph" w:customStyle="1" w:styleId="326">
    <w:name w:val="1F56AABE8B1D4B0F81477424D829C02F"/>
    <w:qFormat/>
    <w:uiPriority w:val="99"/>
    <w:pPr>
      <w:spacing w:after="200" w:line="276" w:lineRule="auto"/>
    </w:pPr>
    <w:rPr>
      <w:rFonts w:ascii="Calibri" w:hAnsi="Calibri" w:eastAsia="宋体" w:cs="Times New Roman"/>
      <w:sz w:val="22"/>
      <w:szCs w:val="22"/>
      <w:lang w:val="en-US" w:eastAsia="en-US" w:bidi="ar-SA"/>
    </w:rPr>
  </w:style>
  <w:style w:type="paragraph" w:customStyle="1" w:styleId="327">
    <w:name w:val="8C3A1AC7A131436CB417E8B4B1C8DFBE"/>
    <w:qFormat/>
    <w:uiPriority w:val="99"/>
    <w:pPr>
      <w:spacing w:after="200" w:line="276" w:lineRule="auto"/>
    </w:pPr>
    <w:rPr>
      <w:rFonts w:ascii="Calibri" w:hAnsi="Calibri" w:eastAsia="宋体" w:cs="Times New Roman"/>
      <w:sz w:val="22"/>
      <w:szCs w:val="22"/>
      <w:lang w:val="en-US" w:eastAsia="en-US" w:bidi="ar-SA"/>
    </w:rPr>
  </w:style>
  <w:style w:type="paragraph" w:customStyle="1" w:styleId="328">
    <w:name w:val="54E3CDE6E3AF43DD826F6158DCE490D6"/>
    <w:qFormat/>
    <w:uiPriority w:val="99"/>
    <w:pPr>
      <w:spacing w:after="200" w:line="276" w:lineRule="auto"/>
    </w:pPr>
    <w:rPr>
      <w:rFonts w:ascii="Calibri" w:hAnsi="Calibri" w:eastAsia="宋体" w:cs="Times New Roman"/>
      <w:sz w:val="22"/>
      <w:szCs w:val="22"/>
      <w:lang w:val="en-US" w:eastAsia="en-US" w:bidi="ar-SA"/>
    </w:rPr>
  </w:style>
  <w:style w:type="paragraph" w:customStyle="1" w:styleId="329">
    <w:name w:val="照射型"/>
    <w:qFormat/>
    <w:uiPriority w:val="99"/>
    <w:pPr>
      <w:tabs>
        <w:tab w:val="center" w:pos="4680"/>
        <w:tab w:val="right" w:pos="9360"/>
      </w:tabs>
    </w:pPr>
    <w:rPr>
      <w:rFonts w:ascii="Calibri" w:hAnsi="Calibri" w:eastAsia="宋体" w:cs="Times New Roman"/>
      <w:sz w:val="22"/>
      <w:szCs w:val="22"/>
      <w:lang w:val="en-US" w:eastAsia="zh-CN" w:bidi="ar-SA"/>
    </w:rPr>
  </w:style>
  <w:style w:type="paragraph" w:customStyle="1" w:styleId="330">
    <w:name w:val="973BFD90D1CD46B28A086E8638CD8182"/>
    <w:qFormat/>
    <w:uiPriority w:val="99"/>
    <w:pPr>
      <w:spacing w:after="200" w:line="276" w:lineRule="auto"/>
    </w:pPr>
    <w:rPr>
      <w:rFonts w:ascii="Calibri" w:hAnsi="Calibri" w:eastAsia="宋体" w:cs="Times New Roman"/>
      <w:sz w:val="22"/>
      <w:szCs w:val="22"/>
      <w:lang w:val="en-US" w:eastAsia="en-US" w:bidi="ar-SA"/>
    </w:rPr>
  </w:style>
  <w:style w:type="paragraph" w:customStyle="1" w:styleId="331">
    <w:name w:val="7F139D3851104D19AACA7D1206C5AF3E"/>
    <w:qFormat/>
    <w:uiPriority w:val="99"/>
    <w:pPr>
      <w:spacing w:after="200" w:line="276" w:lineRule="auto"/>
    </w:pPr>
    <w:rPr>
      <w:rFonts w:ascii="Calibri" w:hAnsi="Calibri" w:eastAsia="宋体" w:cs="Times New Roman"/>
      <w:sz w:val="22"/>
      <w:szCs w:val="22"/>
      <w:lang w:val="en-US" w:eastAsia="en-US" w:bidi="ar-SA"/>
    </w:rPr>
  </w:style>
  <w:style w:type="paragraph" w:customStyle="1" w:styleId="332">
    <w:name w:val="2C8AD42D2CD7492CB3313890FF55277D"/>
    <w:qFormat/>
    <w:uiPriority w:val="99"/>
    <w:pPr>
      <w:spacing w:after="200" w:line="276" w:lineRule="auto"/>
    </w:pPr>
    <w:rPr>
      <w:rFonts w:ascii="Calibri" w:hAnsi="Calibri" w:eastAsia="宋体" w:cs="Times New Roman"/>
      <w:sz w:val="22"/>
      <w:szCs w:val="22"/>
      <w:lang w:val="en-US" w:eastAsia="en-US" w:bidi="ar-SA"/>
    </w:rPr>
  </w:style>
  <w:style w:type="paragraph" w:customStyle="1" w:styleId="333">
    <w:name w:val="运动型(偶数页)1"/>
    <w:qFormat/>
    <w:uiPriority w:val="99"/>
    <w:pPr>
      <w:tabs>
        <w:tab w:val="center" w:pos="4680"/>
        <w:tab w:val="right" w:pos="9360"/>
      </w:tabs>
    </w:pPr>
    <w:rPr>
      <w:rFonts w:ascii="Calibri" w:hAnsi="Calibri" w:eastAsia="宋体" w:cs="Times New Roman"/>
      <w:sz w:val="22"/>
      <w:szCs w:val="22"/>
      <w:lang w:val="en-US" w:eastAsia="zh-CN" w:bidi="ar-SA"/>
    </w:rPr>
  </w:style>
  <w:style w:type="paragraph" w:customStyle="1" w:styleId="334">
    <w:name w:val="运动型(奇数页)1"/>
    <w:qFormat/>
    <w:uiPriority w:val="99"/>
    <w:pPr>
      <w:tabs>
        <w:tab w:val="center" w:pos="4680"/>
        <w:tab w:val="right" w:pos="9360"/>
      </w:tabs>
    </w:pPr>
    <w:rPr>
      <w:rFonts w:ascii="Calibri" w:hAnsi="Calibri" w:eastAsia="宋体" w:cs="Times New Roman"/>
      <w:sz w:val="22"/>
      <w:szCs w:val="22"/>
      <w:lang w:val="en-US" w:eastAsia="zh-CN" w:bidi="ar-SA"/>
    </w:rPr>
  </w:style>
  <w:style w:type="paragraph" w:customStyle="1" w:styleId="335">
    <w:name w:val="9C7B25F344934C51959AFAD514A49F85"/>
    <w:qFormat/>
    <w:uiPriority w:val="99"/>
    <w:pPr>
      <w:spacing w:after="200" w:line="276" w:lineRule="auto"/>
    </w:pPr>
    <w:rPr>
      <w:rFonts w:ascii="Calibri" w:hAnsi="Calibri" w:eastAsia="宋体" w:cs="Times New Roman"/>
      <w:sz w:val="22"/>
      <w:szCs w:val="22"/>
      <w:lang w:val="en-US" w:eastAsia="en-US" w:bidi="ar-SA"/>
    </w:rPr>
  </w:style>
  <w:style w:type="paragraph" w:customStyle="1" w:styleId="336">
    <w:name w:val="F98E686783EF410EAD9E842636733610"/>
    <w:qFormat/>
    <w:uiPriority w:val="99"/>
    <w:pPr>
      <w:spacing w:after="200" w:line="276" w:lineRule="auto"/>
    </w:pPr>
    <w:rPr>
      <w:rFonts w:ascii="Calibri" w:hAnsi="Calibri" w:eastAsia="宋体" w:cs="Times New Roman"/>
      <w:sz w:val="22"/>
      <w:szCs w:val="22"/>
      <w:lang w:val="en-US" w:eastAsia="en-US" w:bidi="ar-SA"/>
    </w:rPr>
  </w:style>
  <w:style w:type="paragraph" w:customStyle="1" w:styleId="337">
    <w:name w:val="瓷砖型1"/>
    <w:qFormat/>
    <w:uiPriority w:val="99"/>
    <w:pPr>
      <w:tabs>
        <w:tab w:val="center" w:pos="4680"/>
        <w:tab w:val="right" w:pos="9360"/>
      </w:tabs>
    </w:pPr>
    <w:rPr>
      <w:rFonts w:ascii="Calibri" w:hAnsi="Calibri" w:eastAsia="宋体" w:cs="Times New Roman"/>
      <w:sz w:val="22"/>
      <w:szCs w:val="22"/>
      <w:lang w:val="en-US" w:eastAsia="zh-CN" w:bidi="ar-SA"/>
    </w:rPr>
  </w:style>
  <w:style w:type="paragraph" w:customStyle="1" w:styleId="338">
    <w:name w:val="4579358F0A37454E9D32C6A46FDEDB2A"/>
    <w:qFormat/>
    <w:uiPriority w:val="99"/>
    <w:pPr>
      <w:spacing w:after="200" w:line="276" w:lineRule="auto"/>
    </w:pPr>
    <w:rPr>
      <w:rFonts w:ascii="Calibri" w:hAnsi="Calibri" w:eastAsia="宋体" w:cs="Times New Roman"/>
      <w:sz w:val="22"/>
      <w:szCs w:val="22"/>
      <w:lang w:val="en-US" w:eastAsia="en-US" w:bidi="ar-SA"/>
    </w:rPr>
  </w:style>
  <w:style w:type="paragraph" w:customStyle="1" w:styleId="339">
    <w:name w:val="3A65A485AD394CC4AEE794BADC3295AA"/>
    <w:qFormat/>
    <w:uiPriority w:val="99"/>
    <w:pPr>
      <w:spacing w:after="200" w:line="276" w:lineRule="auto"/>
    </w:pPr>
    <w:rPr>
      <w:rFonts w:ascii="Calibri" w:hAnsi="Calibri" w:eastAsia="宋体" w:cs="Times New Roman"/>
      <w:sz w:val="22"/>
      <w:szCs w:val="22"/>
      <w:lang w:val="en-US" w:eastAsia="en-US" w:bidi="ar-SA"/>
    </w:rPr>
  </w:style>
  <w:style w:type="paragraph" w:customStyle="1" w:styleId="340">
    <w:name w:val="E2DBBDFB5F70480CA0089FAFAB9A90D1"/>
    <w:qFormat/>
    <w:uiPriority w:val="99"/>
    <w:pPr>
      <w:spacing w:after="200" w:line="276" w:lineRule="auto"/>
    </w:pPr>
    <w:rPr>
      <w:rFonts w:ascii="Calibri" w:hAnsi="Calibri" w:eastAsia="宋体" w:cs="Times New Roman"/>
      <w:sz w:val="22"/>
      <w:szCs w:val="22"/>
      <w:lang w:val="en-US" w:eastAsia="en-US" w:bidi="ar-SA"/>
    </w:rPr>
  </w:style>
  <w:style w:type="paragraph" w:customStyle="1" w:styleId="341">
    <w:name w:val="8F2E5FBB1D404C24950A7CF600372E96"/>
    <w:qFormat/>
    <w:uiPriority w:val="99"/>
    <w:pPr>
      <w:spacing w:after="200" w:line="276" w:lineRule="auto"/>
    </w:pPr>
    <w:rPr>
      <w:rFonts w:ascii="Calibri" w:hAnsi="Calibri" w:eastAsia="宋体" w:cs="Times New Roman"/>
      <w:sz w:val="22"/>
      <w:szCs w:val="22"/>
      <w:lang w:val="en-US" w:eastAsia="en-US" w:bidi="ar-SA"/>
    </w:rPr>
  </w:style>
  <w:style w:type="paragraph" w:customStyle="1" w:styleId="342">
    <w:name w:val="61149E23CE4A482DAA4C830FFFA04A57"/>
    <w:qFormat/>
    <w:uiPriority w:val="99"/>
    <w:pPr>
      <w:spacing w:after="200" w:line="276" w:lineRule="auto"/>
    </w:pPr>
    <w:rPr>
      <w:rFonts w:ascii="Calibri" w:hAnsi="Calibri" w:eastAsia="宋体" w:cs="Times New Roman"/>
      <w:sz w:val="22"/>
      <w:szCs w:val="22"/>
      <w:lang w:val="en-US" w:eastAsia="en-US" w:bidi="ar-SA"/>
    </w:rPr>
  </w:style>
  <w:style w:type="paragraph" w:customStyle="1" w:styleId="343">
    <w:name w:val="55321F65844F43039D0A62051FDF3209"/>
    <w:qFormat/>
    <w:uiPriority w:val="99"/>
    <w:pPr>
      <w:spacing w:after="200" w:line="276" w:lineRule="auto"/>
    </w:pPr>
    <w:rPr>
      <w:rFonts w:ascii="Calibri" w:hAnsi="Calibri" w:eastAsia="宋体" w:cs="Times New Roman"/>
      <w:sz w:val="22"/>
      <w:szCs w:val="22"/>
      <w:lang w:val="en-US" w:eastAsia="en-US" w:bidi="ar-SA"/>
    </w:rPr>
  </w:style>
  <w:style w:type="paragraph" w:customStyle="1" w:styleId="344">
    <w:name w:val="空白(三栏)1"/>
    <w:qFormat/>
    <w:uiPriority w:val="99"/>
    <w:pPr>
      <w:tabs>
        <w:tab w:val="center" w:pos="4680"/>
        <w:tab w:val="right" w:pos="9360"/>
      </w:tabs>
    </w:pPr>
    <w:rPr>
      <w:rFonts w:ascii="Calibri" w:hAnsi="Calibri" w:eastAsia="宋体" w:cs="Times New Roman"/>
      <w:sz w:val="22"/>
      <w:szCs w:val="22"/>
      <w:lang w:val="en-US" w:eastAsia="zh-CN" w:bidi="ar-SA"/>
    </w:rPr>
  </w:style>
  <w:style w:type="paragraph" w:customStyle="1" w:styleId="345">
    <w:name w:val="强调条 1"/>
    <w:qFormat/>
    <w:uiPriority w:val="99"/>
    <w:pPr>
      <w:spacing w:after="200" w:line="276" w:lineRule="auto"/>
    </w:pPr>
    <w:rPr>
      <w:rFonts w:ascii="Calibri" w:hAnsi="Calibri" w:eastAsia="宋体" w:cs="Times New Roman"/>
      <w:sz w:val="22"/>
      <w:szCs w:val="22"/>
      <w:lang w:val="en-US" w:eastAsia="zh-CN" w:bidi="ar-SA"/>
    </w:rPr>
  </w:style>
  <w:style w:type="paragraph" w:customStyle="1" w:styleId="346">
    <w:name w:val="强调条 2"/>
    <w:qFormat/>
    <w:uiPriority w:val="99"/>
    <w:pPr>
      <w:spacing w:after="200" w:line="276" w:lineRule="auto"/>
    </w:pPr>
    <w:rPr>
      <w:rFonts w:ascii="Calibri" w:hAnsi="Calibri" w:eastAsia="宋体" w:cs="Times New Roman"/>
      <w:sz w:val="22"/>
      <w:szCs w:val="22"/>
      <w:lang w:val="en-US" w:eastAsia="zh-CN" w:bidi="ar-SA"/>
    </w:rPr>
  </w:style>
  <w:style w:type="paragraph" w:customStyle="1" w:styleId="347">
    <w:name w:val="强调条 3"/>
    <w:qFormat/>
    <w:uiPriority w:val="99"/>
    <w:pPr>
      <w:spacing w:after="200" w:line="276" w:lineRule="auto"/>
    </w:pPr>
    <w:rPr>
      <w:rFonts w:ascii="Calibri" w:hAnsi="Calibri" w:eastAsia="宋体" w:cs="Times New Roman"/>
      <w:sz w:val="22"/>
      <w:szCs w:val="22"/>
      <w:lang w:val="en-US" w:eastAsia="zh-CN" w:bidi="ar-SA"/>
    </w:rPr>
  </w:style>
  <w:style w:type="paragraph" w:customStyle="1" w:styleId="348">
    <w:name w:val="方括号"/>
    <w:qFormat/>
    <w:uiPriority w:val="99"/>
    <w:pPr>
      <w:spacing w:after="200" w:line="276" w:lineRule="auto"/>
    </w:pPr>
    <w:rPr>
      <w:rFonts w:ascii="Calibri" w:hAnsi="Calibri" w:eastAsia="宋体" w:cs="Times New Roman"/>
      <w:sz w:val="22"/>
      <w:szCs w:val="22"/>
      <w:lang w:val="en-US" w:eastAsia="zh-CN" w:bidi="ar-SA"/>
    </w:rPr>
  </w:style>
  <w:style w:type="paragraph" w:customStyle="1" w:styleId="349">
    <w:name w:val="圆点"/>
    <w:qFormat/>
    <w:uiPriority w:val="99"/>
    <w:pPr>
      <w:spacing w:after="200" w:line="276" w:lineRule="auto"/>
    </w:pPr>
    <w:rPr>
      <w:rFonts w:ascii="Calibri" w:hAnsi="Calibri" w:eastAsia="宋体" w:cs="Times New Roman"/>
      <w:sz w:val="22"/>
      <w:szCs w:val="22"/>
      <w:lang w:val="en-US" w:eastAsia="zh-CN" w:bidi="ar-SA"/>
    </w:rPr>
  </w:style>
  <w:style w:type="paragraph" w:customStyle="1" w:styleId="350">
    <w:name w:val="大型倾斜"/>
    <w:qFormat/>
    <w:uiPriority w:val="99"/>
    <w:pPr>
      <w:spacing w:after="200" w:line="276" w:lineRule="auto"/>
    </w:pPr>
    <w:rPr>
      <w:rFonts w:ascii="Calibri" w:hAnsi="Calibri" w:eastAsia="宋体" w:cs="Times New Roman"/>
      <w:sz w:val="22"/>
      <w:szCs w:val="22"/>
      <w:lang w:val="en-US" w:eastAsia="zh-CN" w:bidi="ar-SA"/>
    </w:rPr>
  </w:style>
  <w:style w:type="paragraph" w:customStyle="1" w:styleId="351">
    <w:name w:val="大型彩色"/>
    <w:qFormat/>
    <w:uiPriority w:val="99"/>
    <w:pPr>
      <w:spacing w:after="200" w:line="276" w:lineRule="auto"/>
    </w:pPr>
    <w:rPr>
      <w:rFonts w:ascii="Calibri" w:hAnsi="Calibri" w:eastAsia="宋体" w:cs="Times New Roman"/>
      <w:sz w:val="22"/>
      <w:szCs w:val="22"/>
      <w:lang w:val="en-US" w:eastAsia="zh-CN" w:bidi="ar-SA"/>
    </w:rPr>
  </w:style>
  <w:style w:type="paragraph" w:customStyle="1" w:styleId="352">
    <w:name w:val="镶嵌图案"/>
    <w:qFormat/>
    <w:uiPriority w:val="99"/>
    <w:pPr>
      <w:spacing w:after="200" w:line="276" w:lineRule="auto"/>
    </w:pPr>
    <w:rPr>
      <w:rFonts w:ascii="Calibri" w:hAnsi="Calibri" w:eastAsia="宋体" w:cs="Times New Roman"/>
      <w:sz w:val="22"/>
      <w:szCs w:val="22"/>
      <w:lang w:val="en-US" w:eastAsia="zh-CN" w:bidi="ar-SA"/>
    </w:rPr>
  </w:style>
  <w:style w:type="paragraph" w:customStyle="1" w:styleId="353">
    <w:name w:val="页码 1"/>
    <w:qFormat/>
    <w:uiPriority w:val="99"/>
    <w:pPr>
      <w:spacing w:after="200" w:line="276" w:lineRule="auto"/>
    </w:pPr>
    <w:rPr>
      <w:rFonts w:ascii="Calibri" w:hAnsi="Calibri" w:eastAsia="宋体" w:cs="Times New Roman"/>
      <w:sz w:val="22"/>
      <w:szCs w:val="22"/>
      <w:lang w:val="en-US" w:eastAsia="zh-CN" w:bidi="ar-SA"/>
    </w:rPr>
  </w:style>
  <w:style w:type="paragraph" w:customStyle="1" w:styleId="354">
    <w:name w:val="普通数字"/>
    <w:qFormat/>
    <w:uiPriority w:val="99"/>
    <w:pPr>
      <w:spacing w:after="200" w:line="276" w:lineRule="auto"/>
    </w:pPr>
    <w:rPr>
      <w:rFonts w:ascii="Calibri" w:hAnsi="Calibri" w:eastAsia="宋体" w:cs="Times New Roman"/>
      <w:sz w:val="22"/>
      <w:szCs w:val="22"/>
      <w:lang w:val="en-US" w:eastAsia="zh-CN" w:bidi="ar-SA"/>
    </w:rPr>
  </w:style>
  <w:style w:type="paragraph" w:customStyle="1" w:styleId="355">
    <w:name w:val="罗马"/>
    <w:qFormat/>
    <w:uiPriority w:val="99"/>
    <w:pPr>
      <w:spacing w:after="200" w:line="276" w:lineRule="auto"/>
    </w:pPr>
    <w:rPr>
      <w:rFonts w:ascii="Calibri" w:hAnsi="Calibri" w:eastAsia="宋体" w:cs="Times New Roman"/>
      <w:sz w:val="22"/>
      <w:szCs w:val="22"/>
      <w:lang w:val="en-US" w:eastAsia="zh-CN" w:bidi="ar-SA"/>
    </w:rPr>
  </w:style>
  <w:style w:type="paragraph" w:customStyle="1" w:styleId="356">
    <w:name w:val="圆角矩形"/>
    <w:qFormat/>
    <w:uiPriority w:val="99"/>
    <w:pPr>
      <w:spacing w:after="200" w:line="276" w:lineRule="auto"/>
    </w:pPr>
    <w:rPr>
      <w:rFonts w:ascii="Calibri" w:hAnsi="Calibri" w:eastAsia="宋体" w:cs="Times New Roman"/>
      <w:sz w:val="22"/>
      <w:szCs w:val="22"/>
      <w:lang w:val="en-US" w:eastAsia="zh-CN" w:bidi="ar-SA"/>
    </w:rPr>
  </w:style>
  <w:style w:type="paragraph" w:customStyle="1" w:styleId="357">
    <w:name w:val="颚化符"/>
    <w:qFormat/>
    <w:uiPriority w:val="99"/>
    <w:pPr>
      <w:spacing w:after="200" w:line="276" w:lineRule="auto"/>
    </w:pPr>
    <w:rPr>
      <w:rFonts w:ascii="Calibri" w:hAnsi="Calibri" w:eastAsia="宋体" w:cs="Times New Roman"/>
      <w:sz w:val="22"/>
      <w:szCs w:val="22"/>
      <w:lang w:val="en-US" w:eastAsia="zh-CN" w:bidi="ar-SA"/>
    </w:rPr>
  </w:style>
  <w:style w:type="paragraph" w:customStyle="1" w:styleId="358">
    <w:name w:val="顶线"/>
    <w:qFormat/>
    <w:uiPriority w:val="99"/>
    <w:pPr>
      <w:spacing w:after="200" w:line="276" w:lineRule="auto"/>
    </w:pPr>
    <w:rPr>
      <w:rFonts w:ascii="Calibri" w:hAnsi="Calibri" w:eastAsia="宋体" w:cs="Times New Roman"/>
      <w:sz w:val="22"/>
      <w:szCs w:val="22"/>
      <w:lang w:val="en-US" w:eastAsia="zh-CN" w:bidi="ar-SA"/>
    </w:rPr>
  </w:style>
  <w:style w:type="paragraph" w:customStyle="1" w:styleId="359">
    <w:name w:val="双线条"/>
    <w:qFormat/>
    <w:uiPriority w:val="99"/>
    <w:pPr>
      <w:spacing w:after="200" w:line="276" w:lineRule="auto"/>
    </w:pPr>
    <w:rPr>
      <w:rFonts w:ascii="Calibri" w:hAnsi="Calibri" w:eastAsia="宋体" w:cs="Times New Roman"/>
      <w:sz w:val="22"/>
      <w:szCs w:val="22"/>
      <w:lang w:val="en-US" w:eastAsia="zh-CN" w:bidi="ar-SA"/>
    </w:rPr>
  </w:style>
  <w:style w:type="paragraph" w:customStyle="1" w:styleId="360">
    <w:name w:val="箭头 1"/>
    <w:qFormat/>
    <w:uiPriority w:val="99"/>
    <w:pPr>
      <w:tabs>
        <w:tab w:val="center" w:pos="4320"/>
        <w:tab w:val="right" w:pos="8640"/>
      </w:tabs>
      <w:spacing w:after="200" w:line="276" w:lineRule="auto"/>
    </w:pPr>
    <w:rPr>
      <w:rFonts w:ascii="Calibri" w:hAnsi="Calibri" w:eastAsia="宋体" w:cs="Times New Roman"/>
      <w:sz w:val="22"/>
      <w:szCs w:val="22"/>
      <w:lang w:val="en-US" w:eastAsia="zh-CN" w:bidi="ar-SA"/>
    </w:rPr>
  </w:style>
  <w:style w:type="paragraph" w:customStyle="1" w:styleId="361">
    <w:name w:val="箭头 2"/>
    <w:qFormat/>
    <w:uiPriority w:val="99"/>
    <w:pPr>
      <w:tabs>
        <w:tab w:val="center" w:pos="4320"/>
        <w:tab w:val="right" w:pos="8640"/>
      </w:tabs>
      <w:spacing w:after="200" w:line="276" w:lineRule="auto"/>
    </w:pPr>
    <w:rPr>
      <w:rFonts w:ascii="Calibri" w:hAnsi="Calibri" w:eastAsia="宋体" w:cs="Times New Roman"/>
      <w:sz w:val="22"/>
      <w:szCs w:val="22"/>
      <w:lang w:val="en-US" w:eastAsia="zh-CN" w:bidi="ar-SA"/>
    </w:rPr>
  </w:style>
  <w:style w:type="paragraph" w:customStyle="1" w:styleId="362">
    <w:name w:val="框中倾斜 1"/>
    <w:qFormat/>
    <w:uiPriority w:val="99"/>
    <w:pPr>
      <w:tabs>
        <w:tab w:val="center" w:pos="4320"/>
        <w:tab w:val="right" w:pos="8640"/>
      </w:tabs>
    </w:pPr>
    <w:rPr>
      <w:rFonts w:ascii="Calibri" w:hAnsi="Calibri" w:eastAsia="宋体" w:cs="Times New Roman"/>
      <w:sz w:val="22"/>
      <w:szCs w:val="22"/>
      <w:lang w:val="en-US" w:eastAsia="zh-CN" w:bidi="ar-SA"/>
    </w:rPr>
  </w:style>
  <w:style w:type="paragraph" w:customStyle="1" w:styleId="363">
    <w:name w:val="框中倾斜 2"/>
    <w:qFormat/>
    <w:uiPriority w:val="99"/>
    <w:pPr>
      <w:tabs>
        <w:tab w:val="center" w:pos="4320"/>
        <w:tab w:val="right" w:pos="8640"/>
      </w:tabs>
    </w:pPr>
    <w:rPr>
      <w:rFonts w:ascii="Calibri" w:hAnsi="Calibri" w:eastAsia="宋体" w:cs="Times New Roman"/>
      <w:sz w:val="22"/>
      <w:szCs w:val="22"/>
      <w:lang w:val="en-US" w:eastAsia="zh-CN" w:bidi="ar-SA"/>
    </w:rPr>
  </w:style>
  <w:style w:type="paragraph" w:customStyle="1" w:styleId="364">
    <w:name w:val="方括号 2"/>
    <w:qFormat/>
    <w:uiPriority w:val="99"/>
    <w:pPr>
      <w:tabs>
        <w:tab w:val="center" w:pos="4320"/>
        <w:tab w:val="right" w:pos="8640"/>
      </w:tabs>
    </w:pPr>
    <w:rPr>
      <w:rFonts w:ascii="Calibri" w:hAnsi="Calibri" w:eastAsia="宋体" w:cs="Times New Roman"/>
      <w:sz w:val="22"/>
      <w:szCs w:val="22"/>
      <w:lang w:val="en-US" w:eastAsia="zh-CN" w:bidi="ar-SA"/>
    </w:rPr>
  </w:style>
  <w:style w:type="paragraph" w:customStyle="1" w:styleId="365">
    <w:name w:val="书的折角"/>
    <w:qFormat/>
    <w:uiPriority w:val="99"/>
    <w:pPr>
      <w:tabs>
        <w:tab w:val="center" w:pos="4680"/>
        <w:tab w:val="right" w:pos="9360"/>
      </w:tabs>
    </w:pPr>
    <w:rPr>
      <w:rFonts w:ascii="Calibri" w:hAnsi="Calibri" w:eastAsia="宋体" w:cs="Times New Roman"/>
      <w:sz w:val="22"/>
      <w:szCs w:val="22"/>
      <w:lang w:val="en-US" w:eastAsia="zh-CN" w:bidi="ar-SA"/>
    </w:rPr>
  </w:style>
  <w:style w:type="paragraph" w:customStyle="1" w:styleId="366">
    <w:name w:val="大型 1"/>
    <w:qFormat/>
    <w:uiPriority w:val="99"/>
    <w:pPr>
      <w:tabs>
        <w:tab w:val="center" w:pos="4320"/>
        <w:tab w:val="right" w:pos="8640"/>
      </w:tabs>
      <w:spacing w:after="200" w:line="276" w:lineRule="auto"/>
    </w:pPr>
    <w:rPr>
      <w:rFonts w:ascii="Calibri" w:hAnsi="Calibri" w:eastAsia="宋体" w:cs="Times New Roman"/>
      <w:sz w:val="22"/>
      <w:szCs w:val="22"/>
      <w:lang w:val="en-US" w:eastAsia="zh-CN" w:bidi="ar-SA"/>
    </w:rPr>
  </w:style>
  <w:style w:type="paragraph" w:customStyle="1" w:styleId="367">
    <w:name w:val="大型 2"/>
    <w:qFormat/>
    <w:uiPriority w:val="99"/>
    <w:pPr>
      <w:tabs>
        <w:tab w:val="center" w:pos="4320"/>
        <w:tab w:val="right" w:pos="8640"/>
      </w:tabs>
      <w:spacing w:after="200" w:line="276" w:lineRule="auto"/>
    </w:pPr>
    <w:rPr>
      <w:rFonts w:ascii="Calibri" w:hAnsi="Calibri" w:eastAsia="宋体" w:cs="Times New Roman"/>
      <w:sz w:val="22"/>
      <w:szCs w:val="22"/>
      <w:lang w:val="en-US" w:eastAsia="zh-CN" w:bidi="ar-SA"/>
    </w:rPr>
  </w:style>
  <w:style w:type="paragraph" w:customStyle="1" w:styleId="368">
    <w:name w:val="镶嵌图案 1"/>
    <w:qFormat/>
    <w:uiPriority w:val="99"/>
    <w:pPr>
      <w:spacing w:after="200" w:line="276" w:lineRule="auto"/>
    </w:pPr>
    <w:rPr>
      <w:rFonts w:ascii="Calibri" w:hAnsi="Calibri" w:eastAsia="宋体" w:cs="Times New Roman"/>
      <w:sz w:val="22"/>
      <w:szCs w:val="22"/>
      <w:lang w:val="en-US" w:eastAsia="zh-CN" w:bidi="ar-SA"/>
    </w:rPr>
  </w:style>
  <w:style w:type="paragraph" w:customStyle="1" w:styleId="369">
    <w:name w:val="镶嵌图案 2"/>
    <w:qFormat/>
    <w:uiPriority w:val="99"/>
    <w:pPr>
      <w:spacing w:after="200" w:line="276" w:lineRule="auto"/>
    </w:pPr>
    <w:rPr>
      <w:rFonts w:ascii="Calibri" w:hAnsi="Calibri" w:eastAsia="宋体" w:cs="Times New Roman"/>
      <w:sz w:val="22"/>
      <w:szCs w:val="22"/>
      <w:lang w:val="en-US" w:eastAsia="zh-CN" w:bidi="ar-SA"/>
    </w:rPr>
  </w:style>
  <w:style w:type="paragraph" w:customStyle="1" w:styleId="370">
    <w:name w:val="镶嵌图案 3"/>
    <w:qFormat/>
    <w:uiPriority w:val="99"/>
    <w:pPr>
      <w:spacing w:after="200" w:line="276" w:lineRule="auto"/>
    </w:pPr>
    <w:rPr>
      <w:rFonts w:ascii="Calibri" w:hAnsi="Calibri" w:eastAsia="宋体" w:cs="Times New Roman"/>
      <w:sz w:val="22"/>
      <w:szCs w:val="22"/>
      <w:lang w:val="en-US" w:eastAsia="zh-CN" w:bidi="ar-SA"/>
    </w:rPr>
  </w:style>
  <w:style w:type="paragraph" w:customStyle="1" w:styleId="371">
    <w:name w:val="轮廓圆 1"/>
    <w:qFormat/>
    <w:uiPriority w:val="99"/>
    <w:pPr>
      <w:tabs>
        <w:tab w:val="center" w:pos="4320"/>
        <w:tab w:val="right" w:pos="8640"/>
      </w:tabs>
    </w:pPr>
    <w:rPr>
      <w:rFonts w:ascii="Calibri" w:hAnsi="Calibri" w:eastAsia="宋体" w:cs="Times New Roman"/>
      <w:sz w:val="22"/>
      <w:szCs w:val="22"/>
      <w:lang w:val="en-US" w:eastAsia="zh-CN" w:bidi="ar-SA"/>
    </w:rPr>
  </w:style>
  <w:style w:type="paragraph" w:customStyle="1" w:styleId="372">
    <w:name w:val="轮廓圆 2"/>
    <w:qFormat/>
    <w:uiPriority w:val="99"/>
    <w:pPr>
      <w:tabs>
        <w:tab w:val="center" w:pos="4320"/>
        <w:tab w:val="right" w:pos="8640"/>
      </w:tabs>
    </w:pPr>
    <w:rPr>
      <w:rFonts w:ascii="Calibri" w:hAnsi="Calibri" w:eastAsia="宋体" w:cs="Times New Roman"/>
      <w:sz w:val="22"/>
      <w:szCs w:val="22"/>
      <w:lang w:val="en-US" w:eastAsia="zh-CN" w:bidi="ar-SA"/>
    </w:rPr>
  </w:style>
  <w:style w:type="paragraph" w:customStyle="1" w:styleId="373">
    <w:name w:val="轮廓圆 3"/>
    <w:qFormat/>
    <w:uiPriority w:val="99"/>
    <w:pPr>
      <w:tabs>
        <w:tab w:val="center" w:pos="4320"/>
        <w:tab w:val="right" w:pos="8640"/>
      </w:tabs>
    </w:pPr>
    <w:rPr>
      <w:rFonts w:ascii="Calibri" w:hAnsi="Calibri" w:eastAsia="宋体" w:cs="Times New Roman"/>
      <w:sz w:val="22"/>
      <w:szCs w:val="22"/>
      <w:lang w:val="en-US" w:eastAsia="zh-CN" w:bidi="ar-SA"/>
    </w:rPr>
  </w:style>
  <w:style w:type="paragraph" w:customStyle="1" w:styleId="374">
    <w:name w:val="带状物"/>
    <w:qFormat/>
    <w:uiPriority w:val="99"/>
    <w:pPr>
      <w:tabs>
        <w:tab w:val="center" w:pos="4320"/>
        <w:tab w:val="right" w:pos="8640"/>
      </w:tabs>
      <w:spacing w:after="200" w:line="276" w:lineRule="auto"/>
    </w:pPr>
    <w:rPr>
      <w:rFonts w:ascii="Calibri" w:hAnsi="Calibri" w:eastAsia="宋体" w:cs="Times New Roman"/>
      <w:sz w:val="22"/>
      <w:szCs w:val="22"/>
      <w:lang w:val="en-US" w:eastAsia="zh-CN" w:bidi="ar-SA"/>
    </w:rPr>
  </w:style>
  <w:style w:type="paragraph" w:customStyle="1" w:styleId="375">
    <w:name w:val="方框 1"/>
    <w:qFormat/>
    <w:uiPriority w:val="99"/>
    <w:pPr>
      <w:spacing w:after="200" w:line="276" w:lineRule="auto"/>
    </w:pPr>
    <w:rPr>
      <w:rFonts w:ascii="Calibri" w:hAnsi="Calibri" w:eastAsia="宋体" w:cs="Times New Roman"/>
      <w:sz w:val="22"/>
      <w:szCs w:val="22"/>
      <w:lang w:val="en-US" w:eastAsia="zh-CN" w:bidi="ar-SA"/>
    </w:rPr>
  </w:style>
  <w:style w:type="paragraph" w:customStyle="1" w:styleId="376">
    <w:name w:val="方框 2"/>
    <w:qFormat/>
    <w:uiPriority w:val="99"/>
    <w:pPr>
      <w:tabs>
        <w:tab w:val="center" w:pos="4320"/>
        <w:tab w:val="right" w:pos="8640"/>
      </w:tabs>
    </w:pPr>
    <w:rPr>
      <w:rFonts w:ascii="Calibri" w:hAnsi="Calibri" w:eastAsia="宋体" w:cs="Times New Roman"/>
      <w:sz w:val="22"/>
      <w:szCs w:val="22"/>
      <w:lang w:val="en-US" w:eastAsia="zh-CN" w:bidi="ar-SA"/>
    </w:rPr>
  </w:style>
  <w:style w:type="paragraph" w:customStyle="1" w:styleId="377">
    <w:name w:val="方框 3"/>
    <w:qFormat/>
    <w:uiPriority w:val="99"/>
    <w:pPr>
      <w:spacing w:after="200" w:line="276" w:lineRule="auto"/>
    </w:pPr>
    <w:rPr>
      <w:rFonts w:ascii="Calibri" w:hAnsi="Calibri" w:eastAsia="宋体" w:cs="Times New Roman"/>
      <w:sz w:val="22"/>
      <w:szCs w:val="22"/>
      <w:lang w:val="en-US" w:eastAsia="zh-CN" w:bidi="ar-SA"/>
    </w:rPr>
  </w:style>
  <w:style w:type="paragraph" w:customStyle="1" w:styleId="378">
    <w:name w:val="堆叠纸张 1"/>
    <w:qFormat/>
    <w:uiPriority w:val="99"/>
    <w:pPr>
      <w:tabs>
        <w:tab w:val="center" w:pos="4320"/>
        <w:tab w:val="right" w:pos="8640"/>
      </w:tabs>
      <w:spacing w:after="200" w:line="276" w:lineRule="auto"/>
    </w:pPr>
    <w:rPr>
      <w:rFonts w:ascii="Calibri" w:hAnsi="Calibri" w:eastAsia="宋体" w:cs="Times New Roman"/>
      <w:sz w:val="22"/>
      <w:szCs w:val="22"/>
      <w:lang w:val="en-US" w:eastAsia="zh-CN" w:bidi="ar-SA"/>
    </w:rPr>
  </w:style>
  <w:style w:type="paragraph" w:customStyle="1" w:styleId="379">
    <w:name w:val="堆叠纸张 2"/>
    <w:qFormat/>
    <w:uiPriority w:val="99"/>
    <w:pPr>
      <w:tabs>
        <w:tab w:val="center" w:pos="4320"/>
        <w:tab w:val="right" w:pos="8640"/>
      </w:tabs>
      <w:spacing w:after="200" w:line="276" w:lineRule="auto"/>
    </w:pPr>
    <w:rPr>
      <w:rFonts w:ascii="Calibri" w:hAnsi="Calibri" w:eastAsia="宋体" w:cs="Times New Roman"/>
      <w:sz w:val="22"/>
      <w:szCs w:val="22"/>
      <w:lang w:val="en-US" w:eastAsia="zh-CN" w:bidi="ar-SA"/>
    </w:rPr>
  </w:style>
  <w:style w:type="paragraph" w:customStyle="1" w:styleId="380">
    <w:name w:val="星形"/>
    <w:qFormat/>
    <w:uiPriority w:val="99"/>
    <w:pPr>
      <w:tabs>
        <w:tab w:val="center" w:pos="4320"/>
        <w:tab w:val="right" w:pos="8640"/>
      </w:tabs>
      <w:spacing w:after="200" w:line="276" w:lineRule="auto"/>
    </w:pPr>
    <w:rPr>
      <w:rFonts w:ascii="Calibri" w:hAnsi="Calibri" w:eastAsia="宋体" w:cs="Times New Roman"/>
      <w:sz w:val="22"/>
      <w:szCs w:val="22"/>
      <w:lang w:val="en-US" w:eastAsia="zh-CN" w:bidi="ar-SA"/>
    </w:rPr>
  </w:style>
  <w:style w:type="paragraph" w:customStyle="1" w:styleId="381">
    <w:name w:val="标签 1"/>
    <w:qFormat/>
    <w:uiPriority w:val="99"/>
    <w:pPr>
      <w:tabs>
        <w:tab w:val="center" w:pos="4320"/>
        <w:tab w:val="right" w:pos="8640"/>
      </w:tabs>
      <w:spacing w:after="200" w:line="276" w:lineRule="auto"/>
    </w:pPr>
    <w:rPr>
      <w:rFonts w:ascii="Calibri" w:hAnsi="Calibri" w:eastAsia="宋体" w:cs="Times New Roman"/>
      <w:sz w:val="22"/>
      <w:szCs w:val="22"/>
      <w:lang w:val="en-US" w:eastAsia="zh-CN" w:bidi="ar-SA"/>
    </w:rPr>
  </w:style>
  <w:style w:type="paragraph" w:customStyle="1" w:styleId="382">
    <w:name w:val="标签 2"/>
    <w:qFormat/>
    <w:uiPriority w:val="99"/>
    <w:pPr>
      <w:tabs>
        <w:tab w:val="center" w:pos="4320"/>
        <w:tab w:val="right" w:pos="8640"/>
      </w:tabs>
      <w:spacing w:after="200" w:line="276" w:lineRule="auto"/>
    </w:pPr>
    <w:rPr>
      <w:rFonts w:ascii="Calibri" w:hAnsi="Calibri" w:eastAsia="宋体" w:cs="Times New Roman"/>
      <w:sz w:val="22"/>
      <w:szCs w:val="22"/>
      <w:lang w:val="en-US" w:eastAsia="zh-CN" w:bidi="ar-SA"/>
    </w:rPr>
  </w:style>
  <w:style w:type="paragraph" w:customStyle="1" w:styleId="383">
    <w:name w:val="顶线 1"/>
    <w:qFormat/>
    <w:uiPriority w:val="99"/>
    <w:pPr>
      <w:tabs>
        <w:tab w:val="center" w:pos="4680"/>
        <w:tab w:val="right" w:pos="9360"/>
      </w:tabs>
    </w:pPr>
    <w:rPr>
      <w:rFonts w:ascii="Calibri" w:hAnsi="Calibri" w:eastAsia="宋体" w:cs="Times New Roman"/>
      <w:sz w:val="22"/>
      <w:szCs w:val="22"/>
      <w:lang w:val="en-US" w:eastAsia="zh-CN" w:bidi="ar-SA"/>
    </w:rPr>
  </w:style>
  <w:style w:type="paragraph" w:customStyle="1" w:styleId="384">
    <w:name w:val="顶线 2"/>
    <w:qFormat/>
    <w:uiPriority w:val="99"/>
    <w:pPr>
      <w:spacing w:after="200" w:line="276" w:lineRule="auto"/>
    </w:pPr>
    <w:rPr>
      <w:rFonts w:ascii="Calibri" w:hAnsi="Calibri" w:eastAsia="宋体" w:cs="Times New Roman"/>
      <w:sz w:val="22"/>
      <w:szCs w:val="22"/>
      <w:lang w:val="en-US" w:eastAsia="zh-CN" w:bidi="ar-SA"/>
    </w:rPr>
  </w:style>
  <w:style w:type="paragraph" w:customStyle="1" w:styleId="385">
    <w:name w:val="椭圆"/>
    <w:qFormat/>
    <w:uiPriority w:val="99"/>
    <w:pPr>
      <w:tabs>
        <w:tab w:val="center" w:pos="4320"/>
        <w:tab w:val="right" w:pos="8640"/>
      </w:tabs>
      <w:spacing w:after="200" w:line="276" w:lineRule="auto"/>
    </w:pPr>
    <w:rPr>
      <w:rFonts w:ascii="Calibri" w:hAnsi="Calibri" w:eastAsia="宋体" w:cs="Times New Roman"/>
      <w:sz w:val="22"/>
      <w:szCs w:val="22"/>
      <w:lang w:val="en-US" w:eastAsia="zh-CN" w:bidi="ar-SA"/>
    </w:rPr>
  </w:style>
  <w:style w:type="paragraph" w:customStyle="1" w:styleId="386">
    <w:name w:val="卷形"/>
    <w:qFormat/>
    <w:uiPriority w:val="99"/>
    <w:pPr>
      <w:tabs>
        <w:tab w:val="center" w:pos="4320"/>
        <w:tab w:val="right" w:pos="8640"/>
      </w:tabs>
      <w:spacing w:after="200" w:line="276" w:lineRule="auto"/>
    </w:pPr>
    <w:rPr>
      <w:rFonts w:ascii="Calibri" w:hAnsi="Calibri" w:eastAsia="宋体" w:cs="Times New Roman"/>
      <w:sz w:val="22"/>
      <w:szCs w:val="22"/>
      <w:lang w:val="en-US" w:eastAsia="zh-CN" w:bidi="ar-SA"/>
    </w:rPr>
  </w:style>
  <w:style w:type="paragraph" w:customStyle="1" w:styleId="387">
    <w:name w:val="三角形 1"/>
    <w:qFormat/>
    <w:uiPriority w:val="99"/>
    <w:pPr>
      <w:tabs>
        <w:tab w:val="center" w:pos="4320"/>
        <w:tab w:val="right" w:pos="8640"/>
      </w:tabs>
      <w:spacing w:after="200" w:line="276" w:lineRule="auto"/>
    </w:pPr>
    <w:rPr>
      <w:rFonts w:ascii="Calibri" w:hAnsi="Calibri" w:eastAsia="宋体" w:cs="Times New Roman"/>
      <w:sz w:val="22"/>
      <w:szCs w:val="22"/>
      <w:lang w:val="en-US" w:eastAsia="zh-CN" w:bidi="ar-SA"/>
    </w:rPr>
  </w:style>
  <w:style w:type="paragraph" w:customStyle="1" w:styleId="388">
    <w:name w:val="三角形 2"/>
    <w:qFormat/>
    <w:uiPriority w:val="99"/>
    <w:pPr>
      <w:tabs>
        <w:tab w:val="center" w:pos="4320"/>
        <w:tab w:val="right" w:pos="8640"/>
      </w:tabs>
      <w:spacing w:after="200" w:line="276" w:lineRule="auto"/>
    </w:pPr>
    <w:rPr>
      <w:rFonts w:ascii="Calibri" w:hAnsi="Calibri" w:eastAsia="宋体" w:cs="Times New Roman"/>
      <w:sz w:val="22"/>
      <w:szCs w:val="22"/>
      <w:lang w:val="en-US" w:eastAsia="zh-CN" w:bidi="ar-SA"/>
    </w:rPr>
  </w:style>
  <w:style w:type="paragraph" w:customStyle="1" w:styleId="389">
    <w:name w:val="双线条 1"/>
    <w:qFormat/>
    <w:uiPriority w:val="99"/>
    <w:pPr>
      <w:tabs>
        <w:tab w:val="center" w:pos="4320"/>
        <w:tab w:val="right" w:pos="8640"/>
      </w:tabs>
    </w:pPr>
    <w:rPr>
      <w:rFonts w:ascii="Calibri" w:hAnsi="Calibri" w:eastAsia="宋体" w:cs="Times New Roman"/>
      <w:sz w:val="22"/>
      <w:szCs w:val="22"/>
      <w:lang w:val="en-US" w:eastAsia="zh-CN" w:bidi="ar-SA"/>
    </w:rPr>
  </w:style>
  <w:style w:type="paragraph" w:customStyle="1" w:styleId="390">
    <w:name w:val="双线条 2"/>
    <w:qFormat/>
    <w:uiPriority w:val="99"/>
    <w:pPr>
      <w:tabs>
        <w:tab w:val="center" w:pos="4320"/>
        <w:tab w:val="right" w:pos="8640"/>
      </w:tabs>
    </w:pPr>
    <w:rPr>
      <w:rFonts w:ascii="Calibri" w:hAnsi="Calibri" w:eastAsia="宋体" w:cs="Times New Roman"/>
      <w:sz w:val="22"/>
      <w:szCs w:val="22"/>
      <w:lang w:val="en-US" w:eastAsia="zh-CN" w:bidi="ar-SA"/>
    </w:rPr>
  </w:style>
  <w:style w:type="paragraph" w:customStyle="1" w:styleId="391">
    <w:name w:val="纵向轮廓 1"/>
    <w:qFormat/>
    <w:uiPriority w:val="99"/>
    <w:pPr>
      <w:tabs>
        <w:tab w:val="center" w:pos="4680"/>
        <w:tab w:val="right" w:pos="9360"/>
      </w:tabs>
    </w:pPr>
    <w:rPr>
      <w:rFonts w:ascii="Calibri" w:hAnsi="Calibri" w:eastAsia="宋体" w:cs="Times New Roman"/>
      <w:sz w:val="22"/>
      <w:szCs w:val="22"/>
      <w:lang w:val="en-US" w:eastAsia="zh-CN" w:bidi="ar-SA"/>
    </w:rPr>
  </w:style>
  <w:style w:type="paragraph" w:customStyle="1" w:styleId="392">
    <w:name w:val="纵向轮廓 2"/>
    <w:qFormat/>
    <w:uiPriority w:val="99"/>
    <w:pPr>
      <w:tabs>
        <w:tab w:val="center" w:pos="4680"/>
        <w:tab w:val="right" w:pos="9360"/>
      </w:tabs>
    </w:pPr>
    <w:rPr>
      <w:rFonts w:ascii="Calibri" w:hAnsi="Calibri" w:eastAsia="宋体" w:cs="Times New Roman"/>
      <w:sz w:val="22"/>
      <w:szCs w:val="22"/>
      <w:lang w:val="en-US" w:eastAsia="zh-CN" w:bidi="ar-SA"/>
    </w:rPr>
  </w:style>
  <w:style w:type="paragraph" w:customStyle="1" w:styleId="393">
    <w:name w:val="强调条(左侧)"/>
    <w:qFormat/>
    <w:uiPriority w:val="99"/>
    <w:pPr>
      <w:spacing w:after="200" w:line="276" w:lineRule="auto"/>
    </w:pPr>
    <w:rPr>
      <w:rFonts w:ascii="Calibri" w:hAnsi="Calibri" w:eastAsia="宋体" w:cs="Times New Roman"/>
      <w:sz w:val="22"/>
      <w:szCs w:val="22"/>
      <w:lang w:val="en-US" w:eastAsia="zh-CN" w:bidi="ar-SA"/>
    </w:rPr>
  </w:style>
  <w:style w:type="paragraph" w:customStyle="1" w:styleId="394">
    <w:name w:val="强调条(右侧)"/>
    <w:qFormat/>
    <w:uiPriority w:val="99"/>
    <w:pPr>
      <w:spacing w:after="200" w:line="276" w:lineRule="auto"/>
    </w:pPr>
    <w:rPr>
      <w:rFonts w:ascii="Calibri" w:hAnsi="Calibri" w:eastAsia="宋体" w:cs="Times New Roman"/>
      <w:sz w:val="22"/>
      <w:szCs w:val="22"/>
      <w:lang w:val="en-US" w:eastAsia="zh-CN" w:bidi="ar-SA"/>
    </w:rPr>
  </w:style>
  <w:style w:type="paragraph" w:customStyle="1" w:styleId="395">
    <w:name w:val="箭头(左侧)"/>
    <w:qFormat/>
    <w:uiPriority w:val="99"/>
    <w:pPr>
      <w:tabs>
        <w:tab w:val="center" w:pos="4320"/>
        <w:tab w:val="right" w:pos="8640"/>
      </w:tabs>
      <w:spacing w:after="200" w:line="276" w:lineRule="auto"/>
    </w:pPr>
    <w:rPr>
      <w:rFonts w:ascii="Calibri" w:hAnsi="Calibri" w:eastAsia="宋体" w:cs="Times New Roman"/>
      <w:sz w:val="22"/>
      <w:szCs w:val="22"/>
      <w:lang w:val="en-US" w:eastAsia="zh-CN" w:bidi="ar-SA"/>
    </w:rPr>
  </w:style>
  <w:style w:type="paragraph" w:customStyle="1" w:styleId="396">
    <w:name w:val="箭头(右侧)"/>
    <w:qFormat/>
    <w:uiPriority w:val="99"/>
    <w:pPr>
      <w:tabs>
        <w:tab w:val="center" w:pos="4320"/>
        <w:tab w:val="right" w:pos="8640"/>
      </w:tabs>
      <w:spacing w:after="200" w:line="276" w:lineRule="auto"/>
    </w:pPr>
    <w:rPr>
      <w:rFonts w:ascii="Calibri" w:hAnsi="Calibri" w:eastAsia="宋体" w:cs="Times New Roman"/>
      <w:sz w:val="22"/>
      <w:szCs w:val="22"/>
      <w:lang w:val="en-US" w:eastAsia="zh-CN" w:bidi="ar-SA"/>
    </w:rPr>
  </w:style>
  <w:style w:type="paragraph" w:customStyle="1" w:styleId="397">
    <w:name w:val="框线(左侧)"/>
    <w:qFormat/>
    <w:uiPriority w:val="99"/>
    <w:pPr>
      <w:spacing w:after="200" w:line="276" w:lineRule="auto"/>
    </w:pPr>
    <w:rPr>
      <w:rFonts w:ascii="Calibri" w:hAnsi="Calibri" w:eastAsia="宋体" w:cs="Times New Roman"/>
      <w:sz w:val="22"/>
      <w:szCs w:val="22"/>
      <w:lang w:val="en-US" w:eastAsia="zh-CN" w:bidi="ar-SA"/>
    </w:rPr>
  </w:style>
  <w:style w:type="paragraph" w:customStyle="1" w:styleId="398">
    <w:name w:val="框线(右侧)"/>
    <w:qFormat/>
    <w:uiPriority w:val="99"/>
    <w:pPr>
      <w:spacing w:after="200" w:line="276" w:lineRule="auto"/>
    </w:pPr>
    <w:rPr>
      <w:rFonts w:ascii="Calibri" w:hAnsi="Calibri" w:eastAsia="宋体" w:cs="Times New Roman"/>
      <w:sz w:val="22"/>
      <w:szCs w:val="22"/>
      <w:lang w:val="en-US" w:eastAsia="zh-CN" w:bidi="ar-SA"/>
    </w:rPr>
  </w:style>
  <w:style w:type="paragraph" w:customStyle="1" w:styleId="399">
    <w:name w:val="圆(左侧)"/>
    <w:qFormat/>
    <w:uiPriority w:val="99"/>
    <w:pPr>
      <w:tabs>
        <w:tab w:val="center" w:pos="4320"/>
        <w:tab w:val="right" w:pos="8640"/>
      </w:tabs>
      <w:spacing w:after="200" w:line="276" w:lineRule="auto"/>
    </w:pPr>
    <w:rPr>
      <w:rFonts w:ascii="Calibri" w:hAnsi="Calibri" w:eastAsia="宋体" w:cs="Times New Roman"/>
      <w:sz w:val="22"/>
      <w:szCs w:val="22"/>
      <w:lang w:val="en-US" w:eastAsia="zh-CN" w:bidi="ar-SA"/>
    </w:rPr>
  </w:style>
  <w:style w:type="paragraph" w:customStyle="1" w:styleId="400">
    <w:name w:val="圆(右侧)"/>
    <w:qFormat/>
    <w:uiPriority w:val="99"/>
    <w:pPr>
      <w:spacing w:after="200" w:line="276" w:lineRule="auto"/>
    </w:pPr>
    <w:rPr>
      <w:rFonts w:ascii="Calibri" w:hAnsi="Calibri" w:eastAsia="宋体" w:cs="Times New Roman"/>
      <w:sz w:val="22"/>
      <w:szCs w:val="22"/>
      <w:lang w:val="en-US" w:eastAsia="zh-CN" w:bidi="ar-SA"/>
    </w:rPr>
  </w:style>
  <w:style w:type="paragraph" w:customStyle="1" w:styleId="401">
    <w:name w:val="大型(左侧)"/>
    <w:qFormat/>
    <w:uiPriority w:val="99"/>
    <w:pPr>
      <w:tabs>
        <w:tab w:val="center" w:pos="4320"/>
        <w:tab w:val="right" w:pos="8640"/>
      </w:tabs>
      <w:spacing w:after="200" w:line="276" w:lineRule="auto"/>
    </w:pPr>
    <w:rPr>
      <w:rFonts w:ascii="Calibri" w:hAnsi="Calibri" w:eastAsia="宋体" w:cs="Times New Roman"/>
      <w:sz w:val="22"/>
      <w:szCs w:val="22"/>
      <w:lang w:val="en-US" w:eastAsia="zh-CN" w:bidi="ar-SA"/>
    </w:rPr>
  </w:style>
  <w:style w:type="paragraph" w:customStyle="1" w:styleId="402">
    <w:name w:val="大型(右侧)"/>
    <w:qFormat/>
    <w:uiPriority w:val="99"/>
    <w:pPr>
      <w:tabs>
        <w:tab w:val="center" w:pos="4320"/>
        <w:tab w:val="right" w:pos="8640"/>
      </w:tabs>
      <w:spacing w:after="200" w:line="276" w:lineRule="auto"/>
    </w:pPr>
    <w:rPr>
      <w:rFonts w:ascii="Calibri" w:hAnsi="Calibri" w:eastAsia="宋体" w:cs="Times New Roman"/>
      <w:sz w:val="22"/>
      <w:szCs w:val="22"/>
      <w:lang w:val="en-US" w:eastAsia="zh-CN" w:bidi="ar-SA"/>
    </w:rPr>
  </w:style>
  <w:style w:type="paragraph" w:customStyle="1" w:styleId="403">
    <w:name w:val="轨道(左侧)"/>
    <w:qFormat/>
    <w:uiPriority w:val="99"/>
    <w:pPr>
      <w:tabs>
        <w:tab w:val="center" w:pos="4320"/>
        <w:tab w:val="right" w:pos="8640"/>
      </w:tabs>
    </w:pPr>
    <w:rPr>
      <w:rFonts w:ascii="Calibri" w:hAnsi="Calibri" w:eastAsia="宋体" w:cs="Times New Roman"/>
      <w:sz w:val="22"/>
      <w:szCs w:val="22"/>
      <w:lang w:val="en-US" w:eastAsia="zh-CN" w:bidi="ar-SA"/>
    </w:rPr>
  </w:style>
  <w:style w:type="paragraph" w:customStyle="1" w:styleId="404">
    <w:name w:val="轨道(右侧)"/>
    <w:qFormat/>
    <w:uiPriority w:val="99"/>
    <w:pPr>
      <w:tabs>
        <w:tab w:val="center" w:pos="4320"/>
        <w:tab w:val="right" w:pos="8640"/>
      </w:tabs>
    </w:pPr>
    <w:rPr>
      <w:rFonts w:ascii="Calibri" w:hAnsi="Calibri" w:eastAsia="宋体" w:cs="Times New Roman"/>
      <w:sz w:val="22"/>
      <w:szCs w:val="22"/>
      <w:lang w:val="en-US" w:eastAsia="zh-CN" w:bidi="ar-SA"/>
    </w:rPr>
  </w:style>
  <w:style w:type="paragraph" w:customStyle="1" w:styleId="405">
    <w:name w:val="纵向(左侧)"/>
    <w:qFormat/>
    <w:uiPriority w:val="99"/>
    <w:pPr>
      <w:tabs>
        <w:tab w:val="center" w:pos="4320"/>
        <w:tab w:val="right" w:pos="8640"/>
      </w:tabs>
      <w:spacing w:after="200" w:line="276" w:lineRule="auto"/>
    </w:pPr>
    <w:rPr>
      <w:rFonts w:ascii="Calibri" w:hAnsi="Calibri" w:eastAsia="宋体" w:cs="Times New Roman"/>
      <w:sz w:val="22"/>
      <w:szCs w:val="22"/>
      <w:lang w:val="en-US" w:eastAsia="zh-CN" w:bidi="ar-SA"/>
    </w:rPr>
  </w:style>
  <w:style w:type="paragraph" w:customStyle="1" w:styleId="406">
    <w:name w:val="纵向(右侧)"/>
    <w:qFormat/>
    <w:uiPriority w:val="99"/>
    <w:pPr>
      <w:tabs>
        <w:tab w:val="center" w:pos="4320"/>
        <w:tab w:val="right" w:pos="8640"/>
      </w:tabs>
      <w:spacing w:after="200" w:line="276" w:lineRule="auto"/>
    </w:pPr>
    <w:rPr>
      <w:rFonts w:ascii="Calibri" w:hAnsi="Calibri" w:eastAsia="宋体" w:cs="Times New Roman"/>
      <w:sz w:val="22"/>
      <w:szCs w:val="22"/>
      <w:lang w:val="en-US" w:eastAsia="zh-CN" w:bidi="ar-SA"/>
    </w:rPr>
  </w:style>
  <w:style w:type="paragraph" w:customStyle="1" w:styleId="407">
    <w:name w:val="方括号 21"/>
    <w:qFormat/>
    <w:uiPriority w:val="99"/>
    <w:pPr>
      <w:tabs>
        <w:tab w:val="center" w:pos="4320"/>
        <w:tab w:val="right" w:pos="8640"/>
      </w:tabs>
      <w:spacing w:after="200" w:line="276" w:lineRule="auto"/>
    </w:pPr>
    <w:rPr>
      <w:rFonts w:ascii="Calibri" w:hAnsi="Calibri" w:eastAsia="宋体" w:cs="Times New Roman"/>
      <w:sz w:val="22"/>
      <w:szCs w:val="22"/>
      <w:lang w:val="en-US" w:eastAsia="zh-CN" w:bidi="ar-SA"/>
    </w:rPr>
  </w:style>
  <w:style w:type="paragraph" w:customStyle="1" w:styleId="408">
    <w:name w:val="圆"/>
    <w:qFormat/>
    <w:uiPriority w:val="99"/>
    <w:pPr>
      <w:tabs>
        <w:tab w:val="center" w:pos="4320"/>
        <w:tab w:val="right" w:pos="8640"/>
      </w:tabs>
      <w:spacing w:after="200" w:line="276" w:lineRule="auto"/>
    </w:pPr>
    <w:rPr>
      <w:rFonts w:ascii="Calibri" w:hAnsi="Calibri" w:eastAsia="宋体" w:cs="Times New Roman"/>
      <w:sz w:val="22"/>
      <w:szCs w:val="22"/>
      <w:lang w:val="en-US" w:eastAsia="zh-CN" w:bidi="ar-SA"/>
    </w:rPr>
  </w:style>
  <w:style w:type="paragraph" w:customStyle="1" w:styleId="409">
    <w:name w:val="大型倾斜 1"/>
    <w:qFormat/>
    <w:uiPriority w:val="99"/>
    <w:pPr>
      <w:tabs>
        <w:tab w:val="center" w:pos="4680"/>
        <w:tab w:val="right" w:pos="9360"/>
      </w:tabs>
    </w:pPr>
    <w:rPr>
      <w:rFonts w:ascii="Calibri" w:hAnsi="Calibri" w:eastAsia="宋体" w:cs="Times New Roman"/>
      <w:sz w:val="22"/>
      <w:szCs w:val="22"/>
      <w:lang w:val="en-US" w:eastAsia="zh-CN" w:bidi="ar-SA"/>
    </w:rPr>
  </w:style>
  <w:style w:type="paragraph" w:customStyle="1" w:styleId="410">
    <w:name w:val="纵向轮廓 11"/>
    <w:qFormat/>
    <w:uiPriority w:val="99"/>
    <w:pPr>
      <w:tabs>
        <w:tab w:val="center" w:pos="4680"/>
        <w:tab w:val="right" w:pos="9360"/>
      </w:tabs>
    </w:pPr>
    <w:rPr>
      <w:rFonts w:ascii="Calibri" w:hAnsi="Calibri" w:eastAsia="宋体" w:cs="Times New Roman"/>
      <w:sz w:val="22"/>
      <w:szCs w:val="22"/>
      <w:lang w:val="en-US" w:eastAsia="zh-CN" w:bidi="ar-SA"/>
    </w:rPr>
  </w:style>
  <w:style w:type="paragraph" w:customStyle="1" w:styleId="411">
    <w:name w:val="纵向轮廓 21"/>
    <w:qFormat/>
    <w:uiPriority w:val="99"/>
    <w:pPr>
      <w:tabs>
        <w:tab w:val="center" w:pos="4680"/>
        <w:tab w:val="right" w:pos="9360"/>
      </w:tabs>
    </w:pPr>
    <w:rPr>
      <w:rFonts w:ascii="Calibri" w:hAnsi="Calibri" w:eastAsia="宋体" w:cs="Times New Roman"/>
      <w:sz w:val="22"/>
      <w:szCs w:val="22"/>
      <w:lang w:val="en-US" w:eastAsia="zh-CN" w:bidi="ar-SA"/>
    </w:rPr>
  </w:style>
  <w:style w:type="paragraph" w:customStyle="1" w:styleId="412">
    <w:name w:val="很大"/>
    <w:qFormat/>
    <w:uiPriority w:val="99"/>
    <w:pPr>
      <w:spacing w:after="200" w:line="276" w:lineRule="auto"/>
    </w:pPr>
    <w:rPr>
      <w:rFonts w:ascii="Calibri" w:hAnsi="Calibri" w:eastAsia="宋体" w:cs="Times New Roman"/>
      <w:sz w:val="22"/>
      <w:szCs w:val="22"/>
      <w:lang w:val="en-US" w:eastAsia="zh-CN" w:bidi="ar-SA"/>
    </w:rPr>
  </w:style>
  <w:style w:type="table" w:customStyle="1" w:styleId="413">
    <w:name w:val="浅色列表1"/>
    <w:qFormat/>
    <w:uiPriority w:val="99"/>
    <w:rPr>
      <w:rFonts w:ascii="Calibri" w:hAnsi="Calibri"/>
      <w:sz w:val="22"/>
    </w:rPr>
    <w:tblPr>
      <w:tblBorders>
        <w:top w:val="single" w:color="000000" w:sz="8" w:space="0"/>
        <w:left w:val="single" w:color="000000" w:sz="8" w:space="0"/>
        <w:bottom w:val="single" w:color="000000" w:sz="8" w:space="0"/>
        <w:right w:val="single" w:color="000000" w:sz="8" w:space="0"/>
      </w:tblBorders>
      <w:tblLayout w:type="fixed"/>
      <w:tblCellMar>
        <w:top w:w="0" w:type="dxa"/>
        <w:left w:w="108" w:type="dxa"/>
        <w:bottom w:w="0" w:type="dxa"/>
        <w:right w:w="108" w:type="dxa"/>
      </w:tblCellMar>
    </w:tblPr>
  </w:style>
  <w:style w:type="paragraph" w:customStyle="1" w:styleId="414">
    <w:name w:val="Decimal Aligned"/>
    <w:basedOn w:val="1"/>
    <w:qFormat/>
    <w:uiPriority w:val="99"/>
    <w:pPr>
      <w:tabs>
        <w:tab w:val="decimal" w:pos="360"/>
      </w:tabs>
      <w:spacing w:after="200" w:line="276" w:lineRule="auto"/>
    </w:pPr>
    <w:rPr>
      <w:rFonts w:ascii="Calibri" w:hAnsi="Calibri"/>
      <w:sz w:val="22"/>
      <w:szCs w:val="22"/>
    </w:rPr>
  </w:style>
  <w:style w:type="character" w:customStyle="1" w:styleId="415">
    <w:name w:val="不明显强调1"/>
    <w:basedOn w:val="120"/>
    <w:qFormat/>
    <w:uiPriority w:val="99"/>
    <w:rPr>
      <w:i/>
      <w:color w:val="5A5A5A"/>
    </w:rPr>
  </w:style>
  <w:style w:type="table" w:customStyle="1" w:styleId="416">
    <w:name w:val="浅色底纹 - 强调文字颜色 11"/>
    <w:qFormat/>
    <w:uiPriority w:val="99"/>
    <w:rPr>
      <w:rFonts w:ascii="Calibri" w:hAnsi="Calibri"/>
      <w:color w:val="365F91"/>
      <w:sz w:val="22"/>
    </w:rPr>
    <w:tblPr>
      <w:tblBorders>
        <w:top w:val="single" w:color="4F81BD" w:sz="8" w:space="0"/>
        <w:bottom w:val="single" w:color="4F81BD" w:sz="8" w:space="0"/>
      </w:tblBorders>
      <w:tblLayout w:type="fixed"/>
      <w:tblCellMar>
        <w:top w:w="0" w:type="dxa"/>
        <w:left w:w="108" w:type="dxa"/>
        <w:bottom w:w="0" w:type="dxa"/>
        <w:right w:w="108" w:type="dxa"/>
      </w:tblCellMar>
    </w:tblPr>
  </w:style>
  <w:style w:type="table" w:customStyle="1" w:styleId="417">
    <w:name w:val="Calendar 1"/>
    <w:qFormat/>
    <w:uiPriority w:val="99"/>
    <w:rPr>
      <w:rFonts w:ascii="Calibri" w:hAnsi="Calibri"/>
      <w:sz w:val="22"/>
    </w:rPr>
    <w:tblPr>
      <w:tblLayout w:type="fixed"/>
      <w:tblCellMar>
        <w:top w:w="0" w:type="dxa"/>
        <w:left w:w="108" w:type="dxa"/>
        <w:bottom w:w="0" w:type="dxa"/>
        <w:right w:w="108" w:type="dxa"/>
      </w:tblCellMar>
    </w:tblPr>
  </w:style>
  <w:style w:type="table" w:customStyle="1" w:styleId="418">
    <w:name w:val="Calendar 2"/>
    <w:qFormat/>
    <w:uiPriority w:val="99"/>
    <w:pPr>
      <w:jc w:val="center"/>
    </w:pPr>
    <w:rPr>
      <w:rFonts w:ascii="Calibri" w:hAnsi="Calibri"/>
      <w:sz w:val="28"/>
      <w:szCs w:val="28"/>
    </w:rPr>
    <w:tblPr>
      <w:tblBorders>
        <w:insideV w:val="single" w:color="95B3D7" w:sz="4" w:space="0"/>
      </w:tblBorders>
      <w:tblLayout w:type="fixed"/>
      <w:tblCellMar>
        <w:top w:w="0" w:type="dxa"/>
        <w:left w:w="108" w:type="dxa"/>
        <w:bottom w:w="0" w:type="dxa"/>
        <w:right w:w="108" w:type="dxa"/>
      </w:tblCellMar>
    </w:tblPr>
  </w:style>
  <w:style w:type="table" w:customStyle="1" w:styleId="419">
    <w:name w:val="Calendar 3"/>
    <w:qFormat/>
    <w:uiPriority w:val="99"/>
    <w:pPr>
      <w:jc w:val="right"/>
    </w:pPr>
    <w:rPr>
      <w:rFonts w:ascii="Cambria" w:hAnsi="Cambria"/>
      <w:color w:val="7F7F7F"/>
      <w:sz w:val="22"/>
    </w:rPr>
    <w:tblPr>
      <w:tblLayout w:type="fixed"/>
      <w:tblCellMar>
        <w:top w:w="0" w:type="dxa"/>
        <w:left w:w="108" w:type="dxa"/>
        <w:bottom w:w="0" w:type="dxa"/>
        <w:right w:w="108" w:type="dxa"/>
      </w:tblCellMar>
    </w:tblPr>
  </w:style>
  <w:style w:type="table" w:customStyle="1" w:styleId="420">
    <w:name w:val="Calendar 4"/>
    <w:qFormat/>
    <w:uiPriority w:val="99"/>
    <w:pPr>
      <w:snapToGrid w:val="0"/>
    </w:pPr>
    <w:rPr>
      <w:rFonts w:ascii="Calibri" w:hAnsi="Calibri"/>
      <w:b/>
      <w:bCs/>
      <w:color w:val="D9D9D9"/>
      <w:sz w:val="16"/>
      <w:szCs w:val="16"/>
    </w:rPr>
    <w:tblPr>
      <w:tblBorders>
        <w:top w:val="single" w:color="C0504D" w:sz="4" w:space="0"/>
        <w:left w:val="single" w:color="C0504D" w:sz="4" w:space="0"/>
        <w:bottom w:val="single" w:color="C0504D" w:sz="4" w:space="0"/>
        <w:right w:val="single" w:color="C0504D" w:sz="4" w:space="0"/>
      </w:tblBorders>
      <w:tblLayout w:type="fixed"/>
      <w:tblCellMar>
        <w:top w:w="0" w:type="dxa"/>
        <w:left w:w="108" w:type="dxa"/>
        <w:bottom w:w="0" w:type="dxa"/>
        <w:right w:w="108" w:type="dxa"/>
      </w:tblCellMar>
    </w:tblPr>
    <w:tcPr>
      <w:shd w:val="clear" w:color="auto" w:fill="244061"/>
    </w:tcPr>
  </w:style>
  <w:style w:type="paragraph" w:customStyle="1" w:styleId="421">
    <w:name w:val="81B5AAB6D0544DFFAF4FA991E3BEF7C2"/>
    <w:qFormat/>
    <w:uiPriority w:val="99"/>
    <w:pPr>
      <w:spacing w:after="200" w:line="276" w:lineRule="auto"/>
    </w:pPr>
    <w:rPr>
      <w:rFonts w:ascii="Calibri" w:hAnsi="Calibri" w:eastAsia="宋体" w:cs="Times New Roman"/>
      <w:sz w:val="22"/>
      <w:szCs w:val="22"/>
      <w:lang w:val="en-US" w:eastAsia="en-US" w:bidi="ar-SA"/>
    </w:rPr>
  </w:style>
  <w:style w:type="paragraph" w:customStyle="1" w:styleId="422">
    <w:name w:val="传统型引述"/>
    <w:qFormat/>
    <w:uiPriority w:val="99"/>
    <w:pPr>
      <w:spacing w:after="200" w:line="276" w:lineRule="auto"/>
    </w:pPr>
    <w:rPr>
      <w:rFonts w:ascii="Calibri" w:hAnsi="Calibri" w:eastAsia="宋体" w:cs="Times New Roman"/>
      <w:sz w:val="22"/>
      <w:szCs w:val="22"/>
      <w:lang w:val="en-US" w:eastAsia="zh-CN" w:bidi="ar-SA"/>
    </w:rPr>
  </w:style>
  <w:style w:type="paragraph" w:customStyle="1" w:styleId="423">
    <w:name w:val="0DFA8E09378C41C59E9A71A8860A0FF4"/>
    <w:qFormat/>
    <w:uiPriority w:val="99"/>
    <w:pPr>
      <w:spacing w:after="200" w:line="276" w:lineRule="auto"/>
    </w:pPr>
    <w:rPr>
      <w:rFonts w:ascii="Calibri" w:hAnsi="Calibri" w:eastAsia="宋体" w:cs="Times New Roman"/>
      <w:sz w:val="22"/>
      <w:szCs w:val="22"/>
      <w:lang w:val="en-US" w:eastAsia="en-US" w:bidi="ar-SA"/>
    </w:rPr>
  </w:style>
  <w:style w:type="paragraph" w:customStyle="1" w:styleId="424">
    <w:name w:val="传统型提要栏"/>
    <w:qFormat/>
    <w:uiPriority w:val="99"/>
    <w:pPr>
      <w:spacing w:after="200" w:line="276" w:lineRule="auto"/>
    </w:pPr>
    <w:rPr>
      <w:rFonts w:ascii="Calibri" w:hAnsi="Calibri" w:eastAsia="宋体" w:cs="Times New Roman"/>
      <w:sz w:val="22"/>
      <w:szCs w:val="22"/>
      <w:lang w:val="en-US" w:eastAsia="zh-CN" w:bidi="ar-SA"/>
    </w:rPr>
  </w:style>
  <w:style w:type="paragraph" w:customStyle="1" w:styleId="425">
    <w:name w:val="D3B02937B54643828094EE9D96143006"/>
    <w:qFormat/>
    <w:uiPriority w:val="99"/>
    <w:pPr>
      <w:spacing w:after="200" w:line="276" w:lineRule="auto"/>
    </w:pPr>
    <w:rPr>
      <w:rFonts w:ascii="Calibri" w:hAnsi="Calibri" w:eastAsia="宋体" w:cs="Times New Roman"/>
      <w:sz w:val="22"/>
      <w:szCs w:val="22"/>
      <w:lang w:val="en-US" w:eastAsia="en-US" w:bidi="ar-SA"/>
    </w:rPr>
  </w:style>
  <w:style w:type="paragraph" w:customStyle="1" w:styleId="426">
    <w:name w:val="边线型引述"/>
    <w:qFormat/>
    <w:uiPriority w:val="99"/>
    <w:pPr>
      <w:spacing w:after="200" w:line="276" w:lineRule="auto"/>
    </w:pPr>
    <w:rPr>
      <w:rFonts w:ascii="Calibri" w:hAnsi="Calibri" w:eastAsia="宋体" w:cs="Times New Roman"/>
      <w:sz w:val="22"/>
      <w:szCs w:val="22"/>
      <w:lang w:val="en-US" w:eastAsia="zh-CN" w:bidi="ar-SA"/>
    </w:rPr>
  </w:style>
  <w:style w:type="paragraph" w:customStyle="1" w:styleId="427">
    <w:name w:val="6F9850466F18412297DE498C957B45A9"/>
    <w:qFormat/>
    <w:uiPriority w:val="99"/>
    <w:pPr>
      <w:spacing w:after="200" w:line="276" w:lineRule="auto"/>
    </w:pPr>
    <w:rPr>
      <w:rFonts w:ascii="Calibri" w:hAnsi="Calibri" w:eastAsia="宋体" w:cs="Times New Roman"/>
      <w:sz w:val="22"/>
      <w:szCs w:val="22"/>
      <w:lang w:val="en-US" w:eastAsia="en-US" w:bidi="ar-SA"/>
    </w:rPr>
  </w:style>
  <w:style w:type="paragraph" w:customStyle="1" w:styleId="428">
    <w:name w:val="边线型提要栏"/>
    <w:qFormat/>
    <w:uiPriority w:val="99"/>
    <w:pPr>
      <w:spacing w:after="200" w:line="276" w:lineRule="auto"/>
    </w:pPr>
    <w:rPr>
      <w:rFonts w:ascii="Calibri" w:hAnsi="Calibri" w:eastAsia="宋体" w:cs="Times New Roman"/>
      <w:sz w:val="22"/>
      <w:szCs w:val="22"/>
      <w:lang w:val="en-US" w:eastAsia="zh-CN" w:bidi="ar-SA"/>
    </w:rPr>
  </w:style>
  <w:style w:type="paragraph" w:customStyle="1" w:styleId="429">
    <w:name w:val="DA59A6CAE2824551B38656031F9960C5"/>
    <w:qFormat/>
    <w:uiPriority w:val="99"/>
    <w:pPr>
      <w:spacing w:after="200" w:line="276" w:lineRule="auto"/>
    </w:pPr>
    <w:rPr>
      <w:rFonts w:ascii="Calibri" w:hAnsi="Calibri" w:eastAsia="宋体" w:cs="Times New Roman"/>
      <w:sz w:val="22"/>
      <w:szCs w:val="22"/>
      <w:lang w:val="en-US" w:eastAsia="en-US" w:bidi="ar-SA"/>
    </w:rPr>
  </w:style>
  <w:style w:type="paragraph" w:customStyle="1" w:styleId="430">
    <w:name w:val="堆积型引述"/>
    <w:qFormat/>
    <w:uiPriority w:val="99"/>
    <w:pPr>
      <w:spacing w:after="200" w:line="276" w:lineRule="auto"/>
    </w:pPr>
    <w:rPr>
      <w:rFonts w:ascii="Calibri" w:hAnsi="Calibri" w:eastAsia="宋体" w:cs="Times New Roman"/>
      <w:sz w:val="22"/>
      <w:szCs w:val="22"/>
      <w:lang w:val="en-US" w:eastAsia="zh-CN" w:bidi="ar-SA"/>
    </w:rPr>
  </w:style>
  <w:style w:type="paragraph" w:customStyle="1" w:styleId="431">
    <w:name w:val="D0B5488AF8804E26A126DE76DAA299C4"/>
    <w:qFormat/>
    <w:uiPriority w:val="99"/>
    <w:pPr>
      <w:spacing w:after="200" w:line="276" w:lineRule="auto"/>
    </w:pPr>
    <w:rPr>
      <w:rFonts w:ascii="Calibri" w:hAnsi="Calibri" w:eastAsia="宋体" w:cs="Times New Roman"/>
      <w:sz w:val="22"/>
      <w:szCs w:val="22"/>
      <w:lang w:val="en-US" w:eastAsia="en-US" w:bidi="ar-SA"/>
    </w:rPr>
  </w:style>
  <w:style w:type="paragraph" w:customStyle="1" w:styleId="432">
    <w:name w:val="堆积型提要栏"/>
    <w:qFormat/>
    <w:uiPriority w:val="99"/>
    <w:pPr>
      <w:spacing w:after="200" w:line="276" w:lineRule="auto"/>
    </w:pPr>
    <w:rPr>
      <w:rFonts w:ascii="Calibri" w:hAnsi="Calibri" w:eastAsia="宋体" w:cs="Times New Roman"/>
      <w:sz w:val="22"/>
      <w:szCs w:val="22"/>
      <w:lang w:val="en-US" w:eastAsia="zh-CN" w:bidi="ar-SA"/>
    </w:rPr>
  </w:style>
  <w:style w:type="paragraph" w:customStyle="1" w:styleId="433">
    <w:name w:val="EF43E22DD61A4D6E8A7E532DDBDE455D"/>
    <w:qFormat/>
    <w:uiPriority w:val="99"/>
    <w:pPr>
      <w:spacing w:after="200" w:line="276" w:lineRule="auto"/>
    </w:pPr>
    <w:rPr>
      <w:rFonts w:ascii="Calibri" w:hAnsi="Calibri" w:eastAsia="宋体" w:cs="Times New Roman"/>
      <w:sz w:val="22"/>
      <w:szCs w:val="22"/>
      <w:lang w:val="en-US" w:eastAsia="en-US" w:bidi="ar-SA"/>
    </w:rPr>
  </w:style>
  <w:style w:type="paragraph" w:customStyle="1" w:styleId="434">
    <w:name w:val="朴素型引述"/>
    <w:qFormat/>
    <w:uiPriority w:val="99"/>
    <w:pPr>
      <w:spacing w:after="200" w:line="276" w:lineRule="auto"/>
    </w:pPr>
    <w:rPr>
      <w:rFonts w:ascii="Calibri" w:hAnsi="Calibri" w:eastAsia="宋体" w:cs="Times New Roman"/>
      <w:sz w:val="22"/>
      <w:szCs w:val="22"/>
      <w:lang w:val="en-US" w:eastAsia="zh-CN" w:bidi="ar-SA"/>
    </w:rPr>
  </w:style>
  <w:style w:type="paragraph" w:customStyle="1" w:styleId="435">
    <w:name w:val="02FE50D714E946A2A9D9C11DE4E31FC7"/>
    <w:qFormat/>
    <w:uiPriority w:val="99"/>
    <w:pPr>
      <w:spacing w:after="200" w:line="276" w:lineRule="auto"/>
    </w:pPr>
    <w:rPr>
      <w:rFonts w:ascii="Calibri" w:hAnsi="Calibri" w:eastAsia="宋体" w:cs="Times New Roman"/>
      <w:sz w:val="22"/>
      <w:szCs w:val="22"/>
      <w:lang w:val="en-US" w:eastAsia="en-US" w:bidi="ar-SA"/>
    </w:rPr>
  </w:style>
  <w:style w:type="paragraph" w:customStyle="1" w:styleId="436">
    <w:name w:val="朴素型提要栏"/>
    <w:qFormat/>
    <w:uiPriority w:val="99"/>
    <w:pPr>
      <w:spacing w:after="200" w:line="276" w:lineRule="auto"/>
    </w:pPr>
    <w:rPr>
      <w:rFonts w:ascii="Calibri" w:hAnsi="Calibri" w:eastAsia="宋体" w:cs="Times New Roman"/>
      <w:sz w:val="22"/>
      <w:szCs w:val="22"/>
      <w:lang w:val="en-US" w:eastAsia="zh-CN" w:bidi="ar-SA"/>
    </w:rPr>
  </w:style>
  <w:style w:type="paragraph" w:customStyle="1" w:styleId="437">
    <w:name w:val="4E50BD63080D459694A857BC8DE30C88"/>
    <w:qFormat/>
    <w:uiPriority w:val="99"/>
    <w:pPr>
      <w:spacing w:after="200" w:line="276" w:lineRule="auto"/>
    </w:pPr>
    <w:rPr>
      <w:rFonts w:ascii="Calibri" w:hAnsi="Calibri" w:eastAsia="宋体" w:cs="Times New Roman"/>
      <w:sz w:val="22"/>
      <w:szCs w:val="22"/>
      <w:lang w:val="en-US" w:eastAsia="en-US" w:bidi="ar-SA"/>
    </w:rPr>
  </w:style>
  <w:style w:type="paragraph" w:customStyle="1" w:styleId="438">
    <w:name w:val="字母表型引述"/>
    <w:qFormat/>
    <w:uiPriority w:val="99"/>
    <w:pPr>
      <w:spacing w:after="200" w:line="276" w:lineRule="auto"/>
    </w:pPr>
    <w:rPr>
      <w:rFonts w:ascii="Calibri" w:hAnsi="Calibri" w:eastAsia="宋体" w:cs="Times New Roman"/>
      <w:sz w:val="22"/>
      <w:szCs w:val="22"/>
      <w:lang w:val="en-US" w:eastAsia="zh-CN" w:bidi="ar-SA"/>
    </w:rPr>
  </w:style>
  <w:style w:type="paragraph" w:customStyle="1" w:styleId="439">
    <w:name w:val="0241A437DA964FFDB9B72CCEC855621B"/>
    <w:qFormat/>
    <w:uiPriority w:val="99"/>
    <w:pPr>
      <w:spacing w:after="200" w:line="276" w:lineRule="auto"/>
    </w:pPr>
    <w:rPr>
      <w:rFonts w:ascii="Calibri" w:hAnsi="Calibri" w:eastAsia="宋体" w:cs="Times New Roman"/>
      <w:sz w:val="22"/>
      <w:szCs w:val="22"/>
      <w:lang w:val="en-US" w:eastAsia="en-US" w:bidi="ar-SA"/>
    </w:rPr>
  </w:style>
  <w:style w:type="paragraph" w:customStyle="1" w:styleId="440">
    <w:name w:val="字母表型提要栏"/>
    <w:qFormat/>
    <w:uiPriority w:val="99"/>
    <w:pPr>
      <w:spacing w:after="200" w:line="276" w:lineRule="auto"/>
    </w:pPr>
    <w:rPr>
      <w:rFonts w:ascii="Calibri" w:hAnsi="Calibri" w:eastAsia="宋体" w:cs="Times New Roman"/>
      <w:sz w:val="22"/>
      <w:szCs w:val="22"/>
      <w:lang w:val="en-US" w:eastAsia="zh-CN" w:bidi="ar-SA"/>
    </w:rPr>
  </w:style>
  <w:style w:type="paragraph" w:customStyle="1" w:styleId="441">
    <w:name w:val="1056BD8269EE48329AF20ABBE1844470"/>
    <w:qFormat/>
    <w:uiPriority w:val="99"/>
    <w:pPr>
      <w:spacing w:after="200" w:line="276" w:lineRule="auto"/>
    </w:pPr>
    <w:rPr>
      <w:rFonts w:ascii="Calibri" w:hAnsi="Calibri" w:eastAsia="宋体" w:cs="Times New Roman"/>
      <w:sz w:val="22"/>
      <w:szCs w:val="22"/>
      <w:lang w:val="en-US" w:eastAsia="en-US" w:bidi="ar-SA"/>
    </w:rPr>
  </w:style>
  <w:style w:type="paragraph" w:customStyle="1" w:styleId="442">
    <w:name w:val="年刊型引述"/>
    <w:qFormat/>
    <w:uiPriority w:val="99"/>
    <w:pPr>
      <w:spacing w:after="200" w:line="276" w:lineRule="auto"/>
    </w:pPr>
    <w:rPr>
      <w:rFonts w:ascii="Calibri" w:hAnsi="Calibri" w:eastAsia="宋体" w:cs="Times New Roman"/>
      <w:sz w:val="22"/>
      <w:szCs w:val="22"/>
      <w:lang w:val="en-US" w:eastAsia="zh-CN" w:bidi="ar-SA"/>
    </w:rPr>
  </w:style>
  <w:style w:type="paragraph" w:customStyle="1" w:styleId="443">
    <w:name w:val="BEE5C33DA96C44389D4492D94A30715F"/>
    <w:qFormat/>
    <w:uiPriority w:val="99"/>
    <w:pPr>
      <w:spacing w:after="200" w:line="276" w:lineRule="auto"/>
    </w:pPr>
    <w:rPr>
      <w:rFonts w:ascii="Calibri" w:hAnsi="Calibri" w:eastAsia="宋体" w:cs="Times New Roman"/>
      <w:sz w:val="22"/>
      <w:szCs w:val="22"/>
      <w:lang w:val="en-US" w:eastAsia="en-US" w:bidi="ar-SA"/>
    </w:rPr>
  </w:style>
  <w:style w:type="paragraph" w:customStyle="1" w:styleId="444">
    <w:name w:val="年刊型提要栏"/>
    <w:qFormat/>
    <w:uiPriority w:val="99"/>
    <w:pPr>
      <w:spacing w:after="200" w:line="276" w:lineRule="auto"/>
    </w:pPr>
    <w:rPr>
      <w:rFonts w:ascii="Calibri" w:hAnsi="Calibri" w:eastAsia="宋体" w:cs="Times New Roman"/>
      <w:sz w:val="22"/>
      <w:szCs w:val="22"/>
      <w:lang w:val="en-US" w:eastAsia="zh-CN" w:bidi="ar-SA"/>
    </w:rPr>
  </w:style>
  <w:style w:type="paragraph" w:customStyle="1" w:styleId="445">
    <w:name w:val="13BBC7BD188544959747F663A4DB00A1"/>
    <w:qFormat/>
    <w:uiPriority w:val="99"/>
    <w:pPr>
      <w:spacing w:after="200" w:line="276" w:lineRule="auto"/>
    </w:pPr>
    <w:rPr>
      <w:rFonts w:ascii="Calibri" w:hAnsi="Calibri" w:eastAsia="宋体" w:cs="Times New Roman"/>
      <w:sz w:val="22"/>
      <w:szCs w:val="22"/>
      <w:lang w:val="en-US" w:eastAsia="en-US" w:bidi="ar-SA"/>
    </w:rPr>
  </w:style>
  <w:style w:type="paragraph" w:customStyle="1" w:styleId="446">
    <w:name w:val="小室型引述"/>
    <w:qFormat/>
    <w:uiPriority w:val="99"/>
    <w:pPr>
      <w:spacing w:after="200" w:line="276" w:lineRule="auto"/>
    </w:pPr>
    <w:rPr>
      <w:rFonts w:ascii="Calibri" w:hAnsi="Calibri" w:eastAsia="宋体" w:cs="Times New Roman"/>
      <w:sz w:val="22"/>
      <w:szCs w:val="22"/>
      <w:lang w:val="en-US" w:eastAsia="zh-CN" w:bidi="ar-SA"/>
    </w:rPr>
  </w:style>
  <w:style w:type="paragraph" w:customStyle="1" w:styleId="447">
    <w:name w:val="935E2A537DCE49B8AD8ED391FD106093"/>
    <w:qFormat/>
    <w:uiPriority w:val="99"/>
    <w:pPr>
      <w:spacing w:after="200" w:line="276" w:lineRule="auto"/>
    </w:pPr>
    <w:rPr>
      <w:rFonts w:ascii="Calibri" w:hAnsi="Calibri" w:eastAsia="宋体" w:cs="Times New Roman"/>
      <w:sz w:val="22"/>
      <w:szCs w:val="22"/>
      <w:lang w:val="en-US" w:eastAsia="en-US" w:bidi="ar-SA"/>
    </w:rPr>
  </w:style>
  <w:style w:type="paragraph" w:customStyle="1" w:styleId="448">
    <w:name w:val="小室型提要栏"/>
    <w:qFormat/>
    <w:uiPriority w:val="99"/>
    <w:pPr>
      <w:spacing w:after="200" w:line="276" w:lineRule="auto"/>
    </w:pPr>
    <w:rPr>
      <w:rFonts w:ascii="Calibri" w:hAnsi="Calibri" w:eastAsia="宋体" w:cs="Times New Roman"/>
      <w:sz w:val="22"/>
      <w:szCs w:val="22"/>
      <w:lang w:val="en-US" w:eastAsia="zh-CN" w:bidi="ar-SA"/>
    </w:rPr>
  </w:style>
  <w:style w:type="paragraph" w:customStyle="1" w:styleId="449">
    <w:name w:val="876A4DAF3A15425EBE20248D69D8BF10"/>
    <w:qFormat/>
    <w:uiPriority w:val="99"/>
    <w:pPr>
      <w:spacing w:after="200" w:line="276" w:lineRule="auto"/>
    </w:pPr>
    <w:rPr>
      <w:rFonts w:ascii="Calibri" w:hAnsi="Calibri" w:eastAsia="宋体" w:cs="Times New Roman"/>
      <w:sz w:val="22"/>
      <w:szCs w:val="22"/>
      <w:lang w:val="en-US" w:eastAsia="en-US" w:bidi="ar-SA"/>
    </w:rPr>
  </w:style>
  <w:style w:type="paragraph" w:customStyle="1" w:styleId="450">
    <w:name w:val="现代型引述"/>
    <w:qFormat/>
    <w:uiPriority w:val="99"/>
    <w:pPr>
      <w:spacing w:after="200" w:line="276" w:lineRule="auto"/>
    </w:pPr>
    <w:rPr>
      <w:rFonts w:ascii="Calibri" w:hAnsi="Calibri" w:eastAsia="宋体" w:cs="Times New Roman"/>
      <w:sz w:val="22"/>
      <w:szCs w:val="22"/>
      <w:lang w:val="en-US" w:eastAsia="zh-CN" w:bidi="ar-SA"/>
    </w:rPr>
  </w:style>
  <w:style w:type="paragraph" w:customStyle="1" w:styleId="451">
    <w:name w:val="C464C8F333C24A938AF5B37CB2ECDE09"/>
    <w:qFormat/>
    <w:uiPriority w:val="99"/>
    <w:pPr>
      <w:spacing w:after="200" w:line="276" w:lineRule="auto"/>
    </w:pPr>
    <w:rPr>
      <w:rFonts w:ascii="Calibri" w:hAnsi="Calibri" w:eastAsia="宋体" w:cs="Times New Roman"/>
      <w:sz w:val="22"/>
      <w:szCs w:val="22"/>
      <w:lang w:val="en-US" w:eastAsia="en-US" w:bidi="ar-SA"/>
    </w:rPr>
  </w:style>
  <w:style w:type="paragraph" w:customStyle="1" w:styleId="452">
    <w:name w:val="现代型提要栏"/>
    <w:qFormat/>
    <w:uiPriority w:val="99"/>
    <w:pPr>
      <w:spacing w:after="200" w:line="276" w:lineRule="auto"/>
    </w:pPr>
    <w:rPr>
      <w:rFonts w:ascii="Calibri" w:hAnsi="Calibri" w:eastAsia="宋体" w:cs="Times New Roman"/>
      <w:sz w:val="22"/>
      <w:szCs w:val="22"/>
      <w:lang w:val="en-US" w:eastAsia="zh-CN" w:bidi="ar-SA"/>
    </w:rPr>
  </w:style>
  <w:style w:type="paragraph" w:customStyle="1" w:styleId="453">
    <w:name w:val="F475992E39B443E996AA1110866F9474"/>
    <w:qFormat/>
    <w:uiPriority w:val="99"/>
    <w:pPr>
      <w:spacing w:after="200" w:line="276" w:lineRule="auto"/>
    </w:pPr>
    <w:rPr>
      <w:rFonts w:ascii="Calibri" w:hAnsi="Calibri" w:eastAsia="宋体" w:cs="Times New Roman"/>
      <w:sz w:val="22"/>
      <w:szCs w:val="22"/>
      <w:lang w:val="en-US" w:eastAsia="en-US" w:bidi="ar-SA"/>
    </w:rPr>
  </w:style>
  <w:style w:type="paragraph" w:customStyle="1" w:styleId="454">
    <w:name w:val="条纹型引述"/>
    <w:qFormat/>
    <w:uiPriority w:val="99"/>
    <w:pPr>
      <w:spacing w:after="200" w:line="276" w:lineRule="auto"/>
    </w:pPr>
    <w:rPr>
      <w:rFonts w:ascii="Calibri" w:hAnsi="Calibri" w:eastAsia="宋体" w:cs="Times New Roman"/>
      <w:sz w:val="22"/>
      <w:szCs w:val="22"/>
      <w:lang w:val="en-US" w:eastAsia="zh-CN" w:bidi="ar-SA"/>
    </w:rPr>
  </w:style>
  <w:style w:type="paragraph" w:customStyle="1" w:styleId="455">
    <w:name w:val="5106A63E679744B080A6140FB58E5331"/>
    <w:qFormat/>
    <w:uiPriority w:val="99"/>
    <w:pPr>
      <w:spacing w:after="200" w:line="276" w:lineRule="auto"/>
    </w:pPr>
    <w:rPr>
      <w:rFonts w:ascii="Calibri" w:hAnsi="Calibri" w:eastAsia="宋体" w:cs="Times New Roman"/>
      <w:sz w:val="22"/>
      <w:szCs w:val="22"/>
      <w:lang w:val="en-US" w:eastAsia="en-US" w:bidi="ar-SA"/>
    </w:rPr>
  </w:style>
  <w:style w:type="paragraph" w:customStyle="1" w:styleId="456">
    <w:name w:val="条纹型提要栏"/>
    <w:qFormat/>
    <w:uiPriority w:val="99"/>
    <w:pPr>
      <w:spacing w:after="200" w:line="276" w:lineRule="auto"/>
    </w:pPr>
    <w:rPr>
      <w:rFonts w:ascii="Calibri" w:hAnsi="Calibri" w:eastAsia="宋体" w:cs="Times New Roman"/>
      <w:sz w:val="22"/>
      <w:szCs w:val="22"/>
      <w:lang w:val="en-US" w:eastAsia="zh-CN" w:bidi="ar-SA"/>
    </w:rPr>
  </w:style>
  <w:style w:type="paragraph" w:customStyle="1" w:styleId="457">
    <w:name w:val="61573B9D35344BC38A34B363F7224508"/>
    <w:qFormat/>
    <w:uiPriority w:val="99"/>
    <w:pPr>
      <w:spacing w:after="200" w:line="276" w:lineRule="auto"/>
    </w:pPr>
    <w:rPr>
      <w:rFonts w:ascii="Calibri" w:hAnsi="Calibri" w:eastAsia="宋体" w:cs="Times New Roman"/>
      <w:sz w:val="22"/>
      <w:szCs w:val="22"/>
      <w:lang w:val="en-US" w:eastAsia="en-US" w:bidi="ar-SA"/>
    </w:rPr>
  </w:style>
  <w:style w:type="paragraph" w:customStyle="1" w:styleId="458">
    <w:name w:val="飞越型引述"/>
    <w:qFormat/>
    <w:uiPriority w:val="99"/>
    <w:pPr>
      <w:spacing w:after="200" w:line="276" w:lineRule="auto"/>
    </w:pPr>
    <w:rPr>
      <w:rFonts w:ascii="Calibri" w:hAnsi="Calibri" w:eastAsia="宋体" w:cs="Times New Roman"/>
      <w:sz w:val="22"/>
      <w:szCs w:val="22"/>
      <w:lang w:val="en-US" w:eastAsia="zh-CN" w:bidi="ar-SA"/>
    </w:rPr>
  </w:style>
  <w:style w:type="paragraph" w:customStyle="1" w:styleId="459">
    <w:name w:val="334F007B061B40F5B34BF53EA81D4DF8"/>
    <w:qFormat/>
    <w:uiPriority w:val="99"/>
    <w:pPr>
      <w:spacing w:after="200" w:line="276" w:lineRule="auto"/>
    </w:pPr>
    <w:rPr>
      <w:rFonts w:ascii="Calibri" w:hAnsi="Calibri" w:eastAsia="宋体" w:cs="Times New Roman"/>
      <w:sz w:val="22"/>
      <w:szCs w:val="22"/>
      <w:lang w:val="en-US" w:eastAsia="en-US" w:bidi="ar-SA"/>
    </w:rPr>
  </w:style>
  <w:style w:type="paragraph" w:customStyle="1" w:styleId="460">
    <w:name w:val="飞越型提要栏"/>
    <w:qFormat/>
    <w:uiPriority w:val="99"/>
    <w:pPr>
      <w:spacing w:after="200" w:line="276" w:lineRule="auto"/>
    </w:pPr>
    <w:rPr>
      <w:rFonts w:ascii="Calibri" w:hAnsi="Calibri" w:eastAsia="宋体" w:cs="Times New Roman"/>
      <w:sz w:val="22"/>
      <w:szCs w:val="22"/>
      <w:lang w:val="en-US" w:eastAsia="zh-CN" w:bidi="ar-SA"/>
    </w:rPr>
  </w:style>
  <w:style w:type="paragraph" w:customStyle="1" w:styleId="461">
    <w:name w:val="56FCE7B85D474C02B90F27F3D412874F"/>
    <w:qFormat/>
    <w:uiPriority w:val="99"/>
    <w:pPr>
      <w:spacing w:after="200" w:line="276" w:lineRule="auto"/>
    </w:pPr>
    <w:rPr>
      <w:rFonts w:ascii="Calibri" w:hAnsi="Calibri" w:eastAsia="宋体" w:cs="Times New Roman"/>
      <w:sz w:val="22"/>
      <w:szCs w:val="22"/>
      <w:lang w:val="en-US" w:eastAsia="en-US" w:bidi="ar-SA"/>
    </w:rPr>
  </w:style>
  <w:style w:type="paragraph" w:customStyle="1" w:styleId="462">
    <w:name w:val="照射型引述"/>
    <w:qFormat/>
    <w:uiPriority w:val="99"/>
    <w:pPr>
      <w:spacing w:after="200" w:line="276" w:lineRule="auto"/>
    </w:pPr>
    <w:rPr>
      <w:rFonts w:ascii="Calibri" w:hAnsi="Calibri" w:eastAsia="宋体" w:cs="Times New Roman"/>
      <w:sz w:val="22"/>
      <w:szCs w:val="22"/>
      <w:lang w:val="en-US" w:eastAsia="zh-CN" w:bidi="ar-SA"/>
    </w:rPr>
  </w:style>
  <w:style w:type="paragraph" w:customStyle="1" w:styleId="463">
    <w:name w:val="5126D313ECA4476C93F1C2469D0EBFB9"/>
    <w:qFormat/>
    <w:uiPriority w:val="99"/>
    <w:pPr>
      <w:spacing w:after="200" w:line="276" w:lineRule="auto"/>
    </w:pPr>
    <w:rPr>
      <w:rFonts w:ascii="Calibri" w:hAnsi="Calibri" w:eastAsia="宋体" w:cs="Times New Roman"/>
      <w:sz w:val="22"/>
      <w:szCs w:val="22"/>
      <w:lang w:val="en-US" w:eastAsia="en-US" w:bidi="ar-SA"/>
    </w:rPr>
  </w:style>
  <w:style w:type="paragraph" w:customStyle="1" w:styleId="464">
    <w:name w:val="照射型提要栏"/>
    <w:qFormat/>
    <w:uiPriority w:val="99"/>
    <w:pPr>
      <w:spacing w:after="200" w:line="276" w:lineRule="auto"/>
    </w:pPr>
    <w:rPr>
      <w:rFonts w:ascii="Calibri" w:hAnsi="Calibri" w:eastAsia="宋体" w:cs="Times New Roman"/>
      <w:sz w:val="22"/>
      <w:szCs w:val="22"/>
      <w:lang w:val="en-US" w:eastAsia="zh-CN" w:bidi="ar-SA"/>
    </w:rPr>
  </w:style>
  <w:style w:type="paragraph" w:customStyle="1" w:styleId="465">
    <w:name w:val="93CF1563D01B43AE825F0AC11E589023"/>
    <w:qFormat/>
    <w:uiPriority w:val="99"/>
    <w:pPr>
      <w:spacing w:after="200" w:line="276" w:lineRule="auto"/>
    </w:pPr>
    <w:rPr>
      <w:rFonts w:ascii="Calibri" w:hAnsi="Calibri" w:eastAsia="宋体" w:cs="Times New Roman"/>
      <w:sz w:val="22"/>
      <w:szCs w:val="22"/>
      <w:lang w:val="en-US" w:eastAsia="en-US" w:bidi="ar-SA"/>
    </w:rPr>
  </w:style>
  <w:style w:type="paragraph" w:customStyle="1" w:styleId="466">
    <w:name w:val="拼板型引用"/>
    <w:qFormat/>
    <w:uiPriority w:val="99"/>
    <w:pPr>
      <w:spacing w:after="200" w:line="276" w:lineRule="auto"/>
    </w:pPr>
    <w:rPr>
      <w:rFonts w:ascii="Calibri" w:hAnsi="Calibri" w:eastAsia="宋体" w:cs="Times New Roman"/>
      <w:sz w:val="22"/>
      <w:szCs w:val="22"/>
      <w:lang w:val="en-US" w:eastAsia="zh-CN" w:bidi="ar-SA"/>
    </w:rPr>
  </w:style>
  <w:style w:type="paragraph" w:customStyle="1" w:styleId="467">
    <w:name w:val="ADEA439B83F8472CA6ABF55F2B08B6B6"/>
    <w:qFormat/>
    <w:uiPriority w:val="99"/>
    <w:pPr>
      <w:spacing w:after="200" w:line="276" w:lineRule="auto"/>
    </w:pPr>
    <w:rPr>
      <w:rFonts w:ascii="Calibri" w:hAnsi="Calibri" w:eastAsia="宋体" w:cs="Times New Roman"/>
      <w:sz w:val="22"/>
      <w:szCs w:val="22"/>
      <w:lang w:val="en-US" w:eastAsia="en-US" w:bidi="ar-SA"/>
    </w:rPr>
  </w:style>
  <w:style w:type="paragraph" w:customStyle="1" w:styleId="468">
    <w:name w:val="拼板型提要栏"/>
    <w:qFormat/>
    <w:uiPriority w:val="99"/>
    <w:pPr>
      <w:spacing w:after="200" w:line="276" w:lineRule="auto"/>
    </w:pPr>
    <w:rPr>
      <w:rFonts w:ascii="Calibri" w:hAnsi="Calibri" w:eastAsia="宋体" w:cs="Times New Roman"/>
      <w:sz w:val="22"/>
      <w:szCs w:val="22"/>
      <w:lang w:val="en-US" w:eastAsia="zh-CN" w:bidi="ar-SA"/>
    </w:rPr>
  </w:style>
  <w:style w:type="paragraph" w:customStyle="1" w:styleId="469">
    <w:name w:val="C3909C52B5554BCE805B67B877AF5046"/>
    <w:qFormat/>
    <w:uiPriority w:val="99"/>
    <w:pPr>
      <w:spacing w:after="200" w:line="276" w:lineRule="auto"/>
    </w:pPr>
    <w:rPr>
      <w:rFonts w:ascii="Calibri" w:hAnsi="Calibri" w:eastAsia="宋体" w:cs="Times New Roman"/>
      <w:sz w:val="22"/>
      <w:szCs w:val="22"/>
      <w:lang w:val="en-US" w:eastAsia="en-US" w:bidi="ar-SA"/>
    </w:rPr>
  </w:style>
  <w:style w:type="paragraph" w:customStyle="1" w:styleId="470">
    <w:name w:val="运动型引述"/>
    <w:qFormat/>
    <w:uiPriority w:val="99"/>
    <w:pPr>
      <w:spacing w:after="200" w:line="276" w:lineRule="auto"/>
    </w:pPr>
    <w:rPr>
      <w:rFonts w:ascii="Calibri" w:hAnsi="Calibri" w:eastAsia="宋体" w:cs="Times New Roman"/>
      <w:sz w:val="22"/>
      <w:szCs w:val="22"/>
      <w:lang w:val="en-US" w:eastAsia="zh-CN" w:bidi="ar-SA"/>
    </w:rPr>
  </w:style>
  <w:style w:type="paragraph" w:customStyle="1" w:styleId="471">
    <w:name w:val="AB0B5F92FC8444749C3DD7FB18A56230"/>
    <w:qFormat/>
    <w:uiPriority w:val="99"/>
    <w:pPr>
      <w:spacing w:after="200" w:line="276" w:lineRule="auto"/>
    </w:pPr>
    <w:rPr>
      <w:rFonts w:ascii="Calibri" w:hAnsi="Calibri" w:eastAsia="宋体" w:cs="Times New Roman"/>
      <w:sz w:val="22"/>
      <w:szCs w:val="22"/>
      <w:lang w:val="en-US" w:eastAsia="en-US" w:bidi="ar-SA"/>
    </w:rPr>
  </w:style>
  <w:style w:type="paragraph" w:customStyle="1" w:styleId="472">
    <w:name w:val="运动型提要栏"/>
    <w:qFormat/>
    <w:uiPriority w:val="99"/>
    <w:pPr>
      <w:spacing w:after="200" w:line="276" w:lineRule="auto"/>
    </w:pPr>
    <w:rPr>
      <w:rFonts w:ascii="Calibri" w:hAnsi="Calibri" w:eastAsia="宋体" w:cs="Times New Roman"/>
      <w:sz w:val="22"/>
      <w:szCs w:val="22"/>
      <w:lang w:val="en-US" w:eastAsia="zh-CN" w:bidi="ar-SA"/>
    </w:rPr>
  </w:style>
  <w:style w:type="paragraph" w:customStyle="1" w:styleId="473">
    <w:name w:val="ED7E45D1AF844063ACA02B4F13DC9A9C"/>
    <w:qFormat/>
    <w:uiPriority w:val="99"/>
    <w:pPr>
      <w:spacing w:after="200" w:line="276" w:lineRule="auto"/>
    </w:pPr>
    <w:rPr>
      <w:rFonts w:ascii="Calibri" w:hAnsi="Calibri" w:eastAsia="宋体" w:cs="Times New Roman"/>
      <w:sz w:val="22"/>
      <w:szCs w:val="22"/>
      <w:lang w:val="en-US" w:eastAsia="en-US" w:bidi="ar-SA"/>
    </w:rPr>
  </w:style>
  <w:style w:type="paragraph" w:customStyle="1" w:styleId="474">
    <w:name w:val="瓷砖型引述"/>
    <w:qFormat/>
    <w:uiPriority w:val="99"/>
    <w:pPr>
      <w:spacing w:after="200" w:line="276" w:lineRule="auto"/>
    </w:pPr>
    <w:rPr>
      <w:rFonts w:ascii="Calibri" w:hAnsi="Calibri" w:eastAsia="宋体" w:cs="Times New Roman"/>
      <w:sz w:val="22"/>
      <w:szCs w:val="22"/>
      <w:lang w:val="en-US" w:eastAsia="zh-CN" w:bidi="ar-SA"/>
    </w:rPr>
  </w:style>
  <w:style w:type="paragraph" w:customStyle="1" w:styleId="475">
    <w:name w:val="01F6CBE5685C4E379059423704C3BD44"/>
    <w:qFormat/>
    <w:uiPriority w:val="99"/>
    <w:pPr>
      <w:spacing w:after="200" w:line="276" w:lineRule="auto"/>
    </w:pPr>
    <w:rPr>
      <w:rFonts w:ascii="Calibri" w:hAnsi="Calibri" w:eastAsia="宋体" w:cs="Times New Roman"/>
      <w:sz w:val="22"/>
      <w:szCs w:val="22"/>
      <w:lang w:val="en-US" w:eastAsia="en-US" w:bidi="ar-SA"/>
    </w:rPr>
  </w:style>
  <w:style w:type="paragraph" w:customStyle="1" w:styleId="476">
    <w:name w:val="瓷砖型提要栏"/>
    <w:qFormat/>
    <w:uiPriority w:val="99"/>
    <w:pPr>
      <w:spacing w:after="200" w:line="276" w:lineRule="auto"/>
    </w:pPr>
    <w:rPr>
      <w:rFonts w:ascii="Calibri" w:hAnsi="Calibri" w:eastAsia="宋体" w:cs="Times New Roman"/>
      <w:sz w:val="22"/>
      <w:szCs w:val="22"/>
      <w:lang w:val="en-US" w:eastAsia="zh-CN" w:bidi="ar-SA"/>
    </w:rPr>
  </w:style>
  <w:style w:type="paragraph" w:customStyle="1" w:styleId="477">
    <w:name w:val="6BEF5B3F69AD4129BF4AE8403C8E9D77"/>
    <w:qFormat/>
    <w:uiPriority w:val="99"/>
    <w:pPr>
      <w:spacing w:after="200" w:line="276" w:lineRule="auto"/>
    </w:pPr>
    <w:rPr>
      <w:rFonts w:ascii="Calibri" w:hAnsi="Calibri" w:eastAsia="宋体" w:cs="Times New Roman"/>
      <w:sz w:val="22"/>
      <w:szCs w:val="22"/>
      <w:lang w:val="en-US" w:eastAsia="en-US" w:bidi="ar-SA"/>
    </w:rPr>
  </w:style>
  <w:style w:type="paragraph" w:customStyle="1" w:styleId="478">
    <w:name w:val="反差型引述"/>
    <w:qFormat/>
    <w:uiPriority w:val="99"/>
    <w:pPr>
      <w:spacing w:after="200" w:line="276" w:lineRule="auto"/>
    </w:pPr>
    <w:rPr>
      <w:rFonts w:ascii="Calibri" w:hAnsi="Calibri" w:eastAsia="宋体" w:cs="Times New Roman"/>
      <w:sz w:val="22"/>
      <w:szCs w:val="22"/>
      <w:lang w:val="en-US" w:eastAsia="zh-CN" w:bidi="ar-SA"/>
    </w:rPr>
  </w:style>
  <w:style w:type="paragraph" w:customStyle="1" w:styleId="479">
    <w:name w:val="2634D601967942078B70AA840901A4B8"/>
    <w:qFormat/>
    <w:uiPriority w:val="99"/>
    <w:pPr>
      <w:spacing w:after="200" w:line="276" w:lineRule="auto"/>
    </w:pPr>
    <w:rPr>
      <w:rFonts w:ascii="Calibri" w:hAnsi="Calibri" w:eastAsia="宋体" w:cs="Times New Roman"/>
      <w:sz w:val="22"/>
      <w:szCs w:val="22"/>
      <w:lang w:val="en-US" w:eastAsia="en-US" w:bidi="ar-SA"/>
    </w:rPr>
  </w:style>
  <w:style w:type="paragraph" w:customStyle="1" w:styleId="480">
    <w:name w:val="反差型提要栏"/>
    <w:qFormat/>
    <w:uiPriority w:val="99"/>
    <w:pPr>
      <w:spacing w:after="200" w:line="276" w:lineRule="auto"/>
    </w:pPr>
    <w:rPr>
      <w:rFonts w:ascii="Calibri" w:hAnsi="Calibri" w:eastAsia="宋体" w:cs="Times New Roman"/>
      <w:sz w:val="22"/>
      <w:szCs w:val="22"/>
      <w:lang w:val="en-US" w:eastAsia="zh-CN" w:bidi="ar-SA"/>
    </w:rPr>
  </w:style>
  <w:style w:type="paragraph" w:customStyle="1" w:styleId="481">
    <w:name w:val="8E94D89665804014884A58F68A20373C"/>
    <w:qFormat/>
    <w:uiPriority w:val="99"/>
    <w:pPr>
      <w:spacing w:after="200" w:line="276" w:lineRule="auto"/>
    </w:pPr>
    <w:rPr>
      <w:rFonts w:ascii="Calibri" w:hAnsi="Calibri" w:eastAsia="宋体" w:cs="Times New Roman"/>
      <w:sz w:val="22"/>
      <w:szCs w:val="22"/>
      <w:lang w:val="en-US" w:eastAsia="en-US" w:bidi="ar-SA"/>
    </w:rPr>
  </w:style>
  <w:style w:type="paragraph" w:customStyle="1" w:styleId="482">
    <w:name w:val="装饰型引述"/>
    <w:qFormat/>
    <w:uiPriority w:val="99"/>
    <w:pPr>
      <w:spacing w:after="200" w:line="276" w:lineRule="auto"/>
    </w:pPr>
    <w:rPr>
      <w:rFonts w:ascii="Calibri" w:hAnsi="Calibri" w:eastAsia="宋体" w:cs="Times New Roman"/>
      <w:sz w:val="22"/>
      <w:szCs w:val="22"/>
      <w:lang w:val="en-US" w:eastAsia="zh-CN" w:bidi="ar-SA"/>
    </w:rPr>
  </w:style>
  <w:style w:type="paragraph" w:customStyle="1" w:styleId="483">
    <w:name w:val="848E66A30929422A979D594A4A0BF9A8"/>
    <w:qFormat/>
    <w:uiPriority w:val="99"/>
    <w:pPr>
      <w:spacing w:after="200" w:line="276" w:lineRule="auto"/>
    </w:pPr>
    <w:rPr>
      <w:rFonts w:ascii="Calibri" w:hAnsi="Calibri" w:eastAsia="宋体" w:cs="Times New Roman"/>
      <w:sz w:val="22"/>
      <w:szCs w:val="22"/>
      <w:lang w:val="en-US" w:eastAsia="en-US" w:bidi="ar-SA"/>
    </w:rPr>
  </w:style>
  <w:style w:type="paragraph" w:customStyle="1" w:styleId="484">
    <w:name w:val="星型引述"/>
    <w:qFormat/>
    <w:uiPriority w:val="99"/>
    <w:pPr>
      <w:spacing w:after="200" w:line="276" w:lineRule="auto"/>
    </w:pPr>
    <w:rPr>
      <w:rFonts w:ascii="Calibri" w:hAnsi="Calibri" w:eastAsia="宋体" w:cs="Times New Roman"/>
      <w:sz w:val="22"/>
      <w:szCs w:val="22"/>
      <w:lang w:val="en-US" w:eastAsia="zh-CN" w:bidi="ar-SA"/>
    </w:rPr>
  </w:style>
  <w:style w:type="paragraph" w:customStyle="1" w:styleId="485">
    <w:name w:val="F838DBFCE8FA4C7482163554D764B80E"/>
    <w:qFormat/>
    <w:uiPriority w:val="99"/>
    <w:pPr>
      <w:spacing w:after="200" w:line="276" w:lineRule="auto"/>
    </w:pPr>
    <w:rPr>
      <w:rFonts w:ascii="Calibri" w:hAnsi="Calibri" w:eastAsia="宋体" w:cs="Times New Roman"/>
      <w:sz w:val="22"/>
      <w:szCs w:val="22"/>
      <w:lang w:val="en-US" w:eastAsia="en-US" w:bidi="ar-SA"/>
    </w:rPr>
  </w:style>
  <w:style w:type="paragraph" w:customStyle="1" w:styleId="486">
    <w:name w:val="粘滞型引述"/>
    <w:qFormat/>
    <w:uiPriority w:val="99"/>
    <w:pPr>
      <w:spacing w:after="200" w:line="276" w:lineRule="auto"/>
    </w:pPr>
    <w:rPr>
      <w:rFonts w:ascii="Calibri" w:hAnsi="Calibri" w:eastAsia="宋体" w:cs="Times New Roman"/>
      <w:sz w:val="22"/>
      <w:szCs w:val="22"/>
      <w:lang w:val="en-US" w:eastAsia="zh-CN" w:bidi="ar-SA"/>
    </w:rPr>
  </w:style>
  <w:style w:type="paragraph" w:customStyle="1" w:styleId="487">
    <w:name w:val="A13A6801ED9F49D4AB5FFEBD625F6A73"/>
    <w:qFormat/>
    <w:uiPriority w:val="99"/>
    <w:pPr>
      <w:spacing w:after="200" w:line="276" w:lineRule="auto"/>
    </w:pPr>
    <w:rPr>
      <w:rFonts w:ascii="Calibri" w:hAnsi="Calibri" w:eastAsia="宋体" w:cs="Times New Roman"/>
      <w:sz w:val="22"/>
      <w:szCs w:val="22"/>
      <w:lang w:val="en-US" w:eastAsia="en-US" w:bidi="ar-SA"/>
    </w:rPr>
  </w:style>
  <w:style w:type="paragraph" w:customStyle="1" w:styleId="488">
    <w:name w:val="大括号型引述"/>
    <w:qFormat/>
    <w:uiPriority w:val="99"/>
    <w:pPr>
      <w:spacing w:after="200" w:line="276" w:lineRule="auto"/>
    </w:pPr>
    <w:rPr>
      <w:rFonts w:ascii="Calibri" w:hAnsi="Calibri" w:eastAsia="宋体" w:cs="Times New Roman"/>
      <w:sz w:val="22"/>
      <w:szCs w:val="22"/>
      <w:lang w:val="en-US" w:eastAsia="zh-CN" w:bidi="ar-SA"/>
    </w:rPr>
  </w:style>
  <w:style w:type="paragraph" w:customStyle="1" w:styleId="489">
    <w:name w:val="3E15E750D0C948E198317ED7C58541F7"/>
    <w:qFormat/>
    <w:uiPriority w:val="99"/>
    <w:pPr>
      <w:spacing w:after="200" w:line="276" w:lineRule="auto"/>
    </w:pPr>
    <w:rPr>
      <w:rFonts w:ascii="Calibri" w:hAnsi="Calibri" w:eastAsia="宋体" w:cs="Times New Roman"/>
      <w:sz w:val="22"/>
      <w:szCs w:val="22"/>
      <w:lang w:val="en-US" w:eastAsia="en-US" w:bidi="ar-SA"/>
    </w:rPr>
  </w:style>
  <w:style w:type="paragraph" w:customStyle="1" w:styleId="490">
    <w:name w:val="大括号型引述 2"/>
    <w:qFormat/>
    <w:uiPriority w:val="99"/>
    <w:pPr>
      <w:spacing w:after="200" w:line="276" w:lineRule="auto"/>
    </w:pPr>
    <w:rPr>
      <w:rFonts w:ascii="Calibri" w:hAnsi="Calibri" w:eastAsia="宋体" w:cs="Times New Roman"/>
      <w:sz w:val="22"/>
      <w:szCs w:val="22"/>
      <w:lang w:val="en-US" w:eastAsia="zh-CN" w:bidi="ar-SA"/>
    </w:rPr>
  </w:style>
  <w:style w:type="paragraph" w:customStyle="1" w:styleId="491">
    <w:name w:val="624846ABD3BB4BAF8C6F58706F6F5147"/>
    <w:qFormat/>
    <w:uiPriority w:val="99"/>
    <w:pPr>
      <w:spacing w:after="200" w:line="276" w:lineRule="auto"/>
    </w:pPr>
    <w:rPr>
      <w:rFonts w:ascii="Calibri" w:hAnsi="Calibri" w:eastAsia="宋体" w:cs="Times New Roman"/>
      <w:sz w:val="22"/>
      <w:szCs w:val="22"/>
      <w:lang w:val="en-US" w:eastAsia="en-US" w:bidi="ar-SA"/>
    </w:rPr>
  </w:style>
  <w:style w:type="paragraph" w:customStyle="1" w:styleId="492">
    <w:name w:val="简单文本框"/>
    <w:qFormat/>
    <w:uiPriority w:val="99"/>
    <w:pPr>
      <w:spacing w:after="200" w:line="276" w:lineRule="auto"/>
    </w:pPr>
    <w:rPr>
      <w:rFonts w:ascii="Calibri" w:hAnsi="Calibri" w:eastAsia="宋体" w:cs="Times New Roman"/>
      <w:sz w:val="22"/>
      <w:szCs w:val="22"/>
      <w:lang w:val="en-US" w:eastAsia="zh-CN" w:bidi="ar-SA"/>
    </w:rPr>
  </w:style>
  <w:style w:type="paragraph" w:customStyle="1" w:styleId="493">
    <w:name w:val="C5068D548FC14AB8966342242235C60B"/>
    <w:qFormat/>
    <w:uiPriority w:val="99"/>
    <w:pPr>
      <w:spacing w:after="200" w:line="276" w:lineRule="auto"/>
    </w:pPr>
    <w:rPr>
      <w:rFonts w:ascii="Calibri" w:hAnsi="Calibri" w:eastAsia="宋体" w:cs="Times New Roman"/>
      <w:sz w:val="22"/>
      <w:szCs w:val="22"/>
      <w:lang w:val="en-US" w:eastAsia="en-US" w:bidi="ar-SA"/>
    </w:rPr>
  </w:style>
  <w:style w:type="paragraph" w:customStyle="1" w:styleId="494">
    <w:name w:val="78DD254F5AD54C338FFF863BA31841F4"/>
    <w:qFormat/>
    <w:uiPriority w:val="99"/>
    <w:pPr>
      <w:spacing w:after="200" w:line="276" w:lineRule="auto"/>
    </w:pPr>
    <w:rPr>
      <w:rFonts w:ascii="Calibri" w:hAnsi="Calibri" w:eastAsia="宋体" w:cs="Times New Roman"/>
      <w:sz w:val="22"/>
      <w:szCs w:val="22"/>
      <w:lang w:val="en-US" w:eastAsia="en-US" w:bidi="ar-SA"/>
    </w:rPr>
  </w:style>
  <w:style w:type="paragraph" w:customStyle="1" w:styleId="495">
    <w:name w:val="9E12CA9948014EE3A807559100356CE6"/>
    <w:qFormat/>
    <w:uiPriority w:val="99"/>
    <w:pPr>
      <w:spacing w:after="200" w:line="276" w:lineRule="auto"/>
    </w:pPr>
    <w:rPr>
      <w:rFonts w:ascii="Calibri" w:hAnsi="Calibri" w:eastAsia="宋体" w:cs="Times New Roman"/>
      <w:sz w:val="22"/>
      <w:szCs w:val="22"/>
      <w:lang w:val="en-US" w:eastAsia="en-US" w:bidi="ar-SA"/>
    </w:rPr>
  </w:style>
  <w:style w:type="paragraph" w:customStyle="1" w:styleId="496">
    <w:name w:val="0445C6BC871B44A994A7F08507970B3A"/>
    <w:qFormat/>
    <w:uiPriority w:val="99"/>
    <w:pPr>
      <w:spacing w:after="200" w:line="276" w:lineRule="auto"/>
    </w:pPr>
    <w:rPr>
      <w:rFonts w:ascii="Calibri" w:hAnsi="Calibri" w:eastAsia="宋体" w:cs="Times New Roman"/>
      <w:sz w:val="22"/>
      <w:szCs w:val="22"/>
      <w:lang w:val="en-US" w:eastAsia="en-US" w:bidi="ar-SA"/>
    </w:rPr>
  </w:style>
  <w:style w:type="paragraph" w:customStyle="1" w:styleId="497">
    <w:name w:val="F1F24AA20A104E81888B2B56C39F687D"/>
    <w:qFormat/>
    <w:uiPriority w:val="99"/>
    <w:pPr>
      <w:spacing w:after="200" w:line="276" w:lineRule="auto"/>
    </w:pPr>
    <w:rPr>
      <w:rFonts w:ascii="Calibri" w:hAnsi="Calibri" w:eastAsia="宋体" w:cs="Times New Roman"/>
      <w:sz w:val="22"/>
      <w:szCs w:val="22"/>
      <w:lang w:val="en-US" w:eastAsia="en-US" w:bidi="ar-SA"/>
    </w:rPr>
  </w:style>
  <w:style w:type="paragraph" w:customStyle="1" w:styleId="498">
    <w:name w:val="F7BCDCDDA8384CDE8CCE71E7B699A57B"/>
    <w:qFormat/>
    <w:uiPriority w:val="99"/>
    <w:pPr>
      <w:spacing w:after="200" w:line="276" w:lineRule="auto"/>
    </w:pPr>
    <w:rPr>
      <w:rFonts w:ascii="Calibri" w:hAnsi="Calibri" w:eastAsia="宋体" w:cs="Times New Roman"/>
      <w:sz w:val="22"/>
      <w:szCs w:val="22"/>
      <w:lang w:val="en-US" w:eastAsia="en-US" w:bidi="ar-SA"/>
    </w:rPr>
  </w:style>
  <w:style w:type="paragraph" w:customStyle="1" w:styleId="499">
    <w:name w:val="尽快 1"/>
    <w:qFormat/>
    <w:uiPriority w:val="99"/>
    <w:pPr>
      <w:tabs>
        <w:tab w:val="center" w:pos="4680"/>
        <w:tab w:val="right" w:pos="9360"/>
      </w:tabs>
    </w:pPr>
    <w:rPr>
      <w:rFonts w:ascii="Calibri" w:hAnsi="Calibri" w:eastAsia="宋体" w:cs="Times New Roman"/>
      <w:sz w:val="22"/>
      <w:szCs w:val="22"/>
      <w:lang w:val="en-US" w:eastAsia="zh-CN" w:bidi="ar-SA"/>
    </w:rPr>
  </w:style>
  <w:style w:type="paragraph" w:customStyle="1" w:styleId="500">
    <w:name w:val="尽快 2"/>
    <w:qFormat/>
    <w:uiPriority w:val="99"/>
    <w:pPr>
      <w:tabs>
        <w:tab w:val="center" w:pos="4680"/>
        <w:tab w:val="right" w:pos="9360"/>
      </w:tabs>
    </w:pPr>
    <w:rPr>
      <w:rFonts w:ascii="Calibri" w:hAnsi="Calibri" w:eastAsia="宋体" w:cs="Times New Roman"/>
      <w:sz w:val="22"/>
      <w:szCs w:val="22"/>
      <w:lang w:val="en-US" w:eastAsia="zh-CN" w:bidi="ar-SA"/>
    </w:rPr>
  </w:style>
  <w:style w:type="paragraph" w:customStyle="1" w:styleId="501">
    <w:name w:val="机密 1"/>
    <w:qFormat/>
    <w:uiPriority w:val="99"/>
    <w:pPr>
      <w:tabs>
        <w:tab w:val="center" w:pos="4680"/>
        <w:tab w:val="right" w:pos="9360"/>
      </w:tabs>
    </w:pPr>
    <w:rPr>
      <w:rFonts w:ascii="Calibri" w:hAnsi="Calibri" w:eastAsia="宋体" w:cs="Times New Roman"/>
      <w:sz w:val="22"/>
      <w:szCs w:val="22"/>
      <w:lang w:val="en-US" w:eastAsia="zh-CN" w:bidi="ar-SA"/>
    </w:rPr>
  </w:style>
  <w:style w:type="paragraph" w:customStyle="1" w:styleId="502">
    <w:name w:val="机密 2"/>
    <w:qFormat/>
    <w:uiPriority w:val="99"/>
    <w:pPr>
      <w:tabs>
        <w:tab w:val="center" w:pos="4680"/>
        <w:tab w:val="right" w:pos="9360"/>
      </w:tabs>
    </w:pPr>
    <w:rPr>
      <w:rFonts w:ascii="Calibri" w:hAnsi="Calibri" w:eastAsia="宋体" w:cs="Times New Roman"/>
      <w:sz w:val="22"/>
      <w:szCs w:val="22"/>
      <w:lang w:val="en-US" w:eastAsia="zh-CN" w:bidi="ar-SA"/>
    </w:rPr>
  </w:style>
  <w:style w:type="paragraph" w:customStyle="1" w:styleId="503">
    <w:name w:val="严禁复制 1"/>
    <w:qFormat/>
    <w:uiPriority w:val="99"/>
    <w:pPr>
      <w:tabs>
        <w:tab w:val="center" w:pos="4680"/>
        <w:tab w:val="right" w:pos="9360"/>
      </w:tabs>
    </w:pPr>
    <w:rPr>
      <w:rFonts w:ascii="Calibri" w:hAnsi="Calibri" w:eastAsia="宋体" w:cs="Times New Roman"/>
      <w:sz w:val="22"/>
      <w:szCs w:val="22"/>
      <w:lang w:val="en-US" w:eastAsia="zh-CN" w:bidi="ar-SA"/>
    </w:rPr>
  </w:style>
  <w:style w:type="paragraph" w:customStyle="1" w:styleId="504">
    <w:name w:val="严禁复制 2"/>
    <w:qFormat/>
    <w:uiPriority w:val="99"/>
    <w:pPr>
      <w:tabs>
        <w:tab w:val="center" w:pos="4680"/>
        <w:tab w:val="right" w:pos="9360"/>
      </w:tabs>
    </w:pPr>
    <w:rPr>
      <w:rFonts w:ascii="Calibri" w:hAnsi="Calibri" w:eastAsia="宋体" w:cs="Times New Roman"/>
      <w:sz w:val="22"/>
      <w:szCs w:val="22"/>
      <w:lang w:val="en-US" w:eastAsia="zh-CN" w:bidi="ar-SA"/>
    </w:rPr>
  </w:style>
  <w:style w:type="paragraph" w:customStyle="1" w:styleId="505">
    <w:name w:val="草稿 1"/>
    <w:qFormat/>
    <w:uiPriority w:val="99"/>
    <w:pPr>
      <w:tabs>
        <w:tab w:val="center" w:pos="4680"/>
        <w:tab w:val="right" w:pos="9360"/>
      </w:tabs>
    </w:pPr>
    <w:rPr>
      <w:rFonts w:ascii="Calibri" w:hAnsi="Calibri" w:eastAsia="宋体" w:cs="Times New Roman"/>
      <w:sz w:val="22"/>
      <w:szCs w:val="22"/>
      <w:lang w:val="en-US" w:eastAsia="zh-CN" w:bidi="ar-SA"/>
    </w:rPr>
  </w:style>
  <w:style w:type="paragraph" w:customStyle="1" w:styleId="506">
    <w:name w:val="草稿 2"/>
    <w:qFormat/>
    <w:uiPriority w:val="99"/>
    <w:pPr>
      <w:tabs>
        <w:tab w:val="center" w:pos="4680"/>
        <w:tab w:val="right" w:pos="9360"/>
      </w:tabs>
    </w:pPr>
    <w:rPr>
      <w:rFonts w:ascii="Calibri" w:hAnsi="Calibri" w:eastAsia="宋体" w:cs="Times New Roman"/>
      <w:sz w:val="22"/>
      <w:szCs w:val="22"/>
      <w:lang w:val="en-US" w:eastAsia="zh-CN" w:bidi="ar-SA"/>
    </w:rPr>
  </w:style>
  <w:style w:type="paragraph" w:customStyle="1" w:styleId="507">
    <w:name w:val="样本 1"/>
    <w:qFormat/>
    <w:uiPriority w:val="99"/>
    <w:pPr>
      <w:tabs>
        <w:tab w:val="center" w:pos="4680"/>
        <w:tab w:val="right" w:pos="9360"/>
      </w:tabs>
    </w:pPr>
    <w:rPr>
      <w:rFonts w:ascii="Calibri" w:hAnsi="Calibri" w:eastAsia="宋体" w:cs="Times New Roman"/>
      <w:sz w:val="22"/>
      <w:szCs w:val="22"/>
      <w:lang w:val="en-US" w:eastAsia="zh-CN" w:bidi="ar-SA"/>
    </w:rPr>
  </w:style>
  <w:style w:type="paragraph" w:customStyle="1" w:styleId="508">
    <w:name w:val="样本 2"/>
    <w:qFormat/>
    <w:uiPriority w:val="99"/>
    <w:pPr>
      <w:tabs>
        <w:tab w:val="center" w:pos="4680"/>
        <w:tab w:val="right" w:pos="9360"/>
      </w:tabs>
    </w:pPr>
    <w:rPr>
      <w:rFonts w:ascii="Calibri" w:hAnsi="Calibri" w:eastAsia="宋体" w:cs="Times New Roman"/>
      <w:sz w:val="22"/>
      <w:szCs w:val="22"/>
      <w:lang w:val="en-US" w:eastAsia="zh-CN" w:bidi="ar-SA"/>
    </w:rPr>
  </w:style>
  <w:style w:type="paragraph" w:customStyle="1" w:styleId="509">
    <w:name w:val="紧急 1"/>
    <w:qFormat/>
    <w:uiPriority w:val="99"/>
    <w:pPr>
      <w:tabs>
        <w:tab w:val="center" w:pos="4680"/>
        <w:tab w:val="right" w:pos="9360"/>
      </w:tabs>
    </w:pPr>
    <w:rPr>
      <w:rFonts w:ascii="Calibri" w:hAnsi="Calibri" w:eastAsia="宋体" w:cs="Times New Roman"/>
      <w:sz w:val="22"/>
      <w:szCs w:val="22"/>
      <w:lang w:val="en-US" w:eastAsia="zh-CN" w:bidi="ar-SA"/>
    </w:rPr>
  </w:style>
  <w:style w:type="paragraph" w:customStyle="1" w:styleId="510">
    <w:name w:val="紧急 2"/>
    <w:qFormat/>
    <w:uiPriority w:val="99"/>
    <w:pPr>
      <w:tabs>
        <w:tab w:val="center" w:pos="4680"/>
        <w:tab w:val="right" w:pos="9360"/>
      </w:tabs>
    </w:pPr>
    <w:rPr>
      <w:rFonts w:ascii="Calibri" w:hAnsi="Calibri" w:eastAsia="宋体" w:cs="Times New Roman"/>
      <w:sz w:val="22"/>
      <w:szCs w:val="22"/>
      <w:lang w:val="en-US" w:eastAsia="zh-CN" w:bidi="ar-SA"/>
    </w:rPr>
  </w:style>
  <w:style w:type="paragraph" w:customStyle="1" w:styleId="511">
    <w:name w:val="p0"/>
    <w:basedOn w:val="1"/>
    <w:qFormat/>
    <w:uiPriority w:val="99"/>
    <w:rPr>
      <w:rFonts w:eastAsia="Arial Unicode MS"/>
      <w:sz w:val="23"/>
      <w:szCs w:val="21"/>
      <w:lang w:eastAsia="en-US"/>
    </w:rPr>
  </w:style>
  <w:style w:type="paragraph" w:customStyle="1" w:styleId="512">
    <w:name w:val="图例说明"/>
    <w:basedOn w:val="1"/>
    <w:qFormat/>
    <w:uiPriority w:val="99"/>
    <w:pPr>
      <w:jc w:val="center"/>
    </w:pPr>
    <w:rPr>
      <w:sz w:val="18"/>
      <w:szCs w:val="18"/>
      <w:lang w:eastAsia="en-US"/>
    </w:rPr>
  </w:style>
  <w:style w:type="paragraph" w:customStyle="1" w:styleId="513">
    <w:name w:val="表名A"/>
    <w:basedOn w:val="1"/>
    <w:qFormat/>
    <w:uiPriority w:val="99"/>
    <w:pPr>
      <w:tabs>
        <w:tab w:val="left" w:pos="0"/>
      </w:tabs>
      <w:adjustRightInd w:val="0"/>
      <w:snapToGrid w:val="0"/>
      <w:spacing w:beforeLines="80" w:afterLines="20"/>
      <w:jc w:val="center"/>
    </w:pPr>
    <w:rPr>
      <w:rFonts w:cs="Plotter"/>
      <w:b/>
      <w:sz w:val="23"/>
      <w:szCs w:val="20"/>
      <w:lang w:eastAsia="en-US"/>
    </w:rPr>
  </w:style>
  <w:style w:type="paragraph" w:customStyle="1" w:styleId="514">
    <w:name w:val="表文C"/>
    <w:basedOn w:val="1"/>
    <w:qFormat/>
    <w:uiPriority w:val="99"/>
    <w:pPr>
      <w:tabs>
        <w:tab w:val="left" w:pos="0"/>
      </w:tabs>
      <w:adjustRightInd w:val="0"/>
      <w:snapToGrid w:val="0"/>
      <w:jc w:val="center"/>
    </w:pPr>
    <w:rPr>
      <w:rFonts w:cs="Plotter"/>
      <w:sz w:val="23"/>
      <w:szCs w:val="20"/>
      <w:lang w:eastAsia="en-US"/>
    </w:rPr>
  </w:style>
  <w:style w:type="paragraph" w:customStyle="1" w:styleId="515">
    <w:name w:val="表头"/>
    <w:qFormat/>
    <w:uiPriority w:val="99"/>
    <w:pPr>
      <w:adjustRightInd w:val="0"/>
      <w:snapToGrid w:val="0"/>
      <w:spacing w:before="60" w:after="60" w:line="276" w:lineRule="auto"/>
      <w:jc w:val="center"/>
    </w:pPr>
    <w:rPr>
      <w:rFonts w:ascii="Times New Roman" w:hAnsi="Times New Roman" w:eastAsia="宋体" w:cs="Plotter"/>
      <w:b/>
      <w:sz w:val="21"/>
      <w:szCs w:val="22"/>
      <w:lang w:val="en-US" w:eastAsia="zh-CN" w:bidi="ar-SA"/>
    </w:rPr>
  </w:style>
  <w:style w:type="paragraph" w:customStyle="1" w:styleId="516">
    <w:name w:val="图名A"/>
    <w:basedOn w:val="1"/>
    <w:qFormat/>
    <w:uiPriority w:val="99"/>
    <w:pPr>
      <w:tabs>
        <w:tab w:val="left" w:pos="0"/>
      </w:tabs>
      <w:adjustRightInd w:val="0"/>
      <w:snapToGrid w:val="0"/>
      <w:spacing w:beforeLines="20" w:afterLines="80"/>
      <w:jc w:val="center"/>
    </w:pPr>
    <w:rPr>
      <w:rFonts w:cs="Plotter"/>
      <w:b/>
      <w:sz w:val="23"/>
      <w:szCs w:val="20"/>
      <w:lang w:eastAsia="en-US"/>
    </w:rPr>
  </w:style>
  <w:style w:type="paragraph" w:customStyle="1" w:styleId="517">
    <w:name w:val="Char Char Char2 Char"/>
    <w:basedOn w:val="1"/>
    <w:qFormat/>
    <w:uiPriority w:val="99"/>
    <w:pPr>
      <w:tabs>
        <w:tab w:val="left" w:pos="1668"/>
      </w:tabs>
      <w:ind w:left="1668" w:hanging="408"/>
    </w:pPr>
    <w:rPr>
      <w:sz w:val="23"/>
      <w:lang w:eastAsia="en-US"/>
    </w:rPr>
  </w:style>
  <w:style w:type="paragraph" w:customStyle="1" w:styleId="518">
    <w:name w:val="样式 报告正文 + 加粗"/>
    <w:basedOn w:val="1"/>
    <w:qFormat/>
    <w:uiPriority w:val="99"/>
    <w:pPr>
      <w:tabs>
        <w:tab w:val="left" w:pos="7000"/>
      </w:tabs>
      <w:adjustRightInd w:val="0"/>
      <w:snapToGrid w:val="0"/>
      <w:spacing w:line="300" w:lineRule="auto"/>
      <w:ind w:firstLine="420"/>
      <w:jc w:val="center"/>
    </w:pPr>
    <w:rPr>
      <w:rFonts w:ascii="黑体" w:hAnsi="宋体" w:eastAsia="黑体"/>
      <w:b/>
      <w:bCs/>
      <w:sz w:val="23"/>
      <w:szCs w:val="21"/>
      <w:lang w:eastAsia="en-US"/>
    </w:rPr>
  </w:style>
  <w:style w:type="paragraph" w:customStyle="1" w:styleId="519">
    <w:name w:val="表文A"/>
    <w:qFormat/>
    <w:uiPriority w:val="99"/>
    <w:pPr>
      <w:tabs>
        <w:tab w:val="left" w:pos="0"/>
      </w:tabs>
      <w:adjustRightInd w:val="0"/>
      <w:snapToGrid w:val="0"/>
      <w:spacing w:after="200" w:line="264" w:lineRule="auto"/>
      <w:jc w:val="center"/>
    </w:pPr>
    <w:rPr>
      <w:rFonts w:ascii="Times New Roman" w:hAnsi="Times New Roman" w:eastAsia="宋体" w:cs="Times New Roman"/>
      <w:sz w:val="21"/>
      <w:szCs w:val="22"/>
      <w:lang w:val="en-US" w:eastAsia="zh-CN" w:bidi="ar-SA"/>
    </w:rPr>
  </w:style>
  <w:style w:type="paragraph" w:customStyle="1" w:styleId="520">
    <w:name w:val="标题E"/>
    <w:basedOn w:val="1"/>
    <w:qFormat/>
    <w:uiPriority w:val="99"/>
    <w:pPr>
      <w:tabs>
        <w:tab w:val="left" w:pos="0"/>
      </w:tabs>
      <w:adjustRightInd w:val="0"/>
      <w:ind w:firstLine="480"/>
      <w:outlineLvl w:val="4"/>
    </w:pPr>
    <w:rPr>
      <w:szCs w:val="20"/>
      <w:lang w:eastAsia="en-US"/>
    </w:rPr>
  </w:style>
  <w:style w:type="paragraph" w:customStyle="1" w:styleId="521">
    <w:name w:val="表注"/>
    <w:basedOn w:val="1"/>
    <w:qFormat/>
    <w:uiPriority w:val="99"/>
    <w:rPr>
      <w:rFonts w:ascii="Plotter" w:hAnsi="Plotter"/>
      <w:sz w:val="18"/>
      <w:lang w:eastAsia="en-US"/>
    </w:rPr>
  </w:style>
  <w:style w:type="paragraph" w:customStyle="1" w:styleId="522">
    <w:name w:val="xl25"/>
    <w:basedOn w:val="1"/>
    <w:qFormat/>
    <w:uiPriority w:val="99"/>
    <w:pPr>
      <w:pBdr>
        <w:left w:val="single" w:color="auto" w:sz="4" w:space="0"/>
      </w:pBdr>
      <w:spacing w:before="100" w:beforeAutospacing="1" w:after="100" w:afterAutospacing="1"/>
      <w:jc w:val="center"/>
      <w:textAlignment w:val="center"/>
    </w:pPr>
    <w:rPr>
      <w:rFonts w:ascii="宋体" w:hAnsi="宋体"/>
      <w:lang w:eastAsia="en-US"/>
    </w:rPr>
  </w:style>
  <w:style w:type="paragraph" w:customStyle="1" w:styleId="523">
    <w:name w:val="Figure"/>
    <w:basedOn w:val="1"/>
    <w:next w:val="1"/>
    <w:qFormat/>
    <w:uiPriority w:val="99"/>
    <w:pPr>
      <w:tabs>
        <w:tab w:val="left" w:pos="4706"/>
      </w:tabs>
      <w:overflowPunct w:val="0"/>
      <w:autoSpaceDE w:val="0"/>
      <w:autoSpaceDN w:val="0"/>
      <w:adjustRightInd w:val="0"/>
      <w:textAlignment w:val="baseline"/>
    </w:pPr>
    <w:rPr>
      <w:rFonts w:eastAsia="PMingLiU"/>
      <w:sz w:val="22"/>
      <w:szCs w:val="20"/>
      <w:lang w:eastAsia="en-US"/>
    </w:rPr>
  </w:style>
  <w:style w:type="paragraph" w:customStyle="1" w:styleId="524">
    <w:name w:val="正文75"/>
    <w:basedOn w:val="1"/>
    <w:qFormat/>
    <w:uiPriority w:val="99"/>
    <w:pPr>
      <w:adjustRightInd w:val="0"/>
      <w:snapToGrid w:val="0"/>
    </w:pPr>
    <w:rPr>
      <w:rFonts w:hAnsi="宋体" w:eastAsia="仿宋_GB2312"/>
      <w:sz w:val="32"/>
      <w:szCs w:val="32"/>
      <w:lang w:eastAsia="en-US"/>
    </w:rPr>
  </w:style>
  <w:style w:type="character" w:customStyle="1" w:styleId="525">
    <w:name w:val="正文A Char Char"/>
    <w:basedOn w:val="120"/>
    <w:qFormat/>
    <w:uiPriority w:val="99"/>
    <w:rPr>
      <w:rFonts w:eastAsia="宋体" w:cs="Times New Roman"/>
      <w:snapToGrid w:val="0"/>
      <w:sz w:val="24"/>
      <w:lang w:val="en-US" w:eastAsia="zh-CN" w:bidi="ar-SA"/>
    </w:rPr>
  </w:style>
  <w:style w:type="paragraph" w:customStyle="1" w:styleId="526">
    <w:name w:val="A 图名"/>
    <w:basedOn w:val="1"/>
    <w:next w:val="527"/>
    <w:qFormat/>
    <w:uiPriority w:val="99"/>
    <w:pPr>
      <w:spacing w:before="60" w:after="120"/>
      <w:jc w:val="center"/>
      <w:outlineLvl w:val="2"/>
    </w:pPr>
    <w:rPr>
      <w:b/>
      <w:bCs/>
      <w:sz w:val="23"/>
      <w:szCs w:val="28"/>
      <w:lang w:eastAsia="en-US"/>
    </w:rPr>
  </w:style>
  <w:style w:type="paragraph" w:customStyle="1" w:styleId="527">
    <w:name w:val="A 正文"/>
    <w:link w:val="528"/>
    <w:qFormat/>
    <w:uiPriority w:val="99"/>
    <w:pPr>
      <w:spacing w:after="200" w:line="360" w:lineRule="auto"/>
      <w:ind w:firstLine="482"/>
    </w:pPr>
    <w:rPr>
      <w:rFonts w:ascii="Times New Roman" w:hAnsi="Times New Roman" w:eastAsia="宋体" w:cs="宋体"/>
      <w:kern w:val="2"/>
      <w:sz w:val="24"/>
      <w:szCs w:val="24"/>
      <w:lang w:val="en-US" w:eastAsia="zh-CN" w:bidi="ar-SA"/>
    </w:rPr>
  </w:style>
  <w:style w:type="character" w:customStyle="1" w:styleId="528">
    <w:name w:val="A 正文 Char"/>
    <w:basedOn w:val="120"/>
    <w:link w:val="527"/>
    <w:qFormat/>
    <w:locked/>
    <w:uiPriority w:val="99"/>
    <w:rPr>
      <w:rFonts w:cs="宋体"/>
      <w:kern w:val="2"/>
      <w:sz w:val="24"/>
      <w:szCs w:val="24"/>
      <w:lang w:val="en-US" w:eastAsia="zh-CN" w:bidi="ar-SA"/>
    </w:rPr>
  </w:style>
  <w:style w:type="character" w:customStyle="1" w:styleId="529">
    <w:name w:val="副标题 字符"/>
    <w:basedOn w:val="120"/>
    <w:link w:val="53"/>
    <w:qFormat/>
    <w:uiPriority w:val="0"/>
    <w:rPr>
      <w:rFonts w:ascii="Cambria" w:hAnsi="Cambria"/>
      <w:sz w:val="23"/>
      <w:szCs w:val="24"/>
      <w:lang w:eastAsia="en-US"/>
    </w:rPr>
  </w:style>
  <w:style w:type="paragraph" w:styleId="530">
    <w:name w:val="Quote"/>
    <w:basedOn w:val="1"/>
    <w:next w:val="1"/>
    <w:link w:val="531"/>
    <w:qFormat/>
    <w:uiPriority w:val="99"/>
    <w:rPr>
      <w:rFonts w:ascii="Calibri" w:hAnsi="Calibri"/>
      <w:i/>
      <w:sz w:val="23"/>
      <w:lang w:eastAsia="en-US"/>
    </w:rPr>
  </w:style>
  <w:style w:type="character" w:customStyle="1" w:styleId="531">
    <w:name w:val="引用 字符"/>
    <w:basedOn w:val="120"/>
    <w:link w:val="530"/>
    <w:qFormat/>
    <w:uiPriority w:val="99"/>
    <w:rPr>
      <w:rFonts w:ascii="Calibri" w:hAnsi="Calibri"/>
      <w:i/>
      <w:sz w:val="23"/>
      <w:szCs w:val="24"/>
      <w:lang w:eastAsia="en-US"/>
    </w:rPr>
  </w:style>
  <w:style w:type="paragraph" w:styleId="532">
    <w:name w:val="Intense Quote"/>
    <w:basedOn w:val="1"/>
    <w:next w:val="1"/>
    <w:link w:val="533"/>
    <w:qFormat/>
    <w:uiPriority w:val="99"/>
    <w:pPr>
      <w:ind w:left="720" w:right="720"/>
    </w:pPr>
    <w:rPr>
      <w:rFonts w:ascii="Calibri" w:hAnsi="Calibri"/>
      <w:b/>
      <w:i/>
      <w:sz w:val="23"/>
      <w:szCs w:val="22"/>
      <w:lang w:eastAsia="en-US"/>
    </w:rPr>
  </w:style>
  <w:style w:type="character" w:customStyle="1" w:styleId="533">
    <w:name w:val="明显引用 字符"/>
    <w:basedOn w:val="120"/>
    <w:link w:val="532"/>
    <w:qFormat/>
    <w:uiPriority w:val="99"/>
    <w:rPr>
      <w:rFonts w:ascii="Calibri" w:hAnsi="Calibri"/>
      <w:b/>
      <w:i/>
      <w:sz w:val="23"/>
      <w:szCs w:val="22"/>
      <w:lang w:eastAsia="en-US"/>
    </w:rPr>
  </w:style>
  <w:style w:type="character" w:customStyle="1" w:styleId="534">
    <w:name w:val="明显强调1"/>
    <w:basedOn w:val="120"/>
    <w:qFormat/>
    <w:uiPriority w:val="99"/>
    <w:rPr>
      <w:rFonts w:cs="Times New Roman"/>
      <w:b/>
      <w:i/>
      <w:sz w:val="24"/>
      <w:szCs w:val="24"/>
      <w:u w:val="single"/>
    </w:rPr>
  </w:style>
  <w:style w:type="character" w:customStyle="1" w:styleId="535">
    <w:name w:val="不明显参考1"/>
    <w:basedOn w:val="120"/>
    <w:qFormat/>
    <w:uiPriority w:val="99"/>
    <w:rPr>
      <w:rFonts w:cs="Times New Roman"/>
      <w:sz w:val="24"/>
      <w:szCs w:val="24"/>
      <w:u w:val="single"/>
    </w:rPr>
  </w:style>
  <w:style w:type="character" w:customStyle="1" w:styleId="536">
    <w:name w:val="明显参考1"/>
    <w:basedOn w:val="120"/>
    <w:qFormat/>
    <w:uiPriority w:val="99"/>
    <w:rPr>
      <w:rFonts w:cs="Times New Roman"/>
      <w:b/>
      <w:sz w:val="24"/>
      <w:u w:val="single"/>
    </w:rPr>
  </w:style>
  <w:style w:type="character" w:customStyle="1" w:styleId="537">
    <w:name w:val="书籍标题1"/>
    <w:basedOn w:val="120"/>
    <w:qFormat/>
    <w:uiPriority w:val="99"/>
    <w:rPr>
      <w:rFonts w:ascii="Cambria" w:hAnsi="Cambria" w:eastAsia="宋体" w:cs="Times New Roman"/>
      <w:b/>
      <w:i/>
      <w:sz w:val="24"/>
      <w:szCs w:val="24"/>
    </w:rPr>
  </w:style>
  <w:style w:type="paragraph" w:customStyle="1" w:styleId="538">
    <w:name w:val="样式1"/>
    <w:basedOn w:val="1"/>
    <w:qFormat/>
    <w:uiPriority w:val="99"/>
    <w:pPr>
      <w:widowControl w:val="0"/>
      <w:spacing w:line="288" w:lineRule="auto"/>
      <w:ind w:firstLine="435"/>
    </w:pPr>
  </w:style>
  <w:style w:type="paragraph" w:customStyle="1" w:styleId="539">
    <w:name w:val="Char Char Char Char Char Char Char Char Char Char Char Char Char Char Char Char Char Char Char Char Char Char Char Char Char Char Char Char Char Char Char Char Char Char Char Char Char Char Char Char Char Char Char Char Char Char Char Char Char"/>
    <w:basedOn w:val="1"/>
    <w:qFormat/>
    <w:uiPriority w:val="99"/>
    <w:pPr>
      <w:spacing w:after="160" w:line="240" w:lineRule="exact"/>
    </w:pPr>
    <w:rPr>
      <w:rFonts w:ascii="Arial" w:hAnsi="Arial" w:cs="Verdana"/>
      <w:b/>
      <w:lang w:eastAsia="en-US"/>
    </w:rPr>
  </w:style>
  <w:style w:type="paragraph" w:customStyle="1" w:styleId="540">
    <w:name w:val="表内容"/>
    <w:basedOn w:val="1"/>
    <w:link w:val="542"/>
    <w:qFormat/>
    <w:uiPriority w:val="0"/>
    <w:pPr>
      <w:spacing w:beforeLines="30" w:line="240" w:lineRule="auto"/>
      <w:ind w:firstLine="0" w:firstLineChars="0"/>
    </w:pPr>
    <w:rPr>
      <w:sz w:val="18"/>
    </w:rPr>
  </w:style>
  <w:style w:type="paragraph" w:customStyle="1" w:styleId="541">
    <w:name w:val="图表名"/>
    <w:basedOn w:val="1"/>
    <w:link w:val="543"/>
    <w:qFormat/>
    <w:uiPriority w:val="0"/>
    <w:pPr>
      <w:ind w:firstLine="0" w:firstLineChars="0"/>
      <w:jc w:val="center"/>
    </w:pPr>
    <w:rPr>
      <w:rFonts w:eastAsia="黑体"/>
      <w:sz w:val="21"/>
    </w:rPr>
  </w:style>
  <w:style w:type="character" w:customStyle="1" w:styleId="542">
    <w:name w:val="表内容 Char"/>
    <w:basedOn w:val="120"/>
    <w:link w:val="540"/>
    <w:qFormat/>
    <w:uiPriority w:val="0"/>
    <w:rPr>
      <w:sz w:val="18"/>
      <w:szCs w:val="24"/>
    </w:rPr>
  </w:style>
  <w:style w:type="character" w:customStyle="1" w:styleId="543">
    <w:name w:val="图表名 Char"/>
    <w:basedOn w:val="120"/>
    <w:link w:val="541"/>
    <w:qFormat/>
    <w:uiPriority w:val="0"/>
    <w:rPr>
      <w:rFonts w:eastAsia="黑体"/>
      <w:sz w:val="21"/>
      <w:szCs w:val="24"/>
    </w:rPr>
  </w:style>
  <w:style w:type="character" w:styleId="544">
    <w:name w:val="Placeholder Text"/>
    <w:basedOn w:val="120"/>
    <w:semiHidden/>
    <w:qFormat/>
    <w:uiPriority w:val="99"/>
    <w:rPr>
      <w:color w:val="808080"/>
    </w:rPr>
  </w:style>
  <w:style w:type="paragraph" w:customStyle="1" w:styleId="545">
    <w:name w:val="插图注释"/>
    <w:basedOn w:val="1"/>
    <w:next w:val="1"/>
    <w:qFormat/>
    <w:uiPriority w:val="0"/>
    <w:pPr>
      <w:spacing w:after="40" w:line="240" w:lineRule="auto"/>
      <w:ind w:firstLine="0" w:firstLineChars="0"/>
      <w:jc w:val="center"/>
    </w:pPr>
    <w:rPr>
      <w:sz w:val="21"/>
      <w:szCs w:val="20"/>
      <w:lang w:val="en-GB"/>
    </w:rPr>
  </w:style>
  <w:style w:type="paragraph" w:customStyle="1" w:styleId="546">
    <w:name w:val="插图"/>
    <w:basedOn w:val="1"/>
    <w:next w:val="1"/>
    <w:qFormat/>
    <w:uiPriority w:val="0"/>
    <w:pPr>
      <w:spacing w:beforeLines="30" w:after="40" w:line="240" w:lineRule="auto"/>
      <w:ind w:firstLine="0" w:firstLineChars="0"/>
      <w:jc w:val="center"/>
    </w:pPr>
    <w:rPr>
      <w:sz w:val="21"/>
      <w:szCs w:val="20"/>
      <w:lang w:val="en-GB"/>
    </w:rPr>
  </w:style>
  <w:style w:type="character" w:customStyle="1" w:styleId="547">
    <w:name w:val="重点"/>
    <w:basedOn w:val="120"/>
    <w:qFormat/>
    <w:uiPriority w:val="0"/>
    <w:rPr>
      <w:rFonts w:ascii="Times New Roman" w:hAnsi="Times New Roman" w:eastAsia="黑体"/>
      <w:sz w:val="21"/>
    </w:rPr>
  </w:style>
  <w:style w:type="character" w:customStyle="1" w:styleId="548">
    <w:name w:val="附录"/>
    <w:basedOn w:val="120"/>
    <w:qFormat/>
    <w:uiPriority w:val="0"/>
    <w:rPr>
      <w:rFonts w:ascii="Times New Roman" w:hAnsi="Times New Roman" w:eastAsia="宋体"/>
      <w:sz w:val="21"/>
    </w:rPr>
  </w:style>
  <w:style w:type="character" w:customStyle="1" w:styleId="549">
    <w:name w:val="正文文本首行缩进 2 字符"/>
    <w:basedOn w:val="147"/>
    <w:link w:val="73"/>
    <w:qFormat/>
    <w:uiPriority w:val="0"/>
    <w:rPr>
      <w:sz w:val="24"/>
      <w:szCs w:val="24"/>
    </w:rPr>
  </w:style>
  <w:style w:type="paragraph" w:customStyle="1" w:styleId="550">
    <w:name w:val="正文首行缩进 21"/>
    <w:basedOn w:val="1"/>
    <w:qFormat/>
    <w:uiPriority w:val="0"/>
    <w:pPr>
      <w:widowControl w:val="0"/>
      <w:adjustRightInd w:val="0"/>
      <w:spacing w:line="400" w:lineRule="exact"/>
    </w:pPr>
    <w:rPr>
      <w:kern w:val="2"/>
      <w:szCs w:val="48"/>
    </w:rPr>
  </w:style>
  <w:style w:type="character" w:customStyle="1" w:styleId="551">
    <w:name w:val="正文首行缩进 2 Char1"/>
    <w:basedOn w:val="147"/>
    <w:qFormat/>
    <w:uiPriority w:val="99"/>
    <w:rPr>
      <w:rFonts w:ascii="Times New Roman" w:hAnsi="Times New Roman" w:eastAsia="宋体" w:cs="Times New Roman"/>
      <w:sz w:val="24"/>
      <w:szCs w:val="24"/>
    </w:rPr>
  </w:style>
  <w:style w:type="paragraph" w:customStyle="1" w:styleId="552">
    <w:name w:val="格式美观用空行"/>
    <w:basedOn w:val="1"/>
    <w:qFormat/>
    <w:uiPriority w:val="0"/>
    <w:pPr>
      <w:widowControl w:val="0"/>
      <w:adjustRightInd w:val="0"/>
      <w:snapToGrid w:val="0"/>
      <w:spacing w:line="200" w:lineRule="atLeast"/>
      <w:ind w:firstLine="0" w:firstLineChars="0"/>
      <w:jc w:val="center"/>
    </w:pPr>
    <w:rPr>
      <w:kern w:val="2"/>
      <w:sz w:val="20"/>
    </w:rPr>
  </w:style>
  <w:style w:type="paragraph" w:customStyle="1" w:styleId="553">
    <w:name w:val="图表占行"/>
    <w:basedOn w:val="1"/>
    <w:link w:val="554"/>
    <w:qFormat/>
    <w:uiPriority w:val="0"/>
    <w:pPr>
      <w:widowControl w:val="0"/>
      <w:spacing w:line="288" w:lineRule="auto"/>
      <w:ind w:firstLine="0" w:firstLineChars="0"/>
      <w:jc w:val="center"/>
    </w:pPr>
    <w:rPr>
      <w:rFonts w:cstheme="minorBidi"/>
      <w:kern w:val="2"/>
      <w:sz w:val="21"/>
      <w:szCs w:val="22"/>
    </w:rPr>
  </w:style>
  <w:style w:type="character" w:customStyle="1" w:styleId="554">
    <w:name w:val="图表占行 Char"/>
    <w:basedOn w:val="120"/>
    <w:link w:val="553"/>
    <w:qFormat/>
    <w:uiPriority w:val="0"/>
    <w:rPr>
      <w:rFonts w:cstheme="minorBidi"/>
      <w:kern w:val="2"/>
      <w:sz w:val="21"/>
      <w:szCs w:val="22"/>
    </w:rPr>
  </w:style>
  <w:style w:type="character" w:customStyle="1" w:styleId="555">
    <w:name w:val="题注 字符"/>
    <w:link w:val="19"/>
    <w:qFormat/>
    <w:uiPriority w:val="0"/>
    <w:rPr>
      <w:rFonts w:ascii="Calibri" w:hAnsi="Calibri"/>
      <w:b/>
      <w:bCs/>
      <w:color w:val="4F81BD"/>
      <w:sz w:val="18"/>
      <w:szCs w:val="18"/>
      <w:lang w:eastAsia="en-US"/>
    </w:rPr>
  </w:style>
  <w:style w:type="character" w:customStyle="1" w:styleId="556">
    <w:name w:val="HTML 地址 字符"/>
    <w:basedOn w:val="120"/>
    <w:link w:val="35"/>
    <w:qFormat/>
    <w:uiPriority w:val="0"/>
    <w:rPr>
      <w:i/>
      <w:iCs/>
      <w:kern w:val="2"/>
      <w:sz w:val="24"/>
      <w:szCs w:val="24"/>
    </w:rPr>
  </w:style>
  <w:style w:type="character" w:customStyle="1" w:styleId="557">
    <w:name w:val="HTML 预设格式 字符"/>
    <w:basedOn w:val="120"/>
    <w:link w:val="67"/>
    <w:qFormat/>
    <w:uiPriority w:val="99"/>
    <w:rPr>
      <w:rFonts w:ascii="Courier New" w:hAnsi="Courier New" w:cs="Courier New"/>
      <w:kern w:val="2"/>
    </w:rPr>
  </w:style>
  <w:style w:type="character" w:customStyle="1" w:styleId="558">
    <w:name w:val="称呼 字符"/>
    <w:basedOn w:val="120"/>
    <w:link w:val="24"/>
    <w:qFormat/>
    <w:uiPriority w:val="0"/>
    <w:rPr>
      <w:kern w:val="2"/>
      <w:sz w:val="24"/>
      <w:szCs w:val="24"/>
    </w:rPr>
  </w:style>
  <w:style w:type="character" w:customStyle="1" w:styleId="559">
    <w:name w:val="电子邮件签名 字符"/>
    <w:basedOn w:val="120"/>
    <w:link w:val="16"/>
    <w:qFormat/>
    <w:uiPriority w:val="0"/>
    <w:rPr>
      <w:kern w:val="2"/>
      <w:sz w:val="24"/>
      <w:szCs w:val="24"/>
    </w:rPr>
  </w:style>
  <w:style w:type="character" w:customStyle="1" w:styleId="560">
    <w:name w:val="结束语 字符"/>
    <w:basedOn w:val="120"/>
    <w:link w:val="26"/>
    <w:qFormat/>
    <w:uiPriority w:val="0"/>
    <w:rPr>
      <w:kern w:val="2"/>
      <w:sz w:val="24"/>
      <w:szCs w:val="24"/>
    </w:rPr>
  </w:style>
  <w:style w:type="character" w:customStyle="1" w:styleId="561">
    <w:name w:val="签名 字符"/>
    <w:basedOn w:val="120"/>
    <w:link w:val="49"/>
    <w:qFormat/>
    <w:uiPriority w:val="0"/>
    <w:rPr>
      <w:kern w:val="2"/>
      <w:sz w:val="24"/>
      <w:szCs w:val="24"/>
    </w:rPr>
  </w:style>
  <w:style w:type="character" w:customStyle="1" w:styleId="562">
    <w:name w:val="信息标题 字符"/>
    <w:basedOn w:val="120"/>
    <w:link w:val="66"/>
    <w:qFormat/>
    <w:uiPriority w:val="0"/>
    <w:rPr>
      <w:rFonts w:ascii="Arial" w:hAnsi="Arial" w:cs="Arial"/>
      <w:kern w:val="2"/>
      <w:sz w:val="24"/>
      <w:szCs w:val="24"/>
      <w:shd w:val="pct20" w:color="auto" w:fill="auto"/>
    </w:rPr>
  </w:style>
  <w:style w:type="character" w:customStyle="1" w:styleId="563">
    <w:name w:val="正文文本首行缩进 字符"/>
    <w:basedOn w:val="149"/>
    <w:link w:val="72"/>
    <w:qFormat/>
    <w:uiPriority w:val="0"/>
    <w:rPr>
      <w:kern w:val="2"/>
      <w:sz w:val="24"/>
      <w:szCs w:val="24"/>
    </w:rPr>
  </w:style>
  <w:style w:type="character" w:customStyle="1" w:styleId="564">
    <w:name w:val="正文文本 2 字符"/>
    <w:basedOn w:val="120"/>
    <w:link w:val="63"/>
    <w:qFormat/>
    <w:uiPriority w:val="0"/>
    <w:rPr>
      <w:kern w:val="2"/>
      <w:sz w:val="24"/>
      <w:szCs w:val="24"/>
    </w:rPr>
  </w:style>
  <w:style w:type="character" w:customStyle="1" w:styleId="565">
    <w:name w:val="正文文本 3 字符"/>
    <w:basedOn w:val="120"/>
    <w:link w:val="25"/>
    <w:qFormat/>
    <w:uiPriority w:val="0"/>
    <w:rPr>
      <w:b/>
      <w:bCs/>
      <w:i/>
      <w:iCs/>
      <w:color w:val="FF0000"/>
      <w:kern w:val="2"/>
      <w:sz w:val="24"/>
      <w:szCs w:val="24"/>
    </w:rPr>
  </w:style>
  <w:style w:type="character" w:customStyle="1" w:styleId="566">
    <w:name w:val="正文文本缩进 2 字符"/>
    <w:basedOn w:val="120"/>
    <w:link w:val="43"/>
    <w:qFormat/>
    <w:uiPriority w:val="0"/>
    <w:rPr>
      <w:kern w:val="2"/>
      <w:sz w:val="21"/>
      <w:szCs w:val="24"/>
    </w:rPr>
  </w:style>
  <w:style w:type="character" w:customStyle="1" w:styleId="567">
    <w:name w:val="正文文本缩进 3 字符"/>
    <w:basedOn w:val="120"/>
    <w:link w:val="59"/>
    <w:qFormat/>
    <w:uiPriority w:val="0"/>
    <w:rPr>
      <w:sz w:val="24"/>
      <w:szCs w:val="24"/>
    </w:rPr>
  </w:style>
  <w:style w:type="character" w:customStyle="1" w:styleId="568">
    <w:name w:val="注释标题 字符"/>
    <w:basedOn w:val="120"/>
    <w:link w:val="14"/>
    <w:qFormat/>
    <w:uiPriority w:val="0"/>
    <w:rPr>
      <w:kern w:val="2"/>
      <w:sz w:val="24"/>
      <w:szCs w:val="24"/>
    </w:rPr>
  </w:style>
  <w:style w:type="paragraph" w:customStyle="1" w:styleId="569">
    <w:name w:val="表"/>
    <w:basedOn w:val="1"/>
    <w:qFormat/>
    <w:uiPriority w:val="0"/>
    <w:pPr>
      <w:widowControl w:val="0"/>
      <w:spacing w:beforeLines="100" w:line="240" w:lineRule="auto"/>
      <w:ind w:firstLine="0" w:firstLineChars="0"/>
      <w:jc w:val="center"/>
    </w:pPr>
    <w:rPr>
      <w:rFonts w:eastAsia="黑体"/>
      <w:kern w:val="2"/>
      <w:sz w:val="21"/>
    </w:rPr>
  </w:style>
  <w:style w:type="paragraph" w:customStyle="1" w:styleId="570">
    <w:name w:val="公式参数说明专用样式"/>
    <w:basedOn w:val="552"/>
    <w:qFormat/>
    <w:uiPriority w:val="0"/>
    <w:pPr>
      <w:spacing w:line="400" w:lineRule="exact"/>
      <w:jc w:val="both"/>
    </w:pPr>
    <w:rPr>
      <w:rFonts w:cs="宋体"/>
      <w:sz w:val="24"/>
      <w:szCs w:val="20"/>
    </w:rPr>
  </w:style>
  <w:style w:type="paragraph" w:customStyle="1" w:styleId="571">
    <w:name w:val="样式 标题 3 + 首行缩进:  0 字符"/>
    <w:basedOn w:val="4"/>
    <w:semiHidden/>
    <w:qFormat/>
    <w:uiPriority w:val="0"/>
    <w:pPr>
      <w:tabs>
        <w:tab w:val="left" w:pos="720"/>
      </w:tabs>
      <w:spacing w:before="0" w:after="0" w:line="240" w:lineRule="atLeast"/>
      <w:ind w:left="720"/>
      <w:jc w:val="left"/>
    </w:pPr>
    <w:rPr>
      <w:rFonts w:cs="宋体"/>
      <w:bCs/>
      <w:kern w:val="2"/>
      <w:szCs w:val="20"/>
    </w:rPr>
  </w:style>
  <w:style w:type="paragraph" w:customStyle="1" w:styleId="572">
    <w:name w:val="样式 首行缩进:  2 字符"/>
    <w:basedOn w:val="1"/>
    <w:link w:val="639"/>
    <w:qFormat/>
    <w:uiPriority w:val="0"/>
    <w:pPr>
      <w:widowControl w:val="0"/>
      <w:spacing w:line="480" w:lineRule="exact"/>
      <w:ind w:firstLine="0" w:firstLineChars="0"/>
    </w:pPr>
    <w:rPr>
      <w:rFonts w:cs="宋体"/>
      <w:kern w:val="2"/>
      <w:szCs w:val="20"/>
    </w:rPr>
  </w:style>
  <w:style w:type="paragraph" w:customStyle="1" w:styleId="573">
    <w:name w:val="样式 题注表"/>
    <w:basedOn w:val="19"/>
    <w:semiHidden/>
    <w:qFormat/>
    <w:uiPriority w:val="0"/>
    <w:pPr>
      <w:widowControl w:val="0"/>
      <w:spacing w:line="270" w:lineRule="exact"/>
      <w:ind w:firstLine="0" w:firstLineChars="0"/>
      <w:jc w:val="center"/>
    </w:pPr>
    <w:rPr>
      <w:rFonts w:ascii="Times New Roman" w:hAnsi="Times New Roman"/>
      <w:b w:val="0"/>
      <w:bCs w:val="0"/>
      <w:color w:val="auto"/>
      <w:kern w:val="2"/>
      <w:sz w:val="21"/>
      <w:szCs w:val="21"/>
      <w:lang w:eastAsia="zh-CN"/>
    </w:rPr>
  </w:style>
  <w:style w:type="paragraph" w:customStyle="1" w:styleId="574">
    <w:name w:val="样式 题注图 Char Char"/>
    <w:basedOn w:val="19"/>
    <w:semiHidden/>
    <w:qFormat/>
    <w:uiPriority w:val="0"/>
    <w:pPr>
      <w:widowControl w:val="0"/>
      <w:spacing w:afterLines="100" w:line="240" w:lineRule="atLeast"/>
      <w:ind w:firstLine="0" w:firstLineChars="0"/>
      <w:jc w:val="center"/>
    </w:pPr>
    <w:rPr>
      <w:rFonts w:ascii="Arial" w:hAnsi="Arial" w:eastAsia="黑体" w:cs="宋体"/>
      <w:bCs w:val="0"/>
      <w:color w:val="auto"/>
      <w:kern w:val="2"/>
      <w:sz w:val="21"/>
      <w:szCs w:val="20"/>
      <w:lang w:eastAsia="zh-CN"/>
    </w:rPr>
  </w:style>
  <w:style w:type="paragraph" w:customStyle="1" w:styleId="575">
    <w:name w:val="样式 图"/>
    <w:basedOn w:val="1"/>
    <w:semiHidden/>
    <w:qFormat/>
    <w:uiPriority w:val="0"/>
    <w:pPr>
      <w:widowControl w:val="0"/>
      <w:spacing w:afterLines="100" w:line="240" w:lineRule="atLeast"/>
      <w:ind w:firstLine="0" w:firstLineChars="0"/>
      <w:jc w:val="center"/>
    </w:pPr>
    <w:rPr>
      <w:rFonts w:ascii="Arial" w:hAnsi="Arial" w:eastAsia="黑体" w:cs="宋体"/>
      <w:kern w:val="2"/>
      <w:sz w:val="21"/>
      <w:szCs w:val="20"/>
    </w:rPr>
  </w:style>
  <w:style w:type="paragraph" w:customStyle="1" w:styleId="576">
    <w:name w:val="样式 图表前空行 + 宋体 小四"/>
    <w:basedOn w:val="1"/>
    <w:semiHidden/>
    <w:qFormat/>
    <w:uiPriority w:val="0"/>
    <w:pPr>
      <w:widowControl w:val="0"/>
      <w:spacing w:line="240" w:lineRule="atLeast"/>
      <w:ind w:firstLine="0" w:firstLineChars="0"/>
      <w:jc w:val="center"/>
    </w:pPr>
    <w:rPr>
      <w:rFonts w:ascii="宋体" w:hAnsi="宋体" w:cs="宋体"/>
      <w:kern w:val="2"/>
      <w:sz w:val="21"/>
      <w:szCs w:val="20"/>
    </w:rPr>
  </w:style>
  <w:style w:type="paragraph" w:customStyle="1" w:styleId="577">
    <w:name w:val="样式 小四 行距: 固定值 18 磅"/>
    <w:basedOn w:val="1"/>
    <w:semiHidden/>
    <w:qFormat/>
    <w:uiPriority w:val="0"/>
    <w:pPr>
      <w:widowControl w:val="0"/>
      <w:spacing w:line="360" w:lineRule="exact"/>
    </w:pPr>
    <w:rPr>
      <w:rFonts w:cs="宋体"/>
      <w:kern w:val="2"/>
      <w:szCs w:val="20"/>
    </w:rPr>
  </w:style>
  <w:style w:type="paragraph" w:customStyle="1" w:styleId="578">
    <w:name w:val="样式 样式 首行缩进:  2 字符 + 首行缩进:  0.85 厘米"/>
    <w:basedOn w:val="572"/>
    <w:semiHidden/>
    <w:qFormat/>
    <w:uiPriority w:val="0"/>
    <w:pPr>
      <w:ind w:firstLine="480"/>
    </w:pPr>
  </w:style>
  <w:style w:type="paragraph" w:customStyle="1" w:styleId="579">
    <w:name w:val="样式 样式 正 文 + 首行缩进:  2 字符 行距: 固定值 18 磅 + 首行缩进:  2 字符"/>
    <w:basedOn w:val="1"/>
    <w:semiHidden/>
    <w:qFormat/>
    <w:uiPriority w:val="0"/>
    <w:pPr>
      <w:widowControl w:val="0"/>
      <w:spacing w:line="360" w:lineRule="exact"/>
      <w:ind w:firstLine="420"/>
    </w:pPr>
    <w:rPr>
      <w:kern w:val="2"/>
      <w:szCs w:val="21"/>
    </w:rPr>
  </w:style>
  <w:style w:type="paragraph" w:customStyle="1" w:styleId="580">
    <w:name w:val="样式 正文文本缩进正文文字缩进 + 小四"/>
    <w:basedOn w:val="29"/>
    <w:semiHidden/>
    <w:qFormat/>
    <w:uiPriority w:val="0"/>
    <w:pPr>
      <w:widowControl w:val="0"/>
      <w:spacing w:line="360" w:lineRule="exact"/>
      <w:ind w:firstLine="425" w:firstLineChars="0"/>
    </w:pPr>
    <w:rPr>
      <w:kern w:val="2"/>
      <w:szCs w:val="20"/>
    </w:rPr>
  </w:style>
  <w:style w:type="paragraph" w:customStyle="1" w:styleId="581">
    <w:name w:val="样式 左"/>
    <w:basedOn w:val="1"/>
    <w:semiHidden/>
    <w:qFormat/>
    <w:uiPriority w:val="0"/>
    <w:pPr>
      <w:widowControl w:val="0"/>
      <w:spacing w:line="240" w:lineRule="auto"/>
      <w:ind w:firstLine="0" w:firstLineChars="0"/>
      <w:jc w:val="left"/>
    </w:pPr>
    <w:rPr>
      <w:rFonts w:cs="宋体"/>
      <w:kern w:val="2"/>
      <w:sz w:val="21"/>
      <w:szCs w:val="20"/>
    </w:rPr>
  </w:style>
  <w:style w:type="paragraph" w:customStyle="1" w:styleId="582">
    <w:name w:val="样式3"/>
    <w:basedOn w:val="3"/>
    <w:semiHidden/>
    <w:qFormat/>
    <w:uiPriority w:val="0"/>
    <w:pPr>
      <w:tabs>
        <w:tab w:val="left" w:pos="576"/>
      </w:tabs>
      <w:spacing w:line="240" w:lineRule="auto"/>
      <w:ind w:left="578" w:hanging="578"/>
      <w:jc w:val="left"/>
    </w:pPr>
    <w:rPr>
      <w:rFonts w:ascii="Arial" w:hAnsi="Arial" w:eastAsia="Times New Roman"/>
      <w:b/>
      <w:bCs/>
      <w:kern w:val="2"/>
      <w:sz w:val="24"/>
      <w:szCs w:val="30"/>
    </w:rPr>
  </w:style>
  <w:style w:type="paragraph" w:customStyle="1" w:styleId="583">
    <w:name w:val="样式4"/>
    <w:basedOn w:val="3"/>
    <w:semiHidden/>
    <w:qFormat/>
    <w:uiPriority w:val="0"/>
    <w:pPr>
      <w:tabs>
        <w:tab w:val="left" w:pos="576"/>
      </w:tabs>
      <w:spacing w:line="240" w:lineRule="auto"/>
      <w:ind w:left="578" w:hanging="578"/>
      <w:jc w:val="left"/>
    </w:pPr>
    <w:rPr>
      <w:rFonts w:ascii="Arial" w:hAnsi="Arial" w:eastAsia="Times New Roman"/>
      <w:b/>
      <w:bCs/>
      <w:kern w:val="2"/>
      <w:sz w:val="24"/>
      <w:szCs w:val="30"/>
    </w:rPr>
  </w:style>
  <w:style w:type="paragraph" w:customStyle="1" w:styleId="584">
    <w:name w:val="图表"/>
    <w:basedOn w:val="63"/>
    <w:next w:val="1"/>
    <w:qFormat/>
    <w:uiPriority w:val="0"/>
    <w:pPr>
      <w:spacing w:after="0" w:line="240" w:lineRule="auto"/>
      <w:ind w:left="1" w:leftChars="-5" w:hanging="11" w:hangingChars="5"/>
      <w:jc w:val="center"/>
    </w:pPr>
    <w:rPr>
      <w:rFonts w:ascii="宋体" w:hAnsi="宋体"/>
      <w:b/>
      <w:sz w:val="21"/>
      <w:szCs w:val="21"/>
    </w:rPr>
  </w:style>
  <w:style w:type="table" w:customStyle="1" w:styleId="585">
    <w:name w:val="侧放的图片"/>
    <w:basedOn w:val="75"/>
    <w:qFormat/>
    <w:uiPriority w:val="0"/>
    <w:pPr>
      <w:widowControl w:val="0"/>
      <w:adjustRightInd w:val="0"/>
      <w:spacing w:line="120" w:lineRule="atLeast"/>
      <w:jc w:val="center"/>
    </w:pPr>
    <w:rPr>
      <w:rFonts w:ascii="Arial" w:hAnsi="Arial" w:eastAsia="宋体" w:cs="Times New Roman"/>
      <w:kern w:val="0"/>
      <w:szCs w:val="21"/>
    </w:rPr>
    <w:tcPr>
      <w:vAlign w:val="center"/>
    </w:tcPr>
    <w:tblStylePr w:type="firstCol">
      <w:pPr>
        <w:wordWrap/>
        <w:spacing w:beforeLines="0" w:beforeAutospacing="0" w:afterLines="0" w:afterAutospacing="0" w:line="120" w:lineRule="atLeast"/>
        <w:ind w:left="0" w:leftChars="0" w:right="0" w:rightChars="0" w:firstLine="0" w:firstLineChars="0"/>
        <w:contextualSpacing w:val="0"/>
        <w:jc w:val="center"/>
      </w:pPr>
    </w:tblStylePr>
    <w:tblStylePr w:type="lastCol">
      <w:pPr>
        <w:wordWrap/>
        <w:spacing w:beforeLines="0" w:beforeAutospacing="0" w:afterLines="0" w:afterAutospacing="0" w:line="120" w:lineRule="atLeast"/>
        <w:ind w:left="0" w:leftChars="0" w:right="0" w:rightChars="0" w:firstLine="0" w:firstLineChars="0"/>
        <w:contextualSpacing w:val="0"/>
        <w:jc w:val="both"/>
      </w:pPr>
      <w:rPr>
        <w:rFonts w:ascii="Times New Roman" w:hAnsi="Times New Roman"/>
        <w:sz w:val="21"/>
        <w:szCs w:val="21"/>
      </w:rPr>
    </w:tblStylePr>
  </w:style>
  <w:style w:type="paragraph" w:customStyle="1" w:styleId="586">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587">
    <w:name w:val="d"/>
    <w:basedOn w:val="1"/>
    <w:qFormat/>
    <w:uiPriority w:val="0"/>
    <w:pPr>
      <w:widowControl w:val="0"/>
      <w:spacing w:after="120" w:line="400" w:lineRule="exact"/>
    </w:pPr>
    <w:rPr>
      <w:rFonts w:ascii="宋体" w:hAnsi="宋体"/>
      <w:kern w:val="2"/>
      <w:sz w:val="28"/>
      <w:szCs w:val="28"/>
    </w:rPr>
  </w:style>
  <w:style w:type="paragraph" w:customStyle="1" w:styleId="588">
    <w:name w:val="样式2"/>
    <w:basedOn w:val="3"/>
    <w:qFormat/>
    <w:uiPriority w:val="0"/>
    <w:pPr>
      <w:spacing w:before="0" w:after="0"/>
    </w:pPr>
    <w:rPr>
      <w:rFonts w:ascii="Arial" w:hAnsi="Arial" w:eastAsia="宋体"/>
      <w:b/>
      <w:bCs/>
      <w:kern w:val="2"/>
      <w:sz w:val="24"/>
    </w:rPr>
  </w:style>
  <w:style w:type="paragraph" w:customStyle="1" w:styleId="589">
    <w:name w:val="kuang"/>
    <w:basedOn w:val="1"/>
    <w:qFormat/>
    <w:uiPriority w:val="0"/>
    <w:pPr>
      <w:widowControl w:val="0"/>
      <w:adjustRightInd w:val="0"/>
      <w:snapToGrid w:val="0"/>
      <w:spacing w:line="240" w:lineRule="auto"/>
      <w:ind w:firstLine="0" w:firstLineChars="0"/>
      <w:jc w:val="center"/>
    </w:pPr>
    <w:rPr>
      <w:kern w:val="2"/>
      <w:sz w:val="21"/>
    </w:rPr>
  </w:style>
  <w:style w:type="paragraph" w:customStyle="1" w:styleId="590">
    <w:name w:val="样式 标题 3 + 小四"/>
    <w:basedOn w:val="4"/>
    <w:qFormat/>
    <w:uiPriority w:val="0"/>
    <w:pPr>
      <w:spacing w:before="240" w:after="240"/>
    </w:pPr>
    <w:rPr>
      <w:rFonts w:eastAsia="宋体"/>
      <w:b/>
      <w:bCs/>
      <w:kern w:val="2"/>
    </w:rPr>
  </w:style>
  <w:style w:type="paragraph" w:customStyle="1" w:styleId="591">
    <w:name w:val="Char"/>
    <w:basedOn w:val="1"/>
    <w:qFormat/>
    <w:uiPriority w:val="0"/>
    <w:pPr>
      <w:widowControl w:val="0"/>
      <w:spacing w:line="240" w:lineRule="auto"/>
      <w:ind w:firstLine="0" w:firstLineChars="0"/>
    </w:pPr>
    <w:rPr>
      <w:kern w:val="2"/>
      <w:sz w:val="21"/>
    </w:rPr>
  </w:style>
  <w:style w:type="paragraph" w:customStyle="1" w:styleId="592">
    <w:name w:val="列出段落1"/>
    <w:basedOn w:val="1"/>
    <w:qFormat/>
    <w:uiPriority w:val="0"/>
    <w:pPr>
      <w:widowControl w:val="0"/>
      <w:spacing w:line="240" w:lineRule="auto"/>
      <w:ind w:firstLine="420"/>
    </w:pPr>
    <w:rPr>
      <w:rFonts w:ascii="Calibri" w:hAnsi="Calibri"/>
      <w:kern w:val="2"/>
      <w:sz w:val="21"/>
      <w:szCs w:val="22"/>
    </w:rPr>
  </w:style>
  <w:style w:type="paragraph" w:customStyle="1" w:styleId="593">
    <w:name w:val="正文样式"/>
    <w:basedOn w:val="1"/>
    <w:qFormat/>
    <w:uiPriority w:val="0"/>
    <w:pPr>
      <w:widowControl w:val="0"/>
      <w:spacing w:line="400" w:lineRule="exact"/>
      <w:ind w:firstLine="480"/>
    </w:pPr>
    <w:rPr>
      <w:kern w:val="2"/>
    </w:rPr>
  </w:style>
  <w:style w:type="paragraph" w:customStyle="1" w:styleId="594">
    <w:name w:val="表格"/>
    <w:basedOn w:val="1"/>
    <w:qFormat/>
    <w:uiPriority w:val="0"/>
    <w:pPr>
      <w:adjustRightInd w:val="0"/>
      <w:snapToGrid w:val="0"/>
      <w:spacing w:beforeLines="50" w:line="240" w:lineRule="auto"/>
      <w:ind w:firstLine="0" w:firstLineChars="0"/>
      <w:jc w:val="center"/>
    </w:pPr>
    <w:rPr>
      <w:rFonts w:ascii="宋体" w:hAnsi="宋体" w:cs="宋体" w:eastAsiaTheme="minorEastAsia"/>
      <w:lang w:eastAsia="en-US" w:bidi="en-US"/>
    </w:rPr>
  </w:style>
  <w:style w:type="paragraph" w:customStyle="1" w:styleId="595">
    <w:name w:val="普通(网站)1"/>
    <w:basedOn w:val="1"/>
    <w:qFormat/>
    <w:uiPriority w:val="0"/>
    <w:pPr>
      <w:spacing w:before="100" w:beforeAutospacing="1" w:after="100" w:afterAutospacing="1" w:line="300" w:lineRule="atLeast"/>
      <w:ind w:firstLine="0" w:firstLineChars="0"/>
      <w:jc w:val="left"/>
    </w:pPr>
    <w:rPr>
      <w:rFonts w:ascii="宋体" w:hAnsi="宋体" w:cs="宋体"/>
      <w:sz w:val="18"/>
      <w:szCs w:val="18"/>
    </w:rPr>
  </w:style>
  <w:style w:type="paragraph" w:customStyle="1" w:styleId="596">
    <w:name w:val="大标题"/>
    <w:basedOn w:val="1"/>
    <w:qFormat/>
    <w:uiPriority w:val="0"/>
    <w:pPr>
      <w:widowControl w:val="0"/>
      <w:spacing w:line="240" w:lineRule="auto"/>
      <w:ind w:firstLine="0" w:firstLineChars="0"/>
      <w:jc w:val="center"/>
    </w:pPr>
    <w:rPr>
      <w:rFonts w:ascii="黑体" w:hAnsi="黑体" w:eastAsia="黑体" w:cs="宋体"/>
      <w:b/>
      <w:bCs/>
      <w:kern w:val="2"/>
      <w:sz w:val="44"/>
      <w:szCs w:val="20"/>
    </w:rPr>
  </w:style>
  <w:style w:type="paragraph" w:customStyle="1" w:styleId="597">
    <w:name w:val="二页人员"/>
    <w:basedOn w:val="596"/>
    <w:qFormat/>
    <w:uiPriority w:val="0"/>
    <w:pPr>
      <w:ind w:left="1441" w:leftChars="686"/>
      <w:jc w:val="left"/>
    </w:pPr>
    <w:rPr>
      <w:b w:val="0"/>
      <w:sz w:val="30"/>
    </w:rPr>
  </w:style>
  <w:style w:type="character" w:customStyle="1" w:styleId="598">
    <w:name w:val="二页人员 加宽"/>
    <w:basedOn w:val="120"/>
    <w:qFormat/>
    <w:uiPriority w:val="0"/>
    <w:rPr>
      <w:spacing w:val="32"/>
    </w:rPr>
  </w:style>
  <w:style w:type="paragraph" w:customStyle="1" w:styleId="599">
    <w:name w:val="标题4"/>
    <w:basedOn w:val="6"/>
    <w:link w:val="600"/>
    <w:qFormat/>
    <w:uiPriority w:val="0"/>
    <w:pPr>
      <w:widowControl w:val="0"/>
    </w:pPr>
  </w:style>
  <w:style w:type="character" w:customStyle="1" w:styleId="600">
    <w:name w:val="标题4 Char"/>
    <w:basedOn w:val="141"/>
    <w:link w:val="599"/>
    <w:qFormat/>
    <w:uiPriority w:val="0"/>
    <w:rPr>
      <w:sz w:val="24"/>
      <w:szCs w:val="28"/>
    </w:rPr>
  </w:style>
  <w:style w:type="paragraph" w:customStyle="1" w:styleId="601">
    <w:name w:val="样式 正文 文本 + 黑色"/>
    <w:basedOn w:val="1"/>
    <w:qFormat/>
    <w:uiPriority w:val="0"/>
    <w:pPr>
      <w:widowControl w:val="0"/>
      <w:ind w:firstLine="420"/>
    </w:pPr>
    <w:rPr>
      <w:color w:val="000000"/>
      <w:kern w:val="2"/>
      <w:szCs w:val="20"/>
      <w:lang w:val="zh-CN"/>
    </w:rPr>
  </w:style>
  <w:style w:type="character" w:customStyle="1" w:styleId="602">
    <w:name w:val="标题1"/>
    <w:basedOn w:val="120"/>
    <w:qFormat/>
    <w:uiPriority w:val="0"/>
  </w:style>
  <w:style w:type="table" w:customStyle="1" w:styleId="603">
    <w:name w:val="彩色型 21"/>
    <w:basedOn w:val="74"/>
    <w:semiHidden/>
    <w:qFormat/>
    <w:uiPriority w:val="0"/>
    <w:pPr>
      <w:widowControl w:val="0"/>
      <w:spacing w:line="400" w:lineRule="exact"/>
      <w:jc w:val="both"/>
    </w:pPr>
    <w:tblPr>
      <w:tblBorders>
        <w:bottom w:val="single" w:color="000000" w:sz="12" w:space="0"/>
      </w:tblBorders>
      <w:tblLayout w:type="fixed"/>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604">
    <w:name w:val="彩色型 31"/>
    <w:basedOn w:val="74"/>
    <w:semiHidden/>
    <w:qFormat/>
    <w:uiPriority w:val="0"/>
    <w:pPr>
      <w:widowControl w:val="0"/>
      <w:spacing w:line="40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Pr>
    <w:tcPr>
      <w:shd w:val="pct25" w:color="008080" w:fill="FFFFFF"/>
    </w:tcPr>
    <w:tblStylePr w:type="firstRow">
      <w:tcPr>
        <w:tcBorders>
          <w:bottom w:val="single" w:color="000000" w:sz="6" w:space="0"/>
          <w:tl2br w:val="nil"/>
          <w:tr2bl w:val="nil"/>
        </w:tcBorders>
        <w:shd w:val="solid" w:color="008080" w:fill="FFFFFF"/>
      </w:tcPr>
    </w:tblStylePr>
    <w:tblStylePr w:type="firstCol">
      <w:tcPr>
        <w:tcBorders>
          <w:left w:val="single" w:color="000000" w:sz="36" w:space="0"/>
          <w:right w:val="single" w:color="000000" w:sz="6" w:space="0"/>
          <w:tl2br w:val="nil"/>
          <w:tr2bl w:val="nil"/>
        </w:tcBorders>
        <w:shd w:val="solid" w:color="008080" w:fill="FFFFFF"/>
      </w:tcPr>
    </w:tblStylePr>
    <w:tblStylePr w:type="nwCell">
      <w:rPr>
        <w:b/>
        <w:bCs/>
        <w:color w:val="FFFFFF"/>
      </w:rPr>
      <w:tcPr>
        <w:tcBorders>
          <w:tl2br w:val="nil"/>
          <w:tr2bl w:val="nil"/>
        </w:tcBorders>
        <w:shd w:val="solid" w:color="000000" w:fill="FFFFFF"/>
      </w:tcPr>
    </w:tblStylePr>
  </w:style>
  <w:style w:type="table" w:customStyle="1" w:styleId="605">
    <w:name w:val="典雅型1"/>
    <w:basedOn w:val="74"/>
    <w:semiHidden/>
    <w:qFormat/>
    <w:uiPriority w:val="0"/>
    <w:pPr>
      <w:widowControl w:val="0"/>
      <w:spacing w:line="400" w:lineRule="exact"/>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cPr>
        <w:tcBorders>
          <w:tl2br w:val="nil"/>
          <w:tr2bl w:val="nil"/>
        </w:tcBorders>
      </w:tcPr>
    </w:tblStylePr>
  </w:style>
  <w:style w:type="table" w:customStyle="1" w:styleId="606">
    <w:name w:val="古典型 11"/>
    <w:basedOn w:val="74"/>
    <w:semiHidden/>
    <w:qFormat/>
    <w:uiPriority w:val="0"/>
    <w:pPr>
      <w:widowControl w:val="0"/>
      <w:spacing w:line="400" w:lineRule="exact"/>
      <w:jc w:val="both"/>
    </w:pPr>
    <w:tblPr>
      <w:tblBorders>
        <w:top w:val="single" w:color="000000" w:sz="12" w:space="0"/>
        <w:bottom w:val="single" w:color="000000" w:sz="12" w:space="0"/>
      </w:tblBorders>
      <w:tblLayout w:type="fixed"/>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607">
    <w:name w:val="古典型 21"/>
    <w:basedOn w:val="74"/>
    <w:semiHidden/>
    <w:qFormat/>
    <w:uiPriority w:val="0"/>
    <w:pPr>
      <w:widowControl w:val="0"/>
      <w:spacing w:line="400" w:lineRule="exact"/>
      <w:jc w:val="both"/>
    </w:pPr>
    <w:tblPr>
      <w:tblBorders>
        <w:top w:val="single" w:color="000000" w:sz="12" w:space="0"/>
        <w:bottom w:val="single" w:color="000000" w:sz="12" w:space="0"/>
      </w:tblBorders>
      <w:tblLayout w:type="fixed"/>
    </w:tblPr>
    <w:tcPr>
      <w:shd w:val="clear" w:color="auto" w:fill="auto"/>
    </w:tcPr>
    <w:tblStylePr w:type="firstRow">
      <w:rPr>
        <w:color w:val="FFFFFF"/>
      </w:rPr>
      <w:tcPr>
        <w:tcBorders>
          <w:bottom w:val="single" w:color="000000" w:sz="6" w:space="0"/>
          <w:tl2br w:val="nil"/>
          <w:tr2bl w:val="nil"/>
        </w:tcBorders>
        <w:shd w:val="solid" w:color="800080" w:fill="FFFFFF"/>
      </w:tcPr>
    </w:tblStylePr>
    <w:tblStylePr w:type="lastRow">
      <w:tcPr>
        <w:tcBorders>
          <w:top w:val="single" w:color="000000" w:sz="6" w:space="0"/>
          <w:tl2br w:val="nil"/>
          <w:tr2bl w:val="nil"/>
        </w:tcBorders>
      </w:tcPr>
    </w:tblStylePr>
    <w:tblStylePr w:type="firstCol">
      <w:rPr>
        <w:b/>
        <w:bCs/>
      </w:rPr>
      <w:tcPr>
        <w:tcBorders>
          <w:tl2br w:val="nil"/>
          <w:tr2bl w:val="nil"/>
        </w:tcBorders>
        <w:shd w:val="solid" w:color="C0C0C0" w:fill="FFFFFF"/>
      </w:tcPr>
    </w:tblStylePr>
    <w:tblStylePr w:type="neCell">
      <w:rPr>
        <w:b/>
        <w:bCs/>
      </w:rPr>
      <w:tcPr>
        <w:tcBorders>
          <w:tl2br w:val="nil"/>
          <w:tr2bl w:val="nil"/>
        </w:tcBorders>
      </w:tcPr>
    </w:tblStylePr>
    <w:tblStylePr w:type="nwCell">
      <w:tcPr>
        <w:tcBorders>
          <w:tl2br w:val="nil"/>
          <w:tr2bl w:val="nil"/>
        </w:tcBorders>
        <w:shd w:val="solid" w:color="800080" w:fill="FFFFFF"/>
      </w:tcPr>
    </w:tblStylePr>
    <w:tblStylePr w:type="swCell">
      <w:rPr>
        <w:color w:val="000080"/>
      </w:rPr>
      <w:tcPr>
        <w:tcBorders>
          <w:tl2br w:val="nil"/>
          <w:tr2bl w:val="nil"/>
        </w:tcBorders>
      </w:tcPr>
    </w:tblStylePr>
  </w:style>
  <w:style w:type="table" w:customStyle="1" w:styleId="608">
    <w:name w:val="古典型 31"/>
    <w:basedOn w:val="74"/>
    <w:semiHidden/>
    <w:qFormat/>
    <w:uiPriority w:val="0"/>
    <w:pPr>
      <w:widowControl w:val="0"/>
      <w:spacing w:line="400" w:lineRule="exact"/>
      <w:jc w:val="both"/>
    </w:pPr>
    <w:rPr>
      <w:color w:val="000080"/>
    </w:rPr>
    <w:tblPr>
      <w:tblBorders>
        <w:top w:val="single" w:color="000000" w:sz="12" w:space="0"/>
        <w:left w:val="single" w:color="000000" w:sz="12" w:space="0"/>
        <w:bottom w:val="single" w:color="000000" w:sz="12" w:space="0"/>
        <w:right w:val="single" w:color="000000" w:sz="12" w:space="0"/>
      </w:tblBorders>
      <w:tblLayout w:type="fixed"/>
    </w:tblPr>
    <w:tcPr>
      <w:shd w:val="solid" w:color="C0C0C0" w:fill="FFFFFF"/>
    </w:tcPr>
    <w:tblStylePr w:type="firstRow">
      <w:rPr>
        <w:b/>
        <w:bCs/>
        <w:i/>
        <w:iCs/>
        <w:color w:val="FFFFFF"/>
      </w:rPr>
      <w:tcPr>
        <w:tcBorders>
          <w:bottom w:val="single" w:color="000000" w:sz="6" w:space="0"/>
          <w:tl2br w:val="nil"/>
          <w:tr2bl w:val="nil"/>
        </w:tcBorders>
        <w:shd w:val="solid" w:color="000080" w:fill="FFFFFF"/>
      </w:tcPr>
    </w:tblStylePr>
    <w:tblStylePr w:type="lastRow">
      <w:rPr>
        <w:color w:val="000080"/>
      </w:rPr>
      <w:tcPr>
        <w:tcBorders>
          <w:top w:val="single" w:color="000000" w:sz="12" w:space="0"/>
          <w:tl2br w:val="nil"/>
          <w:tr2bl w:val="nil"/>
        </w:tcBorders>
        <w:shd w:val="solid" w:color="FFFFFF" w:fill="FFFFFF"/>
      </w:tcPr>
    </w:tblStylePr>
    <w:tblStylePr w:type="firstCol">
      <w:rPr>
        <w:b/>
        <w:bCs/>
        <w:color w:val="000000"/>
      </w:rPr>
      <w:tcPr>
        <w:tcBorders>
          <w:tl2br w:val="nil"/>
          <w:tr2bl w:val="nil"/>
        </w:tcBorders>
      </w:tcPr>
    </w:tblStylePr>
  </w:style>
  <w:style w:type="table" w:customStyle="1" w:styleId="609">
    <w:name w:val="古典型 41"/>
    <w:basedOn w:val="74"/>
    <w:semiHidden/>
    <w:qFormat/>
    <w:uiPriority w:val="0"/>
    <w:pPr>
      <w:widowControl w:val="0"/>
      <w:spacing w:line="400" w:lineRule="exact"/>
      <w:jc w:val="both"/>
    </w:pPr>
    <w:tblPr>
      <w:tblBorders>
        <w:top w:val="single" w:color="000000" w:sz="12" w:space="0"/>
        <w:left w:val="single" w:color="000000" w:sz="6" w:space="0"/>
        <w:bottom w:val="single" w:color="000000" w:sz="12" w:space="0"/>
        <w:right w:val="single" w:color="000000" w:sz="6" w:space="0"/>
      </w:tblBorders>
      <w:tblLayout w:type="fixed"/>
    </w:tblPr>
    <w:tcPr>
      <w:shd w:val="clear" w:color="auto" w:fill="auto"/>
    </w:tcPr>
    <w:tblStylePr w:type="firstRow">
      <w:rPr>
        <w:b/>
        <w:bCs/>
        <w:i/>
        <w:iCs/>
        <w:color w:val="FFFFFF"/>
      </w:rPr>
      <w:tcPr>
        <w:tcBorders>
          <w:bottom w:val="single" w:color="000000" w:sz="6" w:space="0"/>
          <w:tl2br w:val="nil"/>
          <w:tr2bl w:val="nil"/>
        </w:tcBorders>
        <w:shd w:val="pct50" w:color="000080" w:fill="FFFFFF"/>
      </w:tcPr>
    </w:tblStylePr>
    <w:tblStylePr w:type="lastRow">
      <w:rPr>
        <w:color w:val="000080"/>
      </w:rPr>
      <w:tcPr>
        <w:tcBorders>
          <w:bottom w:val="single" w:color="000000" w:sz="6" w:space="0"/>
          <w:tl2br w:val="nil"/>
          <w:tr2bl w:val="nil"/>
        </w:tcBorders>
        <w:shd w:val="pct50" w:color="000000" w:fill="FFFFFF"/>
      </w:tcPr>
    </w:tblStylePr>
    <w:tblStylePr w:type="firstCol">
      <w:rPr>
        <w:b/>
        <w:bCs/>
      </w:rPr>
      <w:tcPr>
        <w:tcBorders>
          <w:tl2br w:val="nil"/>
          <w:tr2bl w:val="nil"/>
        </w:tcBorders>
      </w:tcPr>
    </w:tblStylePr>
    <w:tblStylePr w:type="nwCell">
      <w:rPr>
        <w:b/>
        <w:bCs/>
      </w:rPr>
      <w:tcPr>
        <w:tcBorders>
          <w:tl2br w:val="nil"/>
          <w:tr2bl w:val="nil"/>
        </w:tcBorders>
      </w:tcPr>
    </w:tblStylePr>
    <w:tblStylePr w:type="swCell">
      <w:rPr>
        <w:color w:val="000080"/>
      </w:rPr>
      <w:tcPr>
        <w:tcBorders>
          <w:tl2br w:val="nil"/>
          <w:tr2bl w:val="nil"/>
        </w:tcBorders>
      </w:tcPr>
    </w:tblStylePr>
  </w:style>
  <w:style w:type="table" w:customStyle="1" w:styleId="610">
    <w:name w:val="简明型 21"/>
    <w:basedOn w:val="74"/>
    <w:semiHidden/>
    <w:qFormat/>
    <w:uiPriority w:val="0"/>
    <w:pPr>
      <w:widowControl w:val="0"/>
      <w:spacing w:line="400" w:lineRule="exact"/>
      <w:jc w:val="both"/>
    </w:pPr>
    <w:tblStylePr w:type="firstRow">
      <w:rPr>
        <w:b/>
        <w:bCs/>
      </w:rPr>
      <w:tcPr>
        <w:tcBorders>
          <w:bottom w:val="single" w:color="000000" w:sz="12" w:space="0"/>
          <w:tl2br w:val="nil"/>
          <w:tr2bl w:val="nil"/>
        </w:tcBorders>
      </w:tcPr>
    </w:tblStylePr>
    <w:tblStylePr w:type="lastRow">
      <w:rPr>
        <w:b/>
        <w:bCs/>
        <w:color w:val="auto"/>
      </w:rPr>
      <w:tcPr>
        <w:tcBorders>
          <w:top w:val="single" w:color="000000" w:sz="6" w:space="0"/>
          <w:tl2br w:val="nil"/>
          <w:tr2bl w:val="nil"/>
        </w:tcBorders>
      </w:tcPr>
    </w:tblStylePr>
    <w:tblStylePr w:type="firstCol">
      <w:rPr>
        <w:b/>
        <w:bCs/>
      </w:rPr>
      <w:tcPr>
        <w:tcBorders>
          <w:right w:val="single" w:color="000000" w:sz="12" w:space="0"/>
          <w:tl2br w:val="nil"/>
          <w:tr2bl w:val="nil"/>
        </w:tcBorders>
      </w:tcPr>
    </w:tblStylePr>
    <w:tblStylePr w:type="lastCol">
      <w:rPr>
        <w:b/>
        <w:bCs/>
      </w:rPr>
      <w:tcPr>
        <w:tcBorders>
          <w:left w:val="single" w:color="000000" w:sz="6" w:space="0"/>
          <w:tl2br w:val="nil"/>
          <w:tr2bl w:val="nil"/>
        </w:tcBorders>
      </w:tcPr>
    </w:tblStylePr>
    <w:tblStylePr w:type="neCell">
      <w:rPr>
        <w:b/>
        <w:bCs/>
      </w:rPr>
      <w:tcPr>
        <w:tcBorders>
          <w:left w:val="nil"/>
          <w:tl2br w:val="nil"/>
          <w:tr2bl w:val="nil"/>
        </w:tcBorders>
      </w:tcPr>
    </w:tblStylePr>
    <w:tblStylePr w:type="swCell">
      <w:rPr>
        <w:b/>
        <w:bCs/>
      </w:rPr>
      <w:tcPr>
        <w:tcBorders>
          <w:top w:val="nil"/>
          <w:tl2br w:val="nil"/>
          <w:tr2bl w:val="nil"/>
        </w:tcBorders>
      </w:tcPr>
    </w:tblStylePr>
  </w:style>
  <w:style w:type="table" w:customStyle="1" w:styleId="611">
    <w:name w:val="简明型 31"/>
    <w:basedOn w:val="74"/>
    <w:semiHidden/>
    <w:qFormat/>
    <w:uiPriority w:val="0"/>
    <w:pPr>
      <w:widowControl w:val="0"/>
      <w:spacing w:line="400" w:lineRule="exact"/>
      <w:jc w:val="both"/>
    </w:pPr>
    <w:tblPr>
      <w:tblBorders>
        <w:top w:val="single" w:color="000000" w:sz="12" w:space="0"/>
        <w:left w:val="single" w:color="000000" w:sz="12" w:space="0"/>
        <w:bottom w:val="single" w:color="000000" w:sz="12" w:space="0"/>
        <w:right w:val="single" w:color="000000" w:sz="12" w:space="0"/>
      </w:tblBorders>
      <w:tblLayout w:type="fixed"/>
    </w:tblPr>
    <w:tcPr>
      <w:shd w:val="clear" w:color="auto" w:fill="auto"/>
    </w:tcPr>
    <w:tblStylePr w:type="firstRow">
      <w:rPr>
        <w:b/>
        <w:bCs/>
        <w:color w:val="FFFFFF"/>
      </w:rPr>
      <w:tcPr>
        <w:tcBorders>
          <w:tl2br w:val="nil"/>
          <w:tr2bl w:val="nil"/>
        </w:tcBorders>
        <w:shd w:val="solid" w:color="000000" w:fill="FFFFFF"/>
      </w:tcPr>
    </w:tblStylePr>
  </w:style>
  <w:style w:type="table" w:customStyle="1" w:styleId="612">
    <w:name w:val="立体型 11"/>
    <w:basedOn w:val="74"/>
    <w:semiHidden/>
    <w:qFormat/>
    <w:uiPriority w:val="0"/>
    <w:pPr>
      <w:widowControl w:val="0"/>
      <w:spacing w:line="400" w:lineRule="exact"/>
      <w:jc w:val="both"/>
    </w:pPr>
    <w:tcPr>
      <w:shd w:val="solid" w:color="C0C0C0" w:fill="FFFFFF"/>
    </w:tcPr>
    <w:tblStylePr w:type="firstRow">
      <w:rPr>
        <w:b/>
        <w:bCs/>
        <w:color w:val="800080"/>
      </w:rPr>
      <w:tcPr>
        <w:tcBorders>
          <w:bottom w:val="single" w:color="808080" w:sz="6" w:space="0"/>
          <w:tl2br w:val="nil"/>
          <w:tr2bl w:val="nil"/>
        </w:tcBorders>
      </w:tcPr>
    </w:tblStylePr>
    <w:tblStylePr w:type="lastRow">
      <w:tcPr>
        <w:tcBorders>
          <w:top w:val="single" w:color="FFFFFF" w:sz="6" w:space="0"/>
          <w:tl2br w:val="nil"/>
          <w:tr2bl w:val="nil"/>
        </w:tcBorders>
      </w:tcPr>
    </w:tblStylePr>
    <w:tblStylePr w:type="firstCol">
      <w:rPr>
        <w:b/>
        <w:bCs/>
      </w:rPr>
      <w:tcPr>
        <w:tcBorders>
          <w:right w:val="single" w:color="808080" w:sz="6" w:space="0"/>
          <w:tl2br w:val="nil"/>
          <w:tr2bl w:val="nil"/>
        </w:tcBorders>
      </w:tcPr>
    </w:tblStylePr>
    <w:tblStylePr w:type="lastCol">
      <w:tcPr>
        <w:tcBorders>
          <w:left w:val="single" w:color="FFFFFF" w:sz="6" w:space="0"/>
          <w:tl2br w:val="nil"/>
          <w:tr2bl w:val="nil"/>
        </w:tcBorders>
      </w:tcPr>
    </w:tblStylePr>
    <w:tblStylePr w:type="neCell">
      <w:tcPr>
        <w:tcBorders>
          <w:left w:val="nil"/>
          <w:bottom w:val="nil"/>
          <w:tl2br w:val="nil"/>
          <w:tr2bl w:val="nil"/>
        </w:tcBorders>
      </w:tcPr>
    </w:tblStylePr>
    <w:tblStylePr w:type="nwCell">
      <w:tcPr>
        <w:tcBorders>
          <w:bottom w:val="nil"/>
          <w:right w:val="nil"/>
          <w:tl2br w:val="nil"/>
          <w:tr2bl w:val="nil"/>
        </w:tcBorders>
      </w:tcPr>
    </w:tblStylePr>
    <w:tblStylePr w:type="seCell">
      <w:tcPr>
        <w:tcBorders>
          <w:top w:val="nil"/>
          <w:left w:val="nil"/>
          <w:tl2br w:val="nil"/>
          <w:tr2bl w:val="nil"/>
        </w:tcBorders>
      </w:tcPr>
    </w:tblStylePr>
    <w:tblStylePr w:type="swCell">
      <w:rPr>
        <w:color w:val="000080"/>
      </w:rPr>
      <w:tcPr>
        <w:tcBorders>
          <w:top w:val="nil"/>
          <w:right w:val="nil"/>
          <w:tl2br w:val="nil"/>
          <w:tr2bl w:val="nil"/>
        </w:tcBorders>
      </w:tcPr>
    </w:tblStylePr>
  </w:style>
  <w:style w:type="table" w:customStyle="1" w:styleId="613">
    <w:name w:val="立体型 31"/>
    <w:basedOn w:val="74"/>
    <w:semiHidden/>
    <w:qFormat/>
    <w:uiPriority w:val="0"/>
    <w:pPr>
      <w:widowControl w:val="0"/>
      <w:spacing w:line="400" w:lineRule="exact"/>
      <w:jc w:val="both"/>
    </w:pPr>
    <w:tblStylePr w:type="firstRow">
      <w:rPr>
        <w:b/>
        <w:bCs/>
      </w:rPr>
      <w:tcPr>
        <w:tcBorders>
          <w:tl2br w:val="nil"/>
          <w:tr2bl w:val="nil"/>
        </w:tcBorders>
      </w:tcPr>
    </w:tblStylePr>
    <w:tblStylePr w:type="firstCol">
      <w:tcPr>
        <w:tcBorders>
          <w:top w:val="nil"/>
          <w:bottom w:val="nil"/>
          <w:right w:val="single" w:color="808080" w:sz="6" w:space="0"/>
          <w:tl2br w:val="nil"/>
          <w:tr2bl w:val="nil"/>
        </w:tcBorders>
      </w:tcPr>
    </w:tblStylePr>
    <w:tblStylePr w:type="lastCol">
      <w:tcPr>
        <w:tcBorders>
          <w:right w:val="single" w:color="FFFFFF" w:sz="6" w:space="0"/>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bottom w:val="single" w:color="FFFFFF" w:sz="6" w:space="0"/>
          <w:tl2br w:val="nil"/>
          <w:tr2bl w:val="nil"/>
        </w:tcBorders>
      </w:tcPr>
    </w:tblStylePr>
    <w:tblStylePr w:type="swCell">
      <w:rPr>
        <w:b/>
        <w:bCs/>
      </w:rPr>
      <w:tcPr>
        <w:tcBorders>
          <w:tl2br w:val="nil"/>
          <w:tr2bl w:val="nil"/>
        </w:tcBorders>
      </w:tcPr>
    </w:tblStylePr>
  </w:style>
  <w:style w:type="table" w:customStyle="1" w:styleId="614">
    <w:name w:val="列表型 11"/>
    <w:basedOn w:val="74"/>
    <w:semiHidden/>
    <w:qFormat/>
    <w:uiPriority w:val="0"/>
    <w:pPr>
      <w:widowControl w:val="0"/>
      <w:spacing w:line="400" w:lineRule="exact"/>
      <w:jc w:val="both"/>
    </w:pPr>
    <w:tblPr>
      <w:tblBorders>
        <w:top w:val="single" w:color="008080" w:sz="12" w:space="0"/>
        <w:left w:val="single" w:color="008080" w:sz="6" w:space="0"/>
        <w:bottom w:val="single" w:color="008080" w:sz="12" w:space="0"/>
        <w:right w:val="single" w:color="008080" w:sz="6" w:space="0"/>
      </w:tblBorders>
      <w:tblLayout w:type="fixed"/>
    </w:tblPr>
    <w:tblStylePr w:type="firstRow">
      <w:rPr>
        <w:b/>
        <w:bCs/>
        <w:i/>
        <w:iCs/>
        <w:color w:val="800000"/>
      </w:rPr>
      <w:tcPr>
        <w:tcBorders>
          <w:bottom w:val="single" w:color="000000" w:sz="6" w:space="0"/>
          <w:tl2br w:val="nil"/>
          <w:tr2bl w:val="nil"/>
        </w:tcBorders>
        <w:shd w:val="solid" w:color="C0C0C0" w:fill="FFFFFF"/>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solid" w:color="C0C0C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615">
    <w:name w:val="列表型 21"/>
    <w:basedOn w:val="74"/>
    <w:semiHidden/>
    <w:qFormat/>
    <w:uiPriority w:val="0"/>
    <w:pPr>
      <w:widowControl w:val="0"/>
      <w:spacing w:line="400" w:lineRule="exact"/>
      <w:jc w:val="both"/>
    </w:pPr>
    <w:tblPr>
      <w:tblBorders>
        <w:bottom w:val="single" w:color="808080" w:sz="12" w:space="0"/>
      </w:tblBorders>
      <w:tblLayout w:type="fixed"/>
    </w:tblPr>
    <w:tblStylePr w:type="firstRow">
      <w:rPr>
        <w:b/>
        <w:bCs/>
        <w:color w:val="FFFFFF"/>
      </w:rPr>
      <w:tcPr>
        <w:tcBorders>
          <w:bottom w:val="single" w:color="000000" w:sz="6" w:space="0"/>
          <w:tl2br w:val="nil"/>
          <w:tr2bl w:val="nil"/>
        </w:tcBorders>
        <w:shd w:val="pct75" w:color="008080" w:fill="008000"/>
      </w:tcPr>
    </w:tblStylePr>
    <w:tblStylePr w:type="lastRow">
      <w:tcPr>
        <w:tcBorders>
          <w:top w:val="single" w:color="000000" w:sz="6" w:space="0"/>
          <w:tl2br w:val="nil"/>
          <w:tr2bl w:val="nil"/>
        </w:tcBorders>
      </w:tcPr>
    </w:tblStylePr>
    <w:tblStylePr w:type="band1Horz">
      <w:rPr>
        <w:color w:val="auto"/>
      </w:rPr>
      <w:tcPr>
        <w:tcBorders>
          <w:tl2br w:val="nil"/>
          <w:tr2bl w:val="nil"/>
        </w:tcBorders>
        <w:shd w:val="pct20" w:color="00FF00" w:fill="FFFFFF"/>
      </w:tcPr>
    </w:tblStylePr>
    <w:tblStylePr w:type="band2Horz">
      <w:rPr>
        <w:color w:val="auto"/>
      </w:rPr>
      <w:tcPr>
        <w:tcBorders>
          <w:tl2br w:val="nil"/>
          <w:tr2bl w:val="nil"/>
        </w:tcBorders>
      </w:tcPr>
    </w:tblStylePr>
    <w:tblStylePr w:type="swCell">
      <w:rPr>
        <w:b/>
        <w:bCs/>
      </w:rPr>
      <w:tcPr>
        <w:tcBorders>
          <w:tl2br w:val="nil"/>
          <w:tr2bl w:val="nil"/>
        </w:tcBorders>
      </w:tcPr>
    </w:tblStylePr>
  </w:style>
  <w:style w:type="table" w:customStyle="1" w:styleId="616">
    <w:name w:val="列表型 31"/>
    <w:basedOn w:val="74"/>
    <w:semiHidden/>
    <w:qFormat/>
    <w:uiPriority w:val="0"/>
    <w:pPr>
      <w:widowControl w:val="0"/>
      <w:spacing w:line="400" w:lineRule="exact"/>
      <w:jc w:val="both"/>
    </w:pPr>
    <w:tblPr>
      <w:tblBorders>
        <w:top w:val="single" w:color="000000" w:sz="12" w:space="0"/>
        <w:bottom w:val="single" w:color="000000" w:sz="12" w:space="0"/>
        <w:insideH w:val="single" w:color="000000" w:sz="6" w:space="0"/>
      </w:tblBorders>
      <w:tblLayout w:type="fixed"/>
    </w:tblPr>
    <w:tcPr>
      <w:shd w:val="clear" w:color="auto" w:fill="auto"/>
    </w:tc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617">
    <w:name w:val="列表型 41"/>
    <w:basedOn w:val="74"/>
    <w:semiHidden/>
    <w:qFormat/>
    <w:uiPriority w:val="0"/>
    <w:pPr>
      <w:widowControl w:val="0"/>
      <w:spacing w:line="400" w:lineRule="exact"/>
      <w:jc w:val="both"/>
    </w:pPr>
    <w:tblPr>
      <w:tblBorders>
        <w:top w:val="single" w:color="000000" w:sz="12" w:space="0"/>
        <w:left w:val="single" w:color="000000" w:sz="12" w:space="0"/>
        <w:bottom w:val="single" w:color="000000" w:sz="12" w:space="0"/>
        <w:right w:val="single" w:color="000000" w:sz="12" w:space="0"/>
        <w:insideH w:val="single" w:color="000000" w:sz="6" w:space="0"/>
      </w:tblBorders>
      <w:tblLayout w:type="fixed"/>
    </w:tblPr>
    <w:tcPr>
      <w:shd w:val="clear" w:color="auto" w:fill="auto"/>
    </w:tcPr>
    <w:tblStylePr w:type="firstRow">
      <w:rPr>
        <w:b/>
        <w:bCs/>
        <w:color w:val="FFFFFF"/>
      </w:rPr>
      <w:tcPr>
        <w:tcBorders>
          <w:bottom w:val="single" w:color="000000" w:sz="12" w:space="0"/>
          <w:tl2br w:val="nil"/>
          <w:tr2bl w:val="nil"/>
        </w:tcBorders>
        <w:shd w:val="solid" w:color="808080" w:fill="FFFFFF"/>
      </w:tcPr>
    </w:tblStylePr>
  </w:style>
  <w:style w:type="table" w:customStyle="1" w:styleId="618">
    <w:name w:val="列表型 71"/>
    <w:basedOn w:val="74"/>
    <w:semiHidden/>
    <w:qFormat/>
    <w:uiPriority w:val="0"/>
    <w:pPr>
      <w:widowControl w:val="0"/>
      <w:spacing w:line="400" w:lineRule="exact"/>
      <w:jc w:val="both"/>
    </w:pPr>
    <w:tblPr>
      <w:tblBorders>
        <w:top w:val="single" w:color="008000" w:sz="12" w:space="0"/>
        <w:left w:val="single" w:color="008000" w:sz="6" w:space="0"/>
        <w:bottom w:val="single" w:color="008000" w:sz="12" w:space="0"/>
        <w:right w:val="single" w:color="008000" w:sz="6" w:space="0"/>
        <w:insideH w:val="single" w:color="000000" w:sz="6" w:space="0"/>
      </w:tblBorders>
      <w:tblLayout w:type="fixed"/>
    </w:tblPr>
    <w:tblStylePr w:type="firstRow">
      <w:rPr>
        <w:b/>
        <w:bCs/>
      </w:rPr>
      <w:tcPr>
        <w:tcBorders>
          <w:bottom w:val="single" w:color="008000" w:sz="12" w:space="0"/>
          <w:tl2br w:val="nil"/>
          <w:tr2bl w:val="nil"/>
        </w:tcBorders>
        <w:shd w:val="solid" w:color="C0C0C0" w:fill="FFFFFF"/>
      </w:tcPr>
    </w:tblStylePr>
    <w:tblStylePr w:type="lastRow">
      <w:rPr>
        <w:b/>
        <w:bCs/>
      </w:rPr>
      <w:tcPr>
        <w:tcBorders>
          <w:top w:val="single" w:color="008000" w:sz="12"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0" w:color="000000" w:fill="FFFFFF"/>
      </w:tcPr>
    </w:tblStylePr>
    <w:tblStylePr w:type="band2Horz">
      <w:tcPr>
        <w:tcBorders>
          <w:tl2br w:val="nil"/>
          <w:tr2bl w:val="nil"/>
        </w:tcBorders>
        <w:shd w:val="pct25" w:color="FFFF00" w:fill="FFFFFF"/>
      </w:tcPr>
    </w:tblStylePr>
  </w:style>
  <w:style w:type="table" w:customStyle="1" w:styleId="619">
    <w:name w:val="列表型 81"/>
    <w:basedOn w:val="74"/>
    <w:semiHidden/>
    <w:qFormat/>
    <w:uiPriority w:val="0"/>
    <w:pPr>
      <w:widowControl w:val="0"/>
      <w:spacing w:line="400" w:lineRule="exact"/>
      <w:jc w:val="both"/>
    </w:pPr>
    <w:tblPr>
      <w:tblBorders>
        <w:top w:val="single" w:color="000000" w:sz="6" w:space="0"/>
        <w:left w:val="single" w:color="000000" w:sz="6" w:space="0"/>
        <w:bottom w:val="single" w:color="000000" w:sz="6" w:space="0"/>
        <w:right w:val="single" w:color="000000" w:sz="6" w:space="0"/>
        <w:insideV w:val="single" w:color="000000" w:sz="6" w:space="0"/>
      </w:tblBorders>
      <w:tblLayout w:type="fixed"/>
    </w:tblPr>
    <w:tblStylePr w:type="firstRow">
      <w:rPr>
        <w:b/>
        <w:bCs/>
        <w:i/>
        <w:iCs/>
      </w:rPr>
      <w:tcPr>
        <w:tcBorders>
          <w:bottom w:val="single" w:color="000000" w:sz="6" w:space="0"/>
          <w:tl2br w:val="nil"/>
          <w:tr2bl w:val="nil"/>
        </w:tcBorders>
        <w:shd w:val="solid" w:color="FFFF00" w:fill="FFFFFF"/>
      </w:tcPr>
    </w:tblStylePr>
    <w:tblStylePr w:type="lastRow">
      <w:rPr>
        <w:b/>
        <w:bCs/>
      </w:rPr>
      <w:tcPr>
        <w:tcBorders>
          <w:top w:val="single" w:color="00000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Horz">
      <w:rPr>
        <w:color w:val="auto"/>
      </w:rPr>
      <w:tcPr>
        <w:tcBorders>
          <w:tl2br w:val="nil"/>
          <w:tr2bl w:val="nil"/>
        </w:tcBorders>
        <w:shd w:val="pct25" w:color="FFFF00" w:fill="FFFFFF"/>
      </w:tcPr>
    </w:tblStylePr>
    <w:tblStylePr w:type="band2Horz">
      <w:tcPr>
        <w:tcBorders>
          <w:tl2br w:val="nil"/>
          <w:tr2bl w:val="nil"/>
        </w:tcBorders>
        <w:shd w:val="pct50" w:color="FF0000" w:fill="FFFFFF"/>
      </w:tcPr>
    </w:tblStylePr>
    <w:tblStylePr w:type="nwCell">
      <w:tcPr>
        <w:tcBorders>
          <w:tl2br w:val="single" w:color="auto" w:sz="6" w:space="0"/>
          <w:tr2bl w:val="nil"/>
        </w:tcBorders>
      </w:tcPr>
    </w:tblStylePr>
  </w:style>
  <w:style w:type="table" w:customStyle="1" w:styleId="620">
    <w:name w:val="流行型1"/>
    <w:basedOn w:val="74"/>
    <w:semiHidden/>
    <w:qFormat/>
    <w:uiPriority w:val="0"/>
    <w:pPr>
      <w:widowControl w:val="0"/>
      <w:spacing w:line="400" w:lineRule="exact"/>
      <w:jc w:val="both"/>
    </w:pPr>
    <w:tblPr>
      <w:tblBorders>
        <w:insideH w:val="single" w:color="FFFFFF" w:sz="18" w:space="0"/>
        <w:insideV w:val="single" w:color="FFFFFF" w:sz="18" w:space="0"/>
      </w:tblBorders>
      <w:tblLayout w:type="fixed"/>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621">
    <w:name w:val="竖列型 11"/>
    <w:basedOn w:val="74"/>
    <w:semiHidden/>
    <w:qFormat/>
    <w:uiPriority w:val="0"/>
    <w:pPr>
      <w:widowControl w:val="0"/>
      <w:spacing w:line="400" w:lineRule="exact"/>
      <w:jc w:val="both"/>
    </w:pPr>
    <w:rPr>
      <w:b/>
      <w:bCs/>
    </w:rPr>
    <w:tblPr>
      <w:tblBorders>
        <w:top w:val="single" w:color="000000" w:sz="12" w:space="0"/>
        <w:left w:val="single" w:color="000000" w:sz="12" w:space="0"/>
        <w:bottom w:val="single" w:color="000000" w:sz="12" w:space="0"/>
        <w:right w:val="single" w:color="000000" w:sz="12" w:space="0"/>
      </w:tblBorders>
      <w:tblLayout w:type="fixed"/>
    </w:tblPr>
    <w:tblStylePr w:type="firstRow">
      <w:rPr>
        <w:b w:val="0"/>
        <w:bCs w:val="0"/>
      </w:rPr>
      <w:tcPr>
        <w:tcBorders>
          <w:bottom w:val="double" w:color="000000" w:sz="6" w:space="0"/>
          <w:tl2br w:val="nil"/>
          <w:tr2bl w:val="nil"/>
        </w:tcBorders>
      </w:tcPr>
    </w:tblStylePr>
    <w:tblStylePr w:type="lastRow">
      <w:rPr>
        <w:b w:val="0"/>
        <w:bCs w:val="0"/>
      </w:rPr>
      <w:tcPr>
        <w:tcBorders>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622">
    <w:name w:val="竖列型 21"/>
    <w:basedOn w:val="74"/>
    <w:semiHidden/>
    <w:qFormat/>
    <w:uiPriority w:val="0"/>
    <w:pPr>
      <w:widowControl w:val="0"/>
      <w:spacing w:line="400" w:lineRule="exact"/>
      <w:jc w:val="both"/>
    </w:pPr>
    <w:rPr>
      <w:b/>
      <w:bCs/>
    </w:rPr>
    <w:tblStylePr w:type="firstRow">
      <w:rPr>
        <w:color w:val="FFFFFF"/>
      </w:rPr>
      <w:tcPr>
        <w:tcBorders>
          <w:tl2br w:val="nil"/>
          <w:tr2bl w:val="nil"/>
        </w:tcBorders>
        <w:shd w:val="solid" w:color="000080" w:fill="FFFFFF"/>
      </w:tcPr>
    </w:tblStylePr>
    <w:tblStylePr w:type="lastRow">
      <w:rPr>
        <w:b w:val="0"/>
        <w:bCs w:val="0"/>
      </w:rPr>
      <w:tcPr>
        <w:tcBorders>
          <w:tl2br w:val="nil"/>
          <w:tr2bl w:val="nil"/>
        </w:tcBorders>
      </w:tcPr>
    </w:tblStylePr>
    <w:tblStylePr w:type="firstCol">
      <w:rPr>
        <w:b w:val="0"/>
        <w:bCs w:val="0"/>
        <w:color w:val="00000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table" w:customStyle="1" w:styleId="623">
    <w:name w:val="竖列型 31"/>
    <w:basedOn w:val="74"/>
    <w:semiHidden/>
    <w:qFormat/>
    <w:uiPriority w:val="0"/>
    <w:pPr>
      <w:widowControl w:val="0"/>
      <w:spacing w:line="400" w:lineRule="exact"/>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Layout w:type="fixed"/>
    </w:tblPr>
    <w:tblStylePr w:type="firstRow">
      <w:rPr>
        <w:color w:val="FFFFFF"/>
      </w:rPr>
      <w:tcPr>
        <w:tcBorders>
          <w:tl2br w:val="nil"/>
          <w:tr2bl w:val="nil"/>
        </w:tcBorders>
        <w:shd w:val="solid" w:color="000080" w:fill="FFFFFF"/>
      </w:tcPr>
    </w:tblStylePr>
    <w:tblStylePr w:type="lastRow">
      <w:rPr>
        <w:b w:val="0"/>
        <w:bCs w:val="0"/>
      </w:rPr>
      <w:tcPr>
        <w:tcBorders>
          <w:top w:val="single" w:color="00008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l2br w:val="nil"/>
          <w:tr2bl w:val="nil"/>
        </w:tcBorders>
      </w:tcPr>
    </w:tblStylePr>
  </w:style>
  <w:style w:type="table" w:customStyle="1" w:styleId="624">
    <w:name w:val="竖列型 41"/>
    <w:basedOn w:val="74"/>
    <w:semiHidden/>
    <w:qFormat/>
    <w:uiPriority w:val="0"/>
    <w:pPr>
      <w:widowControl w:val="0"/>
      <w:spacing w:line="400" w:lineRule="exact"/>
      <w:jc w:val="both"/>
    </w:pPr>
    <w:tblStylePr w:type="firstRow">
      <w:rPr>
        <w:color w:val="FFFFFF"/>
      </w:rPr>
      <w:tcPr>
        <w:tcBorders>
          <w:tl2br w:val="nil"/>
          <w:tr2bl w:val="nil"/>
        </w:tcBorders>
        <w:shd w:val="solid" w:color="000000" w:fill="FFFFFF"/>
      </w:tcPr>
    </w:tblStylePr>
    <w:tblStylePr w:type="lastRow">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625">
    <w:name w:val="竖列型 51"/>
    <w:basedOn w:val="74"/>
    <w:semiHidden/>
    <w:qFormat/>
    <w:uiPriority w:val="0"/>
    <w:pPr>
      <w:widowControl w:val="0"/>
      <w:spacing w:line="400" w:lineRule="exact"/>
      <w:jc w:val="both"/>
    </w:pPr>
    <w:tblPr>
      <w:tblBorders>
        <w:top w:val="single" w:color="808080" w:sz="12" w:space="0"/>
        <w:left w:val="single" w:color="808080" w:sz="12" w:space="0"/>
        <w:bottom w:val="single" w:color="808080" w:sz="12" w:space="0"/>
        <w:right w:val="single" w:color="808080" w:sz="12" w:space="0"/>
        <w:insideV w:val="single" w:color="C0C0C0" w:sz="6" w:space="0"/>
      </w:tblBorders>
      <w:tblLayout w:type="fixed"/>
    </w:tblPr>
    <w:tblStylePr w:type="firstRow">
      <w:rPr>
        <w:b/>
        <w:bCs/>
        <w:i/>
        <w:iCs/>
      </w:rPr>
      <w:tcPr>
        <w:tcBorders>
          <w:bottom w:val="single" w:color="808080" w:sz="6" w:space="0"/>
          <w:tl2br w:val="nil"/>
          <w:tr2bl w:val="nil"/>
        </w:tcBorders>
      </w:tcPr>
    </w:tblStylePr>
    <w:tblStylePr w:type="lastRow">
      <w:rPr>
        <w:b/>
        <w:bCs/>
      </w:rPr>
      <w:tcPr>
        <w:tcBorders>
          <w:top w:val="single" w:color="808080" w:sz="6" w:space="0"/>
          <w:tl2br w:val="nil"/>
          <w:tr2bl w:val="nil"/>
        </w:tcBorders>
      </w:tcPr>
    </w:tblStylePr>
    <w:tblStylePr w:type="firstCol">
      <w:rPr>
        <w:b/>
        <w:bCs/>
      </w:rPr>
      <w:tcPr>
        <w:tcBorders>
          <w:tl2br w:val="nil"/>
          <w:tr2bl w:val="nil"/>
        </w:tcBorders>
      </w:tcPr>
    </w:tblStylePr>
    <w:tblStylePr w:type="lastCol">
      <w:rPr>
        <w:b/>
        <w:bCs/>
      </w:rPr>
      <w:tcPr>
        <w:tcBorders>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626">
    <w:name w:val="公式表1"/>
    <w:basedOn w:val="74"/>
    <w:qFormat/>
    <w:uiPriority w:val="0"/>
    <w:pPr>
      <w:widowControl w:val="0"/>
      <w:spacing w:line="40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27">
    <w:name w:val="网格型 41"/>
    <w:basedOn w:val="74"/>
    <w:semiHidden/>
    <w:qFormat/>
    <w:uiPriority w:val="0"/>
    <w:pPr>
      <w:widowControl w:val="0"/>
      <w:spacing w:line="400" w:lineRule="exact"/>
      <w:jc w:val="both"/>
    </w:pPr>
    <w:tblPr>
      <w:tblBorders>
        <w:left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rPr>
        <w:color w:val="auto"/>
      </w:rPr>
      <w:tcPr>
        <w:tcBorders>
          <w:bottom w:val="single" w:color="000000" w:sz="6" w:space="0"/>
          <w:tl2br w:val="nil"/>
          <w:tr2bl w:val="nil"/>
        </w:tcBorders>
        <w:shd w:val="pct30" w:color="FFFF00" w:fill="FFFFFF"/>
      </w:tcPr>
    </w:tblStylePr>
    <w:tblStylePr w:type="lastRow">
      <w:rPr>
        <w:b/>
        <w:bCs/>
        <w:color w:val="auto"/>
      </w:rPr>
      <w:tcPr>
        <w:tcBorders>
          <w:top w:val="single" w:color="000000" w:sz="6" w:space="0"/>
          <w:tl2br w:val="nil"/>
          <w:tr2bl w:val="nil"/>
        </w:tcBorders>
        <w:shd w:val="pct30" w:color="FFFF00" w:fill="FFFFFF"/>
      </w:tcPr>
    </w:tblStylePr>
    <w:tblStylePr w:type="lastCol">
      <w:rPr>
        <w:b/>
        <w:bCs/>
        <w:color w:val="auto"/>
      </w:rPr>
      <w:tcPr>
        <w:tcBorders>
          <w:tl2br w:val="nil"/>
          <w:tr2bl w:val="nil"/>
        </w:tcBorders>
      </w:tcPr>
    </w:tblStylePr>
  </w:style>
  <w:style w:type="table" w:customStyle="1" w:styleId="628">
    <w:name w:val="网格型 61"/>
    <w:basedOn w:val="74"/>
    <w:semiHidden/>
    <w:qFormat/>
    <w:uiPriority w:val="0"/>
    <w:pPr>
      <w:widowControl w:val="0"/>
      <w:spacing w:line="400" w:lineRule="exact"/>
      <w:jc w:val="both"/>
    </w:pPr>
    <w:tblPr>
      <w:tblBorders>
        <w:top w:val="single" w:color="000000" w:sz="12" w:space="0"/>
        <w:left w:val="single" w:color="000000" w:sz="12" w:space="0"/>
        <w:bottom w:val="single" w:color="000000" w:sz="12" w:space="0"/>
        <w:right w:val="single" w:color="000000" w:sz="12" w:space="0"/>
        <w:insideV w:val="single" w:color="000000" w:sz="6" w:space="0"/>
      </w:tblBorders>
      <w:tblLayout w:type="fixed"/>
    </w:tblPr>
    <w:tcPr>
      <w:shd w:val="clear" w:color="auto" w:fill="auto"/>
    </w:tcPr>
    <w:tblStylePr w:type="firstRow">
      <w:rPr>
        <w:b/>
        <w:b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rPr>
        <w:b/>
        <w:bCs/>
      </w:rPr>
      <w:tcPr>
        <w:tcBorders>
          <w:tl2br w:val="nil"/>
          <w:tr2bl w:val="nil"/>
        </w:tcBorders>
      </w:tcPr>
    </w:tblStylePr>
    <w:tblStylePr w:type="nwCell">
      <w:tcPr>
        <w:tcBorders>
          <w:tl2br w:val="single" w:color="000000" w:sz="6" w:space="0"/>
          <w:tr2bl w:val="nil"/>
        </w:tcBorders>
      </w:tcPr>
    </w:tblStylePr>
  </w:style>
  <w:style w:type="table" w:customStyle="1" w:styleId="629">
    <w:name w:val="网格型 81"/>
    <w:basedOn w:val="74"/>
    <w:semiHidden/>
    <w:qFormat/>
    <w:uiPriority w:val="0"/>
    <w:pPr>
      <w:widowControl w:val="0"/>
      <w:spacing w:line="40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Pr>
    <w:tcPr>
      <w:shd w:val="clear" w:color="auto" w:fill="auto"/>
    </w:tc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630">
    <w:name w:val="网页型 11"/>
    <w:basedOn w:val="74"/>
    <w:semiHidden/>
    <w:qFormat/>
    <w:uiPriority w:val="0"/>
    <w:pPr>
      <w:widowControl w:val="0"/>
      <w:spacing w:line="400" w:lineRule="exact"/>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
    <w:trPr>
      <w:tblCellSpacing w:w="20" w:type="dxa"/>
    </w:trPr>
    <w:tcPr>
      <w:shd w:val="clear" w:color="auto" w:fill="auto"/>
    </w:tcPr>
    <w:tblStylePr w:type="firstRow">
      <w:rPr>
        <w:color w:val="auto"/>
      </w:rPr>
      <w:tcPr>
        <w:tcBorders>
          <w:tl2br w:val="nil"/>
          <w:tr2bl w:val="nil"/>
        </w:tcBorders>
      </w:tcPr>
    </w:tblStylePr>
  </w:style>
  <w:style w:type="table" w:customStyle="1" w:styleId="631">
    <w:name w:val="网页型 21"/>
    <w:basedOn w:val="74"/>
    <w:semiHidden/>
    <w:qFormat/>
    <w:uiPriority w:val="0"/>
    <w:pPr>
      <w:widowControl w:val="0"/>
      <w:spacing w:line="400" w:lineRule="exact"/>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Pr>
    <w:trPr>
      <w:tblCellSpacing w:w="20" w:type="dxa"/>
    </w:trPr>
    <w:tcPr>
      <w:shd w:val="clear" w:color="auto" w:fill="auto"/>
    </w:tcPr>
    <w:tblStylePr w:type="firstRow">
      <w:rPr>
        <w:color w:val="auto"/>
      </w:rPr>
      <w:tcPr>
        <w:tcBorders>
          <w:tl2br w:val="nil"/>
          <w:tr2bl w:val="nil"/>
        </w:tcBorders>
      </w:tcPr>
    </w:tblStylePr>
  </w:style>
  <w:style w:type="table" w:customStyle="1" w:styleId="632">
    <w:name w:val="网页型 31"/>
    <w:basedOn w:val="74"/>
    <w:semiHidden/>
    <w:qFormat/>
    <w:uiPriority w:val="0"/>
    <w:pPr>
      <w:widowControl w:val="0"/>
      <w:spacing w:line="400" w:lineRule="exact"/>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Pr>
    <w:trPr>
      <w:tblCellSpacing w:w="20" w:type="dxa"/>
    </w:trPr>
    <w:tcPr>
      <w:shd w:val="clear" w:color="auto" w:fill="auto"/>
    </w:tcPr>
    <w:tblStylePr w:type="firstRow">
      <w:rPr>
        <w:color w:val="auto"/>
      </w:rPr>
      <w:tcPr>
        <w:tcBorders>
          <w:tl2br w:val="nil"/>
          <w:tr2bl w:val="nil"/>
        </w:tcBorders>
      </w:tcPr>
    </w:tblStylePr>
  </w:style>
  <w:style w:type="table" w:customStyle="1" w:styleId="633">
    <w:name w:val="专业型1"/>
    <w:basedOn w:val="74"/>
    <w:semiHidden/>
    <w:qFormat/>
    <w:uiPriority w:val="0"/>
    <w:pPr>
      <w:widowControl w:val="0"/>
      <w:spacing w:line="400" w:lineRule="exact"/>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cPr>
      <w:shd w:val="clear" w:color="auto" w:fill="auto"/>
    </w:tcPr>
    <w:tblStylePr w:type="firstRow">
      <w:rPr>
        <w:b/>
        <w:bCs/>
        <w:color w:val="auto"/>
      </w:rPr>
      <w:tcPr>
        <w:tcBorders>
          <w:tl2br w:val="nil"/>
          <w:tr2bl w:val="nil"/>
        </w:tcBorders>
        <w:shd w:val="solid" w:color="000000" w:fill="FFFFFF"/>
      </w:tcPr>
    </w:tblStylePr>
  </w:style>
  <w:style w:type="paragraph" w:customStyle="1" w:styleId="634">
    <w:name w:val="插图样式"/>
    <w:basedOn w:val="73"/>
    <w:link w:val="636"/>
    <w:qFormat/>
    <w:uiPriority w:val="0"/>
    <w:pPr>
      <w:keepNext/>
      <w:widowControl w:val="0"/>
      <w:adjustRightInd w:val="0"/>
      <w:spacing w:after="0" w:line="0" w:lineRule="atLeast"/>
      <w:ind w:left="0" w:leftChars="0" w:firstLine="0" w:firstLineChars="0"/>
      <w:jc w:val="center"/>
    </w:pPr>
    <w:rPr>
      <w:kern w:val="2"/>
      <w:szCs w:val="48"/>
    </w:rPr>
  </w:style>
  <w:style w:type="paragraph" w:customStyle="1" w:styleId="635">
    <w:name w:val="图表前空行"/>
    <w:basedOn w:val="572"/>
    <w:qFormat/>
    <w:uiPriority w:val="0"/>
    <w:pPr>
      <w:adjustRightInd w:val="0"/>
      <w:snapToGrid w:val="0"/>
      <w:spacing w:line="240" w:lineRule="atLeast"/>
      <w:jc w:val="center"/>
    </w:pPr>
    <w:rPr>
      <w:sz w:val="21"/>
    </w:rPr>
  </w:style>
  <w:style w:type="character" w:customStyle="1" w:styleId="636">
    <w:name w:val="插图样式 Char"/>
    <w:link w:val="634"/>
    <w:qFormat/>
    <w:uiPriority w:val="0"/>
    <w:rPr>
      <w:kern w:val="2"/>
      <w:sz w:val="24"/>
      <w:szCs w:val="48"/>
    </w:rPr>
  </w:style>
  <w:style w:type="paragraph" w:customStyle="1" w:styleId="637">
    <w:name w:val="表格左端对齐"/>
    <w:basedOn w:val="1"/>
    <w:qFormat/>
    <w:uiPriority w:val="0"/>
    <w:pPr>
      <w:widowControl w:val="0"/>
      <w:spacing w:line="300" w:lineRule="atLeast"/>
      <w:ind w:firstLine="0" w:firstLineChars="0"/>
    </w:pPr>
    <w:rPr>
      <w:kern w:val="2"/>
      <w:sz w:val="18"/>
    </w:rPr>
  </w:style>
  <w:style w:type="paragraph" w:customStyle="1" w:styleId="638">
    <w:name w:val="表格小五居中"/>
    <w:basedOn w:val="1"/>
    <w:qFormat/>
    <w:uiPriority w:val="0"/>
    <w:pPr>
      <w:widowControl w:val="0"/>
      <w:spacing w:line="240" w:lineRule="atLeast"/>
      <w:ind w:firstLine="0" w:firstLineChars="0"/>
      <w:jc w:val="center"/>
    </w:pPr>
    <w:rPr>
      <w:kern w:val="2"/>
      <w:sz w:val="18"/>
    </w:rPr>
  </w:style>
  <w:style w:type="character" w:customStyle="1" w:styleId="639">
    <w:name w:val="样式 首行缩进:  2 字符 Char"/>
    <w:link w:val="572"/>
    <w:qFormat/>
    <w:uiPriority w:val="0"/>
    <w:rPr>
      <w:rFonts w:cs="宋体"/>
      <w:kern w:val="2"/>
      <w:sz w:val="24"/>
    </w:rPr>
  </w:style>
  <w:style w:type="character" w:customStyle="1" w:styleId="640">
    <w:name w:val="doc_title1"/>
    <w:basedOn w:val="120"/>
    <w:qFormat/>
    <w:uiPriority w:val="0"/>
    <w:rPr>
      <w:color w:val="333333"/>
      <w:sz w:val="30"/>
      <w:szCs w:val="30"/>
    </w:rPr>
  </w:style>
  <w:style w:type="character" w:customStyle="1" w:styleId="641">
    <w:name w:val="段 Char"/>
    <w:link w:val="642"/>
    <w:qFormat/>
    <w:uiPriority w:val="0"/>
    <w:rPr>
      <w:rFonts w:ascii="宋体"/>
      <w:sz w:val="21"/>
    </w:rPr>
  </w:style>
  <w:style w:type="paragraph" w:customStyle="1" w:styleId="642">
    <w:name w:val="段"/>
    <w:link w:val="64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643">
    <w:name w:val="xl24"/>
    <w:basedOn w:val="1"/>
    <w:qFormat/>
    <w:uiPriority w:val="0"/>
    <w:pPr>
      <w:pBdr>
        <w:right w:val="single" w:color="auto" w:sz="4" w:space="0"/>
      </w:pBdr>
      <w:spacing w:before="100" w:after="100" w:line="240" w:lineRule="auto"/>
      <w:ind w:firstLine="0" w:firstLineChars="0"/>
      <w:jc w:val="center"/>
    </w:pPr>
    <w:rPr>
      <w:rFonts w:ascii="宋体" w:hAnsi="宋体"/>
      <w:szCs w:val="20"/>
    </w:rPr>
  </w:style>
  <w:style w:type="paragraph" w:customStyle="1" w:styleId="644">
    <w:name w:val="说明标题"/>
    <w:basedOn w:val="1"/>
    <w:link w:val="646"/>
    <w:qFormat/>
    <w:uiPriority w:val="0"/>
    <w:pPr>
      <w:ind w:firstLine="0" w:firstLineChars="0"/>
    </w:pPr>
    <w:rPr>
      <w:rFonts w:eastAsia="华文楷体"/>
    </w:rPr>
  </w:style>
  <w:style w:type="paragraph" w:customStyle="1" w:styleId="645">
    <w:name w:val="说明内容"/>
    <w:basedOn w:val="1"/>
    <w:link w:val="647"/>
    <w:qFormat/>
    <w:uiPriority w:val="0"/>
    <w:pPr>
      <w:spacing w:before="50" w:beforeLines="50" w:after="50" w:afterLines="50" w:line="240" w:lineRule="auto"/>
    </w:pPr>
    <w:rPr>
      <w:rFonts w:eastAsia="楷体"/>
    </w:rPr>
  </w:style>
  <w:style w:type="character" w:customStyle="1" w:styleId="646">
    <w:name w:val="说明标题 Char"/>
    <w:basedOn w:val="120"/>
    <w:link w:val="644"/>
    <w:qFormat/>
    <w:uiPriority w:val="0"/>
    <w:rPr>
      <w:rFonts w:eastAsia="华文楷体"/>
      <w:sz w:val="24"/>
      <w:szCs w:val="24"/>
    </w:rPr>
  </w:style>
  <w:style w:type="character" w:customStyle="1" w:styleId="647">
    <w:name w:val="说明内容 Char"/>
    <w:basedOn w:val="120"/>
    <w:link w:val="645"/>
    <w:qFormat/>
    <w:uiPriority w:val="0"/>
    <w:rPr>
      <w:rFonts w:eastAsia="楷体"/>
      <w:sz w:val="24"/>
      <w:szCs w:val="24"/>
    </w:rPr>
  </w:style>
  <w:style w:type="paragraph" w:customStyle="1" w:styleId="648">
    <w:name w:val="1级标题"/>
    <w:next w:val="1"/>
    <w:link w:val="652"/>
    <w:qFormat/>
    <w:uiPriority w:val="0"/>
    <w:pPr>
      <w:numPr>
        <w:ilvl w:val="0"/>
        <w:numId w:val="11"/>
      </w:numPr>
      <w:spacing w:line="720" w:lineRule="auto"/>
      <w:outlineLvl w:val="0"/>
    </w:pPr>
    <w:rPr>
      <w:rFonts w:ascii="Times New Roman" w:hAnsi="Times New Roman" w:eastAsia="黑体" w:cs="Times New Roman"/>
      <w:b/>
      <w:color w:val="000000"/>
      <w:kern w:val="2"/>
      <w:sz w:val="32"/>
      <w:szCs w:val="22"/>
      <w:lang w:val="en-US" w:eastAsia="zh-CN" w:bidi="ar-SA"/>
    </w:rPr>
  </w:style>
  <w:style w:type="paragraph" w:customStyle="1" w:styleId="649">
    <w:name w:val="2级标题-2"/>
    <w:next w:val="1"/>
    <w:link w:val="653"/>
    <w:qFormat/>
    <w:uiPriority w:val="0"/>
    <w:pPr>
      <w:spacing w:line="360" w:lineRule="auto"/>
      <w:ind w:left="840" w:hanging="420"/>
      <w:outlineLvl w:val="1"/>
    </w:pPr>
    <w:rPr>
      <w:rFonts w:ascii="Times New Roman" w:hAnsi="Times New Roman" w:eastAsia="黑体" w:cs="Times New Roman"/>
      <w:b/>
      <w:color w:val="000000"/>
      <w:kern w:val="2"/>
      <w:sz w:val="30"/>
      <w:szCs w:val="22"/>
      <w:lang w:val="en-US" w:eastAsia="zh-CN" w:bidi="ar-SA"/>
    </w:rPr>
  </w:style>
  <w:style w:type="paragraph" w:customStyle="1" w:styleId="650">
    <w:name w:val="3级标题-3"/>
    <w:next w:val="1"/>
    <w:link w:val="651"/>
    <w:qFormat/>
    <w:uiPriority w:val="0"/>
    <w:pPr>
      <w:numPr>
        <w:ilvl w:val="2"/>
        <w:numId w:val="11"/>
      </w:numPr>
      <w:spacing w:line="360" w:lineRule="auto"/>
      <w:ind w:left="567"/>
      <w:jc w:val="both"/>
      <w:outlineLvl w:val="2"/>
    </w:pPr>
    <w:rPr>
      <w:rFonts w:ascii="Times New Roman" w:hAnsi="Times New Roman" w:eastAsia="宋体" w:cs="Times New Roman"/>
      <w:color w:val="000000"/>
      <w:kern w:val="2"/>
      <w:sz w:val="24"/>
      <w:szCs w:val="22"/>
      <w:lang w:val="en-US" w:eastAsia="zh-CN" w:bidi="ar-SA"/>
    </w:rPr>
  </w:style>
  <w:style w:type="character" w:customStyle="1" w:styleId="651">
    <w:name w:val="3级标题-3 Char"/>
    <w:link w:val="650"/>
    <w:qFormat/>
    <w:uiPriority w:val="0"/>
    <w:rPr>
      <w:color w:val="000000"/>
      <w:kern w:val="2"/>
      <w:sz w:val="24"/>
      <w:szCs w:val="22"/>
    </w:rPr>
  </w:style>
  <w:style w:type="character" w:customStyle="1" w:styleId="652">
    <w:name w:val="1级标题 Char"/>
    <w:link w:val="648"/>
    <w:qFormat/>
    <w:uiPriority w:val="0"/>
    <w:rPr>
      <w:rFonts w:eastAsia="黑体"/>
      <w:b/>
      <w:color w:val="000000"/>
      <w:kern w:val="2"/>
      <w:sz w:val="32"/>
      <w:szCs w:val="22"/>
    </w:rPr>
  </w:style>
  <w:style w:type="character" w:customStyle="1" w:styleId="653">
    <w:name w:val="2级标题-2 Char"/>
    <w:link w:val="649"/>
    <w:qFormat/>
    <w:uiPriority w:val="0"/>
    <w:rPr>
      <w:rFonts w:eastAsia="黑体"/>
      <w:b/>
      <w:color w:val="000000"/>
      <w:kern w:val="2"/>
      <w:sz w:val="30"/>
      <w:szCs w:val="22"/>
    </w:rPr>
  </w:style>
  <w:style w:type="paragraph" w:customStyle="1" w:styleId="654">
    <w:name w:val="3级标题"/>
    <w:next w:val="1"/>
    <w:link w:val="655"/>
    <w:qFormat/>
    <w:uiPriority w:val="0"/>
    <w:pPr>
      <w:spacing w:line="360" w:lineRule="auto"/>
      <w:ind w:left="709" w:hanging="425"/>
      <w:jc w:val="both"/>
      <w:outlineLvl w:val="2"/>
    </w:pPr>
    <w:rPr>
      <w:rFonts w:ascii="Times New Roman" w:hAnsi="Times New Roman" w:eastAsia="宋体" w:cs="Times New Roman"/>
      <w:color w:val="000000"/>
      <w:kern w:val="2"/>
      <w:sz w:val="24"/>
      <w:szCs w:val="22"/>
      <w:lang w:val="en-US" w:eastAsia="zh-CN" w:bidi="ar-SA"/>
    </w:rPr>
  </w:style>
  <w:style w:type="character" w:customStyle="1" w:styleId="655">
    <w:name w:val="3级标题 Char"/>
    <w:link w:val="654"/>
    <w:qFormat/>
    <w:uiPriority w:val="0"/>
    <w:rPr>
      <w:color w:val="000000"/>
      <w:kern w:val="2"/>
      <w:sz w:val="24"/>
      <w:szCs w:val="22"/>
    </w:rPr>
  </w:style>
  <w:style w:type="paragraph" w:customStyle="1" w:styleId="656">
    <w:name w:val="4级标题"/>
    <w:next w:val="1"/>
    <w:qFormat/>
    <w:uiPriority w:val="0"/>
    <w:pPr>
      <w:spacing w:before="50" w:beforeLines="50" w:after="50" w:afterLines="50" w:line="360" w:lineRule="auto"/>
      <w:ind w:left="851" w:hanging="851"/>
      <w:outlineLvl w:val="3"/>
    </w:pPr>
    <w:rPr>
      <w:rFonts w:ascii="Times New Roman" w:hAnsi="Times New Roman" w:eastAsia="宋体" w:cs="Times New Roman"/>
      <w:b/>
      <w:color w:val="000000"/>
      <w:kern w:val="2"/>
      <w:sz w:val="24"/>
      <w:szCs w:val="22"/>
      <w:lang w:val="en-US" w:eastAsia="zh-CN" w:bidi="ar-SA"/>
    </w:rPr>
  </w:style>
  <w:style w:type="paragraph" w:customStyle="1" w:styleId="657">
    <w:name w:val="表名"/>
    <w:next w:val="1"/>
    <w:link w:val="658"/>
    <w:qFormat/>
    <w:uiPriority w:val="0"/>
    <w:pPr>
      <w:spacing w:line="360" w:lineRule="auto"/>
      <w:jc w:val="center"/>
    </w:pPr>
    <w:rPr>
      <w:rFonts w:ascii="Times New Roman" w:hAnsi="Times New Roman" w:eastAsia="黑体" w:cs="Times New Roman"/>
      <w:b/>
      <w:color w:val="000000"/>
      <w:kern w:val="2"/>
      <w:sz w:val="21"/>
      <w:szCs w:val="22"/>
      <w:lang w:val="en-US" w:eastAsia="zh-CN" w:bidi="ar-SA"/>
    </w:rPr>
  </w:style>
  <w:style w:type="character" w:customStyle="1" w:styleId="658">
    <w:name w:val="表名 Char"/>
    <w:link w:val="657"/>
    <w:qFormat/>
    <w:uiPriority w:val="0"/>
    <w:rPr>
      <w:rFonts w:eastAsia="黑体"/>
      <w:b/>
      <w:color w:val="000000"/>
      <w:kern w:val="2"/>
      <w:sz w:val="21"/>
      <w:szCs w:val="22"/>
    </w:rPr>
  </w:style>
  <w:style w:type="paragraph" w:customStyle="1" w:styleId="659">
    <w:name w:val="大图表名"/>
    <w:basedOn w:val="1"/>
    <w:link w:val="660"/>
    <w:qFormat/>
    <w:uiPriority w:val="0"/>
    <w:pPr>
      <w:snapToGrid w:val="0"/>
      <w:spacing w:before="120" w:after="120" w:line="240" w:lineRule="auto"/>
      <w:ind w:firstLine="0" w:firstLineChars="0"/>
      <w:jc w:val="center"/>
    </w:pPr>
    <w:rPr>
      <w:rFonts w:eastAsiaTheme="minorEastAsia"/>
      <w:color w:val="000000" w:themeColor="text1"/>
      <w:sz w:val="21"/>
      <w14:textFill>
        <w14:solidFill>
          <w14:schemeClr w14:val="tx1"/>
        </w14:solidFill>
      </w14:textFill>
    </w:rPr>
  </w:style>
  <w:style w:type="character" w:customStyle="1" w:styleId="660">
    <w:name w:val="大图表名 Char"/>
    <w:basedOn w:val="120"/>
    <w:link w:val="659"/>
    <w:qFormat/>
    <w:uiPriority w:val="0"/>
    <w:rPr>
      <w:rFonts w:eastAsiaTheme="minorEastAsia"/>
      <w:color w:val="000000" w:themeColor="text1"/>
      <w:sz w:val="21"/>
      <w:szCs w:val="24"/>
      <w14:textFill>
        <w14:solidFill>
          <w14:schemeClr w14:val="tx1"/>
        </w14:solidFill>
      </w14:textFill>
    </w:rPr>
  </w:style>
  <w:style w:type="character" w:customStyle="1" w:styleId="661">
    <w:name w:val="fontstyle01"/>
    <w:basedOn w:val="120"/>
    <w:qFormat/>
    <w:uiPriority w:val="0"/>
    <w:rPr>
      <w:rFonts w:hint="eastAsia" w:ascii="宋体" w:hAnsi="宋体" w:eastAsia="宋体"/>
      <w:color w:val="000000"/>
      <w:sz w:val="24"/>
      <w:szCs w:val="24"/>
    </w:rPr>
  </w:style>
  <w:style w:type="character" w:customStyle="1" w:styleId="662">
    <w:name w:val="fontstyle21"/>
    <w:basedOn w:val="120"/>
    <w:qFormat/>
    <w:uiPriority w:val="0"/>
    <w:rPr>
      <w:rFonts w:hint="default" w:ascii="TimesNewRomanPSMT" w:hAnsi="TimesNewRomanPSMT"/>
      <w:color w:val="000000"/>
      <w:sz w:val="24"/>
      <w:szCs w:val="24"/>
    </w:rPr>
  </w:style>
  <w:style w:type="character" w:customStyle="1" w:styleId="663">
    <w:name w:val="style-italic"/>
    <w:basedOn w:val="120"/>
    <w:qFormat/>
    <w:uiPriority w:val="0"/>
  </w:style>
  <w:style w:type="character" w:customStyle="1" w:styleId="664">
    <w:name w:val="editor-text-node"/>
    <w:basedOn w:val="120"/>
    <w:qFormat/>
    <w:uiPriority w:val="0"/>
  </w:style>
  <w:style w:type="character" w:customStyle="1" w:styleId="665">
    <w:name w:val="style-bold"/>
    <w:basedOn w:val="120"/>
    <w:qFormat/>
    <w:uiPriority w:val="0"/>
  </w:style>
  <w:style w:type="paragraph" w:customStyle="1" w:styleId="666">
    <w:name w:val="Other|1"/>
    <w:basedOn w:val="1"/>
    <w:qFormat/>
    <w:uiPriority w:val="0"/>
    <w:pPr>
      <w:widowControl w:val="0"/>
      <w:spacing w:after="180" w:line="240" w:lineRule="auto"/>
      <w:ind w:firstLine="0" w:firstLineChars="0"/>
    </w:pPr>
    <w:rPr>
      <w:rFonts w:ascii="Calibri" w:hAnsi="Calibri"/>
      <w:kern w:val="2"/>
      <w:sz w:val="22"/>
      <w:szCs w:val="22"/>
    </w:rPr>
  </w:style>
  <w:style w:type="paragraph" w:customStyle="1" w:styleId="667">
    <w:name w:val="msonormal"/>
    <w:basedOn w:val="1"/>
    <w:qFormat/>
    <w:uiPriority w:val="0"/>
    <w:pPr>
      <w:spacing w:before="100" w:beforeAutospacing="1" w:after="100" w:afterAutospacing="1" w:line="240" w:lineRule="auto"/>
      <w:ind w:firstLine="0" w:firstLineChars="0"/>
      <w:jc w:val="left"/>
    </w:pPr>
    <w:rPr>
      <w:rFonts w:ascii="宋体" w:hAnsi="宋体" w:cs="宋体"/>
    </w:rPr>
  </w:style>
  <w:style w:type="paragraph" w:customStyle="1" w:styleId="668">
    <w:name w:val="font1"/>
    <w:basedOn w:val="1"/>
    <w:qFormat/>
    <w:uiPriority w:val="0"/>
    <w:pPr>
      <w:spacing w:before="100" w:beforeAutospacing="1" w:after="100" w:afterAutospacing="1" w:line="240" w:lineRule="auto"/>
      <w:ind w:firstLine="0" w:firstLineChars="0"/>
      <w:jc w:val="left"/>
    </w:pPr>
    <w:rPr>
      <w:rFonts w:ascii="宋体" w:hAnsi="宋体" w:cs="宋体"/>
      <w:color w:val="000000"/>
      <w:sz w:val="22"/>
      <w:szCs w:val="22"/>
    </w:rPr>
  </w:style>
  <w:style w:type="paragraph" w:customStyle="1" w:styleId="669">
    <w:name w:val="font5"/>
    <w:basedOn w:val="1"/>
    <w:qFormat/>
    <w:uiPriority w:val="0"/>
    <w:pPr>
      <w:spacing w:before="100" w:beforeAutospacing="1" w:after="100" w:afterAutospacing="1" w:line="240" w:lineRule="auto"/>
      <w:ind w:firstLine="0" w:firstLineChars="0"/>
      <w:jc w:val="left"/>
    </w:pPr>
    <w:rPr>
      <w:rFonts w:ascii="宋体" w:hAnsi="宋体" w:cs="宋体"/>
      <w:sz w:val="18"/>
      <w:szCs w:val="18"/>
    </w:rPr>
  </w:style>
  <w:style w:type="paragraph" w:customStyle="1" w:styleId="670">
    <w:name w:val="font6"/>
    <w:basedOn w:val="1"/>
    <w:qFormat/>
    <w:uiPriority w:val="0"/>
    <w:pPr>
      <w:spacing w:before="100" w:beforeAutospacing="1" w:after="100" w:afterAutospacing="1" w:line="240" w:lineRule="auto"/>
      <w:ind w:firstLine="0" w:firstLineChars="0"/>
      <w:jc w:val="left"/>
    </w:pPr>
    <w:rPr>
      <w:rFonts w:ascii="宋体" w:hAnsi="宋体" w:cs="宋体"/>
      <w:sz w:val="22"/>
      <w:szCs w:val="22"/>
    </w:rPr>
  </w:style>
  <w:style w:type="paragraph" w:customStyle="1" w:styleId="671">
    <w:name w:val="xl66"/>
    <w:basedOn w:val="1"/>
    <w:qFormat/>
    <w:uiPriority w:val="0"/>
    <w:pPr>
      <w:spacing w:before="100" w:beforeAutospacing="1" w:after="100" w:afterAutospacing="1" w:line="240" w:lineRule="auto"/>
      <w:ind w:firstLine="0" w:firstLineChars="0"/>
      <w:jc w:val="center"/>
      <w:textAlignment w:val="center"/>
    </w:pPr>
    <w:rPr>
      <w:rFonts w:ascii="宋体" w:hAnsi="宋体" w:cs="宋体"/>
    </w:rPr>
  </w:style>
  <w:style w:type="paragraph" w:customStyle="1" w:styleId="672">
    <w:name w:val="xl6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rPr>
  </w:style>
  <w:style w:type="paragraph" w:customStyle="1" w:styleId="673">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style>
  <w:style w:type="paragraph" w:customStyle="1" w:styleId="674">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sz w:val="20"/>
      <w:szCs w:val="20"/>
    </w:rPr>
  </w:style>
  <w:style w:type="paragraph" w:customStyle="1" w:styleId="675">
    <w:name w:val="xl7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style>
  <w:style w:type="paragraph" w:customStyle="1" w:styleId="676">
    <w:name w:val="xl71"/>
    <w:basedOn w:val="1"/>
    <w:qFormat/>
    <w:uiPriority w:val="0"/>
    <w:pPr>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40" w:lineRule="auto"/>
      <w:ind w:firstLine="0" w:firstLineChars="0"/>
      <w:jc w:val="center"/>
      <w:textAlignment w:val="center"/>
    </w:pPr>
  </w:style>
  <w:style w:type="paragraph" w:customStyle="1" w:styleId="677">
    <w:name w:val="xl72"/>
    <w:basedOn w:val="1"/>
    <w:qFormat/>
    <w:uiPriority w:val="0"/>
    <w:pPr>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40" w:lineRule="auto"/>
      <w:ind w:firstLine="0" w:firstLineChars="0"/>
      <w:jc w:val="center"/>
      <w:textAlignment w:val="center"/>
    </w:pPr>
    <w:rPr>
      <w:rFonts w:ascii="宋体" w:hAnsi="宋体" w:cs="宋体"/>
    </w:rPr>
  </w:style>
  <w:style w:type="paragraph" w:customStyle="1" w:styleId="678">
    <w:name w:val="xl73"/>
    <w:basedOn w:val="1"/>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ind w:firstLine="0" w:firstLineChars="0"/>
      <w:jc w:val="center"/>
      <w:textAlignment w:val="center"/>
    </w:pPr>
  </w:style>
  <w:style w:type="paragraph" w:customStyle="1" w:styleId="679">
    <w:name w:val="xl74"/>
    <w:basedOn w:val="1"/>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ind w:firstLine="0" w:firstLineChars="0"/>
      <w:jc w:val="center"/>
      <w:textAlignment w:val="center"/>
    </w:pPr>
    <w:rPr>
      <w:rFonts w:ascii="宋体" w:hAnsi="宋体" w:cs="宋体"/>
    </w:rPr>
  </w:style>
  <w:style w:type="paragraph" w:customStyle="1" w:styleId="680">
    <w:name w:val="xl7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rPr>
  </w:style>
  <w:style w:type="paragraph" w:customStyle="1" w:styleId="681">
    <w:name w:val="xl76"/>
    <w:basedOn w:val="1"/>
    <w:qFormat/>
    <w:uiPriority w:val="0"/>
    <w:pPr>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line="240" w:lineRule="auto"/>
      <w:ind w:firstLine="0" w:firstLineChars="0"/>
      <w:jc w:val="center"/>
      <w:textAlignment w:val="center"/>
    </w:pPr>
  </w:style>
  <w:style w:type="paragraph" w:customStyle="1" w:styleId="682">
    <w:name w:val="xl77"/>
    <w:basedOn w:val="1"/>
    <w:qFormat/>
    <w:uiPriority w:val="0"/>
    <w:pPr>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line="240" w:lineRule="auto"/>
      <w:ind w:firstLine="0" w:firstLineChars="0"/>
      <w:jc w:val="center"/>
      <w:textAlignment w:val="center"/>
    </w:pPr>
    <w:rPr>
      <w:rFonts w:ascii="宋体" w:hAnsi="宋体" w:cs="宋体"/>
    </w:rPr>
  </w:style>
  <w:style w:type="paragraph" w:customStyle="1" w:styleId="683">
    <w:name w:val="xl7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cs="宋体"/>
    </w:rPr>
  </w:style>
  <w:style w:type="paragraph" w:customStyle="1" w:styleId="684">
    <w:name w:val="xl7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sz w:val="20"/>
      <w:szCs w:val="20"/>
    </w:rPr>
  </w:style>
  <w:style w:type="paragraph" w:customStyle="1" w:styleId="685">
    <w:name w:val="xl80"/>
    <w:basedOn w:val="1"/>
    <w:qFormat/>
    <w:uiPriority w:val="0"/>
    <w:pPr>
      <w:pBdr>
        <w:top w:val="single" w:color="auto" w:sz="4" w:space="0"/>
        <w:left w:val="single" w:color="auto" w:sz="4" w:space="0"/>
        <w:bottom w:val="single" w:color="auto" w:sz="4" w:space="0"/>
        <w:right w:val="single" w:color="auto" w:sz="4" w:space="0"/>
      </w:pBdr>
      <w:shd w:val="clear" w:color="000000" w:fill="C4BD97"/>
      <w:spacing w:before="100" w:beforeAutospacing="1" w:after="100" w:afterAutospacing="1" w:line="240" w:lineRule="auto"/>
      <w:ind w:firstLine="0" w:firstLineChars="0"/>
      <w:jc w:val="center"/>
      <w:textAlignment w:val="center"/>
    </w:pPr>
  </w:style>
  <w:style w:type="paragraph" w:customStyle="1" w:styleId="686">
    <w:name w:val="xl81"/>
    <w:basedOn w:val="1"/>
    <w:qFormat/>
    <w:uiPriority w:val="0"/>
    <w:pPr>
      <w:pBdr>
        <w:top w:val="single" w:color="auto" w:sz="4" w:space="0"/>
        <w:left w:val="single" w:color="auto" w:sz="4" w:space="0"/>
        <w:bottom w:val="single" w:color="auto" w:sz="4" w:space="0"/>
        <w:right w:val="single" w:color="auto" w:sz="4" w:space="0"/>
      </w:pBdr>
      <w:shd w:val="clear" w:color="000000" w:fill="DDD9C4"/>
      <w:spacing w:before="100" w:beforeAutospacing="1" w:after="100" w:afterAutospacing="1" w:line="240" w:lineRule="auto"/>
      <w:ind w:firstLine="0" w:firstLineChars="0"/>
      <w:jc w:val="center"/>
      <w:textAlignment w:val="center"/>
    </w:pPr>
  </w:style>
  <w:style w:type="paragraph" w:customStyle="1" w:styleId="687">
    <w:name w:val="xl82"/>
    <w:basedOn w:val="1"/>
    <w:qFormat/>
    <w:uiPriority w:val="0"/>
    <w:pPr>
      <w:pBdr>
        <w:top w:val="single" w:color="auto" w:sz="4" w:space="0"/>
        <w:left w:val="single" w:color="auto" w:sz="4" w:space="0"/>
        <w:bottom w:val="single" w:color="auto" w:sz="4" w:space="0"/>
        <w:right w:val="single" w:color="auto" w:sz="4" w:space="0"/>
      </w:pBdr>
      <w:shd w:val="clear" w:color="000000" w:fill="DDD9C4"/>
      <w:spacing w:before="100" w:beforeAutospacing="1" w:after="100" w:afterAutospacing="1" w:line="240" w:lineRule="auto"/>
      <w:ind w:firstLine="0" w:firstLineChars="0"/>
      <w:jc w:val="center"/>
      <w:textAlignment w:val="center"/>
    </w:pPr>
    <w:rPr>
      <w:sz w:val="20"/>
      <w:szCs w:val="20"/>
    </w:rPr>
  </w:style>
  <w:style w:type="paragraph" w:customStyle="1" w:styleId="688">
    <w:name w:val="xl83"/>
    <w:basedOn w:val="1"/>
    <w:qFormat/>
    <w:uiPriority w:val="0"/>
    <w:pPr>
      <w:shd w:val="clear" w:color="000000" w:fill="FFFFFF"/>
      <w:spacing w:before="100" w:beforeAutospacing="1" w:after="100" w:afterAutospacing="1" w:line="240" w:lineRule="auto"/>
      <w:ind w:firstLine="0" w:firstLineChars="0"/>
      <w:jc w:val="center"/>
      <w:textAlignment w:val="center"/>
    </w:pPr>
    <w:rPr>
      <w:rFonts w:ascii="宋体" w:hAnsi="宋体" w:cs="宋体"/>
    </w:rPr>
  </w:style>
  <w:style w:type="paragraph" w:customStyle="1" w:styleId="689">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style>
  <w:style w:type="paragraph" w:customStyle="1" w:styleId="690">
    <w:name w:val="font7"/>
    <w:basedOn w:val="1"/>
    <w:qFormat/>
    <w:uiPriority w:val="0"/>
    <w:pPr>
      <w:spacing w:before="100" w:beforeAutospacing="1" w:after="100" w:afterAutospacing="1" w:line="240" w:lineRule="auto"/>
      <w:ind w:firstLine="0" w:firstLineChars="0"/>
      <w:jc w:val="left"/>
    </w:pPr>
    <w:rPr>
      <w:rFonts w:ascii="宋体" w:hAnsi="宋体" w:cs="宋体"/>
      <w:sz w:val="18"/>
      <w:szCs w:val="18"/>
    </w:rPr>
  </w:style>
  <w:style w:type="paragraph" w:customStyle="1" w:styleId="691">
    <w:name w:val="xl85"/>
    <w:basedOn w:val="1"/>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ind w:firstLine="0" w:firstLineChars="0"/>
      <w:jc w:val="center"/>
    </w:pPr>
    <w:rPr>
      <w:rFonts w:ascii="宋体" w:hAnsi="宋体" w:cs="宋体"/>
    </w:rPr>
  </w:style>
  <w:style w:type="paragraph" w:customStyle="1" w:styleId="692">
    <w:name w:val="xl86"/>
    <w:basedOn w:val="1"/>
    <w:qFormat/>
    <w:uiPriority w:val="0"/>
    <w:pPr>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line="240" w:lineRule="auto"/>
      <w:ind w:firstLine="0" w:firstLineChars="0"/>
      <w:jc w:val="center"/>
      <w:textAlignment w:val="center"/>
    </w:pPr>
  </w:style>
  <w:style w:type="paragraph" w:customStyle="1" w:styleId="693">
    <w:name w:val="xl87"/>
    <w:basedOn w:val="1"/>
    <w:qFormat/>
    <w:uiPriority w:val="0"/>
    <w:pPr>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line="240" w:lineRule="auto"/>
      <w:ind w:firstLine="0" w:firstLineChars="0"/>
      <w:jc w:val="center"/>
      <w:textAlignment w:val="center"/>
    </w:pPr>
    <w:rPr>
      <w:rFonts w:ascii="宋体" w:hAnsi="宋体" w:cs="宋体"/>
    </w:rPr>
  </w:style>
  <w:style w:type="paragraph" w:customStyle="1" w:styleId="694">
    <w:name w:val="xl8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cs="宋体"/>
    </w:rPr>
  </w:style>
  <w:style w:type="paragraph" w:customStyle="1" w:styleId="695">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rPr>
  </w:style>
  <w:style w:type="paragraph" w:customStyle="1" w:styleId="696">
    <w:name w:val="xl90"/>
    <w:basedOn w:val="1"/>
    <w:qFormat/>
    <w:uiPriority w:val="0"/>
    <w:pPr>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line="240" w:lineRule="auto"/>
      <w:ind w:firstLine="0" w:firstLineChars="0"/>
      <w:jc w:val="center"/>
    </w:pPr>
    <w:rPr>
      <w:rFonts w:ascii="宋体" w:hAnsi="宋体" w:cs="宋体"/>
    </w:rPr>
  </w:style>
  <w:style w:type="paragraph" w:customStyle="1" w:styleId="697">
    <w:name w:val="xl9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sz w:val="20"/>
      <w:szCs w:val="20"/>
    </w:rPr>
  </w:style>
  <w:style w:type="paragraph" w:customStyle="1" w:styleId="698">
    <w:name w:val="xl92"/>
    <w:basedOn w:val="1"/>
    <w:qFormat/>
    <w:uiPriority w:val="0"/>
    <w:pPr>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40" w:lineRule="auto"/>
      <w:ind w:firstLine="0" w:firstLineChars="0"/>
      <w:jc w:val="center"/>
      <w:textAlignment w:val="center"/>
    </w:pPr>
    <w:rPr>
      <w:rFonts w:ascii="宋体" w:hAnsi="宋体" w:cs="宋体"/>
      <w:sz w:val="20"/>
      <w:szCs w:val="20"/>
    </w:rPr>
  </w:style>
  <w:style w:type="paragraph" w:customStyle="1" w:styleId="699">
    <w:name w:val="xl93"/>
    <w:basedOn w:val="1"/>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ind w:firstLine="0" w:firstLineChars="0"/>
      <w:jc w:val="center"/>
      <w:textAlignment w:val="center"/>
    </w:pPr>
    <w:rPr>
      <w:rFonts w:ascii="宋体" w:hAnsi="宋体" w:cs="宋体"/>
      <w:sz w:val="20"/>
      <w:szCs w:val="20"/>
    </w:rPr>
  </w:style>
  <w:style w:type="paragraph" w:customStyle="1" w:styleId="700">
    <w:name w:val="xl94"/>
    <w:basedOn w:val="1"/>
    <w:qFormat/>
    <w:uiPriority w:val="0"/>
    <w:pPr>
      <w:pBdr>
        <w:top w:val="single" w:color="auto" w:sz="4" w:space="0"/>
        <w:left w:val="single" w:color="auto" w:sz="4" w:space="0"/>
        <w:bottom w:val="single" w:color="auto" w:sz="4" w:space="0"/>
        <w:right w:val="single" w:color="auto" w:sz="4" w:space="0"/>
      </w:pBdr>
      <w:shd w:val="clear" w:color="000000" w:fill="DDD9C4"/>
      <w:spacing w:before="100" w:beforeAutospacing="1" w:after="100" w:afterAutospacing="1" w:line="240" w:lineRule="auto"/>
      <w:ind w:firstLine="0" w:firstLineChars="0"/>
      <w:jc w:val="center"/>
      <w:textAlignment w:val="center"/>
    </w:pPr>
  </w:style>
  <w:style w:type="paragraph" w:customStyle="1" w:styleId="701">
    <w:name w:val="xl95"/>
    <w:basedOn w:val="1"/>
    <w:qFormat/>
    <w:uiPriority w:val="0"/>
    <w:pPr>
      <w:pBdr>
        <w:top w:val="single" w:color="auto" w:sz="4" w:space="0"/>
        <w:left w:val="single" w:color="auto" w:sz="4" w:space="0"/>
        <w:bottom w:val="single" w:color="auto" w:sz="4" w:space="0"/>
        <w:right w:val="single" w:color="auto" w:sz="4" w:space="0"/>
      </w:pBdr>
      <w:shd w:val="clear" w:color="000000" w:fill="DDD9C4"/>
      <w:spacing w:before="100" w:beforeAutospacing="1" w:after="100" w:afterAutospacing="1" w:line="240" w:lineRule="auto"/>
      <w:ind w:firstLine="0" w:firstLineChars="0"/>
      <w:jc w:val="center"/>
      <w:textAlignment w:val="center"/>
    </w:pPr>
    <w:rPr>
      <w:sz w:val="20"/>
      <w:szCs w:val="20"/>
    </w:rPr>
  </w:style>
  <w:style w:type="paragraph" w:customStyle="1" w:styleId="702">
    <w:name w:val="xl9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style>
  <w:style w:type="paragraph" w:customStyle="1" w:styleId="703">
    <w:name w:val="xl97"/>
    <w:basedOn w:val="1"/>
    <w:qFormat/>
    <w:uiPriority w:val="0"/>
    <w:pPr>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line="240" w:lineRule="auto"/>
      <w:ind w:firstLine="0" w:firstLineChars="0"/>
      <w:jc w:val="center"/>
      <w:textAlignment w:val="center"/>
    </w:pPr>
    <w:rPr>
      <w:sz w:val="20"/>
      <w:szCs w:val="20"/>
    </w:rPr>
  </w:style>
  <w:style w:type="paragraph" w:customStyle="1" w:styleId="704">
    <w:name w:val="xl98"/>
    <w:basedOn w:val="1"/>
    <w:qFormat/>
    <w:uiPriority w:val="0"/>
    <w:pPr>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line="240" w:lineRule="auto"/>
      <w:ind w:firstLine="0" w:firstLineChars="0"/>
      <w:jc w:val="center"/>
      <w:textAlignment w:val="center"/>
    </w:pPr>
    <w:rPr>
      <w:rFonts w:ascii="宋体" w:hAnsi="宋体" w:cs="宋体"/>
      <w:sz w:val="20"/>
      <w:szCs w:val="20"/>
    </w:rPr>
  </w:style>
  <w:style w:type="paragraph" w:customStyle="1" w:styleId="705">
    <w:name w:val="xl9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style>
  <w:style w:type="paragraph" w:customStyle="1" w:styleId="706">
    <w:name w:val="xl100"/>
    <w:basedOn w:val="1"/>
    <w:qFormat/>
    <w:uiPriority w:val="0"/>
    <w:pPr>
      <w:pBdr>
        <w:top w:val="single" w:color="auto" w:sz="4" w:space="0"/>
        <w:left w:val="single" w:color="auto" w:sz="4" w:space="0"/>
        <w:bottom w:val="single" w:color="auto" w:sz="4" w:space="0"/>
        <w:right w:val="single" w:color="auto" w:sz="4" w:space="0"/>
      </w:pBdr>
      <w:shd w:val="clear" w:color="000000" w:fill="DDD9C4"/>
      <w:spacing w:before="100" w:beforeAutospacing="1" w:after="100" w:afterAutospacing="1" w:line="240" w:lineRule="auto"/>
      <w:ind w:firstLine="0" w:firstLineChars="0"/>
      <w:jc w:val="center"/>
      <w:textAlignment w:val="center"/>
    </w:pPr>
    <w:rPr>
      <w:sz w:val="20"/>
      <w:szCs w:val="20"/>
    </w:rPr>
  </w:style>
  <w:style w:type="paragraph" w:customStyle="1" w:styleId="707">
    <w:name w:val="xl101"/>
    <w:basedOn w:val="1"/>
    <w:qFormat/>
    <w:uiPriority w:val="0"/>
    <w:pPr>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40" w:lineRule="auto"/>
      <w:ind w:firstLine="0" w:firstLineChars="0"/>
      <w:jc w:val="center"/>
      <w:textAlignment w:val="center"/>
    </w:pPr>
    <w:rPr>
      <w:sz w:val="20"/>
      <w:szCs w:val="20"/>
    </w:rPr>
  </w:style>
  <w:style w:type="paragraph" w:customStyle="1" w:styleId="708">
    <w:name w:val="xl102"/>
    <w:basedOn w:val="1"/>
    <w:qFormat/>
    <w:uiPriority w:val="0"/>
    <w:pPr>
      <w:pBdr>
        <w:top w:val="single" w:color="auto" w:sz="4" w:space="0"/>
        <w:left w:val="single" w:color="auto" w:sz="4" w:space="0"/>
        <w:bottom w:val="single" w:color="auto" w:sz="4" w:space="0"/>
        <w:right w:val="single" w:color="auto" w:sz="4" w:space="0"/>
      </w:pBdr>
      <w:shd w:val="clear" w:color="000000" w:fill="DDD9C4"/>
      <w:spacing w:before="100" w:beforeAutospacing="1" w:after="100" w:afterAutospacing="1" w:line="240" w:lineRule="auto"/>
      <w:ind w:firstLine="0" w:firstLineChars="0"/>
      <w:jc w:val="center"/>
      <w:textAlignment w:val="center"/>
    </w:pPr>
  </w:style>
  <w:style w:type="paragraph" w:customStyle="1" w:styleId="709">
    <w:name w:val="xl10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sz w:val="20"/>
      <w:szCs w:val="20"/>
    </w:rPr>
  </w:style>
  <w:style w:type="paragraph" w:customStyle="1" w:styleId="710">
    <w:name w:val="xl65"/>
    <w:basedOn w:val="1"/>
    <w:qFormat/>
    <w:uiPriority w:val="0"/>
    <w:pPr>
      <w:spacing w:before="100" w:beforeAutospacing="1" w:after="100" w:afterAutospacing="1" w:line="240" w:lineRule="auto"/>
      <w:ind w:firstLine="0" w:firstLineChars="0"/>
      <w:jc w:val="left"/>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6478BF-01A5-40D5-ACFE-C993AEC0178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140</Pages>
  <Words>58199</Words>
  <Characters>77987</Characters>
  <Lines>1037</Lines>
  <Paragraphs>292</Paragraphs>
  <TotalTime>5</TotalTime>
  <ScaleCrop>false</ScaleCrop>
  <LinksUpToDate>false</LinksUpToDate>
  <CharactersWithSpaces>128863</CharactersWithSpaces>
  <Application>WPS Office_11.8.2.8576_F1E327BC-269C-435d-A152-05C5408002CA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2024-04-16T09:13:00Z</dcterms:created>
  <dc:creator>Administrator</dc:creator>
  <cp:lastModifiedBy>lenovo16</cp:lastModifiedBy>
  <cp:lastPrinted>2024-05-24T08:05:00Z</cp:lastPrinted>
  <dcterms:modified xsi:type="dcterms:W3CDTF">2024-09-23T02:11:01Z</dcterms:modified>
  <dc:title>1组合结构桥梁的发展概况</dc:title>
  <cp:revision>1210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2052-11.8.2.8576</vt:lpwstr>
  </property>
</Properties>
</file>